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7BB1" w14:textId="77777777" w:rsidR="00114971" w:rsidRPr="008F49E1" w:rsidRDefault="00114971" w:rsidP="00114971">
      <w:pPr>
        <w:rPr>
          <w:sz w:val="24"/>
          <w:szCs w:val="24"/>
        </w:rPr>
      </w:pPr>
      <w:r w:rsidRPr="008F49E1">
        <w:rPr>
          <w:noProof/>
          <w:sz w:val="24"/>
          <w:szCs w:val="24"/>
        </w:rPr>
        <w:drawing>
          <wp:inline distT="0" distB="0" distL="0" distR="0" wp14:anchorId="306B2EF1" wp14:editId="1AF4A706">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73C72923" w14:textId="77777777" w:rsidR="00114971" w:rsidRPr="00C54F0B" w:rsidRDefault="00114971" w:rsidP="00114971">
      <w:pPr>
        <w:rPr>
          <w:sz w:val="24"/>
          <w:szCs w:val="24"/>
        </w:rPr>
      </w:pPr>
      <w:bookmarkStart w:id="0" w:name="_GoBack"/>
      <w:bookmarkEnd w:id="0"/>
    </w:p>
    <w:p w14:paraId="3A821D06" w14:textId="12C69F19" w:rsidR="00114971" w:rsidRPr="000C3846" w:rsidRDefault="00D37150" w:rsidP="00114971">
      <w:pPr>
        <w:jc w:val="right"/>
        <w:rPr>
          <w:b/>
          <w:sz w:val="24"/>
          <w:szCs w:val="24"/>
          <w:lang w:val="en-GB"/>
        </w:rPr>
      </w:pPr>
      <w:r>
        <w:rPr>
          <w:b/>
          <w:sz w:val="24"/>
          <w:szCs w:val="24"/>
          <w:lang w:val="en-US"/>
        </w:rPr>
        <w:t>11 February 2025</w:t>
      </w:r>
    </w:p>
    <w:p w14:paraId="2CA04C04" w14:textId="77777777" w:rsidR="00114971" w:rsidRPr="000C3846" w:rsidRDefault="00114971" w:rsidP="00114971">
      <w:pPr>
        <w:rPr>
          <w:sz w:val="24"/>
          <w:szCs w:val="24"/>
          <w:lang w:val="en-GB"/>
        </w:rPr>
      </w:pPr>
    </w:p>
    <w:p w14:paraId="1C911151" w14:textId="77777777" w:rsidR="00114971" w:rsidRDefault="00114971" w:rsidP="00114971">
      <w:pPr>
        <w:rPr>
          <w:sz w:val="24"/>
          <w:szCs w:val="24"/>
          <w:lang w:val="en-GB"/>
        </w:rPr>
      </w:pPr>
    </w:p>
    <w:p w14:paraId="04521E6E" w14:textId="77777777" w:rsidR="00114971" w:rsidRPr="000C3846" w:rsidRDefault="00114971" w:rsidP="00114971">
      <w:pPr>
        <w:rPr>
          <w:sz w:val="24"/>
          <w:szCs w:val="24"/>
          <w:lang w:val="en-GB"/>
        </w:rPr>
      </w:pPr>
    </w:p>
    <w:p w14:paraId="5D6618CF" w14:textId="77777777" w:rsidR="00114971" w:rsidRPr="000C3846" w:rsidRDefault="00114971" w:rsidP="00114971">
      <w:pPr>
        <w:jc w:val="center"/>
        <w:rPr>
          <w:b/>
          <w:sz w:val="24"/>
          <w:szCs w:val="24"/>
          <w:lang w:val="en-GB"/>
        </w:rPr>
      </w:pPr>
      <w:r w:rsidRPr="000C3846">
        <w:rPr>
          <w:b/>
          <w:sz w:val="24"/>
          <w:szCs w:val="24"/>
          <w:lang w:val="en-GB"/>
        </w:rPr>
        <w:t>SUMMARY OF PRODUCT CHARACTERISTICS</w:t>
      </w:r>
    </w:p>
    <w:p w14:paraId="30D2958A" w14:textId="77777777" w:rsidR="00114971" w:rsidRPr="000C3846" w:rsidRDefault="00114971" w:rsidP="00114971">
      <w:pPr>
        <w:jc w:val="center"/>
        <w:rPr>
          <w:sz w:val="24"/>
          <w:szCs w:val="24"/>
          <w:lang w:val="en-GB"/>
        </w:rPr>
      </w:pPr>
    </w:p>
    <w:p w14:paraId="19BFAEE5" w14:textId="77777777" w:rsidR="00114971" w:rsidRPr="000C3846" w:rsidRDefault="00114971" w:rsidP="00114971">
      <w:pPr>
        <w:jc w:val="center"/>
        <w:rPr>
          <w:b/>
          <w:sz w:val="24"/>
          <w:szCs w:val="24"/>
          <w:lang w:val="en-GB"/>
        </w:rPr>
      </w:pPr>
      <w:r w:rsidRPr="000C3846">
        <w:rPr>
          <w:b/>
          <w:sz w:val="24"/>
          <w:szCs w:val="24"/>
          <w:lang w:val="en-GB"/>
        </w:rPr>
        <w:t>for</w:t>
      </w:r>
    </w:p>
    <w:p w14:paraId="69A53FE9" w14:textId="77777777" w:rsidR="00114971" w:rsidRPr="000C3846" w:rsidRDefault="00114971" w:rsidP="00114971">
      <w:pPr>
        <w:jc w:val="center"/>
        <w:rPr>
          <w:sz w:val="24"/>
          <w:szCs w:val="24"/>
          <w:lang w:val="en-GB"/>
        </w:rPr>
      </w:pPr>
    </w:p>
    <w:p w14:paraId="0391BABE" w14:textId="05F148B0" w:rsidR="00114971" w:rsidRPr="00035E75" w:rsidRDefault="00465A5A" w:rsidP="00114971">
      <w:pPr>
        <w:jc w:val="center"/>
        <w:rPr>
          <w:b/>
          <w:sz w:val="24"/>
          <w:szCs w:val="24"/>
          <w:lang w:val="en-US"/>
        </w:rPr>
      </w:pPr>
      <w:r w:rsidRPr="00035E75">
        <w:rPr>
          <w:b/>
          <w:sz w:val="24"/>
          <w:szCs w:val="24"/>
          <w:lang w:val="en-US"/>
        </w:rPr>
        <w:t>Isop</w:t>
      </w:r>
      <w:r w:rsidR="00CC1173" w:rsidRPr="00035E75">
        <w:rPr>
          <w:b/>
          <w:sz w:val="24"/>
          <w:szCs w:val="24"/>
          <w:lang w:val="en-US"/>
        </w:rPr>
        <w:t>ro</w:t>
      </w:r>
      <w:r w:rsidRPr="00035E75">
        <w:rPr>
          <w:b/>
          <w:sz w:val="24"/>
          <w:szCs w:val="24"/>
          <w:lang w:val="en-US"/>
        </w:rPr>
        <w:t>trace</w:t>
      </w:r>
      <w:r w:rsidR="00CC1173" w:rsidRPr="00035E75">
        <w:rPr>
          <w:b/>
          <w:sz w:val="24"/>
          <w:szCs w:val="24"/>
          <w:lang w:val="en-US"/>
        </w:rPr>
        <w:t xml:space="preserve">, </w:t>
      </w:r>
      <w:r w:rsidR="00035E75" w:rsidRPr="00035E75">
        <w:rPr>
          <w:b/>
          <w:lang w:val="en-US"/>
        </w:rPr>
        <w:t>kit for radiopharmaceutical preparation</w:t>
      </w:r>
    </w:p>
    <w:p w14:paraId="08B5D07C" w14:textId="77777777" w:rsidR="00114971" w:rsidRPr="000F0D47" w:rsidRDefault="00114971" w:rsidP="00114971">
      <w:pPr>
        <w:jc w:val="both"/>
        <w:rPr>
          <w:sz w:val="24"/>
          <w:szCs w:val="24"/>
          <w:lang w:val="en-US"/>
        </w:rPr>
      </w:pPr>
    </w:p>
    <w:p w14:paraId="420BE722" w14:textId="77777777" w:rsidR="00114971" w:rsidRPr="000F0D47" w:rsidRDefault="00114971" w:rsidP="00114971">
      <w:pPr>
        <w:tabs>
          <w:tab w:val="left" w:pos="851"/>
        </w:tabs>
        <w:jc w:val="both"/>
        <w:rPr>
          <w:sz w:val="24"/>
          <w:szCs w:val="24"/>
          <w:lang w:val="en-US"/>
        </w:rPr>
      </w:pPr>
    </w:p>
    <w:p w14:paraId="5DAEE522" w14:textId="77777777" w:rsidR="00114971" w:rsidRPr="000F0D47" w:rsidRDefault="00114971" w:rsidP="00114971">
      <w:pPr>
        <w:tabs>
          <w:tab w:val="left" w:pos="851"/>
        </w:tabs>
        <w:ind w:left="851" w:hanging="851"/>
        <w:rPr>
          <w:sz w:val="24"/>
          <w:szCs w:val="24"/>
          <w:lang w:val="en-US"/>
        </w:rPr>
      </w:pPr>
      <w:r>
        <w:rPr>
          <w:b/>
          <w:sz w:val="24"/>
          <w:szCs w:val="24"/>
          <w:lang w:val="en-US"/>
        </w:rPr>
        <w:t>1.</w:t>
      </w:r>
      <w:r w:rsidRPr="000F0D47">
        <w:rPr>
          <w:b/>
          <w:sz w:val="24"/>
          <w:szCs w:val="24"/>
          <w:lang w:val="en-US"/>
        </w:rPr>
        <w:tab/>
        <w:t>NAME OF THE MEDICINAL PRODUCT</w:t>
      </w:r>
    </w:p>
    <w:p w14:paraId="199924C4" w14:textId="50885D99" w:rsidR="00114971" w:rsidRPr="00035E75" w:rsidRDefault="00035E75" w:rsidP="00114971">
      <w:pPr>
        <w:tabs>
          <w:tab w:val="left" w:pos="851"/>
        </w:tabs>
        <w:ind w:left="851"/>
        <w:rPr>
          <w:sz w:val="24"/>
          <w:szCs w:val="24"/>
          <w:lang w:val="en-US"/>
        </w:rPr>
      </w:pPr>
      <w:r w:rsidRPr="00035E75">
        <w:rPr>
          <w:sz w:val="24"/>
          <w:szCs w:val="24"/>
          <w:lang w:val="en-US"/>
        </w:rPr>
        <w:t>Is</w:t>
      </w:r>
      <w:r>
        <w:rPr>
          <w:sz w:val="24"/>
          <w:szCs w:val="24"/>
          <w:lang w:val="en-US"/>
        </w:rPr>
        <w:t>oprotrace</w:t>
      </w:r>
    </w:p>
    <w:p w14:paraId="23243DC2" w14:textId="77777777" w:rsidR="00114971" w:rsidRPr="000F0D47" w:rsidRDefault="00114971" w:rsidP="00114971">
      <w:pPr>
        <w:tabs>
          <w:tab w:val="left" w:pos="851"/>
        </w:tabs>
        <w:ind w:left="851"/>
        <w:rPr>
          <w:sz w:val="24"/>
          <w:szCs w:val="24"/>
          <w:lang w:val="en-US"/>
        </w:rPr>
      </w:pPr>
    </w:p>
    <w:p w14:paraId="40620B0D" w14:textId="77777777" w:rsidR="00114971" w:rsidRPr="00035E75" w:rsidRDefault="00114971" w:rsidP="00114971">
      <w:pPr>
        <w:ind w:left="851" w:hanging="851"/>
        <w:rPr>
          <w:b/>
          <w:sz w:val="24"/>
          <w:szCs w:val="24"/>
          <w:lang w:val="en-US"/>
        </w:rPr>
      </w:pPr>
      <w:r>
        <w:rPr>
          <w:b/>
          <w:sz w:val="24"/>
          <w:szCs w:val="24"/>
          <w:lang w:val="en-US"/>
        </w:rPr>
        <w:t>2.</w:t>
      </w:r>
      <w:r w:rsidRPr="000F0D47">
        <w:rPr>
          <w:b/>
          <w:sz w:val="24"/>
          <w:szCs w:val="24"/>
          <w:lang w:val="en-US"/>
        </w:rPr>
        <w:tab/>
        <w:t>QUALITATIVE AND QUANTITATIVE COMPOSIT</w:t>
      </w:r>
      <w:r w:rsidRPr="00035E75">
        <w:rPr>
          <w:b/>
          <w:sz w:val="24"/>
          <w:szCs w:val="24"/>
          <w:lang w:val="en-US"/>
        </w:rPr>
        <w:t>ION</w:t>
      </w:r>
    </w:p>
    <w:p w14:paraId="4382A739" w14:textId="77777777" w:rsidR="00035E75" w:rsidRPr="00035E75" w:rsidRDefault="00035E75" w:rsidP="00035E75">
      <w:pPr>
        <w:tabs>
          <w:tab w:val="left" w:pos="851"/>
        </w:tabs>
        <w:ind w:left="851"/>
        <w:rPr>
          <w:sz w:val="24"/>
          <w:szCs w:val="24"/>
          <w:lang w:val="en-GB"/>
        </w:rPr>
      </w:pPr>
      <w:r w:rsidRPr="00035E75">
        <w:rPr>
          <w:sz w:val="24"/>
          <w:szCs w:val="24"/>
          <w:lang w:val="en-GB"/>
        </w:rPr>
        <w:t>Each vial contains gozetotide trifluoroacetate equivalent to 10 micrograms of gozetotide.</w:t>
      </w:r>
    </w:p>
    <w:p w14:paraId="06561D90" w14:textId="77777777" w:rsidR="00035E75" w:rsidRPr="00035E75" w:rsidRDefault="00035E75" w:rsidP="00035E75">
      <w:pPr>
        <w:tabs>
          <w:tab w:val="left" w:pos="851"/>
        </w:tabs>
        <w:ind w:left="851"/>
        <w:rPr>
          <w:sz w:val="24"/>
          <w:szCs w:val="24"/>
          <w:lang w:val="en-GB"/>
        </w:rPr>
      </w:pPr>
    </w:p>
    <w:p w14:paraId="30B8C759" w14:textId="77777777" w:rsidR="00035E75" w:rsidRPr="00035E75" w:rsidRDefault="00035E75" w:rsidP="00035E75">
      <w:pPr>
        <w:tabs>
          <w:tab w:val="left" w:pos="851"/>
        </w:tabs>
        <w:ind w:left="851"/>
        <w:rPr>
          <w:sz w:val="24"/>
          <w:szCs w:val="24"/>
          <w:lang w:val="en-GB"/>
        </w:rPr>
      </w:pPr>
      <w:r w:rsidRPr="00035E75">
        <w:rPr>
          <w:sz w:val="24"/>
          <w:szCs w:val="24"/>
          <w:lang w:val="en-GB"/>
        </w:rPr>
        <w:t>The radionuclide is not part of the kit.</w:t>
      </w:r>
    </w:p>
    <w:p w14:paraId="3BC4775A" w14:textId="77777777" w:rsidR="00035E75" w:rsidRPr="00035E75" w:rsidRDefault="00035E75" w:rsidP="00035E75">
      <w:pPr>
        <w:tabs>
          <w:tab w:val="left" w:pos="851"/>
        </w:tabs>
        <w:ind w:left="851"/>
        <w:rPr>
          <w:sz w:val="24"/>
          <w:szCs w:val="24"/>
          <w:lang w:val="en-GB"/>
        </w:rPr>
      </w:pPr>
    </w:p>
    <w:p w14:paraId="7B237F40" w14:textId="77777777" w:rsidR="00035E75" w:rsidRPr="00035E75" w:rsidRDefault="00035E75" w:rsidP="00035E75">
      <w:pPr>
        <w:tabs>
          <w:tab w:val="left" w:pos="851"/>
        </w:tabs>
        <w:ind w:left="851"/>
        <w:rPr>
          <w:sz w:val="24"/>
          <w:szCs w:val="24"/>
          <w:lang w:val="en-GB"/>
        </w:rPr>
      </w:pPr>
      <w:r w:rsidRPr="00035E75">
        <w:rPr>
          <w:sz w:val="24"/>
          <w:szCs w:val="24"/>
          <w:lang w:val="en-GB"/>
        </w:rPr>
        <w:t>For the full list of excipients, see section 6.1.</w:t>
      </w:r>
    </w:p>
    <w:p w14:paraId="1BD5A600" w14:textId="77777777" w:rsidR="00035E75" w:rsidRPr="00035E75" w:rsidRDefault="00035E75" w:rsidP="00035E75">
      <w:pPr>
        <w:tabs>
          <w:tab w:val="left" w:pos="851"/>
        </w:tabs>
        <w:ind w:left="851"/>
        <w:rPr>
          <w:sz w:val="24"/>
          <w:szCs w:val="24"/>
          <w:lang w:val="en-GB"/>
        </w:rPr>
      </w:pPr>
    </w:p>
    <w:p w14:paraId="52AB0267" w14:textId="77777777" w:rsidR="00114971" w:rsidRPr="00035E75" w:rsidRDefault="00114971" w:rsidP="00114971">
      <w:pPr>
        <w:tabs>
          <w:tab w:val="left" w:pos="851"/>
        </w:tabs>
        <w:ind w:left="851" w:hanging="851"/>
        <w:rPr>
          <w:b/>
          <w:sz w:val="24"/>
          <w:szCs w:val="24"/>
          <w:lang w:val="en-US"/>
        </w:rPr>
      </w:pPr>
      <w:r w:rsidRPr="00035E75">
        <w:rPr>
          <w:b/>
          <w:sz w:val="24"/>
          <w:szCs w:val="24"/>
          <w:lang w:val="en-US"/>
        </w:rPr>
        <w:t>3.</w:t>
      </w:r>
      <w:r w:rsidRPr="00035E75">
        <w:rPr>
          <w:b/>
          <w:sz w:val="24"/>
          <w:szCs w:val="24"/>
          <w:lang w:val="en-US"/>
        </w:rPr>
        <w:tab/>
        <w:t>PHARMACEUTICAL FORM</w:t>
      </w:r>
    </w:p>
    <w:p w14:paraId="78CDC302" w14:textId="77777777" w:rsidR="00035E75" w:rsidRPr="00035E75" w:rsidRDefault="00035E75" w:rsidP="00035E75">
      <w:pPr>
        <w:tabs>
          <w:tab w:val="left" w:pos="851"/>
        </w:tabs>
        <w:ind w:left="851"/>
        <w:rPr>
          <w:sz w:val="24"/>
          <w:szCs w:val="24"/>
          <w:lang w:val="en-GB"/>
        </w:rPr>
      </w:pPr>
      <w:r w:rsidRPr="00035E75">
        <w:rPr>
          <w:sz w:val="24"/>
          <w:szCs w:val="24"/>
          <w:lang w:val="en-GB"/>
        </w:rPr>
        <w:t>Kit for radiopharmaceutical preparation.</w:t>
      </w:r>
    </w:p>
    <w:p w14:paraId="08BF29ED" w14:textId="77777777" w:rsidR="00035E75" w:rsidRPr="00035E75" w:rsidRDefault="00035E75" w:rsidP="00035E75">
      <w:pPr>
        <w:tabs>
          <w:tab w:val="left" w:pos="851"/>
        </w:tabs>
        <w:ind w:left="851"/>
        <w:rPr>
          <w:sz w:val="24"/>
          <w:szCs w:val="24"/>
          <w:lang w:val="en-GB"/>
        </w:rPr>
      </w:pPr>
    </w:p>
    <w:p w14:paraId="28B828DD" w14:textId="77777777" w:rsidR="00035E75" w:rsidRPr="00035E75" w:rsidRDefault="00035E75" w:rsidP="00035E75">
      <w:pPr>
        <w:tabs>
          <w:tab w:val="left" w:pos="851"/>
        </w:tabs>
        <w:ind w:left="851"/>
        <w:rPr>
          <w:sz w:val="24"/>
          <w:szCs w:val="24"/>
          <w:lang w:val="en-GB"/>
        </w:rPr>
      </w:pPr>
      <w:r w:rsidRPr="00035E75">
        <w:rPr>
          <w:sz w:val="24"/>
          <w:szCs w:val="24"/>
          <w:lang w:val="en-GB"/>
        </w:rPr>
        <w:t>White or almost white powder.</w:t>
      </w:r>
    </w:p>
    <w:p w14:paraId="3C046FDE" w14:textId="77777777" w:rsidR="00035E75" w:rsidRPr="00035E75" w:rsidRDefault="00035E75" w:rsidP="00035E75">
      <w:pPr>
        <w:tabs>
          <w:tab w:val="left" w:pos="851"/>
        </w:tabs>
        <w:ind w:left="851"/>
        <w:rPr>
          <w:sz w:val="24"/>
          <w:szCs w:val="24"/>
          <w:lang w:val="en-GB"/>
        </w:rPr>
      </w:pPr>
    </w:p>
    <w:p w14:paraId="1144595D" w14:textId="77777777" w:rsidR="00035E75" w:rsidRPr="00035E75" w:rsidRDefault="00035E75" w:rsidP="00035E75">
      <w:pPr>
        <w:tabs>
          <w:tab w:val="left" w:pos="851"/>
        </w:tabs>
        <w:ind w:left="851"/>
        <w:rPr>
          <w:sz w:val="24"/>
          <w:szCs w:val="24"/>
          <w:lang w:val="en-GB"/>
        </w:rPr>
      </w:pPr>
      <w:r w:rsidRPr="00035E75">
        <w:rPr>
          <w:sz w:val="24"/>
          <w:szCs w:val="24"/>
          <w:lang w:val="en-GB"/>
        </w:rPr>
        <w:t>For radiolabelling with gallium (</w:t>
      </w:r>
      <w:r w:rsidRPr="00035E75">
        <w:rPr>
          <w:sz w:val="24"/>
          <w:szCs w:val="24"/>
          <w:vertAlign w:val="superscript"/>
          <w:lang w:val="en-GB"/>
        </w:rPr>
        <w:t>68</w:t>
      </w:r>
      <w:r w:rsidRPr="00035E75">
        <w:rPr>
          <w:sz w:val="24"/>
          <w:szCs w:val="24"/>
          <w:lang w:val="en-GB"/>
        </w:rPr>
        <w:t>Ga) chloride solution.</w:t>
      </w:r>
    </w:p>
    <w:p w14:paraId="4F255ECF" w14:textId="77777777" w:rsidR="00114971" w:rsidRPr="00035E75" w:rsidRDefault="00114971" w:rsidP="00114971">
      <w:pPr>
        <w:tabs>
          <w:tab w:val="left" w:pos="851"/>
        </w:tabs>
        <w:ind w:left="851"/>
        <w:rPr>
          <w:sz w:val="24"/>
          <w:szCs w:val="24"/>
          <w:lang w:val="en-GB"/>
        </w:rPr>
      </w:pPr>
    </w:p>
    <w:p w14:paraId="67B317FE" w14:textId="77777777" w:rsidR="00114971" w:rsidRPr="00035E75" w:rsidRDefault="00114971" w:rsidP="00114971">
      <w:pPr>
        <w:tabs>
          <w:tab w:val="left" w:pos="851"/>
        </w:tabs>
        <w:ind w:left="851"/>
        <w:rPr>
          <w:sz w:val="24"/>
          <w:szCs w:val="24"/>
          <w:lang w:val="en-US"/>
        </w:rPr>
      </w:pPr>
    </w:p>
    <w:p w14:paraId="5CAC6195" w14:textId="77777777" w:rsidR="00114971" w:rsidRPr="000F0D47" w:rsidRDefault="00114971" w:rsidP="00114971">
      <w:pPr>
        <w:ind w:left="851" w:hanging="851"/>
        <w:rPr>
          <w:b/>
          <w:sz w:val="24"/>
          <w:szCs w:val="24"/>
          <w:lang w:val="en-US"/>
        </w:rPr>
      </w:pPr>
      <w:r w:rsidRPr="000F0D47">
        <w:rPr>
          <w:b/>
          <w:sz w:val="24"/>
          <w:szCs w:val="24"/>
          <w:lang w:val="en-US"/>
        </w:rPr>
        <w:t>4.</w:t>
      </w:r>
      <w:r w:rsidRPr="000F0D47">
        <w:rPr>
          <w:b/>
          <w:sz w:val="24"/>
          <w:szCs w:val="24"/>
          <w:lang w:val="en-US"/>
        </w:rPr>
        <w:tab/>
        <w:t>CLINICAL PARTICULARS</w:t>
      </w:r>
    </w:p>
    <w:p w14:paraId="5C288A10" w14:textId="77777777" w:rsidR="00114971" w:rsidRPr="004A3BF4" w:rsidRDefault="00114971" w:rsidP="00114971">
      <w:pPr>
        <w:tabs>
          <w:tab w:val="left" w:pos="851"/>
        </w:tabs>
        <w:ind w:left="851"/>
        <w:rPr>
          <w:sz w:val="24"/>
          <w:szCs w:val="24"/>
          <w:lang w:val="en-US"/>
        </w:rPr>
      </w:pPr>
    </w:p>
    <w:p w14:paraId="1A456819" w14:textId="77777777" w:rsidR="00114971" w:rsidRPr="000F0D47" w:rsidRDefault="00114971" w:rsidP="00114971">
      <w:pPr>
        <w:ind w:left="851" w:hanging="851"/>
        <w:rPr>
          <w:b/>
          <w:sz w:val="24"/>
          <w:szCs w:val="24"/>
          <w:u w:val="single"/>
          <w:lang w:val="en-US"/>
        </w:rPr>
      </w:pPr>
      <w:r>
        <w:rPr>
          <w:b/>
          <w:sz w:val="24"/>
          <w:szCs w:val="24"/>
          <w:lang w:val="en-US"/>
        </w:rPr>
        <w:t>4.1</w:t>
      </w:r>
      <w:r>
        <w:rPr>
          <w:b/>
          <w:sz w:val="24"/>
          <w:szCs w:val="24"/>
          <w:lang w:val="en-US"/>
        </w:rPr>
        <w:tab/>
      </w:r>
      <w:r w:rsidRPr="000F0D47">
        <w:rPr>
          <w:b/>
          <w:sz w:val="24"/>
          <w:szCs w:val="24"/>
          <w:lang w:val="en-US"/>
        </w:rPr>
        <w:t>Therapeutic indications</w:t>
      </w:r>
    </w:p>
    <w:p w14:paraId="5927D44F" w14:textId="77777777" w:rsidR="00035E75" w:rsidRPr="00035E75" w:rsidRDefault="00035E75" w:rsidP="00035E75">
      <w:pPr>
        <w:tabs>
          <w:tab w:val="left" w:pos="851"/>
        </w:tabs>
        <w:ind w:left="851"/>
        <w:rPr>
          <w:sz w:val="24"/>
          <w:szCs w:val="24"/>
          <w:lang w:val="en-GB"/>
        </w:rPr>
      </w:pPr>
      <w:r w:rsidRPr="00035E75">
        <w:rPr>
          <w:sz w:val="24"/>
          <w:szCs w:val="24"/>
          <w:lang w:val="en-GB"/>
        </w:rPr>
        <w:t>This medicinal product is for diagnostic use only.</w:t>
      </w:r>
    </w:p>
    <w:p w14:paraId="6808B489" w14:textId="77777777" w:rsidR="00035E75" w:rsidRPr="00035E75" w:rsidRDefault="00035E75" w:rsidP="00035E75">
      <w:pPr>
        <w:tabs>
          <w:tab w:val="left" w:pos="851"/>
        </w:tabs>
        <w:ind w:left="851"/>
        <w:rPr>
          <w:sz w:val="24"/>
          <w:szCs w:val="24"/>
          <w:lang w:val="en-GB"/>
        </w:rPr>
      </w:pPr>
    </w:p>
    <w:p w14:paraId="3102E3CE" w14:textId="77777777" w:rsidR="00035E75" w:rsidRPr="00035E75" w:rsidRDefault="00035E75" w:rsidP="00035E75">
      <w:pPr>
        <w:tabs>
          <w:tab w:val="left" w:pos="851"/>
        </w:tabs>
        <w:ind w:left="851"/>
        <w:rPr>
          <w:sz w:val="24"/>
          <w:szCs w:val="24"/>
          <w:lang w:val="en-GB"/>
        </w:rPr>
      </w:pPr>
      <w:r w:rsidRPr="00035E75">
        <w:rPr>
          <w:sz w:val="24"/>
          <w:szCs w:val="24"/>
          <w:lang w:val="en-GB"/>
        </w:rPr>
        <w:t>After radiolabelling with gallium (</w:t>
      </w:r>
      <w:r w:rsidRPr="00035E75">
        <w:rPr>
          <w:sz w:val="24"/>
          <w:szCs w:val="24"/>
          <w:vertAlign w:val="superscript"/>
          <w:lang w:val="en-GB"/>
        </w:rPr>
        <w:t>68</w:t>
      </w:r>
      <w:r w:rsidRPr="00035E75">
        <w:rPr>
          <w:sz w:val="24"/>
          <w:szCs w:val="24"/>
          <w:lang w:val="en-GB"/>
        </w:rPr>
        <w:t>Ga) chloride solution, gallium (</w:t>
      </w:r>
      <w:r w:rsidRPr="00035E75">
        <w:rPr>
          <w:sz w:val="24"/>
          <w:szCs w:val="24"/>
          <w:vertAlign w:val="superscript"/>
          <w:lang w:val="en-GB"/>
        </w:rPr>
        <w:t>68</w:t>
      </w:r>
      <w:r w:rsidRPr="00035E75">
        <w:rPr>
          <w:sz w:val="24"/>
          <w:szCs w:val="24"/>
          <w:lang w:val="en-GB"/>
        </w:rPr>
        <w:t>Ga) gozetotide is indicated for positron emission tomography (PET) of prostate-specific membrane antigen (PSMA)-positive lesions in men with prostate cancer in the following clinical settings:</w:t>
      </w:r>
    </w:p>
    <w:p w14:paraId="56EA2F39" w14:textId="77777777" w:rsidR="00035E75" w:rsidRPr="00035E75" w:rsidRDefault="00035E75" w:rsidP="00035E75">
      <w:pPr>
        <w:numPr>
          <w:ilvl w:val="0"/>
          <w:numId w:val="5"/>
        </w:numPr>
        <w:tabs>
          <w:tab w:val="left" w:pos="851"/>
        </w:tabs>
        <w:ind w:left="1134" w:hanging="283"/>
        <w:rPr>
          <w:sz w:val="24"/>
          <w:szCs w:val="24"/>
          <w:lang w:val="en-GB"/>
        </w:rPr>
      </w:pPr>
      <w:r w:rsidRPr="00035E75">
        <w:rPr>
          <w:sz w:val="24"/>
          <w:szCs w:val="24"/>
          <w:lang w:val="en-GB"/>
        </w:rPr>
        <w:t>Primary staging of patients with high</w:t>
      </w:r>
      <w:r w:rsidRPr="00035E75">
        <w:rPr>
          <w:sz w:val="24"/>
          <w:szCs w:val="24"/>
          <w:lang w:val="en-GB"/>
        </w:rPr>
        <w:noBreakHyphen/>
        <w:t>risk prostate cancer prior to primary curative therapy.</w:t>
      </w:r>
    </w:p>
    <w:p w14:paraId="7122924B" w14:textId="77777777" w:rsidR="00035E75" w:rsidRPr="00035E75" w:rsidRDefault="00035E75" w:rsidP="00035E75">
      <w:pPr>
        <w:numPr>
          <w:ilvl w:val="0"/>
          <w:numId w:val="5"/>
        </w:numPr>
        <w:tabs>
          <w:tab w:val="left" w:pos="851"/>
        </w:tabs>
        <w:ind w:left="1134" w:hanging="283"/>
        <w:rPr>
          <w:sz w:val="24"/>
          <w:szCs w:val="24"/>
          <w:lang w:val="en-GB"/>
        </w:rPr>
      </w:pPr>
      <w:r w:rsidRPr="00035E75">
        <w:rPr>
          <w:sz w:val="24"/>
          <w:szCs w:val="24"/>
          <w:lang w:val="en-GB"/>
        </w:rPr>
        <w:t>Suspected prostate cancer recurrence based on elevated serum prostate-specific antigen (PSA) level, after primary curative therapy.</w:t>
      </w:r>
    </w:p>
    <w:p w14:paraId="59A71697" w14:textId="77777777" w:rsidR="00114971" w:rsidRPr="00035E75" w:rsidRDefault="00114971" w:rsidP="00114971">
      <w:pPr>
        <w:tabs>
          <w:tab w:val="left" w:pos="851"/>
        </w:tabs>
        <w:ind w:left="851"/>
        <w:rPr>
          <w:sz w:val="24"/>
          <w:szCs w:val="24"/>
          <w:lang w:val="en-GB"/>
        </w:rPr>
      </w:pPr>
    </w:p>
    <w:p w14:paraId="7A1A8D5F" w14:textId="77777777" w:rsidR="00114971" w:rsidRPr="000F0D47" w:rsidRDefault="00114971" w:rsidP="00114971">
      <w:pPr>
        <w:tabs>
          <w:tab w:val="left" w:pos="851"/>
        </w:tabs>
        <w:ind w:left="851" w:hanging="851"/>
        <w:rPr>
          <w:sz w:val="24"/>
          <w:szCs w:val="24"/>
          <w:lang w:val="en-US"/>
        </w:rPr>
      </w:pPr>
      <w:r>
        <w:rPr>
          <w:b/>
          <w:sz w:val="24"/>
          <w:szCs w:val="24"/>
          <w:lang w:val="en-US"/>
        </w:rPr>
        <w:t>4.2</w:t>
      </w:r>
      <w:r w:rsidRPr="000F0D47">
        <w:rPr>
          <w:b/>
          <w:sz w:val="24"/>
          <w:szCs w:val="24"/>
          <w:lang w:val="en-US"/>
        </w:rPr>
        <w:tab/>
        <w:t>Posology and method of administration</w:t>
      </w:r>
    </w:p>
    <w:p w14:paraId="2ABB94DF" w14:textId="77777777" w:rsidR="00035E75" w:rsidRPr="00035E75" w:rsidRDefault="00035E75" w:rsidP="00035E75">
      <w:pPr>
        <w:tabs>
          <w:tab w:val="left" w:pos="851"/>
        </w:tabs>
        <w:ind w:left="851"/>
        <w:rPr>
          <w:sz w:val="24"/>
          <w:szCs w:val="24"/>
          <w:lang w:val="en-GB"/>
        </w:rPr>
      </w:pPr>
      <w:r w:rsidRPr="00035E75">
        <w:rPr>
          <w:sz w:val="24"/>
          <w:szCs w:val="24"/>
          <w:lang w:val="en-GB"/>
        </w:rPr>
        <w:t>The medicinal product should only be administered by trained healthcare professionals with technical expertise in using and handling nuclear medicine diagnostic agents and only in a designated nuclear medicine facility.</w:t>
      </w:r>
    </w:p>
    <w:p w14:paraId="794B0B52" w14:textId="77777777" w:rsidR="00035E75" w:rsidRPr="00035E75" w:rsidRDefault="00035E75" w:rsidP="00035E75">
      <w:pPr>
        <w:tabs>
          <w:tab w:val="left" w:pos="851"/>
        </w:tabs>
        <w:ind w:left="851"/>
        <w:rPr>
          <w:sz w:val="24"/>
          <w:szCs w:val="24"/>
          <w:u w:val="single"/>
          <w:lang w:val="en-GB"/>
        </w:rPr>
      </w:pPr>
    </w:p>
    <w:p w14:paraId="4EFE4099" w14:textId="77777777" w:rsidR="00035E75" w:rsidRPr="00035E75" w:rsidRDefault="00035E75" w:rsidP="00035E75">
      <w:pPr>
        <w:tabs>
          <w:tab w:val="left" w:pos="851"/>
        </w:tabs>
        <w:ind w:left="851"/>
        <w:rPr>
          <w:sz w:val="24"/>
          <w:szCs w:val="24"/>
          <w:u w:val="single"/>
          <w:lang w:val="en-GB"/>
        </w:rPr>
      </w:pPr>
      <w:r w:rsidRPr="00035E75">
        <w:rPr>
          <w:sz w:val="24"/>
          <w:szCs w:val="24"/>
          <w:u w:val="single"/>
          <w:lang w:val="en-GB"/>
        </w:rPr>
        <w:t>Posology</w:t>
      </w:r>
    </w:p>
    <w:p w14:paraId="4415EE6C" w14:textId="77777777" w:rsidR="00035E75" w:rsidRPr="00035E75" w:rsidRDefault="00035E75" w:rsidP="00035E75">
      <w:pPr>
        <w:tabs>
          <w:tab w:val="left" w:pos="851"/>
        </w:tabs>
        <w:ind w:left="851"/>
        <w:rPr>
          <w:sz w:val="24"/>
          <w:szCs w:val="24"/>
          <w:lang w:val="en-GB"/>
        </w:rPr>
      </w:pPr>
      <w:r w:rsidRPr="00035E75">
        <w:rPr>
          <w:sz w:val="24"/>
          <w:szCs w:val="24"/>
          <w:lang w:val="en-GB"/>
        </w:rPr>
        <w:t>The recommended dose of gallium (</w:t>
      </w:r>
      <w:r w:rsidRPr="00035E75">
        <w:rPr>
          <w:sz w:val="24"/>
          <w:szCs w:val="24"/>
          <w:vertAlign w:val="superscript"/>
          <w:lang w:val="en-GB"/>
        </w:rPr>
        <w:t>68</w:t>
      </w:r>
      <w:r w:rsidRPr="00035E75">
        <w:rPr>
          <w:sz w:val="24"/>
          <w:szCs w:val="24"/>
          <w:lang w:val="en-GB"/>
        </w:rPr>
        <w:t>Ga) gozetotide is 1.8-2.2 MBq/kg of body weight, with a minimum dose of 111 MBq up to a maximum dose of 259 MBq.</w:t>
      </w:r>
    </w:p>
    <w:p w14:paraId="18686BBF" w14:textId="77777777" w:rsidR="00035E75" w:rsidRPr="00035E75" w:rsidRDefault="00035E75" w:rsidP="00035E75">
      <w:pPr>
        <w:tabs>
          <w:tab w:val="left" w:pos="851"/>
        </w:tabs>
        <w:ind w:left="851"/>
        <w:rPr>
          <w:i/>
          <w:iCs/>
          <w:sz w:val="24"/>
          <w:szCs w:val="24"/>
          <w:lang w:val="en-GB"/>
        </w:rPr>
      </w:pPr>
    </w:p>
    <w:p w14:paraId="78FA2EF0" w14:textId="77777777" w:rsidR="00035E75" w:rsidRPr="00035E75" w:rsidRDefault="00035E75" w:rsidP="00035E75">
      <w:pPr>
        <w:tabs>
          <w:tab w:val="left" w:pos="851"/>
        </w:tabs>
        <w:ind w:left="851"/>
        <w:rPr>
          <w:i/>
          <w:iCs/>
          <w:sz w:val="24"/>
          <w:szCs w:val="24"/>
          <w:lang w:val="en-GB"/>
        </w:rPr>
      </w:pPr>
      <w:r w:rsidRPr="00035E75">
        <w:rPr>
          <w:i/>
          <w:iCs/>
          <w:sz w:val="24"/>
          <w:szCs w:val="24"/>
          <w:lang w:val="en-GB"/>
        </w:rPr>
        <w:t>Elderly population</w:t>
      </w:r>
    </w:p>
    <w:p w14:paraId="30E7A201" w14:textId="77777777" w:rsidR="00035E75" w:rsidRPr="00035E75" w:rsidRDefault="00035E75" w:rsidP="00035E75">
      <w:pPr>
        <w:tabs>
          <w:tab w:val="left" w:pos="851"/>
        </w:tabs>
        <w:ind w:left="851"/>
        <w:rPr>
          <w:sz w:val="24"/>
          <w:szCs w:val="24"/>
          <w:lang w:val="en-GB"/>
        </w:rPr>
      </w:pPr>
      <w:r w:rsidRPr="00035E75">
        <w:rPr>
          <w:sz w:val="24"/>
          <w:szCs w:val="24"/>
          <w:lang w:val="en-GB"/>
        </w:rPr>
        <w:t>No special dosage regimen for elderly patients is required.</w:t>
      </w:r>
    </w:p>
    <w:p w14:paraId="413EBABC" w14:textId="77777777" w:rsidR="00035E75" w:rsidRPr="00035E75" w:rsidRDefault="00035E75" w:rsidP="00035E75">
      <w:pPr>
        <w:tabs>
          <w:tab w:val="left" w:pos="851"/>
        </w:tabs>
        <w:ind w:left="851"/>
        <w:rPr>
          <w:sz w:val="24"/>
          <w:szCs w:val="24"/>
          <w:lang w:val="en-GB"/>
        </w:rPr>
      </w:pPr>
    </w:p>
    <w:p w14:paraId="1E8E84E2" w14:textId="77777777" w:rsidR="00035E75" w:rsidRPr="00035E75" w:rsidRDefault="00035E75" w:rsidP="00035E75">
      <w:pPr>
        <w:tabs>
          <w:tab w:val="left" w:pos="851"/>
        </w:tabs>
        <w:ind w:left="851"/>
        <w:rPr>
          <w:i/>
          <w:iCs/>
          <w:sz w:val="24"/>
          <w:szCs w:val="24"/>
          <w:lang w:val="en-GB"/>
        </w:rPr>
      </w:pPr>
      <w:r w:rsidRPr="00035E75">
        <w:rPr>
          <w:i/>
          <w:iCs/>
          <w:sz w:val="24"/>
          <w:szCs w:val="24"/>
          <w:lang w:val="en-GB"/>
        </w:rPr>
        <w:t>Paediatric population</w:t>
      </w:r>
    </w:p>
    <w:p w14:paraId="5C8C899F" w14:textId="77777777" w:rsidR="00035E75" w:rsidRPr="00035E75" w:rsidRDefault="00035E75" w:rsidP="00035E75">
      <w:pPr>
        <w:tabs>
          <w:tab w:val="left" w:pos="851"/>
        </w:tabs>
        <w:ind w:left="851"/>
        <w:rPr>
          <w:sz w:val="24"/>
          <w:szCs w:val="24"/>
          <w:lang w:val="en-GB"/>
        </w:rPr>
      </w:pPr>
      <w:r w:rsidRPr="00035E75">
        <w:rPr>
          <w:sz w:val="24"/>
          <w:szCs w:val="24"/>
          <w:lang w:val="en-GB"/>
        </w:rPr>
        <w:t>There is no relevant use of gallium (</w:t>
      </w:r>
      <w:r w:rsidRPr="00035E75">
        <w:rPr>
          <w:sz w:val="24"/>
          <w:szCs w:val="24"/>
          <w:vertAlign w:val="superscript"/>
          <w:lang w:val="en-GB"/>
        </w:rPr>
        <w:t>68</w:t>
      </w:r>
      <w:r w:rsidRPr="00035E75">
        <w:rPr>
          <w:sz w:val="24"/>
          <w:szCs w:val="24"/>
          <w:lang w:val="en-GB"/>
        </w:rPr>
        <w:t>Ga) gozetotide in the paediatric population for the identification of PSMA positive lesions in prostate cancer.</w:t>
      </w:r>
    </w:p>
    <w:p w14:paraId="16888975" w14:textId="77777777" w:rsidR="00035E75" w:rsidRPr="00035E75" w:rsidRDefault="00035E75" w:rsidP="00035E75">
      <w:pPr>
        <w:tabs>
          <w:tab w:val="left" w:pos="851"/>
        </w:tabs>
        <w:ind w:left="851"/>
        <w:rPr>
          <w:sz w:val="24"/>
          <w:szCs w:val="24"/>
          <w:lang w:val="en-GB"/>
        </w:rPr>
      </w:pPr>
      <w:r w:rsidRPr="00035E75">
        <w:rPr>
          <w:sz w:val="24"/>
          <w:szCs w:val="24"/>
          <w:lang w:val="en-GB"/>
        </w:rPr>
        <w:t>The safety and efficacy of gallium (</w:t>
      </w:r>
      <w:r w:rsidRPr="00035E75">
        <w:rPr>
          <w:sz w:val="24"/>
          <w:szCs w:val="24"/>
          <w:vertAlign w:val="superscript"/>
          <w:lang w:val="en-GB"/>
        </w:rPr>
        <w:t>68</w:t>
      </w:r>
      <w:r w:rsidRPr="00035E75">
        <w:rPr>
          <w:sz w:val="24"/>
          <w:szCs w:val="24"/>
          <w:lang w:val="en-GB"/>
        </w:rPr>
        <w:t>Ga) gozetotide in children aged 0 to 18 years have not been established.</w:t>
      </w:r>
    </w:p>
    <w:p w14:paraId="0F0E082D" w14:textId="77777777" w:rsidR="00035E75" w:rsidRPr="00035E75" w:rsidRDefault="00035E75" w:rsidP="00035E75">
      <w:pPr>
        <w:tabs>
          <w:tab w:val="left" w:pos="851"/>
        </w:tabs>
        <w:ind w:left="851"/>
        <w:rPr>
          <w:sz w:val="24"/>
          <w:szCs w:val="24"/>
          <w:lang w:val="en-GB"/>
        </w:rPr>
      </w:pPr>
    </w:p>
    <w:p w14:paraId="285C6271" w14:textId="77777777" w:rsidR="00035E75" w:rsidRPr="00035E75" w:rsidRDefault="00035E75" w:rsidP="00035E75">
      <w:pPr>
        <w:tabs>
          <w:tab w:val="left" w:pos="851"/>
        </w:tabs>
        <w:ind w:left="851"/>
        <w:rPr>
          <w:i/>
          <w:iCs/>
          <w:sz w:val="24"/>
          <w:szCs w:val="24"/>
          <w:lang w:val="en-GB"/>
        </w:rPr>
      </w:pPr>
      <w:r w:rsidRPr="00035E75">
        <w:rPr>
          <w:i/>
          <w:iCs/>
          <w:sz w:val="24"/>
          <w:szCs w:val="24"/>
          <w:lang w:val="en-GB"/>
        </w:rPr>
        <w:t>Hepatic impairment</w:t>
      </w:r>
    </w:p>
    <w:p w14:paraId="7B395673" w14:textId="77777777" w:rsidR="00035E75" w:rsidRPr="00035E75" w:rsidRDefault="00035E75" w:rsidP="00035E75">
      <w:pPr>
        <w:tabs>
          <w:tab w:val="left" w:pos="851"/>
        </w:tabs>
        <w:ind w:left="851"/>
        <w:rPr>
          <w:i/>
          <w:iCs/>
          <w:sz w:val="24"/>
          <w:szCs w:val="24"/>
          <w:lang w:val="en-GB"/>
        </w:rPr>
      </w:pPr>
      <w:r w:rsidRPr="00035E75">
        <w:rPr>
          <w:sz w:val="24"/>
          <w:szCs w:val="24"/>
          <w:lang w:val="en-GB"/>
        </w:rPr>
        <w:t>The safety and efficacy of gallium (</w:t>
      </w:r>
      <w:r w:rsidRPr="00035E75">
        <w:rPr>
          <w:sz w:val="24"/>
          <w:szCs w:val="24"/>
          <w:vertAlign w:val="superscript"/>
          <w:lang w:val="en-GB"/>
        </w:rPr>
        <w:t>68</w:t>
      </w:r>
      <w:r w:rsidRPr="00035E75">
        <w:rPr>
          <w:sz w:val="24"/>
          <w:szCs w:val="24"/>
          <w:lang w:val="en-GB"/>
        </w:rPr>
        <w:t>Ga) gozetotide have not been studied in patients with hepatic impairment.</w:t>
      </w:r>
    </w:p>
    <w:p w14:paraId="61B66BF7" w14:textId="77777777" w:rsidR="00035E75" w:rsidRPr="00035E75" w:rsidRDefault="00035E75" w:rsidP="00035E75">
      <w:pPr>
        <w:tabs>
          <w:tab w:val="left" w:pos="851"/>
        </w:tabs>
        <w:ind w:left="851"/>
        <w:rPr>
          <w:sz w:val="24"/>
          <w:szCs w:val="24"/>
          <w:lang w:val="en-GB"/>
        </w:rPr>
      </w:pPr>
    </w:p>
    <w:p w14:paraId="2E58DC0A" w14:textId="77777777" w:rsidR="00035E75" w:rsidRPr="00035E75" w:rsidRDefault="00035E75" w:rsidP="00035E75">
      <w:pPr>
        <w:tabs>
          <w:tab w:val="left" w:pos="851"/>
        </w:tabs>
        <w:ind w:left="851"/>
        <w:rPr>
          <w:i/>
          <w:iCs/>
          <w:sz w:val="24"/>
          <w:szCs w:val="24"/>
          <w:lang w:val="en-GB"/>
        </w:rPr>
      </w:pPr>
      <w:r w:rsidRPr="00035E75">
        <w:rPr>
          <w:i/>
          <w:iCs/>
          <w:sz w:val="24"/>
          <w:szCs w:val="24"/>
          <w:lang w:val="en-GB"/>
        </w:rPr>
        <w:t>Renal impairment</w:t>
      </w:r>
    </w:p>
    <w:p w14:paraId="21FE4865" w14:textId="77777777" w:rsidR="00035E75" w:rsidRPr="00035E75" w:rsidRDefault="00035E75" w:rsidP="00035E75">
      <w:pPr>
        <w:tabs>
          <w:tab w:val="left" w:pos="851"/>
        </w:tabs>
        <w:ind w:left="851"/>
        <w:rPr>
          <w:i/>
          <w:iCs/>
          <w:sz w:val="24"/>
          <w:szCs w:val="24"/>
          <w:lang w:val="en-GB"/>
        </w:rPr>
      </w:pPr>
      <w:r w:rsidRPr="00035E75">
        <w:rPr>
          <w:sz w:val="24"/>
          <w:szCs w:val="24"/>
          <w:lang w:val="en-GB"/>
        </w:rPr>
        <w:t xml:space="preserve">The safety and efficacy of </w:t>
      </w:r>
      <w:bookmarkStart w:id="1" w:name="_Hlk107559224"/>
      <w:r w:rsidRPr="00035E75">
        <w:rPr>
          <w:sz w:val="24"/>
          <w:szCs w:val="24"/>
          <w:lang w:val="en-GB"/>
        </w:rPr>
        <w:t>gallium (</w:t>
      </w:r>
      <w:r w:rsidRPr="00035E75">
        <w:rPr>
          <w:sz w:val="24"/>
          <w:szCs w:val="24"/>
          <w:vertAlign w:val="superscript"/>
          <w:lang w:val="en-GB"/>
        </w:rPr>
        <w:t>68</w:t>
      </w:r>
      <w:r w:rsidRPr="00035E75">
        <w:rPr>
          <w:sz w:val="24"/>
          <w:szCs w:val="24"/>
          <w:lang w:val="en-GB"/>
        </w:rPr>
        <w:t xml:space="preserve">Ga) gozetotide </w:t>
      </w:r>
      <w:bookmarkEnd w:id="1"/>
      <w:r w:rsidRPr="00035E75">
        <w:rPr>
          <w:sz w:val="24"/>
          <w:szCs w:val="24"/>
          <w:lang w:val="en-GB"/>
        </w:rPr>
        <w:t>have not been studied in patients with renal impairment. Careful consideration of the activity to be administered is required since an increased radiation exposure is possible in these patients, see section 4.4.</w:t>
      </w:r>
    </w:p>
    <w:p w14:paraId="332C1F96" w14:textId="77777777" w:rsidR="00035E75" w:rsidRPr="00035E75" w:rsidRDefault="00035E75" w:rsidP="00035E75">
      <w:pPr>
        <w:tabs>
          <w:tab w:val="left" w:pos="851"/>
        </w:tabs>
        <w:ind w:left="851"/>
        <w:rPr>
          <w:sz w:val="24"/>
          <w:szCs w:val="24"/>
          <w:u w:val="single"/>
          <w:lang w:val="en-GB"/>
        </w:rPr>
      </w:pPr>
    </w:p>
    <w:p w14:paraId="3EC48F9D" w14:textId="77777777" w:rsidR="00035E75" w:rsidRPr="00035E75" w:rsidRDefault="00035E75" w:rsidP="00035E75">
      <w:pPr>
        <w:tabs>
          <w:tab w:val="left" w:pos="851"/>
        </w:tabs>
        <w:ind w:left="851"/>
        <w:rPr>
          <w:sz w:val="24"/>
          <w:szCs w:val="24"/>
          <w:u w:val="single"/>
          <w:lang w:val="en-GB"/>
        </w:rPr>
      </w:pPr>
      <w:r w:rsidRPr="00035E75">
        <w:rPr>
          <w:sz w:val="24"/>
          <w:szCs w:val="24"/>
          <w:u w:val="single"/>
          <w:lang w:val="en-GB"/>
        </w:rPr>
        <w:t>Method of administration</w:t>
      </w:r>
    </w:p>
    <w:p w14:paraId="74FF84DF" w14:textId="77777777" w:rsidR="00035E75" w:rsidRPr="00035E75" w:rsidRDefault="00035E75" w:rsidP="00035E75">
      <w:pPr>
        <w:tabs>
          <w:tab w:val="left" w:pos="851"/>
        </w:tabs>
        <w:ind w:left="851"/>
        <w:rPr>
          <w:sz w:val="24"/>
          <w:szCs w:val="24"/>
          <w:lang w:val="en-GB"/>
        </w:rPr>
      </w:pPr>
      <w:r w:rsidRPr="00035E75">
        <w:rPr>
          <w:sz w:val="24"/>
          <w:szCs w:val="24"/>
          <w:lang w:val="en-GB"/>
        </w:rPr>
        <w:t>This medicinal product is administered intravenously as a single injection. It should be reconstituted and radiolabelled before administration to the patient.</w:t>
      </w:r>
    </w:p>
    <w:p w14:paraId="09995361" w14:textId="77777777" w:rsidR="00035E75" w:rsidRPr="00035E75" w:rsidRDefault="00035E75" w:rsidP="00035E75">
      <w:pPr>
        <w:tabs>
          <w:tab w:val="left" w:pos="851"/>
        </w:tabs>
        <w:ind w:left="851"/>
        <w:rPr>
          <w:sz w:val="24"/>
          <w:szCs w:val="24"/>
          <w:lang w:val="en-GB"/>
        </w:rPr>
      </w:pPr>
    </w:p>
    <w:p w14:paraId="5A206729" w14:textId="77777777" w:rsidR="00035E75" w:rsidRPr="00035E75" w:rsidRDefault="00035E75" w:rsidP="00035E75">
      <w:pPr>
        <w:tabs>
          <w:tab w:val="left" w:pos="851"/>
        </w:tabs>
        <w:ind w:left="851"/>
        <w:rPr>
          <w:sz w:val="24"/>
          <w:szCs w:val="24"/>
          <w:lang w:val="en-GB"/>
        </w:rPr>
      </w:pPr>
      <w:r w:rsidRPr="00035E75">
        <w:rPr>
          <w:sz w:val="24"/>
          <w:szCs w:val="24"/>
          <w:lang w:val="en-GB"/>
        </w:rPr>
        <w:t>After reconstitution and radiolabelling, gallium (</w:t>
      </w:r>
      <w:r w:rsidRPr="00035E75">
        <w:rPr>
          <w:sz w:val="24"/>
          <w:szCs w:val="24"/>
          <w:vertAlign w:val="superscript"/>
          <w:lang w:val="en-GB"/>
        </w:rPr>
        <w:t>68</w:t>
      </w:r>
      <w:r w:rsidRPr="00035E75">
        <w:rPr>
          <w:sz w:val="24"/>
          <w:szCs w:val="24"/>
          <w:lang w:val="en-GB"/>
        </w:rPr>
        <w:t>Ga) gozetotide solution should be administered by slow intravenous injection. Local extravasation resulting in inadvertent radiation exposure to the patient and imaging artefacts should be avoided. The injection should be followed by an intravenous flush of sodium chloride 9 mg/mL (0.9%) solution for injection to ensure full delivery of the dose.</w:t>
      </w:r>
    </w:p>
    <w:p w14:paraId="28226F35" w14:textId="77777777" w:rsidR="00035E75" w:rsidRPr="00035E75" w:rsidRDefault="00035E75" w:rsidP="00035E75">
      <w:pPr>
        <w:tabs>
          <w:tab w:val="left" w:pos="851"/>
        </w:tabs>
        <w:ind w:left="851"/>
        <w:rPr>
          <w:sz w:val="24"/>
          <w:szCs w:val="24"/>
          <w:lang w:val="en-GB"/>
        </w:rPr>
      </w:pPr>
    </w:p>
    <w:p w14:paraId="4C10F987" w14:textId="77777777" w:rsidR="00035E75" w:rsidRPr="00035E75" w:rsidRDefault="00035E75" w:rsidP="00035E75">
      <w:pPr>
        <w:tabs>
          <w:tab w:val="left" w:pos="851"/>
        </w:tabs>
        <w:ind w:left="851"/>
        <w:rPr>
          <w:sz w:val="24"/>
          <w:szCs w:val="24"/>
          <w:lang w:val="en-GB"/>
        </w:rPr>
      </w:pPr>
      <w:r w:rsidRPr="00035E75">
        <w:rPr>
          <w:sz w:val="24"/>
          <w:szCs w:val="24"/>
          <w:lang w:val="en-GB"/>
        </w:rPr>
        <w:t>The total radioactivity in the syringe should be verified with a dose calibrator immediately before and after administration to the patient. The dose calibrator must be calibrated and comply with international standards. Instructions regarding the dilution of the gallium (</w:t>
      </w:r>
      <w:r w:rsidRPr="00035E75">
        <w:rPr>
          <w:sz w:val="24"/>
          <w:szCs w:val="24"/>
          <w:vertAlign w:val="superscript"/>
          <w:lang w:val="en-GB"/>
        </w:rPr>
        <w:t>68</w:t>
      </w:r>
      <w:r w:rsidRPr="00035E75">
        <w:rPr>
          <w:sz w:val="24"/>
          <w:szCs w:val="24"/>
          <w:lang w:val="en-GB"/>
        </w:rPr>
        <w:t>Ga) gozetotide solution should be followed (see section 12).</w:t>
      </w:r>
    </w:p>
    <w:p w14:paraId="42418F80" w14:textId="77777777" w:rsidR="00035E75" w:rsidRPr="00035E75" w:rsidRDefault="00035E75" w:rsidP="00035E75">
      <w:pPr>
        <w:tabs>
          <w:tab w:val="left" w:pos="851"/>
        </w:tabs>
        <w:ind w:left="851"/>
        <w:rPr>
          <w:sz w:val="24"/>
          <w:szCs w:val="24"/>
          <w:lang w:val="en-GB"/>
        </w:rPr>
      </w:pPr>
    </w:p>
    <w:p w14:paraId="682B0B12" w14:textId="77777777" w:rsidR="00035E75" w:rsidRPr="00035E75" w:rsidRDefault="00035E75" w:rsidP="00035E75">
      <w:pPr>
        <w:tabs>
          <w:tab w:val="left" w:pos="851"/>
        </w:tabs>
        <w:ind w:left="851"/>
        <w:rPr>
          <w:sz w:val="24"/>
          <w:szCs w:val="24"/>
          <w:lang w:val="en-GB"/>
        </w:rPr>
      </w:pPr>
      <w:r w:rsidRPr="00035E75">
        <w:rPr>
          <w:sz w:val="24"/>
          <w:szCs w:val="24"/>
          <w:lang w:val="en-GB"/>
        </w:rPr>
        <w:t>For instructions on reconstitution and radiolabelling of the medicinal product before administration, see section 12.</w:t>
      </w:r>
    </w:p>
    <w:p w14:paraId="5654AF1E" w14:textId="77777777" w:rsidR="00035E75" w:rsidRPr="00035E75" w:rsidRDefault="00035E75" w:rsidP="00035E75">
      <w:pPr>
        <w:tabs>
          <w:tab w:val="left" w:pos="851"/>
        </w:tabs>
        <w:ind w:left="851"/>
        <w:rPr>
          <w:sz w:val="24"/>
          <w:szCs w:val="24"/>
          <w:lang w:val="en-GB"/>
        </w:rPr>
      </w:pPr>
    </w:p>
    <w:p w14:paraId="09CEFC3A" w14:textId="77777777" w:rsidR="00035E75" w:rsidRPr="00035E75" w:rsidRDefault="00035E75" w:rsidP="00035E75">
      <w:pPr>
        <w:tabs>
          <w:tab w:val="left" w:pos="851"/>
        </w:tabs>
        <w:ind w:left="851"/>
        <w:rPr>
          <w:sz w:val="24"/>
          <w:szCs w:val="24"/>
          <w:lang w:val="en-GB"/>
        </w:rPr>
      </w:pPr>
      <w:r w:rsidRPr="00035E75">
        <w:rPr>
          <w:sz w:val="24"/>
          <w:szCs w:val="24"/>
          <w:lang w:val="en-GB"/>
        </w:rPr>
        <w:t>For patient preparation, see section 4.4.</w:t>
      </w:r>
    </w:p>
    <w:p w14:paraId="64AEE6E1" w14:textId="77777777" w:rsidR="00035E75" w:rsidRPr="00035E75" w:rsidRDefault="00035E75" w:rsidP="00035E75">
      <w:pPr>
        <w:tabs>
          <w:tab w:val="left" w:pos="851"/>
        </w:tabs>
        <w:ind w:left="851"/>
        <w:rPr>
          <w:sz w:val="24"/>
          <w:szCs w:val="24"/>
          <w:lang w:val="en-GB"/>
        </w:rPr>
      </w:pPr>
    </w:p>
    <w:p w14:paraId="24DC2D37" w14:textId="77777777" w:rsidR="00035E75" w:rsidRPr="00035E75" w:rsidRDefault="00035E75" w:rsidP="00035E75">
      <w:pPr>
        <w:tabs>
          <w:tab w:val="left" w:pos="851"/>
        </w:tabs>
        <w:ind w:left="851"/>
        <w:rPr>
          <w:i/>
          <w:iCs/>
          <w:sz w:val="24"/>
          <w:szCs w:val="24"/>
          <w:lang w:val="en-GB"/>
        </w:rPr>
      </w:pPr>
      <w:r w:rsidRPr="00035E75">
        <w:rPr>
          <w:i/>
          <w:iCs/>
          <w:sz w:val="24"/>
          <w:szCs w:val="24"/>
          <w:lang w:val="en-GB"/>
        </w:rPr>
        <w:t xml:space="preserve">Image acquisition </w:t>
      </w:r>
    </w:p>
    <w:p w14:paraId="2DBF6AE7" w14:textId="77777777" w:rsidR="00035E75" w:rsidRPr="00035E75" w:rsidRDefault="00035E75" w:rsidP="00035E75">
      <w:pPr>
        <w:tabs>
          <w:tab w:val="left" w:pos="851"/>
        </w:tabs>
        <w:ind w:left="851"/>
        <w:rPr>
          <w:sz w:val="24"/>
          <w:szCs w:val="24"/>
          <w:lang w:val="en-GB"/>
        </w:rPr>
      </w:pPr>
      <w:r w:rsidRPr="00035E75">
        <w:rPr>
          <w:sz w:val="24"/>
          <w:szCs w:val="24"/>
          <w:lang w:val="en-GB"/>
        </w:rPr>
        <w:t>Gallium (</w:t>
      </w:r>
      <w:r w:rsidRPr="00035E75">
        <w:rPr>
          <w:sz w:val="24"/>
          <w:szCs w:val="24"/>
          <w:vertAlign w:val="superscript"/>
          <w:lang w:val="en-GB"/>
        </w:rPr>
        <w:t>68</w:t>
      </w:r>
      <w:r w:rsidRPr="00035E75">
        <w:rPr>
          <w:sz w:val="24"/>
          <w:szCs w:val="24"/>
          <w:lang w:val="en-GB"/>
        </w:rPr>
        <w:t>Ga) gozetotide is suitable for PET medical imaging.</w:t>
      </w:r>
    </w:p>
    <w:p w14:paraId="2374E42E" w14:textId="77777777" w:rsidR="00035E75" w:rsidRPr="00035E75" w:rsidRDefault="00035E75" w:rsidP="00035E75">
      <w:pPr>
        <w:tabs>
          <w:tab w:val="left" w:pos="851"/>
        </w:tabs>
        <w:ind w:left="851"/>
        <w:rPr>
          <w:sz w:val="24"/>
          <w:szCs w:val="24"/>
          <w:lang w:val="en-GB"/>
        </w:rPr>
      </w:pPr>
    </w:p>
    <w:p w14:paraId="56627E65" w14:textId="77777777" w:rsidR="00035E75" w:rsidRPr="00035E75" w:rsidRDefault="00035E75" w:rsidP="00035E75">
      <w:pPr>
        <w:tabs>
          <w:tab w:val="left" w:pos="851"/>
        </w:tabs>
        <w:ind w:left="851"/>
        <w:rPr>
          <w:sz w:val="24"/>
          <w:szCs w:val="24"/>
          <w:lang w:val="en-GB"/>
        </w:rPr>
      </w:pPr>
      <w:r w:rsidRPr="00035E75">
        <w:rPr>
          <w:sz w:val="24"/>
          <w:szCs w:val="24"/>
          <w:lang w:val="en-GB"/>
        </w:rPr>
        <w:t>Patients should void immediately prior to image acquisition. The patient should be positioned supine with the arms above the head, as tolerated by the patient. A CT scan should be obtained for attenuation correction and anatomical correlation. The acquisition must include a whole-body acquisition from the base of the skull to mid-thigh.</w:t>
      </w:r>
    </w:p>
    <w:p w14:paraId="1B97BFB0" w14:textId="77777777" w:rsidR="00035E75" w:rsidRPr="00035E75" w:rsidRDefault="00035E75" w:rsidP="00035E75">
      <w:pPr>
        <w:tabs>
          <w:tab w:val="left" w:pos="851"/>
        </w:tabs>
        <w:ind w:left="851"/>
        <w:rPr>
          <w:sz w:val="24"/>
          <w:szCs w:val="24"/>
          <w:lang w:val="en-GB"/>
        </w:rPr>
      </w:pPr>
    </w:p>
    <w:p w14:paraId="27A171FF" w14:textId="77777777" w:rsidR="00035E75" w:rsidRPr="00035E75" w:rsidRDefault="00035E75" w:rsidP="00035E75">
      <w:pPr>
        <w:tabs>
          <w:tab w:val="left" w:pos="851"/>
        </w:tabs>
        <w:ind w:left="851"/>
        <w:rPr>
          <w:sz w:val="24"/>
          <w:szCs w:val="24"/>
          <w:lang w:val="en-GB"/>
        </w:rPr>
      </w:pPr>
      <w:r w:rsidRPr="00035E75">
        <w:rPr>
          <w:sz w:val="24"/>
          <w:szCs w:val="24"/>
          <w:lang w:val="en-GB"/>
        </w:rPr>
        <w:lastRenderedPageBreak/>
        <w:t>PET images should be acquired 50 to 100 (ideally 60) minutes after the intravenous administration of gallium (</w:t>
      </w:r>
      <w:r w:rsidRPr="00035E75">
        <w:rPr>
          <w:sz w:val="24"/>
          <w:szCs w:val="24"/>
          <w:vertAlign w:val="superscript"/>
          <w:lang w:val="en-GB"/>
        </w:rPr>
        <w:t>68</w:t>
      </w:r>
      <w:r w:rsidRPr="00035E75">
        <w:rPr>
          <w:sz w:val="24"/>
          <w:szCs w:val="24"/>
          <w:lang w:val="en-GB"/>
        </w:rPr>
        <w:t>Ga) gozetotide solution.</w:t>
      </w:r>
    </w:p>
    <w:p w14:paraId="779EF9CF" w14:textId="77777777" w:rsidR="00035E75" w:rsidRPr="00035E75" w:rsidRDefault="00035E75" w:rsidP="00035E75">
      <w:pPr>
        <w:tabs>
          <w:tab w:val="left" w:pos="851"/>
        </w:tabs>
        <w:ind w:left="851"/>
        <w:rPr>
          <w:sz w:val="24"/>
          <w:szCs w:val="24"/>
          <w:lang w:val="en-GB"/>
        </w:rPr>
      </w:pPr>
    </w:p>
    <w:p w14:paraId="28E2608E" w14:textId="77777777" w:rsidR="00035E75" w:rsidRPr="00035E75" w:rsidRDefault="00035E75" w:rsidP="00035E75">
      <w:pPr>
        <w:tabs>
          <w:tab w:val="left" w:pos="851"/>
        </w:tabs>
        <w:ind w:left="851"/>
        <w:rPr>
          <w:sz w:val="24"/>
          <w:szCs w:val="24"/>
          <w:lang w:val="en-GB"/>
        </w:rPr>
      </w:pPr>
      <w:r w:rsidRPr="00035E75">
        <w:rPr>
          <w:sz w:val="24"/>
          <w:szCs w:val="24"/>
          <w:lang w:val="en-GB"/>
        </w:rPr>
        <w:t>Imaging acquisition start time and duration should be adapted according to the equipment used, the patient, and the tumour characteristics in order to obtain the best image quality possible.</w:t>
      </w:r>
    </w:p>
    <w:p w14:paraId="2A70E49B" w14:textId="77777777" w:rsidR="00114971" w:rsidRPr="00035E75" w:rsidRDefault="00114971" w:rsidP="00114971">
      <w:pPr>
        <w:tabs>
          <w:tab w:val="left" w:pos="851"/>
        </w:tabs>
        <w:ind w:left="851"/>
        <w:rPr>
          <w:sz w:val="24"/>
          <w:szCs w:val="24"/>
          <w:lang w:val="en-GB"/>
        </w:rPr>
      </w:pPr>
    </w:p>
    <w:p w14:paraId="47FEDEC8" w14:textId="77777777" w:rsidR="00114971" w:rsidRPr="006943B5" w:rsidRDefault="00114971" w:rsidP="00114971">
      <w:pPr>
        <w:tabs>
          <w:tab w:val="left" w:pos="851"/>
        </w:tabs>
        <w:ind w:left="851" w:hanging="851"/>
        <w:rPr>
          <w:b/>
          <w:sz w:val="24"/>
          <w:szCs w:val="24"/>
          <w:lang w:val="en-US"/>
        </w:rPr>
      </w:pPr>
      <w:r w:rsidRPr="000F0D47">
        <w:rPr>
          <w:b/>
          <w:sz w:val="24"/>
          <w:szCs w:val="24"/>
          <w:lang w:val="en-US"/>
        </w:rPr>
        <w:t>4.3</w:t>
      </w:r>
      <w:r w:rsidRPr="000F0D47">
        <w:rPr>
          <w:b/>
          <w:sz w:val="24"/>
          <w:szCs w:val="24"/>
          <w:lang w:val="en-US"/>
        </w:rPr>
        <w:tab/>
        <w:t>Contraindic</w:t>
      </w:r>
      <w:r w:rsidRPr="006943B5">
        <w:rPr>
          <w:b/>
          <w:sz w:val="24"/>
          <w:szCs w:val="24"/>
          <w:lang w:val="en-US"/>
        </w:rPr>
        <w:t>ations</w:t>
      </w:r>
    </w:p>
    <w:p w14:paraId="4674C94A" w14:textId="77777777" w:rsidR="006943B5" w:rsidRPr="006943B5" w:rsidRDefault="006943B5" w:rsidP="006943B5">
      <w:pPr>
        <w:tabs>
          <w:tab w:val="left" w:pos="851"/>
        </w:tabs>
        <w:ind w:left="851"/>
        <w:rPr>
          <w:sz w:val="24"/>
          <w:szCs w:val="24"/>
          <w:lang w:val="en-GB"/>
        </w:rPr>
      </w:pPr>
      <w:r w:rsidRPr="006943B5">
        <w:rPr>
          <w:sz w:val="24"/>
          <w:szCs w:val="24"/>
          <w:lang w:val="en-GB"/>
        </w:rPr>
        <w:t>Hypersensitivity to the active substance, to any of the excipients listed in section 6.1 or to any of the components of the labelled radiopharmaceutical.</w:t>
      </w:r>
    </w:p>
    <w:p w14:paraId="28552C61" w14:textId="77777777" w:rsidR="00114971" w:rsidRPr="006943B5" w:rsidRDefault="00114971" w:rsidP="00114971">
      <w:pPr>
        <w:tabs>
          <w:tab w:val="left" w:pos="851"/>
        </w:tabs>
        <w:ind w:left="851"/>
        <w:rPr>
          <w:sz w:val="24"/>
          <w:szCs w:val="24"/>
          <w:lang w:val="en-GB"/>
        </w:rPr>
      </w:pPr>
    </w:p>
    <w:p w14:paraId="66944AFF" w14:textId="77777777" w:rsidR="00114971" w:rsidRPr="000C3846" w:rsidRDefault="00114971" w:rsidP="00114971">
      <w:pPr>
        <w:tabs>
          <w:tab w:val="left" w:pos="851"/>
        </w:tabs>
        <w:rPr>
          <w:b/>
          <w:sz w:val="24"/>
          <w:szCs w:val="24"/>
          <w:lang w:val="en-GB"/>
        </w:rPr>
      </w:pPr>
      <w:r w:rsidRPr="000C3846">
        <w:rPr>
          <w:b/>
          <w:sz w:val="24"/>
          <w:szCs w:val="24"/>
          <w:lang w:val="en-GB"/>
        </w:rPr>
        <w:t>4.4</w:t>
      </w:r>
      <w:r w:rsidRPr="000C3846">
        <w:rPr>
          <w:b/>
          <w:sz w:val="24"/>
          <w:szCs w:val="24"/>
          <w:lang w:val="en-GB"/>
        </w:rPr>
        <w:tab/>
        <w:t>Special warnings and precautions for use</w:t>
      </w:r>
    </w:p>
    <w:p w14:paraId="38637492" w14:textId="77777777" w:rsidR="006943B5" w:rsidRDefault="006943B5" w:rsidP="006943B5">
      <w:pPr>
        <w:tabs>
          <w:tab w:val="left" w:pos="851"/>
        </w:tabs>
        <w:ind w:left="851"/>
        <w:rPr>
          <w:sz w:val="24"/>
          <w:szCs w:val="24"/>
          <w:u w:val="single"/>
          <w:lang w:val="en-GB"/>
        </w:rPr>
      </w:pPr>
    </w:p>
    <w:p w14:paraId="505E4F8C" w14:textId="601FA0AA" w:rsidR="006943B5" w:rsidRPr="006943B5" w:rsidRDefault="006943B5" w:rsidP="006943B5">
      <w:pPr>
        <w:tabs>
          <w:tab w:val="left" w:pos="851"/>
        </w:tabs>
        <w:ind w:left="851"/>
        <w:rPr>
          <w:sz w:val="24"/>
          <w:szCs w:val="24"/>
          <w:u w:val="single"/>
          <w:lang w:val="en-GB"/>
        </w:rPr>
      </w:pPr>
      <w:r w:rsidRPr="006943B5">
        <w:rPr>
          <w:sz w:val="24"/>
          <w:szCs w:val="24"/>
          <w:u w:val="single"/>
          <w:lang w:val="en-GB"/>
        </w:rPr>
        <w:t>Potential for hypersensitivity or anaphylactic reactions</w:t>
      </w:r>
    </w:p>
    <w:p w14:paraId="27908C78" w14:textId="77777777" w:rsidR="006943B5" w:rsidRPr="006943B5" w:rsidRDefault="006943B5" w:rsidP="006943B5">
      <w:pPr>
        <w:tabs>
          <w:tab w:val="left" w:pos="851"/>
        </w:tabs>
        <w:ind w:left="851"/>
        <w:rPr>
          <w:sz w:val="24"/>
          <w:szCs w:val="24"/>
          <w:lang w:val="en-GB"/>
        </w:rPr>
      </w:pPr>
      <w:r w:rsidRPr="006943B5">
        <w:rPr>
          <w:sz w:val="24"/>
          <w:szCs w:val="24"/>
          <w:lang w:val="en-GB"/>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14:paraId="6F6996AE" w14:textId="77777777" w:rsidR="006943B5" w:rsidRPr="006943B5" w:rsidRDefault="006943B5" w:rsidP="006943B5">
      <w:pPr>
        <w:tabs>
          <w:tab w:val="left" w:pos="851"/>
        </w:tabs>
        <w:ind w:left="851"/>
        <w:rPr>
          <w:sz w:val="24"/>
          <w:szCs w:val="24"/>
          <w:u w:val="single"/>
          <w:lang w:val="en-GB"/>
        </w:rPr>
      </w:pPr>
    </w:p>
    <w:p w14:paraId="40C68F2A" w14:textId="77777777" w:rsidR="006943B5" w:rsidRPr="006943B5" w:rsidRDefault="006943B5" w:rsidP="006943B5">
      <w:pPr>
        <w:tabs>
          <w:tab w:val="left" w:pos="851"/>
        </w:tabs>
        <w:ind w:left="851"/>
        <w:rPr>
          <w:sz w:val="24"/>
          <w:szCs w:val="24"/>
          <w:lang w:val="en-GB"/>
        </w:rPr>
      </w:pPr>
      <w:r w:rsidRPr="006943B5">
        <w:rPr>
          <w:sz w:val="24"/>
          <w:szCs w:val="24"/>
          <w:u w:val="single"/>
          <w:lang w:val="en-GB"/>
        </w:rPr>
        <w:t>Individual benefit/risk justification</w:t>
      </w:r>
    </w:p>
    <w:p w14:paraId="6EF07240" w14:textId="77777777" w:rsidR="006943B5" w:rsidRPr="006943B5" w:rsidRDefault="006943B5" w:rsidP="006943B5">
      <w:pPr>
        <w:tabs>
          <w:tab w:val="left" w:pos="851"/>
        </w:tabs>
        <w:ind w:left="851"/>
        <w:rPr>
          <w:sz w:val="24"/>
          <w:szCs w:val="24"/>
          <w:lang w:val="en-GB"/>
        </w:rPr>
      </w:pPr>
      <w:r w:rsidRPr="006943B5">
        <w:rPr>
          <w:sz w:val="24"/>
          <w:szCs w:val="24"/>
          <w:lang w:val="en-GB"/>
        </w:rPr>
        <w:t>For each patient, the radiation exposure must be justifiable by the likely benefit. The activity administered should in every case be as low as reasonably achievable to obtain the required diagnostic information.</w:t>
      </w:r>
    </w:p>
    <w:p w14:paraId="195BE67B" w14:textId="77777777" w:rsidR="006943B5" w:rsidRPr="006943B5" w:rsidRDefault="006943B5" w:rsidP="006943B5">
      <w:pPr>
        <w:tabs>
          <w:tab w:val="left" w:pos="851"/>
        </w:tabs>
        <w:ind w:left="851"/>
        <w:rPr>
          <w:sz w:val="24"/>
          <w:szCs w:val="24"/>
          <w:lang w:val="en-GB"/>
        </w:rPr>
      </w:pPr>
    </w:p>
    <w:p w14:paraId="75A5BF71" w14:textId="77777777" w:rsidR="006943B5" w:rsidRPr="006943B5" w:rsidRDefault="006943B5" w:rsidP="006943B5">
      <w:pPr>
        <w:tabs>
          <w:tab w:val="left" w:pos="851"/>
        </w:tabs>
        <w:ind w:left="851"/>
        <w:rPr>
          <w:sz w:val="24"/>
          <w:szCs w:val="24"/>
          <w:lang w:val="en-GB"/>
        </w:rPr>
      </w:pPr>
      <w:r w:rsidRPr="006943B5">
        <w:rPr>
          <w:sz w:val="24"/>
          <w:szCs w:val="24"/>
          <w:lang w:val="en-GB"/>
        </w:rPr>
        <w:t>To date no outcome data exist to inform subsequent management of patients with high risk disease when PSMA PET/CT is utilised for primary staging.</w:t>
      </w:r>
    </w:p>
    <w:p w14:paraId="72AE4C2E" w14:textId="77777777" w:rsidR="006943B5" w:rsidRPr="006943B5" w:rsidRDefault="006943B5" w:rsidP="006943B5">
      <w:pPr>
        <w:tabs>
          <w:tab w:val="left" w:pos="851"/>
        </w:tabs>
        <w:ind w:left="851"/>
        <w:rPr>
          <w:sz w:val="24"/>
          <w:szCs w:val="24"/>
          <w:lang w:val="en-GB"/>
        </w:rPr>
      </w:pPr>
    </w:p>
    <w:p w14:paraId="23AD83EA" w14:textId="77777777" w:rsidR="006943B5" w:rsidRPr="006943B5" w:rsidRDefault="006943B5" w:rsidP="006943B5">
      <w:pPr>
        <w:tabs>
          <w:tab w:val="left" w:pos="851"/>
        </w:tabs>
        <w:ind w:left="851"/>
        <w:rPr>
          <w:sz w:val="24"/>
          <w:szCs w:val="24"/>
          <w:u w:val="single"/>
          <w:lang w:val="en-GB"/>
        </w:rPr>
      </w:pPr>
      <w:r w:rsidRPr="006943B5">
        <w:rPr>
          <w:sz w:val="24"/>
          <w:szCs w:val="24"/>
          <w:u w:val="single"/>
          <w:lang w:val="en-GB"/>
        </w:rPr>
        <w:t>Radiation risk</w:t>
      </w:r>
    </w:p>
    <w:p w14:paraId="6CD4F218" w14:textId="77777777" w:rsidR="006943B5" w:rsidRPr="006943B5" w:rsidRDefault="006943B5" w:rsidP="006943B5">
      <w:pPr>
        <w:tabs>
          <w:tab w:val="left" w:pos="851"/>
        </w:tabs>
        <w:ind w:left="851"/>
        <w:rPr>
          <w:sz w:val="24"/>
          <w:szCs w:val="24"/>
          <w:lang w:val="en-GB"/>
        </w:rPr>
      </w:pPr>
      <w:r w:rsidRPr="006943B5">
        <w:rPr>
          <w:sz w:val="24"/>
          <w:szCs w:val="24"/>
          <w:lang w:val="en-GB"/>
        </w:rPr>
        <w:t>Gallium (</w:t>
      </w:r>
      <w:r w:rsidRPr="006943B5">
        <w:rPr>
          <w:sz w:val="24"/>
          <w:szCs w:val="24"/>
          <w:vertAlign w:val="superscript"/>
          <w:lang w:val="en-GB"/>
        </w:rPr>
        <w:t>68</w:t>
      </w:r>
      <w:r w:rsidRPr="006943B5">
        <w:rPr>
          <w:sz w:val="24"/>
          <w:szCs w:val="24"/>
          <w:lang w:val="en-GB"/>
        </w:rPr>
        <w:t>Ga) gozetotide contributes to the patient’s overall long term cumulative radiation exposure, which is associated with an increased risk of cancer. Safe handling, reconstitution and radiolabelling procedures should be ensured to protect patients and healthcare professionals from unintentional radiation exposure (see sections 6.6 and 12).</w:t>
      </w:r>
    </w:p>
    <w:p w14:paraId="4058822C" w14:textId="77777777" w:rsidR="006943B5" w:rsidRPr="006943B5" w:rsidRDefault="006943B5" w:rsidP="006943B5">
      <w:pPr>
        <w:tabs>
          <w:tab w:val="left" w:pos="851"/>
        </w:tabs>
        <w:ind w:left="851"/>
        <w:rPr>
          <w:sz w:val="24"/>
          <w:szCs w:val="24"/>
          <w:lang w:val="en-GB"/>
        </w:rPr>
      </w:pPr>
    </w:p>
    <w:p w14:paraId="1E86AAC7" w14:textId="77777777" w:rsidR="006943B5" w:rsidRPr="006943B5" w:rsidRDefault="006943B5" w:rsidP="006943B5">
      <w:pPr>
        <w:tabs>
          <w:tab w:val="left" w:pos="851"/>
        </w:tabs>
        <w:ind w:left="851"/>
        <w:rPr>
          <w:sz w:val="24"/>
          <w:szCs w:val="24"/>
          <w:u w:val="single"/>
          <w:lang w:val="en-GB"/>
        </w:rPr>
      </w:pPr>
      <w:r w:rsidRPr="006943B5">
        <w:rPr>
          <w:sz w:val="24"/>
          <w:szCs w:val="24"/>
          <w:u w:val="single"/>
          <w:lang w:val="en-GB"/>
        </w:rPr>
        <w:t xml:space="preserve">Renal impairment </w:t>
      </w:r>
    </w:p>
    <w:p w14:paraId="03FF7214" w14:textId="77777777" w:rsidR="006943B5" w:rsidRPr="006943B5" w:rsidRDefault="006943B5" w:rsidP="006943B5">
      <w:pPr>
        <w:tabs>
          <w:tab w:val="left" w:pos="851"/>
        </w:tabs>
        <w:ind w:left="851"/>
        <w:rPr>
          <w:sz w:val="24"/>
          <w:szCs w:val="24"/>
          <w:lang w:val="en-GB"/>
        </w:rPr>
      </w:pPr>
      <w:r w:rsidRPr="006943B5">
        <w:rPr>
          <w:sz w:val="24"/>
          <w:szCs w:val="24"/>
          <w:lang w:val="en-GB"/>
        </w:rPr>
        <w:t>The safety and efficacy of gallium (</w:t>
      </w:r>
      <w:r w:rsidRPr="006943B5">
        <w:rPr>
          <w:sz w:val="24"/>
          <w:szCs w:val="24"/>
          <w:vertAlign w:val="superscript"/>
          <w:lang w:val="en-GB"/>
        </w:rPr>
        <w:t>68</w:t>
      </w:r>
      <w:r w:rsidRPr="006943B5">
        <w:rPr>
          <w:sz w:val="24"/>
          <w:szCs w:val="24"/>
          <w:lang w:val="en-GB"/>
        </w:rPr>
        <w:t>Ga) gozetotide have not been studied in patients with renal impairment. Careful consideration of the activity to be administered is required since an increased radiation exposure is possible in these patients.</w:t>
      </w:r>
    </w:p>
    <w:p w14:paraId="79C80BE1" w14:textId="77777777" w:rsidR="006943B5" w:rsidRPr="006943B5" w:rsidRDefault="006943B5" w:rsidP="006943B5">
      <w:pPr>
        <w:tabs>
          <w:tab w:val="left" w:pos="851"/>
        </w:tabs>
        <w:ind w:left="851"/>
        <w:rPr>
          <w:sz w:val="24"/>
          <w:szCs w:val="24"/>
          <w:lang w:val="en-GB"/>
        </w:rPr>
      </w:pPr>
    </w:p>
    <w:p w14:paraId="0A7CB3CC" w14:textId="77777777" w:rsidR="006943B5" w:rsidRPr="006943B5" w:rsidRDefault="006943B5" w:rsidP="006943B5">
      <w:pPr>
        <w:tabs>
          <w:tab w:val="left" w:pos="851"/>
        </w:tabs>
        <w:ind w:left="851"/>
        <w:rPr>
          <w:sz w:val="24"/>
          <w:szCs w:val="24"/>
          <w:lang w:val="en-GB"/>
        </w:rPr>
      </w:pPr>
      <w:r w:rsidRPr="006943B5">
        <w:rPr>
          <w:sz w:val="24"/>
          <w:szCs w:val="24"/>
          <w:u w:val="single"/>
          <w:lang w:val="en-GB"/>
        </w:rPr>
        <w:t>Hepatic impairmen</w:t>
      </w:r>
      <w:r w:rsidRPr="006943B5">
        <w:rPr>
          <w:sz w:val="24"/>
          <w:szCs w:val="24"/>
          <w:lang w:val="en-GB"/>
        </w:rPr>
        <w:t>t</w:t>
      </w:r>
    </w:p>
    <w:p w14:paraId="40149D8F" w14:textId="5A7BE492" w:rsidR="006943B5" w:rsidRPr="006943B5" w:rsidRDefault="006943B5" w:rsidP="006943B5">
      <w:pPr>
        <w:tabs>
          <w:tab w:val="left" w:pos="851"/>
        </w:tabs>
        <w:ind w:left="851"/>
        <w:rPr>
          <w:sz w:val="24"/>
          <w:szCs w:val="24"/>
          <w:lang w:val="en-GB"/>
        </w:rPr>
      </w:pPr>
      <w:r w:rsidRPr="006943B5">
        <w:rPr>
          <w:sz w:val="24"/>
          <w:szCs w:val="24"/>
          <w:lang w:val="en-GB"/>
        </w:rPr>
        <w:t xml:space="preserve"> The safety and efficacy of gallium (</w:t>
      </w:r>
      <w:r w:rsidRPr="006943B5">
        <w:rPr>
          <w:sz w:val="24"/>
          <w:szCs w:val="24"/>
          <w:vertAlign w:val="superscript"/>
          <w:lang w:val="en-GB"/>
        </w:rPr>
        <w:t>68</w:t>
      </w:r>
      <w:r w:rsidRPr="006943B5">
        <w:rPr>
          <w:sz w:val="24"/>
          <w:szCs w:val="24"/>
          <w:lang w:val="en-GB"/>
        </w:rPr>
        <w:t>Ga) gozetotide have not been studied in patients with hepatic impairment.</w:t>
      </w:r>
    </w:p>
    <w:p w14:paraId="71ED57AE" w14:textId="77777777" w:rsidR="006943B5" w:rsidRPr="006943B5" w:rsidRDefault="006943B5" w:rsidP="006943B5">
      <w:pPr>
        <w:tabs>
          <w:tab w:val="left" w:pos="851"/>
        </w:tabs>
        <w:ind w:left="851"/>
        <w:rPr>
          <w:sz w:val="24"/>
          <w:szCs w:val="24"/>
          <w:lang w:val="en-GB"/>
        </w:rPr>
      </w:pPr>
    </w:p>
    <w:p w14:paraId="39499B28" w14:textId="77777777" w:rsidR="006943B5" w:rsidRPr="006943B5" w:rsidRDefault="006943B5" w:rsidP="006943B5">
      <w:pPr>
        <w:tabs>
          <w:tab w:val="left" w:pos="851"/>
        </w:tabs>
        <w:ind w:left="851"/>
        <w:rPr>
          <w:sz w:val="24"/>
          <w:szCs w:val="24"/>
          <w:u w:val="single"/>
          <w:lang w:val="en-GB"/>
        </w:rPr>
      </w:pPr>
      <w:r w:rsidRPr="006943B5">
        <w:rPr>
          <w:sz w:val="24"/>
          <w:szCs w:val="24"/>
          <w:u w:val="single"/>
          <w:lang w:val="en-GB"/>
        </w:rPr>
        <w:t>Patient preparation</w:t>
      </w:r>
    </w:p>
    <w:p w14:paraId="34DE31F1" w14:textId="77777777" w:rsidR="006943B5" w:rsidRPr="006943B5" w:rsidRDefault="006943B5" w:rsidP="006943B5">
      <w:pPr>
        <w:tabs>
          <w:tab w:val="left" w:pos="851"/>
        </w:tabs>
        <w:ind w:left="851"/>
        <w:rPr>
          <w:sz w:val="24"/>
          <w:szCs w:val="24"/>
          <w:lang w:val="en-GB"/>
        </w:rPr>
      </w:pPr>
      <w:r w:rsidRPr="006943B5">
        <w:rPr>
          <w:sz w:val="24"/>
          <w:szCs w:val="24"/>
          <w:lang w:val="en-GB"/>
        </w:rPr>
        <w:t>There is no need for fasting. Patients are allowed to take all their medications. PSMA-expression may be increased by androgen-deprivation therapy, but the clinical significance is unclear. The patient should be well-hydrated before the start of the examination and urged to void just prior to the image acquisition. The patient should be urged to void as often as possible during the first hours after the examination in order to reduce radiation.</w:t>
      </w:r>
    </w:p>
    <w:p w14:paraId="4B2EC357" w14:textId="77777777" w:rsidR="006943B5" w:rsidRPr="006943B5" w:rsidRDefault="006943B5" w:rsidP="006943B5">
      <w:pPr>
        <w:tabs>
          <w:tab w:val="left" w:pos="851"/>
        </w:tabs>
        <w:ind w:left="851"/>
        <w:rPr>
          <w:sz w:val="24"/>
          <w:szCs w:val="24"/>
          <w:lang w:val="en-GB"/>
        </w:rPr>
      </w:pPr>
    </w:p>
    <w:p w14:paraId="5C08C3CF" w14:textId="77777777" w:rsidR="006943B5" w:rsidRPr="006943B5" w:rsidRDefault="006943B5" w:rsidP="006943B5">
      <w:pPr>
        <w:tabs>
          <w:tab w:val="left" w:pos="851"/>
        </w:tabs>
        <w:ind w:left="851"/>
        <w:rPr>
          <w:sz w:val="24"/>
          <w:szCs w:val="24"/>
          <w:lang w:val="en-GB"/>
        </w:rPr>
      </w:pPr>
      <w:r w:rsidRPr="006943B5">
        <w:rPr>
          <w:sz w:val="24"/>
          <w:szCs w:val="24"/>
          <w:lang w:val="en-GB"/>
        </w:rPr>
        <w:t>Concomitant administration of loop diuretics can lower the activity of gallium (</w:t>
      </w:r>
      <w:r w:rsidRPr="006943B5">
        <w:rPr>
          <w:sz w:val="24"/>
          <w:szCs w:val="24"/>
          <w:vertAlign w:val="superscript"/>
          <w:lang w:val="en-GB"/>
        </w:rPr>
        <w:t>68</w:t>
      </w:r>
      <w:r w:rsidRPr="006943B5">
        <w:rPr>
          <w:sz w:val="24"/>
          <w:szCs w:val="24"/>
          <w:lang w:val="en-GB"/>
        </w:rPr>
        <w:t>Ga) gozetotide in the bladder and ureter and decrease peri-bladder artefacts.</w:t>
      </w:r>
    </w:p>
    <w:p w14:paraId="574CC8EB" w14:textId="77777777" w:rsidR="006943B5" w:rsidRPr="006943B5" w:rsidRDefault="006943B5" w:rsidP="006943B5">
      <w:pPr>
        <w:tabs>
          <w:tab w:val="left" w:pos="851"/>
        </w:tabs>
        <w:ind w:left="851"/>
        <w:rPr>
          <w:sz w:val="24"/>
          <w:szCs w:val="24"/>
          <w:lang w:val="en-GB"/>
        </w:rPr>
      </w:pPr>
    </w:p>
    <w:p w14:paraId="37C4CEB7" w14:textId="77777777" w:rsidR="006943B5" w:rsidRPr="006943B5" w:rsidRDefault="006943B5" w:rsidP="006943B5">
      <w:pPr>
        <w:tabs>
          <w:tab w:val="left" w:pos="851"/>
        </w:tabs>
        <w:ind w:left="851"/>
        <w:rPr>
          <w:sz w:val="24"/>
          <w:szCs w:val="24"/>
          <w:u w:val="single"/>
          <w:lang w:val="en-GB"/>
        </w:rPr>
      </w:pPr>
      <w:r w:rsidRPr="006943B5">
        <w:rPr>
          <w:sz w:val="24"/>
          <w:szCs w:val="24"/>
          <w:u w:val="single"/>
          <w:lang w:val="en-GB"/>
        </w:rPr>
        <w:t>Interpretation of gallium (</w:t>
      </w:r>
      <w:r w:rsidRPr="006943B5">
        <w:rPr>
          <w:sz w:val="24"/>
          <w:szCs w:val="24"/>
          <w:u w:val="single"/>
          <w:vertAlign w:val="superscript"/>
          <w:lang w:val="en-GB"/>
        </w:rPr>
        <w:t>68</w:t>
      </w:r>
      <w:r w:rsidRPr="006943B5">
        <w:rPr>
          <w:sz w:val="24"/>
          <w:szCs w:val="24"/>
          <w:u w:val="single"/>
          <w:lang w:val="en-GB"/>
        </w:rPr>
        <w:t>Ga) gozetotide images</w:t>
      </w:r>
    </w:p>
    <w:p w14:paraId="3A418CE5" w14:textId="77777777" w:rsidR="006943B5" w:rsidRPr="006943B5" w:rsidRDefault="006943B5" w:rsidP="006943B5">
      <w:pPr>
        <w:tabs>
          <w:tab w:val="left" w:pos="851"/>
        </w:tabs>
        <w:ind w:left="851"/>
        <w:rPr>
          <w:sz w:val="24"/>
          <w:szCs w:val="24"/>
          <w:lang w:val="en-GB"/>
        </w:rPr>
      </w:pPr>
      <w:r w:rsidRPr="006943B5">
        <w:rPr>
          <w:sz w:val="24"/>
          <w:szCs w:val="24"/>
          <w:lang w:val="en-US"/>
        </w:rPr>
        <w:t>PSMA can be expressed in various cancerous and non</w:t>
      </w:r>
      <w:r w:rsidRPr="006943B5">
        <w:rPr>
          <w:sz w:val="24"/>
          <w:szCs w:val="24"/>
          <w:lang w:val="en-US"/>
        </w:rPr>
        <w:noBreakHyphen/>
        <w:t xml:space="preserve">cancerous tissues with a variable intensity. </w:t>
      </w:r>
      <w:r w:rsidRPr="006943B5">
        <w:rPr>
          <w:sz w:val="24"/>
          <w:szCs w:val="24"/>
          <w:lang w:val="en-GB"/>
        </w:rPr>
        <w:t>Gallium (</w:t>
      </w:r>
      <w:r w:rsidRPr="006943B5">
        <w:rPr>
          <w:sz w:val="24"/>
          <w:szCs w:val="24"/>
          <w:vertAlign w:val="superscript"/>
          <w:lang w:val="en-GB"/>
        </w:rPr>
        <w:t>68</w:t>
      </w:r>
      <w:r w:rsidRPr="006943B5">
        <w:rPr>
          <w:sz w:val="24"/>
          <w:szCs w:val="24"/>
          <w:lang w:val="en-GB"/>
        </w:rPr>
        <w:t>Ga) gozetotide uptake is not specific to prostate cancer and may occur in normal tissues, most notably the kidneys, lacrimal glands, salivary glands, urinary bladder wall, liver as well as in sympathetic ganglia. Furthermore, gallium (</w:t>
      </w:r>
      <w:r w:rsidRPr="006943B5">
        <w:rPr>
          <w:sz w:val="24"/>
          <w:szCs w:val="24"/>
          <w:vertAlign w:val="superscript"/>
          <w:lang w:val="en-GB"/>
        </w:rPr>
        <w:t>68</w:t>
      </w:r>
      <w:r w:rsidRPr="006943B5">
        <w:rPr>
          <w:sz w:val="24"/>
          <w:szCs w:val="24"/>
          <w:lang w:val="en-GB"/>
        </w:rPr>
        <w:t xml:space="preserve">Ga) gozetotide uptake may occur in other types of cancers and non-malignant processes, potentially leading to false positive findings. </w:t>
      </w:r>
      <w:r w:rsidRPr="006943B5">
        <w:rPr>
          <w:sz w:val="24"/>
          <w:szCs w:val="24"/>
          <w:lang w:val="en-US"/>
        </w:rPr>
        <w:t>False positive findings with gallium (</w:t>
      </w:r>
      <w:r w:rsidRPr="006943B5">
        <w:rPr>
          <w:sz w:val="24"/>
          <w:szCs w:val="24"/>
          <w:vertAlign w:val="superscript"/>
          <w:lang w:val="en-US"/>
        </w:rPr>
        <w:t>68</w:t>
      </w:r>
      <w:r w:rsidRPr="006943B5">
        <w:rPr>
          <w:sz w:val="24"/>
          <w:szCs w:val="24"/>
          <w:lang w:val="en-US"/>
        </w:rPr>
        <w:t xml:space="preserve">Ga) gozetotide </w:t>
      </w:r>
      <w:r w:rsidRPr="006943B5">
        <w:rPr>
          <w:sz w:val="24"/>
          <w:szCs w:val="24"/>
          <w:lang w:val="en-GB"/>
        </w:rPr>
        <w:t>were described in the following cases:</w:t>
      </w:r>
    </w:p>
    <w:p w14:paraId="7FC6F3D8" w14:textId="77777777" w:rsidR="006943B5" w:rsidRPr="006943B5" w:rsidRDefault="006943B5" w:rsidP="006943B5">
      <w:pPr>
        <w:numPr>
          <w:ilvl w:val="0"/>
          <w:numId w:val="6"/>
        </w:numPr>
        <w:tabs>
          <w:tab w:val="left" w:pos="851"/>
        </w:tabs>
        <w:ind w:left="1134" w:hanging="283"/>
        <w:rPr>
          <w:sz w:val="24"/>
          <w:szCs w:val="24"/>
          <w:lang w:val="en-GB"/>
        </w:rPr>
      </w:pPr>
      <w:r w:rsidRPr="006943B5">
        <w:rPr>
          <w:sz w:val="24"/>
          <w:szCs w:val="24"/>
          <w:lang w:val="en-GB"/>
        </w:rPr>
        <w:t>Inflammatory processes, such as tuberculosis, diverticulosis and post-surgical inflammatory processes, including inflammatory PSMA uptake in the prostatic bed and prostatic urethra after recent (&lt;2 months) radical prostatectomy (RP),</w:t>
      </w:r>
    </w:p>
    <w:p w14:paraId="0E85B0B0" w14:textId="77777777" w:rsidR="006943B5" w:rsidRPr="006943B5" w:rsidRDefault="006943B5" w:rsidP="006943B5">
      <w:pPr>
        <w:numPr>
          <w:ilvl w:val="0"/>
          <w:numId w:val="6"/>
        </w:numPr>
        <w:tabs>
          <w:tab w:val="left" w:pos="851"/>
        </w:tabs>
        <w:ind w:left="1134" w:hanging="283"/>
        <w:rPr>
          <w:sz w:val="24"/>
          <w:szCs w:val="24"/>
          <w:lang w:val="en-GB"/>
        </w:rPr>
      </w:pPr>
      <w:r w:rsidRPr="006943B5">
        <w:rPr>
          <w:sz w:val="24"/>
          <w:szCs w:val="24"/>
          <w:lang w:val="en-GB"/>
        </w:rPr>
        <w:t>Bone conditions, such as osteomyelitis, fractures, Paget’s disease, fibrous dysplasia, hemangioma, and others,</w:t>
      </w:r>
    </w:p>
    <w:p w14:paraId="39D8164C" w14:textId="77777777" w:rsidR="006943B5" w:rsidRPr="006943B5" w:rsidRDefault="006943B5" w:rsidP="006943B5">
      <w:pPr>
        <w:numPr>
          <w:ilvl w:val="0"/>
          <w:numId w:val="7"/>
        </w:numPr>
        <w:tabs>
          <w:tab w:val="left" w:pos="851"/>
        </w:tabs>
        <w:ind w:left="1134" w:hanging="283"/>
        <w:rPr>
          <w:sz w:val="24"/>
          <w:szCs w:val="24"/>
          <w:lang w:val="en-GB"/>
        </w:rPr>
      </w:pPr>
      <w:r w:rsidRPr="006943B5">
        <w:rPr>
          <w:sz w:val="24"/>
          <w:szCs w:val="24"/>
          <w:lang w:val="en-GB"/>
        </w:rPr>
        <w:t>Benign neoplasms, for example meningiomas, nerve sheath tumours, thyroid and parathyroid adenomas, thymomas, adrenal adenomas, dermatofibromas and others,</w:t>
      </w:r>
    </w:p>
    <w:p w14:paraId="31DC2A97" w14:textId="77777777" w:rsidR="006943B5" w:rsidRPr="006943B5" w:rsidRDefault="006943B5" w:rsidP="006943B5">
      <w:pPr>
        <w:numPr>
          <w:ilvl w:val="0"/>
          <w:numId w:val="7"/>
        </w:numPr>
        <w:tabs>
          <w:tab w:val="left" w:pos="851"/>
        </w:tabs>
        <w:ind w:left="1134" w:hanging="283"/>
        <w:rPr>
          <w:sz w:val="24"/>
          <w:szCs w:val="24"/>
          <w:lang w:val="en-GB"/>
        </w:rPr>
      </w:pPr>
      <w:r w:rsidRPr="006943B5">
        <w:rPr>
          <w:sz w:val="24"/>
          <w:szCs w:val="24"/>
          <w:lang w:val="en-GB"/>
        </w:rPr>
        <w:t>Other malignant neoplasms, such as tumours of the central nervous system, i.e., gliomas, thyroid cancer, breast, lung, lymphoma, neuroendocrine tumours, colorectal tumours, primary bone tumours, and many others.</w:t>
      </w:r>
    </w:p>
    <w:p w14:paraId="665AB98C" w14:textId="77777777" w:rsidR="006943B5" w:rsidRPr="006943B5" w:rsidRDefault="006943B5" w:rsidP="006943B5">
      <w:pPr>
        <w:tabs>
          <w:tab w:val="left" w:pos="851"/>
        </w:tabs>
        <w:ind w:left="851"/>
        <w:rPr>
          <w:sz w:val="24"/>
          <w:szCs w:val="24"/>
          <w:lang w:val="en-GB"/>
        </w:rPr>
      </w:pPr>
    </w:p>
    <w:p w14:paraId="418D0FC5" w14:textId="77777777" w:rsidR="006943B5" w:rsidRPr="006943B5" w:rsidRDefault="006943B5" w:rsidP="006943B5">
      <w:pPr>
        <w:tabs>
          <w:tab w:val="left" w:pos="851"/>
        </w:tabs>
        <w:ind w:left="851"/>
        <w:rPr>
          <w:sz w:val="24"/>
          <w:szCs w:val="24"/>
          <w:lang w:val="en-GB"/>
        </w:rPr>
      </w:pPr>
      <w:r w:rsidRPr="006943B5">
        <w:rPr>
          <w:sz w:val="24"/>
          <w:szCs w:val="24"/>
          <w:lang w:val="en-GB"/>
        </w:rPr>
        <w:t>False negative results can occur in prostate cancer, not expressing PSMA receptors at a sufficient level to be detected. This is described in approximately 3-10% of cases.</w:t>
      </w:r>
    </w:p>
    <w:p w14:paraId="5BA2BF39" w14:textId="77777777" w:rsidR="006943B5" w:rsidRPr="006943B5" w:rsidRDefault="006943B5" w:rsidP="006943B5">
      <w:pPr>
        <w:tabs>
          <w:tab w:val="left" w:pos="851"/>
        </w:tabs>
        <w:ind w:left="851"/>
        <w:rPr>
          <w:sz w:val="24"/>
          <w:szCs w:val="24"/>
          <w:lang w:val="en-GB"/>
        </w:rPr>
      </w:pPr>
    </w:p>
    <w:p w14:paraId="0D8ED290" w14:textId="77777777" w:rsidR="006943B5" w:rsidRPr="006943B5" w:rsidRDefault="006943B5" w:rsidP="006943B5">
      <w:pPr>
        <w:tabs>
          <w:tab w:val="left" w:pos="851"/>
        </w:tabs>
        <w:ind w:left="851"/>
        <w:rPr>
          <w:sz w:val="24"/>
          <w:szCs w:val="24"/>
          <w:lang w:val="en-GB"/>
        </w:rPr>
      </w:pPr>
      <w:r w:rsidRPr="006943B5">
        <w:rPr>
          <w:sz w:val="24"/>
          <w:szCs w:val="24"/>
          <w:lang w:val="en-GB"/>
        </w:rPr>
        <w:t>Gallium (</w:t>
      </w:r>
      <w:r w:rsidRPr="006943B5">
        <w:rPr>
          <w:sz w:val="24"/>
          <w:szCs w:val="24"/>
          <w:vertAlign w:val="superscript"/>
          <w:lang w:val="en-GB"/>
        </w:rPr>
        <w:t>68</w:t>
      </w:r>
      <w:r w:rsidRPr="006943B5">
        <w:rPr>
          <w:sz w:val="24"/>
          <w:szCs w:val="24"/>
          <w:lang w:val="en-GB"/>
        </w:rPr>
        <w:t>Ga) gozetotide PET images should be interpreted only by readers trained in the interpretation of PET images with gallium (</w:t>
      </w:r>
      <w:r w:rsidRPr="006943B5">
        <w:rPr>
          <w:sz w:val="24"/>
          <w:szCs w:val="24"/>
          <w:vertAlign w:val="superscript"/>
          <w:lang w:val="en-GB"/>
        </w:rPr>
        <w:t>68</w:t>
      </w:r>
      <w:r w:rsidRPr="006943B5">
        <w:rPr>
          <w:sz w:val="24"/>
          <w:szCs w:val="24"/>
          <w:lang w:val="en-GB"/>
        </w:rPr>
        <w:t>Ga) gozetotide PET. Findings on gallium (</w:t>
      </w:r>
      <w:r w:rsidRPr="006943B5">
        <w:rPr>
          <w:sz w:val="24"/>
          <w:szCs w:val="24"/>
          <w:vertAlign w:val="superscript"/>
          <w:lang w:val="en-GB"/>
        </w:rPr>
        <w:t>68</w:t>
      </w:r>
      <w:r w:rsidRPr="006943B5">
        <w:rPr>
          <w:sz w:val="24"/>
          <w:szCs w:val="24"/>
          <w:lang w:val="en-GB"/>
        </w:rPr>
        <w:t>Ga) gozetotide PET images should always be interpreted in conjunction with and be confirmed by other diagnostic methods (including histopathology) before subsequent change in patient management is initiated.</w:t>
      </w:r>
    </w:p>
    <w:p w14:paraId="3B30A485" w14:textId="77777777" w:rsidR="006943B5" w:rsidRPr="006943B5" w:rsidRDefault="006943B5" w:rsidP="006943B5">
      <w:pPr>
        <w:tabs>
          <w:tab w:val="left" w:pos="851"/>
        </w:tabs>
        <w:ind w:left="851"/>
        <w:rPr>
          <w:sz w:val="24"/>
          <w:szCs w:val="24"/>
          <w:lang w:val="en-GB"/>
        </w:rPr>
      </w:pPr>
    </w:p>
    <w:p w14:paraId="542463B9" w14:textId="77777777" w:rsidR="006943B5" w:rsidRPr="006943B5" w:rsidRDefault="006943B5" w:rsidP="006943B5">
      <w:pPr>
        <w:tabs>
          <w:tab w:val="left" w:pos="851"/>
        </w:tabs>
        <w:ind w:left="851"/>
        <w:rPr>
          <w:sz w:val="24"/>
          <w:szCs w:val="24"/>
          <w:u w:val="single"/>
          <w:lang w:val="en-GB"/>
        </w:rPr>
      </w:pPr>
      <w:r w:rsidRPr="006943B5">
        <w:rPr>
          <w:sz w:val="24"/>
          <w:szCs w:val="24"/>
          <w:u w:val="single"/>
          <w:lang w:val="en-GB"/>
        </w:rPr>
        <w:t>Acidic pH and extravasation</w:t>
      </w:r>
    </w:p>
    <w:p w14:paraId="13128F25" w14:textId="77777777" w:rsidR="006943B5" w:rsidRPr="006943B5" w:rsidRDefault="006943B5" w:rsidP="006943B5">
      <w:pPr>
        <w:tabs>
          <w:tab w:val="left" w:pos="851"/>
        </w:tabs>
        <w:ind w:left="851"/>
        <w:rPr>
          <w:sz w:val="24"/>
          <w:szCs w:val="24"/>
          <w:lang w:val="en-GB"/>
        </w:rPr>
      </w:pPr>
      <w:r w:rsidRPr="006943B5">
        <w:rPr>
          <w:sz w:val="24"/>
          <w:szCs w:val="24"/>
          <w:lang w:val="en-GB"/>
        </w:rPr>
        <w:t>Low pH of gallium (</w:t>
      </w:r>
      <w:r w:rsidRPr="006943B5">
        <w:rPr>
          <w:sz w:val="24"/>
          <w:szCs w:val="24"/>
          <w:vertAlign w:val="superscript"/>
          <w:lang w:val="en-GB"/>
        </w:rPr>
        <w:t>68</w:t>
      </w:r>
      <w:r w:rsidRPr="006943B5">
        <w:rPr>
          <w:sz w:val="24"/>
          <w:szCs w:val="24"/>
          <w:lang w:val="en-GB"/>
        </w:rPr>
        <w:t>Ga) gozetotide may lead to injection site reactions after administration. Accidental extravasation may cause local irritation, due to the acidic pH of the solution. Cases of extravasation should be managed as per institutional guidelines.</w:t>
      </w:r>
    </w:p>
    <w:p w14:paraId="4A0A373D" w14:textId="77777777" w:rsidR="006943B5" w:rsidRPr="006943B5" w:rsidRDefault="006943B5" w:rsidP="006943B5">
      <w:pPr>
        <w:tabs>
          <w:tab w:val="left" w:pos="851"/>
        </w:tabs>
        <w:ind w:left="851"/>
        <w:rPr>
          <w:sz w:val="24"/>
          <w:szCs w:val="24"/>
          <w:lang w:val="en-GB"/>
        </w:rPr>
      </w:pPr>
    </w:p>
    <w:p w14:paraId="04F5ECDD" w14:textId="77777777" w:rsidR="006943B5" w:rsidRPr="006943B5" w:rsidRDefault="006943B5" w:rsidP="006943B5">
      <w:pPr>
        <w:tabs>
          <w:tab w:val="left" w:pos="851"/>
        </w:tabs>
        <w:ind w:left="851"/>
        <w:rPr>
          <w:sz w:val="24"/>
          <w:szCs w:val="24"/>
          <w:u w:val="single"/>
          <w:lang w:val="en-GB"/>
        </w:rPr>
      </w:pPr>
      <w:r w:rsidRPr="006943B5">
        <w:rPr>
          <w:sz w:val="24"/>
          <w:szCs w:val="24"/>
          <w:u w:val="single"/>
          <w:lang w:val="en-GB"/>
        </w:rPr>
        <w:t>After the procedure</w:t>
      </w:r>
    </w:p>
    <w:p w14:paraId="523B0B96" w14:textId="77777777" w:rsidR="006943B5" w:rsidRPr="006943B5" w:rsidRDefault="006943B5" w:rsidP="006943B5">
      <w:pPr>
        <w:tabs>
          <w:tab w:val="left" w:pos="851"/>
        </w:tabs>
        <w:ind w:left="851"/>
        <w:rPr>
          <w:sz w:val="24"/>
          <w:szCs w:val="24"/>
          <w:lang w:val="en-GB"/>
        </w:rPr>
      </w:pPr>
      <w:r w:rsidRPr="006943B5">
        <w:rPr>
          <w:sz w:val="24"/>
          <w:szCs w:val="24"/>
          <w:lang w:val="en-GB"/>
        </w:rPr>
        <w:t>The patient should be encouraged to drink sufficiently amounts and void as often as possible during the first hours after the scan in order to reduce radiation exposure of the bladder.</w:t>
      </w:r>
    </w:p>
    <w:p w14:paraId="3E3857C1" w14:textId="77777777" w:rsidR="006943B5" w:rsidRPr="006943B5" w:rsidRDefault="006943B5" w:rsidP="006943B5">
      <w:pPr>
        <w:tabs>
          <w:tab w:val="left" w:pos="851"/>
        </w:tabs>
        <w:ind w:left="851"/>
        <w:rPr>
          <w:sz w:val="24"/>
          <w:szCs w:val="24"/>
          <w:lang w:val="en-GB"/>
        </w:rPr>
      </w:pPr>
    </w:p>
    <w:p w14:paraId="128B4DEC" w14:textId="77777777" w:rsidR="006943B5" w:rsidRPr="006943B5" w:rsidRDefault="006943B5" w:rsidP="006943B5">
      <w:pPr>
        <w:tabs>
          <w:tab w:val="left" w:pos="851"/>
        </w:tabs>
        <w:ind w:left="851"/>
        <w:rPr>
          <w:sz w:val="24"/>
          <w:szCs w:val="24"/>
          <w:lang w:val="en-GB"/>
        </w:rPr>
      </w:pPr>
      <w:r w:rsidRPr="006943B5">
        <w:rPr>
          <w:sz w:val="24"/>
          <w:szCs w:val="24"/>
          <w:lang w:val="en-GB"/>
        </w:rPr>
        <w:t>Close contact with infants and pregnant women should be avoided during the first 6 hours after administration of the radiopharmaceutical.</w:t>
      </w:r>
    </w:p>
    <w:p w14:paraId="0539232A" w14:textId="77777777" w:rsidR="006943B5" w:rsidRPr="006943B5" w:rsidRDefault="006943B5" w:rsidP="006943B5">
      <w:pPr>
        <w:tabs>
          <w:tab w:val="left" w:pos="851"/>
        </w:tabs>
        <w:ind w:left="851"/>
        <w:rPr>
          <w:sz w:val="24"/>
          <w:szCs w:val="24"/>
          <w:lang w:val="en-GB"/>
        </w:rPr>
      </w:pPr>
    </w:p>
    <w:p w14:paraId="7C06C038" w14:textId="77777777" w:rsidR="006943B5" w:rsidRPr="006943B5" w:rsidRDefault="006943B5" w:rsidP="006943B5">
      <w:pPr>
        <w:tabs>
          <w:tab w:val="left" w:pos="851"/>
        </w:tabs>
        <w:ind w:left="851"/>
        <w:rPr>
          <w:sz w:val="24"/>
          <w:szCs w:val="24"/>
          <w:u w:val="single"/>
          <w:lang w:val="en-GB"/>
        </w:rPr>
      </w:pPr>
      <w:r w:rsidRPr="006943B5">
        <w:rPr>
          <w:sz w:val="24"/>
          <w:szCs w:val="24"/>
          <w:u w:val="single"/>
          <w:lang w:val="en-GB"/>
        </w:rPr>
        <w:t>Specific warnings</w:t>
      </w:r>
    </w:p>
    <w:p w14:paraId="3D0AF254" w14:textId="77777777" w:rsidR="006943B5" w:rsidRPr="006943B5" w:rsidRDefault="006943B5" w:rsidP="006943B5">
      <w:pPr>
        <w:tabs>
          <w:tab w:val="left" w:pos="851"/>
        </w:tabs>
        <w:ind w:left="851"/>
        <w:rPr>
          <w:sz w:val="24"/>
          <w:szCs w:val="24"/>
          <w:lang w:val="en-GB"/>
        </w:rPr>
      </w:pPr>
      <w:r w:rsidRPr="006943B5">
        <w:rPr>
          <w:sz w:val="24"/>
          <w:szCs w:val="24"/>
          <w:lang w:val="en-GB"/>
        </w:rPr>
        <w:t>This medicinal product contains less than 1 mmol sodium (23 mg) per vial, that is to say essentially ‘sodium-free’.</w:t>
      </w:r>
    </w:p>
    <w:p w14:paraId="67FF4466" w14:textId="77777777" w:rsidR="006943B5" w:rsidRPr="006943B5" w:rsidRDefault="006943B5" w:rsidP="006943B5">
      <w:pPr>
        <w:tabs>
          <w:tab w:val="left" w:pos="851"/>
        </w:tabs>
        <w:ind w:left="851"/>
        <w:rPr>
          <w:sz w:val="24"/>
          <w:szCs w:val="24"/>
          <w:lang w:val="en-GB"/>
        </w:rPr>
      </w:pPr>
    </w:p>
    <w:p w14:paraId="46EFEC9F" w14:textId="77777777" w:rsidR="006943B5" w:rsidRPr="006943B5" w:rsidRDefault="006943B5" w:rsidP="006943B5">
      <w:pPr>
        <w:tabs>
          <w:tab w:val="left" w:pos="851"/>
        </w:tabs>
        <w:ind w:left="851"/>
        <w:rPr>
          <w:sz w:val="24"/>
          <w:szCs w:val="24"/>
          <w:lang w:val="en-GB"/>
        </w:rPr>
      </w:pPr>
      <w:r w:rsidRPr="006943B5">
        <w:rPr>
          <w:sz w:val="24"/>
          <w:szCs w:val="24"/>
          <w:lang w:val="en-GB"/>
        </w:rPr>
        <w:t>For precautions with respect to environmental hazard, see section 6.6.</w:t>
      </w:r>
    </w:p>
    <w:p w14:paraId="4CBA1CE1" w14:textId="325E744A" w:rsidR="004A6C59" w:rsidRDefault="004A6C59">
      <w:pPr>
        <w:rPr>
          <w:sz w:val="24"/>
          <w:szCs w:val="24"/>
          <w:lang w:val="en-GB"/>
        </w:rPr>
      </w:pPr>
      <w:r>
        <w:rPr>
          <w:sz w:val="24"/>
          <w:szCs w:val="24"/>
          <w:lang w:val="en-GB"/>
        </w:rPr>
        <w:br w:type="page"/>
      </w:r>
    </w:p>
    <w:p w14:paraId="6CA01B2A" w14:textId="77777777" w:rsidR="00114971" w:rsidRPr="006943B5" w:rsidRDefault="00114971" w:rsidP="00114971">
      <w:pPr>
        <w:tabs>
          <w:tab w:val="left" w:pos="851"/>
        </w:tabs>
        <w:ind w:left="851"/>
        <w:rPr>
          <w:sz w:val="24"/>
          <w:szCs w:val="24"/>
          <w:lang w:val="en-GB"/>
        </w:rPr>
      </w:pPr>
    </w:p>
    <w:p w14:paraId="1AF2C0A7" w14:textId="77777777" w:rsidR="00114971" w:rsidRPr="000C3846" w:rsidRDefault="00114971" w:rsidP="00114971">
      <w:pPr>
        <w:ind w:left="851" w:hanging="851"/>
        <w:rPr>
          <w:b/>
          <w:sz w:val="24"/>
          <w:szCs w:val="24"/>
          <w:lang w:val="en-GB"/>
        </w:rPr>
      </w:pPr>
      <w:r w:rsidRPr="000C3846">
        <w:rPr>
          <w:b/>
          <w:sz w:val="24"/>
          <w:szCs w:val="24"/>
          <w:lang w:val="en-GB"/>
        </w:rPr>
        <w:t>4.5</w:t>
      </w:r>
      <w:r w:rsidRPr="000C3846">
        <w:rPr>
          <w:b/>
          <w:sz w:val="24"/>
          <w:szCs w:val="24"/>
          <w:lang w:val="en-GB"/>
        </w:rPr>
        <w:tab/>
        <w:t>Interaction with other medicinal products and other forms of interaction</w:t>
      </w:r>
    </w:p>
    <w:p w14:paraId="56E2AD81" w14:textId="77777777" w:rsidR="004A6C59" w:rsidRPr="004A6C59" w:rsidRDefault="004A6C59" w:rsidP="004A6C59">
      <w:pPr>
        <w:tabs>
          <w:tab w:val="left" w:pos="851"/>
        </w:tabs>
        <w:ind w:left="851"/>
        <w:rPr>
          <w:sz w:val="24"/>
          <w:szCs w:val="24"/>
          <w:lang w:val="en-GB"/>
        </w:rPr>
      </w:pPr>
      <w:r w:rsidRPr="004A6C59">
        <w:rPr>
          <w:sz w:val="24"/>
          <w:szCs w:val="24"/>
          <w:lang w:val="en-GB"/>
        </w:rPr>
        <w:t>Based on the extremely low mass dose of not more than 10 mcg single dose, gallium (</w:t>
      </w:r>
      <w:r w:rsidRPr="004A6C59">
        <w:rPr>
          <w:sz w:val="24"/>
          <w:szCs w:val="24"/>
          <w:vertAlign w:val="superscript"/>
          <w:lang w:val="en-GB"/>
        </w:rPr>
        <w:t>68</w:t>
      </w:r>
      <w:r w:rsidRPr="004A6C59">
        <w:rPr>
          <w:sz w:val="24"/>
          <w:szCs w:val="24"/>
          <w:lang w:val="en-GB"/>
        </w:rPr>
        <w:t>Ga) gozetotide is not expected to have any clinically significant interaction with other medicinal products (see section 5.2). No interaction studies have been performed.</w:t>
      </w:r>
    </w:p>
    <w:p w14:paraId="5127169D" w14:textId="77777777" w:rsidR="004A6C59" w:rsidRPr="004A6C59" w:rsidRDefault="004A6C59" w:rsidP="004A6C59">
      <w:pPr>
        <w:tabs>
          <w:tab w:val="left" w:pos="851"/>
        </w:tabs>
        <w:ind w:left="851"/>
        <w:rPr>
          <w:sz w:val="24"/>
          <w:szCs w:val="24"/>
          <w:lang w:val="en-GB"/>
        </w:rPr>
      </w:pPr>
    </w:p>
    <w:p w14:paraId="639B5C53" w14:textId="77777777" w:rsidR="004A6C59" w:rsidRPr="004A6C59" w:rsidRDefault="004A6C59" w:rsidP="004A6C59">
      <w:pPr>
        <w:tabs>
          <w:tab w:val="left" w:pos="851"/>
        </w:tabs>
        <w:ind w:left="851"/>
        <w:rPr>
          <w:sz w:val="24"/>
          <w:szCs w:val="24"/>
          <w:lang w:val="en-GB"/>
        </w:rPr>
      </w:pPr>
      <w:r w:rsidRPr="004A6C59">
        <w:rPr>
          <w:sz w:val="24"/>
          <w:szCs w:val="24"/>
          <w:lang w:val="en-GB"/>
        </w:rPr>
        <w:t>Patients subjected to diagnostic examinations with the use of gallium (</w:t>
      </w:r>
      <w:r w:rsidRPr="004A6C59">
        <w:rPr>
          <w:sz w:val="24"/>
          <w:szCs w:val="24"/>
          <w:vertAlign w:val="superscript"/>
          <w:lang w:val="en-GB"/>
        </w:rPr>
        <w:t>68</w:t>
      </w:r>
      <w:r w:rsidRPr="004A6C59">
        <w:rPr>
          <w:sz w:val="24"/>
          <w:szCs w:val="24"/>
          <w:lang w:val="en-GB"/>
        </w:rPr>
        <w:t>Ga) gozetotide, it is recommended on an empirical basis not to withdraw treatment.</w:t>
      </w:r>
    </w:p>
    <w:p w14:paraId="5A31CD71" w14:textId="77777777" w:rsidR="004A6C59" w:rsidRPr="004A6C59" w:rsidRDefault="004A6C59" w:rsidP="004A6C59">
      <w:pPr>
        <w:tabs>
          <w:tab w:val="left" w:pos="851"/>
        </w:tabs>
        <w:ind w:left="851"/>
        <w:rPr>
          <w:sz w:val="24"/>
          <w:szCs w:val="24"/>
          <w:lang w:val="en-GB"/>
        </w:rPr>
      </w:pPr>
    </w:p>
    <w:p w14:paraId="43A35A77" w14:textId="77777777" w:rsidR="004A6C59" w:rsidRPr="004A6C59" w:rsidRDefault="004A6C59" w:rsidP="004A6C59">
      <w:pPr>
        <w:tabs>
          <w:tab w:val="left" w:pos="851"/>
        </w:tabs>
        <w:ind w:left="851"/>
        <w:rPr>
          <w:sz w:val="24"/>
          <w:szCs w:val="24"/>
          <w:u w:val="single"/>
          <w:lang w:val="en-GB"/>
        </w:rPr>
      </w:pPr>
      <w:r w:rsidRPr="004A6C59">
        <w:rPr>
          <w:sz w:val="24"/>
          <w:szCs w:val="24"/>
          <w:u w:val="single"/>
          <w:lang w:val="en-GB"/>
        </w:rPr>
        <w:t>Androgen deprivation therapy and other therapies targeting the androgen receptor pathway</w:t>
      </w:r>
    </w:p>
    <w:p w14:paraId="5FFC4906" w14:textId="77777777" w:rsidR="004A6C59" w:rsidRPr="004A6C59" w:rsidRDefault="004A6C59" w:rsidP="004A6C59">
      <w:pPr>
        <w:tabs>
          <w:tab w:val="left" w:pos="851"/>
        </w:tabs>
        <w:ind w:left="851"/>
        <w:rPr>
          <w:sz w:val="24"/>
          <w:szCs w:val="24"/>
          <w:lang w:val="en-GB"/>
        </w:rPr>
      </w:pPr>
      <w:r w:rsidRPr="004A6C59">
        <w:rPr>
          <w:sz w:val="24"/>
          <w:szCs w:val="24"/>
          <w:lang w:val="en-GB"/>
        </w:rPr>
        <w:t>Androgen deprivation therapy (ADT) and other therapies targeting the androgen receptor pathway, such as androgen receptor antagonists, can result in changes in uptake of gallium (</w:t>
      </w:r>
      <w:r w:rsidRPr="004A6C59">
        <w:rPr>
          <w:sz w:val="24"/>
          <w:szCs w:val="24"/>
          <w:vertAlign w:val="superscript"/>
          <w:lang w:val="en-GB"/>
        </w:rPr>
        <w:t>68</w:t>
      </w:r>
      <w:r w:rsidRPr="004A6C59">
        <w:rPr>
          <w:sz w:val="24"/>
          <w:szCs w:val="24"/>
          <w:lang w:val="en-GB"/>
        </w:rPr>
        <w:t>Ga) gozetotide in prostate cancer. The effect of these therapies on performance of gallium (</w:t>
      </w:r>
      <w:r w:rsidRPr="004A6C59">
        <w:rPr>
          <w:sz w:val="24"/>
          <w:szCs w:val="24"/>
          <w:vertAlign w:val="superscript"/>
          <w:lang w:val="en-GB"/>
        </w:rPr>
        <w:t>68</w:t>
      </w:r>
      <w:r w:rsidRPr="004A6C59">
        <w:rPr>
          <w:sz w:val="24"/>
          <w:szCs w:val="24"/>
          <w:lang w:val="en-GB"/>
        </w:rPr>
        <w:t>Ga) gozetotide PET has not been established.</w:t>
      </w:r>
    </w:p>
    <w:p w14:paraId="33149F98" w14:textId="77777777" w:rsidR="00114971" w:rsidRPr="004A6C59" w:rsidRDefault="00114971" w:rsidP="00114971">
      <w:pPr>
        <w:tabs>
          <w:tab w:val="left" w:pos="851"/>
        </w:tabs>
        <w:ind w:left="851"/>
        <w:rPr>
          <w:sz w:val="24"/>
          <w:szCs w:val="24"/>
          <w:lang w:val="en-GB"/>
        </w:rPr>
      </w:pPr>
    </w:p>
    <w:p w14:paraId="393B67F4" w14:textId="77777777" w:rsidR="00114971" w:rsidRPr="00D37150" w:rsidRDefault="00114971" w:rsidP="00114971">
      <w:pPr>
        <w:tabs>
          <w:tab w:val="left" w:pos="851"/>
        </w:tabs>
        <w:ind w:left="851" w:hanging="851"/>
        <w:rPr>
          <w:b/>
          <w:sz w:val="24"/>
          <w:szCs w:val="24"/>
          <w:lang w:val="en-US"/>
        </w:rPr>
      </w:pPr>
      <w:bookmarkStart w:id="2" w:name="_Hlk115703834"/>
      <w:r w:rsidRPr="00D37150">
        <w:rPr>
          <w:b/>
          <w:sz w:val="24"/>
          <w:szCs w:val="24"/>
          <w:lang w:val="en-US"/>
        </w:rPr>
        <w:t>4.6</w:t>
      </w:r>
      <w:r w:rsidRPr="00D37150">
        <w:rPr>
          <w:b/>
          <w:sz w:val="24"/>
          <w:szCs w:val="24"/>
          <w:lang w:val="en-US"/>
        </w:rPr>
        <w:tab/>
        <w:t>Fertility, pregnancy and lactation</w:t>
      </w:r>
    </w:p>
    <w:bookmarkEnd w:id="2"/>
    <w:p w14:paraId="74E8A9FA" w14:textId="77777777" w:rsidR="009B3D03" w:rsidRPr="009B3D03" w:rsidRDefault="009B3D03" w:rsidP="009B3D03">
      <w:pPr>
        <w:tabs>
          <w:tab w:val="left" w:pos="851"/>
        </w:tabs>
        <w:ind w:left="851"/>
        <w:rPr>
          <w:sz w:val="24"/>
          <w:szCs w:val="24"/>
          <w:lang w:val="en-GB"/>
        </w:rPr>
      </w:pPr>
    </w:p>
    <w:p w14:paraId="1CCDC639" w14:textId="77777777" w:rsidR="009B3D03" w:rsidRPr="009B3D03" w:rsidRDefault="009B3D03" w:rsidP="009B3D03">
      <w:pPr>
        <w:tabs>
          <w:tab w:val="left" w:pos="851"/>
        </w:tabs>
        <w:ind w:left="851"/>
        <w:rPr>
          <w:sz w:val="24"/>
          <w:szCs w:val="24"/>
          <w:lang w:val="en-GB"/>
        </w:rPr>
      </w:pPr>
      <w:r w:rsidRPr="009B3D03">
        <w:rPr>
          <w:sz w:val="24"/>
          <w:szCs w:val="24"/>
          <w:u w:val="single"/>
          <w:lang w:val="en-GB"/>
        </w:rPr>
        <w:t>Pregnancy</w:t>
      </w:r>
    </w:p>
    <w:p w14:paraId="5B565D67" w14:textId="77777777" w:rsidR="009B3D03" w:rsidRPr="009B3D03" w:rsidRDefault="009B3D03" w:rsidP="009B3D03">
      <w:pPr>
        <w:tabs>
          <w:tab w:val="left" w:pos="851"/>
        </w:tabs>
        <w:ind w:left="851"/>
        <w:rPr>
          <w:sz w:val="24"/>
          <w:szCs w:val="24"/>
          <w:lang w:val="en-GB"/>
        </w:rPr>
      </w:pPr>
      <w:bookmarkStart w:id="3" w:name="_Hlk100052990"/>
      <w:r w:rsidRPr="009B3D03">
        <w:rPr>
          <w:sz w:val="24"/>
          <w:szCs w:val="24"/>
          <w:lang w:val="en-GB"/>
        </w:rPr>
        <w:t>Gallium (</w:t>
      </w:r>
      <w:r w:rsidRPr="009B3D03">
        <w:rPr>
          <w:sz w:val="24"/>
          <w:szCs w:val="24"/>
          <w:vertAlign w:val="superscript"/>
          <w:lang w:val="en-GB"/>
        </w:rPr>
        <w:t>68</w:t>
      </w:r>
      <w:r w:rsidRPr="009B3D03">
        <w:rPr>
          <w:sz w:val="24"/>
          <w:szCs w:val="24"/>
          <w:lang w:val="en-GB"/>
        </w:rPr>
        <w:t xml:space="preserve">Ga) gozetotide is not indicated for use in females. </w:t>
      </w:r>
      <w:bookmarkEnd w:id="3"/>
      <w:r w:rsidRPr="009B3D03">
        <w:rPr>
          <w:sz w:val="24"/>
          <w:szCs w:val="24"/>
          <w:lang w:val="en-GB"/>
        </w:rPr>
        <w:t>There are no data on the use of gallium (</w:t>
      </w:r>
      <w:r w:rsidRPr="009B3D03">
        <w:rPr>
          <w:sz w:val="24"/>
          <w:szCs w:val="24"/>
          <w:vertAlign w:val="superscript"/>
          <w:lang w:val="en-GB"/>
        </w:rPr>
        <w:t>68</w:t>
      </w:r>
      <w:r w:rsidRPr="009B3D03">
        <w:rPr>
          <w:sz w:val="24"/>
          <w:szCs w:val="24"/>
          <w:lang w:val="en-GB"/>
        </w:rPr>
        <w:t>Ga) gozetotide in females. Dedicated reproductive toxicity studies in animals have not been conducted with gallium (</w:t>
      </w:r>
      <w:r w:rsidRPr="009B3D03">
        <w:rPr>
          <w:sz w:val="24"/>
          <w:szCs w:val="24"/>
          <w:vertAlign w:val="superscript"/>
          <w:lang w:val="en-GB"/>
        </w:rPr>
        <w:t>68</w:t>
      </w:r>
      <w:r w:rsidRPr="009B3D03">
        <w:rPr>
          <w:sz w:val="24"/>
          <w:szCs w:val="24"/>
          <w:lang w:val="en-GB"/>
        </w:rPr>
        <w:t>Ga) gozetotide. However, all radiopharmaceuticals, including gallium (</w:t>
      </w:r>
      <w:r w:rsidRPr="009B3D03">
        <w:rPr>
          <w:sz w:val="24"/>
          <w:szCs w:val="24"/>
          <w:vertAlign w:val="superscript"/>
          <w:lang w:val="en-GB"/>
        </w:rPr>
        <w:t>68</w:t>
      </w:r>
      <w:r w:rsidRPr="009B3D03">
        <w:rPr>
          <w:sz w:val="24"/>
          <w:szCs w:val="24"/>
          <w:lang w:val="en-GB"/>
        </w:rPr>
        <w:t>Ga) gozetotide, have the potential to cause foetal harm.</w:t>
      </w:r>
    </w:p>
    <w:p w14:paraId="1B4A0CB7" w14:textId="77777777" w:rsidR="009B3D03" w:rsidRPr="009B3D03" w:rsidRDefault="009B3D03" w:rsidP="009B3D03">
      <w:pPr>
        <w:tabs>
          <w:tab w:val="left" w:pos="851"/>
        </w:tabs>
        <w:ind w:left="851"/>
        <w:rPr>
          <w:sz w:val="24"/>
          <w:szCs w:val="24"/>
          <w:lang w:val="en-GB"/>
        </w:rPr>
      </w:pPr>
    </w:p>
    <w:p w14:paraId="02D68939" w14:textId="77777777" w:rsidR="009B3D03" w:rsidRPr="009B3D03" w:rsidRDefault="009B3D03" w:rsidP="009B3D03">
      <w:pPr>
        <w:tabs>
          <w:tab w:val="left" w:pos="851"/>
        </w:tabs>
        <w:ind w:left="851"/>
        <w:rPr>
          <w:sz w:val="24"/>
          <w:szCs w:val="24"/>
          <w:lang w:val="en-GB"/>
        </w:rPr>
      </w:pPr>
      <w:r w:rsidRPr="009B3D03">
        <w:rPr>
          <w:sz w:val="24"/>
          <w:szCs w:val="24"/>
          <w:u w:val="single"/>
          <w:lang w:val="en-GB"/>
        </w:rPr>
        <w:t>Breast</w:t>
      </w:r>
      <w:r w:rsidRPr="009B3D03">
        <w:rPr>
          <w:sz w:val="24"/>
          <w:szCs w:val="24"/>
          <w:u w:val="single"/>
          <w:lang w:val="en-GB"/>
        </w:rPr>
        <w:noBreakHyphen/>
        <w:t>feeding</w:t>
      </w:r>
    </w:p>
    <w:p w14:paraId="6D39F7E2" w14:textId="77777777" w:rsidR="009B3D03" w:rsidRPr="009B3D03" w:rsidRDefault="009B3D03" w:rsidP="009B3D03">
      <w:pPr>
        <w:tabs>
          <w:tab w:val="left" w:pos="851"/>
        </w:tabs>
        <w:ind w:left="851"/>
        <w:rPr>
          <w:sz w:val="24"/>
          <w:szCs w:val="24"/>
          <w:lang w:val="en-GB"/>
        </w:rPr>
      </w:pPr>
      <w:r w:rsidRPr="009B3D03">
        <w:rPr>
          <w:sz w:val="24"/>
          <w:szCs w:val="24"/>
          <w:lang w:val="en-GB"/>
        </w:rPr>
        <w:t>Gallium (</w:t>
      </w:r>
      <w:r w:rsidRPr="009B3D03">
        <w:rPr>
          <w:sz w:val="24"/>
          <w:szCs w:val="24"/>
          <w:vertAlign w:val="superscript"/>
          <w:lang w:val="en-GB"/>
        </w:rPr>
        <w:t>68</w:t>
      </w:r>
      <w:r w:rsidRPr="009B3D03">
        <w:rPr>
          <w:sz w:val="24"/>
          <w:szCs w:val="24"/>
          <w:lang w:val="en-GB"/>
        </w:rPr>
        <w:t>Ga) gozetotide is not indicated for use in females. There are no data on the effects of gallium (</w:t>
      </w:r>
      <w:r w:rsidRPr="009B3D03">
        <w:rPr>
          <w:sz w:val="24"/>
          <w:szCs w:val="24"/>
          <w:vertAlign w:val="superscript"/>
          <w:lang w:val="en-GB"/>
        </w:rPr>
        <w:t>68</w:t>
      </w:r>
      <w:r w:rsidRPr="009B3D03">
        <w:rPr>
          <w:sz w:val="24"/>
          <w:szCs w:val="24"/>
          <w:lang w:val="en-GB"/>
        </w:rPr>
        <w:t>Ga) gozetotide on the breast</w:t>
      </w:r>
      <w:r w:rsidRPr="009B3D03">
        <w:rPr>
          <w:sz w:val="24"/>
          <w:szCs w:val="24"/>
          <w:lang w:val="en-GB"/>
        </w:rPr>
        <w:noBreakHyphen/>
        <w:t>fed newborn/infant or on milk production. Lactation studies have not been conducted in animals with gallium (</w:t>
      </w:r>
      <w:r w:rsidRPr="009B3D03">
        <w:rPr>
          <w:sz w:val="24"/>
          <w:szCs w:val="24"/>
          <w:vertAlign w:val="superscript"/>
          <w:lang w:val="en-GB"/>
        </w:rPr>
        <w:t>68</w:t>
      </w:r>
      <w:r w:rsidRPr="009B3D03">
        <w:rPr>
          <w:sz w:val="24"/>
          <w:szCs w:val="24"/>
          <w:lang w:val="en-GB"/>
        </w:rPr>
        <w:t>Ga) gozetotide.</w:t>
      </w:r>
    </w:p>
    <w:p w14:paraId="63E79A5A" w14:textId="77777777" w:rsidR="009B3D03" w:rsidRPr="009B3D03" w:rsidRDefault="009B3D03" w:rsidP="009B3D03">
      <w:pPr>
        <w:tabs>
          <w:tab w:val="left" w:pos="851"/>
        </w:tabs>
        <w:ind w:left="851"/>
        <w:rPr>
          <w:sz w:val="24"/>
          <w:szCs w:val="24"/>
          <w:lang w:val="en-GB"/>
        </w:rPr>
      </w:pPr>
    </w:p>
    <w:p w14:paraId="47195546" w14:textId="77777777" w:rsidR="009B3D03" w:rsidRPr="009B3D03" w:rsidRDefault="009B3D03" w:rsidP="009B3D03">
      <w:pPr>
        <w:tabs>
          <w:tab w:val="left" w:pos="851"/>
        </w:tabs>
        <w:ind w:left="851"/>
        <w:rPr>
          <w:sz w:val="24"/>
          <w:szCs w:val="24"/>
          <w:lang w:val="en-GB"/>
        </w:rPr>
      </w:pPr>
      <w:r w:rsidRPr="009B3D03">
        <w:rPr>
          <w:sz w:val="24"/>
          <w:szCs w:val="24"/>
          <w:u w:val="single"/>
          <w:lang w:val="en-GB"/>
        </w:rPr>
        <w:t>Fertility</w:t>
      </w:r>
    </w:p>
    <w:p w14:paraId="76D3B1F6" w14:textId="307211E1" w:rsidR="00114971" w:rsidRPr="009B3D03" w:rsidRDefault="009B3D03" w:rsidP="00114971">
      <w:pPr>
        <w:tabs>
          <w:tab w:val="left" w:pos="851"/>
        </w:tabs>
        <w:ind w:left="851"/>
        <w:rPr>
          <w:sz w:val="24"/>
          <w:szCs w:val="24"/>
          <w:lang w:val="en-GB"/>
        </w:rPr>
      </w:pPr>
      <w:r w:rsidRPr="009B3D03">
        <w:rPr>
          <w:sz w:val="24"/>
          <w:szCs w:val="24"/>
          <w:lang w:val="en-GB"/>
        </w:rPr>
        <w:t>In an extended single-dose toxicity study, male reproductive organs were not found to be target organs of toxicity.</w:t>
      </w:r>
      <w:r w:rsidRPr="009B3D03">
        <w:rPr>
          <w:sz w:val="24"/>
          <w:szCs w:val="24"/>
          <w:lang w:val="en-GB"/>
        </w:rPr>
        <w:br/>
      </w:r>
    </w:p>
    <w:p w14:paraId="325F3270" w14:textId="77777777" w:rsidR="00114971" w:rsidRPr="000C3846" w:rsidRDefault="00114971" w:rsidP="00114971">
      <w:pPr>
        <w:tabs>
          <w:tab w:val="left" w:pos="851"/>
        </w:tabs>
        <w:ind w:left="851" w:hanging="851"/>
        <w:rPr>
          <w:b/>
          <w:sz w:val="24"/>
          <w:szCs w:val="24"/>
          <w:lang w:val="en-GB"/>
        </w:rPr>
      </w:pPr>
      <w:r w:rsidRPr="000C3846">
        <w:rPr>
          <w:b/>
          <w:sz w:val="24"/>
          <w:szCs w:val="24"/>
          <w:lang w:val="en-GB"/>
        </w:rPr>
        <w:t>4.7</w:t>
      </w:r>
      <w:r w:rsidRPr="000C3846">
        <w:rPr>
          <w:b/>
          <w:sz w:val="24"/>
          <w:szCs w:val="24"/>
          <w:lang w:val="en-GB"/>
        </w:rPr>
        <w:tab/>
        <w:t>Effects on ability to drive and use machines</w:t>
      </w:r>
    </w:p>
    <w:p w14:paraId="0150532C" w14:textId="77777777" w:rsidR="009B3D03" w:rsidRDefault="009B3D03" w:rsidP="009B3D03">
      <w:pPr>
        <w:tabs>
          <w:tab w:val="left" w:pos="851"/>
        </w:tabs>
        <w:ind w:left="851"/>
        <w:rPr>
          <w:sz w:val="24"/>
          <w:szCs w:val="24"/>
          <w:lang w:val="en-GB"/>
        </w:rPr>
      </w:pPr>
      <w:r>
        <w:rPr>
          <w:sz w:val="24"/>
          <w:szCs w:val="24"/>
          <w:lang w:val="en-GB"/>
        </w:rPr>
        <w:t>No traffic warning.</w:t>
      </w:r>
    </w:p>
    <w:p w14:paraId="61835603" w14:textId="7D24A163" w:rsidR="009B3D03" w:rsidRPr="009B3D03" w:rsidRDefault="009B3D03" w:rsidP="009B3D03">
      <w:pPr>
        <w:tabs>
          <w:tab w:val="left" w:pos="851"/>
        </w:tabs>
        <w:ind w:left="851"/>
        <w:rPr>
          <w:b/>
          <w:bCs/>
          <w:sz w:val="24"/>
          <w:szCs w:val="24"/>
          <w:lang w:val="en-GB"/>
        </w:rPr>
      </w:pPr>
      <w:r w:rsidRPr="009B3D03">
        <w:rPr>
          <w:sz w:val="24"/>
          <w:szCs w:val="24"/>
          <w:lang w:val="en-GB"/>
        </w:rPr>
        <w:t>Gallium (</w:t>
      </w:r>
      <w:r w:rsidRPr="009B3D03">
        <w:rPr>
          <w:sz w:val="24"/>
          <w:szCs w:val="24"/>
          <w:vertAlign w:val="superscript"/>
          <w:lang w:val="en-GB"/>
        </w:rPr>
        <w:t>68</w:t>
      </w:r>
      <w:r w:rsidRPr="009B3D03">
        <w:rPr>
          <w:sz w:val="24"/>
          <w:szCs w:val="24"/>
          <w:lang w:val="en-GB"/>
        </w:rPr>
        <w:t>Ga) gozetotide has no or negligible influence on the ability to drive and use machines.</w:t>
      </w:r>
    </w:p>
    <w:p w14:paraId="7CCA3206" w14:textId="77777777" w:rsidR="00114971" w:rsidRPr="009B3D03" w:rsidRDefault="00114971" w:rsidP="00114971">
      <w:pPr>
        <w:tabs>
          <w:tab w:val="left" w:pos="851"/>
        </w:tabs>
        <w:ind w:left="851"/>
        <w:rPr>
          <w:sz w:val="24"/>
          <w:szCs w:val="24"/>
          <w:lang w:val="en-GB"/>
        </w:rPr>
      </w:pPr>
    </w:p>
    <w:p w14:paraId="73EE05BD" w14:textId="77777777" w:rsidR="00114971" w:rsidRPr="00D37150" w:rsidRDefault="00114971" w:rsidP="00114971">
      <w:pPr>
        <w:tabs>
          <w:tab w:val="left" w:pos="851"/>
        </w:tabs>
        <w:ind w:left="851" w:hanging="851"/>
        <w:rPr>
          <w:b/>
          <w:sz w:val="24"/>
          <w:szCs w:val="24"/>
          <w:lang w:val="en-US"/>
        </w:rPr>
      </w:pPr>
      <w:r w:rsidRPr="00D37150">
        <w:rPr>
          <w:b/>
          <w:sz w:val="24"/>
          <w:szCs w:val="24"/>
          <w:lang w:val="en-US"/>
        </w:rPr>
        <w:t>4.8</w:t>
      </w:r>
      <w:r w:rsidRPr="00D37150">
        <w:rPr>
          <w:b/>
          <w:sz w:val="24"/>
          <w:szCs w:val="24"/>
          <w:lang w:val="en-US"/>
        </w:rPr>
        <w:tab/>
        <w:t>Undesirable effects</w:t>
      </w:r>
    </w:p>
    <w:p w14:paraId="13586859" w14:textId="77777777" w:rsidR="009B3D03" w:rsidRPr="00D37150" w:rsidRDefault="009B3D03" w:rsidP="009B3D03">
      <w:pPr>
        <w:keepNext/>
        <w:tabs>
          <w:tab w:val="left" w:pos="1304"/>
        </w:tabs>
        <w:autoSpaceDE w:val="0"/>
        <w:autoSpaceDN w:val="0"/>
        <w:adjustRightInd w:val="0"/>
        <w:ind w:left="851"/>
        <w:rPr>
          <w:noProof/>
          <w:sz w:val="24"/>
          <w:szCs w:val="24"/>
          <w:lang w:val="en-US"/>
        </w:rPr>
      </w:pPr>
    </w:p>
    <w:p w14:paraId="41A7C90B" w14:textId="77777777" w:rsidR="009B3D03" w:rsidRPr="009B3D03" w:rsidRDefault="009B3D03" w:rsidP="009B3D03">
      <w:pPr>
        <w:keepNext/>
        <w:tabs>
          <w:tab w:val="left" w:pos="1304"/>
        </w:tabs>
        <w:autoSpaceDE w:val="0"/>
        <w:autoSpaceDN w:val="0"/>
        <w:adjustRightInd w:val="0"/>
        <w:ind w:left="851"/>
        <w:rPr>
          <w:noProof/>
          <w:sz w:val="24"/>
          <w:szCs w:val="24"/>
          <w:u w:val="single"/>
          <w:lang w:val="en-US"/>
        </w:rPr>
      </w:pPr>
      <w:r w:rsidRPr="009B3D03">
        <w:rPr>
          <w:noProof/>
          <w:sz w:val="24"/>
          <w:szCs w:val="24"/>
          <w:u w:val="single"/>
          <w:lang w:val="en-US"/>
        </w:rPr>
        <w:t>Summary of safety profile</w:t>
      </w:r>
    </w:p>
    <w:p w14:paraId="76C0B631" w14:textId="77777777" w:rsidR="009B3D03" w:rsidRPr="009B3D03" w:rsidRDefault="009B3D03" w:rsidP="009B3D03">
      <w:pPr>
        <w:keepNext/>
        <w:ind w:left="851"/>
        <w:rPr>
          <w:sz w:val="24"/>
          <w:szCs w:val="24"/>
          <w:lang w:val="en-US"/>
        </w:rPr>
      </w:pPr>
      <w:r w:rsidRPr="009B3D03">
        <w:rPr>
          <w:sz w:val="24"/>
          <w:szCs w:val="24"/>
          <w:lang w:val="en-US"/>
        </w:rPr>
        <w:t>Exposure to ionising radiation is linked with cancer induction and a potential for development of hereditary defects. As the effective dose, resulting from the administration of an average activity of 2 MBq/kg to an 80 kg man is 3.5 mSv, these adverse reactions are expected to occur with a low probability.</w:t>
      </w:r>
    </w:p>
    <w:p w14:paraId="5A1A64EB" w14:textId="77777777" w:rsidR="009B3D03" w:rsidRPr="009B3D03" w:rsidRDefault="009B3D03" w:rsidP="009B3D03">
      <w:pPr>
        <w:ind w:left="851"/>
        <w:rPr>
          <w:sz w:val="24"/>
          <w:szCs w:val="24"/>
          <w:lang w:val="en-US"/>
        </w:rPr>
      </w:pPr>
      <w:r w:rsidRPr="009B3D03">
        <w:rPr>
          <w:sz w:val="24"/>
          <w:szCs w:val="24"/>
          <w:lang w:val="en-US"/>
        </w:rPr>
        <w:t xml:space="preserve"> </w:t>
      </w:r>
    </w:p>
    <w:p w14:paraId="419E7399" w14:textId="77777777" w:rsidR="009B3D03" w:rsidRPr="009B3D03" w:rsidRDefault="009B3D03" w:rsidP="009B3D03">
      <w:pPr>
        <w:ind w:left="851"/>
        <w:rPr>
          <w:sz w:val="24"/>
          <w:szCs w:val="24"/>
          <w:lang w:val="en-US"/>
        </w:rPr>
      </w:pPr>
      <w:r w:rsidRPr="009B3D03">
        <w:rPr>
          <w:sz w:val="24"/>
          <w:szCs w:val="24"/>
          <w:lang w:val="en-US"/>
        </w:rPr>
        <w:t>Mild to moderate adverse reactions occurred in patients receiving gallium (</w:t>
      </w:r>
      <w:r w:rsidRPr="009B3D03">
        <w:rPr>
          <w:sz w:val="24"/>
          <w:szCs w:val="24"/>
          <w:vertAlign w:val="superscript"/>
          <w:lang w:val="en-US"/>
        </w:rPr>
        <w:t>68</w:t>
      </w:r>
      <w:r w:rsidRPr="009B3D03">
        <w:rPr>
          <w:sz w:val="24"/>
          <w:szCs w:val="24"/>
          <w:lang w:val="en-US"/>
        </w:rPr>
        <w:t>Ga) gozetotide. The most commonly reported reactions were fatigue, headache, injection site reactions, nausea and rash.</w:t>
      </w:r>
    </w:p>
    <w:p w14:paraId="76C58175" w14:textId="77777777" w:rsidR="009B3D03" w:rsidRPr="009B3D03" w:rsidRDefault="009B3D03" w:rsidP="009B3D03">
      <w:pPr>
        <w:keepNext/>
        <w:tabs>
          <w:tab w:val="left" w:pos="1304"/>
        </w:tabs>
        <w:autoSpaceDE w:val="0"/>
        <w:autoSpaceDN w:val="0"/>
        <w:adjustRightInd w:val="0"/>
        <w:ind w:left="851"/>
        <w:rPr>
          <w:noProof/>
          <w:sz w:val="24"/>
          <w:szCs w:val="24"/>
          <w:u w:val="single"/>
          <w:lang w:val="en-US"/>
        </w:rPr>
      </w:pPr>
    </w:p>
    <w:p w14:paraId="12044D48" w14:textId="77777777" w:rsidR="009B3D03" w:rsidRPr="009B3D03" w:rsidRDefault="009B3D03" w:rsidP="009B3D03">
      <w:pPr>
        <w:keepNext/>
        <w:tabs>
          <w:tab w:val="left" w:pos="1304"/>
        </w:tabs>
        <w:autoSpaceDE w:val="0"/>
        <w:autoSpaceDN w:val="0"/>
        <w:adjustRightInd w:val="0"/>
        <w:ind w:left="851"/>
        <w:rPr>
          <w:noProof/>
          <w:sz w:val="24"/>
          <w:szCs w:val="24"/>
          <w:u w:val="single"/>
          <w:lang w:val="en-US"/>
        </w:rPr>
      </w:pPr>
      <w:r w:rsidRPr="009B3D03">
        <w:rPr>
          <w:noProof/>
          <w:sz w:val="24"/>
          <w:szCs w:val="24"/>
          <w:u w:val="single"/>
          <w:lang w:val="en-US"/>
        </w:rPr>
        <w:t>Tabulated list of adverse reactions</w:t>
      </w:r>
    </w:p>
    <w:p w14:paraId="37C21081" w14:textId="77777777" w:rsidR="009B3D03" w:rsidRPr="009B3D03" w:rsidRDefault="009B3D03" w:rsidP="009B3D03">
      <w:pPr>
        <w:tabs>
          <w:tab w:val="left" w:pos="1304"/>
        </w:tabs>
        <w:autoSpaceDE w:val="0"/>
        <w:autoSpaceDN w:val="0"/>
        <w:adjustRightInd w:val="0"/>
        <w:ind w:left="851"/>
        <w:rPr>
          <w:sz w:val="24"/>
          <w:szCs w:val="24"/>
          <w:lang w:val="en-US"/>
        </w:rPr>
      </w:pPr>
      <w:r w:rsidRPr="009B3D03">
        <w:rPr>
          <w:rFonts w:eastAsia="SimSun"/>
          <w:sz w:val="24"/>
          <w:szCs w:val="24"/>
          <w:lang w:val="en-US" w:eastAsia="en-GB"/>
        </w:rPr>
        <w:t>Adverse reactions (Table 1) are listed by MedDRA system organ class and according to the MedDRA convention frequencies: Very common (≥1/10); common (≥1/100 to &lt;1/10); uncommon (≥1/1 000 to &lt;1/100); rare (≥1/10 000 to &lt;1/1 000); very rare (&lt;1/10 000).</w:t>
      </w:r>
    </w:p>
    <w:p w14:paraId="2AFFE7ED" w14:textId="77777777" w:rsidR="009B3D03" w:rsidRPr="009B3D03" w:rsidRDefault="009B3D03" w:rsidP="009B3D03">
      <w:pPr>
        <w:keepNext/>
        <w:tabs>
          <w:tab w:val="left" w:pos="1304"/>
        </w:tabs>
        <w:autoSpaceDE w:val="0"/>
        <w:autoSpaceDN w:val="0"/>
        <w:adjustRightInd w:val="0"/>
        <w:ind w:left="851"/>
        <w:rPr>
          <w:sz w:val="24"/>
          <w:szCs w:val="24"/>
          <w:lang w:val="en-US"/>
        </w:rPr>
      </w:pPr>
    </w:p>
    <w:p w14:paraId="36713861" w14:textId="77777777" w:rsidR="009B3D03" w:rsidRDefault="009B3D03" w:rsidP="00D54B54">
      <w:pPr>
        <w:keepNext/>
        <w:tabs>
          <w:tab w:val="left" w:pos="1304"/>
        </w:tabs>
        <w:autoSpaceDE w:val="0"/>
        <w:autoSpaceDN w:val="0"/>
        <w:adjustRightInd w:val="0"/>
        <w:ind w:left="851"/>
        <w:rPr>
          <w:b/>
          <w:bCs/>
          <w:szCs w:val="22"/>
        </w:rPr>
      </w:pPr>
      <w:r>
        <w:rPr>
          <w:b/>
          <w:bCs/>
          <w:szCs w:val="22"/>
        </w:rPr>
        <w:t>Table 1: List of adverse reactions</w:t>
      </w:r>
    </w:p>
    <w:tbl>
      <w:tblPr>
        <w:tblStyle w:val="Tabel-Gitter"/>
        <w:tblW w:w="0" w:type="auto"/>
        <w:tblInd w:w="846" w:type="dxa"/>
        <w:tblLayout w:type="fixed"/>
        <w:tblLook w:val="04A0" w:firstRow="1" w:lastRow="0" w:firstColumn="1" w:lastColumn="0" w:noHBand="0" w:noVBand="1"/>
      </w:tblPr>
      <w:tblGrid>
        <w:gridCol w:w="3020"/>
        <w:gridCol w:w="3020"/>
        <w:gridCol w:w="1468"/>
      </w:tblGrid>
      <w:tr w:rsidR="009B3D03" w14:paraId="044F7E17" w14:textId="77777777" w:rsidTr="00D54B54">
        <w:trPr>
          <w:trHeight w:val="287"/>
        </w:trPr>
        <w:tc>
          <w:tcPr>
            <w:tcW w:w="3020" w:type="dxa"/>
            <w:tcBorders>
              <w:top w:val="single" w:sz="4" w:space="0" w:color="auto"/>
              <w:left w:val="single" w:sz="4" w:space="0" w:color="auto"/>
              <w:bottom w:val="single" w:sz="4" w:space="0" w:color="auto"/>
              <w:right w:val="single" w:sz="4" w:space="0" w:color="auto"/>
            </w:tcBorders>
            <w:hideMark/>
          </w:tcPr>
          <w:p w14:paraId="308CAD71" w14:textId="77777777" w:rsidR="009B3D03" w:rsidRDefault="009B3D03">
            <w:pPr>
              <w:keepNext/>
              <w:tabs>
                <w:tab w:val="left" w:pos="1304"/>
              </w:tabs>
              <w:ind w:left="32" w:hanging="32"/>
              <w:jc w:val="both"/>
              <w:rPr>
                <w:szCs w:val="22"/>
              </w:rPr>
            </w:pPr>
            <w:r>
              <w:rPr>
                <w:rFonts w:eastAsia="Calibri"/>
                <w:b/>
                <w:bCs/>
                <w:szCs w:val="22"/>
              </w:rPr>
              <w:t>MedDRA system organ class</w:t>
            </w:r>
          </w:p>
        </w:tc>
        <w:tc>
          <w:tcPr>
            <w:tcW w:w="3020" w:type="dxa"/>
            <w:tcBorders>
              <w:top w:val="single" w:sz="4" w:space="0" w:color="auto"/>
              <w:left w:val="single" w:sz="4" w:space="0" w:color="auto"/>
              <w:bottom w:val="single" w:sz="4" w:space="0" w:color="auto"/>
              <w:right w:val="single" w:sz="4" w:space="0" w:color="auto"/>
            </w:tcBorders>
            <w:hideMark/>
          </w:tcPr>
          <w:p w14:paraId="1FE6977A" w14:textId="77777777" w:rsidR="009B3D03" w:rsidRDefault="009B3D03">
            <w:pPr>
              <w:keepNext/>
              <w:tabs>
                <w:tab w:val="left" w:pos="1304"/>
              </w:tabs>
              <w:rPr>
                <w:szCs w:val="22"/>
              </w:rPr>
            </w:pPr>
            <w:r>
              <w:rPr>
                <w:rFonts w:eastAsia="Calibri"/>
                <w:b/>
                <w:bCs/>
                <w:szCs w:val="22"/>
              </w:rPr>
              <w:t>Adverse reactions</w:t>
            </w:r>
          </w:p>
        </w:tc>
        <w:tc>
          <w:tcPr>
            <w:tcW w:w="1468" w:type="dxa"/>
            <w:tcBorders>
              <w:top w:val="single" w:sz="4" w:space="0" w:color="auto"/>
              <w:left w:val="single" w:sz="4" w:space="0" w:color="auto"/>
              <w:bottom w:val="single" w:sz="4" w:space="0" w:color="auto"/>
              <w:right w:val="single" w:sz="4" w:space="0" w:color="auto"/>
            </w:tcBorders>
            <w:hideMark/>
          </w:tcPr>
          <w:p w14:paraId="6C4DEB79" w14:textId="77777777" w:rsidR="009B3D03" w:rsidRDefault="009B3D03">
            <w:pPr>
              <w:keepNext/>
              <w:tabs>
                <w:tab w:val="left" w:pos="1304"/>
              </w:tabs>
              <w:rPr>
                <w:rFonts w:eastAsia="Calibri"/>
                <w:b/>
                <w:bCs/>
                <w:szCs w:val="22"/>
              </w:rPr>
            </w:pPr>
            <w:r>
              <w:rPr>
                <w:rFonts w:eastAsia="Calibri"/>
                <w:b/>
                <w:bCs/>
                <w:szCs w:val="22"/>
              </w:rPr>
              <w:t>Frequency</w:t>
            </w:r>
          </w:p>
        </w:tc>
      </w:tr>
      <w:tr w:rsidR="009B3D03" w14:paraId="2AB02244" w14:textId="77777777" w:rsidTr="00D54B54">
        <w:trPr>
          <w:trHeight w:val="287"/>
        </w:trPr>
        <w:tc>
          <w:tcPr>
            <w:tcW w:w="3020" w:type="dxa"/>
            <w:tcBorders>
              <w:top w:val="single" w:sz="4" w:space="0" w:color="auto"/>
              <w:left w:val="single" w:sz="4" w:space="0" w:color="auto"/>
              <w:bottom w:val="single" w:sz="4" w:space="0" w:color="auto"/>
              <w:right w:val="single" w:sz="4" w:space="0" w:color="auto"/>
            </w:tcBorders>
            <w:hideMark/>
          </w:tcPr>
          <w:p w14:paraId="78A4F904" w14:textId="77777777" w:rsidR="009B3D03" w:rsidRDefault="009B3D03">
            <w:pPr>
              <w:keepNext/>
              <w:tabs>
                <w:tab w:val="left" w:pos="1304"/>
              </w:tabs>
              <w:rPr>
                <w:rFonts w:eastAsia="Calibri"/>
                <w:szCs w:val="22"/>
              </w:rPr>
            </w:pPr>
            <w:r>
              <w:rPr>
                <w:rFonts w:eastAsia="Calibri"/>
                <w:szCs w:val="22"/>
              </w:rPr>
              <w:t>Nervous system disorders</w:t>
            </w:r>
          </w:p>
        </w:tc>
        <w:tc>
          <w:tcPr>
            <w:tcW w:w="3020" w:type="dxa"/>
            <w:tcBorders>
              <w:top w:val="single" w:sz="4" w:space="0" w:color="auto"/>
              <w:left w:val="single" w:sz="4" w:space="0" w:color="auto"/>
              <w:bottom w:val="single" w:sz="4" w:space="0" w:color="auto"/>
              <w:right w:val="single" w:sz="4" w:space="0" w:color="auto"/>
            </w:tcBorders>
            <w:hideMark/>
          </w:tcPr>
          <w:p w14:paraId="6BF20549" w14:textId="77777777" w:rsidR="009B3D03" w:rsidRDefault="009B3D03">
            <w:pPr>
              <w:keepNext/>
              <w:tabs>
                <w:tab w:val="left" w:pos="1304"/>
              </w:tabs>
              <w:rPr>
                <w:rFonts w:eastAsia="Calibri"/>
                <w:szCs w:val="22"/>
              </w:rPr>
            </w:pPr>
            <w:r>
              <w:rPr>
                <w:rFonts w:eastAsia="Calibri"/>
                <w:szCs w:val="22"/>
              </w:rPr>
              <w:t>Headache, dizziness, paraesthesia, insomnia</w:t>
            </w:r>
          </w:p>
        </w:tc>
        <w:tc>
          <w:tcPr>
            <w:tcW w:w="1468" w:type="dxa"/>
            <w:tcBorders>
              <w:top w:val="single" w:sz="4" w:space="0" w:color="auto"/>
              <w:left w:val="single" w:sz="4" w:space="0" w:color="auto"/>
              <w:bottom w:val="single" w:sz="4" w:space="0" w:color="auto"/>
              <w:right w:val="single" w:sz="4" w:space="0" w:color="auto"/>
            </w:tcBorders>
            <w:hideMark/>
          </w:tcPr>
          <w:p w14:paraId="3EC1C505" w14:textId="77777777" w:rsidR="009B3D03" w:rsidRDefault="009B3D03">
            <w:pPr>
              <w:keepNext/>
              <w:tabs>
                <w:tab w:val="left" w:pos="1304"/>
              </w:tabs>
              <w:rPr>
                <w:rFonts w:eastAsia="Times New Roman"/>
                <w:szCs w:val="22"/>
              </w:rPr>
            </w:pPr>
            <w:r>
              <w:rPr>
                <w:rFonts w:eastAsia="Calibri"/>
                <w:szCs w:val="22"/>
              </w:rPr>
              <w:t>Uncommon</w:t>
            </w:r>
          </w:p>
        </w:tc>
      </w:tr>
      <w:tr w:rsidR="009B3D03" w14:paraId="5DF28086" w14:textId="77777777" w:rsidTr="00D54B54">
        <w:trPr>
          <w:trHeight w:val="287"/>
        </w:trPr>
        <w:tc>
          <w:tcPr>
            <w:tcW w:w="3020" w:type="dxa"/>
            <w:tcBorders>
              <w:top w:val="single" w:sz="4" w:space="0" w:color="auto"/>
              <w:left w:val="single" w:sz="4" w:space="0" w:color="auto"/>
              <w:bottom w:val="single" w:sz="4" w:space="0" w:color="auto"/>
              <w:right w:val="single" w:sz="4" w:space="0" w:color="auto"/>
            </w:tcBorders>
            <w:hideMark/>
          </w:tcPr>
          <w:p w14:paraId="421F4F30" w14:textId="77777777" w:rsidR="009B3D03" w:rsidRDefault="009B3D03">
            <w:pPr>
              <w:tabs>
                <w:tab w:val="left" w:pos="1304"/>
              </w:tabs>
              <w:rPr>
                <w:szCs w:val="22"/>
              </w:rPr>
            </w:pPr>
            <w:r>
              <w:rPr>
                <w:rFonts w:eastAsia="Calibri"/>
                <w:szCs w:val="22"/>
              </w:rPr>
              <w:t>Gastrointestinal disorders</w:t>
            </w:r>
          </w:p>
        </w:tc>
        <w:tc>
          <w:tcPr>
            <w:tcW w:w="3020" w:type="dxa"/>
            <w:tcBorders>
              <w:top w:val="single" w:sz="4" w:space="0" w:color="auto"/>
              <w:left w:val="single" w:sz="4" w:space="0" w:color="auto"/>
              <w:bottom w:val="single" w:sz="4" w:space="0" w:color="auto"/>
              <w:right w:val="single" w:sz="4" w:space="0" w:color="auto"/>
            </w:tcBorders>
            <w:hideMark/>
          </w:tcPr>
          <w:p w14:paraId="462DBF07" w14:textId="77777777" w:rsidR="009B3D03" w:rsidRDefault="009B3D03">
            <w:pPr>
              <w:tabs>
                <w:tab w:val="left" w:pos="1304"/>
              </w:tabs>
              <w:rPr>
                <w:szCs w:val="22"/>
              </w:rPr>
            </w:pPr>
            <w:r>
              <w:rPr>
                <w:rFonts w:eastAsia="Calibri"/>
                <w:szCs w:val="22"/>
              </w:rPr>
              <w:t>Nausea, diarrhoea, dysphagia</w:t>
            </w:r>
          </w:p>
        </w:tc>
        <w:tc>
          <w:tcPr>
            <w:tcW w:w="1468" w:type="dxa"/>
            <w:tcBorders>
              <w:top w:val="single" w:sz="4" w:space="0" w:color="auto"/>
              <w:left w:val="single" w:sz="4" w:space="0" w:color="auto"/>
              <w:bottom w:val="single" w:sz="4" w:space="0" w:color="auto"/>
              <w:right w:val="single" w:sz="4" w:space="0" w:color="auto"/>
            </w:tcBorders>
            <w:hideMark/>
          </w:tcPr>
          <w:p w14:paraId="64063A2B" w14:textId="77777777" w:rsidR="009B3D03" w:rsidRDefault="009B3D03">
            <w:pPr>
              <w:tabs>
                <w:tab w:val="left" w:pos="1304"/>
              </w:tabs>
              <w:rPr>
                <w:rFonts w:eastAsia="Calibri"/>
                <w:szCs w:val="22"/>
              </w:rPr>
            </w:pPr>
            <w:r>
              <w:rPr>
                <w:szCs w:val="22"/>
              </w:rPr>
              <w:t>Uncommon</w:t>
            </w:r>
          </w:p>
        </w:tc>
      </w:tr>
      <w:tr w:rsidR="009B3D03" w14:paraId="6E96CEB9" w14:textId="77777777" w:rsidTr="00D54B54">
        <w:trPr>
          <w:trHeight w:val="287"/>
        </w:trPr>
        <w:tc>
          <w:tcPr>
            <w:tcW w:w="3020" w:type="dxa"/>
            <w:tcBorders>
              <w:top w:val="single" w:sz="4" w:space="0" w:color="auto"/>
              <w:left w:val="single" w:sz="4" w:space="0" w:color="auto"/>
              <w:bottom w:val="single" w:sz="4" w:space="0" w:color="auto"/>
              <w:right w:val="single" w:sz="4" w:space="0" w:color="auto"/>
            </w:tcBorders>
            <w:hideMark/>
          </w:tcPr>
          <w:p w14:paraId="3B398D04" w14:textId="77777777" w:rsidR="009B3D03" w:rsidRDefault="009B3D03">
            <w:pPr>
              <w:tabs>
                <w:tab w:val="left" w:pos="1304"/>
              </w:tabs>
              <w:rPr>
                <w:rFonts w:eastAsia="Times New Roman"/>
                <w:szCs w:val="22"/>
              </w:rPr>
            </w:pPr>
            <w:r>
              <w:rPr>
                <w:rFonts w:eastAsia="Calibri"/>
                <w:szCs w:val="22"/>
              </w:rPr>
              <w:t>Skin and subcutaneous tissue disorders</w:t>
            </w:r>
          </w:p>
        </w:tc>
        <w:tc>
          <w:tcPr>
            <w:tcW w:w="3020" w:type="dxa"/>
            <w:tcBorders>
              <w:top w:val="single" w:sz="4" w:space="0" w:color="auto"/>
              <w:left w:val="single" w:sz="4" w:space="0" w:color="auto"/>
              <w:bottom w:val="single" w:sz="4" w:space="0" w:color="auto"/>
              <w:right w:val="single" w:sz="4" w:space="0" w:color="auto"/>
            </w:tcBorders>
            <w:hideMark/>
          </w:tcPr>
          <w:p w14:paraId="29E3A15B" w14:textId="77777777" w:rsidR="009B3D03" w:rsidRDefault="009B3D03">
            <w:pPr>
              <w:tabs>
                <w:tab w:val="left" w:pos="1304"/>
              </w:tabs>
              <w:rPr>
                <w:szCs w:val="22"/>
              </w:rPr>
            </w:pPr>
            <w:r>
              <w:rPr>
                <w:rFonts w:eastAsia="Calibri"/>
                <w:szCs w:val="22"/>
              </w:rPr>
              <w:t>Rash</w:t>
            </w:r>
          </w:p>
        </w:tc>
        <w:tc>
          <w:tcPr>
            <w:tcW w:w="1468" w:type="dxa"/>
            <w:tcBorders>
              <w:top w:val="single" w:sz="4" w:space="0" w:color="auto"/>
              <w:left w:val="single" w:sz="4" w:space="0" w:color="auto"/>
              <w:bottom w:val="single" w:sz="4" w:space="0" w:color="auto"/>
              <w:right w:val="single" w:sz="4" w:space="0" w:color="auto"/>
            </w:tcBorders>
            <w:hideMark/>
          </w:tcPr>
          <w:p w14:paraId="1CB1DDCD" w14:textId="77777777" w:rsidR="009B3D03" w:rsidRDefault="009B3D03">
            <w:pPr>
              <w:tabs>
                <w:tab w:val="left" w:pos="1304"/>
              </w:tabs>
              <w:rPr>
                <w:rFonts w:eastAsia="Calibri"/>
                <w:szCs w:val="22"/>
              </w:rPr>
            </w:pPr>
            <w:r>
              <w:rPr>
                <w:rFonts w:eastAsia="Calibri"/>
                <w:szCs w:val="22"/>
              </w:rPr>
              <w:t>Uncommon</w:t>
            </w:r>
          </w:p>
        </w:tc>
      </w:tr>
      <w:tr w:rsidR="009B3D03" w14:paraId="30BA08CD" w14:textId="77777777" w:rsidTr="00D54B54">
        <w:trPr>
          <w:trHeight w:val="591"/>
        </w:trPr>
        <w:tc>
          <w:tcPr>
            <w:tcW w:w="3020" w:type="dxa"/>
            <w:tcBorders>
              <w:top w:val="single" w:sz="4" w:space="0" w:color="auto"/>
              <w:left w:val="single" w:sz="4" w:space="0" w:color="auto"/>
              <w:bottom w:val="single" w:sz="4" w:space="0" w:color="auto"/>
              <w:right w:val="single" w:sz="4" w:space="0" w:color="auto"/>
            </w:tcBorders>
            <w:hideMark/>
          </w:tcPr>
          <w:p w14:paraId="2A857376" w14:textId="77777777" w:rsidR="009B3D03" w:rsidRDefault="009B3D03">
            <w:pPr>
              <w:tabs>
                <w:tab w:val="left" w:pos="1304"/>
              </w:tabs>
              <w:rPr>
                <w:rFonts w:eastAsia="Times New Roman"/>
                <w:szCs w:val="22"/>
              </w:rPr>
            </w:pPr>
            <w:r>
              <w:rPr>
                <w:rFonts w:eastAsia="Calibri"/>
                <w:szCs w:val="22"/>
              </w:rPr>
              <w:t>General disorders and administration site conditions</w:t>
            </w:r>
          </w:p>
        </w:tc>
        <w:tc>
          <w:tcPr>
            <w:tcW w:w="3020" w:type="dxa"/>
            <w:tcBorders>
              <w:top w:val="single" w:sz="4" w:space="0" w:color="auto"/>
              <w:left w:val="single" w:sz="4" w:space="0" w:color="auto"/>
              <w:bottom w:val="single" w:sz="4" w:space="0" w:color="auto"/>
              <w:right w:val="single" w:sz="4" w:space="0" w:color="auto"/>
            </w:tcBorders>
            <w:hideMark/>
          </w:tcPr>
          <w:p w14:paraId="5CAB5134" w14:textId="77777777" w:rsidR="009B3D03" w:rsidRDefault="009B3D03">
            <w:pPr>
              <w:tabs>
                <w:tab w:val="left" w:pos="1304"/>
              </w:tabs>
              <w:rPr>
                <w:szCs w:val="22"/>
              </w:rPr>
            </w:pPr>
            <w:r>
              <w:rPr>
                <w:rFonts w:eastAsia="Calibri"/>
                <w:szCs w:val="22"/>
              </w:rPr>
              <w:t>Fatigue, injection site reactions*</w:t>
            </w:r>
          </w:p>
        </w:tc>
        <w:tc>
          <w:tcPr>
            <w:tcW w:w="1468" w:type="dxa"/>
            <w:tcBorders>
              <w:top w:val="single" w:sz="4" w:space="0" w:color="auto"/>
              <w:left w:val="single" w:sz="4" w:space="0" w:color="auto"/>
              <w:bottom w:val="single" w:sz="4" w:space="0" w:color="auto"/>
              <w:right w:val="single" w:sz="4" w:space="0" w:color="auto"/>
            </w:tcBorders>
            <w:hideMark/>
          </w:tcPr>
          <w:p w14:paraId="335721D7" w14:textId="77777777" w:rsidR="009B3D03" w:rsidRDefault="009B3D03">
            <w:pPr>
              <w:tabs>
                <w:tab w:val="left" w:pos="1304"/>
              </w:tabs>
              <w:rPr>
                <w:rFonts w:eastAsia="Calibri"/>
                <w:szCs w:val="22"/>
              </w:rPr>
            </w:pPr>
            <w:r>
              <w:rPr>
                <w:szCs w:val="22"/>
              </w:rPr>
              <w:t>Uncommon</w:t>
            </w:r>
          </w:p>
        </w:tc>
      </w:tr>
    </w:tbl>
    <w:p w14:paraId="6BF07630" w14:textId="77777777" w:rsidR="009B3D03" w:rsidRDefault="009B3D03" w:rsidP="00D54B54">
      <w:pPr>
        <w:tabs>
          <w:tab w:val="left" w:pos="1304"/>
        </w:tabs>
        <w:autoSpaceDE w:val="0"/>
        <w:autoSpaceDN w:val="0"/>
        <w:adjustRightInd w:val="0"/>
        <w:ind w:left="851"/>
        <w:rPr>
          <w:sz w:val="22"/>
          <w:szCs w:val="22"/>
          <w:lang w:val="en-GB" w:eastAsia="en-US"/>
        </w:rPr>
      </w:pPr>
      <w:r w:rsidRPr="009B3D03">
        <w:rPr>
          <w:szCs w:val="22"/>
          <w:lang w:val="en-US"/>
        </w:rPr>
        <w:t>* Injection site reactions include injection site burning, pruritus and injection site pain.</w:t>
      </w:r>
    </w:p>
    <w:p w14:paraId="02F307DA" w14:textId="77777777" w:rsidR="009B3D03" w:rsidRPr="009B3D03" w:rsidRDefault="009B3D03" w:rsidP="009B3D03">
      <w:pPr>
        <w:tabs>
          <w:tab w:val="left" w:pos="1304"/>
        </w:tabs>
        <w:autoSpaceDE w:val="0"/>
        <w:autoSpaceDN w:val="0"/>
        <w:adjustRightInd w:val="0"/>
        <w:ind w:left="851"/>
        <w:rPr>
          <w:sz w:val="24"/>
          <w:szCs w:val="24"/>
          <w:lang w:val="en-US"/>
        </w:rPr>
      </w:pPr>
    </w:p>
    <w:p w14:paraId="4080E5C6" w14:textId="77777777" w:rsidR="009B3D03" w:rsidRPr="009B3D03" w:rsidRDefault="009B3D03" w:rsidP="009B3D03">
      <w:pPr>
        <w:tabs>
          <w:tab w:val="left" w:pos="1304"/>
        </w:tabs>
        <w:autoSpaceDE w:val="0"/>
        <w:autoSpaceDN w:val="0"/>
        <w:adjustRightInd w:val="0"/>
        <w:ind w:left="851"/>
        <w:rPr>
          <w:sz w:val="24"/>
          <w:szCs w:val="24"/>
          <w:u w:val="single"/>
          <w:lang w:val="en-US"/>
        </w:rPr>
      </w:pPr>
      <w:r w:rsidRPr="009B3D03">
        <w:rPr>
          <w:sz w:val="24"/>
          <w:szCs w:val="24"/>
          <w:u w:val="single"/>
          <w:lang w:val="en-US"/>
        </w:rPr>
        <w:t>Reporting of suspected adverse reactions</w:t>
      </w:r>
    </w:p>
    <w:p w14:paraId="2BFBC3E3" w14:textId="77777777" w:rsidR="009B3D03" w:rsidRPr="009B3D03" w:rsidRDefault="009B3D03" w:rsidP="009B3D03">
      <w:pPr>
        <w:tabs>
          <w:tab w:val="left" w:pos="1304"/>
        </w:tabs>
        <w:autoSpaceDE w:val="0"/>
        <w:autoSpaceDN w:val="0"/>
        <w:adjustRightInd w:val="0"/>
        <w:ind w:left="851"/>
        <w:rPr>
          <w:sz w:val="24"/>
          <w:szCs w:val="24"/>
          <w:lang w:val="en-US"/>
        </w:rPr>
      </w:pPr>
      <w:r w:rsidRPr="009B3D03">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496959B" w14:textId="77777777" w:rsidR="009B3D03" w:rsidRPr="009B3D03" w:rsidRDefault="009B3D03" w:rsidP="009B3D03">
      <w:pPr>
        <w:tabs>
          <w:tab w:val="left" w:pos="1304"/>
        </w:tabs>
        <w:autoSpaceDE w:val="0"/>
        <w:autoSpaceDN w:val="0"/>
        <w:adjustRightInd w:val="0"/>
        <w:ind w:left="851"/>
        <w:rPr>
          <w:sz w:val="24"/>
          <w:szCs w:val="24"/>
          <w:lang w:val="en-US"/>
        </w:rPr>
      </w:pPr>
    </w:p>
    <w:p w14:paraId="4FF659B6" w14:textId="77777777" w:rsidR="009B3D03" w:rsidRPr="009B3D03" w:rsidRDefault="009B3D03" w:rsidP="009B3D03">
      <w:pPr>
        <w:ind w:left="851"/>
        <w:rPr>
          <w:rFonts w:eastAsia="Calibri"/>
          <w:color w:val="000000"/>
          <w:sz w:val="24"/>
          <w:szCs w:val="24"/>
          <w:lang w:eastAsia="zh-CN"/>
        </w:rPr>
      </w:pPr>
      <w:r w:rsidRPr="009B3D03">
        <w:rPr>
          <w:sz w:val="24"/>
          <w:szCs w:val="24"/>
        </w:rPr>
        <w:t>Lægemiddelstyrelsen</w:t>
      </w:r>
    </w:p>
    <w:p w14:paraId="38DC8571" w14:textId="77777777" w:rsidR="009B3D03" w:rsidRPr="009B3D03" w:rsidRDefault="009B3D03" w:rsidP="009B3D03">
      <w:pPr>
        <w:ind w:left="851"/>
        <w:rPr>
          <w:rFonts w:eastAsia="Calibri"/>
          <w:sz w:val="24"/>
          <w:szCs w:val="24"/>
          <w:lang w:eastAsia="zh-CN"/>
        </w:rPr>
      </w:pPr>
      <w:r w:rsidRPr="009B3D03">
        <w:rPr>
          <w:rFonts w:eastAsia="Calibri"/>
          <w:sz w:val="24"/>
          <w:szCs w:val="24"/>
          <w:lang w:eastAsia="zh-CN"/>
        </w:rPr>
        <w:t>Axel Heides Gade 1</w:t>
      </w:r>
    </w:p>
    <w:p w14:paraId="7EF81038" w14:textId="77777777" w:rsidR="009B3D03" w:rsidRPr="009B3D03" w:rsidRDefault="009B3D03" w:rsidP="009B3D03">
      <w:pPr>
        <w:ind w:left="851"/>
        <w:rPr>
          <w:rFonts w:eastAsia="Calibri"/>
          <w:sz w:val="24"/>
          <w:szCs w:val="24"/>
          <w:lang w:eastAsia="zh-CN"/>
        </w:rPr>
      </w:pPr>
      <w:r w:rsidRPr="009B3D03">
        <w:rPr>
          <w:rFonts w:eastAsia="Calibri"/>
          <w:sz w:val="24"/>
          <w:szCs w:val="24"/>
          <w:lang w:eastAsia="zh-CN"/>
        </w:rPr>
        <w:t>DK-2300 København S</w:t>
      </w:r>
    </w:p>
    <w:p w14:paraId="0D934230" w14:textId="2B2D4AB4" w:rsidR="009B3D03" w:rsidRPr="009B3D03" w:rsidRDefault="009B3D03" w:rsidP="009B3D03">
      <w:pPr>
        <w:tabs>
          <w:tab w:val="left" w:pos="-720"/>
        </w:tabs>
        <w:suppressAutoHyphens/>
        <w:ind w:left="851"/>
        <w:rPr>
          <w:rFonts w:eastAsia="Calibri"/>
          <w:sz w:val="24"/>
          <w:szCs w:val="24"/>
          <w:lang w:val="en-GB" w:eastAsia="zh-CN"/>
        </w:rPr>
      </w:pPr>
      <w:r w:rsidRPr="009B3D03">
        <w:rPr>
          <w:rFonts w:eastAsia="Calibri"/>
          <w:sz w:val="24"/>
          <w:szCs w:val="24"/>
          <w:lang w:val="en-US" w:eastAsia="zh-CN"/>
        </w:rPr>
        <w:t>Webs</w:t>
      </w:r>
      <w:r w:rsidR="00D54B54">
        <w:rPr>
          <w:rFonts w:eastAsia="Calibri"/>
          <w:sz w:val="24"/>
          <w:szCs w:val="24"/>
          <w:lang w:val="en-US" w:eastAsia="zh-CN"/>
        </w:rPr>
        <w:t>ite</w:t>
      </w:r>
      <w:r w:rsidRPr="009B3D03">
        <w:rPr>
          <w:rFonts w:eastAsia="Calibri"/>
          <w:sz w:val="24"/>
          <w:szCs w:val="24"/>
          <w:lang w:val="en-US" w:eastAsia="zh-CN"/>
        </w:rPr>
        <w:t xml:space="preserve">: </w:t>
      </w:r>
      <w:r w:rsidRPr="00D54B54">
        <w:rPr>
          <w:rFonts w:eastAsia="Calibri"/>
          <w:sz w:val="24"/>
          <w:szCs w:val="24"/>
          <w:lang w:val="en-US" w:eastAsia="zh-CN"/>
        </w:rPr>
        <w:t>www.meldenbivirkning.dk</w:t>
      </w:r>
    </w:p>
    <w:p w14:paraId="15E9E74B" w14:textId="77777777" w:rsidR="00114971" w:rsidRPr="009B3D03" w:rsidRDefault="00114971" w:rsidP="009B3D03">
      <w:pPr>
        <w:pStyle w:val="Sidehoved"/>
        <w:tabs>
          <w:tab w:val="clear" w:pos="4819"/>
          <w:tab w:val="clear" w:pos="9638"/>
          <w:tab w:val="left" w:pos="851"/>
        </w:tabs>
        <w:ind w:left="851"/>
        <w:rPr>
          <w:szCs w:val="24"/>
          <w:lang w:val="en-US"/>
        </w:rPr>
      </w:pPr>
    </w:p>
    <w:p w14:paraId="495AEA7C" w14:textId="77777777" w:rsidR="00114971" w:rsidRPr="009B3D03" w:rsidRDefault="00114971" w:rsidP="00114971">
      <w:pPr>
        <w:tabs>
          <w:tab w:val="left" w:pos="851"/>
        </w:tabs>
        <w:ind w:left="851" w:hanging="851"/>
        <w:rPr>
          <w:b/>
          <w:sz w:val="24"/>
          <w:szCs w:val="24"/>
          <w:lang w:val="en-US"/>
        </w:rPr>
      </w:pPr>
      <w:r w:rsidRPr="009B3D03">
        <w:rPr>
          <w:b/>
          <w:sz w:val="24"/>
          <w:szCs w:val="24"/>
          <w:lang w:val="en-US"/>
        </w:rPr>
        <w:t>4.9</w:t>
      </w:r>
      <w:r w:rsidRPr="009B3D03">
        <w:rPr>
          <w:b/>
          <w:sz w:val="24"/>
          <w:szCs w:val="24"/>
          <w:lang w:val="en-US"/>
        </w:rPr>
        <w:tab/>
        <w:t>Overdose</w:t>
      </w:r>
    </w:p>
    <w:p w14:paraId="21617D78" w14:textId="77777777" w:rsidR="00D67E30" w:rsidRPr="00D67E30" w:rsidRDefault="00D67E30" w:rsidP="00D67E30">
      <w:pPr>
        <w:tabs>
          <w:tab w:val="left" w:pos="851"/>
        </w:tabs>
        <w:ind w:left="851"/>
        <w:rPr>
          <w:sz w:val="24"/>
          <w:szCs w:val="24"/>
          <w:lang w:val="en-GB"/>
        </w:rPr>
      </w:pPr>
      <w:r w:rsidRPr="00D67E30">
        <w:rPr>
          <w:sz w:val="24"/>
          <w:szCs w:val="24"/>
          <w:lang w:val="en-GB"/>
        </w:rPr>
        <w:t>No cases of overdose have been reported.</w:t>
      </w:r>
    </w:p>
    <w:p w14:paraId="341723CC" w14:textId="77777777" w:rsidR="00D67E30" w:rsidRPr="00D67E30" w:rsidRDefault="00D67E30" w:rsidP="00D67E30">
      <w:pPr>
        <w:tabs>
          <w:tab w:val="left" w:pos="851"/>
        </w:tabs>
        <w:ind w:left="851"/>
        <w:rPr>
          <w:sz w:val="24"/>
          <w:szCs w:val="24"/>
          <w:lang w:val="en-GB"/>
        </w:rPr>
      </w:pPr>
    </w:p>
    <w:p w14:paraId="76C517F8" w14:textId="77777777" w:rsidR="00D67E30" w:rsidRPr="00D67E30" w:rsidRDefault="00D67E30" w:rsidP="00D67E30">
      <w:pPr>
        <w:tabs>
          <w:tab w:val="left" w:pos="851"/>
        </w:tabs>
        <w:ind w:left="851"/>
        <w:rPr>
          <w:sz w:val="24"/>
          <w:szCs w:val="24"/>
          <w:lang w:val="en-GB"/>
        </w:rPr>
      </w:pPr>
      <w:r w:rsidRPr="00D67E30">
        <w:rPr>
          <w:sz w:val="24"/>
          <w:szCs w:val="24"/>
          <w:lang w:val="en-GB"/>
        </w:rPr>
        <w:t>Gallium (</w:t>
      </w:r>
      <w:r w:rsidRPr="00D67E30">
        <w:rPr>
          <w:sz w:val="24"/>
          <w:szCs w:val="24"/>
          <w:vertAlign w:val="superscript"/>
          <w:lang w:val="en-GB"/>
        </w:rPr>
        <w:t>68</w:t>
      </w:r>
      <w:r w:rsidRPr="00D67E30">
        <w:rPr>
          <w:sz w:val="24"/>
          <w:szCs w:val="24"/>
          <w:lang w:val="en-GB"/>
        </w:rPr>
        <w:t>Ga) gozetotide is administered as a single dose for diagnostic use. Overdose due to repeated drug administrations is not likely.</w:t>
      </w:r>
    </w:p>
    <w:p w14:paraId="023578E6" w14:textId="77777777" w:rsidR="00D67E30" w:rsidRPr="00D67E30" w:rsidRDefault="00D67E30" w:rsidP="00D67E30">
      <w:pPr>
        <w:tabs>
          <w:tab w:val="left" w:pos="851"/>
        </w:tabs>
        <w:ind w:left="851"/>
        <w:rPr>
          <w:sz w:val="24"/>
          <w:szCs w:val="24"/>
          <w:lang w:val="en-GB"/>
        </w:rPr>
      </w:pPr>
    </w:p>
    <w:p w14:paraId="586BCBB9" w14:textId="77777777" w:rsidR="00D67E30" w:rsidRPr="00D67E30" w:rsidRDefault="00D67E30" w:rsidP="00D67E30">
      <w:pPr>
        <w:tabs>
          <w:tab w:val="left" w:pos="851"/>
        </w:tabs>
        <w:ind w:left="851"/>
        <w:rPr>
          <w:sz w:val="24"/>
          <w:szCs w:val="24"/>
          <w:lang w:val="en-GB"/>
        </w:rPr>
      </w:pPr>
      <w:r w:rsidRPr="00D67E30">
        <w:rPr>
          <w:sz w:val="24"/>
          <w:szCs w:val="24"/>
          <w:lang w:val="en-GB"/>
        </w:rPr>
        <w:t>In the event of an overdose of gallium (</w:t>
      </w:r>
      <w:r w:rsidRPr="00D67E30">
        <w:rPr>
          <w:sz w:val="24"/>
          <w:szCs w:val="24"/>
          <w:vertAlign w:val="superscript"/>
          <w:lang w:val="en-GB"/>
        </w:rPr>
        <w:t>68</w:t>
      </w:r>
      <w:r w:rsidRPr="00D67E30">
        <w:rPr>
          <w:sz w:val="24"/>
          <w:szCs w:val="24"/>
          <w:lang w:val="en-GB"/>
        </w:rPr>
        <w:t>Ga) gozetotide, reduce the radiation adsorbed dose to the patient where possible by increasing the elimination of the drug from the body using hydration and frequent bladder voiding. A diuretic might also be considered. If possible, an estimate of the radiation effective dose given to the patient should be made.</w:t>
      </w:r>
    </w:p>
    <w:p w14:paraId="6A992296" w14:textId="77777777" w:rsidR="00114971" w:rsidRPr="00D67E30" w:rsidRDefault="00114971" w:rsidP="00114971">
      <w:pPr>
        <w:tabs>
          <w:tab w:val="left" w:pos="851"/>
        </w:tabs>
        <w:ind w:left="851"/>
        <w:rPr>
          <w:sz w:val="24"/>
          <w:szCs w:val="24"/>
          <w:lang w:val="en-GB"/>
        </w:rPr>
      </w:pPr>
    </w:p>
    <w:p w14:paraId="0FD0C629" w14:textId="77777777" w:rsidR="00114971" w:rsidRPr="00D67E30" w:rsidRDefault="00114971" w:rsidP="00114971">
      <w:pPr>
        <w:tabs>
          <w:tab w:val="left" w:pos="851"/>
        </w:tabs>
        <w:ind w:left="851"/>
        <w:rPr>
          <w:sz w:val="24"/>
          <w:szCs w:val="24"/>
          <w:lang w:val="en-US"/>
        </w:rPr>
      </w:pPr>
    </w:p>
    <w:p w14:paraId="574EDB6D" w14:textId="77777777" w:rsidR="00114971" w:rsidRPr="00D67E30" w:rsidRDefault="00114971" w:rsidP="00114971">
      <w:pPr>
        <w:tabs>
          <w:tab w:val="left" w:pos="851"/>
        </w:tabs>
        <w:rPr>
          <w:b/>
          <w:sz w:val="24"/>
          <w:szCs w:val="24"/>
          <w:lang w:val="en-US"/>
        </w:rPr>
      </w:pPr>
      <w:r w:rsidRPr="00D67E30">
        <w:rPr>
          <w:b/>
          <w:sz w:val="24"/>
          <w:szCs w:val="24"/>
          <w:lang w:val="en-US"/>
        </w:rPr>
        <w:t>5.</w:t>
      </w:r>
      <w:r w:rsidRPr="00D67E30">
        <w:rPr>
          <w:b/>
          <w:sz w:val="24"/>
          <w:szCs w:val="24"/>
          <w:lang w:val="en-US"/>
        </w:rPr>
        <w:tab/>
        <w:t>PHARMACOLOGICAL PROPERTIES</w:t>
      </w:r>
    </w:p>
    <w:p w14:paraId="0744B7D9" w14:textId="77777777" w:rsidR="00114971" w:rsidRPr="00D67E30" w:rsidRDefault="00114971" w:rsidP="00114971">
      <w:pPr>
        <w:tabs>
          <w:tab w:val="left" w:pos="851"/>
        </w:tabs>
        <w:ind w:left="851"/>
        <w:rPr>
          <w:sz w:val="24"/>
          <w:szCs w:val="24"/>
          <w:lang w:val="en-US"/>
        </w:rPr>
      </w:pPr>
    </w:p>
    <w:p w14:paraId="724DABBD" w14:textId="77777777" w:rsidR="00114971" w:rsidRPr="00D67E30" w:rsidRDefault="00114971" w:rsidP="00114971">
      <w:pPr>
        <w:tabs>
          <w:tab w:val="left" w:pos="851"/>
        </w:tabs>
        <w:ind w:left="851" w:hanging="851"/>
        <w:rPr>
          <w:b/>
          <w:sz w:val="24"/>
          <w:szCs w:val="24"/>
          <w:lang w:val="en-US"/>
        </w:rPr>
      </w:pPr>
      <w:r w:rsidRPr="00D67E30">
        <w:rPr>
          <w:b/>
          <w:sz w:val="24"/>
          <w:szCs w:val="24"/>
          <w:lang w:val="en-US"/>
        </w:rPr>
        <w:t>5.1</w:t>
      </w:r>
      <w:r w:rsidRPr="00D67E30">
        <w:rPr>
          <w:b/>
          <w:sz w:val="24"/>
          <w:szCs w:val="24"/>
          <w:lang w:val="en-US"/>
        </w:rPr>
        <w:tab/>
        <w:t>Pharmacodynamic properties</w:t>
      </w:r>
      <w:r w:rsidRPr="00D67E30">
        <w:rPr>
          <w:b/>
          <w:sz w:val="24"/>
          <w:szCs w:val="24"/>
          <w:lang w:val="en-US"/>
        </w:rPr>
        <w:tab/>
      </w:r>
    </w:p>
    <w:p w14:paraId="2AA352AC" w14:textId="38A6835C" w:rsidR="00D67E30" w:rsidRPr="00D67E30" w:rsidRDefault="00D67E30" w:rsidP="00D67E30">
      <w:pPr>
        <w:pStyle w:val="Default"/>
        <w:keepNext/>
        <w:ind w:left="851"/>
        <w:rPr>
          <w:lang w:val="en-GB"/>
        </w:rPr>
      </w:pPr>
      <w:r w:rsidRPr="00D67E30">
        <w:rPr>
          <w:lang w:val="en-GB"/>
        </w:rPr>
        <w:t>Pharmacotherapeutic group: Other diagnostic radiopharmaceuticals for tumour detection, ATC code: V09IX14</w:t>
      </w:r>
      <w:r>
        <w:rPr>
          <w:lang w:val="en-GB"/>
        </w:rPr>
        <w:t>.</w:t>
      </w:r>
    </w:p>
    <w:p w14:paraId="56A74C80" w14:textId="77777777" w:rsidR="00D67E30" w:rsidRPr="00D67E30" w:rsidRDefault="00D67E30" w:rsidP="00D67E30">
      <w:pPr>
        <w:tabs>
          <w:tab w:val="left" w:pos="1304"/>
        </w:tabs>
        <w:ind w:left="851"/>
        <w:rPr>
          <w:rFonts w:eastAsia="SimSun"/>
          <w:color w:val="000000"/>
          <w:sz w:val="24"/>
          <w:szCs w:val="24"/>
          <w:u w:val="single"/>
          <w:lang w:val="en-GB" w:eastAsia="en-GB"/>
        </w:rPr>
      </w:pPr>
    </w:p>
    <w:p w14:paraId="6B2EB74B" w14:textId="77777777" w:rsidR="00D67E30" w:rsidRPr="00D67E30" w:rsidRDefault="00D67E30" w:rsidP="00D67E30">
      <w:pPr>
        <w:pStyle w:val="Default"/>
        <w:ind w:left="851"/>
        <w:rPr>
          <w:u w:val="single"/>
          <w:lang w:val="en-GB"/>
        </w:rPr>
      </w:pPr>
      <w:r w:rsidRPr="00D67E30">
        <w:rPr>
          <w:u w:val="single"/>
          <w:lang w:val="en-GB"/>
        </w:rPr>
        <w:t>Mechanism of action</w:t>
      </w:r>
    </w:p>
    <w:p w14:paraId="38477699" w14:textId="0E221140" w:rsidR="00D67E30" w:rsidRPr="00D67E30" w:rsidRDefault="00D67E30" w:rsidP="00D67E30">
      <w:pPr>
        <w:pStyle w:val="Default"/>
        <w:ind w:left="851"/>
        <w:rPr>
          <w:lang w:val="en-GB"/>
        </w:rPr>
      </w:pPr>
      <w:r w:rsidRPr="00D67E30">
        <w:rPr>
          <w:lang w:val="en-GB"/>
        </w:rPr>
        <w:t>Gallium (</w:t>
      </w:r>
      <w:r w:rsidRPr="00D67E30">
        <w:rPr>
          <w:vertAlign w:val="superscript"/>
          <w:lang w:val="en-GB"/>
        </w:rPr>
        <w:t>68</w:t>
      </w:r>
      <w:r w:rsidRPr="00D67E30">
        <w:rPr>
          <w:lang w:val="en-GB"/>
        </w:rPr>
        <w:t>Ga) gozetotide binds to prostate-specific membrane antigen (PSMA). It binds to cells that express PSMA, including malignant prostate cancer cells, which usually overexpress PSMA. Gallium (</w:t>
      </w:r>
      <w:r w:rsidRPr="00D67E30">
        <w:rPr>
          <w:vertAlign w:val="superscript"/>
          <w:lang w:val="en-GB"/>
        </w:rPr>
        <w:t>68</w:t>
      </w:r>
      <w:r w:rsidRPr="00D67E30">
        <w:rPr>
          <w:lang w:val="en-GB"/>
        </w:rPr>
        <w:t>Ga) is a β+ emitting radionuclide that allows positron emission tomography (PET).</w:t>
      </w:r>
    </w:p>
    <w:p w14:paraId="289D8C8C" w14:textId="77777777" w:rsidR="00D67E30" w:rsidRPr="00D67E30" w:rsidRDefault="00D67E30" w:rsidP="00D67E30">
      <w:pPr>
        <w:pStyle w:val="Default"/>
        <w:ind w:left="851"/>
        <w:rPr>
          <w:lang w:val="en-GB"/>
        </w:rPr>
      </w:pPr>
    </w:p>
    <w:p w14:paraId="3F259CD8" w14:textId="77777777" w:rsidR="00D67E30" w:rsidRPr="00D67E30" w:rsidRDefault="00D67E30" w:rsidP="00D67E30">
      <w:pPr>
        <w:pStyle w:val="Default"/>
        <w:ind w:left="851"/>
        <w:rPr>
          <w:u w:val="single"/>
          <w:lang w:val="en-GB"/>
        </w:rPr>
      </w:pPr>
      <w:r w:rsidRPr="00D67E30">
        <w:rPr>
          <w:u w:val="single"/>
          <w:lang w:val="en-GB"/>
        </w:rPr>
        <w:lastRenderedPageBreak/>
        <w:t>Pharmacodynamic effects</w:t>
      </w:r>
    </w:p>
    <w:p w14:paraId="6B89D364" w14:textId="77777777" w:rsidR="00D67E30" w:rsidRPr="00D67E30" w:rsidRDefault="00D67E30" w:rsidP="00D67E30">
      <w:pPr>
        <w:pStyle w:val="Default"/>
        <w:ind w:left="851"/>
        <w:rPr>
          <w:lang w:val="en-GB"/>
        </w:rPr>
      </w:pPr>
      <w:r w:rsidRPr="00D67E30">
        <w:rPr>
          <w:lang w:val="en-GB"/>
        </w:rPr>
        <w:t>At the chemical concentrations used for diagnostic examinations gallium (</w:t>
      </w:r>
      <w:r w:rsidRPr="00D67E30">
        <w:rPr>
          <w:vertAlign w:val="superscript"/>
          <w:lang w:val="en-GB"/>
        </w:rPr>
        <w:t>68</w:t>
      </w:r>
      <w:r w:rsidRPr="00D67E30">
        <w:rPr>
          <w:lang w:val="en-GB"/>
        </w:rPr>
        <w:t>Ga) gozetotide does not appear to have any pharmacodynamic activity.</w:t>
      </w:r>
    </w:p>
    <w:p w14:paraId="217F815E" w14:textId="77777777" w:rsidR="00D67E30" w:rsidRPr="00D67E30" w:rsidRDefault="00D67E30" w:rsidP="00D67E30">
      <w:pPr>
        <w:pStyle w:val="Default"/>
        <w:ind w:left="851"/>
        <w:rPr>
          <w:lang w:val="en-GB"/>
        </w:rPr>
      </w:pPr>
    </w:p>
    <w:p w14:paraId="3392A520" w14:textId="77777777" w:rsidR="00D67E30" w:rsidRPr="00D67E30" w:rsidRDefault="00D67E30" w:rsidP="00D67E30">
      <w:pPr>
        <w:pStyle w:val="Default"/>
        <w:ind w:left="851"/>
        <w:rPr>
          <w:highlight w:val="yellow"/>
          <w:u w:val="single"/>
          <w:lang w:val="en-GB"/>
        </w:rPr>
      </w:pPr>
      <w:r w:rsidRPr="00D67E30">
        <w:rPr>
          <w:u w:val="single"/>
          <w:lang w:val="en-GB"/>
        </w:rPr>
        <w:t>Clinical efficacy and safety</w:t>
      </w:r>
    </w:p>
    <w:p w14:paraId="1BD59C63" w14:textId="77777777" w:rsidR="00D67E30" w:rsidRPr="00D67E30" w:rsidRDefault="00D67E30" w:rsidP="00D67E30">
      <w:pPr>
        <w:tabs>
          <w:tab w:val="left" w:pos="1304"/>
        </w:tabs>
        <w:ind w:left="851"/>
        <w:rPr>
          <w:sz w:val="24"/>
          <w:szCs w:val="24"/>
          <w:u w:val="single"/>
          <w:lang w:val="en-GB"/>
        </w:rPr>
      </w:pPr>
    </w:p>
    <w:p w14:paraId="6CDD3AAF" w14:textId="77777777" w:rsidR="00D67E30" w:rsidRPr="00D67E30" w:rsidRDefault="00D67E30" w:rsidP="00D67E30">
      <w:pPr>
        <w:tabs>
          <w:tab w:val="left" w:pos="1304"/>
        </w:tabs>
        <w:ind w:left="851"/>
        <w:rPr>
          <w:i/>
          <w:iCs/>
          <w:sz w:val="24"/>
          <w:szCs w:val="24"/>
          <w:lang w:val="en-US"/>
        </w:rPr>
      </w:pPr>
      <w:r w:rsidRPr="00D67E30">
        <w:rPr>
          <w:i/>
          <w:iCs/>
          <w:sz w:val="24"/>
          <w:szCs w:val="24"/>
          <w:lang w:val="en-US"/>
        </w:rPr>
        <w:t>PSMA-pre-radical prostatectomy</w:t>
      </w:r>
    </w:p>
    <w:p w14:paraId="7E2138AB" w14:textId="77777777" w:rsidR="00D67E30" w:rsidRPr="00D67E30" w:rsidRDefault="00D67E30" w:rsidP="00D67E30">
      <w:pPr>
        <w:ind w:left="851"/>
        <w:rPr>
          <w:sz w:val="24"/>
          <w:szCs w:val="24"/>
          <w:lang w:val="en-US"/>
        </w:rPr>
      </w:pPr>
      <w:r w:rsidRPr="00D67E30">
        <w:rPr>
          <w:sz w:val="24"/>
          <w:szCs w:val="24"/>
          <w:lang w:val="en-US"/>
        </w:rPr>
        <w:t>In a prospective study by Hope et al. (2021), a total of 764 men with intermediate- to high-risk prostate cancer according to D’Amico criteria, who underwent a gallium (</w:t>
      </w:r>
      <w:r w:rsidRPr="00D67E30">
        <w:rPr>
          <w:sz w:val="24"/>
          <w:szCs w:val="24"/>
          <w:vertAlign w:val="superscript"/>
          <w:lang w:val="en-US"/>
        </w:rPr>
        <w:t>68</w:t>
      </w:r>
      <w:r w:rsidRPr="00D67E30">
        <w:rPr>
          <w:sz w:val="24"/>
          <w:szCs w:val="24"/>
          <w:lang w:val="en-US"/>
        </w:rPr>
        <w:t>Ga) gozetotide PET imaging scan, the sensitivity and specificity of (</w:t>
      </w:r>
      <w:r w:rsidRPr="00D67E30">
        <w:rPr>
          <w:sz w:val="24"/>
          <w:szCs w:val="24"/>
          <w:vertAlign w:val="superscript"/>
          <w:lang w:val="en-US"/>
        </w:rPr>
        <w:t>68</w:t>
      </w:r>
      <w:r w:rsidRPr="00D67E30">
        <w:rPr>
          <w:sz w:val="24"/>
          <w:szCs w:val="24"/>
          <w:lang w:val="en-US"/>
        </w:rPr>
        <w:t>Ga) gozetotide PET imaging was assessed using histopathology as the reference standard. Overall, 166 patients were assessed as intermediate-risk and 590 had a high-risk prostate cancer. In the surgery cohort, 49 patients had intermediate-risk, while 225 patients had high-risk prostate cancer.</w:t>
      </w:r>
    </w:p>
    <w:p w14:paraId="5B87E3F1" w14:textId="77777777" w:rsidR="00D67E30" w:rsidRPr="00D67E30" w:rsidRDefault="00D67E30" w:rsidP="00D67E30">
      <w:pPr>
        <w:ind w:left="851"/>
        <w:rPr>
          <w:sz w:val="24"/>
          <w:szCs w:val="24"/>
          <w:lang w:val="en-US"/>
        </w:rPr>
      </w:pPr>
    </w:p>
    <w:p w14:paraId="07407D14" w14:textId="77777777" w:rsidR="00D67E30" w:rsidRPr="00D67E30" w:rsidRDefault="00D67E30" w:rsidP="00D67E30">
      <w:pPr>
        <w:ind w:left="851"/>
        <w:rPr>
          <w:sz w:val="24"/>
          <w:szCs w:val="24"/>
          <w:lang w:val="en-US"/>
        </w:rPr>
      </w:pPr>
      <w:r w:rsidRPr="00D67E30">
        <w:rPr>
          <w:sz w:val="24"/>
          <w:szCs w:val="24"/>
          <w:lang w:val="en-US"/>
        </w:rPr>
        <w:t>Based on pathology reports, 75 of 277 patients (27%) had pelvic nodal metastasis. Results of gallium (</w:t>
      </w:r>
      <w:r w:rsidRPr="00D67E30">
        <w:rPr>
          <w:sz w:val="24"/>
          <w:szCs w:val="24"/>
          <w:vertAlign w:val="superscript"/>
          <w:lang w:val="en-US"/>
        </w:rPr>
        <w:t>68</w:t>
      </w:r>
      <w:r w:rsidRPr="00D67E30">
        <w:rPr>
          <w:sz w:val="24"/>
          <w:szCs w:val="24"/>
          <w:lang w:val="en-US"/>
        </w:rPr>
        <w:t>Ga) gozetotide PET were positive in 40 of 277 (14%), 2 of 277 (1%), and 7 of 277 (3%) of patients for pelvic nodal, extrapelvic nodal, and bone metastatic disease. Sensitivity, specificity, positive predictive value (PPV), and negative predictive value (NPV) for pelvic nodal metastases (summarised in Table 2) were 0.40 (95% CI, 0.34-0.46), 0.95 (95% CI, 0.92-0.97), 0.75 (95% CI, 0.70-0.80), and 0.81 (95% CI, 0.76-0.85), respectively. Of the 764 patients, 487 (64%) did not undergo prostatectomy, of which 108 were lost to follow-up. Patients with follow-up instead underwent radiotherapy (262 of 379 [69%]), systemic therapy (82 of 379 [22%]), surveillance (16 of 379 [4%]), or other treatments (19 of 379 [5%]).</w:t>
      </w:r>
    </w:p>
    <w:p w14:paraId="500B2AA7" w14:textId="77777777" w:rsidR="00D67E30" w:rsidRPr="00D67E30" w:rsidRDefault="00D67E30" w:rsidP="00D67E30">
      <w:pPr>
        <w:ind w:left="851"/>
        <w:rPr>
          <w:sz w:val="24"/>
          <w:szCs w:val="24"/>
          <w:lang w:val="en-US"/>
        </w:rPr>
      </w:pPr>
    </w:p>
    <w:p w14:paraId="57701FF5" w14:textId="77777777" w:rsidR="00D67E30" w:rsidRPr="00D67E30" w:rsidRDefault="00D67E30" w:rsidP="00D67E30">
      <w:pPr>
        <w:ind w:left="851"/>
        <w:rPr>
          <w:b/>
          <w:bCs/>
          <w:szCs w:val="22"/>
          <w:lang w:val="en-US"/>
        </w:rPr>
      </w:pPr>
      <w:r w:rsidRPr="00D67E30">
        <w:rPr>
          <w:b/>
          <w:bCs/>
          <w:szCs w:val="22"/>
          <w:lang w:val="en-US"/>
        </w:rPr>
        <w:t>Table 2: Patient-level performance of gallium (</w:t>
      </w:r>
      <w:r w:rsidRPr="00D67E30">
        <w:rPr>
          <w:b/>
          <w:bCs/>
          <w:szCs w:val="22"/>
          <w:vertAlign w:val="superscript"/>
          <w:lang w:val="en-US"/>
        </w:rPr>
        <w:t>68</w:t>
      </w:r>
      <w:r w:rsidRPr="00D67E30">
        <w:rPr>
          <w:b/>
          <w:bCs/>
          <w:szCs w:val="22"/>
          <w:lang w:val="en-US"/>
        </w:rPr>
        <w:t xml:space="preserve">Ga) gozetotide PET </w:t>
      </w:r>
      <w:r w:rsidRPr="00D67E30">
        <w:rPr>
          <w:b/>
          <w:bCs/>
          <w:szCs w:val="22"/>
          <w:lang w:val="en-US" w:eastAsia="nl-NL"/>
        </w:rPr>
        <w:t>for detection of pelvic lymph node metastasis</w:t>
      </w:r>
      <w:r w:rsidRPr="00D67E30">
        <w:rPr>
          <w:b/>
          <w:bCs/>
          <w:szCs w:val="22"/>
          <w:lang w:val="en-US"/>
        </w:rPr>
        <w:t xml:space="preserve"> (n=277)</w:t>
      </w:r>
    </w:p>
    <w:tbl>
      <w:tblPr>
        <w:tblStyle w:val="Tabel-Gitter"/>
        <w:tblW w:w="0" w:type="auto"/>
        <w:tblInd w:w="846" w:type="dxa"/>
        <w:tblLayout w:type="fixed"/>
        <w:tblLook w:val="04A0" w:firstRow="1" w:lastRow="0" w:firstColumn="1" w:lastColumn="0" w:noHBand="0" w:noVBand="1"/>
      </w:tblPr>
      <w:tblGrid>
        <w:gridCol w:w="2405"/>
        <w:gridCol w:w="3086"/>
      </w:tblGrid>
      <w:tr w:rsidR="00D67E30" w:rsidRPr="00D37150" w14:paraId="00A62E4A" w14:textId="77777777" w:rsidTr="00D67E30">
        <w:tc>
          <w:tcPr>
            <w:tcW w:w="2405" w:type="dxa"/>
            <w:tcBorders>
              <w:top w:val="single" w:sz="4" w:space="0" w:color="auto"/>
              <w:left w:val="single" w:sz="4" w:space="0" w:color="auto"/>
              <w:bottom w:val="single" w:sz="4" w:space="0" w:color="auto"/>
              <w:right w:val="single" w:sz="4" w:space="0" w:color="auto"/>
            </w:tcBorders>
            <w:hideMark/>
          </w:tcPr>
          <w:p w14:paraId="0386EB4D" w14:textId="77777777" w:rsidR="00D67E30" w:rsidRDefault="00D67E30">
            <w:pPr>
              <w:rPr>
                <w:b/>
                <w:bCs/>
                <w:szCs w:val="22"/>
              </w:rPr>
            </w:pPr>
            <w:r>
              <w:rPr>
                <w:b/>
                <w:bCs/>
                <w:szCs w:val="22"/>
              </w:rPr>
              <w:t>Per-patient values</w:t>
            </w:r>
          </w:p>
        </w:tc>
        <w:tc>
          <w:tcPr>
            <w:tcW w:w="3086" w:type="dxa"/>
            <w:tcBorders>
              <w:top w:val="single" w:sz="4" w:space="0" w:color="auto"/>
              <w:left w:val="single" w:sz="4" w:space="0" w:color="auto"/>
              <w:bottom w:val="single" w:sz="4" w:space="0" w:color="auto"/>
              <w:right w:val="single" w:sz="4" w:space="0" w:color="auto"/>
            </w:tcBorders>
            <w:hideMark/>
          </w:tcPr>
          <w:p w14:paraId="69FD8EA9" w14:textId="77777777" w:rsidR="00D67E30" w:rsidRDefault="00D67E30">
            <w:pPr>
              <w:rPr>
                <w:b/>
                <w:bCs/>
                <w:szCs w:val="22"/>
              </w:rPr>
            </w:pPr>
            <w:r>
              <w:rPr>
                <w:b/>
                <w:bCs/>
                <w:szCs w:val="22"/>
              </w:rPr>
              <w:t>Majority reads</w:t>
            </w:r>
          </w:p>
          <w:p w14:paraId="3F56D13F" w14:textId="77777777" w:rsidR="00D67E30" w:rsidRDefault="00D67E30">
            <w:pPr>
              <w:rPr>
                <w:b/>
                <w:bCs/>
                <w:szCs w:val="22"/>
              </w:rPr>
            </w:pPr>
            <w:r>
              <w:rPr>
                <w:b/>
                <w:bCs/>
                <w:szCs w:val="22"/>
              </w:rPr>
              <w:t>Mean value in % (95% CI)</w:t>
            </w:r>
          </w:p>
        </w:tc>
      </w:tr>
      <w:tr w:rsidR="00D67E30" w14:paraId="3BB4342F" w14:textId="77777777" w:rsidTr="00D67E30">
        <w:tc>
          <w:tcPr>
            <w:tcW w:w="2405" w:type="dxa"/>
            <w:tcBorders>
              <w:top w:val="single" w:sz="4" w:space="0" w:color="auto"/>
              <w:left w:val="single" w:sz="4" w:space="0" w:color="auto"/>
              <w:bottom w:val="single" w:sz="4" w:space="0" w:color="auto"/>
              <w:right w:val="single" w:sz="4" w:space="0" w:color="auto"/>
            </w:tcBorders>
            <w:hideMark/>
          </w:tcPr>
          <w:p w14:paraId="024A7C8B" w14:textId="77777777" w:rsidR="00D67E30" w:rsidRDefault="00D67E30">
            <w:pPr>
              <w:rPr>
                <w:szCs w:val="22"/>
              </w:rPr>
            </w:pPr>
            <w:r>
              <w:rPr>
                <w:szCs w:val="22"/>
              </w:rPr>
              <w:t>Sensitivity</w:t>
            </w:r>
          </w:p>
        </w:tc>
        <w:tc>
          <w:tcPr>
            <w:tcW w:w="3086" w:type="dxa"/>
            <w:tcBorders>
              <w:top w:val="single" w:sz="4" w:space="0" w:color="auto"/>
              <w:left w:val="single" w:sz="4" w:space="0" w:color="auto"/>
              <w:bottom w:val="single" w:sz="4" w:space="0" w:color="auto"/>
              <w:right w:val="single" w:sz="4" w:space="0" w:color="auto"/>
            </w:tcBorders>
            <w:hideMark/>
          </w:tcPr>
          <w:p w14:paraId="7E9881B0" w14:textId="77777777" w:rsidR="00D67E30" w:rsidRDefault="00D67E30">
            <w:pPr>
              <w:rPr>
                <w:szCs w:val="22"/>
              </w:rPr>
            </w:pPr>
            <w:r>
              <w:rPr>
                <w:szCs w:val="22"/>
              </w:rPr>
              <w:t>40 (34-46)</w:t>
            </w:r>
          </w:p>
        </w:tc>
      </w:tr>
      <w:tr w:rsidR="00D67E30" w14:paraId="01FBBF7B" w14:textId="77777777" w:rsidTr="00D67E30">
        <w:tc>
          <w:tcPr>
            <w:tcW w:w="2405" w:type="dxa"/>
            <w:tcBorders>
              <w:top w:val="single" w:sz="4" w:space="0" w:color="auto"/>
              <w:left w:val="single" w:sz="4" w:space="0" w:color="auto"/>
              <w:bottom w:val="single" w:sz="4" w:space="0" w:color="auto"/>
              <w:right w:val="single" w:sz="4" w:space="0" w:color="auto"/>
            </w:tcBorders>
            <w:hideMark/>
          </w:tcPr>
          <w:p w14:paraId="0B42C851" w14:textId="77777777" w:rsidR="00D67E30" w:rsidRDefault="00D67E30">
            <w:pPr>
              <w:rPr>
                <w:szCs w:val="22"/>
              </w:rPr>
            </w:pPr>
            <w:r>
              <w:rPr>
                <w:szCs w:val="22"/>
              </w:rPr>
              <w:t>Specificity</w:t>
            </w:r>
          </w:p>
        </w:tc>
        <w:tc>
          <w:tcPr>
            <w:tcW w:w="3086" w:type="dxa"/>
            <w:tcBorders>
              <w:top w:val="single" w:sz="4" w:space="0" w:color="auto"/>
              <w:left w:val="single" w:sz="4" w:space="0" w:color="auto"/>
              <w:bottom w:val="single" w:sz="4" w:space="0" w:color="auto"/>
              <w:right w:val="single" w:sz="4" w:space="0" w:color="auto"/>
            </w:tcBorders>
            <w:hideMark/>
          </w:tcPr>
          <w:p w14:paraId="1C0B8BB7" w14:textId="77777777" w:rsidR="00D67E30" w:rsidRDefault="00D67E30">
            <w:pPr>
              <w:rPr>
                <w:szCs w:val="22"/>
              </w:rPr>
            </w:pPr>
            <w:r>
              <w:rPr>
                <w:szCs w:val="22"/>
              </w:rPr>
              <w:t>95 (92-97)</w:t>
            </w:r>
          </w:p>
        </w:tc>
      </w:tr>
      <w:tr w:rsidR="00D67E30" w14:paraId="0B95CD64" w14:textId="77777777" w:rsidTr="00D67E30">
        <w:tc>
          <w:tcPr>
            <w:tcW w:w="2405" w:type="dxa"/>
            <w:tcBorders>
              <w:top w:val="single" w:sz="4" w:space="0" w:color="auto"/>
              <w:left w:val="single" w:sz="4" w:space="0" w:color="auto"/>
              <w:bottom w:val="single" w:sz="4" w:space="0" w:color="auto"/>
              <w:right w:val="single" w:sz="4" w:space="0" w:color="auto"/>
            </w:tcBorders>
            <w:hideMark/>
          </w:tcPr>
          <w:p w14:paraId="31ED768D" w14:textId="77777777" w:rsidR="00D67E30" w:rsidRDefault="00D67E30">
            <w:pPr>
              <w:rPr>
                <w:szCs w:val="22"/>
              </w:rPr>
            </w:pPr>
            <w:r>
              <w:rPr>
                <w:szCs w:val="22"/>
              </w:rPr>
              <w:t>PPV</w:t>
            </w:r>
          </w:p>
        </w:tc>
        <w:tc>
          <w:tcPr>
            <w:tcW w:w="3086" w:type="dxa"/>
            <w:tcBorders>
              <w:top w:val="single" w:sz="4" w:space="0" w:color="auto"/>
              <w:left w:val="single" w:sz="4" w:space="0" w:color="auto"/>
              <w:bottom w:val="single" w:sz="4" w:space="0" w:color="auto"/>
              <w:right w:val="single" w:sz="4" w:space="0" w:color="auto"/>
            </w:tcBorders>
            <w:hideMark/>
          </w:tcPr>
          <w:p w14:paraId="7DE9C0C9" w14:textId="77777777" w:rsidR="00D67E30" w:rsidRDefault="00D67E30">
            <w:pPr>
              <w:rPr>
                <w:szCs w:val="22"/>
              </w:rPr>
            </w:pPr>
            <w:r>
              <w:rPr>
                <w:szCs w:val="22"/>
              </w:rPr>
              <w:t>75 (70-80)</w:t>
            </w:r>
          </w:p>
        </w:tc>
      </w:tr>
      <w:tr w:rsidR="00D67E30" w14:paraId="2BCDF959" w14:textId="77777777" w:rsidTr="00D67E30">
        <w:tc>
          <w:tcPr>
            <w:tcW w:w="2405" w:type="dxa"/>
            <w:tcBorders>
              <w:top w:val="single" w:sz="4" w:space="0" w:color="auto"/>
              <w:left w:val="single" w:sz="4" w:space="0" w:color="auto"/>
              <w:bottom w:val="single" w:sz="4" w:space="0" w:color="auto"/>
              <w:right w:val="single" w:sz="4" w:space="0" w:color="auto"/>
            </w:tcBorders>
            <w:hideMark/>
          </w:tcPr>
          <w:p w14:paraId="0CF53E3D" w14:textId="77777777" w:rsidR="00D67E30" w:rsidRDefault="00D67E30">
            <w:pPr>
              <w:rPr>
                <w:szCs w:val="22"/>
              </w:rPr>
            </w:pPr>
            <w:r>
              <w:rPr>
                <w:szCs w:val="22"/>
              </w:rPr>
              <w:t>NPV</w:t>
            </w:r>
          </w:p>
        </w:tc>
        <w:tc>
          <w:tcPr>
            <w:tcW w:w="3086" w:type="dxa"/>
            <w:tcBorders>
              <w:top w:val="single" w:sz="4" w:space="0" w:color="auto"/>
              <w:left w:val="single" w:sz="4" w:space="0" w:color="auto"/>
              <w:bottom w:val="single" w:sz="4" w:space="0" w:color="auto"/>
              <w:right w:val="single" w:sz="4" w:space="0" w:color="auto"/>
            </w:tcBorders>
            <w:hideMark/>
          </w:tcPr>
          <w:p w14:paraId="37615385" w14:textId="77777777" w:rsidR="00D67E30" w:rsidRDefault="00D67E30">
            <w:pPr>
              <w:rPr>
                <w:szCs w:val="22"/>
              </w:rPr>
            </w:pPr>
            <w:r>
              <w:rPr>
                <w:szCs w:val="22"/>
              </w:rPr>
              <w:t xml:space="preserve">81 (76-85) </w:t>
            </w:r>
          </w:p>
        </w:tc>
      </w:tr>
    </w:tbl>
    <w:p w14:paraId="17E3919E" w14:textId="77777777" w:rsidR="00D67E30" w:rsidRPr="00D67E30" w:rsidRDefault="00D67E30" w:rsidP="00D67E30">
      <w:pPr>
        <w:pStyle w:val="Default"/>
        <w:ind w:left="851"/>
        <w:rPr>
          <w:highlight w:val="yellow"/>
          <w:lang w:val="en-GB"/>
        </w:rPr>
      </w:pPr>
    </w:p>
    <w:p w14:paraId="10561C6A" w14:textId="77777777" w:rsidR="00D67E30" w:rsidRPr="00D67E30" w:rsidRDefault="00D67E30" w:rsidP="00D67E30">
      <w:pPr>
        <w:pStyle w:val="Default"/>
        <w:ind w:left="851"/>
        <w:rPr>
          <w:i/>
          <w:iCs/>
          <w:lang w:val="en-GB"/>
        </w:rPr>
      </w:pPr>
      <w:r w:rsidRPr="00D67E30">
        <w:rPr>
          <w:i/>
          <w:iCs/>
          <w:lang w:val="en-GB"/>
        </w:rPr>
        <w:t>PSMA-biochemical recurrence (BCR)</w:t>
      </w:r>
    </w:p>
    <w:p w14:paraId="528CC2F5" w14:textId="77777777" w:rsidR="00D67E30" w:rsidRPr="00D67E30" w:rsidRDefault="00D67E30" w:rsidP="00D67E30">
      <w:pPr>
        <w:tabs>
          <w:tab w:val="left" w:pos="1304"/>
        </w:tabs>
        <w:ind w:left="851"/>
        <w:rPr>
          <w:sz w:val="24"/>
          <w:szCs w:val="24"/>
          <w:lang w:val="en-GB" w:eastAsia="nl-NL"/>
        </w:rPr>
      </w:pPr>
      <w:r w:rsidRPr="00D67E30">
        <w:rPr>
          <w:sz w:val="24"/>
          <w:szCs w:val="24"/>
          <w:lang w:val="en-US" w:eastAsia="nl-NL"/>
        </w:rPr>
        <w:t>In the study by Fendler et al, 2019, 635 adult male patients with histopathology-proven and biochemical recurrence (BCR) prostate cancer after prostatectomy (N=262), radiation therapy (N=169) or both (N=204) underwent gallium (</w:t>
      </w:r>
      <w:r w:rsidRPr="00D67E30">
        <w:rPr>
          <w:sz w:val="24"/>
          <w:szCs w:val="24"/>
          <w:vertAlign w:val="superscript"/>
          <w:lang w:val="en-US" w:eastAsia="nl-NL"/>
        </w:rPr>
        <w:t>68</w:t>
      </w:r>
      <w:r w:rsidRPr="00D67E30">
        <w:rPr>
          <w:sz w:val="24"/>
          <w:szCs w:val="24"/>
          <w:lang w:val="en-US" w:eastAsia="nl-NL"/>
        </w:rPr>
        <w:t>Ga) gozetotide PET/CT or PET/MRI imaging. BCR was defined by serum PSA of ≥0.2 ng/mL more than 6 weeks after prostatectomy or by an increase in serum PSA of at least 2 ng/mL above nadir after definitive radiotherapy. Patients had median PSA level of 2.1 ng/mL above nadir after radiation therapy (range: 0.1-1 154 ng/mL). A composite reference standard, including histopathology, serial serum PSA levels and imaging (CT, MRI, and/or bone scan) findings was available for 223 of 635 (35.1%) patients, while histopathology reference standard alone was available for 93 (14.6%) patients. PET/CT scans were read by 3 independent readers blinded to clinical information other than the type of primary therapy and most recent serum PSA level.</w:t>
      </w:r>
    </w:p>
    <w:p w14:paraId="7D201089" w14:textId="77777777" w:rsidR="00D67E30" w:rsidRPr="00D67E30" w:rsidRDefault="00D67E30" w:rsidP="00D67E30">
      <w:pPr>
        <w:tabs>
          <w:tab w:val="left" w:pos="1304"/>
        </w:tabs>
        <w:ind w:left="851"/>
        <w:rPr>
          <w:sz w:val="24"/>
          <w:szCs w:val="24"/>
          <w:lang w:val="en-US" w:eastAsia="nl-NL"/>
        </w:rPr>
      </w:pPr>
    </w:p>
    <w:p w14:paraId="52274850" w14:textId="77777777" w:rsidR="00D67E30" w:rsidRPr="00D67E30" w:rsidRDefault="00D67E30" w:rsidP="00D67E30">
      <w:pPr>
        <w:tabs>
          <w:tab w:val="left" w:pos="1304"/>
        </w:tabs>
        <w:ind w:left="851"/>
        <w:rPr>
          <w:sz w:val="24"/>
          <w:szCs w:val="24"/>
          <w:lang w:val="en-US" w:eastAsia="nl-NL"/>
        </w:rPr>
      </w:pPr>
      <w:r w:rsidRPr="00D67E30">
        <w:rPr>
          <w:sz w:val="24"/>
          <w:szCs w:val="24"/>
          <w:lang w:val="en-US" w:eastAsia="nl-NL"/>
        </w:rPr>
        <w:t>Detection of PSMA-positive lesions occurred in 475 of 635 (75%) patients receiving (</w:t>
      </w:r>
      <w:r w:rsidRPr="00D67E30">
        <w:rPr>
          <w:sz w:val="24"/>
          <w:szCs w:val="24"/>
          <w:vertAlign w:val="superscript"/>
          <w:lang w:val="en-US" w:eastAsia="nl-NL"/>
        </w:rPr>
        <w:t>68</w:t>
      </w:r>
      <w:r w:rsidRPr="00D67E30">
        <w:rPr>
          <w:sz w:val="24"/>
          <w:szCs w:val="24"/>
          <w:lang w:val="en-US" w:eastAsia="nl-NL"/>
        </w:rPr>
        <w:t>Ga) gozetotide and the detection rate was significantly increased with PSA levels. The detection rate of gallium (</w:t>
      </w:r>
      <w:r w:rsidRPr="00D67E30">
        <w:rPr>
          <w:sz w:val="24"/>
          <w:szCs w:val="24"/>
          <w:vertAlign w:val="superscript"/>
          <w:lang w:val="en-US" w:eastAsia="nl-NL"/>
        </w:rPr>
        <w:t>68</w:t>
      </w:r>
      <w:r w:rsidRPr="00D67E30">
        <w:rPr>
          <w:sz w:val="24"/>
          <w:szCs w:val="24"/>
          <w:lang w:val="en-US" w:eastAsia="nl-NL"/>
        </w:rPr>
        <w:t xml:space="preserve">Ga) gozetotide positive lesions increased with increasing serum </w:t>
      </w:r>
      <w:r w:rsidRPr="00D67E30">
        <w:rPr>
          <w:sz w:val="24"/>
          <w:szCs w:val="24"/>
          <w:lang w:val="en-US" w:eastAsia="nl-NL"/>
        </w:rPr>
        <w:lastRenderedPageBreak/>
        <w:t>PSA levels. Sensitivity, specificity, positive predictive value, and negative predictive value of gallium (</w:t>
      </w:r>
      <w:r w:rsidRPr="00D67E30">
        <w:rPr>
          <w:sz w:val="24"/>
          <w:szCs w:val="24"/>
          <w:vertAlign w:val="superscript"/>
          <w:lang w:val="en-US" w:eastAsia="nl-NL"/>
        </w:rPr>
        <w:t>68</w:t>
      </w:r>
      <w:r w:rsidRPr="00D67E30">
        <w:rPr>
          <w:sz w:val="24"/>
          <w:szCs w:val="24"/>
          <w:lang w:val="en-US" w:eastAsia="nl-NL"/>
        </w:rPr>
        <w:t xml:space="preserve">Ga) gozetotide PET/CT imaging are summarised in Table 3. Inter-reader Fleiss </w:t>
      </w:r>
      <w:r w:rsidRPr="00D67E30">
        <w:rPr>
          <w:sz w:val="24"/>
          <w:szCs w:val="24"/>
          <w:lang w:eastAsia="nl-NL"/>
        </w:rPr>
        <w:t>κ</w:t>
      </w:r>
      <w:r w:rsidRPr="00D67E30">
        <w:rPr>
          <w:sz w:val="24"/>
          <w:szCs w:val="24"/>
          <w:lang w:val="en-US" w:eastAsia="nl-NL"/>
        </w:rPr>
        <w:t xml:space="preserve"> for gallium (</w:t>
      </w:r>
      <w:r w:rsidRPr="00D67E30">
        <w:rPr>
          <w:sz w:val="24"/>
          <w:szCs w:val="24"/>
          <w:vertAlign w:val="superscript"/>
          <w:lang w:val="en-US" w:eastAsia="nl-NL"/>
        </w:rPr>
        <w:t>68</w:t>
      </w:r>
      <w:r w:rsidRPr="00D67E30">
        <w:rPr>
          <w:sz w:val="24"/>
          <w:szCs w:val="24"/>
          <w:lang w:val="en-US" w:eastAsia="nl-NL"/>
        </w:rPr>
        <w:t>Ga) gozetotide PET/CT imaging ranged from 0.65 (95% CI: 0.61, 0.70) to 0.78 (95% CI: 0.73, 0.82) across the assessed regions (prostate bed, pelvic nodes, extrapelvic soft tissues and bones).</w:t>
      </w:r>
    </w:p>
    <w:p w14:paraId="480DF84F" w14:textId="77777777" w:rsidR="00D67E30" w:rsidRPr="00D67E30" w:rsidRDefault="00D67E30" w:rsidP="00D67E30">
      <w:pPr>
        <w:tabs>
          <w:tab w:val="left" w:pos="1304"/>
        </w:tabs>
        <w:rPr>
          <w:szCs w:val="22"/>
          <w:lang w:val="en-US" w:eastAsia="nl-NL"/>
        </w:rPr>
      </w:pPr>
    </w:p>
    <w:p w14:paraId="5AFBC0F8" w14:textId="77777777" w:rsidR="00D67E30" w:rsidRPr="00D67E30" w:rsidRDefault="00D67E30" w:rsidP="00D67E30">
      <w:pPr>
        <w:tabs>
          <w:tab w:val="left" w:pos="1304"/>
        </w:tabs>
        <w:ind w:left="851"/>
        <w:rPr>
          <w:b/>
          <w:bCs/>
          <w:szCs w:val="22"/>
          <w:lang w:val="en-US" w:eastAsia="nl-NL"/>
        </w:rPr>
      </w:pPr>
      <w:r w:rsidRPr="00D67E30">
        <w:rPr>
          <w:b/>
          <w:bCs/>
          <w:szCs w:val="22"/>
          <w:lang w:val="en-US" w:eastAsia="nl-NL"/>
        </w:rPr>
        <w:t>Table 3: Diagnostic performance of gallium (</w:t>
      </w:r>
      <w:r w:rsidRPr="00D67E30">
        <w:rPr>
          <w:b/>
          <w:bCs/>
          <w:szCs w:val="22"/>
          <w:vertAlign w:val="superscript"/>
          <w:lang w:val="en-US" w:eastAsia="nl-NL"/>
        </w:rPr>
        <w:t>68</w:t>
      </w:r>
      <w:r w:rsidRPr="00D67E30">
        <w:rPr>
          <w:b/>
          <w:bCs/>
          <w:szCs w:val="22"/>
          <w:lang w:val="en-US" w:eastAsia="nl-NL"/>
        </w:rPr>
        <w:t>Ga) gozetotide PET/CT in patients with biochemically recurrent prostate cancer</w:t>
      </w:r>
    </w:p>
    <w:tbl>
      <w:tblPr>
        <w:tblStyle w:val="TableGrid1"/>
        <w:tblW w:w="0" w:type="auto"/>
        <w:tblInd w:w="846" w:type="dxa"/>
        <w:tblLayout w:type="fixed"/>
        <w:tblLook w:val="04A0" w:firstRow="1" w:lastRow="0" w:firstColumn="1" w:lastColumn="0" w:noHBand="0" w:noVBand="1"/>
      </w:tblPr>
      <w:tblGrid>
        <w:gridCol w:w="2547"/>
        <w:gridCol w:w="2268"/>
        <w:gridCol w:w="2693"/>
      </w:tblGrid>
      <w:tr w:rsidR="00D67E30" w14:paraId="5E5D952B" w14:textId="77777777" w:rsidTr="00D67E30">
        <w:tc>
          <w:tcPr>
            <w:tcW w:w="2547" w:type="dxa"/>
            <w:tcBorders>
              <w:top w:val="single" w:sz="4" w:space="0" w:color="auto"/>
              <w:left w:val="single" w:sz="4" w:space="0" w:color="auto"/>
              <w:bottom w:val="single" w:sz="4" w:space="0" w:color="auto"/>
              <w:right w:val="single" w:sz="4" w:space="0" w:color="auto"/>
            </w:tcBorders>
          </w:tcPr>
          <w:p w14:paraId="0726D4DF" w14:textId="77777777" w:rsidR="00D67E30" w:rsidRDefault="00D67E30">
            <w:pPr>
              <w:tabs>
                <w:tab w:val="left" w:pos="1304"/>
              </w:tabs>
              <w:rPr>
                <w:szCs w:val="22"/>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77C11C44" w14:textId="77777777" w:rsidR="00D67E30" w:rsidRDefault="00D67E30">
            <w:pPr>
              <w:tabs>
                <w:tab w:val="left" w:pos="1304"/>
              </w:tabs>
              <w:rPr>
                <w:szCs w:val="22"/>
                <w:lang w:val="da-DK" w:eastAsia="nl-NL"/>
              </w:rPr>
            </w:pPr>
            <w:r>
              <w:rPr>
                <w:szCs w:val="22"/>
                <w:lang w:val="da-DK" w:eastAsia="nl-NL"/>
              </w:rPr>
              <w:t>Composite reference standard</w:t>
            </w:r>
          </w:p>
        </w:tc>
        <w:tc>
          <w:tcPr>
            <w:tcW w:w="2693" w:type="dxa"/>
            <w:tcBorders>
              <w:top w:val="single" w:sz="4" w:space="0" w:color="auto"/>
              <w:left w:val="single" w:sz="4" w:space="0" w:color="auto"/>
              <w:bottom w:val="single" w:sz="4" w:space="0" w:color="auto"/>
              <w:right w:val="single" w:sz="4" w:space="0" w:color="auto"/>
            </w:tcBorders>
            <w:hideMark/>
          </w:tcPr>
          <w:p w14:paraId="466651D1" w14:textId="77777777" w:rsidR="00D67E30" w:rsidRDefault="00D67E30">
            <w:pPr>
              <w:tabs>
                <w:tab w:val="left" w:pos="1304"/>
              </w:tabs>
              <w:rPr>
                <w:szCs w:val="22"/>
                <w:lang w:val="da-DK" w:eastAsia="nl-NL"/>
              </w:rPr>
            </w:pPr>
            <w:r>
              <w:rPr>
                <w:szCs w:val="22"/>
                <w:lang w:val="da-DK" w:eastAsia="nl-NL"/>
              </w:rPr>
              <w:t>Histopathology reference standard</w:t>
            </w:r>
          </w:p>
        </w:tc>
      </w:tr>
      <w:tr w:rsidR="00D67E30" w14:paraId="6F8C8100" w14:textId="77777777" w:rsidTr="00D67E30">
        <w:tc>
          <w:tcPr>
            <w:tcW w:w="2547" w:type="dxa"/>
            <w:tcBorders>
              <w:top w:val="single" w:sz="4" w:space="0" w:color="auto"/>
              <w:left w:val="single" w:sz="4" w:space="0" w:color="auto"/>
              <w:bottom w:val="single" w:sz="4" w:space="0" w:color="auto"/>
              <w:right w:val="single" w:sz="4" w:space="0" w:color="auto"/>
            </w:tcBorders>
            <w:hideMark/>
          </w:tcPr>
          <w:p w14:paraId="47306F15" w14:textId="77777777" w:rsidR="00D67E30" w:rsidRDefault="00D67E30">
            <w:pPr>
              <w:tabs>
                <w:tab w:val="left" w:pos="1304"/>
              </w:tabs>
              <w:rPr>
                <w:szCs w:val="22"/>
                <w:lang w:val="da-DK" w:eastAsia="nl-NL"/>
              </w:rPr>
            </w:pPr>
            <w:r>
              <w:rPr>
                <w:szCs w:val="22"/>
                <w:lang w:val="da-DK" w:eastAsia="nl-NL"/>
              </w:rPr>
              <w:t>Number of patients</w:t>
            </w:r>
          </w:p>
        </w:tc>
        <w:tc>
          <w:tcPr>
            <w:tcW w:w="2268" w:type="dxa"/>
            <w:tcBorders>
              <w:top w:val="single" w:sz="4" w:space="0" w:color="auto"/>
              <w:left w:val="single" w:sz="4" w:space="0" w:color="auto"/>
              <w:bottom w:val="single" w:sz="4" w:space="0" w:color="auto"/>
              <w:right w:val="single" w:sz="4" w:space="0" w:color="auto"/>
            </w:tcBorders>
            <w:hideMark/>
          </w:tcPr>
          <w:p w14:paraId="28225804" w14:textId="77777777" w:rsidR="00D67E30" w:rsidRDefault="00D67E30">
            <w:pPr>
              <w:tabs>
                <w:tab w:val="left" w:pos="1304"/>
              </w:tabs>
              <w:rPr>
                <w:szCs w:val="22"/>
                <w:lang w:val="da-DK" w:eastAsia="nl-NL"/>
              </w:rPr>
            </w:pPr>
            <w:r>
              <w:rPr>
                <w:szCs w:val="22"/>
                <w:lang w:val="da-DK" w:eastAsia="nl-NL"/>
              </w:rPr>
              <w:t>233</w:t>
            </w:r>
          </w:p>
        </w:tc>
        <w:tc>
          <w:tcPr>
            <w:tcW w:w="2693" w:type="dxa"/>
            <w:tcBorders>
              <w:top w:val="single" w:sz="4" w:space="0" w:color="auto"/>
              <w:left w:val="single" w:sz="4" w:space="0" w:color="auto"/>
              <w:bottom w:val="single" w:sz="4" w:space="0" w:color="auto"/>
              <w:right w:val="single" w:sz="4" w:space="0" w:color="auto"/>
            </w:tcBorders>
            <w:hideMark/>
          </w:tcPr>
          <w:p w14:paraId="48974DB2" w14:textId="77777777" w:rsidR="00D67E30" w:rsidRDefault="00D67E30">
            <w:pPr>
              <w:tabs>
                <w:tab w:val="left" w:pos="1304"/>
              </w:tabs>
              <w:rPr>
                <w:szCs w:val="22"/>
                <w:lang w:val="da-DK" w:eastAsia="nl-NL"/>
              </w:rPr>
            </w:pPr>
            <w:r>
              <w:rPr>
                <w:szCs w:val="22"/>
                <w:lang w:val="da-DK" w:eastAsia="nl-NL"/>
              </w:rPr>
              <w:t>93</w:t>
            </w:r>
          </w:p>
        </w:tc>
      </w:tr>
      <w:tr w:rsidR="00D67E30" w14:paraId="579AFFDB" w14:textId="77777777" w:rsidTr="00D67E30">
        <w:tc>
          <w:tcPr>
            <w:tcW w:w="2547" w:type="dxa"/>
            <w:tcBorders>
              <w:top w:val="single" w:sz="4" w:space="0" w:color="auto"/>
              <w:left w:val="single" w:sz="4" w:space="0" w:color="auto"/>
              <w:bottom w:val="single" w:sz="4" w:space="0" w:color="auto"/>
              <w:right w:val="single" w:sz="4" w:space="0" w:color="auto"/>
            </w:tcBorders>
            <w:hideMark/>
          </w:tcPr>
          <w:p w14:paraId="7C3DC6F2" w14:textId="77777777" w:rsidR="00D67E30" w:rsidRDefault="00D67E30">
            <w:pPr>
              <w:tabs>
                <w:tab w:val="left" w:pos="1304"/>
              </w:tabs>
              <w:rPr>
                <w:szCs w:val="22"/>
                <w:lang w:val="da-DK" w:eastAsia="nl-NL"/>
              </w:rPr>
            </w:pPr>
            <w:r>
              <w:rPr>
                <w:szCs w:val="22"/>
                <w:lang w:val="da-DK" w:eastAsia="nl-NL"/>
              </w:rPr>
              <w:t>Sensitivity (%; 95% CI)</w:t>
            </w:r>
          </w:p>
          <w:p w14:paraId="69062C1F" w14:textId="77777777" w:rsidR="00D67E30" w:rsidRDefault="00D67E30">
            <w:pPr>
              <w:tabs>
                <w:tab w:val="left" w:pos="1304"/>
              </w:tabs>
              <w:rPr>
                <w:szCs w:val="22"/>
                <w:lang w:val="da-DK" w:eastAsia="nl-NL"/>
              </w:rPr>
            </w:pPr>
            <w:r>
              <w:rPr>
                <w:szCs w:val="22"/>
                <w:lang w:val="da-DK" w:eastAsia="nl-NL"/>
              </w:rPr>
              <w:t>per-patient</w:t>
            </w:r>
          </w:p>
        </w:tc>
        <w:tc>
          <w:tcPr>
            <w:tcW w:w="2268" w:type="dxa"/>
            <w:tcBorders>
              <w:top w:val="single" w:sz="4" w:space="0" w:color="auto"/>
              <w:left w:val="single" w:sz="4" w:space="0" w:color="auto"/>
              <w:bottom w:val="single" w:sz="4" w:space="0" w:color="auto"/>
              <w:right w:val="single" w:sz="4" w:space="0" w:color="auto"/>
            </w:tcBorders>
            <w:hideMark/>
          </w:tcPr>
          <w:p w14:paraId="2CD784FE" w14:textId="77777777" w:rsidR="00D67E30" w:rsidRDefault="00D67E30">
            <w:pPr>
              <w:tabs>
                <w:tab w:val="left" w:pos="1304"/>
              </w:tabs>
              <w:rPr>
                <w:szCs w:val="22"/>
                <w:lang w:val="da-DK" w:eastAsia="nl-NL"/>
              </w:rPr>
            </w:pPr>
            <w:r>
              <w:rPr>
                <w:szCs w:val="22"/>
                <w:lang w:val="da-DK" w:eastAsia="nl-NL"/>
              </w:rPr>
              <w:t>Not available</w:t>
            </w:r>
          </w:p>
        </w:tc>
        <w:tc>
          <w:tcPr>
            <w:tcW w:w="2693" w:type="dxa"/>
            <w:tcBorders>
              <w:top w:val="single" w:sz="4" w:space="0" w:color="auto"/>
              <w:left w:val="single" w:sz="4" w:space="0" w:color="auto"/>
              <w:bottom w:val="single" w:sz="4" w:space="0" w:color="auto"/>
              <w:right w:val="single" w:sz="4" w:space="0" w:color="auto"/>
            </w:tcBorders>
            <w:hideMark/>
          </w:tcPr>
          <w:p w14:paraId="6315D50B" w14:textId="77777777" w:rsidR="00D67E30" w:rsidRDefault="00D67E30">
            <w:pPr>
              <w:tabs>
                <w:tab w:val="left" w:pos="1304"/>
              </w:tabs>
              <w:rPr>
                <w:szCs w:val="22"/>
                <w:lang w:val="da-DK" w:eastAsia="nl-NL"/>
              </w:rPr>
            </w:pPr>
            <w:r>
              <w:rPr>
                <w:szCs w:val="22"/>
                <w:lang w:val="da-DK" w:eastAsia="nl-NL"/>
              </w:rPr>
              <w:t>92 (84-96)</w:t>
            </w:r>
          </w:p>
        </w:tc>
      </w:tr>
      <w:tr w:rsidR="00D67E30" w14:paraId="5FF5E047" w14:textId="77777777" w:rsidTr="00D67E30">
        <w:tc>
          <w:tcPr>
            <w:tcW w:w="2547" w:type="dxa"/>
            <w:tcBorders>
              <w:top w:val="single" w:sz="4" w:space="0" w:color="auto"/>
              <w:left w:val="single" w:sz="4" w:space="0" w:color="auto"/>
              <w:bottom w:val="single" w:sz="4" w:space="0" w:color="auto"/>
              <w:right w:val="single" w:sz="4" w:space="0" w:color="auto"/>
            </w:tcBorders>
            <w:hideMark/>
          </w:tcPr>
          <w:p w14:paraId="70564DDF" w14:textId="77777777" w:rsidR="00D67E30" w:rsidRDefault="00D67E30">
            <w:pPr>
              <w:tabs>
                <w:tab w:val="left" w:pos="1304"/>
              </w:tabs>
              <w:rPr>
                <w:szCs w:val="22"/>
                <w:lang w:val="da-DK" w:eastAsia="nl-NL"/>
              </w:rPr>
            </w:pPr>
            <w:r>
              <w:rPr>
                <w:szCs w:val="22"/>
                <w:lang w:val="da-DK" w:eastAsia="nl-NL"/>
              </w:rPr>
              <w:t>Specificity (%; 95% CI)</w:t>
            </w:r>
          </w:p>
          <w:p w14:paraId="39F651A2" w14:textId="77777777" w:rsidR="00D67E30" w:rsidRDefault="00D67E30">
            <w:pPr>
              <w:tabs>
                <w:tab w:val="left" w:pos="1304"/>
              </w:tabs>
              <w:rPr>
                <w:szCs w:val="22"/>
                <w:lang w:val="da-DK" w:eastAsia="nl-NL"/>
              </w:rPr>
            </w:pPr>
            <w:r>
              <w:rPr>
                <w:szCs w:val="22"/>
                <w:lang w:val="da-DK" w:eastAsia="nl-NL"/>
              </w:rPr>
              <w:t>per-patient</w:t>
            </w:r>
          </w:p>
        </w:tc>
        <w:tc>
          <w:tcPr>
            <w:tcW w:w="2268" w:type="dxa"/>
            <w:tcBorders>
              <w:top w:val="single" w:sz="4" w:space="0" w:color="auto"/>
              <w:left w:val="single" w:sz="4" w:space="0" w:color="auto"/>
              <w:bottom w:val="single" w:sz="4" w:space="0" w:color="auto"/>
              <w:right w:val="single" w:sz="4" w:space="0" w:color="auto"/>
            </w:tcBorders>
            <w:hideMark/>
          </w:tcPr>
          <w:p w14:paraId="39A683CD" w14:textId="77777777" w:rsidR="00D67E30" w:rsidRDefault="00D67E30">
            <w:pPr>
              <w:tabs>
                <w:tab w:val="left" w:pos="1304"/>
              </w:tabs>
              <w:rPr>
                <w:szCs w:val="22"/>
                <w:lang w:val="da-DK" w:eastAsia="nl-NL"/>
              </w:rPr>
            </w:pPr>
            <w:r>
              <w:rPr>
                <w:szCs w:val="22"/>
                <w:lang w:val="da-DK" w:eastAsia="nl-NL"/>
              </w:rPr>
              <w:t>Not available</w:t>
            </w:r>
          </w:p>
        </w:tc>
        <w:tc>
          <w:tcPr>
            <w:tcW w:w="2693" w:type="dxa"/>
            <w:tcBorders>
              <w:top w:val="single" w:sz="4" w:space="0" w:color="auto"/>
              <w:left w:val="single" w:sz="4" w:space="0" w:color="auto"/>
              <w:bottom w:val="single" w:sz="4" w:space="0" w:color="auto"/>
              <w:right w:val="single" w:sz="4" w:space="0" w:color="auto"/>
            </w:tcBorders>
            <w:hideMark/>
          </w:tcPr>
          <w:p w14:paraId="441B220B" w14:textId="77777777" w:rsidR="00D67E30" w:rsidRDefault="00D67E30">
            <w:pPr>
              <w:tabs>
                <w:tab w:val="left" w:pos="1304"/>
              </w:tabs>
              <w:rPr>
                <w:szCs w:val="22"/>
                <w:lang w:val="da-DK" w:eastAsia="nl-NL"/>
              </w:rPr>
            </w:pPr>
            <w:r>
              <w:rPr>
                <w:szCs w:val="22"/>
                <w:lang w:val="da-DK" w:eastAsia="nl-NL"/>
              </w:rPr>
              <w:t>90 (82-95)</w:t>
            </w:r>
          </w:p>
        </w:tc>
      </w:tr>
      <w:tr w:rsidR="00D67E30" w14:paraId="66078BE9" w14:textId="77777777" w:rsidTr="00D67E30">
        <w:tc>
          <w:tcPr>
            <w:tcW w:w="2547" w:type="dxa"/>
            <w:tcBorders>
              <w:top w:val="single" w:sz="4" w:space="0" w:color="auto"/>
              <w:left w:val="single" w:sz="4" w:space="0" w:color="auto"/>
              <w:bottom w:val="single" w:sz="4" w:space="0" w:color="auto"/>
              <w:right w:val="single" w:sz="4" w:space="0" w:color="auto"/>
            </w:tcBorders>
            <w:hideMark/>
          </w:tcPr>
          <w:p w14:paraId="76A9ED4A" w14:textId="77777777" w:rsidR="00D67E30" w:rsidRDefault="00D67E30">
            <w:pPr>
              <w:tabs>
                <w:tab w:val="left" w:pos="1304"/>
              </w:tabs>
              <w:rPr>
                <w:szCs w:val="22"/>
                <w:lang w:val="da-DK" w:eastAsia="nl-NL"/>
              </w:rPr>
            </w:pPr>
            <w:r>
              <w:rPr>
                <w:szCs w:val="22"/>
                <w:lang w:val="da-DK" w:eastAsia="nl-NL"/>
              </w:rPr>
              <w:t>PPV (%; 95% CI)</w:t>
            </w:r>
          </w:p>
          <w:p w14:paraId="7001267E" w14:textId="77777777" w:rsidR="00D67E30" w:rsidRDefault="00D67E30">
            <w:pPr>
              <w:tabs>
                <w:tab w:val="left" w:pos="1304"/>
              </w:tabs>
              <w:rPr>
                <w:szCs w:val="22"/>
                <w:lang w:val="da-DK" w:eastAsia="nl-NL"/>
              </w:rPr>
            </w:pPr>
            <w:r>
              <w:rPr>
                <w:szCs w:val="22"/>
                <w:lang w:val="da-DK" w:eastAsia="nl-NL"/>
              </w:rPr>
              <w:t>per-patient</w:t>
            </w:r>
          </w:p>
        </w:tc>
        <w:tc>
          <w:tcPr>
            <w:tcW w:w="2268" w:type="dxa"/>
            <w:tcBorders>
              <w:top w:val="single" w:sz="4" w:space="0" w:color="auto"/>
              <w:left w:val="single" w:sz="4" w:space="0" w:color="auto"/>
              <w:bottom w:val="single" w:sz="4" w:space="0" w:color="auto"/>
              <w:right w:val="single" w:sz="4" w:space="0" w:color="auto"/>
            </w:tcBorders>
            <w:hideMark/>
          </w:tcPr>
          <w:p w14:paraId="772E9E4A" w14:textId="77777777" w:rsidR="00D67E30" w:rsidRDefault="00D67E30">
            <w:pPr>
              <w:tabs>
                <w:tab w:val="left" w:pos="1304"/>
              </w:tabs>
              <w:rPr>
                <w:szCs w:val="22"/>
                <w:lang w:val="da-DK" w:eastAsia="nl-NL"/>
              </w:rPr>
            </w:pPr>
            <w:r>
              <w:rPr>
                <w:szCs w:val="22"/>
                <w:lang w:val="da-DK" w:eastAsia="nl-NL"/>
              </w:rPr>
              <w:t>92 (88-95)</w:t>
            </w:r>
          </w:p>
        </w:tc>
        <w:tc>
          <w:tcPr>
            <w:tcW w:w="2693" w:type="dxa"/>
            <w:tcBorders>
              <w:top w:val="single" w:sz="4" w:space="0" w:color="auto"/>
              <w:left w:val="single" w:sz="4" w:space="0" w:color="auto"/>
              <w:bottom w:val="single" w:sz="4" w:space="0" w:color="auto"/>
              <w:right w:val="single" w:sz="4" w:space="0" w:color="auto"/>
            </w:tcBorders>
            <w:hideMark/>
          </w:tcPr>
          <w:p w14:paraId="527B7A16" w14:textId="77777777" w:rsidR="00D67E30" w:rsidRDefault="00D67E30">
            <w:pPr>
              <w:tabs>
                <w:tab w:val="left" w:pos="1304"/>
              </w:tabs>
              <w:rPr>
                <w:szCs w:val="22"/>
                <w:lang w:val="da-DK" w:eastAsia="nl-NL"/>
              </w:rPr>
            </w:pPr>
            <w:r>
              <w:rPr>
                <w:szCs w:val="22"/>
                <w:lang w:val="da-DK" w:eastAsia="nl-NL"/>
              </w:rPr>
              <w:t>84 (75-90)</w:t>
            </w:r>
          </w:p>
        </w:tc>
      </w:tr>
      <w:tr w:rsidR="00D67E30" w14:paraId="211A5C20" w14:textId="77777777" w:rsidTr="00D67E30">
        <w:tc>
          <w:tcPr>
            <w:tcW w:w="2547" w:type="dxa"/>
            <w:tcBorders>
              <w:top w:val="single" w:sz="4" w:space="0" w:color="auto"/>
              <w:left w:val="single" w:sz="4" w:space="0" w:color="auto"/>
              <w:bottom w:val="single" w:sz="4" w:space="0" w:color="auto"/>
              <w:right w:val="single" w:sz="4" w:space="0" w:color="auto"/>
            </w:tcBorders>
            <w:hideMark/>
          </w:tcPr>
          <w:p w14:paraId="4A8F5564" w14:textId="77777777" w:rsidR="00D67E30" w:rsidRDefault="00D67E30">
            <w:pPr>
              <w:tabs>
                <w:tab w:val="left" w:pos="1304"/>
              </w:tabs>
              <w:rPr>
                <w:szCs w:val="22"/>
                <w:lang w:val="da-DK" w:eastAsia="nl-NL"/>
              </w:rPr>
            </w:pPr>
            <w:r>
              <w:rPr>
                <w:szCs w:val="22"/>
                <w:lang w:val="da-DK" w:eastAsia="nl-NL"/>
              </w:rPr>
              <w:t>NPV (%; 95% CI)</w:t>
            </w:r>
          </w:p>
          <w:p w14:paraId="77CBBECF" w14:textId="77777777" w:rsidR="00D67E30" w:rsidRDefault="00D67E30">
            <w:pPr>
              <w:tabs>
                <w:tab w:val="left" w:pos="1304"/>
              </w:tabs>
              <w:rPr>
                <w:szCs w:val="22"/>
                <w:lang w:val="da-DK" w:eastAsia="nl-NL"/>
              </w:rPr>
            </w:pPr>
            <w:r>
              <w:rPr>
                <w:szCs w:val="22"/>
                <w:lang w:val="da-DK" w:eastAsia="nl-NL"/>
              </w:rPr>
              <w:t>per-patient</w:t>
            </w:r>
          </w:p>
        </w:tc>
        <w:tc>
          <w:tcPr>
            <w:tcW w:w="2268" w:type="dxa"/>
            <w:tcBorders>
              <w:top w:val="single" w:sz="4" w:space="0" w:color="auto"/>
              <w:left w:val="single" w:sz="4" w:space="0" w:color="auto"/>
              <w:bottom w:val="single" w:sz="4" w:space="0" w:color="auto"/>
              <w:right w:val="single" w:sz="4" w:space="0" w:color="auto"/>
            </w:tcBorders>
            <w:hideMark/>
          </w:tcPr>
          <w:p w14:paraId="5E63F11A" w14:textId="77777777" w:rsidR="00D67E30" w:rsidRDefault="00D67E30">
            <w:pPr>
              <w:tabs>
                <w:tab w:val="left" w:pos="1304"/>
              </w:tabs>
              <w:rPr>
                <w:szCs w:val="22"/>
                <w:lang w:val="da-DK" w:eastAsia="nl-NL"/>
              </w:rPr>
            </w:pPr>
            <w:r>
              <w:rPr>
                <w:szCs w:val="22"/>
                <w:lang w:val="da-DK" w:eastAsia="nl-NL"/>
              </w:rPr>
              <w:t>92 (88-85)</w:t>
            </w:r>
          </w:p>
        </w:tc>
        <w:tc>
          <w:tcPr>
            <w:tcW w:w="2693" w:type="dxa"/>
            <w:tcBorders>
              <w:top w:val="single" w:sz="4" w:space="0" w:color="auto"/>
              <w:left w:val="single" w:sz="4" w:space="0" w:color="auto"/>
              <w:bottom w:val="single" w:sz="4" w:space="0" w:color="auto"/>
              <w:right w:val="single" w:sz="4" w:space="0" w:color="auto"/>
            </w:tcBorders>
            <w:hideMark/>
          </w:tcPr>
          <w:p w14:paraId="3B254D7C" w14:textId="77777777" w:rsidR="00D67E30" w:rsidRDefault="00D67E30">
            <w:pPr>
              <w:tabs>
                <w:tab w:val="left" w:pos="1304"/>
              </w:tabs>
              <w:rPr>
                <w:szCs w:val="22"/>
                <w:lang w:val="da-DK" w:eastAsia="nl-NL"/>
              </w:rPr>
            </w:pPr>
            <w:r>
              <w:rPr>
                <w:szCs w:val="22"/>
                <w:lang w:val="da-DK" w:eastAsia="nl-NL"/>
              </w:rPr>
              <w:t>84 (76-91)</w:t>
            </w:r>
          </w:p>
        </w:tc>
      </w:tr>
    </w:tbl>
    <w:p w14:paraId="0B4CF572" w14:textId="77777777" w:rsidR="00D67E30" w:rsidRDefault="00D67E30" w:rsidP="00D67E30">
      <w:pPr>
        <w:tabs>
          <w:tab w:val="left" w:pos="1304"/>
        </w:tabs>
        <w:rPr>
          <w:i/>
          <w:iCs/>
          <w:sz w:val="22"/>
          <w:szCs w:val="22"/>
          <w:highlight w:val="yellow"/>
          <w:lang w:val="en-GB" w:eastAsia="en-US"/>
        </w:rPr>
      </w:pPr>
    </w:p>
    <w:p w14:paraId="2270C446" w14:textId="77777777" w:rsidR="00D67E30" w:rsidRPr="00D67E30" w:rsidRDefault="00D67E30" w:rsidP="00D67E30">
      <w:pPr>
        <w:numPr>
          <w:ilvl w:val="12"/>
          <w:numId w:val="0"/>
        </w:numPr>
        <w:tabs>
          <w:tab w:val="left" w:pos="1304"/>
        </w:tabs>
        <w:ind w:left="851" w:right="-2"/>
        <w:rPr>
          <w:iCs/>
          <w:noProof/>
          <w:sz w:val="24"/>
          <w:szCs w:val="24"/>
          <w:u w:val="single"/>
        </w:rPr>
      </w:pPr>
      <w:r w:rsidRPr="00D67E30">
        <w:rPr>
          <w:iCs/>
          <w:noProof/>
          <w:sz w:val="24"/>
          <w:szCs w:val="24"/>
          <w:u w:val="single"/>
        </w:rPr>
        <w:t>Paediatric population</w:t>
      </w:r>
    </w:p>
    <w:p w14:paraId="6BEB5F16" w14:textId="77777777" w:rsidR="00D67E30" w:rsidRPr="00D67E30" w:rsidRDefault="00D67E30" w:rsidP="00D67E30">
      <w:pPr>
        <w:numPr>
          <w:ilvl w:val="12"/>
          <w:numId w:val="0"/>
        </w:numPr>
        <w:tabs>
          <w:tab w:val="left" w:pos="1304"/>
        </w:tabs>
        <w:ind w:left="851" w:right="-2"/>
        <w:rPr>
          <w:iCs/>
          <w:noProof/>
          <w:sz w:val="24"/>
          <w:szCs w:val="24"/>
          <w:lang w:val="en-US"/>
        </w:rPr>
      </w:pPr>
      <w:r w:rsidRPr="00D67E30">
        <w:rPr>
          <w:iCs/>
          <w:noProof/>
          <w:sz w:val="24"/>
          <w:szCs w:val="24"/>
          <w:lang w:val="en-US"/>
        </w:rPr>
        <w:t>The European Medicines Agency has waived the obligation to submit the results of studies with Isoprotrace in all subsets of the paediatric population in visualisation of prostate specific membrane antigen in prostate cancer (see section 4.2 for information on paediatric use).</w:t>
      </w:r>
    </w:p>
    <w:p w14:paraId="4360E205" w14:textId="77777777" w:rsidR="00114971" w:rsidRPr="00D67E30" w:rsidRDefault="00114971" w:rsidP="00D67E30">
      <w:pPr>
        <w:tabs>
          <w:tab w:val="left" w:pos="851"/>
        </w:tabs>
        <w:ind w:left="851"/>
        <w:rPr>
          <w:sz w:val="24"/>
          <w:szCs w:val="24"/>
          <w:lang w:val="en-US"/>
        </w:rPr>
      </w:pPr>
    </w:p>
    <w:p w14:paraId="76CBAF88" w14:textId="77777777" w:rsidR="00114971" w:rsidRPr="00D37150" w:rsidRDefault="00114971" w:rsidP="00114971">
      <w:pPr>
        <w:tabs>
          <w:tab w:val="left" w:pos="851"/>
        </w:tabs>
        <w:ind w:left="851" w:hanging="851"/>
        <w:rPr>
          <w:b/>
          <w:sz w:val="24"/>
          <w:szCs w:val="24"/>
          <w:lang w:val="en-US"/>
        </w:rPr>
      </w:pPr>
      <w:r w:rsidRPr="00D37150">
        <w:rPr>
          <w:b/>
          <w:sz w:val="24"/>
          <w:szCs w:val="24"/>
          <w:lang w:val="en-US"/>
        </w:rPr>
        <w:t>5.2</w:t>
      </w:r>
      <w:r w:rsidRPr="00D37150">
        <w:rPr>
          <w:b/>
          <w:sz w:val="24"/>
          <w:szCs w:val="24"/>
          <w:lang w:val="en-US"/>
        </w:rPr>
        <w:tab/>
        <w:t>Pharmacokinetic properties</w:t>
      </w:r>
      <w:r w:rsidRPr="00D37150">
        <w:rPr>
          <w:b/>
          <w:sz w:val="24"/>
          <w:szCs w:val="24"/>
          <w:lang w:val="en-US"/>
        </w:rPr>
        <w:tab/>
      </w:r>
    </w:p>
    <w:p w14:paraId="3F195407" w14:textId="77777777" w:rsidR="00C46466" w:rsidRPr="00C46466" w:rsidRDefault="00C46466" w:rsidP="00C46466">
      <w:pPr>
        <w:tabs>
          <w:tab w:val="left" w:pos="851"/>
        </w:tabs>
        <w:ind w:left="851"/>
        <w:rPr>
          <w:b/>
          <w:sz w:val="24"/>
          <w:szCs w:val="24"/>
          <w:lang w:val="en-GB"/>
        </w:rPr>
      </w:pPr>
    </w:p>
    <w:p w14:paraId="49B95B52" w14:textId="77777777" w:rsidR="00C46466" w:rsidRPr="00C46466" w:rsidRDefault="00C46466" w:rsidP="00C46466">
      <w:pPr>
        <w:tabs>
          <w:tab w:val="left" w:pos="851"/>
        </w:tabs>
        <w:ind w:left="851"/>
        <w:rPr>
          <w:sz w:val="24"/>
          <w:szCs w:val="24"/>
          <w:u w:val="single"/>
          <w:lang w:val="en-GB"/>
        </w:rPr>
      </w:pPr>
      <w:r w:rsidRPr="00C46466">
        <w:rPr>
          <w:sz w:val="24"/>
          <w:szCs w:val="24"/>
          <w:u w:val="single"/>
          <w:lang w:val="en-GB"/>
        </w:rPr>
        <w:t>Distribution</w:t>
      </w:r>
    </w:p>
    <w:p w14:paraId="4FC849CC" w14:textId="77777777" w:rsidR="00C46466" w:rsidRPr="00C46466" w:rsidRDefault="00C46466" w:rsidP="00C46466">
      <w:pPr>
        <w:tabs>
          <w:tab w:val="left" w:pos="851"/>
        </w:tabs>
        <w:ind w:left="851"/>
        <w:rPr>
          <w:sz w:val="24"/>
          <w:szCs w:val="24"/>
          <w:lang w:val="en-GB"/>
        </w:rPr>
      </w:pPr>
      <w:r w:rsidRPr="00C46466">
        <w:rPr>
          <w:sz w:val="24"/>
          <w:szCs w:val="24"/>
          <w:lang w:val="en-GB"/>
        </w:rPr>
        <w:t>After intravenous administration, gallium (</w:t>
      </w:r>
      <w:r w:rsidRPr="00C46466">
        <w:rPr>
          <w:sz w:val="24"/>
          <w:szCs w:val="24"/>
          <w:vertAlign w:val="superscript"/>
          <w:lang w:val="en-GB"/>
        </w:rPr>
        <w:t>68</w:t>
      </w:r>
      <w:r w:rsidRPr="00C46466">
        <w:rPr>
          <w:sz w:val="24"/>
          <w:szCs w:val="24"/>
          <w:lang w:val="en-GB"/>
        </w:rPr>
        <w:t>Ga) gozetotide is rapidly eliminated from the blood. Already after 5 to 10 minutes, accumulation of the gallium (</w:t>
      </w:r>
      <w:r w:rsidRPr="00C46466">
        <w:rPr>
          <w:sz w:val="24"/>
          <w:szCs w:val="24"/>
          <w:vertAlign w:val="superscript"/>
          <w:lang w:val="en-GB"/>
        </w:rPr>
        <w:t>68</w:t>
      </w:r>
      <w:r w:rsidRPr="00C46466">
        <w:rPr>
          <w:sz w:val="24"/>
          <w:szCs w:val="24"/>
          <w:lang w:val="en-GB"/>
        </w:rPr>
        <w:t>Ga) gozetotide is seen in the kidneys, as well as in tumours expressing PSMA receptors.</w:t>
      </w:r>
    </w:p>
    <w:p w14:paraId="51C3E6C2" w14:textId="77777777" w:rsidR="00C46466" w:rsidRPr="00C46466" w:rsidRDefault="00C46466" w:rsidP="00C46466">
      <w:pPr>
        <w:tabs>
          <w:tab w:val="left" w:pos="851"/>
        </w:tabs>
        <w:ind w:left="851"/>
        <w:rPr>
          <w:sz w:val="24"/>
          <w:szCs w:val="24"/>
          <w:lang w:val="en-GB"/>
        </w:rPr>
      </w:pPr>
    </w:p>
    <w:p w14:paraId="63787D89" w14:textId="77777777" w:rsidR="00C46466" w:rsidRPr="00C46466" w:rsidRDefault="00C46466" w:rsidP="00C46466">
      <w:pPr>
        <w:tabs>
          <w:tab w:val="left" w:pos="851"/>
        </w:tabs>
        <w:ind w:left="851"/>
        <w:rPr>
          <w:sz w:val="24"/>
          <w:szCs w:val="24"/>
          <w:u w:val="single"/>
          <w:lang w:val="en-GB"/>
        </w:rPr>
      </w:pPr>
      <w:r w:rsidRPr="00C46466">
        <w:rPr>
          <w:sz w:val="24"/>
          <w:szCs w:val="24"/>
          <w:u w:val="single"/>
          <w:lang w:val="en-GB"/>
        </w:rPr>
        <w:t>Organ uptake</w:t>
      </w:r>
    </w:p>
    <w:p w14:paraId="3EFD2CC5" w14:textId="77777777" w:rsidR="00C46466" w:rsidRPr="00C46466" w:rsidRDefault="00C46466" w:rsidP="00C46466">
      <w:pPr>
        <w:tabs>
          <w:tab w:val="left" w:pos="851"/>
        </w:tabs>
        <w:ind w:left="851"/>
        <w:rPr>
          <w:sz w:val="24"/>
          <w:szCs w:val="24"/>
          <w:lang w:val="en-GB"/>
        </w:rPr>
      </w:pPr>
      <w:r w:rsidRPr="00C46466">
        <w:rPr>
          <w:sz w:val="24"/>
          <w:szCs w:val="24"/>
          <w:lang w:val="en-GB"/>
        </w:rPr>
        <w:t>The highest radiation absorbed dose of gallium (</w:t>
      </w:r>
      <w:r w:rsidRPr="00C46466">
        <w:rPr>
          <w:sz w:val="24"/>
          <w:szCs w:val="24"/>
          <w:vertAlign w:val="superscript"/>
          <w:lang w:val="en-GB"/>
        </w:rPr>
        <w:t>68</w:t>
      </w:r>
      <w:r w:rsidRPr="00C46466">
        <w:rPr>
          <w:sz w:val="24"/>
          <w:szCs w:val="24"/>
          <w:lang w:val="en-GB"/>
        </w:rPr>
        <w:t>Ga) gozetotide occurred in the kidneys, lacrimal glands, salivary glands, urinary bladder wall and liver (see section 11).</w:t>
      </w:r>
    </w:p>
    <w:p w14:paraId="11AB5FE7" w14:textId="77777777" w:rsidR="00C46466" w:rsidRPr="00C46466" w:rsidRDefault="00C46466" w:rsidP="00C46466">
      <w:pPr>
        <w:tabs>
          <w:tab w:val="left" w:pos="851"/>
        </w:tabs>
        <w:ind w:left="851"/>
        <w:rPr>
          <w:sz w:val="24"/>
          <w:szCs w:val="24"/>
          <w:lang w:val="en-GB"/>
        </w:rPr>
      </w:pPr>
    </w:p>
    <w:p w14:paraId="768AEEB1" w14:textId="77777777" w:rsidR="00C46466" w:rsidRPr="00C46466" w:rsidRDefault="00C46466" w:rsidP="00C46466">
      <w:pPr>
        <w:tabs>
          <w:tab w:val="left" w:pos="851"/>
        </w:tabs>
        <w:ind w:left="851"/>
        <w:rPr>
          <w:sz w:val="24"/>
          <w:szCs w:val="24"/>
          <w:lang w:val="en-GB"/>
        </w:rPr>
      </w:pPr>
      <w:r w:rsidRPr="00C46466">
        <w:rPr>
          <w:sz w:val="24"/>
          <w:szCs w:val="24"/>
          <w:lang w:val="en-GB"/>
        </w:rPr>
        <w:t>Maximal values of the tumour/background ratio are observed between 1 and 2 hours after injection. Cancer lesions are still visible after 3 hours. However, it is critical that the patient has voided just prior to imaging.</w:t>
      </w:r>
    </w:p>
    <w:p w14:paraId="4AF3EAF8" w14:textId="77777777" w:rsidR="00C46466" w:rsidRPr="00C46466" w:rsidRDefault="00C46466" w:rsidP="00C46466">
      <w:pPr>
        <w:tabs>
          <w:tab w:val="left" w:pos="851"/>
        </w:tabs>
        <w:ind w:left="851"/>
        <w:rPr>
          <w:sz w:val="24"/>
          <w:szCs w:val="24"/>
          <w:u w:val="single"/>
          <w:lang w:val="en-GB"/>
        </w:rPr>
      </w:pPr>
    </w:p>
    <w:p w14:paraId="0A8A10E0" w14:textId="77777777" w:rsidR="00C46466" w:rsidRPr="00C46466" w:rsidRDefault="00C46466" w:rsidP="00C46466">
      <w:pPr>
        <w:tabs>
          <w:tab w:val="left" w:pos="851"/>
        </w:tabs>
        <w:ind w:left="851"/>
        <w:rPr>
          <w:sz w:val="24"/>
          <w:szCs w:val="24"/>
          <w:u w:val="single"/>
          <w:lang w:val="en-GB"/>
        </w:rPr>
      </w:pPr>
      <w:r w:rsidRPr="00C46466">
        <w:rPr>
          <w:sz w:val="24"/>
          <w:szCs w:val="24"/>
          <w:u w:val="single"/>
          <w:lang w:val="en-GB"/>
        </w:rPr>
        <w:t>Biotransformation</w:t>
      </w:r>
    </w:p>
    <w:p w14:paraId="7F0E0C8F" w14:textId="77777777" w:rsidR="00C46466" w:rsidRPr="00C46466" w:rsidRDefault="00C46466" w:rsidP="00C46466">
      <w:pPr>
        <w:tabs>
          <w:tab w:val="left" w:pos="851"/>
        </w:tabs>
        <w:ind w:left="851"/>
        <w:rPr>
          <w:sz w:val="24"/>
          <w:szCs w:val="24"/>
          <w:lang w:val="en-GB"/>
        </w:rPr>
      </w:pPr>
      <w:r w:rsidRPr="00C46466">
        <w:rPr>
          <w:sz w:val="24"/>
          <w:szCs w:val="24"/>
          <w:lang w:val="en-GB"/>
        </w:rPr>
        <w:t xml:space="preserve">Based on </w:t>
      </w:r>
      <w:r w:rsidRPr="00C46466">
        <w:rPr>
          <w:i/>
          <w:iCs/>
          <w:sz w:val="24"/>
          <w:szCs w:val="24"/>
          <w:lang w:val="en-GB"/>
        </w:rPr>
        <w:t>in vitro</w:t>
      </w:r>
      <w:r w:rsidRPr="00C46466">
        <w:rPr>
          <w:sz w:val="24"/>
          <w:szCs w:val="24"/>
          <w:lang w:val="en-GB"/>
        </w:rPr>
        <w:t xml:space="preserve"> data, gallium (</w:t>
      </w:r>
      <w:r w:rsidRPr="00C46466">
        <w:rPr>
          <w:sz w:val="24"/>
          <w:szCs w:val="24"/>
          <w:vertAlign w:val="superscript"/>
          <w:lang w:val="en-GB"/>
        </w:rPr>
        <w:t>68</w:t>
      </w:r>
      <w:r w:rsidRPr="00C46466">
        <w:rPr>
          <w:sz w:val="24"/>
          <w:szCs w:val="24"/>
          <w:lang w:val="en-GB"/>
        </w:rPr>
        <w:t>Ga) gozetotide undergoes negligible hepatic and renal metabolism.</w:t>
      </w:r>
    </w:p>
    <w:p w14:paraId="5904CEF2" w14:textId="77777777" w:rsidR="00C46466" w:rsidRPr="00C46466" w:rsidRDefault="00C46466" w:rsidP="00C46466">
      <w:pPr>
        <w:tabs>
          <w:tab w:val="left" w:pos="851"/>
        </w:tabs>
        <w:ind w:left="851"/>
        <w:rPr>
          <w:sz w:val="24"/>
          <w:szCs w:val="24"/>
          <w:lang w:val="en-GB"/>
        </w:rPr>
      </w:pPr>
    </w:p>
    <w:p w14:paraId="288403A4" w14:textId="77777777" w:rsidR="00C46466" w:rsidRPr="00C46466" w:rsidRDefault="00C46466" w:rsidP="00C46466">
      <w:pPr>
        <w:tabs>
          <w:tab w:val="left" w:pos="851"/>
        </w:tabs>
        <w:ind w:left="851"/>
        <w:rPr>
          <w:sz w:val="24"/>
          <w:szCs w:val="24"/>
          <w:u w:val="single"/>
          <w:lang w:val="en-GB"/>
        </w:rPr>
      </w:pPr>
      <w:r w:rsidRPr="00C46466">
        <w:rPr>
          <w:sz w:val="24"/>
          <w:szCs w:val="24"/>
          <w:u w:val="single"/>
          <w:lang w:val="en-GB"/>
        </w:rPr>
        <w:t>Elimination</w:t>
      </w:r>
    </w:p>
    <w:p w14:paraId="04B31D3C" w14:textId="77777777" w:rsidR="00C46466" w:rsidRPr="00C46466" w:rsidRDefault="00C46466" w:rsidP="00C46466">
      <w:pPr>
        <w:tabs>
          <w:tab w:val="left" w:pos="851"/>
        </w:tabs>
        <w:ind w:left="851"/>
        <w:rPr>
          <w:sz w:val="24"/>
          <w:szCs w:val="24"/>
          <w:lang w:val="en-GB"/>
        </w:rPr>
      </w:pPr>
      <w:r w:rsidRPr="00C46466">
        <w:rPr>
          <w:sz w:val="24"/>
          <w:szCs w:val="24"/>
          <w:lang w:val="en-GB"/>
        </w:rPr>
        <w:t>Gallium (</w:t>
      </w:r>
      <w:r w:rsidRPr="00C46466">
        <w:rPr>
          <w:sz w:val="24"/>
          <w:szCs w:val="24"/>
          <w:vertAlign w:val="superscript"/>
          <w:lang w:val="en-GB"/>
        </w:rPr>
        <w:t>68</w:t>
      </w:r>
      <w:r w:rsidRPr="00C46466">
        <w:rPr>
          <w:sz w:val="24"/>
          <w:szCs w:val="24"/>
          <w:lang w:val="en-GB"/>
        </w:rPr>
        <w:t>Ga) gozetotide is mainly eliminated via the renal route. Approximately 14% of the gallium (</w:t>
      </w:r>
      <w:r w:rsidRPr="00C46466">
        <w:rPr>
          <w:sz w:val="24"/>
          <w:szCs w:val="24"/>
          <w:vertAlign w:val="superscript"/>
          <w:lang w:val="en-GB"/>
        </w:rPr>
        <w:t>68</w:t>
      </w:r>
      <w:r w:rsidRPr="00C46466">
        <w:rPr>
          <w:sz w:val="24"/>
          <w:szCs w:val="24"/>
          <w:lang w:val="en-GB"/>
        </w:rPr>
        <w:t>Ga) gozetotide dose administered is excreted in the urine after 2 hours post-injection.</w:t>
      </w:r>
    </w:p>
    <w:p w14:paraId="6675316E" w14:textId="112EB2B4" w:rsidR="00C46466" w:rsidRDefault="00C46466">
      <w:pPr>
        <w:rPr>
          <w:sz w:val="24"/>
          <w:szCs w:val="24"/>
          <w:u w:val="single"/>
          <w:lang w:val="en-GB"/>
        </w:rPr>
      </w:pPr>
      <w:r>
        <w:rPr>
          <w:sz w:val="24"/>
          <w:szCs w:val="24"/>
          <w:u w:val="single"/>
          <w:lang w:val="en-GB"/>
        </w:rPr>
        <w:br w:type="page"/>
      </w:r>
    </w:p>
    <w:p w14:paraId="478A5AB0" w14:textId="77777777" w:rsidR="00C46466" w:rsidRPr="00C46466" w:rsidRDefault="00C46466" w:rsidP="00C46466">
      <w:pPr>
        <w:tabs>
          <w:tab w:val="left" w:pos="851"/>
        </w:tabs>
        <w:ind w:left="851"/>
        <w:rPr>
          <w:sz w:val="24"/>
          <w:szCs w:val="24"/>
          <w:u w:val="single"/>
          <w:lang w:val="en-GB"/>
        </w:rPr>
      </w:pPr>
    </w:p>
    <w:p w14:paraId="38F6305D" w14:textId="77777777" w:rsidR="00C46466" w:rsidRPr="00C46466" w:rsidRDefault="00C46466" w:rsidP="00C46466">
      <w:pPr>
        <w:tabs>
          <w:tab w:val="left" w:pos="851"/>
        </w:tabs>
        <w:ind w:left="851"/>
        <w:rPr>
          <w:sz w:val="24"/>
          <w:szCs w:val="24"/>
          <w:u w:val="single"/>
          <w:lang w:val="en-GB"/>
        </w:rPr>
      </w:pPr>
      <w:r w:rsidRPr="00C46466">
        <w:rPr>
          <w:sz w:val="24"/>
          <w:szCs w:val="24"/>
          <w:u w:val="single"/>
          <w:lang w:val="en-GB"/>
        </w:rPr>
        <w:t>Half-life</w:t>
      </w:r>
    </w:p>
    <w:p w14:paraId="3683170B" w14:textId="77777777" w:rsidR="00C46466" w:rsidRPr="00C46466" w:rsidRDefault="00C46466" w:rsidP="00C46466">
      <w:pPr>
        <w:tabs>
          <w:tab w:val="left" w:pos="851"/>
        </w:tabs>
        <w:ind w:left="851"/>
        <w:rPr>
          <w:sz w:val="24"/>
          <w:szCs w:val="24"/>
          <w:lang w:val="en-GB"/>
        </w:rPr>
      </w:pPr>
      <w:r w:rsidRPr="00C46466">
        <w:rPr>
          <w:sz w:val="24"/>
          <w:szCs w:val="24"/>
          <w:lang w:val="en-GB"/>
        </w:rPr>
        <w:t>Based on the gallium (68Ga) gozetotide biological and terminal half-life of 4.4 hours and on the gallium (</w:t>
      </w:r>
      <w:r w:rsidRPr="00C46466">
        <w:rPr>
          <w:sz w:val="24"/>
          <w:szCs w:val="24"/>
          <w:vertAlign w:val="superscript"/>
          <w:lang w:val="en-GB"/>
        </w:rPr>
        <w:t>68</w:t>
      </w:r>
      <w:r w:rsidRPr="00C46466">
        <w:rPr>
          <w:sz w:val="24"/>
          <w:szCs w:val="24"/>
          <w:lang w:val="en-GB"/>
        </w:rPr>
        <w:t>Ga) physical half-life of 68 minutes, the resulting gallium (68Ga) gozetotide effective half-life is 54 minutes.</w:t>
      </w:r>
    </w:p>
    <w:p w14:paraId="5E17C64E" w14:textId="77777777" w:rsidR="00C46466" w:rsidRPr="00C46466" w:rsidRDefault="00C46466" w:rsidP="00C46466">
      <w:pPr>
        <w:tabs>
          <w:tab w:val="left" w:pos="851"/>
        </w:tabs>
        <w:ind w:left="851"/>
        <w:rPr>
          <w:b/>
          <w:sz w:val="24"/>
          <w:szCs w:val="24"/>
          <w:lang w:val="en-GB"/>
        </w:rPr>
      </w:pPr>
    </w:p>
    <w:p w14:paraId="511F78D9" w14:textId="77777777" w:rsidR="00C46466" w:rsidRPr="00C46466" w:rsidRDefault="00C46466" w:rsidP="00C46466">
      <w:pPr>
        <w:tabs>
          <w:tab w:val="left" w:pos="851"/>
        </w:tabs>
        <w:ind w:left="851"/>
        <w:rPr>
          <w:bCs/>
          <w:sz w:val="24"/>
          <w:szCs w:val="24"/>
          <w:lang w:val="en-GB"/>
        </w:rPr>
      </w:pPr>
      <w:r w:rsidRPr="00C46466">
        <w:rPr>
          <w:bCs/>
          <w:i/>
          <w:iCs/>
          <w:sz w:val="24"/>
          <w:szCs w:val="24"/>
          <w:u w:val="single"/>
          <w:lang w:val="en-GB"/>
        </w:rPr>
        <w:t>In vitro</w:t>
      </w:r>
      <w:r w:rsidRPr="00C46466">
        <w:rPr>
          <w:bCs/>
          <w:sz w:val="24"/>
          <w:szCs w:val="24"/>
          <w:u w:val="single"/>
          <w:lang w:val="en-GB"/>
        </w:rPr>
        <w:t xml:space="preserve"> evaluation of drug interaction potential</w:t>
      </w:r>
    </w:p>
    <w:p w14:paraId="3F6C06DB" w14:textId="77777777" w:rsidR="00C46466" w:rsidRPr="00C46466" w:rsidRDefault="00C46466" w:rsidP="00C46466">
      <w:pPr>
        <w:tabs>
          <w:tab w:val="left" w:pos="851"/>
        </w:tabs>
        <w:ind w:left="851"/>
        <w:rPr>
          <w:bCs/>
          <w:sz w:val="24"/>
          <w:szCs w:val="24"/>
          <w:lang w:val="en-GB"/>
        </w:rPr>
      </w:pPr>
    </w:p>
    <w:p w14:paraId="2E4FDA39" w14:textId="77777777" w:rsidR="00C46466" w:rsidRPr="00C46466" w:rsidRDefault="00C46466" w:rsidP="00C46466">
      <w:pPr>
        <w:tabs>
          <w:tab w:val="left" w:pos="851"/>
        </w:tabs>
        <w:ind w:left="851"/>
        <w:rPr>
          <w:bCs/>
          <w:i/>
          <w:iCs/>
          <w:sz w:val="24"/>
          <w:szCs w:val="24"/>
          <w:lang w:val="en-GB"/>
        </w:rPr>
      </w:pPr>
      <w:r w:rsidRPr="00C46466">
        <w:rPr>
          <w:i/>
          <w:iCs/>
          <w:sz w:val="24"/>
          <w:szCs w:val="24"/>
          <w:lang w:val="en-GB"/>
        </w:rPr>
        <w:t>CYP450 enzymes</w:t>
      </w:r>
    </w:p>
    <w:p w14:paraId="48738E4E" w14:textId="77777777" w:rsidR="00C46466" w:rsidRPr="00C46466" w:rsidRDefault="00C46466" w:rsidP="00C46466">
      <w:pPr>
        <w:tabs>
          <w:tab w:val="left" w:pos="851"/>
        </w:tabs>
        <w:ind w:left="851"/>
        <w:rPr>
          <w:sz w:val="24"/>
          <w:szCs w:val="24"/>
          <w:lang w:val="en-GB"/>
        </w:rPr>
      </w:pPr>
      <w:r w:rsidRPr="00C46466">
        <w:rPr>
          <w:sz w:val="24"/>
          <w:szCs w:val="24"/>
          <w:lang w:val="en-GB"/>
        </w:rPr>
        <w:t>No studies have been performed to evaluate the interaction with CYP450 enzymes. Based on the low systemic exposure of not more than 10 mcg/dose resulting in a peak plasma level of not more than 2 ng/mL, no clinically relevant interaction with these enzymes is expected.</w:t>
      </w:r>
    </w:p>
    <w:p w14:paraId="142718C3" w14:textId="77777777" w:rsidR="00C46466" w:rsidRPr="00C46466" w:rsidRDefault="00C46466" w:rsidP="00C46466">
      <w:pPr>
        <w:tabs>
          <w:tab w:val="left" w:pos="851"/>
        </w:tabs>
        <w:ind w:left="851"/>
        <w:rPr>
          <w:sz w:val="24"/>
          <w:szCs w:val="24"/>
          <w:lang w:val="en-GB"/>
        </w:rPr>
      </w:pPr>
    </w:p>
    <w:p w14:paraId="3AED9CD3" w14:textId="77777777" w:rsidR="00C46466" w:rsidRPr="00C46466" w:rsidRDefault="00C46466" w:rsidP="00C46466">
      <w:pPr>
        <w:tabs>
          <w:tab w:val="left" w:pos="851"/>
        </w:tabs>
        <w:ind w:left="851"/>
        <w:rPr>
          <w:i/>
          <w:iCs/>
          <w:sz w:val="24"/>
          <w:szCs w:val="24"/>
          <w:lang w:val="en-GB"/>
        </w:rPr>
      </w:pPr>
      <w:r w:rsidRPr="00C46466">
        <w:rPr>
          <w:i/>
          <w:iCs/>
          <w:sz w:val="24"/>
          <w:szCs w:val="24"/>
          <w:lang w:val="en-GB"/>
        </w:rPr>
        <w:t>Transporters</w:t>
      </w:r>
    </w:p>
    <w:p w14:paraId="48A61608" w14:textId="77777777" w:rsidR="00C46466" w:rsidRPr="00C46466" w:rsidRDefault="00C46466" w:rsidP="00C46466">
      <w:pPr>
        <w:tabs>
          <w:tab w:val="left" w:pos="851"/>
        </w:tabs>
        <w:ind w:left="851"/>
        <w:rPr>
          <w:sz w:val="24"/>
          <w:szCs w:val="24"/>
          <w:lang w:val="en-GB"/>
        </w:rPr>
      </w:pPr>
      <w:r w:rsidRPr="00C46466">
        <w:rPr>
          <w:sz w:val="24"/>
          <w:szCs w:val="24"/>
          <w:lang w:val="en-GB"/>
        </w:rPr>
        <w:t>No studies have been performed to evaluate the interaction with drug transporters. Based on the low systemic exposure of not more than 10 mcg/dose resulting in a peak plasma level of not more than 2 ng/mL, no clinically relevant interaction with these transporters is expected.</w:t>
      </w:r>
    </w:p>
    <w:p w14:paraId="26A80068" w14:textId="77777777" w:rsidR="00C46466" w:rsidRPr="00C46466" w:rsidRDefault="00C46466" w:rsidP="00C46466">
      <w:pPr>
        <w:tabs>
          <w:tab w:val="left" w:pos="851"/>
        </w:tabs>
        <w:ind w:left="851"/>
        <w:rPr>
          <w:bCs/>
          <w:sz w:val="24"/>
          <w:szCs w:val="24"/>
          <w:lang w:val="en-GB"/>
        </w:rPr>
      </w:pPr>
    </w:p>
    <w:p w14:paraId="0A98A2AE" w14:textId="77777777" w:rsidR="00114971" w:rsidRPr="00C46466" w:rsidRDefault="00114971" w:rsidP="00114971">
      <w:pPr>
        <w:tabs>
          <w:tab w:val="left" w:pos="851"/>
        </w:tabs>
        <w:ind w:left="851" w:hanging="851"/>
        <w:rPr>
          <w:b/>
          <w:sz w:val="24"/>
          <w:szCs w:val="24"/>
          <w:lang w:val="en-US"/>
        </w:rPr>
      </w:pPr>
      <w:r w:rsidRPr="00C46466">
        <w:rPr>
          <w:b/>
          <w:sz w:val="24"/>
          <w:szCs w:val="24"/>
          <w:lang w:val="en-US"/>
        </w:rPr>
        <w:t>5.3</w:t>
      </w:r>
      <w:r w:rsidRPr="00C46466">
        <w:rPr>
          <w:b/>
          <w:sz w:val="24"/>
          <w:szCs w:val="24"/>
          <w:lang w:val="en-US"/>
        </w:rPr>
        <w:tab/>
        <w:t>Preclinical safety data</w:t>
      </w:r>
    </w:p>
    <w:p w14:paraId="2A819C0C" w14:textId="77777777" w:rsidR="00C46466" w:rsidRPr="00C46466" w:rsidRDefault="00C46466" w:rsidP="00C46466">
      <w:pPr>
        <w:tabs>
          <w:tab w:val="left" w:pos="851"/>
        </w:tabs>
        <w:ind w:left="851"/>
        <w:rPr>
          <w:sz w:val="24"/>
          <w:szCs w:val="24"/>
          <w:lang w:val="en-GB"/>
        </w:rPr>
      </w:pPr>
      <w:r w:rsidRPr="00C46466">
        <w:rPr>
          <w:sz w:val="24"/>
          <w:szCs w:val="24"/>
          <w:lang w:val="en-GB"/>
        </w:rPr>
        <w:t>Non-clinical data reveal no special hazard for humans based on conventional studies on single-dose toxicity and genotoxicity.</w:t>
      </w:r>
    </w:p>
    <w:p w14:paraId="17AB01C7" w14:textId="77777777" w:rsidR="00114971" w:rsidRPr="00C46466" w:rsidRDefault="00114971" w:rsidP="00114971">
      <w:pPr>
        <w:tabs>
          <w:tab w:val="left" w:pos="851"/>
        </w:tabs>
        <w:ind w:left="851"/>
        <w:rPr>
          <w:sz w:val="24"/>
          <w:szCs w:val="24"/>
          <w:lang w:val="en-GB"/>
        </w:rPr>
      </w:pPr>
    </w:p>
    <w:p w14:paraId="166FF2BB" w14:textId="77777777" w:rsidR="00114971" w:rsidRPr="00C46466" w:rsidRDefault="00114971" w:rsidP="00114971">
      <w:pPr>
        <w:tabs>
          <w:tab w:val="left" w:pos="851"/>
        </w:tabs>
        <w:ind w:left="851"/>
        <w:rPr>
          <w:sz w:val="24"/>
          <w:szCs w:val="24"/>
          <w:lang w:val="en-US"/>
        </w:rPr>
      </w:pPr>
    </w:p>
    <w:p w14:paraId="5FBFB5B1" w14:textId="77777777" w:rsidR="00114971" w:rsidRPr="009925C9" w:rsidRDefault="00114971" w:rsidP="00114971">
      <w:pPr>
        <w:ind w:left="851" w:hanging="851"/>
        <w:rPr>
          <w:b/>
          <w:sz w:val="24"/>
          <w:szCs w:val="24"/>
          <w:lang w:val="en-US"/>
        </w:rPr>
      </w:pPr>
      <w:r w:rsidRPr="009925C9">
        <w:rPr>
          <w:b/>
          <w:sz w:val="24"/>
          <w:szCs w:val="24"/>
          <w:lang w:val="en-US"/>
        </w:rPr>
        <w:t>6.</w:t>
      </w:r>
      <w:r w:rsidRPr="009925C9">
        <w:rPr>
          <w:b/>
          <w:sz w:val="24"/>
          <w:szCs w:val="24"/>
          <w:lang w:val="en-US"/>
        </w:rPr>
        <w:tab/>
        <w:t>PHARMACEUTICAL PARTICULARS</w:t>
      </w:r>
    </w:p>
    <w:p w14:paraId="58AA2542" w14:textId="77777777" w:rsidR="00114971" w:rsidRPr="00180A12" w:rsidRDefault="00114971" w:rsidP="00114971">
      <w:pPr>
        <w:tabs>
          <w:tab w:val="left" w:pos="851"/>
        </w:tabs>
        <w:ind w:left="851"/>
        <w:rPr>
          <w:sz w:val="24"/>
          <w:szCs w:val="24"/>
          <w:lang w:val="en-US"/>
        </w:rPr>
      </w:pPr>
    </w:p>
    <w:p w14:paraId="12644CA4" w14:textId="77777777" w:rsidR="00114971" w:rsidRPr="00401B49" w:rsidRDefault="00114971" w:rsidP="00114971">
      <w:pPr>
        <w:ind w:left="851" w:hanging="851"/>
        <w:rPr>
          <w:b/>
          <w:sz w:val="24"/>
          <w:szCs w:val="24"/>
          <w:lang w:val="en-US"/>
        </w:rPr>
      </w:pPr>
      <w:r w:rsidRPr="00401B49">
        <w:rPr>
          <w:b/>
          <w:sz w:val="24"/>
          <w:szCs w:val="24"/>
          <w:lang w:val="en-US"/>
        </w:rPr>
        <w:t>6.1</w:t>
      </w:r>
      <w:r w:rsidRPr="00401B49">
        <w:rPr>
          <w:b/>
          <w:sz w:val="24"/>
          <w:szCs w:val="24"/>
          <w:lang w:val="en-US"/>
        </w:rPr>
        <w:tab/>
        <w:t>List of excipients</w:t>
      </w:r>
    </w:p>
    <w:p w14:paraId="0A518A7B" w14:textId="77777777" w:rsidR="002F349F" w:rsidRPr="002F349F" w:rsidRDefault="002F349F" w:rsidP="002F349F">
      <w:pPr>
        <w:tabs>
          <w:tab w:val="left" w:pos="851"/>
        </w:tabs>
        <w:ind w:left="851"/>
        <w:rPr>
          <w:sz w:val="24"/>
          <w:szCs w:val="24"/>
          <w:lang w:val="en-GB"/>
        </w:rPr>
      </w:pPr>
      <w:r w:rsidRPr="002F349F">
        <w:rPr>
          <w:sz w:val="24"/>
          <w:szCs w:val="24"/>
          <w:lang w:val="en-GB"/>
        </w:rPr>
        <w:t>Hydrolysed gelatine</w:t>
      </w:r>
    </w:p>
    <w:p w14:paraId="753A3612" w14:textId="77777777" w:rsidR="002F349F" w:rsidRPr="002F349F" w:rsidRDefault="002F349F" w:rsidP="002F349F">
      <w:pPr>
        <w:tabs>
          <w:tab w:val="left" w:pos="851"/>
        </w:tabs>
        <w:ind w:left="851"/>
        <w:rPr>
          <w:sz w:val="24"/>
          <w:szCs w:val="24"/>
          <w:lang w:val="en-GB"/>
        </w:rPr>
      </w:pPr>
      <w:r w:rsidRPr="002F349F">
        <w:rPr>
          <w:sz w:val="24"/>
          <w:szCs w:val="24"/>
          <w:lang w:val="en-GB"/>
        </w:rPr>
        <w:t>Sodium acetate anhydrous</w:t>
      </w:r>
    </w:p>
    <w:p w14:paraId="553942E1" w14:textId="77777777" w:rsidR="002F349F" w:rsidRPr="002F349F" w:rsidRDefault="002F349F" w:rsidP="002F349F">
      <w:pPr>
        <w:tabs>
          <w:tab w:val="left" w:pos="851"/>
        </w:tabs>
        <w:ind w:left="851"/>
        <w:rPr>
          <w:sz w:val="24"/>
          <w:szCs w:val="24"/>
          <w:lang w:val="en-GB"/>
        </w:rPr>
      </w:pPr>
      <w:r w:rsidRPr="002F349F">
        <w:rPr>
          <w:sz w:val="24"/>
          <w:szCs w:val="24"/>
          <w:lang w:val="en-GB"/>
        </w:rPr>
        <w:t>Sodium chloride</w:t>
      </w:r>
    </w:p>
    <w:p w14:paraId="10C792C6" w14:textId="77777777" w:rsidR="002F349F" w:rsidRPr="002F349F" w:rsidRDefault="002F349F" w:rsidP="002F349F">
      <w:pPr>
        <w:tabs>
          <w:tab w:val="left" w:pos="851"/>
        </w:tabs>
        <w:ind w:left="851"/>
        <w:rPr>
          <w:sz w:val="24"/>
          <w:szCs w:val="24"/>
          <w:lang w:val="en-GB"/>
        </w:rPr>
      </w:pPr>
    </w:p>
    <w:p w14:paraId="53567205" w14:textId="77777777" w:rsidR="002F349F" w:rsidRPr="002F349F" w:rsidRDefault="002F349F" w:rsidP="002F349F">
      <w:pPr>
        <w:tabs>
          <w:tab w:val="left" w:pos="851"/>
        </w:tabs>
        <w:ind w:left="851"/>
        <w:rPr>
          <w:sz w:val="24"/>
          <w:szCs w:val="24"/>
          <w:lang w:val="en-GB"/>
        </w:rPr>
      </w:pPr>
      <w:r w:rsidRPr="002F349F">
        <w:rPr>
          <w:sz w:val="24"/>
          <w:szCs w:val="24"/>
          <w:lang w:val="en-GB"/>
        </w:rPr>
        <w:t>After radiolabelling, the solution obtained also contains, as excipient, hydrochloric acid.</w:t>
      </w:r>
    </w:p>
    <w:p w14:paraId="31753C75" w14:textId="77777777" w:rsidR="00114971" w:rsidRPr="002F349F" w:rsidRDefault="00114971" w:rsidP="00114971">
      <w:pPr>
        <w:tabs>
          <w:tab w:val="left" w:pos="851"/>
        </w:tabs>
        <w:ind w:left="851"/>
        <w:rPr>
          <w:sz w:val="24"/>
          <w:szCs w:val="24"/>
          <w:lang w:val="en-GB"/>
        </w:rPr>
      </w:pPr>
    </w:p>
    <w:p w14:paraId="799D1E61" w14:textId="77777777" w:rsidR="00114971" w:rsidRPr="00401B49" w:rsidRDefault="00114971" w:rsidP="00114971">
      <w:pPr>
        <w:ind w:left="851" w:hanging="851"/>
        <w:rPr>
          <w:b/>
          <w:sz w:val="24"/>
          <w:szCs w:val="24"/>
          <w:lang w:val="en-US"/>
        </w:rPr>
      </w:pPr>
      <w:r>
        <w:rPr>
          <w:b/>
          <w:sz w:val="24"/>
          <w:szCs w:val="24"/>
          <w:lang w:val="en-US"/>
        </w:rPr>
        <w:t>6.2</w:t>
      </w:r>
      <w:r>
        <w:rPr>
          <w:b/>
          <w:sz w:val="24"/>
          <w:szCs w:val="24"/>
          <w:lang w:val="en-US"/>
        </w:rPr>
        <w:tab/>
      </w:r>
      <w:r w:rsidRPr="00401B49">
        <w:rPr>
          <w:b/>
          <w:sz w:val="24"/>
          <w:szCs w:val="24"/>
          <w:lang w:val="en-US"/>
        </w:rPr>
        <w:t>Incompatibilities</w:t>
      </w:r>
    </w:p>
    <w:p w14:paraId="4E63827D" w14:textId="77777777" w:rsidR="002F349F" w:rsidRPr="002F349F" w:rsidRDefault="002F349F" w:rsidP="002F349F">
      <w:pPr>
        <w:tabs>
          <w:tab w:val="left" w:pos="851"/>
        </w:tabs>
        <w:ind w:left="851"/>
        <w:rPr>
          <w:sz w:val="24"/>
          <w:szCs w:val="24"/>
          <w:lang w:val="en-GB"/>
        </w:rPr>
      </w:pPr>
      <w:r w:rsidRPr="002F349F">
        <w:rPr>
          <w:sz w:val="24"/>
          <w:szCs w:val="24"/>
          <w:lang w:val="en-GB"/>
        </w:rPr>
        <w:t>Radiolabelling of carrier molecules with gallium (</w:t>
      </w:r>
      <w:r w:rsidRPr="002F349F">
        <w:rPr>
          <w:sz w:val="24"/>
          <w:szCs w:val="24"/>
          <w:vertAlign w:val="superscript"/>
          <w:lang w:val="en-GB"/>
        </w:rPr>
        <w:t>68</w:t>
      </w:r>
      <w:r w:rsidRPr="002F349F">
        <w:rPr>
          <w:sz w:val="24"/>
          <w:szCs w:val="24"/>
          <w:lang w:val="en-GB"/>
        </w:rPr>
        <w:t>Ga) chloride is very sensitive to the presence of trace metal impurities. Only syringe and syringe needles able to minimise trace metal impurity levels (for example, non-metallic or coated with silicone needles – not supplied) should be used. Generator instructions should be followed.</w:t>
      </w:r>
    </w:p>
    <w:p w14:paraId="5A91E474" w14:textId="77777777" w:rsidR="002F349F" w:rsidRPr="002F349F" w:rsidRDefault="002F349F" w:rsidP="002F349F">
      <w:pPr>
        <w:tabs>
          <w:tab w:val="left" w:pos="851"/>
        </w:tabs>
        <w:ind w:left="851"/>
        <w:rPr>
          <w:sz w:val="24"/>
          <w:szCs w:val="24"/>
          <w:lang w:val="en-GB"/>
        </w:rPr>
      </w:pPr>
    </w:p>
    <w:p w14:paraId="29F61753" w14:textId="77777777" w:rsidR="002F349F" w:rsidRPr="002F349F" w:rsidRDefault="002F349F" w:rsidP="002F349F">
      <w:pPr>
        <w:tabs>
          <w:tab w:val="left" w:pos="851"/>
        </w:tabs>
        <w:ind w:left="851"/>
        <w:rPr>
          <w:sz w:val="24"/>
          <w:szCs w:val="24"/>
          <w:lang w:val="en-GB"/>
        </w:rPr>
      </w:pPr>
      <w:r w:rsidRPr="002F349F">
        <w:rPr>
          <w:sz w:val="24"/>
          <w:szCs w:val="24"/>
          <w:lang w:val="en-GB"/>
        </w:rPr>
        <w:t>This medicinal product must not be mixed with other medicinal products expect those mentioned in section 6.6.</w:t>
      </w:r>
    </w:p>
    <w:p w14:paraId="6886CD54" w14:textId="77777777" w:rsidR="00114971" w:rsidRPr="002F349F" w:rsidRDefault="00114971" w:rsidP="00114971">
      <w:pPr>
        <w:tabs>
          <w:tab w:val="left" w:pos="851"/>
        </w:tabs>
        <w:ind w:left="851"/>
        <w:rPr>
          <w:sz w:val="24"/>
          <w:szCs w:val="24"/>
          <w:lang w:val="en-GB"/>
        </w:rPr>
      </w:pPr>
    </w:p>
    <w:p w14:paraId="16800801" w14:textId="77777777" w:rsidR="00114971" w:rsidRPr="00401B49" w:rsidRDefault="00114971" w:rsidP="00114971">
      <w:pPr>
        <w:ind w:left="851" w:hanging="851"/>
        <w:rPr>
          <w:b/>
          <w:sz w:val="24"/>
          <w:szCs w:val="24"/>
          <w:lang w:val="en-US"/>
        </w:rPr>
      </w:pPr>
      <w:r>
        <w:rPr>
          <w:b/>
          <w:sz w:val="24"/>
          <w:szCs w:val="24"/>
          <w:lang w:val="en-US"/>
        </w:rPr>
        <w:t>6.3</w:t>
      </w:r>
      <w:r>
        <w:rPr>
          <w:b/>
          <w:sz w:val="24"/>
          <w:szCs w:val="24"/>
          <w:lang w:val="en-US"/>
        </w:rPr>
        <w:tab/>
      </w:r>
      <w:r w:rsidRPr="00401B49">
        <w:rPr>
          <w:b/>
          <w:sz w:val="24"/>
          <w:szCs w:val="24"/>
          <w:lang w:val="en-US"/>
        </w:rPr>
        <w:t>Shelf</w:t>
      </w:r>
      <w:r>
        <w:rPr>
          <w:b/>
          <w:sz w:val="24"/>
          <w:szCs w:val="24"/>
          <w:lang w:val="en-US"/>
        </w:rPr>
        <w:t xml:space="preserve"> </w:t>
      </w:r>
      <w:r w:rsidRPr="00401B49">
        <w:rPr>
          <w:b/>
          <w:sz w:val="24"/>
          <w:szCs w:val="24"/>
          <w:lang w:val="en-US"/>
        </w:rPr>
        <w:t>life</w:t>
      </w:r>
    </w:p>
    <w:p w14:paraId="6D790864" w14:textId="77777777" w:rsidR="002F349F" w:rsidRPr="002F349F" w:rsidRDefault="002F349F" w:rsidP="002F349F">
      <w:pPr>
        <w:tabs>
          <w:tab w:val="left" w:pos="851"/>
        </w:tabs>
        <w:ind w:left="851"/>
        <w:rPr>
          <w:sz w:val="24"/>
          <w:szCs w:val="24"/>
          <w:lang w:val="en-GB"/>
        </w:rPr>
      </w:pPr>
      <w:r w:rsidRPr="002F349F">
        <w:rPr>
          <w:sz w:val="24"/>
          <w:szCs w:val="24"/>
          <w:lang w:val="en-GB"/>
        </w:rPr>
        <w:t>2 years.</w:t>
      </w:r>
    </w:p>
    <w:p w14:paraId="5743E2A8" w14:textId="77777777" w:rsidR="002F349F" w:rsidRPr="002F349F" w:rsidRDefault="002F349F" w:rsidP="002F349F">
      <w:pPr>
        <w:tabs>
          <w:tab w:val="left" w:pos="851"/>
        </w:tabs>
        <w:ind w:left="851"/>
        <w:rPr>
          <w:sz w:val="24"/>
          <w:szCs w:val="24"/>
          <w:lang w:val="en-GB"/>
        </w:rPr>
      </w:pPr>
    </w:p>
    <w:p w14:paraId="625B2A76" w14:textId="77777777" w:rsidR="002F349F" w:rsidRPr="002F349F" w:rsidRDefault="002F349F" w:rsidP="002F349F">
      <w:pPr>
        <w:tabs>
          <w:tab w:val="left" w:pos="851"/>
        </w:tabs>
        <w:ind w:left="851"/>
        <w:rPr>
          <w:sz w:val="24"/>
          <w:szCs w:val="24"/>
          <w:lang w:val="en-GB"/>
        </w:rPr>
      </w:pPr>
      <w:r w:rsidRPr="002F349F">
        <w:rPr>
          <w:sz w:val="24"/>
          <w:szCs w:val="24"/>
          <w:lang w:val="en-GB"/>
        </w:rPr>
        <w:t>After reconstitution and radiolabelling: Store upright below 25 °C and use within 4 hours.</w:t>
      </w:r>
    </w:p>
    <w:p w14:paraId="5E78CC21" w14:textId="77777777" w:rsidR="002F349F" w:rsidRPr="002F349F" w:rsidRDefault="002F349F" w:rsidP="002F349F">
      <w:pPr>
        <w:tabs>
          <w:tab w:val="left" w:pos="851"/>
        </w:tabs>
        <w:ind w:left="851"/>
        <w:rPr>
          <w:sz w:val="24"/>
          <w:szCs w:val="24"/>
          <w:lang w:val="en-GB"/>
        </w:rPr>
      </w:pPr>
    </w:p>
    <w:p w14:paraId="5B3BF0F8" w14:textId="77777777" w:rsidR="002F349F" w:rsidRPr="002F349F" w:rsidRDefault="002F349F" w:rsidP="002F349F">
      <w:pPr>
        <w:tabs>
          <w:tab w:val="left" w:pos="851"/>
        </w:tabs>
        <w:ind w:left="851"/>
        <w:rPr>
          <w:sz w:val="24"/>
          <w:szCs w:val="24"/>
          <w:lang w:val="en-GB"/>
        </w:rPr>
      </w:pPr>
      <w:r w:rsidRPr="002F349F">
        <w:rPr>
          <w:sz w:val="24"/>
          <w:szCs w:val="24"/>
          <w:lang w:val="en-GB"/>
        </w:rPr>
        <w:t>From a microbiological point of view, the medicinal product should be used immediately. If not used immediately, in-use storage times and conditions prior to use are the responsibility of the user.</w:t>
      </w:r>
    </w:p>
    <w:p w14:paraId="7FEF219A" w14:textId="77777777" w:rsidR="00114971" w:rsidRPr="002F349F" w:rsidRDefault="00114971" w:rsidP="00114971">
      <w:pPr>
        <w:tabs>
          <w:tab w:val="left" w:pos="851"/>
        </w:tabs>
        <w:ind w:left="851"/>
        <w:rPr>
          <w:sz w:val="24"/>
          <w:szCs w:val="24"/>
          <w:lang w:val="en-GB"/>
        </w:rPr>
      </w:pPr>
    </w:p>
    <w:p w14:paraId="13E90550" w14:textId="77777777" w:rsidR="00114971" w:rsidRPr="00401B49" w:rsidRDefault="00114971" w:rsidP="00114971">
      <w:pPr>
        <w:ind w:left="851" w:hanging="851"/>
        <w:rPr>
          <w:b/>
          <w:sz w:val="24"/>
          <w:szCs w:val="24"/>
          <w:lang w:val="en-US"/>
        </w:rPr>
      </w:pPr>
      <w:r>
        <w:rPr>
          <w:b/>
          <w:sz w:val="24"/>
          <w:szCs w:val="24"/>
          <w:lang w:val="en-US"/>
        </w:rPr>
        <w:t>6.4</w:t>
      </w:r>
      <w:r>
        <w:rPr>
          <w:b/>
          <w:sz w:val="24"/>
          <w:szCs w:val="24"/>
          <w:lang w:val="en-US"/>
        </w:rPr>
        <w:tab/>
      </w:r>
      <w:r w:rsidRPr="00401B49">
        <w:rPr>
          <w:b/>
          <w:sz w:val="24"/>
          <w:szCs w:val="24"/>
          <w:lang w:val="en-US"/>
        </w:rPr>
        <w:t>Special precautions for storage</w:t>
      </w:r>
    </w:p>
    <w:p w14:paraId="61677FD0" w14:textId="0679CF69" w:rsidR="002F349F" w:rsidRPr="002F349F" w:rsidRDefault="002F349F" w:rsidP="002F349F">
      <w:pPr>
        <w:tabs>
          <w:tab w:val="left" w:pos="851"/>
        </w:tabs>
        <w:ind w:left="851"/>
        <w:rPr>
          <w:sz w:val="24"/>
          <w:szCs w:val="24"/>
          <w:lang w:val="en-GB"/>
        </w:rPr>
      </w:pPr>
      <w:r w:rsidRPr="002F349F">
        <w:rPr>
          <w:sz w:val="24"/>
          <w:szCs w:val="24"/>
          <w:lang w:val="en-GB"/>
        </w:rPr>
        <w:t>Store in a refrigerator (2 °C</w:t>
      </w:r>
      <w:r>
        <w:rPr>
          <w:sz w:val="24"/>
          <w:szCs w:val="24"/>
          <w:lang w:val="en-GB"/>
        </w:rPr>
        <w:t>-</w:t>
      </w:r>
      <w:r w:rsidRPr="002F349F">
        <w:rPr>
          <w:sz w:val="24"/>
          <w:szCs w:val="24"/>
          <w:lang w:val="en-GB"/>
        </w:rPr>
        <w:t>8 °C).</w:t>
      </w:r>
    </w:p>
    <w:p w14:paraId="5A9F452C" w14:textId="77777777" w:rsidR="002F349F" w:rsidRPr="002F349F" w:rsidRDefault="002F349F" w:rsidP="002F349F">
      <w:pPr>
        <w:tabs>
          <w:tab w:val="left" w:pos="851"/>
        </w:tabs>
        <w:ind w:left="851"/>
        <w:rPr>
          <w:sz w:val="24"/>
          <w:szCs w:val="24"/>
          <w:lang w:val="en-GB"/>
        </w:rPr>
      </w:pPr>
    </w:p>
    <w:p w14:paraId="2B2D976E" w14:textId="77777777" w:rsidR="002F349F" w:rsidRPr="002F349F" w:rsidRDefault="002F349F" w:rsidP="002F349F">
      <w:pPr>
        <w:tabs>
          <w:tab w:val="left" w:pos="851"/>
        </w:tabs>
        <w:ind w:left="851"/>
        <w:rPr>
          <w:sz w:val="24"/>
          <w:szCs w:val="24"/>
          <w:lang w:val="en-GB"/>
        </w:rPr>
      </w:pPr>
      <w:r w:rsidRPr="002F349F">
        <w:rPr>
          <w:sz w:val="24"/>
          <w:szCs w:val="24"/>
          <w:lang w:val="en-GB"/>
        </w:rPr>
        <w:t>For storage conditions after reconstitution and radiolabelling of the medicinal product, see section 6.3.</w:t>
      </w:r>
    </w:p>
    <w:p w14:paraId="0F1726C3" w14:textId="77777777" w:rsidR="002F349F" w:rsidRPr="002F349F" w:rsidRDefault="002F349F" w:rsidP="002F349F">
      <w:pPr>
        <w:tabs>
          <w:tab w:val="left" w:pos="851"/>
        </w:tabs>
        <w:ind w:left="851"/>
        <w:rPr>
          <w:sz w:val="24"/>
          <w:szCs w:val="24"/>
          <w:lang w:val="en-GB"/>
        </w:rPr>
      </w:pPr>
    </w:p>
    <w:p w14:paraId="0636CB7A" w14:textId="77777777" w:rsidR="002F349F" w:rsidRPr="002F349F" w:rsidRDefault="002F349F" w:rsidP="002F349F">
      <w:pPr>
        <w:tabs>
          <w:tab w:val="left" w:pos="851"/>
        </w:tabs>
        <w:ind w:left="851"/>
        <w:rPr>
          <w:sz w:val="24"/>
          <w:szCs w:val="24"/>
          <w:lang w:val="en-GB"/>
        </w:rPr>
      </w:pPr>
      <w:r w:rsidRPr="002F349F">
        <w:rPr>
          <w:sz w:val="24"/>
          <w:szCs w:val="24"/>
          <w:lang w:val="en-GB"/>
        </w:rPr>
        <w:t>Storage of radiopharmaceuticals should be in accordance with national regulation on radioactive materials.</w:t>
      </w:r>
    </w:p>
    <w:p w14:paraId="036396DC" w14:textId="77777777" w:rsidR="00114971" w:rsidRPr="002F349F" w:rsidRDefault="00114971" w:rsidP="00114971">
      <w:pPr>
        <w:tabs>
          <w:tab w:val="left" w:pos="851"/>
        </w:tabs>
        <w:ind w:left="851"/>
        <w:rPr>
          <w:sz w:val="24"/>
          <w:szCs w:val="24"/>
          <w:lang w:val="en-GB"/>
        </w:rPr>
      </w:pPr>
    </w:p>
    <w:p w14:paraId="1E9F2B33" w14:textId="77777777" w:rsidR="00114971" w:rsidRPr="00864538" w:rsidRDefault="00114971" w:rsidP="00114971">
      <w:pPr>
        <w:ind w:left="851" w:hanging="851"/>
        <w:rPr>
          <w:b/>
          <w:sz w:val="24"/>
          <w:szCs w:val="24"/>
          <w:lang w:val="en-US"/>
        </w:rPr>
      </w:pPr>
      <w:r w:rsidRPr="00864538">
        <w:rPr>
          <w:b/>
          <w:sz w:val="24"/>
          <w:szCs w:val="24"/>
          <w:lang w:val="en-US"/>
        </w:rPr>
        <w:t>6.5</w:t>
      </w:r>
      <w:r w:rsidRPr="00864538">
        <w:rPr>
          <w:b/>
          <w:sz w:val="24"/>
          <w:szCs w:val="24"/>
          <w:lang w:val="en-US"/>
        </w:rPr>
        <w:tab/>
        <w:t>Nature and contents of container</w:t>
      </w:r>
    </w:p>
    <w:p w14:paraId="456BEB29" w14:textId="3DEB29BF" w:rsidR="002F349F" w:rsidRPr="002F349F" w:rsidRDefault="002F349F" w:rsidP="002F349F">
      <w:pPr>
        <w:tabs>
          <w:tab w:val="left" w:pos="851"/>
        </w:tabs>
        <w:ind w:left="851"/>
        <w:rPr>
          <w:sz w:val="24"/>
          <w:szCs w:val="24"/>
          <w:lang w:val="en-GB"/>
        </w:rPr>
      </w:pPr>
      <w:r w:rsidRPr="002F349F">
        <w:rPr>
          <w:sz w:val="24"/>
          <w:szCs w:val="24"/>
          <w:lang w:val="en-GB"/>
        </w:rPr>
        <w:t>10 m</w:t>
      </w:r>
      <w:r>
        <w:rPr>
          <w:sz w:val="24"/>
          <w:szCs w:val="24"/>
          <w:lang w:val="en-GB"/>
        </w:rPr>
        <w:t>l</w:t>
      </w:r>
      <w:r w:rsidRPr="002F349F">
        <w:rPr>
          <w:sz w:val="24"/>
          <w:szCs w:val="24"/>
          <w:lang w:val="en-GB"/>
        </w:rPr>
        <w:t xml:space="preserve"> multidose colourless vial (type I glass) closed with a rubber stopper (bromobutyl) and sealed with a flip-off cap (aluminium) bearing a protective disk (polypropylene).</w:t>
      </w:r>
    </w:p>
    <w:p w14:paraId="582965C0" w14:textId="77777777" w:rsidR="002F349F" w:rsidRPr="002F349F" w:rsidRDefault="002F349F" w:rsidP="002F349F">
      <w:pPr>
        <w:tabs>
          <w:tab w:val="left" w:pos="851"/>
        </w:tabs>
        <w:ind w:left="851"/>
        <w:rPr>
          <w:sz w:val="24"/>
          <w:szCs w:val="24"/>
          <w:lang w:val="en-GB"/>
        </w:rPr>
      </w:pPr>
    </w:p>
    <w:p w14:paraId="47315921" w14:textId="01AD6473" w:rsidR="002F349F" w:rsidRPr="002F349F" w:rsidRDefault="002F349F" w:rsidP="002F349F">
      <w:pPr>
        <w:tabs>
          <w:tab w:val="left" w:pos="851"/>
        </w:tabs>
        <w:ind w:left="851"/>
        <w:rPr>
          <w:sz w:val="24"/>
          <w:szCs w:val="24"/>
          <w:lang w:val="en-GB"/>
        </w:rPr>
      </w:pPr>
      <w:r w:rsidRPr="002F349F">
        <w:rPr>
          <w:sz w:val="24"/>
          <w:szCs w:val="24"/>
          <w:lang w:val="en-GB"/>
        </w:rPr>
        <w:t>Pack size</w:t>
      </w:r>
      <w:r>
        <w:rPr>
          <w:sz w:val="24"/>
          <w:szCs w:val="24"/>
          <w:lang w:val="en-GB"/>
        </w:rPr>
        <w:t>s</w:t>
      </w:r>
      <w:r w:rsidRPr="002F349F">
        <w:rPr>
          <w:sz w:val="24"/>
          <w:szCs w:val="24"/>
          <w:lang w:val="en-GB"/>
        </w:rPr>
        <w:t>: 5 vials.</w:t>
      </w:r>
    </w:p>
    <w:p w14:paraId="1A104957" w14:textId="1103C30B" w:rsidR="00114971" w:rsidRDefault="00114971" w:rsidP="00114971">
      <w:pPr>
        <w:tabs>
          <w:tab w:val="left" w:pos="851"/>
        </w:tabs>
        <w:ind w:left="851"/>
        <w:rPr>
          <w:sz w:val="24"/>
          <w:szCs w:val="24"/>
          <w:lang w:val="en-US"/>
        </w:rPr>
      </w:pPr>
    </w:p>
    <w:p w14:paraId="585E4021" w14:textId="0FE5D74C" w:rsidR="002F349F" w:rsidRDefault="002F349F" w:rsidP="00114971">
      <w:pPr>
        <w:tabs>
          <w:tab w:val="left" w:pos="851"/>
        </w:tabs>
        <w:ind w:left="851"/>
        <w:rPr>
          <w:sz w:val="24"/>
          <w:szCs w:val="24"/>
          <w:lang w:val="en-US"/>
        </w:rPr>
      </w:pPr>
      <w:r>
        <w:rPr>
          <w:sz w:val="24"/>
          <w:szCs w:val="24"/>
          <w:lang w:val="en-US"/>
        </w:rPr>
        <w:t>Not all pack sizes may be marketed.</w:t>
      </w:r>
    </w:p>
    <w:p w14:paraId="7F813D52" w14:textId="77777777" w:rsidR="002F349F" w:rsidRPr="00864538" w:rsidRDefault="002F349F" w:rsidP="00114971">
      <w:pPr>
        <w:tabs>
          <w:tab w:val="left" w:pos="851"/>
        </w:tabs>
        <w:ind w:left="851"/>
        <w:rPr>
          <w:sz w:val="24"/>
          <w:szCs w:val="24"/>
          <w:lang w:val="en-US"/>
        </w:rPr>
      </w:pPr>
    </w:p>
    <w:p w14:paraId="7DDA3F75" w14:textId="77777777" w:rsidR="00114971" w:rsidRPr="000C3846" w:rsidRDefault="00114971" w:rsidP="00114971">
      <w:pPr>
        <w:ind w:left="851" w:hanging="851"/>
        <w:rPr>
          <w:b/>
          <w:sz w:val="24"/>
          <w:szCs w:val="24"/>
          <w:lang w:val="en-GB"/>
        </w:rPr>
      </w:pPr>
      <w:r>
        <w:rPr>
          <w:b/>
          <w:sz w:val="24"/>
          <w:szCs w:val="24"/>
          <w:lang w:val="en-GB"/>
        </w:rPr>
        <w:t>6.6</w:t>
      </w:r>
      <w:r>
        <w:rPr>
          <w:b/>
          <w:sz w:val="24"/>
          <w:szCs w:val="24"/>
          <w:lang w:val="en-GB"/>
        </w:rPr>
        <w:tab/>
      </w:r>
      <w:r w:rsidRPr="000C3846">
        <w:rPr>
          <w:b/>
          <w:sz w:val="24"/>
          <w:szCs w:val="24"/>
          <w:lang w:val="en-GB"/>
        </w:rPr>
        <w:t>Special</w:t>
      </w:r>
      <w:r>
        <w:rPr>
          <w:b/>
          <w:sz w:val="24"/>
          <w:szCs w:val="24"/>
          <w:lang w:val="en-GB"/>
        </w:rPr>
        <w:t xml:space="preserve"> precautions for disposal and other handling</w:t>
      </w:r>
    </w:p>
    <w:p w14:paraId="56397E51" w14:textId="77777777" w:rsidR="002F349F" w:rsidRPr="002F349F" w:rsidRDefault="002F349F" w:rsidP="002F349F">
      <w:pPr>
        <w:tabs>
          <w:tab w:val="left" w:pos="851"/>
        </w:tabs>
        <w:ind w:left="851"/>
        <w:rPr>
          <w:sz w:val="24"/>
          <w:szCs w:val="24"/>
          <w:u w:val="single"/>
          <w:lang w:val="en-GB"/>
        </w:rPr>
      </w:pPr>
    </w:p>
    <w:p w14:paraId="76AFCFB3" w14:textId="77777777" w:rsidR="002F349F" w:rsidRPr="002F349F" w:rsidRDefault="002F349F" w:rsidP="002F349F">
      <w:pPr>
        <w:tabs>
          <w:tab w:val="left" w:pos="851"/>
        </w:tabs>
        <w:ind w:left="851"/>
        <w:rPr>
          <w:sz w:val="24"/>
          <w:szCs w:val="24"/>
          <w:u w:val="single"/>
          <w:lang w:val="en-GB"/>
        </w:rPr>
      </w:pPr>
      <w:r w:rsidRPr="002F349F">
        <w:rPr>
          <w:sz w:val="24"/>
          <w:szCs w:val="24"/>
          <w:u w:val="single"/>
          <w:lang w:val="en-GB"/>
        </w:rPr>
        <w:t>General warning</w:t>
      </w:r>
    </w:p>
    <w:p w14:paraId="4E62BB1D" w14:textId="77777777" w:rsidR="002F349F" w:rsidRPr="002F349F" w:rsidRDefault="002F349F" w:rsidP="002F349F">
      <w:pPr>
        <w:tabs>
          <w:tab w:val="left" w:pos="851"/>
        </w:tabs>
        <w:ind w:left="851"/>
        <w:rPr>
          <w:sz w:val="24"/>
          <w:szCs w:val="24"/>
          <w:lang w:val="en-GB"/>
        </w:rPr>
      </w:pPr>
      <w:r w:rsidRPr="002F349F">
        <w:rPr>
          <w:sz w:val="24"/>
          <w:szCs w:val="24"/>
          <w:lang w:val="en-GB"/>
        </w:rPr>
        <w:t>After radiolabelling of Isoprotrace, the common protective measures for radioactive medicinal product must be applied.</w:t>
      </w:r>
    </w:p>
    <w:p w14:paraId="3CB12D97" w14:textId="77777777" w:rsidR="002F349F" w:rsidRPr="002F349F" w:rsidRDefault="002F349F" w:rsidP="002F349F">
      <w:pPr>
        <w:tabs>
          <w:tab w:val="left" w:pos="851"/>
        </w:tabs>
        <w:ind w:left="851"/>
        <w:rPr>
          <w:sz w:val="24"/>
          <w:szCs w:val="24"/>
          <w:lang w:val="en-GB"/>
        </w:rPr>
      </w:pPr>
    </w:p>
    <w:p w14:paraId="742EBC77" w14:textId="77777777" w:rsidR="002F349F" w:rsidRPr="002F349F" w:rsidRDefault="002F349F" w:rsidP="002F349F">
      <w:pPr>
        <w:tabs>
          <w:tab w:val="left" w:pos="851"/>
        </w:tabs>
        <w:ind w:left="851"/>
        <w:rPr>
          <w:sz w:val="24"/>
          <w:szCs w:val="24"/>
          <w:lang w:val="en-GB"/>
        </w:rPr>
      </w:pPr>
      <w:r w:rsidRPr="002F349F">
        <w:rPr>
          <w:sz w:val="24"/>
          <w:szCs w:val="24"/>
          <w:lang w:val="en-GB"/>
        </w:rPr>
        <w:t>Radiopharmaceuticals should be received, used and administered only by authorised persons in designated clinical settings. Their receipt, storage, use, transfer and disposal are subject to the regulations and/or appropriate licenses of the competent official organisation.</w:t>
      </w:r>
    </w:p>
    <w:p w14:paraId="40010D6D" w14:textId="77777777" w:rsidR="002F349F" w:rsidRPr="002F349F" w:rsidRDefault="002F349F" w:rsidP="002F349F">
      <w:pPr>
        <w:tabs>
          <w:tab w:val="left" w:pos="851"/>
        </w:tabs>
        <w:ind w:left="851"/>
        <w:rPr>
          <w:sz w:val="24"/>
          <w:szCs w:val="24"/>
          <w:lang w:val="en-GB"/>
        </w:rPr>
      </w:pPr>
    </w:p>
    <w:p w14:paraId="036CF388" w14:textId="77777777" w:rsidR="002F349F" w:rsidRPr="002F349F" w:rsidRDefault="002F349F" w:rsidP="002F349F">
      <w:pPr>
        <w:tabs>
          <w:tab w:val="left" w:pos="851"/>
        </w:tabs>
        <w:ind w:left="851"/>
        <w:rPr>
          <w:sz w:val="24"/>
          <w:szCs w:val="24"/>
          <w:lang w:val="en-GB"/>
        </w:rPr>
      </w:pPr>
      <w:r w:rsidRPr="002F349F">
        <w:rPr>
          <w:sz w:val="24"/>
          <w:szCs w:val="24"/>
          <w:lang w:val="en-GB"/>
        </w:rPr>
        <w:t>Radiopharmaceuticals should be prepared in a manner which satisfies both radiation safety and pharmaceutical quality requirements. Appropriate aseptic precautions should be taken.</w:t>
      </w:r>
    </w:p>
    <w:p w14:paraId="05C74F39" w14:textId="77777777" w:rsidR="002F349F" w:rsidRPr="002F349F" w:rsidRDefault="002F349F" w:rsidP="002F349F">
      <w:pPr>
        <w:tabs>
          <w:tab w:val="left" w:pos="851"/>
        </w:tabs>
        <w:ind w:left="851"/>
        <w:rPr>
          <w:sz w:val="24"/>
          <w:szCs w:val="24"/>
          <w:lang w:val="en-GB"/>
        </w:rPr>
      </w:pPr>
    </w:p>
    <w:p w14:paraId="4A36F4A1" w14:textId="77777777" w:rsidR="002F349F" w:rsidRPr="002F349F" w:rsidRDefault="002F349F" w:rsidP="002F349F">
      <w:pPr>
        <w:tabs>
          <w:tab w:val="left" w:pos="851"/>
        </w:tabs>
        <w:ind w:left="851"/>
        <w:rPr>
          <w:sz w:val="24"/>
          <w:szCs w:val="24"/>
          <w:lang w:val="en-GB"/>
        </w:rPr>
      </w:pPr>
      <w:r w:rsidRPr="002F349F">
        <w:rPr>
          <w:sz w:val="24"/>
          <w:szCs w:val="24"/>
          <w:lang w:val="en-GB"/>
        </w:rPr>
        <w:t>Contents of the vial are intended only for use in the preparation of gallium (</w:t>
      </w:r>
      <w:r w:rsidRPr="002F349F">
        <w:rPr>
          <w:sz w:val="24"/>
          <w:szCs w:val="24"/>
          <w:vertAlign w:val="superscript"/>
          <w:lang w:val="en-GB"/>
        </w:rPr>
        <w:t>68</w:t>
      </w:r>
      <w:r w:rsidRPr="002F349F">
        <w:rPr>
          <w:sz w:val="24"/>
          <w:szCs w:val="24"/>
          <w:lang w:val="en-GB"/>
        </w:rPr>
        <w:t>Ga) gozetotide and are not to be administered directly to a patient without first undergoing the preparative procedure.</w:t>
      </w:r>
    </w:p>
    <w:p w14:paraId="3953A3CC" w14:textId="77777777" w:rsidR="002F349F" w:rsidRPr="002F349F" w:rsidRDefault="002F349F" w:rsidP="002F349F">
      <w:pPr>
        <w:tabs>
          <w:tab w:val="left" w:pos="851"/>
        </w:tabs>
        <w:ind w:left="851"/>
        <w:rPr>
          <w:sz w:val="24"/>
          <w:szCs w:val="24"/>
          <w:lang w:val="en-GB"/>
        </w:rPr>
      </w:pPr>
    </w:p>
    <w:p w14:paraId="58BFA4BF" w14:textId="77777777" w:rsidR="002F349F" w:rsidRPr="002F349F" w:rsidRDefault="002F349F" w:rsidP="002F349F">
      <w:pPr>
        <w:tabs>
          <w:tab w:val="left" w:pos="851"/>
        </w:tabs>
        <w:ind w:left="851"/>
        <w:rPr>
          <w:sz w:val="24"/>
          <w:szCs w:val="24"/>
          <w:lang w:val="en-GB"/>
        </w:rPr>
      </w:pPr>
      <w:r w:rsidRPr="002F349F">
        <w:rPr>
          <w:sz w:val="24"/>
          <w:szCs w:val="24"/>
          <w:lang w:val="en-GB"/>
        </w:rPr>
        <w:t>For instructions on radiolabelling of the medicinal product before administration, see section 12.</w:t>
      </w:r>
    </w:p>
    <w:p w14:paraId="4B2012D8" w14:textId="77777777" w:rsidR="002F349F" w:rsidRPr="002F349F" w:rsidRDefault="002F349F" w:rsidP="002F349F">
      <w:pPr>
        <w:tabs>
          <w:tab w:val="left" w:pos="851"/>
        </w:tabs>
        <w:ind w:left="851"/>
        <w:rPr>
          <w:sz w:val="24"/>
          <w:szCs w:val="24"/>
          <w:lang w:val="en-GB"/>
        </w:rPr>
      </w:pPr>
    </w:p>
    <w:p w14:paraId="287FD20B" w14:textId="77777777" w:rsidR="002F349F" w:rsidRPr="002F349F" w:rsidRDefault="002F349F" w:rsidP="002F349F">
      <w:pPr>
        <w:tabs>
          <w:tab w:val="left" w:pos="851"/>
        </w:tabs>
        <w:ind w:left="851"/>
        <w:rPr>
          <w:sz w:val="24"/>
          <w:szCs w:val="24"/>
          <w:lang w:val="en-GB"/>
        </w:rPr>
      </w:pPr>
      <w:r w:rsidRPr="002F349F">
        <w:rPr>
          <w:sz w:val="24"/>
          <w:szCs w:val="24"/>
          <w:lang w:val="en-GB"/>
        </w:rPr>
        <w:t>If at any time in the preparation of this product the integrity of the vial is compromised, the product should not be used.</w:t>
      </w:r>
    </w:p>
    <w:p w14:paraId="4AA9C736" w14:textId="77777777" w:rsidR="002F349F" w:rsidRPr="002F349F" w:rsidRDefault="002F349F" w:rsidP="002F349F">
      <w:pPr>
        <w:tabs>
          <w:tab w:val="left" w:pos="851"/>
        </w:tabs>
        <w:ind w:left="851"/>
        <w:rPr>
          <w:sz w:val="24"/>
          <w:szCs w:val="24"/>
          <w:lang w:val="en-GB"/>
        </w:rPr>
      </w:pPr>
    </w:p>
    <w:p w14:paraId="6E4C4CF0" w14:textId="77777777" w:rsidR="002F349F" w:rsidRPr="002F349F" w:rsidRDefault="002F349F" w:rsidP="002F349F">
      <w:pPr>
        <w:tabs>
          <w:tab w:val="left" w:pos="851"/>
        </w:tabs>
        <w:ind w:left="851"/>
        <w:rPr>
          <w:sz w:val="24"/>
          <w:szCs w:val="24"/>
          <w:lang w:val="en-GB"/>
        </w:rPr>
      </w:pPr>
      <w:r w:rsidRPr="002F349F">
        <w:rPr>
          <w:sz w:val="24"/>
          <w:szCs w:val="24"/>
          <w:lang w:val="en-GB"/>
        </w:rPr>
        <w:t>The content of the kit before extemporary preparation is not radioactive. However, after gallium (</w:t>
      </w:r>
      <w:r w:rsidRPr="002F349F">
        <w:rPr>
          <w:sz w:val="24"/>
          <w:szCs w:val="24"/>
          <w:vertAlign w:val="superscript"/>
          <w:lang w:val="en-GB"/>
        </w:rPr>
        <w:t>68</w:t>
      </w:r>
      <w:r w:rsidRPr="002F349F">
        <w:rPr>
          <w:sz w:val="24"/>
          <w:szCs w:val="24"/>
          <w:lang w:val="en-GB"/>
        </w:rPr>
        <w:t>Ga) solution is added, adequate shielding of the final preparation must be maintained.</w:t>
      </w:r>
    </w:p>
    <w:p w14:paraId="003089BA" w14:textId="77777777" w:rsidR="002F349F" w:rsidRPr="002F349F" w:rsidRDefault="002F349F" w:rsidP="002F349F">
      <w:pPr>
        <w:tabs>
          <w:tab w:val="left" w:pos="851"/>
        </w:tabs>
        <w:ind w:left="851"/>
        <w:rPr>
          <w:sz w:val="24"/>
          <w:szCs w:val="24"/>
          <w:lang w:val="en-GB"/>
        </w:rPr>
      </w:pPr>
    </w:p>
    <w:p w14:paraId="612065D5" w14:textId="77777777" w:rsidR="002F349F" w:rsidRPr="002F349F" w:rsidRDefault="002F349F" w:rsidP="002F349F">
      <w:pPr>
        <w:tabs>
          <w:tab w:val="left" w:pos="851"/>
        </w:tabs>
        <w:ind w:left="851"/>
        <w:rPr>
          <w:sz w:val="24"/>
          <w:szCs w:val="24"/>
          <w:lang w:val="en-GB"/>
        </w:rPr>
      </w:pPr>
      <w:r w:rsidRPr="002F349F">
        <w:rPr>
          <w:sz w:val="24"/>
          <w:szCs w:val="24"/>
          <w:lang w:val="en-GB"/>
        </w:rPr>
        <w:t>After reconstitution and radiolabelling, Isoprotrace contains a sterile solution for injection of gallium (</w:t>
      </w:r>
      <w:r w:rsidRPr="002F349F">
        <w:rPr>
          <w:sz w:val="24"/>
          <w:szCs w:val="24"/>
          <w:vertAlign w:val="superscript"/>
          <w:lang w:val="en-GB"/>
        </w:rPr>
        <w:t>68</w:t>
      </w:r>
      <w:r w:rsidRPr="002F349F">
        <w:rPr>
          <w:sz w:val="24"/>
          <w:szCs w:val="24"/>
          <w:lang w:val="en-GB"/>
        </w:rPr>
        <w:t>Ga) gozetotide at an activity of up to 1 369 MBq. The gallium (</w:t>
      </w:r>
      <w:r w:rsidRPr="002F349F">
        <w:rPr>
          <w:sz w:val="24"/>
          <w:szCs w:val="24"/>
          <w:vertAlign w:val="superscript"/>
          <w:lang w:val="en-GB"/>
        </w:rPr>
        <w:t>68</w:t>
      </w:r>
      <w:r w:rsidRPr="002F349F">
        <w:rPr>
          <w:sz w:val="24"/>
          <w:szCs w:val="24"/>
          <w:lang w:val="en-GB"/>
        </w:rPr>
        <w:t>Ga) gozetotide solution for injection also contains hydrochloric acid derived from the gallium (</w:t>
      </w:r>
      <w:r w:rsidRPr="002F349F">
        <w:rPr>
          <w:sz w:val="24"/>
          <w:szCs w:val="24"/>
          <w:vertAlign w:val="superscript"/>
          <w:lang w:val="en-GB"/>
        </w:rPr>
        <w:t>68</w:t>
      </w:r>
      <w:r w:rsidRPr="002F349F">
        <w:rPr>
          <w:sz w:val="24"/>
          <w:szCs w:val="24"/>
          <w:lang w:val="en-GB"/>
        </w:rPr>
        <w:t>Ga) chloride solution.</w:t>
      </w:r>
    </w:p>
    <w:p w14:paraId="32EF7E3D" w14:textId="77777777" w:rsidR="002F349F" w:rsidRPr="002F349F" w:rsidRDefault="002F349F" w:rsidP="002F349F">
      <w:pPr>
        <w:tabs>
          <w:tab w:val="left" w:pos="851"/>
        </w:tabs>
        <w:ind w:left="851"/>
        <w:rPr>
          <w:sz w:val="24"/>
          <w:szCs w:val="24"/>
          <w:lang w:val="en-GB"/>
        </w:rPr>
      </w:pPr>
    </w:p>
    <w:p w14:paraId="28CAB491" w14:textId="77777777" w:rsidR="002F349F" w:rsidRPr="002F349F" w:rsidRDefault="002F349F" w:rsidP="002F349F">
      <w:pPr>
        <w:tabs>
          <w:tab w:val="left" w:pos="851"/>
        </w:tabs>
        <w:ind w:left="851"/>
        <w:rPr>
          <w:sz w:val="24"/>
          <w:szCs w:val="24"/>
          <w:lang w:val="en-GB"/>
        </w:rPr>
      </w:pPr>
      <w:r w:rsidRPr="002F349F">
        <w:rPr>
          <w:sz w:val="24"/>
          <w:szCs w:val="24"/>
          <w:lang w:val="en-GB"/>
        </w:rPr>
        <w:lastRenderedPageBreak/>
        <w:t>The administration of radiopharmaceuticals creates risks for other persons from external radiation or contamination from spill of urine, vomiting etc. Radiation protection precautions in accordance with national regulations must therefore be taken.</w:t>
      </w:r>
    </w:p>
    <w:p w14:paraId="037DE051" w14:textId="77777777" w:rsidR="002F349F" w:rsidRPr="002F349F" w:rsidRDefault="002F349F" w:rsidP="002F349F">
      <w:pPr>
        <w:tabs>
          <w:tab w:val="left" w:pos="851"/>
        </w:tabs>
        <w:ind w:left="851"/>
        <w:rPr>
          <w:sz w:val="24"/>
          <w:szCs w:val="24"/>
          <w:lang w:val="en-GB"/>
        </w:rPr>
      </w:pPr>
    </w:p>
    <w:p w14:paraId="0F133B67" w14:textId="77777777" w:rsidR="002F349F" w:rsidRPr="002F349F" w:rsidRDefault="002F349F" w:rsidP="002F349F">
      <w:pPr>
        <w:tabs>
          <w:tab w:val="left" w:pos="851"/>
        </w:tabs>
        <w:ind w:left="851"/>
        <w:rPr>
          <w:sz w:val="24"/>
          <w:szCs w:val="24"/>
          <w:lang w:val="en-GB"/>
        </w:rPr>
      </w:pPr>
      <w:r w:rsidRPr="002F349F">
        <w:rPr>
          <w:sz w:val="24"/>
          <w:szCs w:val="24"/>
          <w:lang w:val="en-GB"/>
        </w:rPr>
        <w:t>Any unused medicinal product or waste material must be disposed of in accordance with local requirements.</w:t>
      </w:r>
    </w:p>
    <w:p w14:paraId="6C067643" w14:textId="77777777" w:rsidR="00114971" w:rsidRPr="002F349F" w:rsidRDefault="00114971" w:rsidP="00114971">
      <w:pPr>
        <w:tabs>
          <w:tab w:val="left" w:pos="851"/>
        </w:tabs>
        <w:ind w:left="851"/>
        <w:jc w:val="both"/>
        <w:rPr>
          <w:sz w:val="24"/>
          <w:szCs w:val="24"/>
          <w:lang w:val="en-GB"/>
        </w:rPr>
      </w:pPr>
    </w:p>
    <w:p w14:paraId="4EF3D6C9" w14:textId="77777777" w:rsidR="00114971" w:rsidRPr="00C54F0B" w:rsidRDefault="00114971" w:rsidP="00114971">
      <w:pPr>
        <w:tabs>
          <w:tab w:val="left" w:pos="851"/>
        </w:tabs>
        <w:ind w:left="851" w:hanging="851"/>
        <w:jc w:val="both"/>
        <w:rPr>
          <w:b/>
          <w:sz w:val="24"/>
          <w:szCs w:val="24"/>
        </w:rPr>
      </w:pPr>
      <w:r w:rsidRPr="002F349F">
        <w:rPr>
          <w:b/>
          <w:sz w:val="24"/>
          <w:szCs w:val="24"/>
        </w:rPr>
        <w:t>7.</w:t>
      </w:r>
      <w:r w:rsidRPr="002F349F">
        <w:rPr>
          <w:b/>
          <w:sz w:val="24"/>
          <w:szCs w:val="24"/>
        </w:rPr>
        <w:tab/>
        <w:t>MARKETING AUTHORISATION HOLD</w:t>
      </w:r>
      <w:r w:rsidRPr="00C54F0B">
        <w:rPr>
          <w:b/>
          <w:sz w:val="24"/>
          <w:szCs w:val="24"/>
        </w:rPr>
        <w:t>ER</w:t>
      </w:r>
    </w:p>
    <w:p w14:paraId="5E111803" w14:textId="77777777" w:rsidR="002F349F" w:rsidRPr="00D37150" w:rsidRDefault="002F349F" w:rsidP="002F349F">
      <w:pPr>
        <w:tabs>
          <w:tab w:val="left" w:pos="851"/>
        </w:tabs>
        <w:ind w:left="851"/>
        <w:jc w:val="both"/>
        <w:rPr>
          <w:sz w:val="24"/>
          <w:szCs w:val="24"/>
        </w:rPr>
      </w:pPr>
      <w:r w:rsidRPr="00D37150">
        <w:rPr>
          <w:sz w:val="24"/>
          <w:szCs w:val="24"/>
        </w:rPr>
        <w:t>Billev Pharma ApS</w:t>
      </w:r>
    </w:p>
    <w:p w14:paraId="50D30CDF" w14:textId="77777777" w:rsidR="002F349F" w:rsidRPr="00D37150" w:rsidRDefault="002F349F" w:rsidP="002F349F">
      <w:pPr>
        <w:tabs>
          <w:tab w:val="left" w:pos="851"/>
        </w:tabs>
        <w:ind w:left="851"/>
        <w:jc w:val="both"/>
        <w:rPr>
          <w:sz w:val="24"/>
          <w:szCs w:val="24"/>
        </w:rPr>
      </w:pPr>
      <w:r w:rsidRPr="00D37150">
        <w:rPr>
          <w:sz w:val="24"/>
          <w:szCs w:val="24"/>
        </w:rPr>
        <w:t>Slotsmarken 10</w:t>
      </w:r>
    </w:p>
    <w:p w14:paraId="4BA1A26D" w14:textId="77777777" w:rsidR="002F349F" w:rsidRPr="00D37150" w:rsidRDefault="002F349F" w:rsidP="002F349F">
      <w:pPr>
        <w:tabs>
          <w:tab w:val="left" w:pos="851"/>
        </w:tabs>
        <w:ind w:left="851"/>
        <w:jc w:val="both"/>
        <w:rPr>
          <w:sz w:val="24"/>
          <w:szCs w:val="24"/>
        </w:rPr>
      </w:pPr>
      <w:r w:rsidRPr="00D37150">
        <w:rPr>
          <w:sz w:val="24"/>
          <w:szCs w:val="24"/>
        </w:rPr>
        <w:t>2970 Hørsholm</w:t>
      </w:r>
    </w:p>
    <w:p w14:paraId="058F78AB" w14:textId="77777777" w:rsidR="00114971" w:rsidRPr="00D37150" w:rsidRDefault="00114971" w:rsidP="00114971">
      <w:pPr>
        <w:tabs>
          <w:tab w:val="left" w:pos="851"/>
        </w:tabs>
        <w:ind w:left="851"/>
        <w:jc w:val="both"/>
        <w:rPr>
          <w:sz w:val="24"/>
          <w:szCs w:val="24"/>
        </w:rPr>
      </w:pPr>
    </w:p>
    <w:p w14:paraId="4801AF3F" w14:textId="77777777" w:rsidR="00114971" w:rsidRPr="00DB6A85" w:rsidRDefault="00114971" w:rsidP="00114971">
      <w:pPr>
        <w:ind w:left="851" w:hanging="851"/>
        <w:jc w:val="both"/>
        <w:rPr>
          <w:b/>
          <w:sz w:val="24"/>
          <w:szCs w:val="24"/>
          <w:lang w:val="en-US"/>
        </w:rPr>
      </w:pPr>
      <w:r w:rsidRPr="00DB6A85">
        <w:rPr>
          <w:b/>
          <w:sz w:val="24"/>
          <w:szCs w:val="24"/>
          <w:lang w:val="en-US"/>
        </w:rPr>
        <w:t>8.</w:t>
      </w:r>
      <w:r w:rsidRPr="00DB6A85">
        <w:rPr>
          <w:b/>
          <w:sz w:val="24"/>
          <w:szCs w:val="24"/>
          <w:lang w:val="en-US"/>
        </w:rPr>
        <w:tab/>
        <w:t>MARKETING AUTHORISATION NUMBER(S)</w:t>
      </w:r>
    </w:p>
    <w:p w14:paraId="03ACF1BC" w14:textId="1B71151B" w:rsidR="00114971" w:rsidRPr="002F349F" w:rsidRDefault="002F349F" w:rsidP="00114971">
      <w:pPr>
        <w:tabs>
          <w:tab w:val="left" w:pos="851"/>
        </w:tabs>
        <w:ind w:left="851"/>
        <w:jc w:val="both"/>
        <w:rPr>
          <w:sz w:val="24"/>
          <w:szCs w:val="24"/>
          <w:lang w:val="en-US"/>
        </w:rPr>
      </w:pPr>
      <w:r w:rsidRPr="002F349F">
        <w:rPr>
          <w:sz w:val="24"/>
          <w:szCs w:val="24"/>
          <w:lang w:val="en-US"/>
        </w:rPr>
        <w:t>71</w:t>
      </w:r>
      <w:r>
        <w:rPr>
          <w:sz w:val="24"/>
          <w:szCs w:val="24"/>
          <w:lang w:val="en-US"/>
        </w:rPr>
        <w:t>939</w:t>
      </w:r>
    </w:p>
    <w:p w14:paraId="1CC277B7" w14:textId="77777777" w:rsidR="00114971" w:rsidRPr="00DB6A85" w:rsidRDefault="00114971" w:rsidP="00114971">
      <w:pPr>
        <w:tabs>
          <w:tab w:val="left" w:pos="851"/>
        </w:tabs>
        <w:ind w:left="851"/>
        <w:jc w:val="both"/>
        <w:rPr>
          <w:sz w:val="24"/>
          <w:szCs w:val="24"/>
          <w:lang w:val="en-US"/>
        </w:rPr>
      </w:pPr>
    </w:p>
    <w:p w14:paraId="6B7766B8" w14:textId="77777777" w:rsidR="00114971" w:rsidRPr="00DB6A85" w:rsidRDefault="00114971" w:rsidP="00114971">
      <w:pPr>
        <w:tabs>
          <w:tab w:val="left" w:pos="851"/>
        </w:tabs>
        <w:jc w:val="both"/>
        <w:rPr>
          <w:sz w:val="24"/>
          <w:szCs w:val="24"/>
          <w:lang w:val="en-US"/>
        </w:rPr>
      </w:pPr>
      <w:r>
        <w:rPr>
          <w:b/>
          <w:sz w:val="24"/>
          <w:szCs w:val="24"/>
          <w:lang w:val="en-GB"/>
        </w:rPr>
        <w:t>9.</w:t>
      </w:r>
      <w:r>
        <w:rPr>
          <w:b/>
          <w:sz w:val="24"/>
          <w:szCs w:val="24"/>
          <w:lang w:val="en-GB"/>
        </w:rPr>
        <w:tab/>
      </w:r>
      <w:r w:rsidRPr="000C3846">
        <w:rPr>
          <w:b/>
          <w:sz w:val="24"/>
          <w:szCs w:val="24"/>
          <w:lang w:val="en-GB"/>
        </w:rPr>
        <w:t>DATE OF FIRST AUTHORISATION</w:t>
      </w:r>
    </w:p>
    <w:p w14:paraId="5EAC865F" w14:textId="6CF21B24" w:rsidR="00114971" w:rsidRPr="00281F03" w:rsidRDefault="00D37150" w:rsidP="00114971">
      <w:pPr>
        <w:ind w:left="851"/>
        <w:jc w:val="both"/>
        <w:rPr>
          <w:sz w:val="24"/>
          <w:szCs w:val="24"/>
          <w:lang w:val="en-GB"/>
        </w:rPr>
      </w:pPr>
      <w:r>
        <w:rPr>
          <w:sz w:val="24"/>
          <w:szCs w:val="24"/>
          <w:lang w:val="en-US"/>
        </w:rPr>
        <w:t>11 February 2025</w:t>
      </w:r>
    </w:p>
    <w:p w14:paraId="1BABC926" w14:textId="77777777" w:rsidR="00114971" w:rsidRPr="00281F03" w:rsidRDefault="00114971" w:rsidP="00114971">
      <w:pPr>
        <w:tabs>
          <w:tab w:val="left" w:pos="851"/>
        </w:tabs>
        <w:ind w:left="851"/>
        <w:jc w:val="both"/>
        <w:rPr>
          <w:sz w:val="24"/>
          <w:szCs w:val="24"/>
          <w:lang w:val="en-GB"/>
        </w:rPr>
      </w:pPr>
    </w:p>
    <w:p w14:paraId="28507A18" w14:textId="77777777" w:rsidR="00114971" w:rsidRPr="000C3846" w:rsidRDefault="00114971" w:rsidP="00114971">
      <w:pPr>
        <w:tabs>
          <w:tab w:val="left" w:pos="851"/>
        </w:tabs>
        <w:jc w:val="both"/>
        <w:rPr>
          <w:sz w:val="24"/>
          <w:szCs w:val="24"/>
          <w:lang w:val="en-GB"/>
        </w:rPr>
      </w:pPr>
      <w:r w:rsidRPr="000C3846">
        <w:rPr>
          <w:b/>
          <w:sz w:val="24"/>
          <w:szCs w:val="24"/>
          <w:lang w:val="en-GB"/>
        </w:rPr>
        <w:t>10.</w:t>
      </w:r>
      <w:r w:rsidRPr="000C3846">
        <w:rPr>
          <w:b/>
          <w:sz w:val="24"/>
          <w:szCs w:val="24"/>
          <w:lang w:val="en-GB"/>
        </w:rPr>
        <w:tab/>
        <w:t>DATE OF REVISION OF THE TEXT</w:t>
      </w:r>
    </w:p>
    <w:p w14:paraId="3268A28B" w14:textId="6798292C" w:rsidR="00114971" w:rsidRPr="00281F03" w:rsidRDefault="002F349F" w:rsidP="00114971">
      <w:pPr>
        <w:tabs>
          <w:tab w:val="left" w:pos="851"/>
        </w:tabs>
        <w:ind w:left="851"/>
        <w:jc w:val="both"/>
        <w:rPr>
          <w:sz w:val="24"/>
          <w:szCs w:val="24"/>
          <w:lang w:val="en-GB"/>
        </w:rPr>
      </w:pPr>
      <w:r w:rsidRPr="00991F2E">
        <w:rPr>
          <w:sz w:val="24"/>
          <w:szCs w:val="24"/>
          <w:lang w:val="en-US"/>
        </w:rPr>
        <w:t>-</w:t>
      </w:r>
    </w:p>
    <w:p w14:paraId="73306E55" w14:textId="77777777" w:rsidR="00114971" w:rsidRPr="00281F03" w:rsidRDefault="00114971" w:rsidP="00114971">
      <w:pPr>
        <w:tabs>
          <w:tab w:val="left" w:pos="851"/>
        </w:tabs>
        <w:ind w:left="851"/>
        <w:jc w:val="both"/>
        <w:rPr>
          <w:sz w:val="24"/>
          <w:szCs w:val="24"/>
          <w:lang w:val="en-GB"/>
        </w:rPr>
      </w:pPr>
    </w:p>
    <w:p w14:paraId="2405A9CB" w14:textId="77777777" w:rsidR="00114971" w:rsidRPr="00281F03" w:rsidRDefault="00114971" w:rsidP="00114971">
      <w:pPr>
        <w:tabs>
          <w:tab w:val="left" w:pos="851"/>
        </w:tabs>
        <w:jc w:val="both"/>
        <w:rPr>
          <w:b/>
          <w:sz w:val="24"/>
          <w:szCs w:val="24"/>
          <w:lang w:val="en-GB"/>
        </w:rPr>
      </w:pPr>
      <w:r w:rsidRPr="00281F03">
        <w:rPr>
          <w:b/>
          <w:sz w:val="24"/>
          <w:szCs w:val="24"/>
          <w:lang w:val="en-GB"/>
        </w:rPr>
        <w:t>11.</w:t>
      </w:r>
      <w:r w:rsidRPr="00281F03">
        <w:rPr>
          <w:b/>
          <w:sz w:val="24"/>
          <w:szCs w:val="24"/>
          <w:lang w:val="en-GB"/>
        </w:rPr>
        <w:tab/>
        <w:t>DOSIMETRY</w:t>
      </w:r>
    </w:p>
    <w:p w14:paraId="70119200" w14:textId="77777777" w:rsidR="00323A16" w:rsidRPr="00323A16" w:rsidRDefault="00323A16" w:rsidP="00323A16">
      <w:pPr>
        <w:pStyle w:val="Default"/>
        <w:ind w:left="851"/>
        <w:rPr>
          <w:lang w:val="en-GB"/>
        </w:rPr>
      </w:pPr>
      <w:r w:rsidRPr="00323A16">
        <w:rPr>
          <w:lang w:val="en-GB"/>
        </w:rPr>
        <w:t>Gallium (</w:t>
      </w:r>
      <w:r w:rsidRPr="00323A16">
        <w:rPr>
          <w:vertAlign w:val="superscript"/>
          <w:lang w:val="en-GB"/>
        </w:rPr>
        <w:t>68</w:t>
      </w:r>
      <w:r w:rsidRPr="00323A16">
        <w:rPr>
          <w:lang w:val="en-GB"/>
        </w:rPr>
        <w:t xml:space="preserve">Ga) solution is obtained from a </w:t>
      </w:r>
      <w:r w:rsidRPr="00323A16">
        <w:rPr>
          <w:vertAlign w:val="superscript"/>
          <w:lang w:val="en-GB"/>
        </w:rPr>
        <w:t>68</w:t>
      </w:r>
      <w:r w:rsidRPr="00323A16">
        <w:rPr>
          <w:lang w:val="en-GB"/>
        </w:rPr>
        <w:t>Ge/</w:t>
      </w:r>
      <w:r w:rsidRPr="00323A16">
        <w:rPr>
          <w:vertAlign w:val="superscript"/>
          <w:lang w:val="en-GB"/>
        </w:rPr>
        <w:t>68</w:t>
      </w:r>
      <w:r w:rsidRPr="00323A16">
        <w:rPr>
          <w:lang w:val="en-GB"/>
        </w:rPr>
        <w:t>Ga radionuclide generator and decays by positron emission (energy 511 keV) with a physical half-life of 67.71 minutes to the stable zinc-68 isotope.</w:t>
      </w:r>
    </w:p>
    <w:p w14:paraId="6D1B01BC" w14:textId="77777777" w:rsidR="00323A16" w:rsidRPr="00323A16" w:rsidRDefault="00323A16" w:rsidP="00323A16">
      <w:pPr>
        <w:tabs>
          <w:tab w:val="left" w:pos="1304"/>
        </w:tabs>
        <w:ind w:left="851"/>
        <w:rPr>
          <w:sz w:val="24"/>
          <w:szCs w:val="24"/>
          <w:lang w:val="en-GB"/>
        </w:rPr>
      </w:pPr>
    </w:p>
    <w:p w14:paraId="401E6D54" w14:textId="77777777" w:rsidR="00323A16" w:rsidRPr="00323A16" w:rsidRDefault="00323A16" w:rsidP="00323A16">
      <w:pPr>
        <w:tabs>
          <w:tab w:val="left" w:pos="1304"/>
        </w:tabs>
        <w:ind w:left="851"/>
        <w:rPr>
          <w:sz w:val="24"/>
          <w:szCs w:val="24"/>
          <w:lang w:val="en-US"/>
        </w:rPr>
      </w:pPr>
      <w:r w:rsidRPr="00323A16">
        <w:rPr>
          <w:sz w:val="24"/>
          <w:szCs w:val="24"/>
          <w:lang w:val="en-US"/>
        </w:rPr>
        <w:t>Dosimetry data have been studied in several trials with consistent findings. In a study from Sandgren et al. (2019) four adult prostate-cancer patients with BCR underwent 3-dimensional, image-based dosimetry of gallium (</w:t>
      </w:r>
      <w:r w:rsidRPr="00323A16">
        <w:rPr>
          <w:sz w:val="24"/>
          <w:szCs w:val="24"/>
          <w:vertAlign w:val="superscript"/>
          <w:lang w:val="en-US"/>
        </w:rPr>
        <w:t>68</w:t>
      </w:r>
      <w:r w:rsidRPr="00323A16">
        <w:rPr>
          <w:sz w:val="24"/>
          <w:szCs w:val="24"/>
          <w:lang w:val="en-US"/>
        </w:rPr>
        <w:t>Ga) gozetotide assessed with the OLINDA/EXM software with time-integrated activity coefficients estimated from sequential PET/CT scans over 5 hours post-administration. The average organ absorbed doses and effective dose of gallium (</w:t>
      </w:r>
      <w:r w:rsidRPr="00323A16">
        <w:rPr>
          <w:sz w:val="24"/>
          <w:szCs w:val="24"/>
          <w:vertAlign w:val="superscript"/>
          <w:lang w:val="en-US"/>
        </w:rPr>
        <w:t>68</w:t>
      </w:r>
      <w:r w:rsidRPr="00323A16">
        <w:rPr>
          <w:sz w:val="24"/>
          <w:szCs w:val="24"/>
          <w:lang w:val="en-US"/>
        </w:rPr>
        <w:t>Ga) gozetotide are given in the table below:</w:t>
      </w:r>
    </w:p>
    <w:p w14:paraId="6A54F5DF" w14:textId="77777777" w:rsidR="00323A16" w:rsidRPr="00323A16" w:rsidRDefault="00323A16" w:rsidP="00323A16">
      <w:pPr>
        <w:tabs>
          <w:tab w:val="left" w:pos="1304"/>
        </w:tabs>
        <w:ind w:left="851"/>
        <w:rPr>
          <w:rFonts w:eastAsia="SimSun"/>
          <w:b/>
          <w:bCs/>
          <w:sz w:val="24"/>
          <w:szCs w:val="24"/>
          <w:lang w:val="en-US" w:eastAsia="en-GB"/>
        </w:rPr>
      </w:pPr>
    </w:p>
    <w:p w14:paraId="58695B5B" w14:textId="77777777" w:rsidR="00323A16" w:rsidRPr="00323A16" w:rsidRDefault="00323A16" w:rsidP="00323A16">
      <w:pPr>
        <w:keepNext/>
        <w:tabs>
          <w:tab w:val="left" w:pos="1304"/>
        </w:tabs>
        <w:ind w:left="851"/>
        <w:rPr>
          <w:rFonts w:eastAsia="SimSun"/>
          <w:b/>
          <w:bCs/>
          <w:szCs w:val="22"/>
          <w:lang w:val="en-US" w:eastAsia="en-GB"/>
        </w:rPr>
      </w:pPr>
      <w:r w:rsidRPr="00323A16">
        <w:rPr>
          <w:rFonts w:eastAsia="SimSun"/>
          <w:b/>
          <w:bCs/>
          <w:szCs w:val="22"/>
          <w:lang w:val="en-US" w:eastAsia="en-GB"/>
        </w:rPr>
        <w:t>Table 4: Estimated median radiation absorbed doses of gallium (</w:t>
      </w:r>
      <w:r w:rsidRPr="00323A16">
        <w:rPr>
          <w:rFonts w:eastAsia="SimSun"/>
          <w:b/>
          <w:bCs/>
          <w:szCs w:val="22"/>
          <w:vertAlign w:val="superscript"/>
          <w:lang w:val="en-US" w:eastAsia="en-GB"/>
        </w:rPr>
        <w:t>68</w:t>
      </w:r>
      <w:r w:rsidRPr="00323A16">
        <w:rPr>
          <w:rFonts w:eastAsia="SimSun"/>
          <w:b/>
          <w:bCs/>
          <w:szCs w:val="22"/>
          <w:lang w:val="en-US" w:eastAsia="en-GB"/>
        </w:rPr>
        <w:t>Ga) gozetotide (mGy/MBq). All values are for adult males, except where indicated differently.</w:t>
      </w:r>
    </w:p>
    <w:tbl>
      <w:tblPr>
        <w:tblStyle w:val="TableGrid2"/>
        <w:tblW w:w="7515" w:type="dxa"/>
        <w:tblInd w:w="846" w:type="dxa"/>
        <w:tblLook w:val="04A0" w:firstRow="1" w:lastRow="0" w:firstColumn="1" w:lastColumn="0" w:noHBand="0" w:noVBand="1"/>
      </w:tblPr>
      <w:tblGrid>
        <w:gridCol w:w="2972"/>
        <w:gridCol w:w="1514"/>
        <w:gridCol w:w="1514"/>
        <w:gridCol w:w="1515"/>
      </w:tblGrid>
      <w:tr w:rsidR="00323A16" w14:paraId="18005B6D"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CE288C0" w14:textId="77777777" w:rsidR="00323A16" w:rsidRDefault="00323A16">
            <w:pPr>
              <w:tabs>
                <w:tab w:val="left" w:pos="1304"/>
              </w:tabs>
              <w:rPr>
                <w:rFonts w:ascii="Times New Roman" w:eastAsia="Times New Roman" w:hAnsi="Times New Roman"/>
                <w:lang w:val="da-DK"/>
              </w:rPr>
            </w:pPr>
            <w:r>
              <w:rPr>
                <w:rFonts w:ascii="Times New Roman" w:hAnsi="Times New Roman"/>
                <w:b/>
                <w:bCs/>
                <w:lang w:val="da-DK"/>
              </w:rPr>
              <w:t>Organ</w:t>
            </w:r>
          </w:p>
        </w:tc>
        <w:tc>
          <w:tcPr>
            <w:tcW w:w="1514" w:type="dxa"/>
            <w:tcBorders>
              <w:top w:val="single" w:sz="4" w:space="0" w:color="auto"/>
              <w:left w:val="single" w:sz="4" w:space="0" w:color="auto"/>
              <w:bottom w:val="single" w:sz="4" w:space="0" w:color="auto"/>
              <w:right w:val="single" w:sz="4" w:space="0" w:color="auto"/>
            </w:tcBorders>
            <w:hideMark/>
          </w:tcPr>
          <w:p w14:paraId="79A50DA8" w14:textId="77777777" w:rsidR="00323A16" w:rsidRDefault="00323A16">
            <w:pPr>
              <w:tabs>
                <w:tab w:val="left" w:pos="1304"/>
              </w:tabs>
              <w:rPr>
                <w:rFonts w:ascii="Times New Roman" w:hAnsi="Times New Roman"/>
                <w:b/>
                <w:bCs/>
                <w:lang w:val="da-DK"/>
              </w:rPr>
            </w:pPr>
            <w:r>
              <w:rPr>
                <w:b/>
                <w:bCs/>
                <w:lang w:val="da-DK"/>
              </w:rPr>
              <w:t>Median (mGy/MBq)</w:t>
            </w:r>
          </w:p>
        </w:tc>
        <w:tc>
          <w:tcPr>
            <w:tcW w:w="1514" w:type="dxa"/>
            <w:tcBorders>
              <w:top w:val="single" w:sz="4" w:space="0" w:color="auto"/>
              <w:left w:val="single" w:sz="4" w:space="0" w:color="auto"/>
              <w:bottom w:val="single" w:sz="4" w:space="0" w:color="auto"/>
              <w:right w:val="single" w:sz="4" w:space="0" w:color="auto"/>
            </w:tcBorders>
            <w:hideMark/>
          </w:tcPr>
          <w:p w14:paraId="4C09D30D" w14:textId="77777777" w:rsidR="00323A16" w:rsidRDefault="00323A16">
            <w:pPr>
              <w:tabs>
                <w:tab w:val="left" w:pos="1304"/>
              </w:tabs>
              <w:rPr>
                <w:rFonts w:ascii="Times New Roman" w:hAnsi="Times New Roman"/>
                <w:b/>
                <w:bCs/>
                <w:lang w:val="da-DK"/>
              </w:rPr>
            </w:pPr>
            <w:r>
              <w:rPr>
                <w:b/>
                <w:bCs/>
                <w:lang w:val="da-DK"/>
              </w:rPr>
              <w:t>Min</w:t>
            </w:r>
          </w:p>
          <w:p w14:paraId="2FF27EA7" w14:textId="77777777" w:rsidR="00323A16" w:rsidRDefault="00323A16">
            <w:pPr>
              <w:tabs>
                <w:tab w:val="left" w:pos="1304"/>
              </w:tabs>
              <w:rPr>
                <w:rFonts w:ascii="Times New Roman" w:hAnsi="Times New Roman"/>
                <w:b/>
                <w:bCs/>
                <w:lang w:val="da-DK"/>
              </w:rPr>
            </w:pPr>
            <w:r>
              <w:rPr>
                <w:b/>
                <w:bCs/>
                <w:lang w:val="da-DK"/>
              </w:rPr>
              <w:t>(mGy/MBq)</w:t>
            </w:r>
          </w:p>
        </w:tc>
        <w:tc>
          <w:tcPr>
            <w:tcW w:w="1515" w:type="dxa"/>
            <w:tcBorders>
              <w:top w:val="single" w:sz="4" w:space="0" w:color="auto"/>
              <w:left w:val="single" w:sz="4" w:space="0" w:color="auto"/>
              <w:bottom w:val="single" w:sz="4" w:space="0" w:color="auto"/>
              <w:right w:val="single" w:sz="4" w:space="0" w:color="auto"/>
            </w:tcBorders>
            <w:hideMark/>
          </w:tcPr>
          <w:p w14:paraId="04F199D9" w14:textId="77777777" w:rsidR="00323A16" w:rsidRDefault="00323A16">
            <w:pPr>
              <w:tabs>
                <w:tab w:val="left" w:pos="1304"/>
              </w:tabs>
              <w:rPr>
                <w:rFonts w:ascii="Times New Roman" w:hAnsi="Times New Roman"/>
                <w:b/>
                <w:bCs/>
                <w:lang w:val="da-DK"/>
              </w:rPr>
            </w:pPr>
            <w:r>
              <w:rPr>
                <w:b/>
                <w:bCs/>
                <w:lang w:val="da-DK"/>
              </w:rPr>
              <w:t>Max</w:t>
            </w:r>
          </w:p>
          <w:p w14:paraId="43A7D0C1" w14:textId="77777777" w:rsidR="00323A16" w:rsidRDefault="00323A16">
            <w:pPr>
              <w:tabs>
                <w:tab w:val="left" w:pos="1304"/>
              </w:tabs>
              <w:rPr>
                <w:rFonts w:ascii="Times New Roman" w:hAnsi="Times New Roman"/>
                <w:b/>
                <w:bCs/>
                <w:lang w:val="da-DK"/>
              </w:rPr>
            </w:pPr>
            <w:r>
              <w:rPr>
                <w:b/>
                <w:bCs/>
                <w:lang w:val="da-DK"/>
              </w:rPr>
              <w:t>(mGy/MBq)</w:t>
            </w:r>
          </w:p>
        </w:tc>
      </w:tr>
      <w:tr w:rsidR="00323A16" w14:paraId="59CBCC10"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60C019DF" w14:textId="77777777" w:rsidR="00323A16" w:rsidRDefault="00323A16">
            <w:pPr>
              <w:tabs>
                <w:tab w:val="left" w:pos="1304"/>
              </w:tabs>
              <w:rPr>
                <w:rFonts w:ascii="Times New Roman" w:hAnsi="Times New Roman"/>
                <w:lang w:val="da-DK"/>
              </w:rPr>
            </w:pPr>
            <w:r>
              <w:rPr>
                <w:rFonts w:ascii="Times New Roman" w:hAnsi="Times New Roman"/>
                <w:lang w:val="da-DK"/>
              </w:rPr>
              <w:t>Adrenals</w:t>
            </w:r>
          </w:p>
        </w:tc>
        <w:tc>
          <w:tcPr>
            <w:tcW w:w="1514" w:type="dxa"/>
            <w:tcBorders>
              <w:top w:val="single" w:sz="4" w:space="0" w:color="auto"/>
              <w:left w:val="single" w:sz="4" w:space="0" w:color="auto"/>
              <w:bottom w:val="single" w:sz="4" w:space="0" w:color="auto"/>
              <w:right w:val="single" w:sz="4" w:space="0" w:color="auto"/>
            </w:tcBorders>
            <w:hideMark/>
          </w:tcPr>
          <w:p w14:paraId="44AD5F78" w14:textId="77777777" w:rsidR="00323A16" w:rsidRDefault="00323A16">
            <w:pPr>
              <w:tabs>
                <w:tab w:val="left" w:pos="1304"/>
              </w:tabs>
              <w:rPr>
                <w:rFonts w:ascii="Times New Roman" w:hAnsi="Times New Roman"/>
                <w:lang w:val="da-DK"/>
              </w:rPr>
            </w:pPr>
            <w:r>
              <w:rPr>
                <w:rFonts w:ascii="Times New Roman" w:hAnsi="Times New Roman"/>
                <w:lang w:val="da-DK"/>
              </w:rPr>
              <w:t>0.05185</w:t>
            </w:r>
          </w:p>
        </w:tc>
        <w:tc>
          <w:tcPr>
            <w:tcW w:w="1514" w:type="dxa"/>
            <w:tcBorders>
              <w:top w:val="single" w:sz="4" w:space="0" w:color="auto"/>
              <w:left w:val="single" w:sz="4" w:space="0" w:color="auto"/>
              <w:bottom w:val="single" w:sz="4" w:space="0" w:color="auto"/>
              <w:right w:val="single" w:sz="4" w:space="0" w:color="auto"/>
            </w:tcBorders>
            <w:hideMark/>
          </w:tcPr>
          <w:p w14:paraId="4A34682B" w14:textId="77777777" w:rsidR="00323A16" w:rsidRDefault="00323A16">
            <w:pPr>
              <w:tabs>
                <w:tab w:val="left" w:pos="1304"/>
              </w:tabs>
              <w:rPr>
                <w:rFonts w:ascii="Times New Roman" w:hAnsi="Times New Roman"/>
                <w:lang w:val="da-DK"/>
              </w:rPr>
            </w:pPr>
            <w:r>
              <w:rPr>
                <w:rFonts w:ascii="Times New Roman" w:hAnsi="Times New Roman"/>
                <w:lang w:val="da-DK"/>
              </w:rPr>
              <w:t>0.0431</w:t>
            </w:r>
          </w:p>
        </w:tc>
        <w:tc>
          <w:tcPr>
            <w:tcW w:w="1515" w:type="dxa"/>
            <w:tcBorders>
              <w:top w:val="single" w:sz="4" w:space="0" w:color="auto"/>
              <w:left w:val="single" w:sz="4" w:space="0" w:color="auto"/>
              <w:bottom w:val="single" w:sz="4" w:space="0" w:color="auto"/>
              <w:right w:val="single" w:sz="4" w:space="0" w:color="auto"/>
            </w:tcBorders>
            <w:hideMark/>
          </w:tcPr>
          <w:p w14:paraId="578D10D6" w14:textId="77777777" w:rsidR="00323A16" w:rsidRDefault="00323A16">
            <w:pPr>
              <w:tabs>
                <w:tab w:val="left" w:pos="1304"/>
              </w:tabs>
              <w:rPr>
                <w:rFonts w:ascii="Times New Roman" w:hAnsi="Times New Roman"/>
                <w:lang w:val="da-DK"/>
              </w:rPr>
            </w:pPr>
            <w:r>
              <w:rPr>
                <w:rFonts w:ascii="Times New Roman" w:hAnsi="Times New Roman"/>
                <w:lang w:val="da-DK"/>
              </w:rPr>
              <w:t>0.098</w:t>
            </w:r>
          </w:p>
        </w:tc>
      </w:tr>
      <w:tr w:rsidR="00323A16" w14:paraId="1727F342"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7A607859" w14:textId="77777777" w:rsidR="00323A16" w:rsidRDefault="00323A16">
            <w:pPr>
              <w:tabs>
                <w:tab w:val="left" w:pos="1304"/>
              </w:tabs>
              <w:rPr>
                <w:rFonts w:ascii="Times New Roman" w:hAnsi="Times New Roman"/>
                <w:lang w:val="da-DK"/>
              </w:rPr>
            </w:pPr>
            <w:r>
              <w:rPr>
                <w:rFonts w:ascii="Times New Roman" w:hAnsi="Times New Roman"/>
                <w:lang w:val="da-DK"/>
              </w:rPr>
              <w:t>Brain</w:t>
            </w:r>
          </w:p>
        </w:tc>
        <w:tc>
          <w:tcPr>
            <w:tcW w:w="1514" w:type="dxa"/>
            <w:tcBorders>
              <w:top w:val="single" w:sz="4" w:space="0" w:color="auto"/>
              <w:left w:val="single" w:sz="4" w:space="0" w:color="auto"/>
              <w:bottom w:val="single" w:sz="4" w:space="0" w:color="auto"/>
              <w:right w:val="single" w:sz="4" w:space="0" w:color="auto"/>
            </w:tcBorders>
            <w:hideMark/>
          </w:tcPr>
          <w:p w14:paraId="61F5D5CE" w14:textId="77777777" w:rsidR="00323A16" w:rsidRDefault="00323A16">
            <w:pPr>
              <w:tabs>
                <w:tab w:val="left" w:pos="1304"/>
              </w:tabs>
              <w:rPr>
                <w:rFonts w:ascii="Times New Roman" w:hAnsi="Times New Roman"/>
                <w:lang w:val="da-DK"/>
              </w:rPr>
            </w:pPr>
            <w:r>
              <w:rPr>
                <w:rFonts w:ascii="Times New Roman" w:hAnsi="Times New Roman"/>
                <w:lang w:val="da-DK"/>
              </w:rPr>
              <w:t>0.00791</w:t>
            </w:r>
          </w:p>
        </w:tc>
        <w:tc>
          <w:tcPr>
            <w:tcW w:w="1514" w:type="dxa"/>
            <w:tcBorders>
              <w:top w:val="single" w:sz="4" w:space="0" w:color="auto"/>
              <w:left w:val="single" w:sz="4" w:space="0" w:color="auto"/>
              <w:bottom w:val="single" w:sz="4" w:space="0" w:color="auto"/>
              <w:right w:val="single" w:sz="4" w:space="0" w:color="auto"/>
            </w:tcBorders>
            <w:hideMark/>
          </w:tcPr>
          <w:p w14:paraId="2F183A32" w14:textId="77777777" w:rsidR="00323A16" w:rsidRDefault="00323A16">
            <w:pPr>
              <w:tabs>
                <w:tab w:val="left" w:pos="1304"/>
              </w:tabs>
              <w:rPr>
                <w:rFonts w:ascii="Times New Roman" w:hAnsi="Times New Roman"/>
                <w:lang w:val="da-DK"/>
              </w:rPr>
            </w:pPr>
            <w:r>
              <w:rPr>
                <w:rFonts w:ascii="Times New Roman" w:hAnsi="Times New Roman"/>
                <w:lang w:val="da-DK"/>
              </w:rPr>
              <w:t>0.00628</w:t>
            </w:r>
          </w:p>
        </w:tc>
        <w:tc>
          <w:tcPr>
            <w:tcW w:w="1515" w:type="dxa"/>
            <w:tcBorders>
              <w:top w:val="single" w:sz="4" w:space="0" w:color="auto"/>
              <w:left w:val="single" w:sz="4" w:space="0" w:color="auto"/>
              <w:bottom w:val="single" w:sz="4" w:space="0" w:color="auto"/>
              <w:right w:val="single" w:sz="4" w:space="0" w:color="auto"/>
            </w:tcBorders>
            <w:hideMark/>
          </w:tcPr>
          <w:p w14:paraId="4F7D5B64" w14:textId="77777777" w:rsidR="00323A16" w:rsidRDefault="00323A16">
            <w:pPr>
              <w:tabs>
                <w:tab w:val="left" w:pos="1304"/>
              </w:tabs>
              <w:rPr>
                <w:rFonts w:ascii="Times New Roman" w:hAnsi="Times New Roman"/>
                <w:lang w:val="da-DK"/>
              </w:rPr>
            </w:pPr>
            <w:r>
              <w:rPr>
                <w:rFonts w:ascii="Times New Roman" w:hAnsi="Times New Roman"/>
                <w:lang w:val="da-DK"/>
              </w:rPr>
              <w:t>0.00891</w:t>
            </w:r>
          </w:p>
        </w:tc>
      </w:tr>
      <w:tr w:rsidR="00323A16" w14:paraId="61303E1D"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72ABDBFA" w14:textId="77777777" w:rsidR="00323A16" w:rsidRDefault="00323A16">
            <w:pPr>
              <w:tabs>
                <w:tab w:val="left" w:pos="1304"/>
              </w:tabs>
              <w:rPr>
                <w:rFonts w:ascii="Times New Roman" w:hAnsi="Times New Roman"/>
                <w:lang w:val="da-DK"/>
              </w:rPr>
            </w:pPr>
            <w:r>
              <w:rPr>
                <w:rFonts w:ascii="Times New Roman" w:hAnsi="Times New Roman"/>
                <w:lang w:val="da-DK"/>
              </w:rPr>
              <w:t>Breast</w:t>
            </w:r>
          </w:p>
        </w:tc>
        <w:tc>
          <w:tcPr>
            <w:tcW w:w="1514" w:type="dxa"/>
            <w:tcBorders>
              <w:top w:val="single" w:sz="4" w:space="0" w:color="auto"/>
              <w:left w:val="single" w:sz="4" w:space="0" w:color="auto"/>
              <w:bottom w:val="single" w:sz="4" w:space="0" w:color="auto"/>
              <w:right w:val="single" w:sz="4" w:space="0" w:color="auto"/>
            </w:tcBorders>
            <w:hideMark/>
          </w:tcPr>
          <w:p w14:paraId="4622FE15" w14:textId="77777777" w:rsidR="00323A16" w:rsidRDefault="00323A16">
            <w:pPr>
              <w:tabs>
                <w:tab w:val="left" w:pos="1304"/>
              </w:tabs>
              <w:rPr>
                <w:rFonts w:ascii="Times New Roman" w:hAnsi="Times New Roman"/>
                <w:lang w:val="da-DK"/>
              </w:rPr>
            </w:pPr>
            <w:r>
              <w:rPr>
                <w:rFonts w:ascii="Times New Roman" w:hAnsi="Times New Roman"/>
                <w:lang w:val="da-DK"/>
              </w:rPr>
              <w:t>0.00853</w:t>
            </w:r>
          </w:p>
        </w:tc>
        <w:tc>
          <w:tcPr>
            <w:tcW w:w="1514" w:type="dxa"/>
            <w:tcBorders>
              <w:top w:val="single" w:sz="4" w:space="0" w:color="auto"/>
              <w:left w:val="single" w:sz="4" w:space="0" w:color="auto"/>
              <w:bottom w:val="single" w:sz="4" w:space="0" w:color="auto"/>
              <w:right w:val="single" w:sz="4" w:space="0" w:color="auto"/>
            </w:tcBorders>
            <w:hideMark/>
          </w:tcPr>
          <w:p w14:paraId="477A33A3" w14:textId="77777777" w:rsidR="00323A16" w:rsidRDefault="00323A16">
            <w:pPr>
              <w:tabs>
                <w:tab w:val="left" w:pos="1304"/>
              </w:tabs>
              <w:rPr>
                <w:rFonts w:ascii="Times New Roman" w:hAnsi="Times New Roman"/>
                <w:lang w:val="da-DK"/>
              </w:rPr>
            </w:pPr>
            <w:r>
              <w:rPr>
                <w:rFonts w:ascii="Times New Roman" w:hAnsi="Times New Roman"/>
                <w:lang w:val="da-DK"/>
              </w:rPr>
              <w:t>0.00763</w:t>
            </w:r>
          </w:p>
        </w:tc>
        <w:tc>
          <w:tcPr>
            <w:tcW w:w="1515" w:type="dxa"/>
            <w:tcBorders>
              <w:top w:val="single" w:sz="4" w:space="0" w:color="auto"/>
              <w:left w:val="single" w:sz="4" w:space="0" w:color="auto"/>
              <w:bottom w:val="single" w:sz="4" w:space="0" w:color="auto"/>
              <w:right w:val="single" w:sz="4" w:space="0" w:color="auto"/>
            </w:tcBorders>
            <w:hideMark/>
          </w:tcPr>
          <w:p w14:paraId="361BBD0C" w14:textId="77777777" w:rsidR="00323A16" w:rsidRDefault="00323A16">
            <w:pPr>
              <w:tabs>
                <w:tab w:val="left" w:pos="1304"/>
              </w:tabs>
              <w:rPr>
                <w:rFonts w:ascii="Times New Roman" w:hAnsi="Times New Roman"/>
                <w:lang w:val="da-DK"/>
              </w:rPr>
            </w:pPr>
            <w:r>
              <w:rPr>
                <w:rFonts w:ascii="Times New Roman" w:hAnsi="Times New Roman"/>
                <w:lang w:val="da-DK"/>
              </w:rPr>
              <w:t>0.00898</w:t>
            </w:r>
          </w:p>
        </w:tc>
      </w:tr>
      <w:tr w:rsidR="00323A16" w14:paraId="1DD5248E"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12CBC6B0" w14:textId="77777777" w:rsidR="00323A16" w:rsidRDefault="00323A16">
            <w:pPr>
              <w:tabs>
                <w:tab w:val="left" w:pos="1304"/>
              </w:tabs>
              <w:rPr>
                <w:rFonts w:ascii="Times New Roman" w:hAnsi="Times New Roman"/>
                <w:lang w:val="da-DK"/>
              </w:rPr>
            </w:pPr>
            <w:r>
              <w:rPr>
                <w:rFonts w:ascii="Times New Roman" w:hAnsi="Times New Roman"/>
                <w:lang w:val="da-DK"/>
              </w:rPr>
              <w:t>Colon wall</w:t>
            </w:r>
          </w:p>
        </w:tc>
        <w:tc>
          <w:tcPr>
            <w:tcW w:w="1514" w:type="dxa"/>
            <w:tcBorders>
              <w:top w:val="single" w:sz="4" w:space="0" w:color="auto"/>
              <w:left w:val="single" w:sz="4" w:space="0" w:color="auto"/>
              <w:bottom w:val="single" w:sz="4" w:space="0" w:color="auto"/>
              <w:right w:val="single" w:sz="4" w:space="0" w:color="auto"/>
            </w:tcBorders>
            <w:hideMark/>
          </w:tcPr>
          <w:p w14:paraId="2E9213D9" w14:textId="77777777" w:rsidR="00323A16" w:rsidRDefault="00323A16">
            <w:pPr>
              <w:tabs>
                <w:tab w:val="left" w:pos="1304"/>
              </w:tabs>
              <w:rPr>
                <w:rFonts w:ascii="Times New Roman" w:hAnsi="Times New Roman"/>
                <w:lang w:val="da-DK"/>
              </w:rPr>
            </w:pPr>
            <w:r>
              <w:rPr>
                <w:rFonts w:ascii="Times New Roman" w:hAnsi="Times New Roman"/>
                <w:lang w:val="da-DK"/>
              </w:rPr>
              <w:t>0.01365</w:t>
            </w:r>
          </w:p>
        </w:tc>
        <w:tc>
          <w:tcPr>
            <w:tcW w:w="1514" w:type="dxa"/>
            <w:tcBorders>
              <w:top w:val="single" w:sz="4" w:space="0" w:color="auto"/>
              <w:left w:val="single" w:sz="4" w:space="0" w:color="auto"/>
              <w:bottom w:val="single" w:sz="4" w:space="0" w:color="auto"/>
              <w:right w:val="single" w:sz="4" w:space="0" w:color="auto"/>
            </w:tcBorders>
            <w:hideMark/>
          </w:tcPr>
          <w:p w14:paraId="3510315E" w14:textId="77777777" w:rsidR="00323A16" w:rsidRDefault="00323A16">
            <w:pPr>
              <w:tabs>
                <w:tab w:val="left" w:pos="1304"/>
              </w:tabs>
              <w:rPr>
                <w:rFonts w:ascii="Times New Roman" w:hAnsi="Times New Roman"/>
                <w:lang w:val="da-DK"/>
              </w:rPr>
            </w:pPr>
            <w:r>
              <w:rPr>
                <w:rFonts w:ascii="Times New Roman" w:hAnsi="Times New Roman"/>
                <w:lang w:val="da-DK"/>
              </w:rPr>
              <w:t>0.0129</w:t>
            </w:r>
          </w:p>
        </w:tc>
        <w:tc>
          <w:tcPr>
            <w:tcW w:w="1515" w:type="dxa"/>
            <w:tcBorders>
              <w:top w:val="single" w:sz="4" w:space="0" w:color="auto"/>
              <w:left w:val="single" w:sz="4" w:space="0" w:color="auto"/>
              <w:bottom w:val="single" w:sz="4" w:space="0" w:color="auto"/>
              <w:right w:val="single" w:sz="4" w:space="0" w:color="auto"/>
            </w:tcBorders>
            <w:hideMark/>
          </w:tcPr>
          <w:p w14:paraId="4942AC34" w14:textId="77777777" w:rsidR="00323A16" w:rsidRDefault="00323A16">
            <w:pPr>
              <w:tabs>
                <w:tab w:val="left" w:pos="1304"/>
              </w:tabs>
              <w:rPr>
                <w:rFonts w:ascii="Times New Roman" w:hAnsi="Times New Roman"/>
                <w:lang w:val="da-DK"/>
              </w:rPr>
            </w:pPr>
            <w:r>
              <w:rPr>
                <w:rFonts w:ascii="Times New Roman" w:hAnsi="Times New Roman"/>
                <w:lang w:val="da-DK"/>
              </w:rPr>
              <w:t>0.0147</w:t>
            </w:r>
          </w:p>
        </w:tc>
      </w:tr>
      <w:tr w:rsidR="00323A16" w14:paraId="262DEA5B"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14E81103" w14:textId="77777777" w:rsidR="00323A16" w:rsidRDefault="00323A16">
            <w:pPr>
              <w:tabs>
                <w:tab w:val="left" w:pos="1304"/>
              </w:tabs>
              <w:rPr>
                <w:rFonts w:ascii="Times New Roman" w:hAnsi="Times New Roman"/>
                <w:lang w:val="da-DK"/>
              </w:rPr>
            </w:pPr>
            <w:r>
              <w:rPr>
                <w:rFonts w:ascii="Times New Roman" w:hAnsi="Times New Roman"/>
                <w:lang w:val="da-DK"/>
              </w:rPr>
              <w:t>Endosteum (bone surface)</w:t>
            </w:r>
          </w:p>
        </w:tc>
        <w:tc>
          <w:tcPr>
            <w:tcW w:w="1514" w:type="dxa"/>
            <w:tcBorders>
              <w:top w:val="single" w:sz="4" w:space="0" w:color="auto"/>
              <w:left w:val="single" w:sz="4" w:space="0" w:color="auto"/>
              <w:bottom w:val="single" w:sz="4" w:space="0" w:color="auto"/>
              <w:right w:val="single" w:sz="4" w:space="0" w:color="auto"/>
            </w:tcBorders>
            <w:hideMark/>
          </w:tcPr>
          <w:p w14:paraId="25E16720" w14:textId="77777777" w:rsidR="00323A16" w:rsidRDefault="00323A16">
            <w:pPr>
              <w:tabs>
                <w:tab w:val="left" w:pos="1304"/>
              </w:tabs>
              <w:rPr>
                <w:rFonts w:ascii="Times New Roman" w:hAnsi="Times New Roman"/>
                <w:lang w:val="da-DK"/>
              </w:rPr>
            </w:pPr>
            <w:r>
              <w:rPr>
                <w:rFonts w:ascii="Times New Roman" w:hAnsi="Times New Roman"/>
                <w:lang w:val="da-DK"/>
              </w:rPr>
              <w:t>0.0109</w:t>
            </w:r>
          </w:p>
        </w:tc>
        <w:tc>
          <w:tcPr>
            <w:tcW w:w="1514" w:type="dxa"/>
            <w:tcBorders>
              <w:top w:val="single" w:sz="4" w:space="0" w:color="auto"/>
              <w:left w:val="single" w:sz="4" w:space="0" w:color="auto"/>
              <w:bottom w:val="single" w:sz="4" w:space="0" w:color="auto"/>
              <w:right w:val="single" w:sz="4" w:space="0" w:color="auto"/>
            </w:tcBorders>
            <w:hideMark/>
          </w:tcPr>
          <w:p w14:paraId="533DF198" w14:textId="77777777" w:rsidR="00323A16" w:rsidRDefault="00323A16">
            <w:pPr>
              <w:tabs>
                <w:tab w:val="left" w:pos="1304"/>
              </w:tabs>
              <w:rPr>
                <w:rFonts w:ascii="Times New Roman" w:hAnsi="Times New Roman"/>
                <w:lang w:val="da-DK"/>
              </w:rPr>
            </w:pPr>
            <w:r>
              <w:rPr>
                <w:rFonts w:ascii="Times New Roman" w:hAnsi="Times New Roman"/>
                <w:lang w:val="da-DK"/>
              </w:rPr>
              <w:t>0.00927</w:t>
            </w:r>
          </w:p>
        </w:tc>
        <w:tc>
          <w:tcPr>
            <w:tcW w:w="1515" w:type="dxa"/>
            <w:tcBorders>
              <w:top w:val="single" w:sz="4" w:space="0" w:color="auto"/>
              <w:left w:val="single" w:sz="4" w:space="0" w:color="auto"/>
              <w:bottom w:val="single" w:sz="4" w:space="0" w:color="auto"/>
              <w:right w:val="single" w:sz="4" w:space="0" w:color="auto"/>
            </w:tcBorders>
            <w:hideMark/>
          </w:tcPr>
          <w:p w14:paraId="0A6A2C30" w14:textId="77777777" w:rsidR="00323A16" w:rsidRDefault="00323A16">
            <w:pPr>
              <w:tabs>
                <w:tab w:val="left" w:pos="1304"/>
              </w:tabs>
              <w:rPr>
                <w:rFonts w:ascii="Times New Roman" w:hAnsi="Times New Roman"/>
                <w:lang w:val="da-DK"/>
              </w:rPr>
            </w:pPr>
            <w:r>
              <w:rPr>
                <w:rFonts w:ascii="Times New Roman" w:hAnsi="Times New Roman"/>
                <w:lang w:val="da-DK"/>
              </w:rPr>
              <w:t>0.011</w:t>
            </w:r>
          </w:p>
        </w:tc>
      </w:tr>
      <w:tr w:rsidR="00323A16" w14:paraId="5261F3D9"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4A847262" w14:textId="77777777" w:rsidR="00323A16" w:rsidRDefault="00323A16">
            <w:pPr>
              <w:tabs>
                <w:tab w:val="left" w:pos="1304"/>
              </w:tabs>
              <w:rPr>
                <w:rFonts w:ascii="Times New Roman" w:hAnsi="Times New Roman"/>
                <w:lang w:val="da-DK"/>
              </w:rPr>
            </w:pPr>
            <w:r>
              <w:rPr>
                <w:rFonts w:ascii="Times New Roman" w:hAnsi="Times New Roman"/>
                <w:lang w:val="da-DK"/>
              </w:rPr>
              <w:t>Endothoracic region</w:t>
            </w:r>
          </w:p>
        </w:tc>
        <w:tc>
          <w:tcPr>
            <w:tcW w:w="1514" w:type="dxa"/>
            <w:tcBorders>
              <w:top w:val="single" w:sz="4" w:space="0" w:color="auto"/>
              <w:left w:val="single" w:sz="4" w:space="0" w:color="auto"/>
              <w:bottom w:val="single" w:sz="4" w:space="0" w:color="auto"/>
              <w:right w:val="single" w:sz="4" w:space="0" w:color="auto"/>
            </w:tcBorders>
            <w:hideMark/>
          </w:tcPr>
          <w:p w14:paraId="562504D3" w14:textId="77777777" w:rsidR="00323A16" w:rsidRDefault="00323A16">
            <w:pPr>
              <w:tabs>
                <w:tab w:val="left" w:pos="1304"/>
              </w:tabs>
              <w:rPr>
                <w:rFonts w:ascii="Times New Roman" w:hAnsi="Times New Roman"/>
                <w:lang w:val="da-DK"/>
              </w:rPr>
            </w:pPr>
            <w:r>
              <w:rPr>
                <w:rFonts w:ascii="Times New Roman" w:hAnsi="Times New Roman"/>
                <w:lang w:val="da-DK"/>
              </w:rPr>
              <w:t>0.00537</w:t>
            </w:r>
          </w:p>
        </w:tc>
        <w:tc>
          <w:tcPr>
            <w:tcW w:w="1514" w:type="dxa"/>
            <w:tcBorders>
              <w:top w:val="single" w:sz="4" w:space="0" w:color="auto"/>
              <w:left w:val="single" w:sz="4" w:space="0" w:color="auto"/>
              <w:bottom w:val="single" w:sz="4" w:space="0" w:color="auto"/>
              <w:right w:val="single" w:sz="4" w:space="0" w:color="auto"/>
            </w:tcBorders>
            <w:hideMark/>
          </w:tcPr>
          <w:p w14:paraId="6536E9B8" w14:textId="77777777" w:rsidR="00323A16" w:rsidRDefault="00323A16">
            <w:pPr>
              <w:tabs>
                <w:tab w:val="left" w:pos="1304"/>
              </w:tabs>
              <w:rPr>
                <w:rFonts w:ascii="Times New Roman" w:hAnsi="Times New Roman"/>
                <w:lang w:val="da-DK"/>
              </w:rPr>
            </w:pPr>
            <w:r>
              <w:rPr>
                <w:rFonts w:ascii="Times New Roman" w:hAnsi="Times New Roman"/>
                <w:lang w:val="da-DK"/>
              </w:rPr>
              <w:t>0.0047</w:t>
            </w:r>
          </w:p>
        </w:tc>
        <w:tc>
          <w:tcPr>
            <w:tcW w:w="1515" w:type="dxa"/>
            <w:tcBorders>
              <w:top w:val="single" w:sz="4" w:space="0" w:color="auto"/>
              <w:left w:val="single" w:sz="4" w:space="0" w:color="auto"/>
              <w:bottom w:val="single" w:sz="4" w:space="0" w:color="auto"/>
              <w:right w:val="single" w:sz="4" w:space="0" w:color="auto"/>
            </w:tcBorders>
            <w:hideMark/>
          </w:tcPr>
          <w:p w14:paraId="06B1143C" w14:textId="77777777" w:rsidR="00323A16" w:rsidRDefault="00323A16">
            <w:pPr>
              <w:tabs>
                <w:tab w:val="left" w:pos="1304"/>
              </w:tabs>
              <w:rPr>
                <w:rFonts w:ascii="Times New Roman" w:hAnsi="Times New Roman"/>
                <w:lang w:val="da-DK"/>
              </w:rPr>
            </w:pPr>
            <w:r>
              <w:rPr>
                <w:rFonts w:ascii="Times New Roman" w:hAnsi="Times New Roman"/>
                <w:lang w:val="da-DK"/>
              </w:rPr>
              <w:t>0.0546</w:t>
            </w:r>
          </w:p>
        </w:tc>
      </w:tr>
      <w:tr w:rsidR="00323A16" w14:paraId="2E287797"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12D4B290" w14:textId="77777777" w:rsidR="00323A16" w:rsidRDefault="00323A16">
            <w:pPr>
              <w:tabs>
                <w:tab w:val="left" w:pos="1304"/>
              </w:tabs>
              <w:rPr>
                <w:rFonts w:ascii="Times New Roman" w:hAnsi="Times New Roman"/>
                <w:lang w:val="da-DK"/>
              </w:rPr>
            </w:pPr>
            <w:r>
              <w:rPr>
                <w:rFonts w:ascii="Times New Roman" w:hAnsi="Times New Roman"/>
                <w:lang w:val="da-DK"/>
              </w:rPr>
              <w:t>Eye lenses</w:t>
            </w:r>
          </w:p>
        </w:tc>
        <w:tc>
          <w:tcPr>
            <w:tcW w:w="1514" w:type="dxa"/>
            <w:tcBorders>
              <w:top w:val="single" w:sz="4" w:space="0" w:color="auto"/>
              <w:left w:val="single" w:sz="4" w:space="0" w:color="auto"/>
              <w:bottom w:val="single" w:sz="4" w:space="0" w:color="auto"/>
              <w:right w:val="single" w:sz="4" w:space="0" w:color="auto"/>
            </w:tcBorders>
            <w:hideMark/>
          </w:tcPr>
          <w:p w14:paraId="04D2F2EB" w14:textId="77777777" w:rsidR="00323A16" w:rsidRDefault="00323A16">
            <w:pPr>
              <w:tabs>
                <w:tab w:val="left" w:pos="1304"/>
              </w:tabs>
              <w:rPr>
                <w:rFonts w:ascii="Times New Roman" w:hAnsi="Times New Roman"/>
                <w:lang w:val="da-DK"/>
              </w:rPr>
            </w:pPr>
            <w:r>
              <w:rPr>
                <w:rFonts w:ascii="Times New Roman" w:hAnsi="Times New Roman"/>
                <w:lang w:val="da-DK"/>
              </w:rPr>
              <w:t>0.00502</w:t>
            </w:r>
          </w:p>
        </w:tc>
        <w:tc>
          <w:tcPr>
            <w:tcW w:w="1514" w:type="dxa"/>
            <w:tcBorders>
              <w:top w:val="single" w:sz="4" w:space="0" w:color="auto"/>
              <w:left w:val="single" w:sz="4" w:space="0" w:color="auto"/>
              <w:bottom w:val="single" w:sz="4" w:space="0" w:color="auto"/>
              <w:right w:val="single" w:sz="4" w:space="0" w:color="auto"/>
            </w:tcBorders>
            <w:hideMark/>
          </w:tcPr>
          <w:p w14:paraId="2BBDC21E" w14:textId="77777777" w:rsidR="00323A16" w:rsidRDefault="00323A16">
            <w:pPr>
              <w:tabs>
                <w:tab w:val="left" w:pos="1304"/>
              </w:tabs>
              <w:rPr>
                <w:rFonts w:ascii="Times New Roman" w:hAnsi="Times New Roman"/>
                <w:lang w:val="da-DK"/>
              </w:rPr>
            </w:pPr>
            <w:r>
              <w:rPr>
                <w:rFonts w:ascii="Times New Roman" w:hAnsi="Times New Roman"/>
                <w:lang w:val="da-DK"/>
              </w:rPr>
              <w:t>0.00407</w:t>
            </w:r>
          </w:p>
        </w:tc>
        <w:tc>
          <w:tcPr>
            <w:tcW w:w="1515" w:type="dxa"/>
            <w:tcBorders>
              <w:top w:val="single" w:sz="4" w:space="0" w:color="auto"/>
              <w:left w:val="single" w:sz="4" w:space="0" w:color="auto"/>
              <w:bottom w:val="single" w:sz="4" w:space="0" w:color="auto"/>
              <w:right w:val="single" w:sz="4" w:space="0" w:color="auto"/>
            </w:tcBorders>
            <w:hideMark/>
          </w:tcPr>
          <w:p w14:paraId="29CCBAD6" w14:textId="77777777" w:rsidR="00323A16" w:rsidRDefault="00323A16">
            <w:pPr>
              <w:tabs>
                <w:tab w:val="left" w:pos="1304"/>
              </w:tabs>
              <w:rPr>
                <w:rFonts w:ascii="Times New Roman" w:hAnsi="Times New Roman"/>
                <w:lang w:val="da-DK"/>
              </w:rPr>
            </w:pPr>
            <w:r>
              <w:rPr>
                <w:rFonts w:ascii="Times New Roman" w:hAnsi="Times New Roman"/>
                <w:lang w:val="da-DK"/>
              </w:rPr>
              <w:t>0.04091</w:t>
            </w:r>
          </w:p>
        </w:tc>
      </w:tr>
      <w:tr w:rsidR="00323A16" w14:paraId="6562BB6E"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61809925" w14:textId="77777777" w:rsidR="00323A16" w:rsidRDefault="00323A16">
            <w:pPr>
              <w:tabs>
                <w:tab w:val="left" w:pos="1304"/>
              </w:tabs>
              <w:rPr>
                <w:rFonts w:ascii="Times New Roman" w:hAnsi="Times New Roman"/>
                <w:lang w:val="da-DK"/>
              </w:rPr>
            </w:pPr>
            <w:r>
              <w:rPr>
                <w:rFonts w:ascii="Times New Roman" w:hAnsi="Times New Roman"/>
                <w:lang w:val="da-DK"/>
              </w:rPr>
              <w:t>Gallbladder wall</w:t>
            </w:r>
          </w:p>
        </w:tc>
        <w:tc>
          <w:tcPr>
            <w:tcW w:w="1514" w:type="dxa"/>
            <w:tcBorders>
              <w:top w:val="single" w:sz="4" w:space="0" w:color="auto"/>
              <w:left w:val="single" w:sz="4" w:space="0" w:color="auto"/>
              <w:bottom w:val="single" w:sz="4" w:space="0" w:color="auto"/>
              <w:right w:val="single" w:sz="4" w:space="0" w:color="auto"/>
            </w:tcBorders>
            <w:hideMark/>
          </w:tcPr>
          <w:p w14:paraId="1D80109D" w14:textId="77777777" w:rsidR="00323A16" w:rsidRDefault="00323A16">
            <w:pPr>
              <w:tabs>
                <w:tab w:val="left" w:pos="1304"/>
              </w:tabs>
              <w:rPr>
                <w:rFonts w:ascii="Times New Roman" w:hAnsi="Times New Roman"/>
                <w:lang w:val="da-DK"/>
              </w:rPr>
            </w:pPr>
            <w:r>
              <w:rPr>
                <w:rFonts w:ascii="Times New Roman" w:hAnsi="Times New Roman"/>
                <w:lang w:val="da-DK"/>
              </w:rPr>
              <w:t>0.02935</w:t>
            </w:r>
          </w:p>
        </w:tc>
        <w:tc>
          <w:tcPr>
            <w:tcW w:w="1514" w:type="dxa"/>
            <w:tcBorders>
              <w:top w:val="single" w:sz="4" w:space="0" w:color="auto"/>
              <w:left w:val="single" w:sz="4" w:space="0" w:color="auto"/>
              <w:bottom w:val="single" w:sz="4" w:space="0" w:color="auto"/>
              <w:right w:val="single" w:sz="4" w:space="0" w:color="auto"/>
            </w:tcBorders>
            <w:hideMark/>
          </w:tcPr>
          <w:p w14:paraId="550A074A" w14:textId="77777777" w:rsidR="00323A16" w:rsidRDefault="00323A16">
            <w:pPr>
              <w:tabs>
                <w:tab w:val="left" w:pos="1304"/>
              </w:tabs>
              <w:rPr>
                <w:rFonts w:ascii="Times New Roman" w:hAnsi="Times New Roman"/>
                <w:lang w:val="da-DK"/>
              </w:rPr>
            </w:pPr>
            <w:r>
              <w:rPr>
                <w:rFonts w:ascii="Times New Roman" w:hAnsi="Times New Roman"/>
                <w:lang w:val="da-DK"/>
              </w:rPr>
              <w:t>0.0234</w:t>
            </w:r>
          </w:p>
        </w:tc>
        <w:tc>
          <w:tcPr>
            <w:tcW w:w="1515" w:type="dxa"/>
            <w:tcBorders>
              <w:top w:val="single" w:sz="4" w:space="0" w:color="auto"/>
              <w:left w:val="single" w:sz="4" w:space="0" w:color="auto"/>
              <w:bottom w:val="single" w:sz="4" w:space="0" w:color="auto"/>
              <w:right w:val="single" w:sz="4" w:space="0" w:color="auto"/>
            </w:tcBorders>
            <w:hideMark/>
          </w:tcPr>
          <w:p w14:paraId="7CC67AD2" w14:textId="77777777" w:rsidR="00323A16" w:rsidRDefault="00323A16">
            <w:pPr>
              <w:tabs>
                <w:tab w:val="left" w:pos="1304"/>
              </w:tabs>
              <w:rPr>
                <w:rFonts w:ascii="Times New Roman" w:hAnsi="Times New Roman"/>
                <w:lang w:val="da-DK"/>
              </w:rPr>
            </w:pPr>
            <w:r>
              <w:rPr>
                <w:rFonts w:ascii="Times New Roman" w:hAnsi="Times New Roman"/>
                <w:lang w:val="da-DK"/>
              </w:rPr>
              <w:t>0.0373</w:t>
            </w:r>
          </w:p>
        </w:tc>
      </w:tr>
      <w:tr w:rsidR="00323A16" w14:paraId="1B211A33"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17BD4F98" w14:textId="77777777" w:rsidR="00323A16" w:rsidRDefault="00323A16">
            <w:pPr>
              <w:tabs>
                <w:tab w:val="left" w:pos="1304"/>
              </w:tabs>
              <w:rPr>
                <w:rFonts w:ascii="Times New Roman" w:hAnsi="Times New Roman"/>
                <w:lang w:val="da-DK"/>
              </w:rPr>
            </w:pPr>
            <w:r>
              <w:rPr>
                <w:rFonts w:ascii="Times New Roman" w:hAnsi="Times New Roman"/>
                <w:lang w:val="da-DK"/>
              </w:rPr>
              <w:t>Heart wall</w:t>
            </w:r>
          </w:p>
        </w:tc>
        <w:tc>
          <w:tcPr>
            <w:tcW w:w="1514" w:type="dxa"/>
            <w:tcBorders>
              <w:top w:val="single" w:sz="4" w:space="0" w:color="auto"/>
              <w:left w:val="single" w:sz="4" w:space="0" w:color="auto"/>
              <w:bottom w:val="single" w:sz="4" w:space="0" w:color="auto"/>
              <w:right w:val="single" w:sz="4" w:space="0" w:color="auto"/>
            </w:tcBorders>
            <w:hideMark/>
          </w:tcPr>
          <w:p w14:paraId="54A32B85" w14:textId="77777777" w:rsidR="00323A16" w:rsidRDefault="00323A16">
            <w:pPr>
              <w:tabs>
                <w:tab w:val="left" w:pos="1304"/>
              </w:tabs>
              <w:rPr>
                <w:rFonts w:ascii="Times New Roman" w:hAnsi="Times New Roman"/>
                <w:lang w:val="da-DK"/>
              </w:rPr>
            </w:pPr>
            <w:r>
              <w:rPr>
                <w:rFonts w:ascii="Times New Roman" w:hAnsi="Times New Roman"/>
                <w:lang w:val="da-DK"/>
              </w:rPr>
              <w:t>0.02685</w:t>
            </w:r>
          </w:p>
        </w:tc>
        <w:tc>
          <w:tcPr>
            <w:tcW w:w="1514" w:type="dxa"/>
            <w:tcBorders>
              <w:top w:val="single" w:sz="4" w:space="0" w:color="auto"/>
              <w:left w:val="single" w:sz="4" w:space="0" w:color="auto"/>
              <w:bottom w:val="single" w:sz="4" w:space="0" w:color="auto"/>
              <w:right w:val="single" w:sz="4" w:space="0" w:color="auto"/>
            </w:tcBorders>
            <w:hideMark/>
          </w:tcPr>
          <w:p w14:paraId="12C97B17" w14:textId="77777777" w:rsidR="00323A16" w:rsidRDefault="00323A16">
            <w:pPr>
              <w:tabs>
                <w:tab w:val="left" w:pos="1304"/>
              </w:tabs>
              <w:rPr>
                <w:rFonts w:ascii="Times New Roman" w:hAnsi="Times New Roman"/>
                <w:lang w:val="da-DK"/>
              </w:rPr>
            </w:pPr>
            <w:r>
              <w:rPr>
                <w:rFonts w:ascii="Times New Roman" w:hAnsi="Times New Roman"/>
                <w:lang w:val="da-DK"/>
              </w:rPr>
              <w:t>0.0239</w:t>
            </w:r>
          </w:p>
        </w:tc>
        <w:tc>
          <w:tcPr>
            <w:tcW w:w="1515" w:type="dxa"/>
            <w:tcBorders>
              <w:top w:val="single" w:sz="4" w:space="0" w:color="auto"/>
              <w:left w:val="single" w:sz="4" w:space="0" w:color="auto"/>
              <w:bottom w:val="single" w:sz="4" w:space="0" w:color="auto"/>
              <w:right w:val="single" w:sz="4" w:space="0" w:color="auto"/>
            </w:tcBorders>
            <w:hideMark/>
          </w:tcPr>
          <w:p w14:paraId="5683D8CD" w14:textId="77777777" w:rsidR="00323A16" w:rsidRDefault="00323A16">
            <w:pPr>
              <w:tabs>
                <w:tab w:val="left" w:pos="1304"/>
              </w:tabs>
              <w:rPr>
                <w:rFonts w:ascii="Times New Roman" w:hAnsi="Times New Roman"/>
                <w:lang w:val="da-DK"/>
              </w:rPr>
            </w:pPr>
            <w:r>
              <w:rPr>
                <w:rFonts w:ascii="Times New Roman" w:hAnsi="Times New Roman"/>
                <w:lang w:val="da-DK"/>
              </w:rPr>
              <w:t>0.0324</w:t>
            </w:r>
          </w:p>
        </w:tc>
      </w:tr>
      <w:tr w:rsidR="00323A16" w14:paraId="0594A93D"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FF6D551" w14:textId="77777777" w:rsidR="00323A16" w:rsidRDefault="00323A16">
            <w:pPr>
              <w:tabs>
                <w:tab w:val="left" w:pos="1304"/>
              </w:tabs>
              <w:rPr>
                <w:rFonts w:ascii="Times New Roman" w:hAnsi="Times New Roman"/>
                <w:lang w:val="da-DK"/>
              </w:rPr>
            </w:pPr>
            <w:r>
              <w:rPr>
                <w:rFonts w:ascii="Times New Roman" w:hAnsi="Times New Roman"/>
                <w:lang w:val="da-DK"/>
              </w:rPr>
              <w:t>Kidneys</w:t>
            </w:r>
          </w:p>
        </w:tc>
        <w:tc>
          <w:tcPr>
            <w:tcW w:w="1514" w:type="dxa"/>
            <w:tcBorders>
              <w:top w:val="single" w:sz="4" w:space="0" w:color="auto"/>
              <w:left w:val="single" w:sz="4" w:space="0" w:color="auto"/>
              <w:bottom w:val="single" w:sz="4" w:space="0" w:color="auto"/>
              <w:right w:val="single" w:sz="4" w:space="0" w:color="auto"/>
            </w:tcBorders>
            <w:hideMark/>
          </w:tcPr>
          <w:p w14:paraId="1B626682" w14:textId="77777777" w:rsidR="00323A16" w:rsidRDefault="00323A16">
            <w:pPr>
              <w:tabs>
                <w:tab w:val="left" w:pos="1304"/>
              </w:tabs>
              <w:rPr>
                <w:rFonts w:ascii="Times New Roman" w:hAnsi="Times New Roman"/>
                <w:lang w:val="da-DK"/>
              </w:rPr>
            </w:pPr>
            <w:r>
              <w:rPr>
                <w:rFonts w:ascii="Times New Roman" w:hAnsi="Times New Roman"/>
                <w:lang w:val="da-DK"/>
              </w:rPr>
              <w:t>0.2075</w:t>
            </w:r>
          </w:p>
        </w:tc>
        <w:tc>
          <w:tcPr>
            <w:tcW w:w="1514" w:type="dxa"/>
            <w:tcBorders>
              <w:top w:val="single" w:sz="4" w:space="0" w:color="auto"/>
              <w:left w:val="single" w:sz="4" w:space="0" w:color="auto"/>
              <w:bottom w:val="single" w:sz="4" w:space="0" w:color="auto"/>
              <w:right w:val="single" w:sz="4" w:space="0" w:color="auto"/>
            </w:tcBorders>
            <w:hideMark/>
          </w:tcPr>
          <w:p w14:paraId="29035A27" w14:textId="77777777" w:rsidR="00323A16" w:rsidRDefault="00323A16">
            <w:pPr>
              <w:tabs>
                <w:tab w:val="left" w:pos="1304"/>
              </w:tabs>
              <w:rPr>
                <w:rFonts w:ascii="Times New Roman" w:hAnsi="Times New Roman"/>
                <w:lang w:val="da-DK"/>
              </w:rPr>
            </w:pPr>
            <w:r>
              <w:rPr>
                <w:rFonts w:ascii="Times New Roman" w:hAnsi="Times New Roman"/>
                <w:lang w:val="da-DK"/>
              </w:rPr>
              <w:t>0.0248</w:t>
            </w:r>
          </w:p>
        </w:tc>
        <w:tc>
          <w:tcPr>
            <w:tcW w:w="1515" w:type="dxa"/>
            <w:tcBorders>
              <w:top w:val="single" w:sz="4" w:space="0" w:color="auto"/>
              <w:left w:val="single" w:sz="4" w:space="0" w:color="auto"/>
              <w:bottom w:val="single" w:sz="4" w:space="0" w:color="auto"/>
              <w:right w:val="single" w:sz="4" w:space="0" w:color="auto"/>
            </w:tcBorders>
            <w:hideMark/>
          </w:tcPr>
          <w:p w14:paraId="00A6443E" w14:textId="77777777" w:rsidR="00323A16" w:rsidRDefault="00323A16">
            <w:pPr>
              <w:tabs>
                <w:tab w:val="left" w:pos="1304"/>
              </w:tabs>
              <w:rPr>
                <w:rFonts w:ascii="Times New Roman" w:hAnsi="Times New Roman"/>
                <w:lang w:val="da-DK"/>
              </w:rPr>
            </w:pPr>
            <w:r>
              <w:rPr>
                <w:rFonts w:ascii="Times New Roman" w:hAnsi="Times New Roman"/>
                <w:lang w:val="da-DK"/>
              </w:rPr>
              <w:t>0.288</w:t>
            </w:r>
          </w:p>
        </w:tc>
      </w:tr>
      <w:tr w:rsidR="00323A16" w14:paraId="5D61B924"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332D2ACE" w14:textId="77777777" w:rsidR="00323A16" w:rsidRDefault="00323A16">
            <w:pPr>
              <w:tabs>
                <w:tab w:val="left" w:pos="1304"/>
              </w:tabs>
              <w:rPr>
                <w:rFonts w:ascii="Times New Roman" w:hAnsi="Times New Roman"/>
                <w:lang w:val="da-DK"/>
              </w:rPr>
            </w:pPr>
            <w:r>
              <w:rPr>
                <w:rFonts w:ascii="Times New Roman" w:hAnsi="Times New Roman"/>
                <w:lang w:val="da-DK"/>
              </w:rPr>
              <w:t>Liver</w:t>
            </w:r>
          </w:p>
        </w:tc>
        <w:tc>
          <w:tcPr>
            <w:tcW w:w="1514" w:type="dxa"/>
            <w:tcBorders>
              <w:top w:val="single" w:sz="4" w:space="0" w:color="auto"/>
              <w:left w:val="single" w:sz="4" w:space="0" w:color="auto"/>
              <w:bottom w:val="single" w:sz="4" w:space="0" w:color="auto"/>
              <w:right w:val="single" w:sz="4" w:space="0" w:color="auto"/>
            </w:tcBorders>
            <w:hideMark/>
          </w:tcPr>
          <w:p w14:paraId="66CFF529" w14:textId="77777777" w:rsidR="00323A16" w:rsidRDefault="00323A16">
            <w:pPr>
              <w:tabs>
                <w:tab w:val="left" w:pos="1304"/>
              </w:tabs>
              <w:rPr>
                <w:rFonts w:ascii="Times New Roman" w:hAnsi="Times New Roman"/>
                <w:lang w:val="da-DK"/>
              </w:rPr>
            </w:pPr>
            <w:r>
              <w:rPr>
                <w:rFonts w:ascii="Times New Roman" w:hAnsi="Times New Roman"/>
                <w:lang w:val="da-DK"/>
              </w:rPr>
              <w:t>0.0588</w:t>
            </w:r>
          </w:p>
        </w:tc>
        <w:tc>
          <w:tcPr>
            <w:tcW w:w="1514" w:type="dxa"/>
            <w:tcBorders>
              <w:top w:val="single" w:sz="4" w:space="0" w:color="auto"/>
              <w:left w:val="single" w:sz="4" w:space="0" w:color="auto"/>
              <w:bottom w:val="single" w:sz="4" w:space="0" w:color="auto"/>
              <w:right w:val="single" w:sz="4" w:space="0" w:color="auto"/>
            </w:tcBorders>
            <w:hideMark/>
          </w:tcPr>
          <w:p w14:paraId="52FD1C05" w14:textId="77777777" w:rsidR="00323A16" w:rsidRDefault="00323A16">
            <w:pPr>
              <w:tabs>
                <w:tab w:val="left" w:pos="1304"/>
              </w:tabs>
              <w:rPr>
                <w:rFonts w:ascii="Times New Roman" w:hAnsi="Times New Roman"/>
                <w:lang w:val="da-DK"/>
              </w:rPr>
            </w:pPr>
            <w:r>
              <w:rPr>
                <w:rFonts w:ascii="Times New Roman" w:hAnsi="Times New Roman"/>
                <w:lang w:val="da-DK"/>
              </w:rPr>
              <w:t>0.043</w:t>
            </w:r>
          </w:p>
        </w:tc>
        <w:tc>
          <w:tcPr>
            <w:tcW w:w="1515" w:type="dxa"/>
            <w:tcBorders>
              <w:top w:val="single" w:sz="4" w:space="0" w:color="auto"/>
              <w:left w:val="single" w:sz="4" w:space="0" w:color="auto"/>
              <w:bottom w:val="single" w:sz="4" w:space="0" w:color="auto"/>
              <w:right w:val="single" w:sz="4" w:space="0" w:color="auto"/>
            </w:tcBorders>
            <w:hideMark/>
          </w:tcPr>
          <w:p w14:paraId="5328C02F" w14:textId="77777777" w:rsidR="00323A16" w:rsidRDefault="00323A16">
            <w:pPr>
              <w:tabs>
                <w:tab w:val="left" w:pos="1304"/>
              </w:tabs>
              <w:rPr>
                <w:rFonts w:ascii="Times New Roman" w:hAnsi="Times New Roman"/>
                <w:lang w:val="da-DK"/>
              </w:rPr>
            </w:pPr>
            <w:r>
              <w:rPr>
                <w:rFonts w:ascii="Times New Roman" w:hAnsi="Times New Roman"/>
                <w:lang w:val="da-DK"/>
              </w:rPr>
              <w:t>0.077</w:t>
            </w:r>
          </w:p>
        </w:tc>
      </w:tr>
      <w:tr w:rsidR="00323A16" w14:paraId="62C40A60"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090893C4" w14:textId="77777777" w:rsidR="00323A16" w:rsidRDefault="00323A16">
            <w:pPr>
              <w:tabs>
                <w:tab w:val="left" w:pos="1304"/>
              </w:tabs>
              <w:rPr>
                <w:rFonts w:ascii="Times New Roman" w:hAnsi="Times New Roman"/>
                <w:lang w:val="da-DK"/>
              </w:rPr>
            </w:pPr>
            <w:r>
              <w:rPr>
                <w:rFonts w:ascii="Times New Roman" w:hAnsi="Times New Roman"/>
                <w:lang w:val="da-DK"/>
              </w:rPr>
              <w:t>Lung</w:t>
            </w:r>
          </w:p>
        </w:tc>
        <w:tc>
          <w:tcPr>
            <w:tcW w:w="1514" w:type="dxa"/>
            <w:tcBorders>
              <w:top w:val="single" w:sz="4" w:space="0" w:color="auto"/>
              <w:left w:val="single" w:sz="4" w:space="0" w:color="auto"/>
              <w:bottom w:val="single" w:sz="4" w:space="0" w:color="auto"/>
              <w:right w:val="single" w:sz="4" w:space="0" w:color="auto"/>
            </w:tcBorders>
            <w:hideMark/>
          </w:tcPr>
          <w:p w14:paraId="29197915" w14:textId="77777777" w:rsidR="00323A16" w:rsidRDefault="00323A16">
            <w:pPr>
              <w:tabs>
                <w:tab w:val="left" w:pos="1304"/>
              </w:tabs>
              <w:rPr>
                <w:rFonts w:ascii="Times New Roman" w:hAnsi="Times New Roman"/>
                <w:lang w:val="da-DK"/>
              </w:rPr>
            </w:pPr>
            <w:r>
              <w:rPr>
                <w:rFonts w:ascii="Times New Roman" w:hAnsi="Times New Roman"/>
                <w:lang w:val="da-DK"/>
              </w:rPr>
              <w:t>0.01635</w:t>
            </w:r>
          </w:p>
        </w:tc>
        <w:tc>
          <w:tcPr>
            <w:tcW w:w="1514" w:type="dxa"/>
            <w:tcBorders>
              <w:top w:val="single" w:sz="4" w:space="0" w:color="auto"/>
              <w:left w:val="single" w:sz="4" w:space="0" w:color="auto"/>
              <w:bottom w:val="single" w:sz="4" w:space="0" w:color="auto"/>
              <w:right w:val="single" w:sz="4" w:space="0" w:color="auto"/>
            </w:tcBorders>
            <w:hideMark/>
          </w:tcPr>
          <w:p w14:paraId="5146DAEB" w14:textId="77777777" w:rsidR="00323A16" w:rsidRDefault="00323A16">
            <w:pPr>
              <w:tabs>
                <w:tab w:val="left" w:pos="1304"/>
              </w:tabs>
              <w:rPr>
                <w:rFonts w:ascii="Times New Roman" w:hAnsi="Times New Roman"/>
                <w:lang w:val="da-DK"/>
              </w:rPr>
            </w:pPr>
            <w:r>
              <w:rPr>
                <w:rFonts w:ascii="Times New Roman" w:hAnsi="Times New Roman"/>
                <w:lang w:val="da-DK"/>
              </w:rPr>
              <w:t>0.0151</w:t>
            </w:r>
          </w:p>
        </w:tc>
        <w:tc>
          <w:tcPr>
            <w:tcW w:w="1515" w:type="dxa"/>
            <w:tcBorders>
              <w:top w:val="single" w:sz="4" w:space="0" w:color="auto"/>
              <w:left w:val="single" w:sz="4" w:space="0" w:color="auto"/>
              <w:bottom w:val="single" w:sz="4" w:space="0" w:color="auto"/>
              <w:right w:val="single" w:sz="4" w:space="0" w:color="auto"/>
            </w:tcBorders>
            <w:hideMark/>
          </w:tcPr>
          <w:p w14:paraId="26493D5E" w14:textId="77777777" w:rsidR="00323A16" w:rsidRDefault="00323A16">
            <w:pPr>
              <w:tabs>
                <w:tab w:val="left" w:pos="1304"/>
              </w:tabs>
              <w:rPr>
                <w:rFonts w:ascii="Times New Roman" w:hAnsi="Times New Roman"/>
                <w:lang w:val="da-DK"/>
              </w:rPr>
            </w:pPr>
            <w:r>
              <w:rPr>
                <w:rFonts w:ascii="Times New Roman" w:hAnsi="Times New Roman"/>
                <w:lang w:val="da-DK"/>
              </w:rPr>
              <w:t>0.0191</w:t>
            </w:r>
          </w:p>
        </w:tc>
      </w:tr>
      <w:tr w:rsidR="00323A16" w14:paraId="6251EC78"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15CEECCE" w14:textId="77777777" w:rsidR="00323A16" w:rsidRDefault="00323A16">
            <w:pPr>
              <w:tabs>
                <w:tab w:val="left" w:pos="1304"/>
              </w:tabs>
              <w:rPr>
                <w:rFonts w:ascii="Times New Roman" w:hAnsi="Times New Roman"/>
                <w:lang w:val="da-DK"/>
              </w:rPr>
            </w:pPr>
            <w:r>
              <w:rPr>
                <w:rFonts w:ascii="Times New Roman" w:hAnsi="Times New Roman"/>
                <w:lang w:val="da-DK"/>
              </w:rPr>
              <w:t>Lymph nodes</w:t>
            </w:r>
          </w:p>
        </w:tc>
        <w:tc>
          <w:tcPr>
            <w:tcW w:w="1514" w:type="dxa"/>
            <w:tcBorders>
              <w:top w:val="single" w:sz="4" w:space="0" w:color="auto"/>
              <w:left w:val="single" w:sz="4" w:space="0" w:color="auto"/>
              <w:bottom w:val="single" w:sz="4" w:space="0" w:color="auto"/>
              <w:right w:val="single" w:sz="4" w:space="0" w:color="auto"/>
            </w:tcBorders>
            <w:hideMark/>
          </w:tcPr>
          <w:p w14:paraId="3E5F4BD7" w14:textId="77777777" w:rsidR="00323A16" w:rsidRDefault="00323A16">
            <w:pPr>
              <w:tabs>
                <w:tab w:val="left" w:pos="1304"/>
              </w:tabs>
              <w:rPr>
                <w:rFonts w:ascii="Times New Roman" w:hAnsi="Times New Roman"/>
                <w:lang w:val="da-DK"/>
              </w:rPr>
            </w:pPr>
            <w:r>
              <w:rPr>
                <w:rFonts w:ascii="Times New Roman" w:hAnsi="Times New Roman"/>
                <w:lang w:val="da-DK"/>
              </w:rPr>
              <w:t>0.01685</w:t>
            </w:r>
          </w:p>
        </w:tc>
        <w:tc>
          <w:tcPr>
            <w:tcW w:w="1514" w:type="dxa"/>
            <w:tcBorders>
              <w:top w:val="single" w:sz="4" w:space="0" w:color="auto"/>
              <w:left w:val="single" w:sz="4" w:space="0" w:color="auto"/>
              <w:bottom w:val="single" w:sz="4" w:space="0" w:color="auto"/>
              <w:right w:val="single" w:sz="4" w:space="0" w:color="auto"/>
            </w:tcBorders>
            <w:hideMark/>
          </w:tcPr>
          <w:p w14:paraId="68ED4900" w14:textId="77777777" w:rsidR="00323A16" w:rsidRDefault="00323A16">
            <w:pPr>
              <w:tabs>
                <w:tab w:val="left" w:pos="1304"/>
              </w:tabs>
              <w:rPr>
                <w:rFonts w:ascii="Times New Roman" w:hAnsi="Times New Roman"/>
                <w:lang w:val="da-DK"/>
              </w:rPr>
            </w:pPr>
            <w:r>
              <w:rPr>
                <w:rFonts w:ascii="Times New Roman" w:hAnsi="Times New Roman"/>
                <w:lang w:val="da-DK"/>
              </w:rPr>
              <w:t>0.0157</w:t>
            </w:r>
          </w:p>
        </w:tc>
        <w:tc>
          <w:tcPr>
            <w:tcW w:w="1515" w:type="dxa"/>
            <w:tcBorders>
              <w:top w:val="single" w:sz="4" w:space="0" w:color="auto"/>
              <w:left w:val="single" w:sz="4" w:space="0" w:color="auto"/>
              <w:bottom w:val="single" w:sz="4" w:space="0" w:color="auto"/>
              <w:right w:val="single" w:sz="4" w:space="0" w:color="auto"/>
            </w:tcBorders>
            <w:hideMark/>
          </w:tcPr>
          <w:p w14:paraId="7216734B" w14:textId="77777777" w:rsidR="00323A16" w:rsidRDefault="00323A16">
            <w:pPr>
              <w:tabs>
                <w:tab w:val="left" w:pos="1304"/>
              </w:tabs>
              <w:rPr>
                <w:rFonts w:ascii="Times New Roman" w:hAnsi="Times New Roman"/>
                <w:lang w:val="da-DK"/>
              </w:rPr>
            </w:pPr>
            <w:r>
              <w:rPr>
                <w:rFonts w:ascii="Times New Roman" w:hAnsi="Times New Roman"/>
                <w:lang w:val="da-DK"/>
              </w:rPr>
              <w:t>0.0215</w:t>
            </w:r>
          </w:p>
        </w:tc>
      </w:tr>
      <w:tr w:rsidR="00323A16" w14:paraId="3B12908F"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7BE9AAE8" w14:textId="77777777" w:rsidR="00323A16" w:rsidRDefault="00323A16">
            <w:pPr>
              <w:tabs>
                <w:tab w:val="left" w:pos="1304"/>
              </w:tabs>
              <w:rPr>
                <w:rFonts w:ascii="Times New Roman" w:hAnsi="Times New Roman"/>
                <w:lang w:val="da-DK"/>
              </w:rPr>
            </w:pPr>
            <w:r>
              <w:rPr>
                <w:rFonts w:ascii="Times New Roman" w:hAnsi="Times New Roman"/>
                <w:lang w:val="da-DK"/>
              </w:rPr>
              <w:t>Muscle</w:t>
            </w:r>
          </w:p>
        </w:tc>
        <w:tc>
          <w:tcPr>
            <w:tcW w:w="1514" w:type="dxa"/>
            <w:tcBorders>
              <w:top w:val="single" w:sz="4" w:space="0" w:color="auto"/>
              <w:left w:val="single" w:sz="4" w:space="0" w:color="auto"/>
              <w:bottom w:val="single" w:sz="4" w:space="0" w:color="auto"/>
              <w:right w:val="single" w:sz="4" w:space="0" w:color="auto"/>
            </w:tcBorders>
            <w:hideMark/>
          </w:tcPr>
          <w:p w14:paraId="4E4E7506" w14:textId="77777777" w:rsidR="00323A16" w:rsidRDefault="00323A16">
            <w:pPr>
              <w:tabs>
                <w:tab w:val="left" w:pos="1304"/>
              </w:tabs>
              <w:rPr>
                <w:rFonts w:ascii="Times New Roman" w:hAnsi="Times New Roman"/>
                <w:lang w:val="da-DK"/>
              </w:rPr>
            </w:pPr>
            <w:r>
              <w:rPr>
                <w:rFonts w:ascii="Times New Roman" w:hAnsi="Times New Roman"/>
                <w:lang w:val="da-DK"/>
              </w:rPr>
              <w:t>0.00862</w:t>
            </w:r>
          </w:p>
        </w:tc>
        <w:tc>
          <w:tcPr>
            <w:tcW w:w="1514" w:type="dxa"/>
            <w:tcBorders>
              <w:top w:val="single" w:sz="4" w:space="0" w:color="auto"/>
              <w:left w:val="single" w:sz="4" w:space="0" w:color="auto"/>
              <w:bottom w:val="single" w:sz="4" w:space="0" w:color="auto"/>
              <w:right w:val="single" w:sz="4" w:space="0" w:color="auto"/>
            </w:tcBorders>
            <w:hideMark/>
          </w:tcPr>
          <w:p w14:paraId="32EC5301" w14:textId="77777777" w:rsidR="00323A16" w:rsidRDefault="00323A16">
            <w:pPr>
              <w:tabs>
                <w:tab w:val="left" w:pos="1304"/>
              </w:tabs>
              <w:rPr>
                <w:rFonts w:ascii="Times New Roman" w:hAnsi="Times New Roman"/>
                <w:lang w:val="da-DK"/>
              </w:rPr>
            </w:pPr>
            <w:r>
              <w:rPr>
                <w:rFonts w:ascii="Times New Roman" w:hAnsi="Times New Roman"/>
                <w:lang w:val="da-DK"/>
              </w:rPr>
              <w:t>0.00709</w:t>
            </w:r>
          </w:p>
        </w:tc>
        <w:tc>
          <w:tcPr>
            <w:tcW w:w="1515" w:type="dxa"/>
            <w:tcBorders>
              <w:top w:val="single" w:sz="4" w:space="0" w:color="auto"/>
              <w:left w:val="single" w:sz="4" w:space="0" w:color="auto"/>
              <w:bottom w:val="single" w:sz="4" w:space="0" w:color="auto"/>
              <w:right w:val="single" w:sz="4" w:space="0" w:color="auto"/>
            </w:tcBorders>
            <w:hideMark/>
          </w:tcPr>
          <w:p w14:paraId="2F390F74" w14:textId="77777777" w:rsidR="00323A16" w:rsidRDefault="00323A16">
            <w:pPr>
              <w:tabs>
                <w:tab w:val="left" w:pos="1304"/>
              </w:tabs>
              <w:rPr>
                <w:rFonts w:ascii="Times New Roman" w:hAnsi="Times New Roman"/>
                <w:lang w:val="da-DK"/>
              </w:rPr>
            </w:pPr>
            <w:r>
              <w:rPr>
                <w:rFonts w:ascii="Times New Roman" w:hAnsi="Times New Roman"/>
                <w:lang w:val="da-DK"/>
              </w:rPr>
              <w:t>0.00881</w:t>
            </w:r>
          </w:p>
        </w:tc>
      </w:tr>
      <w:tr w:rsidR="00323A16" w14:paraId="1D942B5D"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240995C" w14:textId="77777777" w:rsidR="00323A16" w:rsidRDefault="00323A16">
            <w:pPr>
              <w:tabs>
                <w:tab w:val="left" w:pos="1304"/>
              </w:tabs>
              <w:rPr>
                <w:rFonts w:ascii="Times New Roman" w:hAnsi="Times New Roman"/>
                <w:lang w:val="da-DK"/>
              </w:rPr>
            </w:pPr>
            <w:r>
              <w:rPr>
                <w:rFonts w:ascii="Times New Roman" w:hAnsi="Times New Roman"/>
                <w:lang w:val="da-DK"/>
              </w:rPr>
              <w:lastRenderedPageBreak/>
              <w:t>Oesophagus</w:t>
            </w:r>
          </w:p>
        </w:tc>
        <w:tc>
          <w:tcPr>
            <w:tcW w:w="1514" w:type="dxa"/>
            <w:tcBorders>
              <w:top w:val="single" w:sz="4" w:space="0" w:color="auto"/>
              <w:left w:val="single" w:sz="4" w:space="0" w:color="auto"/>
              <w:bottom w:val="single" w:sz="4" w:space="0" w:color="auto"/>
              <w:right w:val="single" w:sz="4" w:space="0" w:color="auto"/>
            </w:tcBorders>
            <w:hideMark/>
          </w:tcPr>
          <w:p w14:paraId="13484F58" w14:textId="77777777" w:rsidR="00323A16" w:rsidRDefault="00323A16">
            <w:pPr>
              <w:tabs>
                <w:tab w:val="left" w:pos="1304"/>
              </w:tabs>
              <w:rPr>
                <w:rFonts w:ascii="Times New Roman" w:hAnsi="Times New Roman"/>
                <w:lang w:val="da-DK"/>
              </w:rPr>
            </w:pPr>
            <w:r>
              <w:rPr>
                <w:rFonts w:ascii="Times New Roman" w:hAnsi="Times New Roman"/>
                <w:lang w:val="da-DK"/>
              </w:rPr>
              <w:t>0.01375</w:t>
            </w:r>
          </w:p>
        </w:tc>
        <w:tc>
          <w:tcPr>
            <w:tcW w:w="1514" w:type="dxa"/>
            <w:tcBorders>
              <w:top w:val="single" w:sz="4" w:space="0" w:color="auto"/>
              <w:left w:val="single" w:sz="4" w:space="0" w:color="auto"/>
              <w:bottom w:val="single" w:sz="4" w:space="0" w:color="auto"/>
              <w:right w:val="single" w:sz="4" w:space="0" w:color="auto"/>
            </w:tcBorders>
            <w:hideMark/>
          </w:tcPr>
          <w:p w14:paraId="58188C2E" w14:textId="77777777" w:rsidR="00323A16" w:rsidRDefault="00323A16">
            <w:pPr>
              <w:tabs>
                <w:tab w:val="left" w:pos="1304"/>
              </w:tabs>
              <w:rPr>
                <w:rFonts w:ascii="Times New Roman" w:hAnsi="Times New Roman"/>
                <w:lang w:val="da-DK"/>
              </w:rPr>
            </w:pPr>
            <w:r>
              <w:rPr>
                <w:rFonts w:ascii="Times New Roman" w:hAnsi="Times New Roman"/>
                <w:lang w:val="da-DK"/>
              </w:rPr>
              <w:t>0.0132</w:t>
            </w:r>
          </w:p>
        </w:tc>
        <w:tc>
          <w:tcPr>
            <w:tcW w:w="1515" w:type="dxa"/>
            <w:tcBorders>
              <w:top w:val="single" w:sz="4" w:space="0" w:color="auto"/>
              <w:left w:val="single" w:sz="4" w:space="0" w:color="auto"/>
              <w:bottom w:val="single" w:sz="4" w:space="0" w:color="auto"/>
              <w:right w:val="single" w:sz="4" w:space="0" w:color="auto"/>
            </w:tcBorders>
            <w:hideMark/>
          </w:tcPr>
          <w:p w14:paraId="40C696CE" w14:textId="77777777" w:rsidR="00323A16" w:rsidRDefault="00323A16">
            <w:pPr>
              <w:tabs>
                <w:tab w:val="left" w:pos="1304"/>
              </w:tabs>
              <w:rPr>
                <w:rFonts w:ascii="Times New Roman" w:hAnsi="Times New Roman"/>
                <w:lang w:val="da-DK"/>
              </w:rPr>
            </w:pPr>
            <w:r>
              <w:rPr>
                <w:rFonts w:ascii="Times New Roman" w:hAnsi="Times New Roman"/>
                <w:lang w:val="da-DK"/>
              </w:rPr>
              <w:t>0.016</w:t>
            </w:r>
          </w:p>
        </w:tc>
      </w:tr>
      <w:tr w:rsidR="00323A16" w14:paraId="79FE284A"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850500C" w14:textId="77777777" w:rsidR="00323A16" w:rsidRDefault="00323A16">
            <w:pPr>
              <w:tabs>
                <w:tab w:val="left" w:pos="1304"/>
              </w:tabs>
              <w:rPr>
                <w:rFonts w:ascii="Times New Roman" w:hAnsi="Times New Roman"/>
                <w:lang w:val="da-DK"/>
              </w:rPr>
            </w:pPr>
            <w:r>
              <w:rPr>
                <w:rFonts w:ascii="Times New Roman" w:hAnsi="Times New Roman"/>
                <w:lang w:val="da-DK"/>
              </w:rPr>
              <w:t>Oral mucosa</w:t>
            </w:r>
          </w:p>
        </w:tc>
        <w:tc>
          <w:tcPr>
            <w:tcW w:w="1514" w:type="dxa"/>
            <w:tcBorders>
              <w:top w:val="single" w:sz="4" w:space="0" w:color="auto"/>
              <w:left w:val="single" w:sz="4" w:space="0" w:color="auto"/>
              <w:bottom w:val="single" w:sz="4" w:space="0" w:color="auto"/>
              <w:right w:val="single" w:sz="4" w:space="0" w:color="auto"/>
            </w:tcBorders>
            <w:hideMark/>
          </w:tcPr>
          <w:p w14:paraId="1C1BBE38" w14:textId="77777777" w:rsidR="00323A16" w:rsidRDefault="00323A16">
            <w:pPr>
              <w:tabs>
                <w:tab w:val="left" w:pos="1304"/>
              </w:tabs>
              <w:rPr>
                <w:rFonts w:ascii="Times New Roman" w:hAnsi="Times New Roman"/>
                <w:lang w:val="da-DK"/>
              </w:rPr>
            </w:pPr>
            <w:r>
              <w:rPr>
                <w:rFonts w:ascii="Times New Roman" w:hAnsi="Times New Roman"/>
                <w:lang w:val="da-DK"/>
              </w:rPr>
              <w:t>0.00836</w:t>
            </w:r>
          </w:p>
        </w:tc>
        <w:tc>
          <w:tcPr>
            <w:tcW w:w="1514" w:type="dxa"/>
            <w:tcBorders>
              <w:top w:val="single" w:sz="4" w:space="0" w:color="auto"/>
              <w:left w:val="single" w:sz="4" w:space="0" w:color="auto"/>
              <w:bottom w:val="single" w:sz="4" w:space="0" w:color="auto"/>
              <w:right w:val="single" w:sz="4" w:space="0" w:color="auto"/>
            </w:tcBorders>
            <w:hideMark/>
          </w:tcPr>
          <w:p w14:paraId="6F5D265C" w14:textId="77777777" w:rsidR="00323A16" w:rsidRDefault="00323A16">
            <w:pPr>
              <w:tabs>
                <w:tab w:val="left" w:pos="1304"/>
              </w:tabs>
              <w:rPr>
                <w:rFonts w:ascii="Times New Roman" w:hAnsi="Times New Roman"/>
                <w:lang w:val="da-DK"/>
              </w:rPr>
            </w:pPr>
            <w:r>
              <w:rPr>
                <w:rFonts w:ascii="Times New Roman" w:hAnsi="Times New Roman"/>
                <w:lang w:val="da-DK"/>
              </w:rPr>
              <w:t>0.00723</w:t>
            </w:r>
          </w:p>
        </w:tc>
        <w:tc>
          <w:tcPr>
            <w:tcW w:w="1515" w:type="dxa"/>
            <w:tcBorders>
              <w:top w:val="single" w:sz="4" w:space="0" w:color="auto"/>
              <w:left w:val="single" w:sz="4" w:space="0" w:color="auto"/>
              <w:bottom w:val="single" w:sz="4" w:space="0" w:color="auto"/>
              <w:right w:val="single" w:sz="4" w:space="0" w:color="auto"/>
            </w:tcBorders>
            <w:hideMark/>
          </w:tcPr>
          <w:p w14:paraId="63958437" w14:textId="77777777" w:rsidR="00323A16" w:rsidRDefault="00323A16">
            <w:pPr>
              <w:tabs>
                <w:tab w:val="left" w:pos="1304"/>
              </w:tabs>
              <w:rPr>
                <w:rFonts w:ascii="Times New Roman" w:hAnsi="Times New Roman"/>
                <w:lang w:val="da-DK"/>
              </w:rPr>
            </w:pPr>
            <w:r>
              <w:rPr>
                <w:rFonts w:ascii="Times New Roman" w:hAnsi="Times New Roman"/>
                <w:lang w:val="da-DK"/>
              </w:rPr>
              <w:t>0.0128</w:t>
            </w:r>
          </w:p>
        </w:tc>
      </w:tr>
      <w:tr w:rsidR="00323A16" w14:paraId="375B0F46"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265C97D2" w14:textId="77777777" w:rsidR="00323A16" w:rsidRDefault="00323A16">
            <w:pPr>
              <w:tabs>
                <w:tab w:val="left" w:pos="1304"/>
              </w:tabs>
              <w:rPr>
                <w:rFonts w:ascii="Times New Roman" w:hAnsi="Times New Roman"/>
                <w:lang w:val="da-DK"/>
              </w:rPr>
            </w:pPr>
            <w:r>
              <w:rPr>
                <w:rFonts w:ascii="Times New Roman" w:hAnsi="Times New Roman"/>
                <w:lang w:val="da-DK"/>
              </w:rPr>
              <w:t>Ovaries*</w:t>
            </w:r>
          </w:p>
        </w:tc>
        <w:tc>
          <w:tcPr>
            <w:tcW w:w="1514" w:type="dxa"/>
            <w:tcBorders>
              <w:top w:val="single" w:sz="4" w:space="0" w:color="auto"/>
              <w:left w:val="single" w:sz="4" w:space="0" w:color="auto"/>
              <w:bottom w:val="single" w:sz="4" w:space="0" w:color="auto"/>
              <w:right w:val="single" w:sz="4" w:space="0" w:color="auto"/>
            </w:tcBorders>
            <w:hideMark/>
          </w:tcPr>
          <w:p w14:paraId="49390D5C" w14:textId="77777777" w:rsidR="00323A16" w:rsidRDefault="00323A16">
            <w:pPr>
              <w:tabs>
                <w:tab w:val="left" w:pos="1304"/>
              </w:tabs>
              <w:rPr>
                <w:rFonts w:ascii="Times New Roman" w:hAnsi="Times New Roman"/>
                <w:lang w:val="da-DK"/>
              </w:rPr>
            </w:pPr>
            <w:r>
              <w:rPr>
                <w:rFonts w:ascii="Times New Roman" w:hAnsi="Times New Roman"/>
                <w:lang w:val="da-DK"/>
              </w:rPr>
              <w:t>0.01585</w:t>
            </w:r>
          </w:p>
        </w:tc>
        <w:tc>
          <w:tcPr>
            <w:tcW w:w="1514" w:type="dxa"/>
            <w:tcBorders>
              <w:top w:val="single" w:sz="4" w:space="0" w:color="auto"/>
              <w:left w:val="single" w:sz="4" w:space="0" w:color="auto"/>
              <w:bottom w:val="single" w:sz="4" w:space="0" w:color="auto"/>
              <w:right w:val="single" w:sz="4" w:space="0" w:color="auto"/>
            </w:tcBorders>
            <w:hideMark/>
          </w:tcPr>
          <w:p w14:paraId="2CC2537F" w14:textId="77777777" w:rsidR="00323A16" w:rsidRDefault="00323A16">
            <w:pPr>
              <w:tabs>
                <w:tab w:val="left" w:pos="1304"/>
              </w:tabs>
              <w:rPr>
                <w:rFonts w:ascii="Times New Roman" w:hAnsi="Times New Roman"/>
                <w:lang w:val="da-DK"/>
              </w:rPr>
            </w:pPr>
            <w:r>
              <w:rPr>
                <w:rFonts w:ascii="Times New Roman" w:hAnsi="Times New Roman"/>
                <w:lang w:val="da-DK"/>
              </w:rPr>
              <w:t>0.0146</w:t>
            </w:r>
          </w:p>
        </w:tc>
        <w:tc>
          <w:tcPr>
            <w:tcW w:w="1515" w:type="dxa"/>
            <w:tcBorders>
              <w:top w:val="single" w:sz="4" w:space="0" w:color="auto"/>
              <w:left w:val="single" w:sz="4" w:space="0" w:color="auto"/>
              <w:bottom w:val="single" w:sz="4" w:space="0" w:color="auto"/>
              <w:right w:val="single" w:sz="4" w:space="0" w:color="auto"/>
            </w:tcBorders>
            <w:hideMark/>
          </w:tcPr>
          <w:p w14:paraId="3609F725" w14:textId="77777777" w:rsidR="00323A16" w:rsidRDefault="00323A16">
            <w:pPr>
              <w:tabs>
                <w:tab w:val="left" w:pos="1304"/>
              </w:tabs>
              <w:rPr>
                <w:rFonts w:ascii="Times New Roman" w:hAnsi="Times New Roman"/>
                <w:lang w:val="da-DK"/>
              </w:rPr>
            </w:pPr>
            <w:r>
              <w:rPr>
                <w:rFonts w:ascii="Times New Roman" w:hAnsi="Times New Roman"/>
                <w:lang w:val="da-DK"/>
              </w:rPr>
              <w:t>0.0189</w:t>
            </w:r>
          </w:p>
        </w:tc>
      </w:tr>
      <w:tr w:rsidR="00323A16" w14:paraId="0EB063E7"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3B65B930" w14:textId="77777777" w:rsidR="00323A16" w:rsidRDefault="00323A16">
            <w:pPr>
              <w:tabs>
                <w:tab w:val="left" w:pos="1304"/>
              </w:tabs>
              <w:rPr>
                <w:rFonts w:ascii="Times New Roman" w:hAnsi="Times New Roman"/>
                <w:lang w:val="da-DK"/>
              </w:rPr>
            </w:pPr>
            <w:r>
              <w:rPr>
                <w:rFonts w:ascii="Times New Roman" w:hAnsi="Times New Roman"/>
                <w:lang w:val="da-DK"/>
              </w:rPr>
              <w:t>Pancreas</w:t>
            </w:r>
          </w:p>
        </w:tc>
        <w:tc>
          <w:tcPr>
            <w:tcW w:w="1514" w:type="dxa"/>
            <w:tcBorders>
              <w:top w:val="single" w:sz="4" w:space="0" w:color="auto"/>
              <w:left w:val="single" w:sz="4" w:space="0" w:color="auto"/>
              <w:bottom w:val="single" w:sz="4" w:space="0" w:color="auto"/>
              <w:right w:val="single" w:sz="4" w:space="0" w:color="auto"/>
            </w:tcBorders>
            <w:hideMark/>
          </w:tcPr>
          <w:p w14:paraId="487E2839" w14:textId="77777777" w:rsidR="00323A16" w:rsidRDefault="00323A16">
            <w:pPr>
              <w:tabs>
                <w:tab w:val="left" w:pos="1304"/>
              </w:tabs>
              <w:rPr>
                <w:rFonts w:ascii="Times New Roman" w:hAnsi="Times New Roman"/>
                <w:lang w:val="da-DK"/>
              </w:rPr>
            </w:pPr>
            <w:r>
              <w:rPr>
                <w:rFonts w:ascii="Times New Roman" w:hAnsi="Times New Roman"/>
                <w:lang w:val="da-DK"/>
              </w:rPr>
              <w:t>0.0199</w:t>
            </w:r>
          </w:p>
        </w:tc>
        <w:tc>
          <w:tcPr>
            <w:tcW w:w="1514" w:type="dxa"/>
            <w:tcBorders>
              <w:top w:val="single" w:sz="4" w:space="0" w:color="auto"/>
              <w:left w:val="single" w:sz="4" w:space="0" w:color="auto"/>
              <w:bottom w:val="single" w:sz="4" w:space="0" w:color="auto"/>
              <w:right w:val="single" w:sz="4" w:space="0" w:color="auto"/>
            </w:tcBorders>
            <w:hideMark/>
          </w:tcPr>
          <w:p w14:paraId="2AD9FEFB" w14:textId="77777777" w:rsidR="00323A16" w:rsidRDefault="00323A16">
            <w:pPr>
              <w:tabs>
                <w:tab w:val="left" w:pos="1304"/>
              </w:tabs>
              <w:rPr>
                <w:rFonts w:ascii="Times New Roman" w:hAnsi="Times New Roman"/>
                <w:lang w:val="da-DK"/>
              </w:rPr>
            </w:pPr>
            <w:r>
              <w:rPr>
                <w:rFonts w:ascii="Times New Roman" w:hAnsi="Times New Roman"/>
                <w:lang w:val="da-DK"/>
              </w:rPr>
              <w:t>0.0184</w:t>
            </w:r>
          </w:p>
        </w:tc>
        <w:tc>
          <w:tcPr>
            <w:tcW w:w="1515" w:type="dxa"/>
            <w:tcBorders>
              <w:top w:val="single" w:sz="4" w:space="0" w:color="auto"/>
              <w:left w:val="single" w:sz="4" w:space="0" w:color="auto"/>
              <w:bottom w:val="single" w:sz="4" w:space="0" w:color="auto"/>
              <w:right w:val="single" w:sz="4" w:space="0" w:color="auto"/>
            </w:tcBorders>
            <w:hideMark/>
          </w:tcPr>
          <w:p w14:paraId="0817A8B9" w14:textId="77777777" w:rsidR="00323A16" w:rsidRDefault="00323A16">
            <w:pPr>
              <w:tabs>
                <w:tab w:val="left" w:pos="1304"/>
              </w:tabs>
              <w:rPr>
                <w:rFonts w:ascii="Times New Roman" w:hAnsi="Times New Roman"/>
                <w:lang w:val="da-DK"/>
              </w:rPr>
            </w:pPr>
            <w:r>
              <w:rPr>
                <w:rFonts w:ascii="Times New Roman" w:hAnsi="Times New Roman"/>
                <w:lang w:val="da-DK"/>
              </w:rPr>
              <w:t>0.0218</w:t>
            </w:r>
          </w:p>
        </w:tc>
      </w:tr>
      <w:tr w:rsidR="00323A16" w14:paraId="70DFF40C"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1FF54C38" w14:textId="77777777" w:rsidR="00323A16" w:rsidRDefault="00323A16">
            <w:pPr>
              <w:tabs>
                <w:tab w:val="left" w:pos="1304"/>
              </w:tabs>
              <w:rPr>
                <w:rFonts w:ascii="Times New Roman" w:hAnsi="Times New Roman"/>
                <w:lang w:val="da-DK"/>
              </w:rPr>
            </w:pPr>
            <w:r>
              <w:rPr>
                <w:rFonts w:ascii="Times New Roman" w:hAnsi="Times New Roman"/>
                <w:lang w:val="da-DK"/>
              </w:rPr>
              <w:t>Prostate</w:t>
            </w:r>
          </w:p>
        </w:tc>
        <w:tc>
          <w:tcPr>
            <w:tcW w:w="1514" w:type="dxa"/>
            <w:tcBorders>
              <w:top w:val="single" w:sz="4" w:space="0" w:color="auto"/>
              <w:left w:val="single" w:sz="4" w:space="0" w:color="auto"/>
              <w:bottom w:val="single" w:sz="4" w:space="0" w:color="auto"/>
              <w:right w:val="single" w:sz="4" w:space="0" w:color="auto"/>
            </w:tcBorders>
            <w:hideMark/>
          </w:tcPr>
          <w:p w14:paraId="2079B5C5" w14:textId="77777777" w:rsidR="00323A16" w:rsidRDefault="00323A16">
            <w:pPr>
              <w:tabs>
                <w:tab w:val="left" w:pos="1304"/>
              </w:tabs>
              <w:rPr>
                <w:rFonts w:ascii="Times New Roman" w:hAnsi="Times New Roman"/>
                <w:lang w:val="da-DK"/>
              </w:rPr>
            </w:pPr>
            <w:r>
              <w:rPr>
                <w:rFonts w:ascii="Times New Roman" w:hAnsi="Times New Roman"/>
                <w:lang w:val="da-DK"/>
              </w:rPr>
              <w:t>0.01385</w:t>
            </w:r>
          </w:p>
        </w:tc>
        <w:tc>
          <w:tcPr>
            <w:tcW w:w="1514" w:type="dxa"/>
            <w:tcBorders>
              <w:top w:val="single" w:sz="4" w:space="0" w:color="auto"/>
              <w:left w:val="single" w:sz="4" w:space="0" w:color="auto"/>
              <w:bottom w:val="single" w:sz="4" w:space="0" w:color="auto"/>
              <w:right w:val="single" w:sz="4" w:space="0" w:color="auto"/>
            </w:tcBorders>
            <w:hideMark/>
          </w:tcPr>
          <w:p w14:paraId="783F0D98" w14:textId="77777777" w:rsidR="00323A16" w:rsidRDefault="00323A16">
            <w:pPr>
              <w:tabs>
                <w:tab w:val="left" w:pos="1304"/>
              </w:tabs>
              <w:rPr>
                <w:rFonts w:ascii="Times New Roman" w:hAnsi="Times New Roman"/>
                <w:lang w:val="da-DK"/>
              </w:rPr>
            </w:pPr>
            <w:r>
              <w:rPr>
                <w:rFonts w:ascii="Times New Roman" w:hAnsi="Times New Roman"/>
                <w:lang w:val="da-DK"/>
              </w:rPr>
              <w:t>0.0112</w:t>
            </w:r>
          </w:p>
        </w:tc>
        <w:tc>
          <w:tcPr>
            <w:tcW w:w="1515" w:type="dxa"/>
            <w:tcBorders>
              <w:top w:val="single" w:sz="4" w:space="0" w:color="auto"/>
              <w:left w:val="single" w:sz="4" w:space="0" w:color="auto"/>
              <w:bottom w:val="single" w:sz="4" w:space="0" w:color="auto"/>
              <w:right w:val="single" w:sz="4" w:space="0" w:color="auto"/>
            </w:tcBorders>
            <w:hideMark/>
          </w:tcPr>
          <w:p w14:paraId="25F987EA" w14:textId="77777777" w:rsidR="00323A16" w:rsidRDefault="00323A16">
            <w:pPr>
              <w:tabs>
                <w:tab w:val="left" w:pos="1304"/>
              </w:tabs>
              <w:rPr>
                <w:rFonts w:ascii="Times New Roman" w:hAnsi="Times New Roman"/>
                <w:lang w:val="da-DK"/>
              </w:rPr>
            </w:pPr>
            <w:r>
              <w:rPr>
                <w:rFonts w:ascii="Times New Roman" w:hAnsi="Times New Roman"/>
                <w:lang w:val="da-DK"/>
              </w:rPr>
              <w:t>0.0203</w:t>
            </w:r>
          </w:p>
        </w:tc>
      </w:tr>
      <w:tr w:rsidR="00323A16" w14:paraId="44BE458D"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AA25A9B" w14:textId="77777777" w:rsidR="00323A16" w:rsidRDefault="00323A16">
            <w:pPr>
              <w:tabs>
                <w:tab w:val="left" w:pos="1304"/>
              </w:tabs>
              <w:rPr>
                <w:rFonts w:ascii="Times New Roman" w:hAnsi="Times New Roman"/>
                <w:lang w:val="da-DK"/>
              </w:rPr>
            </w:pPr>
            <w:r>
              <w:rPr>
                <w:rFonts w:ascii="Times New Roman" w:hAnsi="Times New Roman"/>
                <w:lang w:val="da-DK"/>
              </w:rPr>
              <w:t>Red (active) bone marrow</w:t>
            </w:r>
          </w:p>
        </w:tc>
        <w:tc>
          <w:tcPr>
            <w:tcW w:w="1514" w:type="dxa"/>
            <w:tcBorders>
              <w:top w:val="single" w:sz="4" w:space="0" w:color="auto"/>
              <w:left w:val="single" w:sz="4" w:space="0" w:color="auto"/>
              <w:bottom w:val="single" w:sz="4" w:space="0" w:color="auto"/>
              <w:right w:val="single" w:sz="4" w:space="0" w:color="auto"/>
            </w:tcBorders>
            <w:hideMark/>
          </w:tcPr>
          <w:p w14:paraId="217ADC07" w14:textId="77777777" w:rsidR="00323A16" w:rsidRDefault="00323A16">
            <w:pPr>
              <w:tabs>
                <w:tab w:val="left" w:pos="1304"/>
              </w:tabs>
              <w:rPr>
                <w:rFonts w:ascii="Times New Roman" w:hAnsi="Times New Roman"/>
                <w:lang w:val="da-DK"/>
              </w:rPr>
            </w:pPr>
            <w:r>
              <w:rPr>
                <w:rFonts w:ascii="Times New Roman" w:hAnsi="Times New Roman"/>
                <w:lang w:val="da-DK"/>
              </w:rPr>
              <w:t>0.01495</w:t>
            </w:r>
          </w:p>
        </w:tc>
        <w:tc>
          <w:tcPr>
            <w:tcW w:w="1514" w:type="dxa"/>
            <w:tcBorders>
              <w:top w:val="single" w:sz="4" w:space="0" w:color="auto"/>
              <w:left w:val="single" w:sz="4" w:space="0" w:color="auto"/>
              <w:bottom w:val="single" w:sz="4" w:space="0" w:color="auto"/>
              <w:right w:val="single" w:sz="4" w:space="0" w:color="auto"/>
            </w:tcBorders>
            <w:hideMark/>
          </w:tcPr>
          <w:p w14:paraId="0157CBB8" w14:textId="77777777" w:rsidR="00323A16" w:rsidRDefault="00323A16">
            <w:pPr>
              <w:tabs>
                <w:tab w:val="left" w:pos="1304"/>
              </w:tabs>
              <w:rPr>
                <w:rFonts w:ascii="Times New Roman" w:hAnsi="Times New Roman"/>
                <w:lang w:val="da-DK"/>
              </w:rPr>
            </w:pPr>
            <w:r>
              <w:rPr>
                <w:rFonts w:ascii="Times New Roman" w:hAnsi="Times New Roman"/>
                <w:lang w:val="da-DK"/>
              </w:rPr>
              <w:t>0.0146</w:t>
            </w:r>
          </w:p>
        </w:tc>
        <w:tc>
          <w:tcPr>
            <w:tcW w:w="1515" w:type="dxa"/>
            <w:tcBorders>
              <w:top w:val="single" w:sz="4" w:space="0" w:color="auto"/>
              <w:left w:val="single" w:sz="4" w:space="0" w:color="auto"/>
              <w:bottom w:val="single" w:sz="4" w:space="0" w:color="auto"/>
              <w:right w:val="single" w:sz="4" w:space="0" w:color="auto"/>
            </w:tcBorders>
            <w:hideMark/>
          </w:tcPr>
          <w:p w14:paraId="202EF6C9" w14:textId="77777777" w:rsidR="00323A16" w:rsidRDefault="00323A16">
            <w:pPr>
              <w:tabs>
                <w:tab w:val="left" w:pos="1304"/>
              </w:tabs>
              <w:rPr>
                <w:rFonts w:ascii="Times New Roman" w:hAnsi="Times New Roman"/>
                <w:lang w:val="da-DK"/>
              </w:rPr>
            </w:pPr>
            <w:r>
              <w:rPr>
                <w:rFonts w:ascii="Times New Roman" w:hAnsi="Times New Roman"/>
                <w:lang w:val="da-DK"/>
              </w:rPr>
              <w:t>0.0167</w:t>
            </w:r>
          </w:p>
        </w:tc>
      </w:tr>
      <w:tr w:rsidR="00323A16" w14:paraId="15B7BA7B"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27F10F8" w14:textId="77777777" w:rsidR="00323A16" w:rsidRDefault="00323A16">
            <w:pPr>
              <w:tabs>
                <w:tab w:val="left" w:pos="1304"/>
              </w:tabs>
              <w:rPr>
                <w:rFonts w:ascii="Times New Roman" w:hAnsi="Times New Roman"/>
                <w:lang w:val="da-DK"/>
              </w:rPr>
            </w:pPr>
            <w:r>
              <w:rPr>
                <w:rFonts w:ascii="Times New Roman" w:hAnsi="Times New Roman"/>
                <w:lang w:val="da-DK"/>
              </w:rPr>
              <w:t>Salivary glands</w:t>
            </w:r>
          </w:p>
        </w:tc>
        <w:tc>
          <w:tcPr>
            <w:tcW w:w="1514" w:type="dxa"/>
            <w:tcBorders>
              <w:top w:val="single" w:sz="4" w:space="0" w:color="auto"/>
              <w:left w:val="single" w:sz="4" w:space="0" w:color="auto"/>
              <w:bottom w:val="single" w:sz="4" w:space="0" w:color="auto"/>
              <w:right w:val="single" w:sz="4" w:space="0" w:color="auto"/>
            </w:tcBorders>
            <w:hideMark/>
          </w:tcPr>
          <w:p w14:paraId="6FBADB0C" w14:textId="77777777" w:rsidR="00323A16" w:rsidRDefault="00323A16">
            <w:pPr>
              <w:tabs>
                <w:tab w:val="left" w:pos="1304"/>
              </w:tabs>
              <w:rPr>
                <w:rFonts w:ascii="Times New Roman" w:hAnsi="Times New Roman"/>
                <w:lang w:val="da-DK"/>
              </w:rPr>
            </w:pPr>
            <w:r>
              <w:rPr>
                <w:rFonts w:ascii="Times New Roman" w:hAnsi="Times New Roman"/>
                <w:lang w:val="da-DK"/>
              </w:rPr>
              <w:t>0.10885</w:t>
            </w:r>
          </w:p>
        </w:tc>
        <w:tc>
          <w:tcPr>
            <w:tcW w:w="1514" w:type="dxa"/>
            <w:tcBorders>
              <w:top w:val="single" w:sz="4" w:space="0" w:color="auto"/>
              <w:left w:val="single" w:sz="4" w:space="0" w:color="auto"/>
              <w:bottom w:val="single" w:sz="4" w:space="0" w:color="auto"/>
              <w:right w:val="single" w:sz="4" w:space="0" w:color="auto"/>
            </w:tcBorders>
            <w:hideMark/>
          </w:tcPr>
          <w:p w14:paraId="6E725D35" w14:textId="77777777" w:rsidR="00323A16" w:rsidRDefault="00323A16">
            <w:pPr>
              <w:tabs>
                <w:tab w:val="left" w:pos="1304"/>
              </w:tabs>
              <w:rPr>
                <w:rFonts w:ascii="Times New Roman" w:hAnsi="Times New Roman"/>
                <w:lang w:val="da-DK"/>
              </w:rPr>
            </w:pPr>
            <w:r>
              <w:rPr>
                <w:rFonts w:ascii="Times New Roman" w:hAnsi="Times New Roman"/>
                <w:lang w:val="da-DK"/>
              </w:rPr>
              <w:t>0.0748</w:t>
            </w:r>
          </w:p>
        </w:tc>
        <w:tc>
          <w:tcPr>
            <w:tcW w:w="1515" w:type="dxa"/>
            <w:tcBorders>
              <w:top w:val="single" w:sz="4" w:space="0" w:color="auto"/>
              <w:left w:val="single" w:sz="4" w:space="0" w:color="auto"/>
              <w:bottom w:val="single" w:sz="4" w:space="0" w:color="auto"/>
              <w:right w:val="single" w:sz="4" w:space="0" w:color="auto"/>
            </w:tcBorders>
            <w:hideMark/>
          </w:tcPr>
          <w:p w14:paraId="346EB237" w14:textId="77777777" w:rsidR="00323A16" w:rsidRDefault="00323A16">
            <w:pPr>
              <w:tabs>
                <w:tab w:val="left" w:pos="1304"/>
              </w:tabs>
              <w:rPr>
                <w:rFonts w:ascii="Times New Roman" w:hAnsi="Times New Roman"/>
                <w:lang w:val="da-DK"/>
              </w:rPr>
            </w:pPr>
            <w:r>
              <w:rPr>
                <w:rFonts w:ascii="Times New Roman" w:hAnsi="Times New Roman"/>
                <w:lang w:val="da-DK"/>
              </w:rPr>
              <w:t>0.891</w:t>
            </w:r>
          </w:p>
        </w:tc>
      </w:tr>
      <w:tr w:rsidR="00323A16" w14:paraId="4266FF96"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4479B3A3" w14:textId="77777777" w:rsidR="00323A16" w:rsidRDefault="00323A16">
            <w:pPr>
              <w:tabs>
                <w:tab w:val="left" w:pos="1304"/>
              </w:tabs>
              <w:rPr>
                <w:rFonts w:ascii="Times New Roman" w:hAnsi="Times New Roman"/>
                <w:lang w:val="da-DK"/>
              </w:rPr>
            </w:pPr>
            <w:r>
              <w:rPr>
                <w:rFonts w:ascii="Times New Roman" w:hAnsi="Times New Roman"/>
                <w:lang w:val="da-DK"/>
              </w:rPr>
              <w:t>Skin</w:t>
            </w:r>
          </w:p>
        </w:tc>
        <w:tc>
          <w:tcPr>
            <w:tcW w:w="1514" w:type="dxa"/>
            <w:tcBorders>
              <w:top w:val="single" w:sz="4" w:space="0" w:color="auto"/>
              <w:left w:val="single" w:sz="4" w:space="0" w:color="auto"/>
              <w:bottom w:val="single" w:sz="4" w:space="0" w:color="auto"/>
              <w:right w:val="single" w:sz="4" w:space="0" w:color="auto"/>
            </w:tcBorders>
            <w:hideMark/>
          </w:tcPr>
          <w:p w14:paraId="0BED3B7A" w14:textId="77777777" w:rsidR="00323A16" w:rsidRDefault="00323A16">
            <w:pPr>
              <w:tabs>
                <w:tab w:val="left" w:pos="1304"/>
              </w:tabs>
              <w:rPr>
                <w:rFonts w:ascii="Times New Roman" w:hAnsi="Times New Roman"/>
                <w:lang w:val="da-DK"/>
              </w:rPr>
            </w:pPr>
            <w:r>
              <w:rPr>
                <w:rFonts w:ascii="Times New Roman" w:hAnsi="Times New Roman"/>
                <w:lang w:val="da-DK"/>
              </w:rPr>
              <w:t>0.00632</w:t>
            </w:r>
          </w:p>
        </w:tc>
        <w:tc>
          <w:tcPr>
            <w:tcW w:w="1514" w:type="dxa"/>
            <w:tcBorders>
              <w:top w:val="single" w:sz="4" w:space="0" w:color="auto"/>
              <w:left w:val="single" w:sz="4" w:space="0" w:color="auto"/>
              <w:bottom w:val="single" w:sz="4" w:space="0" w:color="auto"/>
              <w:right w:val="single" w:sz="4" w:space="0" w:color="auto"/>
            </w:tcBorders>
            <w:hideMark/>
          </w:tcPr>
          <w:p w14:paraId="270F60D5" w14:textId="77777777" w:rsidR="00323A16" w:rsidRDefault="00323A16">
            <w:pPr>
              <w:tabs>
                <w:tab w:val="left" w:pos="1304"/>
              </w:tabs>
              <w:rPr>
                <w:rFonts w:ascii="Times New Roman" w:hAnsi="Times New Roman"/>
                <w:lang w:val="da-DK"/>
              </w:rPr>
            </w:pPr>
            <w:r>
              <w:rPr>
                <w:rFonts w:ascii="Times New Roman" w:hAnsi="Times New Roman"/>
                <w:lang w:val="da-DK"/>
              </w:rPr>
              <w:t>0.00536</w:t>
            </w:r>
          </w:p>
        </w:tc>
        <w:tc>
          <w:tcPr>
            <w:tcW w:w="1515" w:type="dxa"/>
            <w:tcBorders>
              <w:top w:val="single" w:sz="4" w:space="0" w:color="auto"/>
              <w:left w:val="single" w:sz="4" w:space="0" w:color="auto"/>
              <w:bottom w:val="single" w:sz="4" w:space="0" w:color="auto"/>
              <w:right w:val="single" w:sz="4" w:space="0" w:color="auto"/>
            </w:tcBorders>
            <w:hideMark/>
          </w:tcPr>
          <w:p w14:paraId="140296FC" w14:textId="77777777" w:rsidR="00323A16" w:rsidRDefault="00323A16">
            <w:pPr>
              <w:tabs>
                <w:tab w:val="left" w:pos="1304"/>
              </w:tabs>
              <w:rPr>
                <w:rFonts w:ascii="Times New Roman" w:hAnsi="Times New Roman"/>
                <w:lang w:val="da-DK"/>
              </w:rPr>
            </w:pPr>
            <w:r>
              <w:rPr>
                <w:rFonts w:ascii="Times New Roman" w:hAnsi="Times New Roman"/>
                <w:lang w:val="da-DK"/>
              </w:rPr>
              <w:t>0.0066</w:t>
            </w:r>
          </w:p>
        </w:tc>
      </w:tr>
      <w:tr w:rsidR="00323A16" w14:paraId="63040D5E"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0468069F" w14:textId="77777777" w:rsidR="00323A16" w:rsidRDefault="00323A16">
            <w:pPr>
              <w:tabs>
                <w:tab w:val="left" w:pos="1304"/>
              </w:tabs>
              <w:rPr>
                <w:rFonts w:ascii="Times New Roman" w:hAnsi="Times New Roman"/>
                <w:lang w:val="da-DK"/>
              </w:rPr>
            </w:pPr>
            <w:r>
              <w:rPr>
                <w:rFonts w:ascii="Times New Roman" w:hAnsi="Times New Roman"/>
                <w:lang w:val="da-DK"/>
              </w:rPr>
              <w:t>Small intestine wall</w:t>
            </w:r>
          </w:p>
        </w:tc>
        <w:tc>
          <w:tcPr>
            <w:tcW w:w="1514" w:type="dxa"/>
            <w:tcBorders>
              <w:top w:val="single" w:sz="4" w:space="0" w:color="auto"/>
              <w:left w:val="single" w:sz="4" w:space="0" w:color="auto"/>
              <w:bottom w:val="single" w:sz="4" w:space="0" w:color="auto"/>
              <w:right w:val="single" w:sz="4" w:space="0" w:color="auto"/>
            </w:tcBorders>
            <w:hideMark/>
          </w:tcPr>
          <w:p w14:paraId="25D2AF2C" w14:textId="77777777" w:rsidR="00323A16" w:rsidRDefault="00323A16">
            <w:pPr>
              <w:tabs>
                <w:tab w:val="left" w:pos="1304"/>
              </w:tabs>
              <w:rPr>
                <w:rFonts w:ascii="Times New Roman" w:hAnsi="Times New Roman"/>
                <w:lang w:val="da-DK"/>
              </w:rPr>
            </w:pPr>
            <w:r>
              <w:rPr>
                <w:rFonts w:ascii="Times New Roman" w:hAnsi="Times New Roman"/>
                <w:lang w:val="da-DK"/>
              </w:rPr>
              <w:t>0.014</w:t>
            </w:r>
          </w:p>
        </w:tc>
        <w:tc>
          <w:tcPr>
            <w:tcW w:w="1514" w:type="dxa"/>
            <w:tcBorders>
              <w:top w:val="single" w:sz="4" w:space="0" w:color="auto"/>
              <w:left w:val="single" w:sz="4" w:space="0" w:color="auto"/>
              <w:bottom w:val="single" w:sz="4" w:space="0" w:color="auto"/>
              <w:right w:val="single" w:sz="4" w:space="0" w:color="auto"/>
            </w:tcBorders>
            <w:hideMark/>
          </w:tcPr>
          <w:p w14:paraId="1E96E14F" w14:textId="77777777" w:rsidR="00323A16" w:rsidRDefault="00323A16">
            <w:pPr>
              <w:tabs>
                <w:tab w:val="left" w:pos="1304"/>
              </w:tabs>
              <w:rPr>
                <w:rFonts w:ascii="Times New Roman" w:hAnsi="Times New Roman"/>
                <w:lang w:val="da-DK"/>
              </w:rPr>
            </w:pPr>
            <w:r>
              <w:rPr>
                <w:rFonts w:ascii="Times New Roman" w:hAnsi="Times New Roman"/>
                <w:lang w:val="da-DK"/>
              </w:rPr>
              <w:t>0.0131</w:t>
            </w:r>
          </w:p>
        </w:tc>
        <w:tc>
          <w:tcPr>
            <w:tcW w:w="1515" w:type="dxa"/>
            <w:tcBorders>
              <w:top w:val="single" w:sz="4" w:space="0" w:color="auto"/>
              <w:left w:val="single" w:sz="4" w:space="0" w:color="auto"/>
              <w:bottom w:val="single" w:sz="4" w:space="0" w:color="auto"/>
              <w:right w:val="single" w:sz="4" w:space="0" w:color="auto"/>
            </w:tcBorders>
            <w:hideMark/>
          </w:tcPr>
          <w:p w14:paraId="1D4E61A1" w14:textId="77777777" w:rsidR="00323A16" w:rsidRDefault="00323A16">
            <w:pPr>
              <w:tabs>
                <w:tab w:val="left" w:pos="1304"/>
              </w:tabs>
              <w:rPr>
                <w:rFonts w:ascii="Times New Roman" w:hAnsi="Times New Roman"/>
                <w:lang w:val="da-DK"/>
              </w:rPr>
            </w:pPr>
            <w:r>
              <w:rPr>
                <w:rFonts w:ascii="Times New Roman" w:hAnsi="Times New Roman"/>
                <w:lang w:val="da-DK"/>
              </w:rPr>
              <w:t>0.0152</w:t>
            </w:r>
          </w:p>
        </w:tc>
      </w:tr>
      <w:tr w:rsidR="00323A16" w14:paraId="304A822A"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2D81AB9D" w14:textId="77777777" w:rsidR="00323A16" w:rsidRDefault="00323A16">
            <w:pPr>
              <w:tabs>
                <w:tab w:val="left" w:pos="1304"/>
              </w:tabs>
              <w:rPr>
                <w:rFonts w:ascii="Times New Roman" w:hAnsi="Times New Roman"/>
                <w:lang w:val="da-DK"/>
              </w:rPr>
            </w:pPr>
            <w:r>
              <w:rPr>
                <w:rFonts w:ascii="Times New Roman" w:hAnsi="Times New Roman"/>
                <w:lang w:val="da-DK"/>
              </w:rPr>
              <w:t>Spleen</w:t>
            </w:r>
          </w:p>
        </w:tc>
        <w:tc>
          <w:tcPr>
            <w:tcW w:w="1514" w:type="dxa"/>
            <w:tcBorders>
              <w:top w:val="single" w:sz="4" w:space="0" w:color="auto"/>
              <w:left w:val="single" w:sz="4" w:space="0" w:color="auto"/>
              <w:bottom w:val="single" w:sz="4" w:space="0" w:color="auto"/>
              <w:right w:val="single" w:sz="4" w:space="0" w:color="auto"/>
            </w:tcBorders>
            <w:hideMark/>
          </w:tcPr>
          <w:p w14:paraId="62A15F0E" w14:textId="77777777" w:rsidR="00323A16" w:rsidRDefault="00323A16">
            <w:pPr>
              <w:tabs>
                <w:tab w:val="left" w:pos="1304"/>
              </w:tabs>
              <w:rPr>
                <w:rFonts w:ascii="Times New Roman" w:hAnsi="Times New Roman"/>
                <w:lang w:val="da-DK"/>
              </w:rPr>
            </w:pPr>
            <w:r>
              <w:rPr>
                <w:rFonts w:ascii="Times New Roman" w:hAnsi="Times New Roman"/>
                <w:lang w:val="da-DK"/>
              </w:rPr>
              <w:t>0.0528</w:t>
            </w:r>
          </w:p>
        </w:tc>
        <w:tc>
          <w:tcPr>
            <w:tcW w:w="1514" w:type="dxa"/>
            <w:tcBorders>
              <w:top w:val="single" w:sz="4" w:space="0" w:color="auto"/>
              <w:left w:val="single" w:sz="4" w:space="0" w:color="auto"/>
              <w:bottom w:val="single" w:sz="4" w:space="0" w:color="auto"/>
              <w:right w:val="single" w:sz="4" w:space="0" w:color="auto"/>
            </w:tcBorders>
            <w:hideMark/>
          </w:tcPr>
          <w:p w14:paraId="63C87EB1" w14:textId="77777777" w:rsidR="00323A16" w:rsidRDefault="00323A16">
            <w:pPr>
              <w:tabs>
                <w:tab w:val="left" w:pos="1304"/>
              </w:tabs>
              <w:rPr>
                <w:rFonts w:ascii="Times New Roman" w:hAnsi="Times New Roman"/>
                <w:lang w:val="da-DK"/>
              </w:rPr>
            </w:pPr>
            <w:r>
              <w:rPr>
                <w:rFonts w:ascii="Times New Roman" w:hAnsi="Times New Roman"/>
                <w:lang w:val="da-DK"/>
              </w:rPr>
              <w:t>0.0372</w:t>
            </w:r>
          </w:p>
        </w:tc>
        <w:tc>
          <w:tcPr>
            <w:tcW w:w="1515" w:type="dxa"/>
            <w:tcBorders>
              <w:top w:val="single" w:sz="4" w:space="0" w:color="auto"/>
              <w:left w:val="single" w:sz="4" w:space="0" w:color="auto"/>
              <w:bottom w:val="single" w:sz="4" w:space="0" w:color="auto"/>
              <w:right w:val="single" w:sz="4" w:space="0" w:color="auto"/>
            </w:tcBorders>
            <w:hideMark/>
          </w:tcPr>
          <w:p w14:paraId="1DB127A4" w14:textId="77777777" w:rsidR="00323A16" w:rsidRDefault="00323A16">
            <w:pPr>
              <w:tabs>
                <w:tab w:val="left" w:pos="1304"/>
              </w:tabs>
              <w:rPr>
                <w:rFonts w:ascii="Times New Roman" w:hAnsi="Times New Roman"/>
                <w:lang w:val="da-DK"/>
              </w:rPr>
            </w:pPr>
            <w:r>
              <w:rPr>
                <w:rFonts w:ascii="Times New Roman" w:hAnsi="Times New Roman"/>
                <w:lang w:val="da-DK"/>
              </w:rPr>
              <w:t>0.108</w:t>
            </w:r>
          </w:p>
        </w:tc>
      </w:tr>
      <w:tr w:rsidR="00323A16" w14:paraId="1F7004DA"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357058F4" w14:textId="77777777" w:rsidR="00323A16" w:rsidRDefault="00323A16">
            <w:pPr>
              <w:tabs>
                <w:tab w:val="left" w:pos="1304"/>
              </w:tabs>
              <w:rPr>
                <w:rFonts w:ascii="Times New Roman" w:hAnsi="Times New Roman"/>
                <w:lang w:val="da-DK"/>
              </w:rPr>
            </w:pPr>
            <w:r>
              <w:rPr>
                <w:rFonts w:ascii="Times New Roman" w:hAnsi="Times New Roman"/>
                <w:lang w:val="da-DK"/>
              </w:rPr>
              <w:t>Stomach wall</w:t>
            </w:r>
          </w:p>
        </w:tc>
        <w:tc>
          <w:tcPr>
            <w:tcW w:w="1514" w:type="dxa"/>
            <w:tcBorders>
              <w:top w:val="single" w:sz="4" w:space="0" w:color="auto"/>
              <w:left w:val="single" w:sz="4" w:space="0" w:color="auto"/>
              <w:bottom w:val="single" w:sz="4" w:space="0" w:color="auto"/>
              <w:right w:val="single" w:sz="4" w:space="0" w:color="auto"/>
            </w:tcBorders>
            <w:hideMark/>
          </w:tcPr>
          <w:p w14:paraId="32115E5C" w14:textId="77777777" w:rsidR="00323A16" w:rsidRDefault="00323A16">
            <w:pPr>
              <w:tabs>
                <w:tab w:val="left" w:pos="1304"/>
              </w:tabs>
              <w:rPr>
                <w:rFonts w:ascii="Times New Roman" w:hAnsi="Times New Roman"/>
                <w:lang w:val="da-DK"/>
              </w:rPr>
            </w:pPr>
            <w:r>
              <w:rPr>
                <w:rFonts w:ascii="Times New Roman" w:hAnsi="Times New Roman"/>
                <w:lang w:val="da-DK"/>
              </w:rPr>
              <w:t>0.0156</w:t>
            </w:r>
          </w:p>
        </w:tc>
        <w:tc>
          <w:tcPr>
            <w:tcW w:w="1514" w:type="dxa"/>
            <w:tcBorders>
              <w:top w:val="single" w:sz="4" w:space="0" w:color="auto"/>
              <w:left w:val="single" w:sz="4" w:space="0" w:color="auto"/>
              <w:bottom w:val="single" w:sz="4" w:space="0" w:color="auto"/>
              <w:right w:val="single" w:sz="4" w:space="0" w:color="auto"/>
            </w:tcBorders>
            <w:hideMark/>
          </w:tcPr>
          <w:p w14:paraId="5F5DC177" w14:textId="77777777" w:rsidR="00323A16" w:rsidRDefault="00323A16">
            <w:pPr>
              <w:tabs>
                <w:tab w:val="left" w:pos="1304"/>
              </w:tabs>
              <w:rPr>
                <w:rFonts w:ascii="Times New Roman" w:hAnsi="Times New Roman"/>
                <w:lang w:val="da-DK"/>
              </w:rPr>
            </w:pPr>
            <w:r>
              <w:rPr>
                <w:rFonts w:ascii="Times New Roman" w:hAnsi="Times New Roman"/>
                <w:lang w:val="da-DK"/>
              </w:rPr>
              <w:t>0.0143</w:t>
            </w:r>
          </w:p>
        </w:tc>
        <w:tc>
          <w:tcPr>
            <w:tcW w:w="1515" w:type="dxa"/>
            <w:tcBorders>
              <w:top w:val="single" w:sz="4" w:space="0" w:color="auto"/>
              <w:left w:val="single" w:sz="4" w:space="0" w:color="auto"/>
              <w:bottom w:val="single" w:sz="4" w:space="0" w:color="auto"/>
              <w:right w:val="single" w:sz="4" w:space="0" w:color="auto"/>
            </w:tcBorders>
            <w:hideMark/>
          </w:tcPr>
          <w:p w14:paraId="2AD3EE77" w14:textId="77777777" w:rsidR="00323A16" w:rsidRDefault="00323A16">
            <w:pPr>
              <w:tabs>
                <w:tab w:val="left" w:pos="1304"/>
              </w:tabs>
              <w:rPr>
                <w:rFonts w:ascii="Times New Roman" w:hAnsi="Times New Roman"/>
                <w:lang w:val="da-DK"/>
              </w:rPr>
            </w:pPr>
            <w:r>
              <w:rPr>
                <w:rFonts w:ascii="Times New Roman" w:hAnsi="Times New Roman"/>
                <w:lang w:val="da-DK"/>
              </w:rPr>
              <w:t>0.0166</w:t>
            </w:r>
          </w:p>
        </w:tc>
      </w:tr>
      <w:tr w:rsidR="00323A16" w14:paraId="7BDF1CF9"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2776ECD3" w14:textId="77777777" w:rsidR="00323A16" w:rsidRDefault="00323A16">
            <w:pPr>
              <w:tabs>
                <w:tab w:val="left" w:pos="1304"/>
              </w:tabs>
              <w:rPr>
                <w:rFonts w:ascii="Times New Roman" w:hAnsi="Times New Roman"/>
                <w:lang w:val="da-DK"/>
              </w:rPr>
            </w:pPr>
            <w:r>
              <w:rPr>
                <w:rFonts w:ascii="Times New Roman" w:hAnsi="Times New Roman"/>
                <w:lang w:val="da-DK"/>
              </w:rPr>
              <w:t>Testes</w:t>
            </w:r>
          </w:p>
        </w:tc>
        <w:tc>
          <w:tcPr>
            <w:tcW w:w="1514" w:type="dxa"/>
            <w:tcBorders>
              <w:top w:val="single" w:sz="4" w:space="0" w:color="auto"/>
              <w:left w:val="single" w:sz="4" w:space="0" w:color="auto"/>
              <w:bottom w:val="single" w:sz="4" w:space="0" w:color="auto"/>
              <w:right w:val="single" w:sz="4" w:space="0" w:color="auto"/>
            </w:tcBorders>
            <w:hideMark/>
          </w:tcPr>
          <w:p w14:paraId="18681506" w14:textId="77777777" w:rsidR="00323A16" w:rsidRDefault="00323A16">
            <w:pPr>
              <w:tabs>
                <w:tab w:val="left" w:pos="1304"/>
              </w:tabs>
              <w:rPr>
                <w:rFonts w:ascii="Times New Roman" w:hAnsi="Times New Roman"/>
                <w:lang w:val="da-DK"/>
              </w:rPr>
            </w:pPr>
            <w:r>
              <w:rPr>
                <w:rFonts w:ascii="Times New Roman" w:hAnsi="Times New Roman"/>
                <w:lang w:val="da-DK"/>
              </w:rPr>
              <w:t>0.008175</w:t>
            </w:r>
          </w:p>
        </w:tc>
        <w:tc>
          <w:tcPr>
            <w:tcW w:w="1514" w:type="dxa"/>
            <w:tcBorders>
              <w:top w:val="single" w:sz="4" w:space="0" w:color="auto"/>
              <w:left w:val="single" w:sz="4" w:space="0" w:color="auto"/>
              <w:bottom w:val="single" w:sz="4" w:space="0" w:color="auto"/>
              <w:right w:val="single" w:sz="4" w:space="0" w:color="auto"/>
            </w:tcBorders>
            <w:hideMark/>
          </w:tcPr>
          <w:p w14:paraId="6BFB4DC3" w14:textId="77777777" w:rsidR="00323A16" w:rsidRDefault="00323A16">
            <w:pPr>
              <w:tabs>
                <w:tab w:val="left" w:pos="1304"/>
              </w:tabs>
              <w:rPr>
                <w:rFonts w:ascii="Times New Roman" w:hAnsi="Times New Roman"/>
                <w:lang w:val="da-DK"/>
              </w:rPr>
            </w:pPr>
            <w:r>
              <w:rPr>
                <w:rFonts w:ascii="Times New Roman" w:hAnsi="Times New Roman"/>
                <w:lang w:val="da-DK"/>
              </w:rPr>
              <w:t>0.00678</w:t>
            </w:r>
          </w:p>
        </w:tc>
        <w:tc>
          <w:tcPr>
            <w:tcW w:w="1515" w:type="dxa"/>
            <w:tcBorders>
              <w:top w:val="single" w:sz="4" w:space="0" w:color="auto"/>
              <w:left w:val="single" w:sz="4" w:space="0" w:color="auto"/>
              <w:bottom w:val="single" w:sz="4" w:space="0" w:color="auto"/>
              <w:right w:val="single" w:sz="4" w:space="0" w:color="auto"/>
            </w:tcBorders>
            <w:hideMark/>
          </w:tcPr>
          <w:p w14:paraId="22E30FBA" w14:textId="77777777" w:rsidR="00323A16" w:rsidRDefault="00323A16">
            <w:pPr>
              <w:tabs>
                <w:tab w:val="left" w:pos="1304"/>
              </w:tabs>
              <w:rPr>
                <w:rFonts w:ascii="Times New Roman" w:hAnsi="Times New Roman"/>
                <w:lang w:val="da-DK"/>
              </w:rPr>
            </w:pPr>
            <w:r>
              <w:rPr>
                <w:rFonts w:ascii="Times New Roman" w:hAnsi="Times New Roman"/>
                <w:lang w:val="da-DK"/>
              </w:rPr>
              <w:t>0.0085</w:t>
            </w:r>
          </w:p>
        </w:tc>
      </w:tr>
      <w:tr w:rsidR="00323A16" w14:paraId="05A95790"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39676475" w14:textId="77777777" w:rsidR="00323A16" w:rsidRDefault="00323A16">
            <w:pPr>
              <w:tabs>
                <w:tab w:val="left" w:pos="1304"/>
              </w:tabs>
              <w:rPr>
                <w:rFonts w:ascii="Times New Roman" w:hAnsi="Times New Roman"/>
                <w:lang w:val="da-DK"/>
              </w:rPr>
            </w:pPr>
            <w:r>
              <w:rPr>
                <w:rFonts w:ascii="Times New Roman" w:hAnsi="Times New Roman"/>
                <w:lang w:val="da-DK"/>
              </w:rPr>
              <w:t>Thymus</w:t>
            </w:r>
          </w:p>
        </w:tc>
        <w:tc>
          <w:tcPr>
            <w:tcW w:w="1514" w:type="dxa"/>
            <w:tcBorders>
              <w:top w:val="single" w:sz="4" w:space="0" w:color="auto"/>
              <w:left w:val="single" w:sz="4" w:space="0" w:color="auto"/>
              <w:bottom w:val="single" w:sz="4" w:space="0" w:color="auto"/>
              <w:right w:val="single" w:sz="4" w:space="0" w:color="auto"/>
            </w:tcBorders>
            <w:hideMark/>
          </w:tcPr>
          <w:p w14:paraId="4E85BAD7" w14:textId="77777777" w:rsidR="00323A16" w:rsidRDefault="00323A16">
            <w:pPr>
              <w:tabs>
                <w:tab w:val="left" w:pos="1304"/>
              </w:tabs>
              <w:rPr>
                <w:rFonts w:ascii="Times New Roman" w:hAnsi="Times New Roman"/>
                <w:lang w:val="da-DK"/>
              </w:rPr>
            </w:pPr>
            <w:r>
              <w:rPr>
                <w:rFonts w:ascii="Times New Roman" w:hAnsi="Times New Roman"/>
                <w:lang w:val="da-DK"/>
              </w:rPr>
              <w:t>0.008435</w:t>
            </w:r>
          </w:p>
        </w:tc>
        <w:tc>
          <w:tcPr>
            <w:tcW w:w="1514" w:type="dxa"/>
            <w:tcBorders>
              <w:top w:val="single" w:sz="4" w:space="0" w:color="auto"/>
              <w:left w:val="single" w:sz="4" w:space="0" w:color="auto"/>
              <w:bottom w:val="single" w:sz="4" w:space="0" w:color="auto"/>
              <w:right w:val="single" w:sz="4" w:space="0" w:color="auto"/>
            </w:tcBorders>
            <w:hideMark/>
          </w:tcPr>
          <w:p w14:paraId="7B5D97E1" w14:textId="77777777" w:rsidR="00323A16" w:rsidRDefault="00323A16">
            <w:pPr>
              <w:tabs>
                <w:tab w:val="left" w:pos="1304"/>
              </w:tabs>
              <w:rPr>
                <w:rFonts w:ascii="Times New Roman" w:hAnsi="Times New Roman"/>
                <w:lang w:val="da-DK"/>
              </w:rPr>
            </w:pPr>
            <w:r>
              <w:rPr>
                <w:rFonts w:ascii="Times New Roman" w:hAnsi="Times New Roman"/>
                <w:lang w:val="da-DK"/>
              </w:rPr>
              <w:t>0.00702</w:t>
            </w:r>
          </w:p>
        </w:tc>
        <w:tc>
          <w:tcPr>
            <w:tcW w:w="1515" w:type="dxa"/>
            <w:tcBorders>
              <w:top w:val="single" w:sz="4" w:space="0" w:color="auto"/>
              <w:left w:val="single" w:sz="4" w:space="0" w:color="auto"/>
              <w:bottom w:val="single" w:sz="4" w:space="0" w:color="auto"/>
              <w:right w:val="single" w:sz="4" w:space="0" w:color="auto"/>
            </w:tcBorders>
            <w:hideMark/>
          </w:tcPr>
          <w:p w14:paraId="50988168" w14:textId="77777777" w:rsidR="00323A16" w:rsidRDefault="00323A16">
            <w:pPr>
              <w:tabs>
                <w:tab w:val="left" w:pos="1304"/>
              </w:tabs>
              <w:rPr>
                <w:rFonts w:ascii="Times New Roman" w:hAnsi="Times New Roman"/>
                <w:lang w:val="da-DK"/>
              </w:rPr>
            </w:pPr>
            <w:r>
              <w:rPr>
                <w:rFonts w:ascii="Times New Roman" w:hAnsi="Times New Roman"/>
                <w:lang w:val="da-DK"/>
              </w:rPr>
              <w:t>0.0853</w:t>
            </w:r>
          </w:p>
        </w:tc>
      </w:tr>
      <w:tr w:rsidR="00323A16" w14:paraId="2CC69049"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4C90EE8D" w14:textId="77777777" w:rsidR="00323A16" w:rsidRDefault="00323A16">
            <w:pPr>
              <w:tabs>
                <w:tab w:val="left" w:pos="1304"/>
              </w:tabs>
              <w:rPr>
                <w:rFonts w:ascii="Times New Roman" w:hAnsi="Times New Roman"/>
                <w:lang w:val="da-DK"/>
              </w:rPr>
            </w:pPr>
            <w:r>
              <w:rPr>
                <w:rFonts w:ascii="Times New Roman" w:hAnsi="Times New Roman"/>
                <w:lang w:val="da-DK"/>
              </w:rPr>
              <w:t>Thyroid</w:t>
            </w:r>
          </w:p>
        </w:tc>
        <w:tc>
          <w:tcPr>
            <w:tcW w:w="1514" w:type="dxa"/>
            <w:tcBorders>
              <w:top w:val="single" w:sz="4" w:space="0" w:color="auto"/>
              <w:left w:val="single" w:sz="4" w:space="0" w:color="auto"/>
              <w:bottom w:val="single" w:sz="4" w:space="0" w:color="auto"/>
              <w:right w:val="single" w:sz="4" w:space="0" w:color="auto"/>
            </w:tcBorders>
            <w:hideMark/>
          </w:tcPr>
          <w:p w14:paraId="6F1C7CBF" w14:textId="77777777" w:rsidR="00323A16" w:rsidRDefault="00323A16">
            <w:pPr>
              <w:tabs>
                <w:tab w:val="left" w:pos="1304"/>
              </w:tabs>
              <w:rPr>
                <w:rFonts w:ascii="Times New Roman" w:hAnsi="Times New Roman"/>
                <w:lang w:val="da-DK"/>
              </w:rPr>
            </w:pPr>
            <w:r>
              <w:rPr>
                <w:rFonts w:ascii="Times New Roman" w:hAnsi="Times New Roman"/>
                <w:lang w:val="da-DK"/>
              </w:rPr>
              <w:t>0.00984</w:t>
            </w:r>
          </w:p>
        </w:tc>
        <w:tc>
          <w:tcPr>
            <w:tcW w:w="1514" w:type="dxa"/>
            <w:tcBorders>
              <w:top w:val="single" w:sz="4" w:space="0" w:color="auto"/>
              <w:left w:val="single" w:sz="4" w:space="0" w:color="auto"/>
              <w:bottom w:val="single" w:sz="4" w:space="0" w:color="auto"/>
              <w:right w:val="single" w:sz="4" w:space="0" w:color="auto"/>
            </w:tcBorders>
            <w:hideMark/>
          </w:tcPr>
          <w:p w14:paraId="32EAB050" w14:textId="77777777" w:rsidR="00323A16" w:rsidRDefault="00323A16">
            <w:pPr>
              <w:tabs>
                <w:tab w:val="left" w:pos="1304"/>
              </w:tabs>
              <w:rPr>
                <w:rFonts w:ascii="Times New Roman" w:hAnsi="Times New Roman"/>
                <w:lang w:val="da-DK"/>
              </w:rPr>
            </w:pPr>
            <w:r>
              <w:rPr>
                <w:rFonts w:ascii="Times New Roman" w:hAnsi="Times New Roman"/>
                <w:lang w:val="da-DK"/>
              </w:rPr>
              <w:t>0.00912</w:t>
            </w:r>
          </w:p>
        </w:tc>
        <w:tc>
          <w:tcPr>
            <w:tcW w:w="1515" w:type="dxa"/>
            <w:tcBorders>
              <w:top w:val="single" w:sz="4" w:space="0" w:color="auto"/>
              <w:left w:val="single" w:sz="4" w:space="0" w:color="auto"/>
              <w:bottom w:val="single" w:sz="4" w:space="0" w:color="auto"/>
              <w:right w:val="single" w:sz="4" w:space="0" w:color="auto"/>
            </w:tcBorders>
            <w:hideMark/>
          </w:tcPr>
          <w:p w14:paraId="707AA987" w14:textId="77777777" w:rsidR="00323A16" w:rsidRDefault="00323A16">
            <w:pPr>
              <w:tabs>
                <w:tab w:val="left" w:pos="1304"/>
              </w:tabs>
              <w:rPr>
                <w:rFonts w:ascii="Times New Roman" w:hAnsi="Times New Roman"/>
                <w:lang w:val="da-DK"/>
              </w:rPr>
            </w:pPr>
            <w:r>
              <w:rPr>
                <w:rFonts w:ascii="Times New Roman" w:hAnsi="Times New Roman"/>
                <w:lang w:val="da-DK"/>
              </w:rPr>
              <w:t>0.0119</w:t>
            </w:r>
          </w:p>
        </w:tc>
      </w:tr>
      <w:tr w:rsidR="00323A16" w14:paraId="68EA96FE"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89A1E41" w14:textId="77777777" w:rsidR="00323A16" w:rsidRDefault="00323A16">
            <w:pPr>
              <w:tabs>
                <w:tab w:val="left" w:pos="1304"/>
              </w:tabs>
              <w:rPr>
                <w:rFonts w:ascii="Times New Roman" w:hAnsi="Times New Roman"/>
                <w:lang w:val="da-DK"/>
              </w:rPr>
            </w:pPr>
            <w:r>
              <w:rPr>
                <w:rFonts w:ascii="Times New Roman" w:hAnsi="Times New Roman"/>
                <w:lang w:val="da-DK"/>
              </w:rPr>
              <w:t>Urinary bladder wall</w:t>
            </w:r>
          </w:p>
        </w:tc>
        <w:tc>
          <w:tcPr>
            <w:tcW w:w="1514" w:type="dxa"/>
            <w:tcBorders>
              <w:top w:val="single" w:sz="4" w:space="0" w:color="auto"/>
              <w:left w:val="single" w:sz="4" w:space="0" w:color="auto"/>
              <w:bottom w:val="single" w:sz="4" w:space="0" w:color="auto"/>
              <w:right w:val="single" w:sz="4" w:space="0" w:color="auto"/>
            </w:tcBorders>
            <w:hideMark/>
          </w:tcPr>
          <w:p w14:paraId="2B87865F" w14:textId="77777777" w:rsidR="00323A16" w:rsidRDefault="00323A16">
            <w:pPr>
              <w:tabs>
                <w:tab w:val="left" w:pos="1304"/>
              </w:tabs>
              <w:rPr>
                <w:rFonts w:ascii="Times New Roman" w:hAnsi="Times New Roman"/>
                <w:lang w:val="da-DK"/>
              </w:rPr>
            </w:pPr>
            <w:r>
              <w:rPr>
                <w:rFonts w:ascii="Times New Roman" w:hAnsi="Times New Roman"/>
                <w:lang w:val="da-DK"/>
              </w:rPr>
              <w:t>0.04585</w:t>
            </w:r>
          </w:p>
        </w:tc>
        <w:tc>
          <w:tcPr>
            <w:tcW w:w="1514" w:type="dxa"/>
            <w:tcBorders>
              <w:top w:val="single" w:sz="4" w:space="0" w:color="auto"/>
              <w:left w:val="single" w:sz="4" w:space="0" w:color="auto"/>
              <w:bottom w:val="single" w:sz="4" w:space="0" w:color="auto"/>
              <w:right w:val="single" w:sz="4" w:space="0" w:color="auto"/>
            </w:tcBorders>
            <w:hideMark/>
          </w:tcPr>
          <w:p w14:paraId="093AAD6D" w14:textId="77777777" w:rsidR="00323A16" w:rsidRDefault="00323A16">
            <w:pPr>
              <w:tabs>
                <w:tab w:val="left" w:pos="1304"/>
              </w:tabs>
              <w:rPr>
                <w:rFonts w:ascii="Times New Roman" w:hAnsi="Times New Roman"/>
                <w:lang w:val="da-DK"/>
              </w:rPr>
            </w:pPr>
            <w:r>
              <w:rPr>
                <w:rFonts w:ascii="Times New Roman" w:hAnsi="Times New Roman"/>
                <w:lang w:val="da-DK"/>
              </w:rPr>
              <w:t>0.0267</w:t>
            </w:r>
          </w:p>
        </w:tc>
        <w:tc>
          <w:tcPr>
            <w:tcW w:w="1515" w:type="dxa"/>
            <w:tcBorders>
              <w:top w:val="single" w:sz="4" w:space="0" w:color="auto"/>
              <w:left w:val="single" w:sz="4" w:space="0" w:color="auto"/>
              <w:bottom w:val="single" w:sz="4" w:space="0" w:color="auto"/>
              <w:right w:val="single" w:sz="4" w:space="0" w:color="auto"/>
            </w:tcBorders>
            <w:hideMark/>
          </w:tcPr>
          <w:p w14:paraId="2B1BE9F1" w14:textId="77777777" w:rsidR="00323A16" w:rsidRDefault="00323A16">
            <w:pPr>
              <w:tabs>
                <w:tab w:val="left" w:pos="1304"/>
              </w:tabs>
              <w:rPr>
                <w:rFonts w:ascii="Times New Roman" w:hAnsi="Times New Roman"/>
                <w:lang w:val="da-DK"/>
              </w:rPr>
            </w:pPr>
            <w:r>
              <w:rPr>
                <w:rFonts w:ascii="Times New Roman" w:hAnsi="Times New Roman"/>
                <w:lang w:val="da-DK"/>
              </w:rPr>
              <w:t>0.0814</w:t>
            </w:r>
          </w:p>
        </w:tc>
      </w:tr>
      <w:tr w:rsidR="00323A16" w14:paraId="1C9D5C52"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0AAF8351" w14:textId="77777777" w:rsidR="00323A16" w:rsidRDefault="00323A16">
            <w:pPr>
              <w:tabs>
                <w:tab w:val="left" w:pos="1304"/>
              </w:tabs>
              <w:rPr>
                <w:rFonts w:ascii="Times New Roman" w:hAnsi="Times New Roman"/>
                <w:lang w:val="da-DK"/>
              </w:rPr>
            </w:pPr>
            <w:r>
              <w:rPr>
                <w:rFonts w:ascii="Times New Roman" w:hAnsi="Times New Roman"/>
                <w:lang w:val="da-DK"/>
              </w:rPr>
              <w:t>Uterus/cervix*</w:t>
            </w:r>
          </w:p>
        </w:tc>
        <w:tc>
          <w:tcPr>
            <w:tcW w:w="1514" w:type="dxa"/>
            <w:tcBorders>
              <w:top w:val="single" w:sz="4" w:space="0" w:color="auto"/>
              <w:left w:val="single" w:sz="4" w:space="0" w:color="auto"/>
              <w:bottom w:val="single" w:sz="4" w:space="0" w:color="auto"/>
              <w:right w:val="single" w:sz="4" w:space="0" w:color="auto"/>
            </w:tcBorders>
            <w:hideMark/>
          </w:tcPr>
          <w:p w14:paraId="0A4D6344" w14:textId="77777777" w:rsidR="00323A16" w:rsidRDefault="00323A16">
            <w:pPr>
              <w:tabs>
                <w:tab w:val="left" w:pos="1304"/>
              </w:tabs>
              <w:rPr>
                <w:rFonts w:ascii="Times New Roman" w:hAnsi="Times New Roman"/>
                <w:lang w:val="da-DK"/>
              </w:rPr>
            </w:pPr>
            <w:r>
              <w:rPr>
                <w:rFonts w:ascii="Times New Roman" w:hAnsi="Times New Roman"/>
                <w:lang w:val="da-DK"/>
              </w:rPr>
              <w:t>0.0153</w:t>
            </w:r>
          </w:p>
        </w:tc>
        <w:tc>
          <w:tcPr>
            <w:tcW w:w="1514" w:type="dxa"/>
            <w:tcBorders>
              <w:top w:val="single" w:sz="4" w:space="0" w:color="auto"/>
              <w:left w:val="single" w:sz="4" w:space="0" w:color="auto"/>
              <w:bottom w:val="single" w:sz="4" w:space="0" w:color="auto"/>
              <w:right w:val="single" w:sz="4" w:space="0" w:color="auto"/>
            </w:tcBorders>
            <w:hideMark/>
          </w:tcPr>
          <w:p w14:paraId="55E5DAF4" w14:textId="77777777" w:rsidR="00323A16" w:rsidRDefault="00323A16">
            <w:pPr>
              <w:tabs>
                <w:tab w:val="left" w:pos="1304"/>
              </w:tabs>
              <w:rPr>
                <w:rFonts w:ascii="Times New Roman" w:hAnsi="Times New Roman"/>
                <w:lang w:val="da-DK"/>
              </w:rPr>
            </w:pPr>
            <w:r>
              <w:rPr>
                <w:rFonts w:ascii="Times New Roman" w:hAnsi="Times New Roman"/>
                <w:lang w:val="da-DK"/>
              </w:rPr>
              <w:t>0.0127</w:t>
            </w:r>
          </w:p>
        </w:tc>
        <w:tc>
          <w:tcPr>
            <w:tcW w:w="1515" w:type="dxa"/>
            <w:tcBorders>
              <w:top w:val="single" w:sz="4" w:space="0" w:color="auto"/>
              <w:left w:val="single" w:sz="4" w:space="0" w:color="auto"/>
              <w:bottom w:val="single" w:sz="4" w:space="0" w:color="auto"/>
              <w:right w:val="single" w:sz="4" w:space="0" w:color="auto"/>
            </w:tcBorders>
            <w:hideMark/>
          </w:tcPr>
          <w:p w14:paraId="6E0DA5C5" w14:textId="77777777" w:rsidR="00323A16" w:rsidRDefault="00323A16">
            <w:pPr>
              <w:tabs>
                <w:tab w:val="left" w:pos="1304"/>
              </w:tabs>
              <w:rPr>
                <w:rFonts w:ascii="Times New Roman" w:hAnsi="Times New Roman"/>
                <w:lang w:val="da-DK"/>
              </w:rPr>
            </w:pPr>
            <w:r>
              <w:rPr>
                <w:rFonts w:ascii="Times New Roman" w:hAnsi="Times New Roman"/>
                <w:lang w:val="da-DK"/>
              </w:rPr>
              <w:t>0.0222</w:t>
            </w:r>
          </w:p>
        </w:tc>
      </w:tr>
      <w:tr w:rsidR="00323A16" w14:paraId="7583E204" w14:textId="77777777" w:rsidTr="00323A16">
        <w:tc>
          <w:tcPr>
            <w:tcW w:w="2972" w:type="dxa"/>
            <w:tcBorders>
              <w:top w:val="single" w:sz="4" w:space="0" w:color="auto"/>
              <w:left w:val="single" w:sz="4" w:space="0" w:color="auto"/>
              <w:bottom w:val="single" w:sz="4" w:space="0" w:color="auto"/>
              <w:right w:val="single" w:sz="4" w:space="0" w:color="auto"/>
            </w:tcBorders>
            <w:hideMark/>
          </w:tcPr>
          <w:p w14:paraId="5BEB830A" w14:textId="77777777" w:rsidR="00323A16" w:rsidRDefault="00323A16">
            <w:pPr>
              <w:tabs>
                <w:tab w:val="left" w:pos="1304"/>
              </w:tabs>
              <w:rPr>
                <w:rFonts w:ascii="Times New Roman" w:hAnsi="Times New Roman"/>
                <w:b/>
                <w:bCs/>
                <w:lang w:val="da-DK"/>
              </w:rPr>
            </w:pPr>
            <w:r>
              <w:rPr>
                <w:rFonts w:ascii="Times New Roman" w:hAnsi="Times New Roman"/>
                <w:b/>
                <w:bCs/>
                <w:lang w:val="da-DK"/>
              </w:rPr>
              <w:t>Effective dose (mSv/MBq)</w:t>
            </w:r>
          </w:p>
        </w:tc>
        <w:tc>
          <w:tcPr>
            <w:tcW w:w="1514" w:type="dxa"/>
            <w:tcBorders>
              <w:top w:val="single" w:sz="4" w:space="0" w:color="auto"/>
              <w:left w:val="single" w:sz="4" w:space="0" w:color="auto"/>
              <w:bottom w:val="single" w:sz="4" w:space="0" w:color="auto"/>
              <w:right w:val="single" w:sz="4" w:space="0" w:color="auto"/>
            </w:tcBorders>
            <w:hideMark/>
          </w:tcPr>
          <w:p w14:paraId="750EFAE2" w14:textId="77777777" w:rsidR="00323A16" w:rsidRDefault="00323A16">
            <w:pPr>
              <w:tabs>
                <w:tab w:val="left" w:pos="1304"/>
              </w:tabs>
              <w:rPr>
                <w:rFonts w:ascii="Times New Roman" w:hAnsi="Times New Roman"/>
                <w:lang w:val="da-DK"/>
              </w:rPr>
            </w:pPr>
            <w:r>
              <w:rPr>
                <w:rFonts w:ascii="Times New Roman" w:hAnsi="Times New Roman"/>
                <w:lang w:val="da-DK"/>
              </w:rPr>
              <w:t>0.02305</w:t>
            </w:r>
          </w:p>
        </w:tc>
        <w:tc>
          <w:tcPr>
            <w:tcW w:w="1514" w:type="dxa"/>
            <w:tcBorders>
              <w:top w:val="single" w:sz="4" w:space="0" w:color="auto"/>
              <w:left w:val="single" w:sz="4" w:space="0" w:color="auto"/>
              <w:bottom w:val="single" w:sz="4" w:space="0" w:color="auto"/>
              <w:right w:val="single" w:sz="4" w:space="0" w:color="auto"/>
            </w:tcBorders>
            <w:hideMark/>
          </w:tcPr>
          <w:p w14:paraId="5ABBB1A7" w14:textId="77777777" w:rsidR="00323A16" w:rsidRDefault="00323A16">
            <w:pPr>
              <w:tabs>
                <w:tab w:val="left" w:pos="1304"/>
              </w:tabs>
              <w:rPr>
                <w:rFonts w:ascii="Times New Roman" w:hAnsi="Times New Roman"/>
                <w:lang w:val="da-DK"/>
              </w:rPr>
            </w:pPr>
            <w:r>
              <w:rPr>
                <w:rFonts w:ascii="Times New Roman" w:hAnsi="Times New Roman"/>
                <w:lang w:val="da-DK"/>
              </w:rPr>
              <w:t>0.0209</w:t>
            </w:r>
          </w:p>
        </w:tc>
        <w:tc>
          <w:tcPr>
            <w:tcW w:w="1515" w:type="dxa"/>
            <w:tcBorders>
              <w:top w:val="single" w:sz="4" w:space="0" w:color="auto"/>
              <w:left w:val="single" w:sz="4" w:space="0" w:color="auto"/>
              <w:bottom w:val="single" w:sz="4" w:space="0" w:color="auto"/>
              <w:right w:val="single" w:sz="4" w:space="0" w:color="auto"/>
            </w:tcBorders>
            <w:hideMark/>
          </w:tcPr>
          <w:p w14:paraId="6D9B2FC1" w14:textId="77777777" w:rsidR="00323A16" w:rsidRDefault="00323A16">
            <w:pPr>
              <w:tabs>
                <w:tab w:val="left" w:pos="1304"/>
              </w:tabs>
              <w:rPr>
                <w:rFonts w:ascii="Times New Roman" w:hAnsi="Times New Roman"/>
                <w:lang w:val="da-DK"/>
              </w:rPr>
            </w:pPr>
            <w:r>
              <w:rPr>
                <w:rFonts w:ascii="Times New Roman" w:hAnsi="Times New Roman"/>
                <w:lang w:val="da-DK"/>
              </w:rPr>
              <w:t>0.0333</w:t>
            </w:r>
          </w:p>
        </w:tc>
      </w:tr>
    </w:tbl>
    <w:p w14:paraId="5F82AAAA" w14:textId="77777777" w:rsidR="00323A16" w:rsidRDefault="00323A16" w:rsidP="00323A16">
      <w:pPr>
        <w:keepNext/>
        <w:tabs>
          <w:tab w:val="left" w:pos="1304"/>
        </w:tabs>
        <w:ind w:left="851"/>
        <w:rPr>
          <w:sz w:val="22"/>
          <w:szCs w:val="22"/>
          <w:lang w:val="en-GB" w:eastAsia="nl-NL"/>
        </w:rPr>
      </w:pPr>
      <w:r>
        <w:rPr>
          <w:szCs w:val="22"/>
          <w:lang w:eastAsia="nl-NL"/>
        </w:rPr>
        <w:t>*value for adult female</w:t>
      </w:r>
    </w:p>
    <w:p w14:paraId="32DA154C" w14:textId="77777777" w:rsidR="00323A16" w:rsidRPr="00323A16" w:rsidRDefault="00323A16" w:rsidP="00323A16">
      <w:pPr>
        <w:keepNext/>
        <w:tabs>
          <w:tab w:val="left" w:pos="1304"/>
        </w:tabs>
        <w:ind w:left="851"/>
        <w:rPr>
          <w:sz w:val="24"/>
          <w:szCs w:val="24"/>
          <w:lang w:eastAsia="nl-NL"/>
        </w:rPr>
      </w:pPr>
    </w:p>
    <w:p w14:paraId="736FE0C5" w14:textId="77777777" w:rsidR="00323A16" w:rsidRPr="00323A16" w:rsidRDefault="00323A16" w:rsidP="00323A16">
      <w:pPr>
        <w:tabs>
          <w:tab w:val="left" w:pos="1304"/>
        </w:tabs>
        <w:ind w:left="851"/>
        <w:rPr>
          <w:sz w:val="24"/>
          <w:szCs w:val="24"/>
          <w:lang w:val="en-US" w:eastAsia="nl-NL"/>
        </w:rPr>
      </w:pPr>
      <w:r w:rsidRPr="00323A16">
        <w:rPr>
          <w:sz w:val="24"/>
          <w:szCs w:val="24"/>
          <w:lang w:val="en-US" w:eastAsia="nl-NL"/>
        </w:rPr>
        <w:t>The estimates were calculated based on the time-integrated activity coefficients reported in the publication by Sandgren et al. (2019) using the IDAC Dose 2.1. software.</w:t>
      </w:r>
    </w:p>
    <w:p w14:paraId="260ECF71" w14:textId="77777777" w:rsidR="00323A16" w:rsidRPr="00323A16" w:rsidRDefault="00323A16" w:rsidP="00323A16">
      <w:pPr>
        <w:keepNext/>
        <w:tabs>
          <w:tab w:val="left" w:pos="1304"/>
        </w:tabs>
        <w:ind w:left="851"/>
        <w:rPr>
          <w:rFonts w:eastAsia="SimSun"/>
          <w:b/>
          <w:bCs/>
          <w:sz w:val="24"/>
          <w:szCs w:val="24"/>
          <w:lang w:val="en-US" w:eastAsia="en-GB"/>
        </w:rPr>
      </w:pPr>
      <w:r w:rsidRPr="00323A16">
        <w:rPr>
          <w:sz w:val="24"/>
          <w:szCs w:val="24"/>
          <w:lang w:val="en-US" w:eastAsia="nl-NL"/>
        </w:rPr>
        <w:t>The effective dose is derived according to ICRP Publication 103.</w:t>
      </w:r>
    </w:p>
    <w:p w14:paraId="2138EEDB" w14:textId="77777777" w:rsidR="00323A16" w:rsidRPr="00323A16" w:rsidRDefault="00323A16" w:rsidP="00323A16">
      <w:pPr>
        <w:keepNext/>
        <w:tabs>
          <w:tab w:val="left" w:pos="1304"/>
        </w:tabs>
        <w:ind w:left="851"/>
        <w:rPr>
          <w:rFonts w:eastAsia="SimSun"/>
          <w:b/>
          <w:bCs/>
          <w:sz w:val="24"/>
          <w:szCs w:val="24"/>
          <w:lang w:val="en-US" w:eastAsia="en-GB"/>
        </w:rPr>
      </w:pPr>
    </w:p>
    <w:p w14:paraId="20300201" w14:textId="77777777" w:rsidR="00323A16" w:rsidRPr="00323A16" w:rsidRDefault="00323A16" w:rsidP="00323A16">
      <w:pPr>
        <w:tabs>
          <w:tab w:val="left" w:pos="1304"/>
        </w:tabs>
        <w:ind w:left="851"/>
        <w:rPr>
          <w:sz w:val="24"/>
          <w:szCs w:val="24"/>
          <w:lang w:val="en-US" w:eastAsia="en-US"/>
        </w:rPr>
      </w:pPr>
      <w:r w:rsidRPr="00323A16">
        <w:rPr>
          <w:sz w:val="24"/>
          <w:szCs w:val="24"/>
          <w:lang w:val="en-US"/>
        </w:rPr>
        <w:t>The effective dose resulting from the administration of an average activity of 2 MBq/kg to an 80 kg weighing man is 3.5 mSv.</w:t>
      </w:r>
    </w:p>
    <w:p w14:paraId="6CC9ADE9" w14:textId="77777777" w:rsidR="00323A16" w:rsidRPr="00323A16" w:rsidRDefault="00323A16" w:rsidP="00323A16">
      <w:pPr>
        <w:tabs>
          <w:tab w:val="left" w:pos="1304"/>
        </w:tabs>
        <w:ind w:left="851"/>
        <w:rPr>
          <w:sz w:val="24"/>
          <w:szCs w:val="24"/>
          <w:lang w:val="en-US"/>
        </w:rPr>
      </w:pPr>
    </w:p>
    <w:p w14:paraId="1021C3C6" w14:textId="77777777" w:rsidR="00323A16" w:rsidRPr="00323A16" w:rsidRDefault="00323A16" w:rsidP="00323A16">
      <w:pPr>
        <w:tabs>
          <w:tab w:val="left" w:pos="1304"/>
        </w:tabs>
        <w:ind w:left="851"/>
        <w:rPr>
          <w:sz w:val="24"/>
          <w:szCs w:val="24"/>
          <w:lang w:val="en-US"/>
        </w:rPr>
      </w:pPr>
      <w:r w:rsidRPr="00323A16">
        <w:rPr>
          <w:sz w:val="24"/>
          <w:szCs w:val="24"/>
          <w:lang w:val="en-US"/>
        </w:rPr>
        <w:t>For an administered activity of maximal 259 MBq the typical radiation dose to the critical organs kidneys, liver and urinary bladder are 62.2, 13.73 and 14.77 mGy, respectively.</w:t>
      </w:r>
    </w:p>
    <w:p w14:paraId="7A604DC8" w14:textId="77777777" w:rsidR="00323A16" w:rsidRPr="00323A16" w:rsidRDefault="00323A16" w:rsidP="00323A16">
      <w:pPr>
        <w:tabs>
          <w:tab w:val="left" w:pos="1304"/>
        </w:tabs>
        <w:ind w:left="851"/>
        <w:rPr>
          <w:sz w:val="24"/>
          <w:szCs w:val="24"/>
          <w:lang w:val="en-US"/>
        </w:rPr>
      </w:pPr>
    </w:p>
    <w:p w14:paraId="5B94DD1A" w14:textId="77777777" w:rsidR="00323A16" w:rsidRPr="00323A16" w:rsidRDefault="00323A16" w:rsidP="00323A16">
      <w:pPr>
        <w:tabs>
          <w:tab w:val="left" w:pos="1304"/>
        </w:tabs>
        <w:ind w:left="851"/>
        <w:rPr>
          <w:sz w:val="24"/>
          <w:szCs w:val="24"/>
          <w:lang w:val="en-US"/>
        </w:rPr>
      </w:pPr>
      <w:r w:rsidRPr="00323A16">
        <w:rPr>
          <w:sz w:val="24"/>
          <w:szCs w:val="24"/>
          <w:lang w:val="en-US"/>
        </w:rPr>
        <w:t>These radiation doses are for (</w:t>
      </w:r>
      <w:r w:rsidRPr="00323A16">
        <w:rPr>
          <w:sz w:val="24"/>
          <w:szCs w:val="24"/>
          <w:vertAlign w:val="superscript"/>
          <w:lang w:val="en-US"/>
        </w:rPr>
        <w:t>68</w:t>
      </w:r>
      <w:r w:rsidRPr="00323A16">
        <w:rPr>
          <w:sz w:val="24"/>
          <w:szCs w:val="24"/>
          <w:lang w:val="en-US"/>
        </w:rPr>
        <w:t>Ga) gozetotide injection alone. If CT or a transmission source are used for attenuation correction, the radiation dose will increase by an amount that varies by technique.</w:t>
      </w:r>
    </w:p>
    <w:p w14:paraId="6F173ECA" w14:textId="77777777" w:rsidR="00114971" w:rsidRPr="00323A16" w:rsidRDefault="00114971" w:rsidP="00323A16">
      <w:pPr>
        <w:tabs>
          <w:tab w:val="left" w:pos="851"/>
        </w:tabs>
        <w:ind w:left="851"/>
        <w:jc w:val="both"/>
        <w:rPr>
          <w:sz w:val="24"/>
          <w:szCs w:val="24"/>
          <w:lang w:val="en-US"/>
        </w:rPr>
      </w:pPr>
    </w:p>
    <w:p w14:paraId="69D0B3C1" w14:textId="66A85B29" w:rsidR="00114971" w:rsidRDefault="00114971" w:rsidP="00114971">
      <w:pPr>
        <w:tabs>
          <w:tab w:val="left" w:pos="851"/>
        </w:tabs>
        <w:jc w:val="both"/>
        <w:rPr>
          <w:b/>
          <w:sz w:val="24"/>
          <w:szCs w:val="24"/>
          <w:lang w:val="en-US"/>
        </w:rPr>
      </w:pPr>
      <w:r w:rsidRPr="00281F03">
        <w:rPr>
          <w:b/>
          <w:sz w:val="24"/>
          <w:szCs w:val="24"/>
          <w:lang w:val="en-GB"/>
        </w:rPr>
        <w:t>12.</w:t>
      </w:r>
      <w:r w:rsidRPr="00281F03">
        <w:rPr>
          <w:b/>
          <w:sz w:val="24"/>
          <w:szCs w:val="24"/>
          <w:lang w:val="en-GB"/>
        </w:rPr>
        <w:tab/>
        <w:t>INSTRUCTION</w:t>
      </w:r>
      <w:r w:rsidRPr="003D727E">
        <w:rPr>
          <w:b/>
          <w:sz w:val="24"/>
          <w:szCs w:val="24"/>
          <w:lang w:val="en-US"/>
        </w:rPr>
        <w:t>S FOR PREPARATION OF RADIOPHARMACEUTICALS</w:t>
      </w:r>
    </w:p>
    <w:p w14:paraId="63BE1B25" w14:textId="43834F5E" w:rsidR="0019329C" w:rsidRPr="0019329C" w:rsidRDefault="0019329C" w:rsidP="0019329C">
      <w:pPr>
        <w:tabs>
          <w:tab w:val="left" w:pos="851"/>
        </w:tabs>
        <w:ind w:left="851"/>
        <w:jc w:val="both"/>
        <w:rPr>
          <w:sz w:val="24"/>
          <w:szCs w:val="24"/>
          <w:lang w:val="en-GB"/>
        </w:rPr>
      </w:pPr>
      <w:r w:rsidRPr="0019329C">
        <w:rPr>
          <w:sz w:val="24"/>
          <w:szCs w:val="24"/>
          <w:lang w:val="en-GB"/>
        </w:rPr>
        <w:t>Withdrawals should be performed under aseptic conditions. Usual safety precautions for</w:t>
      </w:r>
    </w:p>
    <w:p w14:paraId="072F322C" w14:textId="77777777" w:rsidR="0019329C" w:rsidRPr="0019329C" w:rsidRDefault="0019329C" w:rsidP="0019329C">
      <w:pPr>
        <w:tabs>
          <w:tab w:val="left" w:pos="851"/>
        </w:tabs>
        <w:ind w:left="851"/>
        <w:jc w:val="both"/>
        <w:rPr>
          <w:sz w:val="24"/>
          <w:szCs w:val="24"/>
          <w:lang w:val="en-GB"/>
        </w:rPr>
      </w:pPr>
      <w:r w:rsidRPr="0019329C">
        <w:rPr>
          <w:sz w:val="24"/>
          <w:szCs w:val="24"/>
          <w:lang w:val="en-GB"/>
        </w:rPr>
        <w:t>the handling of radioactive materials should be followed.</w:t>
      </w:r>
    </w:p>
    <w:p w14:paraId="39067E3C" w14:textId="77777777" w:rsidR="0019329C" w:rsidRPr="0019329C" w:rsidRDefault="0019329C" w:rsidP="0019329C">
      <w:pPr>
        <w:pStyle w:val="Default"/>
        <w:ind w:left="851"/>
        <w:rPr>
          <w:lang w:val="en-GB"/>
        </w:rPr>
      </w:pPr>
      <w:r w:rsidRPr="0019329C">
        <w:rPr>
          <w:lang w:val="en-GB"/>
        </w:rPr>
        <w:t>The vial must not be opened before disinfecting the stopper, the solution should be withdrawn via the stopper using a single dose syringe fitted with suitable protective shielding and a disposable sterile needle or using an authorised automated application system.</w:t>
      </w:r>
    </w:p>
    <w:p w14:paraId="4925A5F4" w14:textId="77777777" w:rsidR="0019329C" w:rsidRPr="0019329C" w:rsidRDefault="0019329C" w:rsidP="0019329C">
      <w:pPr>
        <w:pStyle w:val="Default"/>
        <w:ind w:left="851"/>
        <w:rPr>
          <w:lang w:val="en-GB"/>
        </w:rPr>
      </w:pPr>
      <w:r w:rsidRPr="0019329C">
        <w:rPr>
          <w:lang w:val="en-GB"/>
        </w:rPr>
        <w:t>If the integrity of this vial is compromised, the product should not be used.</w:t>
      </w:r>
    </w:p>
    <w:p w14:paraId="445C5988" w14:textId="77777777" w:rsidR="0019329C" w:rsidRPr="0019329C" w:rsidRDefault="0019329C" w:rsidP="0019329C">
      <w:pPr>
        <w:pStyle w:val="Default"/>
        <w:ind w:left="851"/>
        <w:rPr>
          <w:lang w:val="en-GB"/>
        </w:rPr>
      </w:pPr>
    </w:p>
    <w:p w14:paraId="25E392B8" w14:textId="44DD21F1" w:rsidR="0019329C" w:rsidRDefault="0019329C" w:rsidP="0019329C">
      <w:pPr>
        <w:pStyle w:val="Default"/>
        <w:ind w:left="851"/>
        <w:rPr>
          <w:lang w:val="en-GB"/>
        </w:rPr>
      </w:pPr>
      <w:r w:rsidRPr="0019329C">
        <w:rPr>
          <w:lang w:val="en-GB"/>
        </w:rPr>
        <w:t>Isoprotrace should only be used with a gallium (</w:t>
      </w:r>
      <w:r w:rsidRPr="0019329C">
        <w:rPr>
          <w:vertAlign w:val="superscript"/>
          <w:lang w:val="en-GB"/>
        </w:rPr>
        <w:t>68</w:t>
      </w:r>
      <w:r w:rsidRPr="0019329C">
        <w:rPr>
          <w:lang w:val="en-GB"/>
        </w:rPr>
        <w:t>Ga) chloride solution from the approved generators listed below (see preparation description).</w:t>
      </w:r>
    </w:p>
    <w:p w14:paraId="726BFF67" w14:textId="3431FEFD" w:rsidR="0019329C" w:rsidRDefault="0019329C" w:rsidP="0019329C">
      <w:pPr>
        <w:pStyle w:val="Default"/>
        <w:ind w:left="851"/>
        <w:rPr>
          <w:lang w:val="en-GB"/>
        </w:rPr>
      </w:pPr>
    </w:p>
    <w:p w14:paraId="2C0A4C5D" w14:textId="77777777" w:rsidR="0019329C" w:rsidRPr="0019329C" w:rsidRDefault="0019329C" w:rsidP="0019329C">
      <w:pPr>
        <w:pStyle w:val="Default"/>
        <w:ind w:left="1276" w:hanging="425"/>
        <w:rPr>
          <w:lang w:val="en-GB"/>
        </w:rPr>
      </w:pPr>
      <w:r w:rsidRPr="0019329C">
        <w:rPr>
          <w:u w:val="single"/>
          <w:lang w:val="en-GB"/>
        </w:rPr>
        <w:t>Materials used in the process of preparation (not supplied)</w:t>
      </w:r>
      <w:r w:rsidRPr="0019329C">
        <w:rPr>
          <w:lang w:val="en-GB"/>
        </w:rPr>
        <w:t>:</w:t>
      </w:r>
    </w:p>
    <w:p w14:paraId="4D833858" w14:textId="77777777" w:rsidR="0019329C" w:rsidRPr="0019329C" w:rsidRDefault="0019329C" w:rsidP="0019329C">
      <w:pPr>
        <w:pStyle w:val="Default"/>
        <w:numPr>
          <w:ilvl w:val="0"/>
          <w:numId w:val="8"/>
        </w:numPr>
        <w:ind w:left="1276" w:hanging="425"/>
        <w:rPr>
          <w:lang w:val="en-GB"/>
        </w:rPr>
      </w:pPr>
      <w:r w:rsidRPr="0019329C">
        <w:rPr>
          <w:lang w:val="en-GB"/>
        </w:rPr>
        <w:t>0.2 µm filter (to be used as vent when needed, depending on the generator being used)</w:t>
      </w:r>
    </w:p>
    <w:p w14:paraId="3E155CCA" w14:textId="77777777" w:rsidR="0019329C" w:rsidRPr="0019329C" w:rsidRDefault="0019329C" w:rsidP="0019329C">
      <w:pPr>
        <w:pStyle w:val="Default"/>
        <w:numPr>
          <w:ilvl w:val="0"/>
          <w:numId w:val="8"/>
        </w:numPr>
        <w:ind w:left="1276" w:hanging="425"/>
        <w:rPr>
          <w:lang w:val="en-GB"/>
        </w:rPr>
      </w:pPr>
      <w:r w:rsidRPr="0019329C">
        <w:rPr>
          <w:lang w:val="en-GB"/>
        </w:rPr>
        <w:t>Needle 20G x 2¾” (</w:t>
      </w:r>
      <w:r w:rsidRPr="0019329C">
        <w:rPr>
          <w:i/>
          <w:iCs/>
          <w:lang w:val="en-GB"/>
        </w:rPr>
        <w:t>non-metallic/coated needle or plastic spike is mandatory</w:t>
      </w:r>
      <w:r w:rsidRPr="0019329C">
        <w:rPr>
          <w:lang w:val="en-GB"/>
        </w:rPr>
        <w:t>)</w:t>
      </w:r>
    </w:p>
    <w:p w14:paraId="54957C89" w14:textId="77777777" w:rsidR="0019329C" w:rsidRPr="0019329C" w:rsidRDefault="0019329C" w:rsidP="0019329C">
      <w:pPr>
        <w:pStyle w:val="Default"/>
        <w:numPr>
          <w:ilvl w:val="0"/>
          <w:numId w:val="8"/>
        </w:numPr>
        <w:ind w:left="1276" w:hanging="425"/>
        <w:rPr>
          <w:lang w:val="en-GB"/>
        </w:rPr>
      </w:pPr>
      <w:r w:rsidRPr="0019329C">
        <w:rPr>
          <w:lang w:val="en-GB"/>
        </w:rPr>
        <w:t>Needle 23Gx 1” (</w:t>
      </w:r>
      <w:r w:rsidRPr="0019329C">
        <w:rPr>
          <w:i/>
          <w:iCs/>
          <w:lang w:val="en-GB"/>
        </w:rPr>
        <w:t>non-metallic/coated needle or plastic spike is mandatory</w:t>
      </w:r>
      <w:r w:rsidRPr="0019329C">
        <w:rPr>
          <w:lang w:val="en-GB"/>
        </w:rPr>
        <w:t>)</w:t>
      </w:r>
    </w:p>
    <w:p w14:paraId="05D774BB" w14:textId="77777777" w:rsidR="0019329C" w:rsidRPr="0019329C" w:rsidRDefault="0019329C" w:rsidP="0019329C">
      <w:pPr>
        <w:pStyle w:val="Default"/>
        <w:numPr>
          <w:ilvl w:val="0"/>
          <w:numId w:val="8"/>
        </w:numPr>
        <w:ind w:left="1276" w:hanging="425"/>
        <w:rPr>
          <w:lang w:val="en-GB"/>
        </w:rPr>
      </w:pPr>
      <w:r w:rsidRPr="0019329C">
        <w:rPr>
          <w:lang w:val="en-GB"/>
        </w:rPr>
        <w:t>Sterile alcohol pads</w:t>
      </w:r>
    </w:p>
    <w:p w14:paraId="3BE13747" w14:textId="77777777" w:rsidR="0019329C" w:rsidRPr="0019329C" w:rsidRDefault="0019329C" w:rsidP="0019329C">
      <w:pPr>
        <w:pStyle w:val="Default"/>
        <w:ind w:left="851"/>
        <w:rPr>
          <w:lang w:val="en-GB"/>
        </w:rPr>
      </w:pPr>
    </w:p>
    <w:p w14:paraId="2EC4031E" w14:textId="77777777" w:rsidR="0019329C" w:rsidRPr="0019329C" w:rsidRDefault="0019329C" w:rsidP="0019329C">
      <w:pPr>
        <w:pStyle w:val="Default"/>
        <w:ind w:left="851"/>
        <w:rPr>
          <w:highlight w:val="yellow"/>
          <w:lang w:val="en-GB"/>
        </w:rPr>
      </w:pPr>
    </w:p>
    <w:p w14:paraId="30B85AE9" w14:textId="77777777" w:rsidR="0019329C" w:rsidRPr="0019329C" w:rsidRDefault="0019329C" w:rsidP="0019329C">
      <w:pPr>
        <w:pStyle w:val="Default"/>
        <w:ind w:left="851"/>
        <w:rPr>
          <w:u w:val="single"/>
          <w:lang w:val="en-GB"/>
        </w:rPr>
      </w:pPr>
      <w:r w:rsidRPr="0019329C">
        <w:rPr>
          <w:u w:val="single"/>
          <w:lang w:val="en-GB"/>
        </w:rPr>
        <w:t>Preparation for multidose application</w:t>
      </w:r>
    </w:p>
    <w:p w14:paraId="0FAED3AB" w14:textId="77777777" w:rsidR="0019329C" w:rsidRPr="0019329C" w:rsidRDefault="0019329C" w:rsidP="0019329C">
      <w:pPr>
        <w:pStyle w:val="Default"/>
        <w:ind w:left="851"/>
        <w:rPr>
          <w:lang w:val="en-GB"/>
        </w:rPr>
      </w:pPr>
      <w:r w:rsidRPr="0019329C">
        <w:rPr>
          <w:lang w:val="en-GB"/>
        </w:rPr>
        <w:t>Isoprotrace is supplied as a single-vial kit.</w:t>
      </w:r>
    </w:p>
    <w:p w14:paraId="40FAF9EC" w14:textId="77777777" w:rsidR="0019329C" w:rsidRPr="0019329C" w:rsidRDefault="0019329C" w:rsidP="0019329C">
      <w:pPr>
        <w:pStyle w:val="Default"/>
        <w:ind w:left="851"/>
        <w:rPr>
          <w:highlight w:val="yellow"/>
          <w:u w:val="single"/>
          <w:lang w:val="en-GB"/>
        </w:rPr>
      </w:pPr>
    </w:p>
    <w:p w14:paraId="7752B26A" w14:textId="77777777" w:rsidR="0019329C" w:rsidRPr="0019329C" w:rsidRDefault="0019329C" w:rsidP="0019329C">
      <w:pPr>
        <w:pStyle w:val="Default"/>
        <w:ind w:left="851"/>
        <w:rPr>
          <w:lang w:val="en-GB"/>
        </w:rPr>
      </w:pPr>
      <w:r w:rsidRPr="0019329C">
        <w:rPr>
          <w:lang w:val="en-GB"/>
        </w:rPr>
        <w:t>Preparation of gallium (</w:t>
      </w:r>
      <w:r w:rsidRPr="0019329C">
        <w:rPr>
          <w:vertAlign w:val="superscript"/>
          <w:lang w:val="en-GB"/>
        </w:rPr>
        <w:t>68</w:t>
      </w:r>
      <w:r w:rsidRPr="0019329C">
        <w:rPr>
          <w:lang w:val="en-GB"/>
        </w:rPr>
        <w:t>Ga) gozetotide solution is to be done according to the following aseptic procedure:</w:t>
      </w:r>
    </w:p>
    <w:p w14:paraId="3A938AFD" w14:textId="77777777" w:rsidR="0019329C" w:rsidRPr="0019329C" w:rsidRDefault="0019329C" w:rsidP="0019329C">
      <w:pPr>
        <w:pStyle w:val="Default"/>
        <w:ind w:left="851"/>
        <w:rPr>
          <w:lang w:val="en-GB"/>
        </w:rPr>
      </w:pPr>
    </w:p>
    <w:p w14:paraId="4947D6C3" w14:textId="77777777" w:rsidR="0019329C" w:rsidRPr="0019329C" w:rsidRDefault="0019329C" w:rsidP="0019329C">
      <w:pPr>
        <w:pStyle w:val="Default"/>
        <w:ind w:left="851"/>
        <w:rPr>
          <w:i/>
          <w:iCs/>
          <w:lang w:val="en-GB"/>
        </w:rPr>
      </w:pPr>
      <w:r w:rsidRPr="0019329C">
        <w:rPr>
          <w:i/>
          <w:iCs/>
          <w:lang w:val="en-GB"/>
        </w:rPr>
        <w:t>For reconstitution and radiolabelling with Eckert &amp; Ziegler GalliaPharm Generator:</w:t>
      </w:r>
    </w:p>
    <w:p w14:paraId="6406E249" w14:textId="77777777" w:rsidR="0019329C" w:rsidRPr="0019329C" w:rsidRDefault="0019329C" w:rsidP="00991F2E">
      <w:pPr>
        <w:pStyle w:val="Default"/>
        <w:numPr>
          <w:ilvl w:val="0"/>
          <w:numId w:val="9"/>
        </w:numPr>
        <w:ind w:left="1276" w:hanging="425"/>
        <w:rPr>
          <w:rFonts w:eastAsia="Times New Roman"/>
          <w:color w:val="000000" w:themeColor="text1"/>
          <w:lang w:val="en-GB"/>
        </w:rPr>
      </w:pPr>
      <w:r w:rsidRPr="0019329C">
        <w:rPr>
          <w:lang w:val="en-GB"/>
        </w:rPr>
        <w:t>Before use, bring the Isoprotrace vial to room temperature for a minimum of 10 minutes.</w:t>
      </w:r>
    </w:p>
    <w:p w14:paraId="7723F67D" w14:textId="77777777" w:rsidR="0019329C" w:rsidRPr="0019329C" w:rsidRDefault="0019329C" w:rsidP="00991F2E">
      <w:pPr>
        <w:pStyle w:val="Default"/>
        <w:numPr>
          <w:ilvl w:val="0"/>
          <w:numId w:val="9"/>
        </w:numPr>
        <w:ind w:left="1276" w:hanging="425"/>
        <w:rPr>
          <w:rFonts w:eastAsia="Times New Roman"/>
          <w:color w:val="000000" w:themeColor="text1"/>
          <w:lang w:val="en-GB"/>
        </w:rPr>
      </w:pPr>
      <w:r w:rsidRPr="0019329C">
        <w:rPr>
          <w:lang w:val="en-GB"/>
        </w:rPr>
        <w:t xml:space="preserve">Remove the cap from the top of the vial and sanitize the closure of the vial with </w:t>
      </w:r>
      <w:r w:rsidRPr="0019329C">
        <w:rPr>
          <w:rStyle w:val="fontstyle01"/>
          <w:sz w:val="24"/>
          <w:szCs w:val="24"/>
          <w:lang w:val="en-GB"/>
        </w:rPr>
        <w:t>an</w:t>
      </w:r>
      <w:r w:rsidRPr="0019329C">
        <w:rPr>
          <w:lang w:val="en-GB"/>
        </w:rPr>
        <w:t xml:space="preserve"> </w:t>
      </w:r>
      <w:r w:rsidRPr="0019329C">
        <w:rPr>
          <w:rStyle w:val="fontstyle01"/>
          <w:sz w:val="24"/>
          <w:szCs w:val="24"/>
          <w:lang w:val="en-GB"/>
        </w:rPr>
        <w:t xml:space="preserve">appropriate </w:t>
      </w:r>
      <w:r w:rsidRPr="0019329C">
        <w:rPr>
          <w:lang w:val="en-GB"/>
        </w:rPr>
        <w:t xml:space="preserve">alcohol pad </w:t>
      </w:r>
      <w:r w:rsidRPr="0019329C">
        <w:rPr>
          <w:rStyle w:val="fontstyle01"/>
          <w:sz w:val="24"/>
          <w:szCs w:val="24"/>
          <w:lang w:val="en-GB"/>
        </w:rPr>
        <w:t xml:space="preserve">to disinfect the surface </w:t>
      </w:r>
      <w:r w:rsidRPr="0019329C">
        <w:rPr>
          <w:lang w:val="en-GB"/>
        </w:rPr>
        <w:t>and allow to air dry.</w:t>
      </w:r>
    </w:p>
    <w:p w14:paraId="39B40FCC"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Place the vial in a suitable shielding.</w:t>
      </w:r>
    </w:p>
    <w:p w14:paraId="4BCEDEA6"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 xml:space="preserve">Connect a 0.2 µm vent filter to a short sterile needle (e.g., 1”) and inject the vial. Alternatively, sterile vented plastic spike can be used to connect the </w:t>
      </w:r>
      <w:r w:rsidRPr="0019329C">
        <w:rPr>
          <w:vertAlign w:val="superscript"/>
          <w:lang w:val="en-GB"/>
        </w:rPr>
        <w:t>68</w:t>
      </w:r>
      <w:r w:rsidRPr="0019329C">
        <w:rPr>
          <w:lang w:val="en-GB"/>
        </w:rPr>
        <w:t>Ge/</w:t>
      </w:r>
      <w:r w:rsidRPr="0019329C">
        <w:rPr>
          <w:vertAlign w:val="superscript"/>
          <w:lang w:val="en-GB"/>
        </w:rPr>
        <w:t>68</w:t>
      </w:r>
      <w:r w:rsidRPr="0019329C">
        <w:rPr>
          <w:lang w:val="en-GB"/>
        </w:rPr>
        <w:t>Ga generator’s outlet line in the next step.</w:t>
      </w:r>
    </w:p>
    <w:p w14:paraId="5A406277"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Connect the male luer of the generator’s outlet line to longer sterile elution needle (e.g., 2¾”) or use a sterile vented plastic spike.</w:t>
      </w:r>
    </w:p>
    <w:p w14:paraId="730E591A"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Insert the sterile elution needle (or sterile vented plastic spike) into the vial through the rubber stopper.</w:t>
      </w:r>
    </w:p>
    <w:p w14:paraId="087D2D8A"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Elute the generator directly into the vial according to the instructions for use of the GalliaPharm generator to get a net volume of 5 mL of eluate into the vial. Perform the elution manually or by means of a pump.</w:t>
      </w:r>
    </w:p>
    <w:p w14:paraId="4548BA9C"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Disconnect the vial from the generator by removing the elution needle and vent needle with the 0.2 µm vent filter from the rubber stopper and swirl and invert the vial for 15-30 seconds to dissolve its contents.</w:t>
      </w:r>
    </w:p>
    <w:p w14:paraId="122BC459"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Let the vial stand upright for 5 minutes at room temperature.</w:t>
      </w:r>
    </w:p>
    <w:p w14:paraId="34183D5C" w14:textId="77777777" w:rsidR="0019329C" w:rsidRPr="0019329C" w:rsidRDefault="0019329C" w:rsidP="00991F2E">
      <w:pPr>
        <w:pStyle w:val="Default"/>
        <w:numPr>
          <w:ilvl w:val="0"/>
          <w:numId w:val="9"/>
        </w:numPr>
        <w:ind w:left="1276" w:hanging="425"/>
        <w:rPr>
          <w:lang w:val="en-GB"/>
        </w:rPr>
      </w:pPr>
      <w:r w:rsidRPr="0019329C">
        <w:rPr>
          <w:lang w:val="en-GB"/>
        </w:rPr>
        <w:t>After 5 minutes, assay the vial containing the gallium (</w:t>
      </w:r>
      <w:r w:rsidRPr="0019329C">
        <w:rPr>
          <w:vertAlign w:val="superscript"/>
          <w:lang w:val="en-GB"/>
        </w:rPr>
        <w:t>68</w:t>
      </w:r>
      <w:r w:rsidRPr="0019329C">
        <w:rPr>
          <w:lang w:val="en-GB"/>
        </w:rPr>
        <w:t>Ga) gozetotide for total radioactivity using a dose calibrator, calculate the radioactivity concentration and record the result.</w:t>
      </w:r>
    </w:p>
    <w:p w14:paraId="20F6C0A6" w14:textId="77777777" w:rsidR="0019329C" w:rsidRPr="0019329C" w:rsidRDefault="0019329C" w:rsidP="00991F2E">
      <w:pPr>
        <w:pStyle w:val="Default"/>
        <w:numPr>
          <w:ilvl w:val="0"/>
          <w:numId w:val="9"/>
        </w:numPr>
        <w:ind w:left="1276" w:hanging="425"/>
        <w:rPr>
          <w:color w:val="000000" w:themeColor="text1"/>
          <w:lang w:val="en-GB"/>
        </w:rPr>
      </w:pPr>
      <w:r w:rsidRPr="0019329C">
        <w:rPr>
          <w:lang w:val="en-GB"/>
        </w:rPr>
        <w:t>The solution is ready to use after successful quality control.</w:t>
      </w:r>
    </w:p>
    <w:p w14:paraId="35496C0F" w14:textId="77777777" w:rsidR="0019329C" w:rsidRPr="0019329C" w:rsidRDefault="0019329C" w:rsidP="00991F2E">
      <w:pPr>
        <w:pStyle w:val="Default"/>
        <w:numPr>
          <w:ilvl w:val="0"/>
          <w:numId w:val="9"/>
        </w:numPr>
        <w:ind w:left="1276" w:hanging="425"/>
        <w:rPr>
          <w:lang w:val="en-GB"/>
        </w:rPr>
      </w:pPr>
      <w:r w:rsidRPr="0019329C">
        <w:rPr>
          <w:lang w:val="en-GB"/>
        </w:rPr>
        <w:t>Prior to use, visually inspect the solution behind a shielded screen for radioprotection purposes. Only use solutions that are clear without visible particles.</w:t>
      </w:r>
    </w:p>
    <w:p w14:paraId="5CC3476D" w14:textId="77777777" w:rsidR="0019329C" w:rsidRPr="0019329C" w:rsidRDefault="0019329C" w:rsidP="00991F2E">
      <w:pPr>
        <w:pStyle w:val="Default"/>
        <w:numPr>
          <w:ilvl w:val="0"/>
          <w:numId w:val="9"/>
        </w:numPr>
        <w:ind w:left="1276" w:hanging="425"/>
        <w:rPr>
          <w:lang w:val="en-GB"/>
        </w:rPr>
      </w:pPr>
      <w:r w:rsidRPr="0019329C">
        <w:rPr>
          <w:lang w:val="en-GB"/>
        </w:rPr>
        <w:t>Store the vial containing the gallium (</w:t>
      </w:r>
      <w:r w:rsidRPr="0019329C">
        <w:rPr>
          <w:vertAlign w:val="superscript"/>
          <w:lang w:val="en-GB"/>
        </w:rPr>
        <w:t>68</w:t>
      </w:r>
      <w:r w:rsidRPr="0019329C">
        <w:rPr>
          <w:lang w:val="en-GB"/>
        </w:rPr>
        <w:t>Ga) gozetotide solution upright in a lead shield below 25 °C until use. At the time of administration, the product must be aseptically withdrawn, and the radioprotection standards must be followed. The patient dose should be measured by a suitable radioactivity calibration system immediately prior to patient administration. Product administration data should also be recorded.</w:t>
      </w:r>
    </w:p>
    <w:p w14:paraId="4A98017B" w14:textId="77777777" w:rsidR="0019329C" w:rsidRPr="0019329C" w:rsidRDefault="0019329C" w:rsidP="00991F2E">
      <w:pPr>
        <w:pStyle w:val="Default"/>
        <w:numPr>
          <w:ilvl w:val="0"/>
          <w:numId w:val="9"/>
        </w:numPr>
        <w:ind w:left="1276" w:hanging="425"/>
        <w:rPr>
          <w:lang w:val="en-GB"/>
        </w:rPr>
      </w:pPr>
      <w:r w:rsidRPr="0019329C">
        <w:rPr>
          <w:lang w:val="en-GB"/>
        </w:rPr>
        <w:t>After reconstitution and radiolabelling</w:t>
      </w:r>
      <w:r w:rsidRPr="0019329C">
        <w:rPr>
          <w:lang w:val="en-US"/>
        </w:rPr>
        <w:t xml:space="preserve"> and successful quality control</w:t>
      </w:r>
      <w:r w:rsidRPr="0019329C">
        <w:rPr>
          <w:lang w:val="en-GB"/>
        </w:rPr>
        <w:t>, gallium (</w:t>
      </w:r>
      <w:r w:rsidRPr="0019329C">
        <w:rPr>
          <w:vertAlign w:val="superscript"/>
          <w:lang w:val="en-GB"/>
        </w:rPr>
        <w:t>68</w:t>
      </w:r>
      <w:r w:rsidRPr="0019329C">
        <w:rPr>
          <w:lang w:val="en-GB"/>
        </w:rPr>
        <w:t>Ga) gozetotide solution for injection can be diluted with water for injections or sodium chloride 9 mg/mL (0.9%) solution for injection up to a final volume of 10 mL.</w:t>
      </w:r>
    </w:p>
    <w:p w14:paraId="447DA034" w14:textId="77777777" w:rsidR="0019329C" w:rsidRPr="0019329C" w:rsidRDefault="0019329C" w:rsidP="0019329C">
      <w:pPr>
        <w:pStyle w:val="Default"/>
        <w:ind w:left="851"/>
        <w:rPr>
          <w:lang w:val="en-GB"/>
        </w:rPr>
      </w:pPr>
    </w:p>
    <w:p w14:paraId="2277C089" w14:textId="77777777" w:rsidR="0019329C" w:rsidRPr="0019329C" w:rsidRDefault="0019329C" w:rsidP="0019329C">
      <w:pPr>
        <w:pStyle w:val="Default"/>
        <w:ind w:left="851"/>
        <w:rPr>
          <w:i/>
          <w:iCs/>
          <w:lang w:val="en-GB"/>
        </w:rPr>
      </w:pPr>
      <w:r w:rsidRPr="0019329C">
        <w:rPr>
          <w:i/>
          <w:iCs/>
          <w:lang w:val="en-GB"/>
        </w:rPr>
        <w:t>For reconstitution and radiolabelling with IRE ELiT GalliAd Generator:</w:t>
      </w:r>
    </w:p>
    <w:p w14:paraId="672212D8"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lang w:val="en-GB"/>
        </w:rPr>
        <w:t>Before use, bring the Isoprotrace vial to room temperature for a minimum of 10 minutes.</w:t>
      </w:r>
    </w:p>
    <w:p w14:paraId="2139E8D3"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lang w:val="en-GB"/>
        </w:rPr>
        <w:t xml:space="preserve">Remove the cap from the top of the vial and sanitize the closure of the vial with </w:t>
      </w:r>
      <w:r w:rsidRPr="0019329C">
        <w:rPr>
          <w:rStyle w:val="fontstyle01"/>
          <w:sz w:val="24"/>
          <w:szCs w:val="24"/>
          <w:lang w:val="en-GB"/>
        </w:rPr>
        <w:t>an</w:t>
      </w:r>
      <w:r w:rsidRPr="0019329C">
        <w:rPr>
          <w:lang w:val="en-GB"/>
        </w:rPr>
        <w:t xml:space="preserve"> </w:t>
      </w:r>
      <w:r w:rsidRPr="0019329C">
        <w:rPr>
          <w:rStyle w:val="fontstyle01"/>
          <w:sz w:val="24"/>
          <w:szCs w:val="24"/>
          <w:lang w:val="en-GB"/>
        </w:rPr>
        <w:t xml:space="preserve">appropriate </w:t>
      </w:r>
      <w:r w:rsidRPr="0019329C">
        <w:rPr>
          <w:lang w:val="en-GB"/>
        </w:rPr>
        <w:t xml:space="preserve">alcohol pad </w:t>
      </w:r>
      <w:r w:rsidRPr="0019329C">
        <w:rPr>
          <w:rStyle w:val="fontstyle01"/>
          <w:sz w:val="24"/>
          <w:szCs w:val="24"/>
          <w:lang w:val="en-GB"/>
        </w:rPr>
        <w:t xml:space="preserve">to disinfect the surface </w:t>
      </w:r>
      <w:r w:rsidRPr="0019329C">
        <w:rPr>
          <w:lang w:val="en-GB"/>
        </w:rPr>
        <w:t>and allow to air dry.</w:t>
      </w:r>
    </w:p>
    <w:p w14:paraId="45A59FE6"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lang w:val="en-GB"/>
        </w:rPr>
        <w:t>Place the vial in a suitable shielding.</w:t>
      </w:r>
    </w:p>
    <w:p w14:paraId="7DF40BB3"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Using a syringe coupled with a very fine needle (max. 29G, e.g. insulin syringe)</w:t>
      </w:r>
      <w:r w:rsidRPr="0019329C">
        <w:rPr>
          <w:rFonts w:eastAsia="Times New Roman"/>
          <w:color w:val="000000" w:themeColor="text1"/>
          <w:lang w:val="en-GB" w:bidi="he-IL"/>
        </w:rPr>
        <w:t>,</w:t>
      </w:r>
      <w:r w:rsidRPr="0019329C">
        <w:rPr>
          <w:rFonts w:eastAsia="Times New Roman"/>
          <w:color w:val="000000" w:themeColor="text1"/>
          <w:lang w:val="en-GB"/>
        </w:rPr>
        <w:t xml:space="preserve"> inject 0.5 mL of sterile water for injections into the vial through the surrounding of the </w:t>
      </w:r>
      <w:r w:rsidRPr="0019329C">
        <w:rPr>
          <w:rFonts w:eastAsia="Times New Roman"/>
          <w:color w:val="000000" w:themeColor="text1"/>
          <w:lang w:val="en-GB"/>
        </w:rPr>
        <w:lastRenderedPageBreak/>
        <w:t>stopper. The use of a very fine needle is essential to maintain the negative pressure inside the vial.</w:t>
      </w:r>
    </w:p>
    <w:p w14:paraId="1671C75E"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Use a new container of water for injections to prevent introduction of metal impurities</w:t>
      </w:r>
      <w:r w:rsidRPr="0019329C">
        <w:rPr>
          <w:rFonts w:eastAsia="Times New Roman" w:hint="cs"/>
          <w:color w:val="000000" w:themeColor="text1"/>
          <w:rtl/>
          <w:lang w:val="en-GB" w:bidi="he-IL"/>
        </w:rPr>
        <w:t>.</w:t>
      </w:r>
    </w:p>
    <w:p w14:paraId="25FA2602"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Remove the syringe and reconstitute the vial’s contents.</w:t>
      </w:r>
    </w:p>
    <w:p w14:paraId="0890F1CC"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 xml:space="preserve">Connect the </w:t>
      </w:r>
      <w:r w:rsidRPr="0019329C">
        <w:rPr>
          <w:lang w:val="en-GB"/>
        </w:rPr>
        <w:t xml:space="preserve">male luer of the generator’s outlet line </w:t>
      </w:r>
      <w:r w:rsidRPr="0019329C">
        <w:rPr>
          <w:rFonts w:eastAsia="Times New Roman"/>
          <w:color w:val="000000" w:themeColor="text1"/>
          <w:lang w:val="en-GB"/>
        </w:rPr>
        <w:t>to a non-metallic or coated sterile elution needle (e.g., 20G).</w:t>
      </w:r>
    </w:p>
    <w:p w14:paraId="3B98D522"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Turn the generator button to the loading position and wait for at least 10 seconds. Then, turn back the button to its initial position.</w:t>
      </w:r>
    </w:p>
    <w:p w14:paraId="713551C4"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Insert the elution needle into the vial through the rubber stopper.</w:t>
      </w:r>
    </w:p>
    <w:p w14:paraId="258EB2EF"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lang w:val="en-GB"/>
        </w:rPr>
        <w:t>Elute the generator directly into the vial according to the instructions for use of the GalliAd generator to get a net volume of 1.1 mL of eluate into the reconstituted vial.</w:t>
      </w:r>
    </w:p>
    <w:p w14:paraId="6E732F7F"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lang w:val="en-GB"/>
        </w:rPr>
        <w:t>Disconnect the vial from the generator by removing the elution needle. Swirl and invert the vial for 15-30 seconds to dissolve its contents.</w:t>
      </w:r>
    </w:p>
    <w:p w14:paraId="53F20F93"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Let the vial stand upright for at least 5 minutes at room temperature.</w:t>
      </w:r>
    </w:p>
    <w:p w14:paraId="084C5EBC"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lang w:val="en-GB"/>
        </w:rPr>
        <w:t>After 5 minutes, assay the vial containing the gallium (</w:t>
      </w:r>
      <w:r w:rsidRPr="0019329C">
        <w:rPr>
          <w:vertAlign w:val="superscript"/>
          <w:lang w:val="en-GB"/>
        </w:rPr>
        <w:t>68</w:t>
      </w:r>
      <w:r w:rsidRPr="0019329C">
        <w:rPr>
          <w:lang w:val="en-GB"/>
        </w:rPr>
        <w:t>Ga) gozetotide for total radioactivity using a dose calibrator, calculate the radioactivity concentration and record the result.</w:t>
      </w:r>
    </w:p>
    <w:p w14:paraId="74DB0E16"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rFonts w:eastAsia="Times New Roman"/>
          <w:color w:val="000000" w:themeColor="text1"/>
          <w:lang w:val="en-GB"/>
        </w:rPr>
        <w:t>The solution is ready to use after successful quality control.</w:t>
      </w:r>
    </w:p>
    <w:p w14:paraId="12B86040" w14:textId="77777777" w:rsidR="0019329C" w:rsidRPr="0019329C" w:rsidRDefault="0019329C" w:rsidP="00991F2E">
      <w:pPr>
        <w:pStyle w:val="Default"/>
        <w:numPr>
          <w:ilvl w:val="0"/>
          <w:numId w:val="10"/>
        </w:numPr>
        <w:ind w:left="1276" w:hanging="425"/>
        <w:rPr>
          <w:lang w:val="en-GB"/>
        </w:rPr>
      </w:pPr>
      <w:r w:rsidRPr="0019329C">
        <w:rPr>
          <w:lang w:val="en-GB"/>
        </w:rPr>
        <w:t>Prior to use, visually inspect the solution behind a shielded screen for radioprotection purposes. Only use solutions that are clear without visible particles.</w:t>
      </w:r>
    </w:p>
    <w:p w14:paraId="46512D46" w14:textId="77777777" w:rsidR="0019329C" w:rsidRPr="0019329C" w:rsidRDefault="0019329C" w:rsidP="00991F2E">
      <w:pPr>
        <w:pStyle w:val="Default"/>
        <w:numPr>
          <w:ilvl w:val="0"/>
          <w:numId w:val="10"/>
        </w:numPr>
        <w:ind w:left="1276" w:hanging="425"/>
        <w:rPr>
          <w:rFonts w:eastAsia="Times New Roman"/>
          <w:color w:val="000000" w:themeColor="text1"/>
          <w:lang w:val="en-GB"/>
        </w:rPr>
      </w:pPr>
      <w:r w:rsidRPr="0019329C">
        <w:rPr>
          <w:lang w:val="en-GB"/>
        </w:rPr>
        <w:t>Store the vial containing the gallium (</w:t>
      </w:r>
      <w:r w:rsidRPr="0019329C">
        <w:rPr>
          <w:vertAlign w:val="superscript"/>
          <w:lang w:val="en-GB"/>
        </w:rPr>
        <w:t>68</w:t>
      </w:r>
      <w:r w:rsidRPr="0019329C">
        <w:rPr>
          <w:lang w:val="en-GB"/>
        </w:rPr>
        <w:t>Ga) gozetotide solution upright in a lead shield below 25 °C until use. At the time of administration, the product must be aseptically withdrawn, and the radioprotection standards must be followed. The patient dose should be measured by a suitable radioactivity calibration system immediately prior to patient administration. Product administration data should also be recorded.</w:t>
      </w:r>
    </w:p>
    <w:p w14:paraId="3342AED9" w14:textId="77777777" w:rsidR="0019329C" w:rsidRPr="0019329C" w:rsidRDefault="0019329C" w:rsidP="00991F2E">
      <w:pPr>
        <w:pStyle w:val="Listeafsnit"/>
        <w:numPr>
          <w:ilvl w:val="0"/>
          <w:numId w:val="10"/>
        </w:numPr>
        <w:spacing w:line="240" w:lineRule="auto"/>
        <w:ind w:left="1276" w:hanging="425"/>
        <w:rPr>
          <w:sz w:val="24"/>
          <w:szCs w:val="24"/>
        </w:rPr>
      </w:pPr>
      <w:r w:rsidRPr="0019329C">
        <w:rPr>
          <w:sz w:val="24"/>
          <w:szCs w:val="24"/>
        </w:rPr>
        <w:t>After reconstitution and radiolabelling</w:t>
      </w:r>
      <w:r w:rsidRPr="0019329C">
        <w:rPr>
          <w:sz w:val="24"/>
          <w:szCs w:val="24"/>
          <w:lang w:val="en-US"/>
        </w:rPr>
        <w:t xml:space="preserve"> and successful quality control</w:t>
      </w:r>
      <w:r w:rsidRPr="0019329C">
        <w:rPr>
          <w:sz w:val="24"/>
          <w:szCs w:val="24"/>
        </w:rPr>
        <w:t>, gallium (</w:t>
      </w:r>
      <w:r w:rsidRPr="0019329C">
        <w:rPr>
          <w:sz w:val="24"/>
          <w:szCs w:val="24"/>
          <w:vertAlign w:val="superscript"/>
        </w:rPr>
        <w:t>68</w:t>
      </w:r>
      <w:r w:rsidRPr="0019329C">
        <w:rPr>
          <w:sz w:val="24"/>
          <w:szCs w:val="24"/>
        </w:rPr>
        <w:t>Ga) gozetotide solution for injection can be diluted with water for injections or sodium chloride 9 mg/mL (0.9%) solution for injection up to a final volume of 10 mL. Dilution to a minimum volume of 4 mL is required in order to reduce osmolality.</w:t>
      </w:r>
    </w:p>
    <w:p w14:paraId="203A7B33" w14:textId="77777777" w:rsidR="0019329C" w:rsidRPr="0019329C" w:rsidRDefault="0019329C" w:rsidP="0019329C">
      <w:pPr>
        <w:pStyle w:val="Default"/>
        <w:ind w:left="851"/>
        <w:rPr>
          <w:highlight w:val="yellow"/>
          <w:lang w:val="en-US"/>
        </w:rPr>
      </w:pPr>
    </w:p>
    <w:p w14:paraId="7E950820" w14:textId="77777777" w:rsidR="0019329C" w:rsidRPr="0019329C" w:rsidRDefault="0019329C" w:rsidP="0019329C">
      <w:pPr>
        <w:pStyle w:val="Default"/>
        <w:ind w:left="851"/>
        <w:rPr>
          <w:lang w:val="en-GB"/>
        </w:rPr>
      </w:pPr>
      <w:r w:rsidRPr="0019329C">
        <w:rPr>
          <w:lang w:val="en-GB"/>
        </w:rPr>
        <w:t>Gallium (</w:t>
      </w:r>
      <w:r w:rsidRPr="0019329C">
        <w:rPr>
          <w:vertAlign w:val="superscript"/>
          <w:lang w:val="en-GB"/>
        </w:rPr>
        <w:t>68</w:t>
      </w:r>
      <w:r w:rsidRPr="0019329C">
        <w:rPr>
          <w:lang w:val="en-GB"/>
        </w:rPr>
        <w:t>Ga) gozetotide solution is stable up to 4 hours after preparation. Therefore, the radiolabelled solution can be used within 4 hours after preparation according to the radioactivity required for the administration.</w:t>
      </w:r>
    </w:p>
    <w:p w14:paraId="3665A119" w14:textId="77777777" w:rsidR="0019329C" w:rsidRPr="0019329C" w:rsidRDefault="0019329C" w:rsidP="0019329C">
      <w:pPr>
        <w:pStyle w:val="Default"/>
        <w:ind w:left="851"/>
        <w:rPr>
          <w:lang w:val="en-GB"/>
        </w:rPr>
      </w:pPr>
    </w:p>
    <w:p w14:paraId="73E1FE17" w14:textId="77777777" w:rsidR="0019329C" w:rsidRPr="0019329C" w:rsidRDefault="0019329C" w:rsidP="0019329C">
      <w:pPr>
        <w:pStyle w:val="Default"/>
        <w:ind w:left="851"/>
        <w:rPr>
          <w:lang w:val="en-GB"/>
        </w:rPr>
      </w:pPr>
      <w:r w:rsidRPr="0019329C">
        <w:rPr>
          <w:lang w:val="en-GB"/>
        </w:rPr>
        <w:t>Radioactive waste must be disposed of in accordance with relevant national regulations.</w:t>
      </w:r>
    </w:p>
    <w:p w14:paraId="3FDDB988" w14:textId="77777777" w:rsidR="0019329C" w:rsidRPr="0019329C" w:rsidRDefault="0019329C" w:rsidP="0019329C">
      <w:pPr>
        <w:pStyle w:val="Default"/>
        <w:ind w:left="851"/>
        <w:rPr>
          <w:lang w:val="en-GB"/>
        </w:rPr>
      </w:pPr>
    </w:p>
    <w:p w14:paraId="382375F1" w14:textId="77777777" w:rsidR="0019329C" w:rsidRPr="0019329C" w:rsidRDefault="0019329C" w:rsidP="0019329C">
      <w:pPr>
        <w:pStyle w:val="Default"/>
        <w:ind w:left="851"/>
        <w:rPr>
          <w:u w:val="single"/>
          <w:lang w:val="en-GB"/>
        </w:rPr>
      </w:pPr>
      <w:r w:rsidRPr="0019329C">
        <w:rPr>
          <w:u w:val="single"/>
          <w:lang w:val="en-GB"/>
        </w:rPr>
        <w:t>Quality Control</w:t>
      </w:r>
    </w:p>
    <w:p w14:paraId="437068BB" w14:textId="77777777" w:rsidR="0019329C" w:rsidRPr="0019329C" w:rsidRDefault="0019329C" w:rsidP="0019329C">
      <w:pPr>
        <w:pStyle w:val="Default"/>
        <w:ind w:left="851"/>
        <w:rPr>
          <w:u w:val="single"/>
          <w:lang w:val="en-GB"/>
        </w:rPr>
      </w:pPr>
    </w:p>
    <w:p w14:paraId="4A6EA107" w14:textId="77777777" w:rsidR="0019329C" w:rsidRPr="0019329C" w:rsidRDefault="0019329C" w:rsidP="0019329C">
      <w:pPr>
        <w:pStyle w:val="Listeafsnit"/>
        <w:numPr>
          <w:ilvl w:val="0"/>
          <w:numId w:val="11"/>
        </w:numPr>
        <w:tabs>
          <w:tab w:val="clear" w:pos="567"/>
          <w:tab w:val="left" w:pos="1304"/>
        </w:tabs>
        <w:spacing w:line="240" w:lineRule="auto"/>
        <w:ind w:left="851" w:firstLine="0"/>
        <w:rPr>
          <w:i/>
          <w:iCs/>
          <w:sz w:val="24"/>
          <w:szCs w:val="24"/>
        </w:rPr>
      </w:pPr>
      <w:r w:rsidRPr="0019329C">
        <w:rPr>
          <w:i/>
          <w:iCs/>
          <w:sz w:val="24"/>
          <w:szCs w:val="24"/>
        </w:rPr>
        <w:t>Materials and equipment:</w:t>
      </w:r>
    </w:p>
    <w:p w14:paraId="1124743E" w14:textId="77777777" w:rsidR="0019329C" w:rsidRPr="0019329C" w:rsidRDefault="0019329C" w:rsidP="0019329C">
      <w:pPr>
        <w:pStyle w:val="Listeafsnit"/>
        <w:numPr>
          <w:ilvl w:val="0"/>
          <w:numId w:val="12"/>
        </w:numPr>
        <w:tabs>
          <w:tab w:val="clear" w:pos="567"/>
          <w:tab w:val="left" w:pos="1304"/>
        </w:tabs>
        <w:spacing w:line="240" w:lineRule="auto"/>
        <w:ind w:left="851" w:firstLine="0"/>
        <w:rPr>
          <w:sz w:val="24"/>
          <w:szCs w:val="24"/>
        </w:rPr>
      </w:pPr>
      <w:r w:rsidRPr="0019329C">
        <w:rPr>
          <w:sz w:val="24"/>
          <w:szCs w:val="24"/>
        </w:rPr>
        <w:t>Mobile phase – 77 g/L solution of ammonium acetate in water: Methanol (50:50 V/V).</w:t>
      </w:r>
    </w:p>
    <w:p w14:paraId="3E8C3B2D" w14:textId="77777777" w:rsidR="0019329C" w:rsidRPr="0019329C" w:rsidRDefault="0019329C" w:rsidP="0019329C">
      <w:pPr>
        <w:pStyle w:val="Listeafsnit"/>
        <w:numPr>
          <w:ilvl w:val="0"/>
          <w:numId w:val="12"/>
        </w:numPr>
        <w:tabs>
          <w:tab w:val="clear" w:pos="567"/>
          <w:tab w:val="left" w:pos="1304"/>
        </w:tabs>
        <w:spacing w:line="240" w:lineRule="auto"/>
        <w:ind w:left="851" w:firstLine="0"/>
        <w:rPr>
          <w:sz w:val="24"/>
          <w:szCs w:val="24"/>
        </w:rPr>
      </w:pPr>
      <w:r w:rsidRPr="0019329C">
        <w:rPr>
          <w:sz w:val="24"/>
          <w:szCs w:val="24"/>
        </w:rPr>
        <w:t>Glass-fiber iTLC-SG strips (e.g., Agilent SGI001)</w:t>
      </w:r>
    </w:p>
    <w:p w14:paraId="24C70038" w14:textId="77777777" w:rsidR="0019329C" w:rsidRPr="0019329C" w:rsidRDefault="0019329C" w:rsidP="0019329C">
      <w:pPr>
        <w:pStyle w:val="Listeafsnit"/>
        <w:numPr>
          <w:ilvl w:val="0"/>
          <w:numId w:val="12"/>
        </w:numPr>
        <w:tabs>
          <w:tab w:val="clear" w:pos="567"/>
          <w:tab w:val="left" w:pos="1304"/>
        </w:tabs>
        <w:spacing w:line="240" w:lineRule="auto"/>
        <w:ind w:left="851" w:firstLine="0"/>
        <w:rPr>
          <w:sz w:val="24"/>
          <w:szCs w:val="24"/>
        </w:rPr>
      </w:pPr>
      <w:r w:rsidRPr="0019329C">
        <w:rPr>
          <w:sz w:val="24"/>
          <w:szCs w:val="24"/>
        </w:rPr>
        <w:t>Dose calibrator/ionization chamber or radioTLC scanner.</w:t>
      </w:r>
    </w:p>
    <w:p w14:paraId="01603A24" w14:textId="77777777" w:rsidR="0019329C" w:rsidRPr="0019329C" w:rsidRDefault="0019329C" w:rsidP="0019329C">
      <w:pPr>
        <w:pStyle w:val="Listeafsnit"/>
        <w:tabs>
          <w:tab w:val="clear" w:pos="567"/>
          <w:tab w:val="left" w:pos="1304"/>
        </w:tabs>
        <w:spacing w:line="240" w:lineRule="auto"/>
        <w:ind w:left="851"/>
        <w:rPr>
          <w:sz w:val="24"/>
          <w:szCs w:val="24"/>
        </w:rPr>
      </w:pPr>
    </w:p>
    <w:p w14:paraId="63A329BA" w14:textId="77777777" w:rsidR="0019329C" w:rsidRPr="0019329C" w:rsidRDefault="0019329C" w:rsidP="0019329C">
      <w:pPr>
        <w:pStyle w:val="Listeafsnit"/>
        <w:numPr>
          <w:ilvl w:val="0"/>
          <w:numId w:val="11"/>
        </w:numPr>
        <w:tabs>
          <w:tab w:val="clear" w:pos="567"/>
          <w:tab w:val="left" w:pos="1304"/>
        </w:tabs>
        <w:spacing w:line="240" w:lineRule="auto"/>
        <w:ind w:left="851" w:firstLine="0"/>
        <w:rPr>
          <w:i/>
          <w:iCs/>
          <w:sz w:val="24"/>
          <w:szCs w:val="24"/>
        </w:rPr>
      </w:pPr>
      <w:r w:rsidRPr="0019329C">
        <w:rPr>
          <w:i/>
          <w:iCs/>
          <w:sz w:val="24"/>
          <w:szCs w:val="24"/>
        </w:rPr>
        <w:t>QC process</w:t>
      </w:r>
    </w:p>
    <w:p w14:paraId="0584BCAF" w14:textId="77777777" w:rsidR="0019329C" w:rsidRPr="0019329C" w:rsidRDefault="0019329C" w:rsidP="0019329C">
      <w:pPr>
        <w:pStyle w:val="Listeafsnit"/>
        <w:tabs>
          <w:tab w:val="clear" w:pos="567"/>
          <w:tab w:val="left" w:pos="1304"/>
        </w:tabs>
        <w:spacing w:line="240" w:lineRule="auto"/>
        <w:ind w:left="851"/>
        <w:rPr>
          <w:sz w:val="24"/>
          <w:szCs w:val="24"/>
          <w:u w:val="single"/>
        </w:rPr>
      </w:pPr>
    </w:p>
    <w:p w14:paraId="50474B08" w14:textId="77777777" w:rsidR="0019329C" w:rsidRPr="0019329C" w:rsidRDefault="0019329C" w:rsidP="0019329C">
      <w:pPr>
        <w:tabs>
          <w:tab w:val="left" w:pos="1304"/>
        </w:tabs>
        <w:ind w:left="851"/>
        <w:rPr>
          <w:i/>
          <w:iCs/>
          <w:sz w:val="24"/>
          <w:szCs w:val="24"/>
          <w:u w:val="single"/>
        </w:rPr>
      </w:pPr>
      <w:r w:rsidRPr="0019329C">
        <w:rPr>
          <w:i/>
          <w:iCs/>
          <w:sz w:val="24"/>
          <w:szCs w:val="24"/>
          <w:u w:val="single"/>
        </w:rPr>
        <w:t>Using radioTLC scanner</w:t>
      </w:r>
    </w:p>
    <w:p w14:paraId="578D4DCB" w14:textId="77777777" w:rsidR="00991F2E" w:rsidRDefault="0019329C" w:rsidP="00991F2E">
      <w:pPr>
        <w:pStyle w:val="Listeafsnit"/>
        <w:numPr>
          <w:ilvl w:val="0"/>
          <w:numId w:val="12"/>
        </w:numPr>
        <w:tabs>
          <w:tab w:val="clear" w:pos="567"/>
        </w:tabs>
        <w:spacing w:line="240" w:lineRule="auto"/>
        <w:ind w:left="1276" w:hanging="425"/>
        <w:rPr>
          <w:sz w:val="24"/>
          <w:szCs w:val="24"/>
        </w:rPr>
      </w:pPr>
      <w:r w:rsidRPr="0019329C">
        <w:rPr>
          <w:sz w:val="24"/>
          <w:szCs w:val="24"/>
        </w:rPr>
        <w:t>Transfer the mobile phase into a TLC developing chamber, to a depth of 3 to 4 mm.</w:t>
      </w:r>
    </w:p>
    <w:p w14:paraId="5A165A5B" w14:textId="364ABB9A" w:rsidR="0019329C" w:rsidRPr="0019329C" w:rsidRDefault="00991F2E" w:rsidP="00991F2E">
      <w:pPr>
        <w:pStyle w:val="Listeafsnit"/>
        <w:tabs>
          <w:tab w:val="clear" w:pos="567"/>
        </w:tabs>
        <w:spacing w:line="240" w:lineRule="auto"/>
        <w:ind w:left="1276" w:hanging="425"/>
        <w:rPr>
          <w:sz w:val="24"/>
          <w:szCs w:val="24"/>
        </w:rPr>
      </w:pPr>
      <w:r>
        <w:rPr>
          <w:sz w:val="24"/>
          <w:szCs w:val="24"/>
        </w:rPr>
        <w:tab/>
      </w:r>
      <w:r w:rsidR="0019329C" w:rsidRPr="0019329C">
        <w:rPr>
          <w:sz w:val="24"/>
          <w:szCs w:val="24"/>
        </w:rPr>
        <w:t>Cover the chamber and allow the vapour to equilibrate for minimum 5 minutes. The use of freshly prepared solvents is highly recommended.</w:t>
      </w:r>
    </w:p>
    <w:p w14:paraId="269536D8" w14:textId="77777777" w:rsidR="0019329C" w:rsidRPr="0019329C" w:rsidRDefault="0019329C" w:rsidP="00991F2E">
      <w:pPr>
        <w:pStyle w:val="Listeafsnit"/>
        <w:numPr>
          <w:ilvl w:val="1"/>
          <w:numId w:val="13"/>
        </w:numPr>
        <w:tabs>
          <w:tab w:val="clear" w:pos="360"/>
          <w:tab w:val="clear" w:pos="567"/>
          <w:tab w:val="left" w:pos="851"/>
        </w:tabs>
        <w:spacing w:line="240" w:lineRule="auto"/>
        <w:ind w:left="1276" w:hanging="425"/>
        <w:rPr>
          <w:sz w:val="24"/>
          <w:szCs w:val="24"/>
        </w:rPr>
      </w:pPr>
      <w:r w:rsidRPr="0019329C">
        <w:rPr>
          <w:sz w:val="24"/>
          <w:szCs w:val="24"/>
        </w:rPr>
        <w:t>•</w:t>
      </w:r>
      <w:r w:rsidRPr="0019329C">
        <w:rPr>
          <w:sz w:val="24"/>
          <w:szCs w:val="24"/>
        </w:rPr>
        <w:tab/>
        <w:t>Prepare a TLC strip with 10 cm length and 1 cm width.</w:t>
      </w:r>
    </w:p>
    <w:p w14:paraId="4565B185" w14:textId="77777777" w:rsidR="0019329C" w:rsidRPr="0019329C" w:rsidRDefault="0019329C" w:rsidP="00991F2E">
      <w:pPr>
        <w:pStyle w:val="Listeafsnit"/>
        <w:numPr>
          <w:ilvl w:val="0"/>
          <w:numId w:val="12"/>
        </w:numPr>
        <w:spacing w:line="240" w:lineRule="auto"/>
        <w:ind w:left="1276" w:hanging="425"/>
        <w:rPr>
          <w:sz w:val="24"/>
          <w:szCs w:val="24"/>
        </w:rPr>
      </w:pPr>
      <w:r w:rsidRPr="0019329C">
        <w:rPr>
          <w:sz w:val="24"/>
          <w:szCs w:val="24"/>
        </w:rPr>
        <w:t>Draw fine lines at 1 cm from the bottom of the strip (baseline), 5 cm and 9.5 cm.</w:t>
      </w:r>
    </w:p>
    <w:p w14:paraId="695805DE" w14:textId="77777777" w:rsidR="0019329C" w:rsidRPr="0019329C" w:rsidRDefault="0019329C" w:rsidP="00991F2E">
      <w:pPr>
        <w:pStyle w:val="Listeafsnit"/>
        <w:numPr>
          <w:ilvl w:val="0"/>
          <w:numId w:val="12"/>
        </w:numPr>
        <w:tabs>
          <w:tab w:val="clear" w:pos="567"/>
        </w:tabs>
        <w:spacing w:line="240" w:lineRule="auto"/>
        <w:ind w:left="1276" w:hanging="425"/>
        <w:rPr>
          <w:sz w:val="24"/>
          <w:szCs w:val="24"/>
        </w:rPr>
      </w:pPr>
      <w:r w:rsidRPr="0019329C">
        <w:rPr>
          <w:sz w:val="24"/>
          <w:szCs w:val="24"/>
        </w:rPr>
        <w:lastRenderedPageBreak/>
        <w:t>Using a syringe coupled with a fine needle, take a gallium (</w:t>
      </w:r>
      <w:r w:rsidRPr="0019329C">
        <w:rPr>
          <w:sz w:val="24"/>
          <w:szCs w:val="24"/>
          <w:vertAlign w:val="superscript"/>
        </w:rPr>
        <w:t>68</w:t>
      </w:r>
      <w:r w:rsidRPr="0019329C">
        <w:rPr>
          <w:sz w:val="24"/>
          <w:szCs w:val="24"/>
        </w:rPr>
        <w:t>Ga) gozetotide sample and apply one drop (about 5 µL) on the strip baseline.</w:t>
      </w:r>
    </w:p>
    <w:p w14:paraId="70E60B95" w14:textId="77777777" w:rsidR="0019329C" w:rsidRPr="0019329C" w:rsidRDefault="0019329C" w:rsidP="00991F2E">
      <w:pPr>
        <w:pStyle w:val="Listeafsnit"/>
        <w:numPr>
          <w:ilvl w:val="0"/>
          <w:numId w:val="12"/>
        </w:numPr>
        <w:tabs>
          <w:tab w:val="clear" w:pos="567"/>
        </w:tabs>
        <w:spacing w:line="240" w:lineRule="auto"/>
        <w:ind w:left="1276" w:hanging="425"/>
        <w:rPr>
          <w:sz w:val="24"/>
          <w:szCs w:val="24"/>
        </w:rPr>
      </w:pPr>
      <w:r w:rsidRPr="0019329C">
        <w:rPr>
          <w:sz w:val="24"/>
          <w:szCs w:val="24"/>
        </w:rPr>
        <w:t>Develop the strip in the developing chamber until the solvent reaches the last line, 9.5 cm from the bottom of the strip.</w:t>
      </w:r>
    </w:p>
    <w:p w14:paraId="44574F96" w14:textId="77777777" w:rsidR="0019329C" w:rsidRPr="0019329C" w:rsidRDefault="0019329C" w:rsidP="00991F2E">
      <w:pPr>
        <w:pStyle w:val="Listeafsnit"/>
        <w:numPr>
          <w:ilvl w:val="0"/>
          <w:numId w:val="12"/>
        </w:numPr>
        <w:spacing w:line="240" w:lineRule="auto"/>
        <w:ind w:left="1276" w:hanging="425"/>
        <w:rPr>
          <w:sz w:val="24"/>
          <w:szCs w:val="24"/>
        </w:rPr>
      </w:pPr>
      <w:r w:rsidRPr="0019329C">
        <w:rPr>
          <w:sz w:val="24"/>
          <w:szCs w:val="24"/>
        </w:rPr>
        <w:t>Remove the iTLC strip and scan it with a radioTLC scanner.</w:t>
      </w:r>
    </w:p>
    <w:p w14:paraId="6494FC17" w14:textId="77777777" w:rsidR="0019329C" w:rsidRPr="0019329C" w:rsidRDefault="0019329C" w:rsidP="00991F2E">
      <w:pPr>
        <w:pStyle w:val="Listeafsnit"/>
        <w:numPr>
          <w:ilvl w:val="0"/>
          <w:numId w:val="12"/>
        </w:numPr>
        <w:tabs>
          <w:tab w:val="clear" w:pos="567"/>
        </w:tabs>
        <w:spacing w:line="240" w:lineRule="auto"/>
        <w:ind w:left="1276" w:hanging="425"/>
        <w:rPr>
          <w:sz w:val="24"/>
          <w:szCs w:val="24"/>
        </w:rPr>
      </w:pPr>
      <w:r w:rsidRPr="0019329C">
        <w:rPr>
          <w:sz w:val="24"/>
          <w:szCs w:val="24"/>
        </w:rPr>
        <w:t>Calculate the radiochemical purity</w:t>
      </w:r>
      <w:r w:rsidRPr="0019329C">
        <w:rPr>
          <w:rFonts w:eastAsiaTheme="minorHAnsi"/>
          <w:color w:val="000000"/>
          <w:sz w:val="24"/>
          <w:szCs w:val="24"/>
          <w:lang w:bidi="he-IL"/>
        </w:rPr>
        <w:t xml:space="preserve"> </w:t>
      </w:r>
      <w:r w:rsidRPr="0019329C">
        <w:rPr>
          <w:sz w:val="24"/>
          <w:szCs w:val="24"/>
        </w:rPr>
        <w:t>by integration of the peaks on the chromatogram.</w:t>
      </w:r>
      <w:r w:rsidRPr="0019329C">
        <w:rPr>
          <w:sz w:val="24"/>
          <w:szCs w:val="24"/>
        </w:rPr>
        <w:br/>
        <w:t>Retention factor (R</w:t>
      </w:r>
      <w:r w:rsidRPr="0019329C">
        <w:rPr>
          <w:sz w:val="24"/>
          <w:szCs w:val="24"/>
          <w:vertAlign w:val="subscript"/>
        </w:rPr>
        <w:t>f</w:t>
      </w:r>
      <w:r w:rsidRPr="0019329C">
        <w:rPr>
          <w:sz w:val="24"/>
          <w:szCs w:val="24"/>
        </w:rPr>
        <w:t>) specifications:</w:t>
      </w:r>
    </w:p>
    <w:p w14:paraId="4297ECF3" w14:textId="77777777" w:rsidR="0019329C" w:rsidRPr="0019329C" w:rsidRDefault="0019329C" w:rsidP="00991F2E">
      <w:pPr>
        <w:pStyle w:val="Listeafsnit"/>
        <w:numPr>
          <w:ilvl w:val="1"/>
          <w:numId w:val="14"/>
        </w:numPr>
        <w:tabs>
          <w:tab w:val="clear" w:pos="567"/>
        </w:tabs>
        <w:spacing w:line="240" w:lineRule="auto"/>
        <w:ind w:left="1276" w:hanging="425"/>
        <w:rPr>
          <w:sz w:val="24"/>
          <w:szCs w:val="24"/>
        </w:rPr>
      </w:pPr>
      <w:r w:rsidRPr="0019329C">
        <w:rPr>
          <w:sz w:val="24"/>
          <w:szCs w:val="24"/>
        </w:rPr>
        <w:t>- Gallium (</w:t>
      </w:r>
      <w:r w:rsidRPr="0019329C">
        <w:rPr>
          <w:sz w:val="24"/>
          <w:szCs w:val="24"/>
          <w:vertAlign w:val="superscript"/>
        </w:rPr>
        <w:t>68</w:t>
      </w:r>
      <w:r w:rsidRPr="0019329C">
        <w:rPr>
          <w:sz w:val="24"/>
          <w:szCs w:val="24"/>
        </w:rPr>
        <w:t>Ga) gozetotide = 0.8 – 1.0</w:t>
      </w:r>
    </w:p>
    <w:p w14:paraId="596A0403" w14:textId="77777777" w:rsidR="0019329C" w:rsidRPr="0019329C" w:rsidRDefault="0019329C" w:rsidP="00991F2E">
      <w:pPr>
        <w:pStyle w:val="Listeafsnit"/>
        <w:numPr>
          <w:ilvl w:val="1"/>
          <w:numId w:val="14"/>
        </w:numPr>
        <w:tabs>
          <w:tab w:val="clear" w:pos="567"/>
        </w:tabs>
        <w:spacing w:line="240" w:lineRule="auto"/>
        <w:ind w:left="1276" w:hanging="425"/>
        <w:rPr>
          <w:sz w:val="24"/>
          <w:szCs w:val="24"/>
        </w:rPr>
      </w:pPr>
      <w:r w:rsidRPr="0019329C">
        <w:rPr>
          <w:sz w:val="24"/>
          <w:szCs w:val="24"/>
        </w:rPr>
        <w:t>- Other gallium (</w:t>
      </w:r>
      <w:r w:rsidRPr="0019329C">
        <w:rPr>
          <w:sz w:val="24"/>
          <w:szCs w:val="24"/>
          <w:vertAlign w:val="superscript"/>
        </w:rPr>
        <w:t>68</w:t>
      </w:r>
      <w:r w:rsidRPr="0019329C">
        <w:rPr>
          <w:sz w:val="24"/>
          <w:szCs w:val="24"/>
        </w:rPr>
        <w:t>Ga) species = 0.0 – 0.2</w:t>
      </w:r>
    </w:p>
    <w:p w14:paraId="5328C9D8" w14:textId="77777777" w:rsidR="0019329C" w:rsidRPr="0019329C" w:rsidRDefault="0019329C" w:rsidP="0019329C">
      <w:pPr>
        <w:pStyle w:val="Listeafsnit"/>
        <w:tabs>
          <w:tab w:val="clear" w:pos="567"/>
          <w:tab w:val="left" w:pos="1304"/>
        </w:tabs>
        <w:spacing w:line="240" w:lineRule="auto"/>
        <w:ind w:left="851"/>
        <w:rPr>
          <w:sz w:val="24"/>
          <w:szCs w:val="24"/>
          <w:highlight w:val="yellow"/>
        </w:rPr>
      </w:pPr>
    </w:p>
    <w:p w14:paraId="5ED44CBE" w14:textId="77777777" w:rsidR="0019329C" w:rsidRPr="0019329C" w:rsidRDefault="0019329C" w:rsidP="0019329C">
      <w:pPr>
        <w:tabs>
          <w:tab w:val="left" w:pos="1304"/>
        </w:tabs>
        <w:ind w:left="851"/>
        <w:rPr>
          <w:i/>
          <w:iCs/>
          <w:sz w:val="24"/>
          <w:szCs w:val="24"/>
          <w:u w:val="single"/>
        </w:rPr>
      </w:pPr>
      <w:r w:rsidRPr="0019329C">
        <w:rPr>
          <w:i/>
          <w:iCs/>
          <w:sz w:val="24"/>
          <w:szCs w:val="24"/>
          <w:u w:val="single"/>
        </w:rPr>
        <w:t>Using cut and count technique</w:t>
      </w:r>
    </w:p>
    <w:p w14:paraId="1190F6BC" w14:textId="77777777" w:rsidR="0019329C" w:rsidRPr="0019329C" w:rsidRDefault="0019329C" w:rsidP="00991F2E">
      <w:pPr>
        <w:pStyle w:val="Listeafsnit"/>
        <w:numPr>
          <w:ilvl w:val="0"/>
          <w:numId w:val="12"/>
        </w:numPr>
        <w:tabs>
          <w:tab w:val="clear" w:pos="567"/>
          <w:tab w:val="left" w:pos="1304"/>
        </w:tabs>
        <w:spacing w:line="240" w:lineRule="auto"/>
        <w:ind w:left="1276" w:hanging="425"/>
        <w:rPr>
          <w:sz w:val="24"/>
          <w:szCs w:val="24"/>
        </w:rPr>
      </w:pPr>
      <w:r w:rsidRPr="0019329C">
        <w:rPr>
          <w:sz w:val="24"/>
          <w:szCs w:val="24"/>
        </w:rPr>
        <w:t>Transfer the mobile phase into a TLC developing chamber, to a depth of 3 to 4 mm. Cover the chamber and allow the vapour to equilibrate for minimum 5 minutes. The use of freshly prepared solvents is highly recommended.</w:t>
      </w:r>
    </w:p>
    <w:p w14:paraId="01563862" w14:textId="77777777" w:rsidR="0019329C" w:rsidRPr="0019329C" w:rsidRDefault="0019329C" w:rsidP="00991F2E">
      <w:pPr>
        <w:pStyle w:val="Listeafsnit"/>
        <w:numPr>
          <w:ilvl w:val="0"/>
          <w:numId w:val="12"/>
        </w:numPr>
        <w:tabs>
          <w:tab w:val="clear" w:pos="567"/>
          <w:tab w:val="left" w:pos="1304"/>
        </w:tabs>
        <w:spacing w:line="240" w:lineRule="auto"/>
        <w:ind w:left="1276" w:hanging="425"/>
        <w:rPr>
          <w:sz w:val="24"/>
          <w:szCs w:val="24"/>
        </w:rPr>
      </w:pPr>
      <w:r w:rsidRPr="0019329C">
        <w:rPr>
          <w:sz w:val="24"/>
          <w:szCs w:val="24"/>
        </w:rPr>
        <w:t>Prepare an iTLC strip with 10 cm length and 1 cm width.</w:t>
      </w:r>
    </w:p>
    <w:p w14:paraId="63BDAFE9" w14:textId="77777777" w:rsidR="0019329C" w:rsidRPr="0019329C" w:rsidRDefault="0019329C" w:rsidP="00991F2E">
      <w:pPr>
        <w:pStyle w:val="Listeafsnit"/>
        <w:numPr>
          <w:ilvl w:val="0"/>
          <w:numId w:val="12"/>
        </w:numPr>
        <w:tabs>
          <w:tab w:val="clear" w:pos="567"/>
          <w:tab w:val="left" w:pos="1304"/>
        </w:tabs>
        <w:spacing w:line="240" w:lineRule="auto"/>
        <w:ind w:left="1276" w:hanging="425"/>
        <w:rPr>
          <w:sz w:val="24"/>
          <w:szCs w:val="24"/>
        </w:rPr>
      </w:pPr>
      <w:r w:rsidRPr="0019329C">
        <w:rPr>
          <w:sz w:val="24"/>
          <w:szCs w:val="24"/>
        </w:rPr>
        <w:t>Draw fine lines at 1.5 cm from the bottom of the strip (baseline), 5.5 cm and 9.5 cm.</w:t>
      </w:r>
    </w:p>
    <w:p w14:paraId="7F127334" w14:textId="77777777" w:rsidR="0019329C" w:rsidRPr="0019329C" w:rsidRDefault="0019329C" w:rsidP="00991F2E">
      <w:pPr>
        <w:pStyle w:val="Listeafsnit"/>
        <w:numPr>
          <w:ilvl w:val="0"/>
          <w:numId w:val="12"/>
        </w:numPr>
        <w:tabs>
          <w:tab w:val="clear" w:pos="567"/>
          <w:tab w:val="left" w:pos="1304"/>
        </w:tabs>
        <w:spacing w:line="240" w:lineRule="auto"/>
        <w:ind w:left="1276" w:hanging="425"/>
        <w:rPr>
          <w:sz w:val="24"/>
          <w:szCs w:val="24"/>
        </w:rPr>
      </w:pPr>
      <w:r w:rsidRPr="0019329C">
        <w:rPr>
          <w:sz w:val="24"/>
          <w:szCs w:val="24"/>
        </w:rPr>
        <w:t>Using a syringe coupled with a fine needle, take a Gallium (</w:t>
      </w:r>
      <w:r w:rsidRPr="0019329C">
        <w:rPr>
          <w:sz w:val="24"/>
          <w:szCs w:val="24"/>
          <w:vertAlign w:val="superscript"/>
        </w:rPr>
        <w:t>68</w:t>
      </w:r>
      <w:r w:rsidRPr="0019329C">
        <w:rPr>
          <w:sz w:val="24"/>
          <w:szCs w:val="24"/>
        </w:rPr>
        <w:t>Ga) gozetotide sample and apply one drop (about 5 µL) on the strip baseline.</w:t>
      </w:r>
    </w:p>
    <w:p w14:paraId="01DA9D56" w14:textId="77777777" w:rsidR="0019329C" w:rsidRPr="0019329C" w:rsidRDefault="0019329C" w:rsidP="00991F2E">
      <w:pPr>
        <w:pStyle w:val="Listeafsnit"/>
        <w:numPr>
          <w:ilvl w:val="0"/>
          <w:numId w:val="12"/>
        </w:numPr>
        <w:tabs>
          <w:tab w:val="clear" w:pos="567"/>
          <w:tab w:val="left" w:pos="1304"/>
        </w:tabs>
        <w:spacing w:line="240" w:lineRule="auto"/>
        <w:ind w:left="1276" w:hanging="425"/>
        <w:rPr>
          <w:sz w:val="24"/>
          <w:szCs w:val="24"/>
        </w:rPr>
      </w:pPr>
      <w:r w:rsidRPr="0019329C">
        <w:rPr>
          <w:sz w:val="24"/>
          <w:szCs w:val="24"/>
        </w:rPr>
        <w:t>Develop the strip in the developing chamber until the solvent reaches the last line, 9.5 cm from the bottom of the strip.</w:t>
      </w:r>
    </w:p>
    <w:p w14:paraId="3AD2A111" w14:textId="77777777" w:rsidR="0019329C" w:rsidRPr="0019329C" w:rsidRDefault="0019329C" w:rsidP="00991F2E">
      <w:pPr>
        <w:pStyle w:val="Listeafsnit"/>
        <w:numPr>
          <w:ilvl w:val="0"/>
          <w:numId w:val="12"/>
        </w:numPr>
        <w:tabs>
          <w:tab w:val="clear" w:pos="567"/>
          <w:tab w:val="left" w:pos="1304"/>
        </w:tabs>
        <w:spacing w:line="240" w:lineRule="auto"/>
        <w:ind w:left="1276" w:hanging="425"/>
        <w:rPr>
          <w:sz w:val="24"/>
          <w:szCs w:val="24"/>
        </w:rPr>
      </w:pPr>
      <w:r w:rsidRPr="0019329C">
        <w:rPr>
          <w:sz w:val="24"/>
          <w:szCs w:val="24"/>
        </w:rPr>
        <w:t xml:space="preserve">Cut the iTLC strip at the middle line (5.5 cm) into two pieces </w:t>
      </w:r>
      <w:r w:rsidRPr="0019329C">
        <w:rPr>
          <w:i/>
          <w:iCs/>
          <w:sz w:val="24"/>
          <w:szCs w:val="24"/>
        </w:rPr>
        <w:t>(see illustration below)</w:t>
      </w:r>
      <w:r w:rsidRPr="0019329C">
        <w:rPr>
          <w:sz w:val="24"/>
          <w:szCs w:val="24"/>
        </w:rPr>
        <w:t xml:space="preserve"> and measure the count rate of each piece in the ionization chamber or dose calibrator.</w:t>
      </w:r>
    </w:p>
    <w:p w14:paraId="3D79E531" w14:textId="77777777" w:rsidR="0019329C" w:rsidRPr="0019329C" w:rsidRDefault="0019329C" w:rsidP="00991F2E">
      <w:pPr>
        <w:pStyle w:val="Listeafsnit"/>
        <w:numPr>
          <w:ilvl w:val="0"/>
          <w:numId w:val="12"/>
        </w:numPr>
        <w:tabs>
          <w:tab w:val="clear" w:pos="567"/>
          <w:tab w:val="left" w:pos="1304"/>
        </w:tabs>
        <w:spacing w:line="240" w:lineRule="auto"/>
        <w:ind w:left="1276" w:hanging="425"/>
        <w:rPr>
          <w:sz w:val="24"/>
          <w:szCs w:val="24"/>
        </w:rPr>
      </w:pPr>
      <w:r w:rsidRPr="0019329C">
        <w:rPr>
          <w:sz w:val="24"/>
          <w:szCs w:val="24"/>
        </w:rPr>
        <w:t>Calculate the radiochemical purity using the formula:</w:t>
      </w:r>
    </w:p>
    <w:p w14:paraId="085A5562" w14:textId="77777777" w:rsidR="0019329C" w:rsidRDefault="0019329C" w:rsidP="0019329C">
      <w:pPr>
        <w:pStyle w:val="Listeafsnit"/>
        <w:tabs>
          <w:tab w:val="clear" w:pos="567"/>
          <w:tab w:val="left" w:pos="1304"/>
        </w:tabs>
        <w:spacing w:line="240" w:lineRule="auto"/>
        <w:ind w:left="1064"/>
        <w:rPr>
          <w:szCs w:val="22"/>
          <w:u w:val="single"/>
        </w:rPr>
      </w:pPr>
    </w:p>
    <w:p w14:paraId="0C8A3625" w14:textId="77777777" w:rsidR="0019329C" w:rsidRDefault="0019329C" w:rsidP="0019329C">
      <w:pPr>
        <w:pStyle w:val="Listeafsnit"/>
        <w:tabs>
          <w:tab w:val="clear" w:pos="567"/>
          <w:tab w:val="left" w:pos="1304"/>
        </w:tabs>
        <w:spacing w:line="240" w:lineRule="auto"/>
        <w:ind w:left="1064"/>
        <w:rPr>
          <w:szCs w:val="22"/>
          <w:u w:val="single"/>
        </w:rPr>
      </w:pPr>
      <m:oMathPara>
        <m:oMath>
          <m:r>
            <m:rPr>
              <m:sty m:val="p"/>
            </m:rPr>
            <w:rPr>
              <w:rFonts w:ascii="Cambria Math" w:hAnsi="Cambria Math"/>
              <w:szCs w:val="22"/>
            </w:rPr>
            <m:t xml:space="preserve">%Gallium </m:t>
          </m:r>
          <m:d>
            <m:dPr>
              <m:ctrlPr>
                <w:rPr>
                  <w:rFonts w:ascii="Cambria Math" w:hAnsi="Cambria Math"/>
                  <w:szCs w:val="22"/>
                </w:rPr>
              </m:ctrlPr>
            </m:dPr>
            <m:e>
              <m:sPre>
                <m:sPrePr>
                  <m:ctrlPr>
                    <w:rPr>
                      <w:rFonts w:ascii="Cambria Math" w:hAnsi="Cambria Math"/>
                      <w:szCs w:val="22"/>
                      <w:vertAlign w:val="superscript"/>
                    </w:rPr>
                  </m:ctrlPr>
                </m:sPrePr>
                <m:sub/>
                <m:sup>
                  <m:r>
                    <w:rPr>
                      <w:rFonts w:ascii="Cambria Math" w:hAnsi="Cambria Math"/>
                      <w:szCs w:val="22"/>
                      <w:vertAlign w:val="superscript"/>
                    </w:rPr>
                    <m:t>68</m:t>
                  </m:r>
                </m:sup>
                <m:e>
                  <m:r>
                    <m:rPr>
                      <m:sty m:val="p"/>
                    </m:rPr>
                    <w:rPr>
                      <w:rFonts w:ascii="Cambria Math" w:hAnsi="Cambria Math"/>
                      <w:szCs w:val="22"/>
                      <w:vertAlign w:val="superscript"/>
                    </w:rPr>
                    <m:t>Ga</m:t>
                  </m:r>
                </m:e>
              </m:sPre>
            </m:e>
          </m:d>
          <m:r>
            <m:rPr>
              <m:sty m:val="p"/>
            </m:rPr>
            <w:rPr>
              <w:rFonts w:ascii="Cambria Math" w:hAnsi="Cambria Math"/>
              <w:szCs w:val="22"/>
            </w:rPr>
            <m:t xml:space="preserve"> gozetotide= </m:t>
          </m:r>
          <m:f>
            <m:fPr>
              <m:ctrlPr>
                <w:rPr>
                  <w:rFonts w:ascii="Cambria Math" w:hAnsi="Cambria Math"/>
                  <w:szCs w:val="22"/>
                </w:rPr>
              </m:ctrlPr>
            </m:fPr>
            <m:num>
              <m:r>
                <w:rPr>
                  <w:rFonts w:ascii="Cambria Math" w:hAnsi="Cambria Math"/>
                  <w:szCs w:val="22"/>
                </w:rPr>
                <m:t>Activity upper part</m:t>
              </m:r>
            </m:num>
            <m:den>
              <m:r>
                <w:rPr>
                  <w:rFonts w:ascii="Cambria Math" w:hAnsi="Cambria Math"/>
                  <w:szCs w:val="22"/>
                </w:rPr>
                <m:t>Activity both parts</m:t>
              </m:r>
            </m:den>
          </m:f>
          <m:r>
            <w:rPr>
              <w:rFonts w:ascii="Cambria Math" w:hAnsi="Cambria Math"/>
              <w:szCs w:val="22"/>
            </w:rPr>
            <m:t>×100</m:t>
          </m:r>
        </m:oMath>
      </m:oMathPara>
    </w:p>
    <w:p w14:paraId="2D4BDCFE" w14:textId="77777777" w:rsidR="0019329C" w:rsidRDefault="0019329C" w:rsidP="0019329C">
      <w:pPr>
        <w:tabs>
          <w:tab w:val="left" w:pos="1304"/>
        </w:tabs>
        <w:rPr>
          <w:szCs w:val="22"/>
        </w:rPr>
      </w:pPr>
    </w:p>
    <w:p w14:paraId="5269D4EA" w14:textId="77777777" w:rsidR="0019329C" w:rsidRDefault="0019329C" w:rsidP="00991F2E">
      <w:pPr>
        <w:tabs>
          <w:tab w:val="left" w:pos="1304"/>
        </w:tabs>
        <w:ind w:left="851"/>
        <w:rPr>
          <w:szCs w:val="22"/>
          <w:lang w:val="it-IT"/>
        </w:rPr>
      </w:pPr>
      <w:r>
        <w:rPr>
          <w:szCs w:val="22"/>
          <w:lang w:val="it-IT"/>
        </w:rPr>
        <w:t>Acceptance criteria:</w:t>
      </w:r>
    </w:p>
    <w:p w14:paraId="4119EA47" w14:textId="77777777" w:rsidR="0019329C" w:rsidRDefault="0019329C" w:rsidP="00991F2E">
      <w:pPr>
        <w:tabs>
          <w:tab w:val="left" w:pos="1304"/>
        </w:tabs>
        <w:ind w:left="851"/>
        <w:rPr>
          <w:szCs w:val="22"/>
          <w:lang w:val="it-IT"/>
        </w:rPr>
      </w:pPr>
      <w:r>
        <w:rPr>
          <w:szCs w:val="22"/>
          <w:lang w:val="it-IT"/>
        </w:rPr>
        <w:t>Gallium (</w:t>
      </w:r>
      <w:r>
        <w:rPr>
          <w:szCs w:val="22"/>
          <w:vertAlign w:val="superscript"/>
          <w:lang w:val="it-IT"/>
        </w:rPr>
        <w:t>68</w:t>
      </w:r>
      <w:r>
        <w:rPr>
          <w:szCs w:val="22"/>
          <w:lang w:val="it-IT"/>
        </w:rPr>
        <w:t>Ga) gozetotide ≥ 97%</w:t>
      </w:r>
    </w:p>
    <w:p w14:paraId="1A3D7465" w14:textId="77777777" w:rsidR="0019329C" w:rsidRDefault="0019329C" w:rsidP="00991F2E">
      <w:pPr>
        <w:tabs>
          <w:tab w:val="left" w:pos="1304"/>
        </w:tabs>
        <w:ind w:left="851"/>
        <w:rPr>
          <w:szCs w:val="22"/>
          <w:lang w:val="en-GB"/>
        </w:rPr>
      </w:pPr>
      <w:r>
        <w:rPr>
          <w:szCs w:val="22"/>
        </w:rPr>
        <w:t>Other gallium (</w:t>
      </w:r>
      <w:r>
        <w:rPr>
          <w:szCs w:val="22"/>
          <w:vertAlign w:val="superscript"/>
        </w:rPr>
        <w:t>68</w:t>
      </w:r>
      <w:r>
        <w:rPr>
          <w:szCs w:val="22"/>
        </w:rPr>
        <w:t>Ga) species ≤ 3%</w:t>
      </w:r>
    </w:p>
    <w:p w14:paraId="42A70EEC" w14:textId="77777777" w:rsidR="0019329C" w:rsidRDefault="0019329C" w:rsidP="0019329C">
      <w:pPr>
        <w:pStyle w:val="Default"/>
        <w:rPr>
          <w:sz w:val="22"/>
          <w:szCs w:val="22"/>
          <w:lang w:val="en-GB"/>
        </w:rPr>
      </w:pPr>
    </w:p>
    <w:tbl>
      <w:tblPr>
        <w:tblStyle w:val="Tabel-Gitter"/>
        <w:tblW w:w="5954" w:type="dxa"/>
        <w:jc w:val="center"/>
        <w:tblInd w:w="0" w:type="dxa"/>
        <w:tblLook w:val="04A0" w:firstRow="1" w:lastRow="0" w:firstColumn="1" w:lastColumn="0" w:noHBand="0" w:noVBand="1"/>
      </w:tblPr>
      <w:tblGrid>
        <w:gridCol w:w="5954"/>
      </w:tblGrid>
      <w:tr w:rsidR="0019329C" w14:paraId="40E64B59" w14:textId="77777777" w:rsidTr="0019329C">
        <w:trPr>
          <w:trHeight w:val="311"/>
          <w:jc w:val="center"/>
        </w:trPr>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45179" w14:textId="77777777" w:rsidR="0019329C" w:rsidRDefault="0019329C">
            <w:pPr>
              <w:keepNext/>
              <w:tabs>
                <w:tab w:val="left" w:pos="1304"/>
              </w:tabs>
              <w:rPr>
                <w:sz w:val="22"/>
                <w:szCs w:val="22"/>
              </w:rPr>
            </w:pPr>
            <w:r>
              <w:rPr>
                <w:szCs w:val="22"/>
              </w:rPr>
              <w:t>Cut and count method:</w:t>
            </w:r>
          </w:p>
        </w:tc>
      </w:tr>
      <w:tr w:rsidR="0019329C" w14:paraId="4836E204" w14:textId="77777777" w:rsidTr="0019329C">
        <w:trPr>
          <w:trHeight w:val="2448"/>
          <w:jc w:val="center"/>
        </w:trPr>
        <w:tc>
          <w:tcPr>
            <w:tcW w:w="5954" w:type="dxa"/>
            <w:tcBorders>
              <w:top w:val="single" w:sz="4" w:space="0" w:color="auto"/>
              <w:left w:val="single" w:sz="4" w:space="0" w:color="auto"/>
              <w:bottom w:val="single" w:sz="4" w:space="0" w:color="FFFFFF" w:themeColor="background1"/>
              <w:right w:val="single" w:sz="4" w:space="0" w:color="auto"/>
            </w:tcBorders>
            <w:hideMark/>
          </w:tcPr>
          <w:p w14:paraId="5DE57E9B" w14:textId="55E06F97" w:rsidR="0019329C" w:rsidRDefault="0019329C">
            <w:pPr>
              <w:keepNext/>
              <w:tabs>
                <w:tab w:val="left" w:pos="1304"/>
              </w:tabs>
              <w:rPr>
                <w:szCs w:val="22"/>
              </w:rPr>
            </w:pPr>
            <w:r>
              <w:rPr>
                <w:noProof/>
              </w:rPr>
              <mc:AlternateContent>
                <mc:Choice Requires="wps">
                  <w:drawing>
                    <wp:anchor distT="45720" distB="45720" distL="114300" distR="114300" simplePos="0" relativeHeight="251655680" behindDoc="0" locked="0" layoutInCell="1" allowOverlap="1" wp14:anchorId="225C7F79" wp14:editId="19D68607">
                      <wp:simplePos x="0" y="0"/>
                      <wp:positionH relativeFrom="column">
                        <wp:posOffset>1946910</wp:posOffset>
                      </wp:positionH>
                      <wp:positionV relativeFrom="paragraph">
                        <wp:posOffset>1144905</wp:posOffset>
                      </wp:positionV>
                      <wp:extent cx="1159510" cy="266700"/>
                      <wp:effectExtent l="0" t="0" r="2540" b="0"/>
                      <wp:wrapNone/>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66700"/>
                              </a:xfrm>
                              <a:prstGeom prst="rect">
                                <a:avLst/>
                              </a:prstGeom>
                              <a:solidFill>
                                <a:srgbClr val="FFFFFF"/>
                              </a:solidFill>
                              <a:ln w="9525">
                                <a:noFill/>
                                <a:miter lim="800000"/>
                                <a:headEnd/>
                                <a:tailEnd/>
                              </a:ln>
                            </wps:spPr>
                            <wps:txbx>
                              <w:txbxContent>
                                <w:p w14:paraId="2BDA0328" w14:textId="77777777" w:rsidR="0019329C" w:rsidRDefault="0019329C" w:rsidP="0019329C">
                                  <w:r>
                                    <w:t xml:space="preserve">1.5 cm baseline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C7F79" id="_x0000_t202" coordsize="21600,21600" o:spt="202" path="m,l,21600r21600,l21600,xe">
                      <v:stroke joinstyle="miter"/>
                      <v:path gradientshapeok="t" o:connecttype="rect"/>
                    </v:shapetype>
                    <v:shape id="Tekstfelt 217" o:spid="_x0000_s1026" type="#_x0000_t202" style="position:absolute;margin-left:153.3pt;margin-top:90.15pt;width:91.3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" stroked="f">
                      <v:textbox>
                        <w:txbxContent>
                          <w:p w14:paraId="2BDA0328" w14:textId="77777777" w:rsidR="0019329C" w:rsidRDefault="0019329C" w:rsidP="0019329C">
                            <w:r>
                              <w:t xml:space="preserve">1.5 cm baseline </w:t>
                            </w:r>
                          </w:p>
                        </w:txbxContent>
                      </v:textbox>
                    </v:shape>
                  </w:pict>
                </mc:Fallback>
              </mc:AlternateContent>
            </w:r>
            <w:r>
              <w:rPr>
                <w:noProof/>
              </w:rPr>
              <mc:AlternateContent>
                <mc:Choice Requires="wps">
                  <w:drawing>
                    <wp:anchor distT="45720" distB="45720" distL="114300" distR="114300" simplePos="0" relativeHeight="251656704" behindDoc="0" locked="0" layoutInCell="1" allowOverlap="1" wp14:anchorId="5192F762" wp14:editId="72123751">
                      <wp:simplePos x="0" y="0"/>
                      <wp:positionH relativeFrom="column">
                        <wp:posOffset>1937385</wp:posOffset>
                      </wp:positionH>
                      <wp:positionV relativeFrom="paragraph">
                        <wp:posOffset>230505</wp:posOffset>
                      </wp:positionV>
                      <wp:extent cx="593090" cy="276225"/>
                      <wp:effectExtent l="0" t="0" r="0" b="9525"/>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76225"/>
                              </a:xfrm>
                              <a:prstGeom prst="rect">
                                <a:avLst/>
                              </a:prstGeom>
                              <a:solidFill>
                                <a:srgbClr val="FFFFFF"/>
                              </a:solidFill>
                              <a:ln w="9525">
                                <a:noFill/>
                                <a:miter lim="800000"/>
                                <a:headEnd/>
                                <a:tailEnd/>
                              </a:ln>
                            </wps:spPr>
                            <wps:txbx>
                              <w:txbxContent>
                                <w:p w14:paraId="578FF8EC" w14:textId="77777777" w:rsidR="0019329C" w:rsidRDefault="0019329C" w:rsidP="0019329C">
                                  <w:r>
                                    <w:t>9.5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2F762" id="Tekstfelt 11" o:spid="_x0000_s1027" type="#_x0000_t202" style="position:absolute;margin-left:152.55pt;margin-top:18.15pt;width:46.7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" stroked="f">
                      <v:textbox>
                        <w:txbxContent>
                          <w:p w14:paraId="578FF8EC" w14:textId="77777777" w:rsidR="0019329C" w:rsidRDefault="0019329C" w:rsidP="0019329C">
                            <w:r>
                              <w:t>9.5 cm</w:t>
                            </w:r>
                          </w:p>
                        </w:txbxContent>
                      </v:textbox>
                    </v:shape>
                  </w:pict>
                </mc:Fallback>
              </mc:AlternateContent>
            </w:r>
            <w:r>
              <w:rPr>
                <w:noProof/>
              </w:rPr>
              <mc:AlternateContent>
                <mc:Choice Requires="wps">
                  <w:drawing>
                    <wp:anchor distT="45720" distB="45720" distL="114300" distR="114300" simplePos="0" relativeHeight="251657728" behindDoc="0" locked="0" layoutInCell="1" allowOverlap="1" wp14:anchorId="0E294DCF" wp14:editId="05BCD8C4">
                      <wp:simplePos x="0" y="0"/>
                      <wp:positionH relativeFrom="column">
                        <wp:posOffset>622935</wp:posOffset>
                      </wp:positionH>
                      <wp:positionV relativeFrom="paragraph">
                        <wp:posOffset>716280</wp:posOffset>
                      </wp:positionV>
                      <wp:extent cx="593090" cy="246380"/>
                      <wp:effectExtent l="0" t="0" r="0" b="127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46380"/>
                              </a:xfrm>
                              <a:prstGeom prst="rect">
                                <a:avLst/>
                              </a:prstGeom>
                              <a:solidFill>
                                <a:srgbClr val="FFFFFF"/>
                              </a:solidFill>
                              <a:ln w="9525">
                                <a:noFill/>
                                <a:miter lim="800000"/>
                                <a:headEnd/>
                                <a:tailEnd/>
                              </a:ln>
                            </wps:spPr>
                            <wps:txbx>
                              <w:txbxContent>
                                <w:p w14:paraId="37991910" w14:textId="77777777" w:rsidR="0019329C" w:rsidRDefault="0019329C" w:rsidP="0019329C">
                                  <w:r>
                                    <w:t>5.5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94DCF" id="Tekstfelt 10" o:spid="_x0000_s1028" type="#_x0000_t202" style="position:absolute;margin-left:49.05pt;margin-top:56.4pt;width:46.7pt;height:1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" stroked="f">
                      <v:textbox>
                        <w:txbxContent>
                          <w:p w14:paraId="37991910" w14:textId="77777777" w:rsidR="0019329C" w:rsidRDefault="0019329C" w:rsidP="0019329C">
                            <w:r>
                              <w:t>5.5 cm</w:t>
                            </w:r>
                          </w:p>
                        </w:txbxContent>
                      </v:textbox>
                    </v:shape>
                  </w:pict>
                </mc:Fallback>
              </mc:AlternateContent>
            </w:r>
            <w:r>
              <w:rPr>
                <w:noProof/>
              </w:rPr>
              <mc:AlternateContent>
                <mc:Choice Requires="wps">
                  <w:drawing>
                    <wp:anchor distT="45720" distB="45720" distL="114300" distR="114300" simplePos="0" relativeHeight="251658752" behindDoc="0" locked="0" layoutInCell="1" allowOverlap="1" wp14:anchorId="619AC48E" wp14:editId="0A6E00C5">
                      <wp:simplePos x="0" y="0"/>
                      <wp:positionH relativeFrom="column">
                        <wp:posOffset>1160145</wp:posOffset>
                      </wp:positionH>
                      <wp:positionV relativeFrom="paragraph">
                        <wp:posOffset>693420</wp:posOffset>
                      </wp:positionV>
                      <wp:extent cx="431800" cy="256540"/>
                      <wp:effectExtent l="0" t="0" r="6350" b="698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65430"/>
                              </a:xfrm>
                              <a:prstGeom prst="rect">
                                <a:avLst/>
                              </a:prstGeom>
                              <a:solidFill>
                                <a:srgbClr val="FFFFFF"/>
                              </a:solidFill>
                              <a:ln w="9525">
                                <a:noFill/>
                                <a:miter lim="800000"/>
                                <a:headEnd/>
                                <a:tailEnd/>
                              </a:ln>
                            </wps:spPr>
                            <wps:txbx>
                              <w:txbxContent>
                                <w:p w14:paraId="09D5AF48" w14:textId="77777777" w:rsidR="0019329C" w:rsidRDefault="0019329C" w:rsidP="0019329C">
                                  <w:r>
                                    <w:rPr>
                                      <w:rFonts w:ascii="Wingdings" w:eastAsia="Wingdings" w:hAnsi="Wingdings" w:cs="Wingdings"/>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AC48E" id="Tekstfelt 2" o:spid="_x0000_s1029" type="#_x0000_t202" style="position:absolute;margin-left:91.35pt;margin-top:54.6pt;width:34pt;height:20.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" stroked="f">
                      <v:textbox style="mso-fit-shape-to-text:t">
                        <w:txbxContent>
                          <w:p w14:paraId="09D5AF48" w14:textId="77777777" w:rsidR="0019329C" w:rsidRDefault="0019329C" w:rsidP="0019329C">
                            <w:r>
                              <w:rPr>
                                <w:rFonts w:ascii="Wingdings" w:eastAsia="Wingdings" w:hAnsi="Wingdings" w:cs="Wingdings"/>
                                <w:sz w:val="28"/>
                                <w:szCs w:val="28"/>
                              </w:rPr>
                              <w:t></w:t>
                            </w:r>
                          </w:p>
                        </w:txbxContent>
                      </v:textbox>
                      <w10:wrap type="square"/>
                    </v:shape>
                  </w:pict>
                </mc:Fallback>
              </mc:AlternateContent>
            </w:r>
            <w:r>
              <w:rPr>
                <w:noProof/>
              </w:rPr>
              <mc:AlternateContent>
                <mc:Choice Requires="wpg">
                  <w:drawing>
                    <wp:anchor distT="0" distB="0" distL="114300" distR="114300" simplePos="0" relativeHeight="251659776" behindDoc="0" locked="0" layoutInCell="1" allowOverlap="1" wp14:anchorId="09736AEF" wp14:editId="66F3B1E9">
                      <wp:simplePos x="0" y="0"/>
                      <wp:positionH relativeFrom="column">
                        <wp:posOffset>1607185</wp:posOffset>
                      </wp:positionH>
                      <wp:positionV relativeFrom="paragraph">
                        <wp:posOffset>219075</wp:posOffset>
                      </wp:positionV>
                      <wp:extent cx="306705" cy="1256665"/>
                      <wp:effectExtent l="0" t="0" r="36195" b="19685"/>
                      <wp:wrapNone/>
                      <wp:docPr id="1" name="Gruppe 1"/>
                      <wp:cNvGraphicFramePr/>
                      <a:graphic xmlns:a="http://schemas.openxmlformats.org/drawingml/2006/main">
                        <a:graphicData uri="http://schemas.microsoft.com/office/word/2010/wordprocessingGroup">
                          <wpg:wgp>
                            <wpg:cNvGrpSpPr/>
                            <wpg:grpSpPr>
                              <a:xfrm>
                                <a:off x="0" y="0"/>
                                <a:ext cx="306705" cy="1256665"/>
                                <a:chOff x="0" y="0"/>
                                <a:chExt cx="306705" cy="1256690"/>
                              </a:xfrm>
                            </wpg:grpSpPr>
                            <wps:wsp>
                              <wps:cNvPr id="4" name="Rectangle 18"/>
                              <wps:cNvSpPr/>
                              <wps:spPr>
                                <a:xfrm>
                                  <a:off x="0" y="0"/>
                                  <a:ext cx="306705" cy="12566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Connector 19"/>
                              <wps:cNvCnPr/>
                              <wps:spPr>
                                <a:xfrm>
                                  <a:off x="0" y="1057275"/>
                                  <a:ext cx="3067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20"/>
                              <wps:cNvCnPr/>
                              <wps:spPr>
                                <a:xfrm>
                                  <a:off x="0" y="622301"/>
                                  <a:ext cx="3067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21"/>
                              <wps:cNvCnPr/>
                              <wps:spPr>
                                <a:xfrm>
                                  <a:off x="0" y="130175"/>
                                  <a:ext cx="3067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Text Box 2"/>
                              <wps:cNvSpPr txBox="1">
                                <a:spLocks noChangeArrowheads="1"/>
                              </wps:cNvSpPr>
                              <wps:spPr bwMode="auto">
                                <a:xfrm>
                                  <a:off x="13937" y="661481"/>
                                  <a:ext cx="106045" cy="240665"/>
                                </a:xfrm>
                                <a:prstGeom prst="rect">
                                  <a:avLst/>
                                </a:prstGeom>
                                <a:solidFill>
                                  <a:srgbClr val="FFFFFF"/>
                                </a:solidFill>
                                <a:ln w="9525">
                                  <a:noFill/>
                                  <a:miter lim="800000"/>
                                  <a:headEnd/>
                                  <a:tailEnd/>
                                </a:ln>
                              </wps:spPr>
                              <wps:txbx>
                                <w:txbxContent>
                                  <w:p w14:paraId="7C00FF57" w14:textId="77777777" w:rsidR="0019329C" w:rsidRDefault="0019329C" w:rsidP="0019329C">
                                    <w:r>
                                      <w:t>A</w:t>
                                    </w:r>
                                  </w:p>
                                </w:txbxContent>
                              </wps:txbx>
                              <wps:bodyPr rot="0" vert="horz" wrap="square" lIns="91440" tIns="45720" rIns="91440" bIns="45720" anchor="t" anchorCtr="0">
                                <a:noAutofit/>
                              </wps:bodyPr>
                            </wps:wsp>
                            <wps:wsp>
                              <wps:cNvPr id="9" name="Text Box 2"/>
                              <wps:cNvSpPr txBox="1">
                                <a:spLocks noChangeArrowheads="1"/>
                              </wps:cNvSpPr>
                              <wps:spPr bwMode="auto">
                                <a:xfrm>
                                  <a:off x="10606" y="236029"/>
                                  <a:ext cx="106045" cy="286965"/>
                                </a:xfrm>
                                <a:prstGeom prst="rect">
                                  <a:avLst/>
                                </a:prstGeom>
                                <a:solidFill>
                                  <a:srgbClr val="FFFFFF"/>
                                </a:solidFill>
                                <a:ln w="9525">
                                  <a:noFill/>
                                  <a:miter lim="800000"/>
                                  <a:headEnd/>
                                  <a:tailEnd/>
                                </a:ln>
                              </wps:spPr>
                              <wps:txbx>
                                <w:txbxContent>
                                  <w:p w14:paraId="27565D2A" w14:textId="77777777" w:rsidR="0019329C" w:rsidRDefault="0019329C" w:rsidP="0019329C">
                                    <w:r>
                                      <w:t>B</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9736AEF" id="Gruppe 1" o:spid="_x0000_s1030" style="position:absolute;margin-left:126.55pt;margin-top:17.25pt;width:24.15pt;height:98.95pt;z-index:251658240;mso-height-relative:margin" coordsize="3067,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">
                      <v:rect id="Rectangle 18" o:spid="_x0000_s1031" style="position:absolute;width:3067;height:1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xjwgAAANoAAAAPAAAAZHJzL2Rvd25yZXYueG1sRI/BasMw&#10;EETvhfyD2EIvpZHrl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AAFVxjwgAAANoAAAAPAAAA&#10;AAAAAAAAAAAAAAcCAABkcnMvZG93bnJldi54bWxQSwUGAAAAAAMAAwC3AAAA9gIAAAAA&#10;" filled="f" strokecolor="black [3213]"/>
                      <v:line id="Straight Connector 19" o:spid="_x0000_s1032" style="position:absolute;visibility:visible;mso-wrap-style:square" from="0,10572" to="3067,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line id="Straight Connector 20" o:spid="_x0000_s1033" style="position:absolute;visibility:visible;mso-wrap-style:square" from="0,6223" to="3067,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line id="Straight Connector 21" o:spid="_x0000_s1034" style="position:absolute;visibility:visible;mso-wrap-style:square" from="0,1301" to="3067,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5b9bd5 [3204]" strokeweight=".5pt">
                        <v:stroke joinstyle="miter"/>
                      </v:line>
                      <v:shape id="Text Box 2" o:spid="_x0000_s1035" type="#_x0000_t202" style="position:absolute;left:139;top:6614;width:1060;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C00FF57" w14:textId="77777777" w:rsidR="0019329C" w:rsidRDefault="0019329C" w:rsidP="0019329C">
                              <w:r>
                                <w:t>A</w:t>
                              </w:r>
                            </w:p>
                          </w:txbxContent>
                        </v:textbox>
                      </v:shape>
                      <v:shape id="Text Box 2" o:spid="_x0000_s1036" type="#_x0000_t202" style="position:absolute;left:106;top:2360;width:1060;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7565D2A" w14:textId="77777777" w:rsidR="0019329C" w:rsidRDefault="0019329C" w:rsidP="0019329C">
                              <w:r>
                                <w:t>B</w:t>
                              </w:r>
                            </w:p>
                          </w:txbxContent>
                        </v:textbox>
                      </v:shape>
                    </v:group>
                  </w:pict>
                </mc:Fallback>
              </mc:AlternateContent>
            </w:r>
          </w:p>
        </w:tc>
      </w:tr>
      <w:tr w:rsidR="0019329C" w14:paraId="094C13C9" w14:textId="77777777" w:rsidTr="0019329C">
        <w:trPr>
          <w:jc w:val="center"/>
        </w:trPr>
        <w:tc>
          <w:tcPr>
            <w:tcW w:w="5954" w:type="dxa"/>
            <w:tcBorders>
              <w:top w:val="single" w:sz="4" w:space="0" w:color="FFFFFF" w:themeColor="background1"/>
              <w:left w:val="single" w:sz="4" w:space="0" w:color="auto"/>
              <w:bottom w:val="single" w:sz="4" w:space="0" w:color="auto"/>
              <w:right w:val="single" w:sz="4" w:space="0" w:color="auto"/>
            </w:tcBorders>
          </w:tcPr>
          <w:p w14:paraId="7C8987E5" w14:textId="77777777" w:rsidR="0019329C" w:rsidRDefault="0019329C">
            <w:pPr>
              <w:tabs>
                <w:tab w:val="left" w:pos="1304"/>
              </w:tabs>
              <w:rPr>
                <w:szCs w:val="22"/>
              </w:rPr>
            </w:pPr>
          </w:p>
          <w:p w14:paraId="432F513B" w14:textId="77777777" w:rsidR="0019329C" w:rsidRDefault="0019329C">
            <w:pPr>
              <w:tabs>
                <w:tab w:val="left" w:pos="1304"/>
              </w:tabs>
              <w:rPr>
                <w:szCs w:val="22"/>
              </w:rPr>
            </w:pPr>
            <m:oMathPara>
              <m:oMath>
                <m:r>
                  <w:rPr>
                    <w:rFonts w:ascii="Cambria Math" w:hAnsi="Cambria Math"/>
                    <w:szCs w:val="22"/>
                  </w:rPr>
                  <m:t>%</m:t>
                </m:r>
                <m:r>
                  <w:rPr>
                    <w:rFonts w:ascii="Cambria Math" w:eastAsia="Calibri" w:hAnsi="Cambria Math"/>
                    <w:szCs w:val="22"/>
                  </w:rPr>
                  <m:t xml:space="preserve">Gallium </m:t>
                </m:r>
                <m:d>
                  <m:dPr>
                    <m:ctrlPr>
                      <w:rPr>
                        <w:rFonts w:ascii="Cambria Math" w:eastAsia="Calibri" w:hAnsi="Cambria Math"/>
                        <w:i/>
                        <w:sz w:val="22"/>
                        <w:szCs w:val="22"/>
                        <w:lang w:eastAsia="en-US" w:bidi="he-IL"/>
                      </w:rPr>
                    </m:ctrlPr>
                  </m:dPr>
                  <m:e>
                    <m:sPre>
                      <m:sPrePr>
                        <m:ctrlPr>
                          <w:rPr>
                            <w:rFonts w:ascii="Cambria Math" w:eastAsia="Calibri" w:hAnsi="Cambria Math"/>
                            <w:i/>
                            <w:sz w:val="22"/>
                            <w:szCs w:val="22"/>
                            <w:lang w:eastAsia="en-US"/>
                          </w:rPr>
                        </m:ctrlPr>
                      </m:sPrePr>
                      <m:sub/>
                      <m:sup>
                        <m:r>
                          <w:rPr>
                            <w:rFonts w:ascii="Cambria Math" w:eastAsia="Calibri" w:hAnsi="Cambria Math"/>
                            <w:szCs w:val="22"/>
                          </w:rPr>
                          <m:t>68</m:t>
                        </m:r>
                      </m:sup>
                      <m:e>
                        <m:r>
                          <w:rPr>
                            <w:rFonts w:ascii="Cambria Math" w:eastAsia="Calibri" w:hAnsi="Cambria Math"/>
                            <w:szCs w:val="22"/>
                          </w:rPr>
                          <m:t>Ga</m:t>
                        </m:r>
                      </m:e>
                    </m:sPre>
                  </m:e>
                </m:d>
                <m:r>
                  <w:rPr>
                    <w:rFonts w:ascii="Cambria Math" w:eastAsia="Calibri" w:hAnsi="Cambria Math"/>
                    <w:szCs w:val="22"/>
                  </w:rPr>
                  <m:t xml:space="preserve"> gozetotide</m:t>
                </m:r>
                <m:r>
                  <w:rPr>
                    <w:rFonts w:ascii="Cambria Math" w:hAnsi="Cambria Math"/>
                    <w:szCs w:val="22"/>
                  </w:rPr>
                  <m:t>=</m:t>
                </m:r>
                <m:f>
                  <m:fPr>
                    <m:ctrlPr>
                      <w:rPr>
                        <w:rFonts w:ascii="Cambria Math" w:eastAsia="Times New Roman" w:hAnsi="Cambria Math"/>
                        <w:i/>
                        <w:sz w:val="22"/>
                        <w:szCs w:val="22"/>
                        <w:lang w:eastAsia="en-US" w:bidi="he-IL"/>
                      </w:rPr>
                    </m:ctrlPr>
                  </m:fPr>
                  <m:num>
                    <m:r>
                      <w:rPr>
                        <w:rFonts w:ascii="Cambria Math" w:hAnsi="Cambria Math"/>
                        <w:szCs w:val="22"/>
                      </w:rPr>
                      <m:t>B</m:t>
                    </m:r>
                  </m:num>
                  <m:den>
                    <m:r>
                      <w:rPr>
                        <w:rFonts w:ascii="Cambria Math" w:hAnsi="Cambria Math"/>
                        <w:szCs w:val="22"/>
                      </w:rPr>
                      <m:t>A+B</m:t>
                    </m:r>
                  </m:den>
                </m:f>
                <m:r>
                  <w:rPr>
                    <w:rFonts w:ascii="Cambria Math" w:hAnsi="Cambria Math"/>
                    <w:szCs w:val="22"/>
                  </w:rPr>
                  <m:t>×100</m:t>
                </m:r>
              </m:oMath>
            </m:oMathPara>
          </w:p>
        </w:tc>
      </w:tr>
    </w:tbl>
    <w:p w14:paraId="469FC735" w14:textId="77777777" w:rsidR="0019329C" w:rsidRDefault="0019329C" w:rsidP="0019329C">
      <w:pPr>
        <w:pStyle w:val="Default"/>
        <w:rPr>
          <w:sz w:val="22"/>
          <w:szCs w:val="22"/>
          <w:lang w:val="en-GB"/>
        </w:rPr>
      </w:pPr>
    </w:p>
    <w:p w14:paraId="7AAA1723" w14:textId="77777777" w:rsidR="0019329C" w:rsidRDefault="0019329C" w:rsidP="0019329C">
      <w:pPr>
        <w:pStyle w:val="Default"/>
        <w:rPr>
          <w:sz w:val="22"/>
          <w:szCs w:val="22"/>
          <w:lang w:val="en-GB"/>
        </w:rPr>
      </w:pPr>
    </w:p>
    <w:p w14:paraId="68877A49" w14:textId="77777777" w:rsidR="00562EA1" w:rsidRPr="00114971" w:rsidRDefault="00562EA1" w:rsidP="00114971"/>
    <w:sectPr w:rsidR="00562EA1" w:rsidRPr="0011497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C182F" w14:textId="77777777" w:rsidR="0019329C" w:rsidRDefault="0019329C">
      <w:r>
        <w:separator/>
      </w:r>
    </w:p>
  </w:endnote>
  <w:endnote w:type="continuationSeparator" w:id="0">
    <w:p w14:paraId="6E8F833D" w14:textId="77777777" w:rsidR="0019329C" w:rsidRDefault="0019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8A90" w14:textId="77777777" w:rsidR="0019329C" w:rsidRDefault="0019329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63CD" w14:textId="77777777" w:rsidR="0019329C" w:rsidRDefault="0019329C">
    <w:pPr>
      <w:pStyle w:val="Sidefod"/>
      <w:pBdr>
        <w:bottom w:val="single" w:sz="6" w:space="1" w:color="auto"/>
      </w:pBdr>
    </w:pPr>
  </w:p>
  <w:p w14:paraId="0AAE966D" w14:textId="77777777" w:rsidR="0019329C" w:rsidRDefault="0019329C">
    <w:pPr>
      <w:pStyle w:val="Sidefod"/>
      <w:tabs>
        <w:tab w:val="clear" w:pos="4819"/>
        <w:tab w:val="left" w:pos="8647"/>
      </w:tabs>
      <w:rPr>
        <w:i/>
        <w:snapToGrid w:val="0"/>
        <w:sz w:val="18"/>
      </w:rPr>
    </w:pPr>
  </w:p>
  <w:p w14:paraId="66CD9D1A" w14:textId="629B4F86" w:rsidR="0019329C" w:rsidRDefault="0019329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Isoprotrace, radiofarmaceutisk præparationssæt 10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7091" w14:textId="77777777" w:rsidR="0019329C" w:rsidRDefault="0019329C">
    <w:pPr>
      <w:pStyle w:val="Sidefod"/>
      <w:pBdr>
        <w:bottom w:val="single" w:sz="6" w:space="1" w:color="auto"/>
      </w:pBdr>
      <w:tabs>
        <w:tab w:val="clear" w:pos="4819"/>
        <w:tab w:val="left" w:pos="8789"/>
      </w:tabs>
      <w:rPr>
        <w:i/>
        <w:snapToGrid w:val="0"/>
        <w:sz w:val="18"/>
      </w:rPr>
    </w:pPr>
  </w:p>
  <w:p w14:paraId="2E753621" w14:textId="77777777" w:rsidR="0019329C" w:rsidRDefault="0019329C">
    <w:pPr>
      <w:pStyle w:val="Sidefod"/>
      <w:tabs>
        <w:tab w:val="clear" w:pos="4819"/>
        <w:tab w:val="left" w:pos="8789"/>
      </w:tabs>
      <w:rPr>
        <w:i/>
        <w:snapToGrid w:val="0"/>
        <w:sz w:val="18"/>
      </w:rPr>
    </w:pPr>
  </w:p>
  <w:p w14:paraId="61AA6674" w14:textId="62CB792A" w:rsidR="0019329C" w:rsidRDefault="0019329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Isoprotrace, radiofarmaceutisk præparationssæt 10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FD825" w14:textId="77777777" w:rsidR="0019329C" w:rsidRDefault="0019329C">
      <w:r>
        <w:separator/>
      </w:r>
    </w:p>
  </w:footnote>
  <w:footnote w:type="continuationSeparator" w:id="0">
    <w:p w14:paraId="78DB858E" w14:textId="77777777" w:rsidR="0019329C" w:rsidRDefault="0019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4C15" w14:textId="77777777" w:rsidR="0019329C" w:rsidRDefault="0019329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574C" w14:textId="77777777" w:rsidR="0019329C" w:rsidRDefault="0019329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3DA6" w14:textId="77777777" w:rsidR="0019329C" w:rsidRDefault="0019329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21A2A0F"/>
    <w:multiLevelType w:val="hybridMultilevel"/>
    <w:tmpl w:val="FFFFFFFF"/>
    <w:lvl w:ilvl="0" w:tplc="5BAAFB86">
      <w:start w:val="1"/>
      <w:numFmt w:val="lowerLetter"/>
      <w:lvlText w:val="%1."/>
      <w:lvlJc w:val="left"/>
      <w:pPr>
        <w:ind w:left="720" w:hanging="360"/>
      </w:pPr>
    </w:lvl>
    <w:lvl w:ilvl="1" w:tplc="F6F819B8">
      <w:start w:val="1"/>
      <w:numFmt w:val="lowerLetter"/>
      <w:lvlText w:val="%2."/>
      <w:lvlJc w:val="left"/>
      <w:pPr>
        <w:ind w:left="1440" w:hanging="360"/>
      </w:pPr>
    </w:lvl>
    <w:lvl w:ilvl="2" w:tplc="0A72F36A">
      <w:start w:val="1"/>
      <w:numFmt w:val="lowerRoman"/>
      <w:lvlText w:val="%3."/>
      <w:lvlJc w:val="right"/>
      <w:pPr>
        <w:ind w:left="2160" w:hanging="180"/>
      </w:pPr>
    </w:lvl>
    <w:lvl w:ilvl="3" w:tplc="BC7EB244">
      <w:start w:val="1"/>
      <w:numFmt w:val="decimal"/>
      <w:lvlText w:val="%4."/>
      <w:lvlJc w:val="left"/>
      <w:pPr>
        <w:ind w:left="2880" w:hanging="360"/>
      </w:pPr>
    </w:lvl>
    <w:lvl w:ilvl="4" w:tplc="70086C24">
      <w:start w:val="1"/>
      <w:numFmt w:val="lowerLetter"/>
      <w:lvlText w:val="%5."/>
      <w:lvlJc w:val="left"/>
      <w:pPr>
        <w:ind w:left="3600" w:hanging="360"/>
      </w:pPr>
    </w:lvl>
    <w:lvl w:ilvl="5" w:tplc="FA868FF8">
      <w:start w:val="1"/>
      <w:numFmt w:val="lowerRoman"/>
      <w:lvlText w:val="%6."/>
      <w:lvlJc w:val="right"/>
      <w:pPr>
        <w:ind w:left="4320" w:hanging="180"/>
      </w:pPr>
    </w:lvl>
    <w:lvl w:ilvl="6" w:tplc="B29C985C">
      <w:start w:val="1"/>
      <w:numFmt w:val="decimal"/>
      <w:lvlText w:val="%7."/>
      <w:lvlJc w:val="left"/>
      <w:pPr>
        <w:ind w:left="5040" w:hanging="360"/>
      </w:pPr>
    </w:lvl>
    <w:lvl w:ilvl="7" w:tplc="9C26E794">
      <w:start w:val="1"/>
      <w:numFmt w:val="lowerLetter"/>
      <w:lvlText w:val="%8."/>
      <w:lvlJc w:val="left"/>
      <w:pPr>
        <w:ind w:left="5760" w:hanging="360"/>
      </w:pPr>
    </w:lvl>
    <w:lvl w:ilvl="8" w:tplc="94BED37C">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5C7A28"/>
    <w:multiLevelType w:val="hybridMultilevel"/>
    <w:tmpl w:val="357A1592"/>
    <w:lvl w:ilvl="0" w:tplc="BFE2F1C8">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24726EC7"/>
    <w:multiLevelType w:val="hybridMultilevel"/>
    <w:tmpl w:val="1F601F84"/>
    <w:lvl w:ilvl="0" w:tplc="BFE2F1C8">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348A5BE0"/>
    <w:multiLevelType w:val="hybridMultilevel"/>
    <w:tmpl w:val="FFFFFFFF"/>
    <w:lvl w:ilvl="0" w:tplc="DAE29606">
      <w:start w:val="1"/>
      <w:numFmt w:val="lowerLetter"/>
      <w:lvlText w:val="%1."/>
      <w:lvlJc w:val="left"/>
      <w:pPr>
        <w:ind w:left="720" w:hanging="360"/>
      </w:pPr>
    </w:lvl>
    <w:lvl w:ilvl="1" w:tplc="FDDEBA56">
      <w:start w:val="1"/>
      <w:numFmt w:val="lowerLetter"/>
      <w:lvlText w:val="%2."/>
      <w:lvlJc w:val="left"/>
      <w:pPr>
        <w:ind w:left="1440" w:hanging="360"/>
      </w:pPr>
    </w:lvl>
    <w:lvl w:ilvl="2" w:tplc="03C635D2">
      <w:start w:val="1"/>
      <w:numFmt w:val="lowerRoman"/>
      <w:lvlText w:val="%3."/>
      <w:lvlJc w:val="right"/>
      <w:pPr>
        <w:ind w:left="2160" w:hanging="180"/>
      </w:pPr>
    </w:lvl>
    <w:lvl w:ilvl="3" w:tplc="4BC8A2AE">
      <w:start w:val="1"/>
      <w:numFmt w:val="decimal"/>
      <w:lvlText w:val="%4."/>
      <w:lvlJc w:val="left"/>
      <w:pPr>
        <w:ind w:left="2880" w:hanging="360"/>
      </w:pPr>
    </w:lvl>
    <w:lvl w:ilvl="4" w:tplc="7AE2C624">
      <w:start w:val="1"/>
      <w:numFmt w:val="lowerLetter"/>
      <w:lvlText w:val="%5."/>
      <w:lvlJc w:val="left"/>
      <w:pPr>
        <w:ind w:left="3600" w:hanging="360"/>
      </w:pPr>
    </w:lvl>
    <w:lvl w:ilvl="5" w:tplc="CE145F04">
      <w:start w:val="1"/>
      <w:numFmt w:val="lowerRoman"/>
      <w:lvlText w:val="%6."/>
      <w:lvlJc w:val="right"/>
      <w:pPr>
        <w:ind w:left="4320" w:hanging="180"/>
      </w:pPr>
    </w:lvl>
    <w:lvl w:ilvl="6" w:tplc="A35CAE70">
      <w:start w:val="1"/>
      <w:numFmt w:val="decimal"/>
      <w:lvlText w:val="%7."/>
      <w:lvlJc w:val="left"/>
      <w:pPr>
        <w:ind w:left="5040" w:hanging="360"/>
      </w:pPr>
    </w:lvl>
    <w:lvl w:ilvl="7" w:tplc="AD4840D6">
      <w:start w:val="1"/>
      <w:numFmt w:val="lowerLetter"/>
      <w:lvlText w:val="%8."/>
      <w:lvlJc w:val="left"/>
      <w:pPr>
        <w:ind w:left="5760" w:hanging="360"/>
      </w:pPr>
    </w:lvl>
    <w:lvl w:ilvl="8" w:tplc="B854E028">
      <w:start w:val="1"/>
      <w:numFmt w:val="lowerRoman"/>
      <w:lvlText w:val="%9."/>
      <w:lvlJc w:val="right"/>
      <w:pPr>
        <w:ind w:left="6480" w:hanging="180"/>
      </w:pPr>
    </w:lvl>
  </w:abstractNum>
  <w:abstractNum w:abstractNumId="7" w15:restartNumberingAfterBreak="0">
    <w:nsid w:val="536C1524"/>
    <w:multiLevelType w:val="hybridMultilevel"/>
    <w:tmpl w:val="982677B8"/>
    <w:lvl w:ilvl="0" w:tplc="BFE2F1C8">
      <w:start w:val="3"/>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8" w15:restartNumberingAfterBreak="0">
    <w:nsid w:val="53C60981"/>
    <w:multiLevelType w:val="hybridMultilevel"/>
    <w:tmpl w:val="FFFFFFFF"/>
    <w:lvl w:ilvl="0" w:tplc="5BAAFB86">
      <w:start w:val="1"/>
      <w:numFmt w:val="lowerLetter"/>
      <w:lvlText w:val="%1."/>
      <w:lvlJc w:val="left"/>
      <w:pPr>
        <w:ind w:left="360" w:hanging="360"/>
      </w:pPr>
    </w:lvl>
    <w:lvl w:ilvl="1" w:tplc="F6F819B8">
      <w:start w:val="1"/>
      <w:numFmt w:val="lowerLetter"/>
      <w:lvlText w:val="%2."/>
      <w:lvlJc w:val="left"/>
      <w:pPr>
        <w:ind w:left="1080" w:hanging="360"/>
      </w:pPr>
    </w:lvl>
    <w:lvl w:ilvl="2" w:tplc="0A72F36A">
      <w:start w:val="1"/>
      <w:numFmt w:val="lowerRoman"/>
      <w:lvlText w:val="%3."/>
      <w:lvlJc w:val="right"/>
      <w:pPr>
        <w:ind w:left="1800" w:hanging="180"/>
      </w:pPr>
    </w:lvl>
    <w:lvl w:ilvl="3" w:tplc="BC7EB244">
      <w:start w:val="1"/>
      <w:numFmt w:val="decimal"/>
      <w:lvlText w:val="%4."/>
      <w:lvlJc w:val="left"/>
      <w:pPr>
        <w:ind w:left="2520" w:hanging="360"/>
      </w:pPr>
    </w:lvl>
    <w:lvl w:ilvl="4" w:tplc="70086C24">
      <w:start w:val="1"/>
      <w:numFmt w:val="lowerLetter"/>
      <w:lvlText w:val="%5."/>
      <w:lvlJc w:val="left"/>
      <w:pPr>
        <w:ind w:left="3240" w:hanging="360"/>
      </w:pPr>
    </w:lvl>
    <w:lvl w:ilvl="5" w:tplc="FA868FF8">
      <w:start w:val="1"/>
      <w:numFmt w:val="lowerRoman"/>
      <w:lvlText w:val="%6."/>
      <w:lvlJc w:val="right"/>
      <w:pPr>
        <w:ind w:left="3960" w:hanging="180"/>
      </w:pPr>
    </w:lvl>
    <w:lvl w:ilvl="6" w:tplc="B29C985C">
      <w:start w:val="1"/>
      <w:numFmt w:val="decimal"/>
      <w:lvlText w:val="%7."/>
      <w:lvlJc w:val="left"/>
      <w:pPr>
        <w:ind w:left="4680" w:hanging="360"/>
      </w:pPr>
    </w:lvl>
    <w:lvl w:ilvl="7" w:tplc="9C26E794">
      <w:start w:val="1"/>
      <w:numFmt w:val="lowerLetter"/>
      <w:lvlText w:val="%8."/>
      <w:lvlJc w:val="left"/>
      <w:pPr>
        <w:ind w:left="5400" w:hanging="360"/>
      </w:pPr>
    </w:lvl>
    <w:lvl w:ilvl="8" w:tplc="94BED37C">
      <w:start w:val="1"/>
      <w:numFmt w:val="lowerRoman"/>
      <w:lvlText w:val="%9."/>
      <w:lvlJc w:val="right"/>
      <w:pPr>
        <w:ind w:left="6120" w:hanging="180"/>
      </w:pPr>
    </w:lvl>
  </w:abstractNum>
  <w:abstractNum w:abstractNumId="9" w15:restartNumberingAfterBreak="0">
    <w:nsid w:val="60CF4076"/>
    <w:multiLevelType w:val="hybridMultilevel"/>
    <w:tmpl w:val="C19C1BE0"/>
    <w:lvl w:ilvl="0" w:tplc="BFE2F1C8">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1" w15:restartNumberingAfterBreak="0">
    <w:nsid w:val="71174F62"/>
    <w:multiLevelType w:val="hybridMultilevel"/>
    <w:tmpl w:val="64D22BE4"/>
    <w:lvl w:ilvl="0" w:tplc="03C29504">
      <w:numFmt w:val="decimal"/>
      <w:lvlText w:val=""/>
      <w:lvlJc w:val="left"/>
      <w:pPr>
        <w:ind w:left="0" w:firstLine="0"/>
      </w:pPr>
    </w:lvl>
    <w:lvl w:ilvl="1" w:tplc="1E24D352">
      <w:numFmt w:val="decimal"/>
      <w:lvlText w:val=""/>
      <w:lvlJc w:val="left"/>
      <w:pPr>
        <w:ind w:left="0" w:firstLine="0"/>
      </w:pPr>
    </w:lvl>
    <w:lvl w:ilvl="2" w:tplc="FE280232">
      <w:numFmt w:val="decimal"/>
      <w:lvlText w:val=""/>
      <w:lvlJc w:val="left"/>
      <w:pPr>
        <w:ind w:left="0" w:firstLine="0"/>
      </w:pPr>
    </w:lvl>
    <w:lvl w:ilvl="3" w:tplc="863043E4">
      <w:numFmt w:val="decimal"/>
      <w:lvlText w:val=""/>
      <w:lvlJc w:val="left"/>
      <w:pPr>
        <w:ind w:left="0" w:firstLine="0"/>
      </w:pPr>
    </w:lvl>
    <w:lvl w:ilvl="4" w:tplc="0A34D124">
      <w:numFmt w:val="decimal"/>
      <w:lvlText w:val=""/>
      <w:lvlJc w:val="left"/>
      <w:pPr>
        <w:ind w:left="0" w:firstLine="0"/>
      </w:pPr>
    </w:lvl>
    <w:lvl w:ilvl="5" w:tplc="E788E36E">
      <w:numFmt w:val="decimal"/>
      <w:lvlText w:val=""/>
      <w:lvlJc w:val="left"/>
      <w:pPr>
        <w:ind w:left="0" w:firstLine="0"/>
      </w:pPr>
    </w:lvl>
    <w:lvl w:ilvl="6" w:tplc="9ECA42AC">
      <w:numFmt w:val="decimal"/>
      <w:lvlText w:val=""/>
      <w:lvlJc w:val="left"/>
      <w:pPr>
        <w:ind w:left="0" w:firstLine="0"/>
      </w:pPr>
    </w:lvl>
    <w:lvl w:ilvl="7" w:tplc="3BE4037C">
      <w:numFmt w:val="decimal"/>
      <w:lvlText w:val=""/>
      <w:lvlJc w:val="left"/>
      <w:pPr>
        <w:ind w:left="0" w:firstLine="0"/>
      </w:pPr>
    </w:lvl>
    <w:lvl w:ilvl="8" w:tplc="1D80FBC2">
      <w:numFmt w:val="decimal"/>
      <w:lvlText w:val=""/>
      <w:lvlJc w:val="left"/>
      <w:pPr>
        <w:ind w:left="0" w:firstLine="0"/>
      </w:pPr>
    </w:lvl>
  </w:abstractNum>
  <w:abstractNum w:abstractNumId="12" w15:restartNumberingAfterBreak="0">
    <w:nsid w:val="772A5D43"/>
    <w:multiLevelType w:val="hybridMultilevel"/>
    <w:tmpl w:val="B6961EA8"/>
    <w:lvl w:ilvl="0" w:tplc="20000019">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78C60502"/>
    <w:multiLevelType w:val="hybridMultilevel"/>
    <w:tmpl w:val="114CD8A2"/>
    <w:lvl w:ilvl="0" w:tplc="03C29504">
      <w:numFmt w:val="decimal"/>
      <w:lvlText w:val=""/>
      <w:lvlJc w:val="left"/>
      <w:pPr>
        <w:ind w:left="0" w:firstLine="0"/>
      </w:pPr>
    </w:lvl>
    <w:lvl w:ilvl="1" w:tplc="08090001">
      <w:numFmt w:val="none"/>
      <w:lvlText w:val=""/>
      <w:lvlJc w:val="left"/>
      <w:pPr>
        <w:tabs>
          <w:tab w:val="num" w:pos="360"/>
        </w:tabs>
        <w:ind w:left="0" w:firstLine="0"/>
      </w:pPr>
    </w:lvl>
    <w:lvl w:ilvl="2" w:tplc="FE280232">
      <w:numFmt w:val="decimal"/>
      <w:lvlText w:val=""/>
      <w:lvlJc w:val="left"/>
      <w:pPr>
        <w:ind w:left="0" w:firstLine="0"/>
      </w:pPr>
    </w:lvl>
    <w:lvl w:ilvl="3" w:tplc="863043E4">
      <w:numFmt w:val="decimal"/>
      <w:lvlText w:val=""/>
      <w:lvlJc w:val="left"/>
      <w:pPr>
        <w:ind w:left="0" w:firstLine="0"/>
      </w:pPr>
    </w:lvl>
    <w:lvl w:ilvl="4" w:tplc="0A34D124">
      <w:numFmt w:val="decimal"/>
      <w:lvlText w:val=""/>
      <w:lvlJc w:val="left"/>
      <w:pPr>
        <w:ind w:left="0" w:firstLine="0"/>
      </w:pPr>
    </w:lvl>
    <w:lvl w:ilvl="5" w:tplc="E788E36E">
      <w:numFmt w:val="decimal"/>
      <w:lvlText w:val=""/>
      <w:lvlJc w:val="left"/>
      <w:pPr>
        <w:ind w:left="0" w:firstLine="0"/>
      </w:pPr>
    </w:lvl>
    <w:lvl w:ilvl="6" w:tplc="9ECA42AC">
      <w:numFmt w:val="decimal"/>
      <w:lvlText w:val=""/>
      <w:lvlJc w:val="left"/>
      <w:pPr>
        <w:ind w:left="0" w:firstLine="0"/>
      </w:pPr>
    </w:lvl>
    <w:lvl w:ilvl="7" w:tplc="3BE4037C">
      <w:numFmt w:val="decimal"/>
      <w:lvlText w:val=""/>
      <w:lvlJc w:val="left"/>
      <w:pPr>
        <w:ind w:left="0" w:firstLine="0"/>
      </w:pPr>
    </w:lvl>
    <w:lvl w:ilvl="8" w:tplc="1D80FBC2">
      <w:numFmt w:val="decimal"/>
      <w:lvlText w:val=""/>
      <w:lvlJc w:val="left"/>
      <w:pPr>
        <w:ind w:left="0" w:firstLine="0"/>
      </w:pPr>
    </w:lvl>
  </w:abstractNum>
  <w:num w:numId="1">
    <w:abstractNumId w:val="3"/>
  </w:num>
  <w:num w:numId="2">
    <w:abstractNumId w:val="0"/>
  </w:num>
  <w:num w:numId="3">
    <w:abstractNumId w:val="10"/>
  </w:num>
  <w:num w:numId="4">
    <w:abstractNumId w:val="1"/>
  </w:num>
  <w:num w:numId="5">
    <w:abstractNumId w:val="7"/>
  </w:num>
  <w:num w:numId="6">
    <w:abstractNumId w:val="4"/>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5A"/>
    <w:rsid w:val="00035E75"/>
    <w:rsid w:val="000C3846"/>
    <w:rsid w:val="000C6218"/>
    <w:rsid w:val="000D3C9D"/>
    <w:rsid w:val="000F0D47"/>
    <w:rsid w:val="00114971"/>
    <w:rsid w:val="001242DE"/>
    <w:rsid w:val="00180A12"/>
    <w:rsid w:val="0019329C"/>
    <w:rsid w:val="00214CF4"/>
    <w:rsid w:val="00281F03"/>
    <w:rsid w:val="0029458A"/>
    <w:rsid w:val="002B27C5"/>
    <w:rsid w:val="002D09ED"/>
    <w:rsid w:val="002F349F"/>
    <w:rsid w:val="00323A16"/>
    <w:rsid w:val="00373B55"/>
    <w:rsid w:val="003D727E"/>
    <w:rsid w:val="003E0341"/>
    <w:rsid w:val="003E3402"/>
    <w:rsid w:val="003F4736"/>
    <w:rsid w:val="00401B49"/>
    <w:rsid w:val="00465A5A"/>
    <w:rsid w:val="004A3BF4"/>
    <w:rsid w:val="004A3E29"/>
    <w:rsid w:val="004A5DB3"/>
    <w:rsid w:val="004A6C59"/>
    <w:rsid w:val="005152D9"/>
    <w:rsid w:val="00520597"/>
    <w:rsid w:val="00533AD4"/>
    <w:rsid w:val="00534849"/>
    <w:rsid w:val="00555702"/>
    <w:rsid w:val="00560102"/>
    <w:rsid w:val="00562EA1"/>
    <w:rsid w:val="005A720E"/>
    <w:rsid w:val="00617BB8"/>
    <w:rsid w:val="00683267"/>
    <w:rsid w:val="006943B5"/>
    <w:rsid w:val="007C3623"/>
    <w:rsid w:val="007C5D2A"/>
    <w:rsid w:val="007F1E00"/>
    <w:rsid w:val="008058C9"/>
    <w:rsid w:val="008400E3"/>
    <w:rsid w:val="00864538"/>
    <w:rsid w:val="00873B4F"/>
    <w:rsid w:val="008E51AE"/>
    <w:rsid w:val="00944A88"/>
    <w:rsid w:val="00991F2E"/>
    <w:rsid w:val="009925C9"/>
    <w:rsid w:val="009B3D03"/>
    <w:rsid w:val="00A179D0"/>
    <w:rsid w:val="00A358A3"/>
    <w:rsid w:val="00A85D26"/>
    <w:rsid w:val="00A9153A"/>
    <w:rsid w:val="00AC033C"/>
    <w:rsid w:val="00BB3240"/>
    <w:rsid w:val="00C3571D"/>
    <w:rsid w:val="00C46466"/>
    <w:rsid w:val="00C54F0B"/>
    <w:rsid w:val="00C6264D"/>
    <w:rsid w:val="00CB1423"/>
    <w:rsid w:val="00CC1173"/>
    <w:rsid w:val="00D02508"/>
    <w:rsid w:val="00D37150"/>
    <w:rsid w:val="00D54B54"/>
    <w:rsid w:val="00D67E30"/>
    <w:rsid w:val="00D778CC"/>
    <w:rsid w:val="00D82FE9"/>
    <w:rsid w:val="00D97B77"/>
    <w:rsid w:val="00DB6A85"/>
    <w:rsid w:val="00DC5A0A"/>
    <w:rsid w:val="00E1290F"/>
    <w:rsid w:val="00E36A80"/>
    <w:rsid w:val="00EB21D7"/>
    <w:rsid w:val="00EE3EB7"/>
    <w:rsid w:val="00F57E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02E12"/>
  <w15:chartTrackingRefBased/>
  <w15:docId w15:val="{579F1E06-7BEC-4E83-81D2-A9ED0928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9B3D03"/>
    <w:rPr>
      <w:color w:val="0563C1" w:themeColor="hyperlink"/>
      <w:u w:val="single"/>
    </w:rPr>
  </w:style>
  <w:style w:type="table" w:styleId="Tabel-Gitter">
    <w:name w:val="Table Grid"/>
    <w:basedOn w:val="Tabel-Normal"/>
    <w:uiPriority w:val="39"/>
    <w:rsid w:val="009B3D03"/>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E30"/>
    <w:pPr>
      <w:autoSpaceDE w:val="0"/>
      <w:autoSpaceDN w:val="0"/>
      <w:adjustRightInd w:val="0"/>
    </w:pPr>
    <w:rPr>
      <w:rFonts w:eastAsia="SimSun"/>
      <w:color w:val="000000"/>
      <w:sz w:val="24"/>
      <w:szCs w:val="24"/>
      <w:lang w:eastAsia="en-GB"/>
    </w:rPr>
  </w:style>
  <w:style w:type="table" w:customStyle="1" w:styleId="TableGrid1">
    <w:name w:val="Table Grid1"/>
    <w:basedOn w:val="Tabel-Normal"/>
    <w:uiPriority w:val="39"/>
    <w:rsid w:val="00D67E3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uiPriority w:val="39"/>
    <w:rsid w:val="00323A16"/>
    <w:rPr>
      <w:rFonts w:ascii="Calibri" w:eastAsia="Calibri"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9329C"/>
    <w:pPr>
      <w:tabs>
        <w:tab w:val="left" w:pos="567"/>
      </w:tabs>
      <w:spacing w:line="260" w:lineRule="exact"/>
      <w:ind w:left="720"/>
      <w:contextualSpacing/>
    </w:pPr>
    <w:rPr>
      <w:sz w:val="22"/>
      <w:lang w:val="en-GB" w:eastAsia="en-US"/>
    </w:rPr>
  </w:style>
  <w:style w:type="character" w:customStyle="1" w:styleId="fontstyle01">
    <w:name w:val="fontstyle01"/>
    <w:basedOn w:val="Standardskrifttypeiafsnit"/>
    <w:rsid w:val="0019329C"/>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4047">
      <w:bodyDiv w:val="1"/>
      <w:marLeft w:val="0"/>
      <w:marRight w:val="0"/>
      <w:marTop w:val="0"/>
      <w:marBottom w:val="0"/>
      <w:divBdr>
        <w:top w:val="none" w:sz="0" w:space="0" w:color="auto"/>
        <w:left w:val="none" w:sz="0" w:space="0" w:color="auto"/>
        <w:bottom w:val="none" w:sz="0" w:space="0" w:color="auto"/>
        <w:right w:val="none" w:sz="0" w:space="0" w:color="auto"/>
      </w:divBdr>
    </w:div>
    <w:div w:id="267857426">
      <w:bodyDiv w:val="1"/>
      <w:marLeft w:val="0"/>
      <w:marRight w:val="0"/>
      <w:marTop w:val="0"/>
      <w:marBottom w:val="0"/>
      <w:divBdr>
        <w:top w:val="none" w:sz="0" w:space="0" w:color="auto"/>
        <w:left w:val="none" w:sz="0" w:space="0" w:color="auto"/>
        <w:bottom w:val="none" w:sz="0" w:space="0" w:color="auto"/>
        <w:right w:val="none" w:sz="0" w:space="0" w:color="auto"/>
      </w:divBdr>
    </w:div>
    <w:div w:id="306083444">
      <w:bodyDiv w:val="1"/>
      <w:marLeft w:val="0"/>
      <w:marRight w:val="0"/>
      <w:marTop w:val="0"/>
      <w:marBottom w:val="0"/>
      <w:divBdr>
        <w:top w:val="none" w:sz="0" w:space="0" w:color="auto"/>
        <w:left w:val="none" w:sz="0" w:space="0" w:color="auto"/>
        <w:bottom w:val="none" w:sz="0" w:space="0" w:color="auto"/>
        <w:right w:val="none" w:sz="0" w:space="0" w:color="auto"/>
      </w:divBdr>
    </w:div>
    <w:div w:id="387874068">
      <w:bodyDiv w:val="1"/>
      <w:marLeft w:val="0"/>
      <w:marRight w:val="0"/>
      <w:marTop w:val="0"/>
      <w:marBottom w:val="0"/>
      <w:divBdr>
        <w:top w:val="none" w:sz="0" w:space="0" w:color="auto"/>
        <w:left w:val="none" w:sz="0" w:space="0" w:color="auto"/>
        <w:bottom w:val="none" w:sz="0" w:space="0" w:color="auto"/>
        <w:right w:val="none" w:sz="0" w:space="0" w:color="auto"/>
      </w:divBdr>
    </w:div>
    <w:div w:id="407191239">
      <w:bodyDiv w:val="1"/>
      <w:marLeft w:val="0"/>
      <w:marRight w:val="0"/>
      <w:marTop w:val="0"/>
      <w:marBottom w:val="0"/>
      <w:divBdr>
        <w:top w:val="none" w:sz="0" w:space="0" w:color="auto"/>
        <w:left w:val="none" w:sz="0" w:space="0" w:color="auto"/>
        <w:bottom w:val="none" w:sz="0" w:space="0" w:color="auto"/>
        <w:right w:val="none" w:sz="0" w:space="0" w:color="auto"/>
      </w:divBdr>
    </w:div>
    <w:div w:id="416171678">
      <w:bodyDiv w:val="1"/>
      <w:marLeft w:val="0"/>
      <w:marRight w:val="0"/>
      <w:marTop w:val="0"/>
      <w:marBottom w:val="0"/>
      <w:divBdr>
        <w:top w:val="none" w:sz="0" w:space="0" w:color="auto"/>
        <w:left w:val="none" w:sz="0" w:space="0" w:color="auto"/>
        <w:bottom w:val="none" w:sz="0" w:space="0" w:color="auto"/>
        <w:right w:val="none" w:sz="0" w:space="0" w:color="auto"/>
      </w:divBdr>
    </w:div>
    <w:div w:id="523597220">
      <w:bodyDiv w:val="1"/>
      <w:marLeft w:val="0"/>
      <w:marRight w:val="0"/>
      <w:marTop w:val="0"/>
      <w:marBottom w:val="0"/>
      <w:divBdr>
        <w:top w:val="none" w:sz="0" w:space="0" w:color="auto"/>
        <w:left w:val="none" w:sz="0" w:space="0" w:color="auto"/>
        <w:bottom w:val="none" w:sz="0" w:space="0" w:color="auto"/>
        <w:right w:val="none" w:sz="0" w:space="0" w:color="auto"/>
      </w:divBdr>
    </w:div>
    <w:div w:id="535242074">
      <w:bodyDiv w:val="1"/>
      <w:marLeft w:val="0"/>
      <w:marRight w:val="0"/>
      <w:marTop w:val="0"/>
      <w:marBottom w:val="0"/>
      <w:divBdr>
        <w:top w:val="none" w:sz="0" w:space="0" w:color="auto"/>
        <w:left w:val="none" w:sz="0" w:space="0" w:color="auto"/>
        <w:bottom w:val="none" w:sz="0" w:space="0" w:color="auto"/>
        <w:right w:val="none" w:sz="0" w:space="0" w:color="auto"/>
      </w:divBdr>
    </w:div>
    <w:div w:id="578640469">
      <w:bodyDiv w:val="1"/>
      <w:marLeft w:val="0"/>
      <w:marRight w:val="0"/>
      <w:marTop w:val="0"/>
      <w:marBottom w:val="0"/>
      <w:divBdr>
        <w:top w:val="none" w:sz="0" w:space="0" w:color="auto"/>
        <w:left w:val="none" w:sz="0" w:space="0" w:color="auto"/>
        <w:bottom w:val="none" w:sz="0" w:space="0" w:color="auto"/>
        <w:right w:val="none" w:sz="0" w:space="0" w:color="auto"/>
      </w:divBdr>
    </w:div>
    <w:div w:id="586042262">
      <w:bodyDiv w:val="1"/>
      <w:marLeft w:val="0"/>
      <w:marRight w:val="0"/>
      <w:marTop w:val="0"/>
      <w:marBottom w:val="0"/>
      <w:divBdr>
        <w:top w:val="none" w:sz="0" w:space="0" w:color="auto"/>
        <w:left w:val="none" w:sz="0" w:space="0" w:color="auto"/>
        <w:bottom w:val="none" w:sz="0" w:space="0" w:color="auto"/>
        <w:right w:val="none" w:sz="0" w:space="0" w:color="auto"/>
      </w:divBdr>
    </w:div>
    <w:div w:id="616765257">
      <w:bodyDiv w:val="1"/>
      <w:marLeft w:val="0"/>
      <w:marRight w:val="0"/>
      <w:marTop w:val="0"/>
      <w:marBottom w:val="0"/>
      <w:divBdr>
        <w:top w:val="none" w:sz="0" w:space="0" w:color="auto"/>
        <w:left w:val="none" w:sz="0" w:space="0" w:color="auto"/>
        <w:bottom w:val="none" w:sz="0" w:space="0" w:color="auto"/>
        <w:right w:val="none" w:sz="0" w:space="0" w:color="auto"/>
      </w:divBdr>
    </w:div>
    <w:div w:id="664017117">
      <w:bodyDiv w:val="1"/>
      <w:marLeft w:val="0"/>
      <w:marRight w:val="0"/>
      <w:marTop w:val="0"/>
      <w:marBottom w:val="0"/>
      <w:divBdr>
        <w:top w:val="none" w:sz="0" w:space="0" w:color="auto"/>
        <w:left w:val="none" w:sz="0" w:space="0" w:color="auto"/>
        <w:bottom w:val="none" w:sz="0" w:space="0" w:color="auto"/>
        <w:right w:val="none" w:sz="0" w:space="0" w:color="auto"/>
      </w:divBdr>
    </w:div>
    <w:div w:id="696003535">
      <w:bodyDiv w:val="1"/>
      <w:marLeft w:val="0"/>
      <w:marRight w:val="0"/>
      <w:marTop w:val="0"/>
      <w:marBottom w:val="0"/>
      <w:divBdr>
        <w:top w:val="none" w:sz="0" w:space="0" w:color="auto"/>
        <w:left w:val="none" w:sz="0" w:space="0" w:color="auto"/>
        <w:bottom w:val="none" w:sz="0" w:space="0" w:color="auto"/>
        <w:right w:val="none" w:sz="0" w:space="0" w:color="auto"/>
      </w:divBdr>
    </w:div>
    <w:div w:id="803472047">
      <w:bodyDiv w:val="1"/>
      <w:marLeft w:val="0"/>
      <w:marRight w:val="0"/>
      <w:marTop w:val="0"/>
      <w:marBottom w:val="0"/>
      <w:divBdr>
        <w:top w:val="none" w:sz="0" w:space="0" w:color="auto"/>
        <w:left w:val="none" w:sz="0" w:space="0" w:color="auto"/>
        <w:bottom w:val="none" w:sz="0" w:space="0" w:color="auto"/>
        <w:right w:val="none" w:sz="0" w:space="0" w:color="auto"/>
      </w:divBdr>
    </w:div>
    <w:div w:id="877085935">
      <w:bodyDiv w:val="1"/>
      <w:marLeft w:val="0"/>
      <w:marRight w:val="0"/>
      <w:marTop w:val="0"/>
      <w:marBottom w:val="0"/>
      <w:divBdr>
        <w:top w:val="none" w:sz="0" w:space="0" w:color="auto"/>
        <w:left w:val="none" w:sz="0" w:space="0" w:color="auto"/>
        <w:bottom w:val="none" w:sz="0" w:space="0" w:color="auto"/>
        <w:right w:val="none" w:sz="0" w:space="0" w:color="auto"/>
      </w:divBdr>
    </w:div>
    <w:div w:id="989479965">
      <w:bodyDiv w:val="1"/>
      <w:marLeft w:val="0"/>
      <w:marRight w:val="0"/>
      <w:marTop w:val="0"/>
      <w:marBottom w:val="0"/>
      <w:divBdr>
        <w:top w:val="none" w:sz="0" w:space="0" w:color="auto"/>
        <w:left w:val="none" w:sz="0" w:space="0" w:color="auto"/>
        <w:bottom w:val="none" w:sz="0" w:space="0" w:color="auto"/>
        <w:right w:val="none" w:sz="0" w:space="0" w:color="auto"/>
      </w:divBdr>
    </w:div>
    <w:div w:id="990409500">
      <w:bodyDiv w:val="1"/>
      <w:marLeft w:val="0"/>
      <w:marRight w:val="0"/>
      <w:marTop w:val="0"/>
      <w:marBottom w:val="0"/>
      <w:divBdr>
        <w:top w:val="none" w:sz="0" w:space="0" w:color="auto"/>
        <w:left w:val="none" w:sz="0" w:space="0" w:color="auto"/>
        <w:bottom w:val="none" w:sz="0" w:space="0" w:color="auto"/>
        <w:right w:val="none" w:sz="0" w:space="0" w:color="auto"/>
      </w:divBdr>
    </w:div>
    <w:div w:id="1021711627">
      <w:bodyDiv w:val="1"/>
      <w:marLeft w:val="0"/>
      <w:marRight w:val="0"/>
      <w:marTop w:val="0"/>
      <w:marBottom w:val="0"/>
      <w:divBdr>
        <w:top w:val="none" w:sz="0" w:space="0" w:color="auto"/>
        <w:left w:val="none" w:sz="0" w:space="0" w:color="auto"/>
        <w:bottom w:val="none" w:sz="0" w:space="0" w:color="auto"/>
        <w:right w:val="none" w:sz="0" w:space="0" w:color="auto"/>
      </w:divBdr>
    </w:div>
    <w:div w:id="1046099773">
      <w:bodyDiv w:val="1"/>
      <w:marLeft w:val="0"/>
      <w:marRight w:val="0"/>
      <w:marTop w:val="0"/>
      <w:marBottom w:val="0"/>
      <w:divBdr>
        <w:top w:val="none" w:sz="0" w:space="0" w:color="auto"/>
        <w:left w:val="none" w:sz="0" w:space="0" w:color="auto"/>
        <w:bottom w:val="none" w:sz="0" w:space="0" w:color="auto"/>
        <w:right w:val="none" w:sz="0" w:space="0" w:color="auto"/>
      </w:divBdr>
    </w:div>
    <w:div w:id="1049766612">
      <w:bodyDiv w:val="1"/>
      <w:marLeft w:val="0"/>
      <w:marRight w:val="0"/>
      <w:marTop w:val="0"/>
      <w:marBottom w:val="0"/>
      <w:divBdr>
        <w:top w:val="none" w:sz="0" w:space="0" w:color="auto"/>
        <w:left w:val="none" w:sz="0" w:space="0" w:color="auto"/>
        <w:bottom w:val="none" w:sz="0" w:space="0" w:color="auto"/>
        <w:right w:val="none" w:sz="0" w:space="0" w:color="auto"/>
      </w:divBdr>
    </w:div>
    <w:div w:id="1136147875">
      <w:bodyDiv w:val="1"/>
      <w:marLeft w:val="0"/>
      <w:marRight w:val="0"/>
      <w:marTop w:val="0"/>
      <w:marBottom w:val="0"/>
      <w:divBdr>
        <w:top w:val="none" w:sz="0" w:space="0" w:color="auto"/>
        <w:left w:val="none" w:sz="0" w:space="0" w:color="auto"/>
        <w:bottom w:val="none" w:sz="0" w:space="0" w:color="auto"/>
        <w:right w:val="none" w:sz="0" w:space="0" w:color="auto"/>
      </w:divBdr>
    </w:div>
    <w:div w:id="1177114865">
      <w:bodyDiv w:val="1"/>
      <w:marLeft w:val="0"/>
      <w:marRight w:val="0"/>
      <w:marTop w:val="0"/>
      <w:marBottom w:val="0"/>
      <w:divBdr>
        <w:top w:val="none" w:sz="0" w:space="0" w:color="auto"/>
        <w:left w:val="none" w:sz="0" w:space="0" w:color="auto"/>
        <w:bottom w:val="none" w:sz="0" w:space="0" w:color="auto"/>
        <w:right w:val="none" w:sz="0" w:space="0" w:color="auto"/>
      </w:divBdr>
    </w:div>
    <w:div w:id="1187401294">
      <w:bodyDiv w:val="1"/>
      <w:marLeft w:val="0"/>
      <w:marRight w:val="0"/>
      <w:marTop w:val="0"/>
      <w:marBottom w:val="0"/>
      <w:divBdr>
        <w:top w:val="none" w:sz="0" w:space="0" w:color="auto"/>
        <w:left w:val="none" w:sz="0" w:space="0" w:color="auto"/>
        <w:bottom w:val="none" w:sz="0" w:space="0" w:color="auto"/>
        <w:right w:val="none" w:sz="0" w:space="0" w:color="auto"/>
      </w:divBdr>
    </w:div>
    <w:div w:id="1409695272">
      <w:bodyDiv w:val="1"/>
      <w:marLeft w:val="0"/>
      <w:marRight w:val="0"/>
      <w:marTop w:val="0"/>
      <w:marBottom w:val="0"/>
      <w:divBdr>
        <w:top w:val="none" w:sz="0" w:space="0" w:color="auto"/>
        <w:left w:val="none" w:sz="0" w:space="0" w:color="auto"/>
        <w:bottom w:val="none" w:sz="0" w:space="0" w:color="auto"/>
        <w:right w:val="none" w:sz="0" w:space="0" w:color="auto"/>
      </w:divBdr>
    </w:div>
    <w:div w:id="1459880582">
      <w:bodyDiv w:val="1"/>
      <w:marLeft w:val="0"/>
      <w:marRight w:val="0"/>
      <w:marTop w:val="0"/>
      <w:marBottom w:val="0"/>
      <w:divBdr>
        <w:top w:val="none" w:sz="0" w:space="0" w:color="auto"/>
        <w:left w:val="none" w:sz="0" w:space="0" w:color="auto"/>
        <w:bottom w:val="none" w:sz="0" w:space="0" w:color="auto"/>
        <w:right w:val="none" w:sz="0" w:space="0" w:color="auto"/>
      </w:divBdr>
    </w:div>
    <w:div w:id="1479110385">
      <w:bodyDiv w:val="1"/>
      <w:marLeft w:val="0"/>
      <w:marRight w:val="0"/>
      <w:marTop w:val="0"/>
      <w:marBottom w:val="0"/>
      <w:divBdr>
        <w:top w:val="none" w:sz="0" w:space="0" w:color="auto"/>
        <w:left w:val="none" w:sz="0" w:space="0" w:color="auto"/>
        <w:bottom w:val="none" w:sz="0" w:space="0" w:color="auto"/>
        <w:right w:val="none" w:sz="0" w:space="0" w:color="auto"/>
      </w:divBdr>
    </w:div>
    <w:div w:id="1490361763">
      <w:bodyDiv w:val="1"/>
      <w:marLeft w:val="0"/>
      <w:marRight w:val="0"/>
      <w:marTop w:val="0"/>
      <w:marBottom w:val="0"/>
      <w:divBdr>
        <w:top w:val="none" w:sz="0" w:space="0" w:color="auto"/>
        <w:left w:val="none" w:sz="0" w:space="0" w:color="auto"/>
        <w:bottom w:val="none" w:sz="0" w:space="0" w:color="auto"/>
        <w:right w:val="none" w:sz="0" w:space="0" w:color="auto"/>
      </w:divBdr>
    </w:div>
    <w:div w:id="1515652962">
      <w:bodyDiv w:val="1"/>
      <w:marLeft w:val="0"/>
      <w:marRight w:val="0"/>
      <w:marTop w:val="0"/>
      <w:marBottom w:val="0"/>
      <w:divBdr>
        <w:top w:val="none" w:sz="0" w:space="0" w:color="auto"/>
        <w:left w:val="none" w:sz="0" w:space="0" w:color="auto"/>
        <w:bottom w:val="none" w:sz="0" w:space="0" w:color="auto"/>
        <w:right w:val="none" w:sz="0" w:space="0" w:color="auto"/>
      </w:divBdr>
    </w:div>
    <w:div w:id="1518689605">
      <w:bodyDiv w:val="1"/>
      <w:marLeft w:val="0"/>
      <w:marRight w:val="0"/>
      <w:marTop w:val="0"/>
      <w:marBottom w:val="0"/>
      <w:divBdr>
        <w:top w:val="none" w:sz="0" w:space="0" w:color="auto"/>
        <w:left w:val="none" w:sz="0" w:space="0" w:color="auto"/>
        <w:bottom w:val="none" w:sz="0" w:space="0" w:color="auto"/>
        <w:right w:val="none" w:sz="0" w:space="0" w:color="auto"/>
      </w:divBdr>
    </w:div>
    <w:div w:id="1521166204">
      <w:bodyDiv w:val="1"/>
      <w:marLeft w:val="0"/>
      <w:marRight w:val="0"/>
      <w:marTop w:val="0"/>
      <w:marBottom w:val="0"/>
      <w:divBdr>
        <w:top w:val="none" w:sz="0" w:space="0" w:color="auto"/>
        <w:left w:val="none" w:sz="0" w:space="0" w:color="auto"/>
        <w:bottom w:val="none" w:sz="0" w:space="0" w:color="auto"/>
        <w:right w:val="none" w:sz="0" w:space="0" w:color="auto"/>
      </w:divBdr>
    </w:div>
    <w:div w:id="1691494396">
      <w:bodyDiv w:val="1"/>
      <w:marLeft w:val="0"/>
      <w:marRight w:val="0"/>
      <w:marTop w:val="0"/>
      <w:marBottom w:val="0"/>
      <w:divBdr>
        <w:top w:val="none" w:sz="0" w:space="0" w:color="auto"/>
        <w:left w:val="none" w:sz="0" w:space="0" w:color="auto"/>
        <w:bottom w:val="none" w:sz="0" w:space="0" w:color="auto"/>
        <w:right w:val="none" w:sz="0" w:space="0" w:color="auto"/>
      </w:divBdr>
    </w:div>
    <w:div w:id="1697122717">
      <w:bodyDiv w:val="1"/>
      <w:marLeft w:val="0"/>
      <w:marRight w:val="0"/>
      <w:marTop w:val="0"/>
      <w:marBottom w:val="0"/>
      <w:divBdr>
        <w:top w:val="none" w:sz="0" w:space="0" w:color="auto"/>
        <w:left w:val="none" w:sz="0" w:space="0" w:color="auto"/>
        <w:bottom w:val="none" w:sz="0" w:space="0" w:color="auto"/>
        <w:right w:val="none" w:sz="0" w:space="0" w:color="auto"/>
      </w:divBdr>
    </w:div>
    <w:div w:id="1716544250">
      <w:bodyDiv w:val="1"/>
      <w:marLeft w:val="0"/>
      <w:marRight w:val="0"/>
      <w:marTop w:val="0"/>
      <w:marBottom w:val="0"/>
      <w:divBdr>
        <w:top w:val="none" w:sz="0" w:space="0" w:color="auto"/>
        <w:left w:val="none" w:sz="0" w:space="0" w:color="auto"/>
        <w:bottom w:val="none" w:sz="0" w:space="0" w:color="auto"/>
        <w:right w:val="none" w:sz="0" w:space="0" w:color="auto"/>
      </w:divBdr>
    </w:div>
    <w:div w:id="1747721340">
      <w:bodyDiv w:val="1"/>
      <w:marLeft w:val="0"/>
      <w:marRight w:val="0"/>
      <w:marTop w:val="0"/>
      <w:marBottom w:val="0"/>
      <w:divBdr>
        <w:top w:val="none" w:sz="0" w:space="0" w:color="auto"/>
        <w:left w:val="none" w:sz="0" w:space="0" w:color="auto"/>
        <w:bottom w:val="none" w:sz="0" w:space="0" w:color="auto"/>
        <w:right w:val="none" w:sz="0" w:space="0" w:color="auto"/>
      </w:divBdr>
    </w:div>
    <w:div w:id="1865746206">
      <w:bodyDiv w:val="1"/>
      <w:marLeft w:val="0"/>
      <w:marRight w:val="0"/>
      <w:marTop w:val="0"/>
      <w:marBottom w:val="0"/>
      <w:divBdr>
        <w:top w:val="none" w:sz="0" w:space="0" w:color="auto"/>
        <w:left w:val="none" w:sz="0" w:space="0" w:color="auto"/>
        <w:bottom w:val="none" w:sz="0" w:space="0" w:color="auto"/>
        <w:right w:val="none" w:sz="0" w:space="0" w:color="auto"/>
      </w:divBdr>
    </w:div>
    <w:div w:id="1892617039">
      <w:bodyDiv w:val="1"/>
      <w:marLeft w:val="0"/>
      <w:marRight w:val="0"/>
      <w:marTop w:val="0"/>
      <w:marBottom w:val="0"/>
      <w:divBdr>
        <w:top w:val="none" w:sz="0" w:space="0" w:color="auto"/>
        <w:left w:val="none" w:sz="0" w:space="0" w:color="auto"/>
        <w:bottom w:val="none" w:sz="0" w:space="0" w:color="auto"/>
        <w:right w:val="none" w:sz="0" w:space="0" w:color="auto"/>
      </w:divBdr>
    </w:div>
    <w:div w:id="1954244598">
      <w:bodyDiv w:val="1"/>
      <w:marLeft w:val="0"/>
      <w:marRight w:val="0"/>
      <w:marTop w:val="0"/>
      <w:marBottom w:val="0"/>
      <w:divBdr>
        <w:top w:val="none" w:sz="0" w:space="0" w:color="auto"/>
        <w:left w:val="none" w:sz="0" w:space="0" w:color="auto"/>
        <w:bottom w:val="none" w:sz="0" w:space="0" w:color="auto"/>
        <w:right w:val="none" w:sz="0" w:space="0" w:color="auto"/>
      </w:divBdr>
    </w:div>
    <w:div w:id="2021614575">
      <w:bodyDiv w:val="1"/>
      <w:marLeft w:val="0"/>
      <w:marRight w:val="0"/>
      <w:marTop w:val="0"/>
      <w:marBottom w:val="0"/>
      <w:divBdr>
        <w:top w:val="none" w:sz="0" w:space="0" w:color="auto"/>
        <w:left w:val="none" w:sz="0" w:space="0" w:color="auto"/>
        <w:bottom w:val="none" w:sz="0" w:space="0" w:color="auto"/>
        <w:right w:val="none" w:sz="0" w:space="0" w:color="auto"/>
      </w:divBdr>
    </w:div>
    <w:div w:id="2025015757">
      <w:bodyDiv w:val="1"/>
      <w:marLeft w:val="0"/>
      <w:marRight w:val="0"/>
      <w:marTop w:val="0"/>
      <w:marBottom w:val="0"/>
      <w:divBdr>
        <w:top w:val="none" w:sz="0" w:space="0" w:color="auto"/>
        <w:left w:val="none" w:sz="0" w:space="0" w:color="auto"/>
        <w:bottom w:val="none" w:sz="0" w:space="0" w:color="auto"/>
        <w:right w:val="none" w:sz="0" w:space="0" w:color="auto"/>
      </w:divBdr>
    </w:div>
    <w:div w:id="2028674564">
      <w:bodyDiv w:val="1"/>
      <w:marLeft w:val="0"/>
      <w:marRight w:val="0"/>
      <w:marTop w:val="0"/>
      <w:marBottom w:val="0"/>
      <w:divBdr>
        <w:top w:val="none" w:sz="0" w:space="0" w:color="auto"/>
        <w:left w:val="none" w:sz="0" w:space="0" w:color="auto"/>
        <w:bottom w:val="none" w:sz="0" w:space="0" w:color="auto"/>
        <w:right w:val="none" w:sz="0" w:space="0" w:color="auto"/>
      </w:divBdr>
    </w:div>
    <w:div w:id="2037925736">
      <w:bodyDiv w:val="1"/>
      <w:marLeft w:val="0"/>
      <w:marRight w:val="0"/>
      <w:marTop w:val="0"/>
      <w:marBottom w:val="0"/>
      <w:divBdr>
        <w:top w:val="none" w:sz="0" w:space="0" w:color="auto"/>
        <w:left w:val="none" w:sz="0" w:space="0" w:color="auto"/>
        <w:bottom w:val="none" w:sz="0" w:space="0" w:color="auto"/>
        <w:right w:val="none" w:sz="0" w:space="0" w:color="auto"/>
      </w:divBdr>
    </w:div>
    <w:div w:id="2102796064">
      <w:bodyDiv w:val="1"/>
      <w:marLeft w:val="0"/>
      <w:marRight w:val="0"/>
      <w:marTop w:val="0"/>
      <w:marBottom w:val="0"/>
      <w:divBdr>
        <w:top w:val="none" w:sz="0" w:space="0" w:color="auto"/>
        <w:left w:val="none" w:sz="0" w:space="0" w:color="auto"/>
        <w:bottom w:val="none" w:sz="0" w:space="0" w:color="auto"/>
        <w:right w:val="none" w:sz="0" w:space="0" w:color="auto"/>
      </w:divBdr>
    </w:div>
    <w:div w:id="2115902068">
      <w:bodyDiv w:val="1"/>
      <w:marLeft w:val="0"/>
      <w:marRight w:val="0"/>
      <w:marTop w:val="0"/>
      <w:marBottom w:val="0"/>
      <w:divBdr>
        <w:top w:val="none" w:sz="0" w:space="0" w:color="auto"/>
        <w:left w:val="none" w:sz="0" w:space="0" w:color="auto"/>
        <w:bottom w:val="none" w:sz="0" w:space="0" w:color="auto"/>
        <w:right w:val="none" w:sz="0" w:space="0" w:color="auto"/>
      </w:divBdr>
    </w:div>
    <w:div w:id="21380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10-01-SKB%20SPC%20Ra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010-01-SKB SPC Rad skabelon</Template>
  <TotalTime>24</TotalTime>
  <Pages>15</Pages>
  <Words>5268</Words>
  <Characters>30390</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2024054659 mt</dc:description>
  <cp:lastModifiedBy>Hanne Thy Iversen</cp:lastModifiedBy>
  <cp:revision>12</cp:revision>
  <cp:lastPrinted>2006-02-24T09:31:00Z</cp:lastPrinted>
  <dcterms:created xsi:type="dcterms:W3CDTF">2025-02-10T15:10:00Z</dcterms:created>
  <dcterms:modified xsi:type="dcterms:W3CDTF">2025-02-11T12:05:00Z</dcterms:modified>
</cp:coreProperties>
</file>