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B1614"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6A0AAD38" w14:textId="77777777" w:rsidR="009260DE" w:rsidRPr="00C84483" w:rsidRDefault="009260DE" w:rsidP="009260DE">
      <w:pPr>
        <w:pStyle w:val="Titel"/>
        <w:tabs>
          <w:tab w:val="right" w:pos="9356"/>
        </w:tabs>
        <w:jc w:val="left"/>
        <w:rPr>
          <w:b w:val="0"/>
          <w:szCs w:val="24"/>
          <w:lang w:eastAsia="en-US"/>
        </w:rPr>
      </w:pPr>
    </w:p>
    <w:p w14:paraId="36A420C7" w14:textId="55ADB119"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2A21A1">
        <w:rPr>
          <w:szCs w:val="24"/>
        </w:rPr>
        <w:t>9. oktober 2026</w:t>
      </w:r>
    </w:p>
    <w:p w14:paraId="518A32A8" w14:textId="77777777" w:rsidR="009260DE" w:rsidRPr="00C84483" w:rsidRDefault="009260DE" w:rsidP="009260DE">
      <w:pPr>
        <w:pStyle w:val="Titel"/>
        <w:tabs>
          <w:tab w:val="left" w:pos="8222"/>
        </w:tabs>
        <w:jc w:val="left"/>
        <w:rPr>
          <w:b w:val="0"/>
          <w:szCs w:val="24"/>
        </w:rPr>
      </w:pPr>
    </w:p>
    <w:p w14:paraId="3DC631FF" w14:textId="77777777" w:rsidR="009260DE" w:rsidRPr="00C84483" w:rsidRDefault="009260DE" w:rsidP="009260DE">
      <w:pPr>
        <w:pStyle w:val="Titel"/>
        <w:jc w:val="left"/>
        <w:rPr>
          <w:b w:val="0"/>
          <w:szCs w:val="24"/>
        </w:rPr>
      </w:pPr>
    </w:p>
    <w:p w14:paraId="7778CABE" w14:textId="77777777" w:rsidR="009260DE" w:rsidRPr="00C84483" w:rsidRDefault="009260DE" w:rsidP="009260DE">
      <w:pPr>
        <w:pStyle w:val="Titel"/>
        <w:jc w:val="left"/>
        <w:rPr>
          <w:b w:val="0"/>
          <w:szCs w:val="24"/>
        </w:rPr>
      </w:pPr>
    </w:p>
    <w:p w14:paraId="7006C352" w14:textId="77777777" w:rsidR="009260DE" w:rsidRPr="00C84483" w:rsidRDefault="009260DE" w:rsidP="009260DE">
      <w:pPr>
        <w:jc w:val="center"/>
        <w:rPr>
          <w:b/>
          <w:sz w:val="24"/>
          <w:szCs w:val="24"/>
        </w:rPr>
      </w:pPr>
      <w:r w:rsidRPr="00C84483">
        <w:rPr>
          <w:b/>
          <w:sz w:val="24"/>
          <w:szCs w:val="24"/>
        </w:rPr>
        <w:t>PRODUKTRESUMÉ</w:t>
      </w:r>
    </w:p>
    <w:p w14:paraId="4E801AFF" w14:textId="77777777" w:rsidR="009260DE" w:rsidRPr="00C84483" w:rsidRDefault="009260DE" w:rsidP="009260DE">
      <w:pPr>
        <w:jc w:val="center"/>
        <w:rPr>
          <w:b/>
          <w:sz w:val="24"/>
          <w:szCs w:val="24"/>
        </w:rPr>
      </w:pPr>
    </w:p>
    <w:p w14:paraId="23988C5E" w14:textId="77777777" w:rsidR="009260DE" w:rsidRDefault="009260DE" w:rsidP="009260DE">
      <w:pPr>
        <w:jc w:val="center"/>
        <w:rPr>
          <w:b/>
          <w:sz w:val="24"/>
          <w:szCs w:val="24"/>
        </w:rPr>
      </w:pPr>
      <w:r w:rsidRPr="00C84483">
        <w:rPr>
          <w:b/>
          <w:sz w:val="24"/>
          <w:szCs w:val="24"/>
        </w:rPr>
        <w:t>for</w:t>
      </w:r>
    </w:p>
    <w:p w14:paraId="2E4DC2EC" w14:textId="77777777" w:rsidR="000B058C" w:rsidRPr="00C84483" w:rsidRDefault="000B058C" w:rsidP="009260DE">
      <w:pPr>
        <w:jc w:val="center"/>
        <w:rPr>
          <w:b/>
          <w:sz w:val="24"/>
          <w:szCs w:val="24"/>
        </w:rPr>
      </w:pPr>
    </w:p>
    <w:p w14:paraId="783BAA3A" w14:textId="2131D4EE" w:rsidR="009260DE" w:rsidRPr="00C84483" w:rsidRDefault="005F1A63" w:rsidP="009260DE">
      <w:pPr>
        <w:jc w:val="center"/>
        <w:rPr>
          <w:b/>
          <w:sz w:val="24"/>
          <w:szCs w:val="24"/>
        </w:rPr>
      </w:pPr>
      <w:r>
        <w:rPr>
          <w:b/>
          <w:sz w:val="24"/>
          <w:szCs w:val="24"/>
        </w:rPr>
        <w:t>Isotretinoin "Pharmathen", bløde kapsler</w:t>
      </w:r>
    </w:p>
    <w:p w14:paraId="23FE72C0" w14:textId="77777777" w:rsidR="009260DE" w:rsidRPr="00C84483" w:rsidRDefault="009260DE" w:rsidP="009260DE">
      <w:pPr>
        <w:jc w:val="both"/>
        <w:rPr>
          <w:sz w:val="24"/>
          <w:szCs w:val="24"/>
        </w:rPr>
      </w:pPr>
    </w:p>
    <w:p w14:paraId="7384F701" w14:textId="77777777" w:rsidR="009260DE" w:rsidRPr="00C84483" w:rsidRDefault="009260DE" w:rsidP="009260DE">
      <w:pPr>
        <w:jc w:val="both"/>
        <w:rPr>
          <w:sz w:val="24"/>
          <w:szCs w:val="24"/>
        </w:rPr>
      </w:pPr>
    </w:p>
    <w:p w14:paraId="4F04D799"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07CFFAB4" w14:textId="30C41195" w:rsidR="009260DE" w:rsidRPr="00C84483" w:rsidRDefault="005F1A63" w:rsidP="009260DE">
      <w:pPr>
        <w:tabs>
          <w:tab w:val="left" w:pos="851"/>
        </w:tabs>
        <w:ind w:left="851"/>
        <w:rPr>
          <w:sz w:val="24"/>
          <w:szCs w:val="24"/>
        </w:rPr>
      </w:pPr>
      <w:r>
        <w:rPr>
          <w:sz w:val="24"/>
          <w:szCs w:val="24"/>
        </w:rPr>
        <w:t>34355</w:t>
      </w:r>
    </w:p>
    <w:p w14:paraId="50D17101" w14:textId="77777777" w:rsidR="009260DE" w:rsidRPr="00C84483" w:rsidRDefault="009260DE" w:rsidP="009260DE">
      <w:pPr>
        <w:tabs>
          <w:tab w:val="left" w:pos="851"/>
        </w:tabs>
        <w:ind w:left="851"/>
        <w:rPr>
          <w:sz w:val="24"/>
          <w:szCs w:val="24"/>
        </w:rPr>
      </w:pPr>
    </w:p>
    <w:p w14:paraId="0DE91440"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0C01927D" w14:textId="20DB2999" w:rsidR="009F16FA" w:rsidRPr="009F16FA" w:rsidRDefault="009F16FA" w:rsidP="009F16FA">
      <w:pPr>
        <w:tabs>
          <w:tab w:val="left" w:pos="851"/>
        </w:tabs>
        <w:ind w:left="851"/>
        <w:rPr>
          <w:sz w:val="24"/>
          <w:szCs w:val="24"/>
        </w:rPr>
      </w:pPr>
      <w:r w:rsidRPr="009F16FA">
        <w:rPr>
          <w:sz w:val="24"/>
          <w:szCs w:val="24"/>
        </w:rPr>
        <w:t xml:space="preserve">Isotretinoin </w:t>
      </w:r>
      <w:r w:rsidR="00D87D80">
        <w:rPr>
          <w:sz w:val="24"/>
          <w:szCs w:val="24"/>
        </w:rPr>
        <w:t>"</w:t>
      </w:r>
      <w:r w:rsidRPr="009F16FA">
        <w:rPr>
          <w:sz w:val="24"/>
          <w:szCs w:val="24"/>
        </w:rPr>
        <w:t>Pharmathen</w:t>
      </w:r>
      <w:r w:rsidR="00D87D80">
        <w:rPr>
          <w:sz w:val="24"/>
          <w:szCs w:val="24"/>
        </w:rPr>
        <w:t>"</w:t>
      </w:r>
      <w:r w:rsidRPr="009F16FA">
        <w:rPr>
          <w:sz w:val="24"/>
          <w:szCs w:val="24"/>
        </w:rPr>
        <w:t xml:space="preserve"> </w:t>
      </w:r>
    </w:p>
    <w:p w14:paraId="2C36306D" w14:textId="77777777" w:rsidR="009260DE" w:rsidRPr="00C84483" w:rsidRDefault="009260DE" w:rsidP="009260DE">
      <w:pPr>
        <w:tabs>
          <w:tab w:val="left" w:pos="851"/>
        </w:tabs>
        <w:ind w:left="851"/>
        <w:rPr>
          <w:sz w:val="24"/>
          <w:szCs w:val="24"/>
        </w:rPr>
      </w:pPr>
    </w:p>
    <w:p w14:paraId="35EC90AD"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07EF709D" w14:textId="77777777" w:rsidR="009F16FA" w:rsidRDefault="009F16FA" w:rsidP="009F16FA">
      <w:pPr>
        <w:tabs>
          <w:tab w:val="left" w:pos="851"/>
        </w:tabs>
        <w:ind w:left="851"/>
        <w:rPr>
          <w:sz w:val="24"/>
          <w:szCs w:val="24"/>
        </w:rPr>
      </w:pPr>
    </w:p>
    <w:p w14:paraId="2971ADC9" w14:textId="4ACC1EEB" w:rsidR="009F16FA" w:rsidRPr="009F16FA" w:rsidRDefault="009F16FA" w:rsidP="009F16FA">
      <w:pPr>
        <w:tabs>
          <w:tab w:val="left" w:pos="851"/>
        </w:tabs>
        <w:ind w:left="851"/>
        <w:rPr>
          <w:sz w:val="24"/>
          <w:szCs w:val="24"/>
          <w:u w:val="single"/>
        </w:rPr>
      </w:pPr>
      <w:r w:rsidRPr="009F16FA">
        <w:rPr>
          <w:sz w:val="24"/>
          <w:szCs w:val="24"/>
          <w:u w:val="single"/>
        </w:rPr>
        <w:t>10 mg blød kapsel</w:t>
      </w:r>
    </w:p>
    <w:p w14:paraId="0924CF2A" w14:textId="77777777" w:rsidR="009F16FA" w:rsidRPr="009F16FA" w:rsidRDefault="009F16FA" w:rsidP="009F16FA">
      <w:pPr>
        <w:tabs>
          <w:tab w:val="left" w:pos="851"/>
        </w:tabs>
        <w:ind w:left="851"/>
        <w:rPr>
          <w:sz w:val="24"/>
          <w:szCs w:val="24"/>
        </w:rPr>
      </w:pPr>
      <w:r w:rsidRPr="009F16FA">
        <w:rPr>
          <w:sz w:val="24"/>
          <w:szCs w:val="24"/>
        </w:rPr>
        <w:t>Hver blød kapsel indeholder 10.00 mg isotretinoin.</w:t>
      </w:r>
    </w:p>
    <w:p w14:paraId="642C3B3F" w14:textId="77777777" w:rsidR="009F16FA" w:rsidRPr="009F16FA" w:rsidRDefault="009F16FA" w:rsidP="009F16FA">
      <w:pPr>
        <w:tabs>
          <w:tab w:val="left" w:pos="851"/>
        </w:tabs>
        <w:ind w:left="851"/>
        <w:rPr>
          <w:sz w:val="24"/>
          <w:szCs w:val="24"/>
        </w:rPr>
      </w:pPr>
    </w:p>
    <w:p w14:paraId="0FE9DA8C" w14:textId="77777777" w:rsidR="009F16FA" w:rsidRPr="00615BEE" w:rsidRDefault="009F16FA" w:rsidP="009F16FA">
      <w:pPr>
        <w:tabs>
          <w:tab w:val="left" w:pos="851"/>
        </w:tabs>
        <w:ind w:left="851"/>
        <w:rPr>
          <w:i/>
          <w:iCs/>
          <w:sz w:val="24"/>
          <w:szCs w:val="24"/>
        </w:rPr>
      </w:pPr>
      <w:r w:rsidRPr="00615BEE">
        <w:rPr>
          <w:i/>
          <w:iCs/>
          <w:sz w:val="24"/>
          <w:szCs w:val="24"/>
        </w:rPr>
        <w:t>Hjælpestoffer, som behandleren skal være opmærksom på</w:t>
      </w:r>
    </w:p>
    <w:p w14:paraId="1971ED9A" w14:textId="77777777" w:rsidR="009F16FA" w:rsidRPr="009F16FA" w:rsidRDefault="009F16FA" w:rsidP="009F16FA">
      <w:pPr>
        <w:tabs>
          <w:tab w:val="left" w:pos="851"/>
        </w:tabs>
        <w:ind w:left="851"/>
        <w:rPr>
          <w:sz w:val="24"/>
          <w:szCs w:val="24"/>
        </w:rPr>
      </w:pPr>
      <w:r w:rsidRPr="009F16FA">
        <w:rPr>
          <w:sz w:val="24"/>
          <w:szCs w:val="24"/>
        </w:rPr>
        <w:t>Hver blød kapsel indeholder 107.00 mg renset sojaolie, 20.00 mg hydrogeneret sojaolie og 25.00 mg hydrogeneret vegetabilsk olie (sojabønne, type II).</w:t>
      </w:r>
    </w:p>
    <w:p w14:paraId="42B4DE06" w14:textId="77777777" w:rsidR="009F16FA" w:rsidRPr="009F16FA" w:rsidRDefault="009F16FA" w:rsidP="009F16FA">
      <w:pPr>
        <w:tabs>
          <w:tab w:val="left" w:pos="851"/>
        </w:tabs>
        <w:ind w:left="851"/>
        <w:rPr>
          <w:sz w:val="24"/>
          <w:szCs w:val="24"/>
        </w:rPr>
      </w:pPr>
    </w:p>
    <w:p w14:paraId="2FB6650C" w14:textId="6DCAF528" w:rsidR="009F16FA" w:rsidRPr="009F16FA" w:rsidRDefault="009F16FA" w:rsidP="009F16FA">
      <w:pPr>
        <w:tabs>
          <w:tab w:val="left" w:pos="851"/>
        </w:tabs>
        <w:ind w:left="851"/>
        <w:rPr>
          <w:sz w:val="24"/>
          <w:szCs w:val="24"/>
          <w:u w:val="single"/>
        </w:rPr>
      </w:pPr>
      <w:r w:rsidRPr="009F16FA">
        <w:rPr>
          <w:sz w:val="24"/>
          <w:szCs w:val="24"/>
          <w:u w:val="single"/>
        </w:rPr>
        <w:t>20 mg blød kapsel</w:t>
      </w:r>
    </w:p>
    <w:p w14:paraId="034F412C" w14:textId="77777777" w:rsidR="009F16FA" w:rsidRPr="009F16FA" w:rsidRDefault="009F16FA" w:rsidP="009F16FA">
      <w:pPr>
        <w:tabs>
          <w:tab w:val="left" w:pos="851"/>
        </w:tabs>
        <w:ind w:left="851"/>
        <w:rPr>
          <w:sz w:val="24"/>
          <w:szCs w:val="24"/>
        </w:rPr>
      </w:pPr>
      <w:r w:rsidRPr="009F16FA">
        <w:rPr>
          <w:sz w:val="24"/>
          <w:szCs w:val="24"/>
        </w:rPr>
        <w:t>Hver blød kapsel indeholder 20 mg isotretinoin.</w:t>
      </w:r>
    </w:p>
    <w:p w14:paraId="1283F739" w14:textId="77777777" w:rsidR="009F16FA" w:rsidRPr="009F16FA" w:rsidRDefault="009F16FA" w:rsidP="009F16FA">
      <w:pPr>
        <w:tabs>
          <w:tab w:val="left" w:pos="851"/>
        </w:tabs>
        <w:ind w:left="851"/>
        <w:rPr>
          <w:sz w:val="24"/>
          <w:szCs w:val="24"/>
        </w:rPr>
      </w:pPr>
    </w:p>
    <w:p w14:paraId="6BB00F10" w14:textId="77777777" w:rsidR="009F16FA" w:rsidRPr="009F16FA" w:rsidRDefault="009F16FA" w:rsidP="009F16FA">
      <w:pPr>
        <w:tabs>
          <w:tab w:val="left" w:pos="851"/>
        </w:tabs>
        <w:ind w:left="851"/>
        <w:rPr>
          <w:i/>
          <w:iCs/>
          <w:sz w:val="24"/>
          <w:szCs w:val="24"/>
        </w:rPr>
      </w:pPr>
      <w:r w:rsidRPr="009F16FA">
        <w:rPr>
          <w:i/>
          <w:iCs/>
          <w:sz w:val="24"/>
          <w:szCs w:val="24"/>
        </w:rPr>
        <w:t>Hjælpestoffer, som behandleren skal være opmærksom på</w:t>
      </w:r>
    </w:p>
    <w:p w14:paraId="5C3EC2FC" w14:textId="77777777" w:rsidR="009F16FA" w:rsidRPr="009F16FA" w:rsidRDefault="009F16FA" w:rsidP="009F16FA">
      <w:pPr>
        <w:tabs>
          <w:tab w:val="left" w:pos="851"/>
        </w:tabs>
        <w:ind w:left="851"/>
        <w:rPr>
          <w:sz w:val="24"/>
          <w:szCs w:val="24"/>
        </w:rPr>
      </w:pPr>
      <w:r w:rsidRPr="009F16FA">
        <w:rPr>
          <w:sz w:val="24"/>
          <w:szCs w:val="24"/>
        </w:rPr>
        <w:t>Hver blød kapsel indeholder 214.00 mg renset sojaolie, 40.00 mg hydrogeneret sojaolie og 50.00 mg hydrogeneret vegetabilsk olie (sojabønne, type II).</w:t>
      </w:r>
    </w:p>
    <w:p w14:paraId="6ECB2638" w14:textId="77777777" w:rsidR="009F16FA" w:rsidRPr="009F16FA" w:rsidRDefault="009F16FA" w:rsidP="009F16FA">
      <w:pPr>
        <w:tabs>
          <w:tab w:val="left" w:pos="851"/>
        </w:tabs>
        <w:ind w:left="851"/>
        <w:rPr>
          <w:sz w:val="24"/>
          <w:szCs w:val="24"/>
        </w:rPr>
      </w:pPr>
    </w:p>
    <w:p w14:paraId="02862909" w14:textId="77777777" w:rsidR="009F16FA" w:rsidRPr="009F16FA" w:rsidRDefault="009F16FA" w:rsidP="009F16FA">
      <w:pPr>
        <w:tabs>
          <w:tab w:val="left" w:pos="851"/>
        </w:tabs>
        <w:ind w:left="851"/>
        <w:rPr>
          <w:sz w:val="24"/>
          <w:szCs w:val="24"/>
        </w:rPr>
      </w:pPr>
      <w:r w:rsidRPr="009F16FA">
        <w:rPr>
          <w:sz w:val="24"/>
          <w:szCs w:val="24"/>
        </w:rPr>
        <w:t>Alle hjælpestoffer er anført under pkt. 6.1.</w:t>
      </w:r>
    </w:p>
    <w:p w14:paraId="26B3EF5A" w14:textId="77777777" w:rsidR="009260DE" w:rsidRPr="00C84483" w:rsidRDefault="009260DE" w:rsidP="009260DE">
      <w:pPr>
        <w:tabs>
          <w:tab w:val="left" w:pos="851"/>
        </w:tabs>
        <w:ind w:left="851"/>
        <w:rPr>
          <w:sz w:val="24"/>
          <w:szCs w:val="24"/>
        </w:rPr>
      </w:pPr>
    </w:p>
    <w:p w14:paraId="5FF220D7"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5C1E3679" w14:textId="77777777" w:rsidR="00615BEE" w:rsidRDefault="00615BEE" w:rsidP="00615BEE">
      <w:pPr>
        <w:tabs>
          <w:tab w:val="left" w:pos="851"/>
        </w:tabs>
        <w:ind w:left="851"/>
        <w:rPr>
          <w:sz w:val="24"/>
          <w:szCs w:val="24"/>
          <w:u w:val="single"/>
        </w:rPr>
      </w:pPr>
    </w:p>
    <w:p w14:paraId="2459B188" w14:textId="61F6236F" w:rsidR="00615BEE" w:rsidRPr="00615BEE" w:rsidRDefault="00615BEE" w:rsidP="00615BEE">
      <w:pPr>
        <w:tabs>
          <w:tab w:val="left" w:pos="851"/>
        </w:tabs>
        <w:ind w:left="851"/>
        <w:rPr>
          <w:sz w:val="24"/>
          <w:szCs w:val="24"/>
        </w:rPr>
      </w:pPr>
      <w:r w:rsidRPr="00615BEE">
        <w:rPr>
          <w:sz w:val="24"/>
          <w:szCs w:val="24"/>
          <w:u w:val="single"/>
        </w:rPr>
        <w:t>10 mg</w:t>
      </w:r>
      <w:r w:rsidRPr="00615BEE">
        <w:rPr>
          <w:sz w:val="24"/>
          <w:szCs w:val="24"/>
        </w:rPr>
        <w:t xml:space="preserve"> blød kapsel er rød/orange, oval, markeret med </w:t>
      </w:r>
      <w:r w:rsidR="00D87D80">
        <w:rPr>
          <w:sz w:val="24"/>
          <w:szCs w:val="24"/>
        </w:rPr>
        <w:t>"</w:t>
      </w:r>
      <w:r w:rsidRPr="00615BEE">
        <w:rPr>
          <w:sz w:val="24"/>
          <w:szCs w:val="24"/>
        </w:rPr>
        <w:t>P10</w:t>
      </w:r>
      <w:r w:rsidR="00D87D80">
        <w:rPr>
          <w:sz w:val="24"/>
          <w:szCs w:val="24"/>
        </w:rPr>
        <w:t>"</w:t>
      </w:r>
      <w:r w:rsidRPr="00615BEE">
        <w:rPr>
          <w:sz w:val="24"/>
          <w:szCs w:val="24"/>
        </w:rPr>
        <w:t xml:space="preserve"> og en længde på ca. 11,2 mm og bredde på 6,5 mm</w:t>
      </w:r>
      <w:r>
        <w:rPr>
          <w:sz w:val="24"/>
          <w:szCs w:val="24"/>
        </w:rPr>
        <w:t>.</w:t>
      </w:r>
    </w:p>
    <w:p w14:paraId="1FFC633C" w14:textId="77777777" w:rsidR="00615BEE" w:rsidRPr="00615BEE" w:rsidRDefault="00615BEE" w:rsidP="00615BEE">
      <w:pPr>
        <w:tabs>
          <w:tab w:val="left" w:pos="851"/>
        </w:tabs>
        <w:ind w:left="851"/>
        <w:rPr>
          <w:sz w:val="24"/>
          <w:szCs w:val="24"/>
        </w:rPr>
      </w:pPr>
    </w:p>
    <w:p w14:paraId="3077AA72" w14:textId="18FB2DE0" w:rsidR="00615BEE" w:rsidRPr="00615BEE" w:rsidRDefault="00615BEE" w:rsidP="00615BEE">
      <w:pPr>
        <w:tabs>
          <w:tab w:val="left" w:pos="851"/>
        </w:tabs>
        <w:ind w:left="851"/>
        <w:rPr>
          <w:sz w:val="24"/>
          <w:szCs w:val="24"/>
        </w:rPr>
      </w:pPr>
      <w:r w:rsidRPr="00615BEE">
        <w:rPr>
          <w:sz w:val="24"/>
          <w:szCs w:val="24"/>
          <w:u w:val="single"/>
        </w:rPr>
        <w:t>20 mg</w:t>
      </w:r>
      <w:r w:rsidRPr="00615BEE">
        <w:rPr>
          <w:sz w:val="24"/>
          <w:szCs w:val="24"/>
        </w:rPr>
        <w:t xml:space="preserve"> blød kapsel er rød/orange, oval, markeret med </w:t>
      </w:r>
      <w:r w:rsidR="00D87D80">
        <w:rPr>
          <w:sz w:val="24"/>
          <w:szCs w:val="24"/>
        </w:rPr>
        <w:t>"</w:t>
      </w:r>
      <w:r w:rsidRPr="00615BEE">
        <w:rPr>
          <w:sz w:val="24"/>
          <w:szCs w:val="24"/>
        </w:rPr>
        <w:t>P20</w:t>
      </w:r>
      <w:r w:rsidR="00D87D80">
        <w:rPr>
          <w:sz w:val="24"/>
          <w:szCs w:val="24"/>
        </w:rPr>
        <w:t>"</w:t>
      </w:r>
      <w:r w:rsidRPr="00615BEE">
        <w:rPr>
          <w:sz w:val="24"/>
          <w:szCs w:val="24"/>
        </w:rPr>
        <w:t xml:space="preserve"> og en længde på ca. 13,4 mm og bredde på 7,9 mm</w:t>
      </w:r>
      <w:r>
        <w:rPr>
          <w:sz w:val="24"/>
          <w:szCs w:val="24"/>
        </w:rPr>
        <w:t>.</w:t>
      </w:r>
    </w:p>
    <w:p w14:paraId="25F05320" w14:textId="77777777" w:rsidR="009260DE" w:rsidRPr="00C84483" w:rsidRDefault="009260DE" w:rsidP="009260DE">
      <w:pPr>
        <w:tabs>
          <w:tab w:val="left" w:pos="851"/>
        </w:tabs>
        <w:ind w:left="851"/>
        <w:rPr>
          <w:sz w:val="24"/>
          <w:szCs w:val="24"/>
        </w:rPr>
      </w:pPr>
    </w:p>
    <w:p w14:paraId="0FB1BBC2" w14:textId="377D8159" w:rsidR="00615BEE" w:rsidRDefault="00615BEE">
      <w:pPr>
        <w:rPr>
          <w:sz w:val="24"/>
          <w:szCs w:val="24"/>
        </w:rPr>
      </w:pPr>
      <w:r>
        <w:rPr>
          <w:sz w:val="24"/>
          <w:szCs w:val="24"/>
        </w:rPr>
        <w:br w:type="page"/>
      </w:r>
    </w:p>
    <w:p w14:paraId="64D804C7" w14:textId="77777777" w:rsidR="009260DE" w:rsidRPr="00C84483" w:rsidRDefault="009260DE" w:rsidP="009260DE">
      <w:pPr>
        <w:tabs>
          <w:tab w:val="left" w:pos="851"/>
        </w:tabs>
        <w:ind w:left="851"/>
        <w:rPr>
          <w:sz w:val="24"/>
          <w:szCs w:val="24"/>
        </w:rPr>
      </w:pPr>
    </w:p>
    <w:p w14:paraId="307CBFBE"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3CD4B3B1" w14:textId="77777777" w:rsidR="009260DE" w:rsidRPr="00C84483" w:rsidRDefault="009260DE" w:rsidP="009260DE">
      <w:pPr>
        <w:tabs>
          <w:tab w:val="left" w:pos="851"/>
        </w:tabs>
        <w:ind w:left="851"/>
        <w:rPr>
          <w:b/>
          <w:sz w:val="24"/>
          <w:szCs w:val="24"/>
        </w:rPr>
      </w:pPr>
    </w:p>
    <w:p w14:paraId="46FE54B5"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58C0F5FC" w14:textId="77777777" w:rsidR="00615BEE" w:rsidRPr="00615BEE" w:rsidRDefault="00615BEE" w:rsidP="00615BEE">
      <w:pPr>
        <w:tabs>
          <w:tab w:val="left" w:pos="851"/>
        </w:tabs>
        <w:ind w:left="851"/>
        <w:rPr>
          <w:sz w:val="24"/>
          <w:szCs w:val="24"/>
        </w:rPr>
      </w:pPr>
      <w:r w:rsidRPr="00615BEE">
        <w:rPr>
          <w:sz w:val="24"/>
          <w:szCs w:val="24"/>
        </w:rPr>
        <w:t>Svær akne (som f.eks. nodulær akne, akne conglobata eller akne, som indebærer risiko for permanent ardannelse), som er resistent overfor adækvat standardbehandling med systemiske antibakterielle midler og lokal behandling.</w:t>
      </w:r>
    </w:p>
    <w:p w14:paraId="15EB5B0A" w14:textId="77777777" w:rsidR="009260DE" w:rsidRPr="00C84483" w:rsidRDefault="009260DE" w:rsidP="009260DE">
      <w:pPr>
        <w:tabs>
          <w:tab w:val="left" w:pos="851"/>
        </w:tabs>
        <w:ind w:left="851"/>
        <w:rPr>
          <w:sz w:val="24"/>
          <w:szCs w:val="24"/>
        </w:rPr>
      </w:pPr>
    </w:p>
    <w:p w14:paraId="01104D6D"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4504F2F8" w14:textId="77777777" w:rsidR="00615BEE" w:rsidRDefault="00615BEE" w:rsidP="00615BEE">
      <w:pPr>
        <w:tabs>
          <w:tab w:val="left" w:pos="851"/>
        </w:tabs>
        <w:ind w:left="851"/>
        <w:rPr>
          <w:sz w:val="24"/>
          <w:szCs w:val="24"/>
          <w:u w:val="single"/>
        </w:rPr>
      </w:pPr>
    </w:p>
    <w:p w14:paraId="03DDB845" w14:textId="5BFAF139" w:rsidR="00615BEE" w:rsidRPr="00615BEE" w:rsidRDefault="00615BEE" w:rsidP="00615BEE">
      <w:pPr>
        <w:tabs>
          <w:tab w:val="left" w:pos="851"/>
        </w:tabs>
        <w:ind w:left="851"/>
        <w:rPr>
          <w:sz w:val="24"/>
          <w:szCs w:val="24"/>
          <w:u w:val="single"/>
        </w:rPr>
      </w:pPr>
      <w:r w:rsidRPr="00615BEE">
        <w:rPr>
          <w:sz w:val="24"/>
          <w:szCs w:val="24"/>
          <w:u w:val="single"/>
        </w:rPr>
        <w:t>Dosering</w:t>
      </w:r>
    </w:p>
    <w:p w14:paraId="6BF2DF51" w14:textId="77777777" w:rsidR="00615BEE" w:rsidRPr="00615BEE" w:rsidRDefault="00615BEE" w:rsidP="00615BEE">
      <w:pPr>
        <w:tabs>
          <w:tab w:val="left" w:pos="851"/>
        </w:tabs>
        <w:ind w:left="851"/>
        <w:rPr>
          <w:sz w:val="24"/>
          <w:szCs w:val="24"/>
          <w:u w:val="single"/>
        </w:rPr>
      </w:pPr>
      <w:r w:rsidRPr="00615BEE">
        <w:rPr>
          <w:sz w:val="24"/>
          <w:szCs w:val="24"/>
        </w:rPr>
        <w:t>Isotretinoin må kun ordineres af læger eller under overvågning af læger, som har erfaring med anvendelsen af systemiske retinoider til behandling af svær akne, og som er helt fortrolige med den teratogene risiko, der er forbundet med behandling med isotretinoin, og med de nødvendige kontrolforanstaltninger.</w:t>
      </w:r>
    </w:p>
    <w:p w14:paraId="5F6E25BA" w14:textId="77777777" w:rsidR="00615BEE" w:rsidRPr="00615BEE" w:rsidRDefault="00615BEE" w:rsidP="00615BEE">
      <w:pPr>
        <w:tabs>
          <w:tab w:val="left" w:pos="851"/>
        </w:tabs>
        <w:ind w:left="851"/>
        <w:rPr>
          <w:sz w:val="24"/>
          <w:szCs w:val="24"/>
        </w:rPr>
      </w:pPr>
    </w:p>
    <w:p w14:paraId="1FAA41CA" w14:textId="45243BC7" w:rsidR="00615BEE" w:rsidRPr="00615BEE" w:rsidRDefault="00615BEE" w:rsidP="00615BEE">
      <w:pPr>
        <w:tabs>
          <w:tab w:val="left" w:pos="851"/>
        </w:tabs>
        <w:ind w:left="851"/>
        <w:rPr>
          <w:sz w:val="24"/>
          <w:szCs w:val="24"/>
          <w:u w:val="single"/>
        </w:rPr>
      </w:pPr>
      <w:r w:rsidRPr="00615BEE">
        <w:rPr>
          <w:sz w:val="24"/>
          <w:szCs w:val="24"/>
          <w:u w:val="single"/>
        </w:rPr>
        <w:t>Administrationsm</w:t>
      </w:r>
      <w:r>
        <w:rPr>
          <w:sz w:val="24"/>
          <w:szCs w:val="24"/>
          <w:u w:val="single"/>
        </w:rPr>
        <w:t>åde</w:t>
      </w:r>
    </w:p>
    <w:p w14:paraId="61AAA777" w14:textId="77777777" w:rsidR="00615BEE" w:rsidRPr="00615BEE" w:rsidRDefault="00615BEE" w:rsidP="00615BEE">
      <w:pPr>
        <w:tabs>
          <w:tab w:val="left" w:pos="851"/>
        </w:tabs>
        <w:ind w:left="851"/>
        <w:rPr>
          <w:sz w:val="24"/>
          <w:szCs w:val="24"/>
        </w:rPr>
      </w:pPr>
      <w:r w:rsidRPr="00615BEE">
        <w:rPr>
          <w:sz w:val="24"/>
          <w:szCs w:val="24"/>
        </w:rPr>
        <w:t>Kapslerne skal indtages med føde én eller to gange daglig.</w:t>
      </w:r>
    </w:p>
    <w:p w14:paraId="6AE76C33" w14:textId="77777777" w:rsidR="00615BEE" w:rsidRPr="00615BEE" w:rsidRDefault="00615BEE" w:rsidP="00615BEE">
      <w:pPr>
        <w:tabs>
          <w:tab w:val="left" w:pos="851"/>
        </w:tabs>
        <w:ind w:left="851"/>
        <w:rPr>
          <w:sz w:val="24"/>
          <w:szCs w:val="24"/>
        </w:rPr>
      </w:pPr>
    </w:p>
    <w:p w14:paraId="4B2ED6EA" w14:textId="77777777" w:rsidR="00615BEE" w:rsidRPr="00615BEE" w:rsidRDefault="00615BEE" w:rsidP="00615BEE">
      <w:pPr>
        <w:tabs>
          <w:tab w:val="left" w:pos="851"/>
        </w:tabs>
        <w:ind w:left="851"/>
        <w:rPr>
          <w:i/>
          <w:iCs/>
          <w:sz w:val="24"/>
          <w:szCs w:val="24"/>
        </w:rPr>
      </w:pPr>
      <w:r w:rsidRPr="00615BEE">
        <w:rPr>
          <w:i/>
          <w:iCs/>
          <w:sz w:val="24"/>
          <w:szCs w:val="24"/>
        </w:rPr>
        <w:t>Pædiatrisk population</w:t>
      </w:r>
    </w:p>
    <w:p w14:paraId="5EF7A88C" w14:textId="77777777" w:rsidR="00615BEE" w:rsidRPr="00615BEE" w:rsidRDefault="00615BEE" w:rsidP="00615BEE">
      <w:pPr>
        <w:tabs>
          <w:tab w:val="left" w:pos="851"/>
        </w:tabs>
        <w:ind w:left="851"/>
        <w:rPr>
          <w:sz w:val="24"/>
          <w:szCs w:val="24"/>
        </w:rPr>
      </w:pPr>
      <w:r w:rsidRPr="00615BEE">
        <w:rPr>
          <w:sz w:val="24"/>
          <w:szCs w:val="24"/>
        </w:rPr>
        <w:t>Isotretinoin Pharmathen bør ikke anvendes til behandling af præpubertær akne og anbefales ikke til børn under 12 år pga. manglende data omkring virkning og sikkerhed.</w:t>
      </w:r>
    </w:p>
    <w:p w14:paraId="5E09DF05" w14:textId="77777777" w:rsidR="00615BEE" w:rsidRPr="00615BEE" w:rsidRDefault="00615BEE" w:rsidP="00615BEE">
      <w:pPr>
        <w:tabs>
          <w:tab w:val="left" w:pos="851"/>
        </w:tabs>
        <w:ind w:left="851"/>
        <w:rPr>
          <w:sz w:val="24"/>
          <w:szCs w:val="24"/>
        </w:rPr>
      </w:pPr>
    </w:p>
    <w:p w14:paraId="3BBDACB1" w14:textId="77777777" w:rsidR="00615BEE" w:rsidRPr="00615BEE" w:rsidRDefault="00615BEE" w:rsidP="00615BEE">
      <w:pPr>
        <w:tabs>
          <w:tab w:val="left" w:pos="851"/>
        </w:tabs>
        <w:ind w:left="851"/>
        <w:rPr>
          <w:i/>
          <w:iCs/>
          <w:sz w:val="24"/>
          <w:szCs w:val="24"/>
        </w:rPr>
      </w:pPr>
      <w:r w:rsidRPr="00615BEE">
        <w:rPr>
          <w:i/>
          <w:iCs/>
          <w:sz w:val="24"/>
          <w:szCs w:val="24"/>
        </w:rPr>
        <w:t>Voksne, inklusive unge og ældre</w:t>
      </w:r>
    </w:p>
    <w:p w14:paraId="7696CF06" w14:textId="77777777" w:rsidR="00615BEE" w:rsidRPr="00615BEE" w:rsidRDefault="00615BEE" w:rsidP="00615BEE">
      <w:pPr>
        <w:tabs>
          <w:tab w:val="left" w:pos="851"/>
        </w:tabs>
        <w:ind w:left="851"/>
        <w:rPr>
          <w:sz w:val="24"/>
          <w:szCs w:val="24"/>
        </w:rPr>
      </w:pPr>
      <w:r w:rsidRPr="00615BEE">
        <w:rPr>
          <w:sz w:val="24"/>
          <w:szCs w:val="24"/>
        </w:rPr>
        <w:t>Behandling med isotretinoin påbegyndes med 0,5 mg/kg daglig. Det terapeutiske respons og nogle af bivirkningerne af isotretinoin er dosisafhængige og varierer fra patient til patient. Det kræver individuel dosisjustering under behandlingen. Hos de fleste patienter varierer dosis fra 0,5-1,0 mg/kg pr. dag.</w:t>
      </w:r>
    </w:p>
    <w:p w14:paraId="12911963" w14:textId="77777777" w:rsidR="00615BEE" w:rsidRPr="00615BEE" w:rsidRDefault="00615BEE" w:rsidP="00615BEE">
      <w:pPr>
        <w:tabs>
          <w:tab w:val="left" w:pos="851"/>
        </w:tabs>
        <w:ind w:left="851"/>
        <w:rPr>
          <w:sz w:val="24"/>
          <w:szCs w:val="24"/>
        </w:rPr>
      </w:pPr>
    </w:p>
    <w:p w14:paraId="63879659" w14:textId="77777777" w:rsidR="00615BEE" w:rsidRPr="00615BEE" w:rsidRDefault="00615BEE" w:rsidP="00615BEE">
      <w:pPr>
        <w:tabs>
          <w:tab w:val="left" w:pos="851"/>
        </w:tabs>
        <w:ind w:left="851"/>
        <w:rPr>
          <w:sz w:val="24"/>
          <w:szCs w:val="24"/>
        </w:rPr>
      </w:pPr>
      <w:r w:rsidRPr="00615BEE">
        <w:rPr>
          <w:sz w:val="24"/>
          <w:szCs w:val="24"/>
        </w:rPr>
        <w:t>Langtidsremission og relapsrater er mere relateret til den totalt administrerede dosis end til behandlingsvarighed og daglig dosis. Det er vist, at der ikke opnås væsentlig bedre effekt med en kumulativ behandlingsdosis over 120-150 mg/kg. Behandlingsvarigheden afhænger af den daglige dosis. En behandlingsvarighed på 16-24 uger er normalt tilstrækkelig til at opnå remission.</w:t>
      </w:r>
    </w:p>
    <w:p w14:paraId="639FB4B0" w14:textId="77777777" w:rsidR="00615BEE" w:rsidRPr="00615BEE" w:rsidRDefault="00615BEE" w:rsidP="00615BEE">
      <w:pPr>
        <w:tabs>
          <w:tab w:val="left" w:pos="851"/>
        </w:tabs>
        <w:ind w:left="851"/>
        <w:rPr>
          <w:sz w:val="24"/>
          <w:szCs w:val="24"/>
        </w:rPr>
      </w:pPr>
    </w:p>
    <w:p w14:paraId="00E3B469" w14:textId="77777777" w:rsidR="00615BEE" w:rsidRPr="00615BEE" w:rsidRDefault="00615BEE" w:rsidP="00615BEE">
      <w:pPr>
        <w:tabs>
          <w:tab w:val="left" w:pos="851"/>
        </w:tabs>
        <w:ind w:left="851"/>
        <w:rPr>
          <w:sz w:val="24"/>
          <w:szCs w:val="24"/>
        </w:rPr>
      </w:pPr>
      <w:r w:rsidRPr="00615BEE">
        <w:rPr>
          <w:sz w:val="24"/>
          <w:szCs w:val="24"/>
        </w:rPr>
        <w:t xml:space="preserve">Hos de fleste patienter opnås fuldstændig heling af aknen efter en enkelt behandlingskur. Hvis der kommer sikkert recidiv, bør det overvejes at give en ny behandlingskur med isotretinoin med samme daglige og kumulative dosis. Da der kan komme yderligere bedring af aknen i op til 8 uger efter behandlingen er stoppet, bør ny behandling ikke påbegyndes, før denne periode er gået. </w:t>
      </w:r>
    </w:p>
    <w:p w14:paraId="3A8CC5E9" w14:textId="77777777" w:rsidR="00615BEE" w:rsidRPr="00615BEE" w:rsidRDefault="00615BEE" w:rsidP="00615BEE">
      <w:pPr>
        <w:tabs>
          <w:tab w:val="left" w:pos="851"/>
        </w:tabs>
        <w:ind w:left="851"/>
        <w:rPr>
          <w:sz w:val="24"/>
          <w:szCs w:val="24"/>
        </w:rPr>
      </w:pPr>
    </w:p>
    <w:p w14:paraId="4591441A" w14:textId="77777777" w:rsidR="00615BEE" w:rsidRPr="00615BEE" w:rsidRDefault="00615BEE" w:rsidP="00615BEE">
      <w:pPr>
        <w:tabs>
          <w:tab w:val="left" w:pos="851"/>
        </w:tabs>
        <w:ind w:left="851"/>
        <w:rPr>
          <w:i/>
          <w:iCs/>
          <w:sz w:val="24"/>
          <w:szCs w:val="24"/>
        </w:rPr>
      </w:pPr>
      <w:r w:rsidRPr="00615BEE">
        <w:rPr>
          <w:i/>
          <w:iCs/>
          <w:sz w:val="24"/>
          <w:szCs w:val="24"/>
        </w:rPr>
        <w:t>Patienter med nyreinsufficiens</w:t>
      </w:r>
    </w:p>
    <w:p w14:paraId="70EE712F" w14:textId="77777777" w:rsidR="00615BEE" w:rsidRPr="00615BEE" w:rsidRDefault="00615BEE" w:rsidP="00615BEE">
      <w:pPr>
        <w:tabs>
          <w:tab w:val="left" w:pos="851"/>
        </w:tabs>
        <w:ind w:left="851"/>
        <w:rPr>
          <w:sz w:val="24"/>
          <w:szCs w:val="24"/>
        </w:rPr>
      </w:pPr>
      <w:r w:rsidRPr="00615BEE">
        <w:rPr>
          <w:sz w:val="24"/>
          <w:szCs w:val="24"/>
        </w:rPr>
        <w:t>Hos patienter med svær nyreinsufficiens skal behandlingen påbegyndes med en lavere dosis (f.eks. 10 mg/dag). Derefter øges dosis op til 1 mg/kg/dag, eller indtil patienten får den maksimalt tolererbare dosis (se pkt. 4.4).</w:t>
      </w:r>
    </w:p>
    <w:p w14:paraId="06790CD1" w14:textId="77777777" w:rsidR="00615BEE" w:rsidRPr="00615BEE" w:rsidRDefault="00615BEE" w:rsidP="00615BEE">
      <w:pPr>
        <w:tabs>
          <w:tab w:val="left" w:pos="851"/>
        </w:tabs>
        <w:ind w:left="851"/>
        <w:rPr>
          <w:sz w:val="24"/>
          <w:szCs w:val="24"/>
        </w:rPr>
      </w:pPr>
    </w:p>
    <w:p w14:paraId="6CED6166" w14:textId="77777777" w:rsidR="00615BEE" w:rsidRPr="00615BEE" w:rsidRDefault="00615BEE" w:rsidP="00615BEE">
      <w:pPr>
        <w:tabs>
          <w:tab w:val="left" w:pos="851"/>
        </w:tabs>
        <w:ind w:left="851"/>
        <w:rPr>
          <w:i/>
          <w:iCs/>
          <w:sz w:val="24"/>
          <w:szCs w:val="24"/>
        </w:rPr>
      </w:pPr>
      <w:r w:rsidRPr="00615BEE">
        <w:rPr>
          <w:i/>
          <w:iCs/>
          <w:sz w:val="24"/>
          <w:szCs w:val="24"/>
        </w:rPr>
        <w:t>Patienter med intolerans</w:t>
      </w:r>
    </w:p>
    <w:p w14:paraId="69BE7E16" w14:textId="77777777" w:rsidR="00615BEE" w:rsidRPr="00615BEE" w:rsidRDefault="00615BEE" w:rsidP="00615BEE">
      <w:pPr>
        <w:tabs>
          <w:tab w:val="left" w:pos="851"/>
        </w:tabs>
        <w:ind w:left="851"/>
        <w:rPr>
          <w:sz w:val="24"/>
          <w:szCs w:val="24"/>
        </w:rPr>
      </w:pPr>
      <w:r w:rsidRPr="00615BEE">
        <w:rPr>
          <w:sz w:val="24"/>
          <w:szCs w:val="24"/>
        </w:rPr>
        <w:t>Hos patienter, som viser svær intolerans over for den anbefalede dosis, kan behandlingen fortsættes med en lavere dosis med en deraf følgende længere behandlingsvarighed og større risiko for recidiv. For at opnå størst mulig effekt hos disse patienter skal behandlingen normalt fortsættes med den højest tolererbare dosis.</w:t>
      </w:r>
    </w:p>
    <w:p w14:paraId="4BF811E5" w14:textId="77777777" w:rsidR="00615BEE" w:rsidRPr="00615BEE" w:rsidRDefault="00615BEE" w:rsidP="00615BEE">
      <w:pPr>
        <w:tabs>
          <w:tab w:val="left" w:pos="851"/>
        </w:tabs>
        <w:ind w:left="851"/>
        <w:rPr>
          <w:sz w:val="24"/>
          <w:szCs w:val="24"/>
        </w:rPr>
      </w:pPr>
    </w:p>
    <w:p w14:paraId="16D3965A" w14:textId="77777777" w:rsidR="009260DE" w:rsidRPr="00C84483" w:rsidRDefault="009260DE" w:rsidP="009260DE">
      <w:pPr>
        <w:tabs>
          <w:tab w:val="left" w:pos="851"/>
        </w:tabs>
        <w:ind w:left="851"/>
        <w:rPr>
          <w:sz w:val="24"/>
          <w:szCs w:val="24"/>
        </w:rPr>
      </w:pPr>
    </w:p>
    <w:p w14:paraId="4E3BC03A"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0546B260" w14:textId="77777777" w:rsidR="00615BEE" w:rsidRPr="00615BEE" w:rsidRDefault="00615BEE" w:rsidP="00615BEE">
      <w:pPr>
        <w:tabs>
          <w:tab w:val="left" w:pos="851"/>
        </w:tabs>
        <w:ind w:left="851"/>
        <w:rPr>
          <w:sz w:val="24"/>
          <w:szCs w:val="24"/>
        </w:rPr>
      </w:pPr>
      <w:r w:rsidRPr="00615BEE">
        <w:rPr>
          <w:sz w:val="24"/>
          <w:szCs w:val="24"/>
        </w:rPr>
        <w:t>Isotretinoin er kontraindiceret til kvinder, som er gravide eller ammer (se pkt. 4.6).</w:t>
      </w:r>
    </w:p>
    <w:p w14:paraId="0435B1AB" w14:textId="77777777" w:rsidR="00615BEE" w:rsidRPr="00615BEE" w:rsidRDefault="00615BEE" w:rsidP="00615BEE">
      <w:pPr>
        <w:tabs>
          <w:tab w:val="left" w:pos="851"/>
        </w:tabs>
        <w:ind w:left="851"/>
        <w:rPr>
          <w:sz w:val="24"/>
          <w:szCs w:val="24"/>
        </w:rPr>
      </w:pPr>
    </w:p>
    <w:p w14:paraId="1AEDA7B8" w14:textId="77777777" w:rsidR="00615BEE" w:rsidRPr="00615BEE" w:rsidRDefault="00615BEE" w:rsidP="00615BEE">
      <w:pPr>
        <w:tabs>
          <w:tab w:val="left" w:pos="851"/>
        </w:tabs>
        <w:ind w:left="851"/>
        <w:rPr>
          <w:sz w:val="24"/>
          <w:szCs w:val="24"/>
        </w:rPr>
      </w:pPr>
      <w:r w:rsidRPr="00615BEE">
        <w:rPr>
          <w:sz w:val="24"/>
          <w:szCs w:val="24"/>
        </w:rPr>
        <w:t>Isotretinoin er kontraindiceret til fertile kvinder, medmindre alle forebyggende forholdsregler, beskrevet i præventionsprogrammet (PPP; Pregnancy Prevention Programme), er opfyldt (se pkt. 4.4).</w:t>
      </w:r>
    </w:p>
    <w:p w14:paraId="2A47F2F8" w14:textId="77777777" w:rsidR="00615BEE" w:rsidRPr="00615BEE" w:rsidRDefault="00615BEE" w:rsidP="00615BEE">
      <w:pPr>
        <w:tabs>
          <w:tab w:val="left" w:pos="851"/>
        </w:tabs>
        <w:ind w:left="851"/>
        <w:rPr>
          <w:sz w:val="24"/>
          <w:szCs w:val="24"/>
        </w:rPr>
      </w:pPr>
    </w:p>
    <w:p w14:paraId="2540E59E" w14:textId="77777777" w:rsidR="00615BEE" w:rsidRPr="00615BEE" w:rsidRDefault="00615BEE" w:rsidP="00615BEE">
      <w:pPr>
        <w:tabs>
          <w:tab w:val="left" w:pos="851"/>
        </w:tabs>
        <w:ind w:left="851"/>
        <w:rPr>
          <w:sz w:val="24"/>
          <w:szCs w:val="24"/>
        </w:rPr>
      </w:pPr>
      <w:r w:rsidRPr="00615BEE">
        <w:rPr>
          <w:sz w:val="24"/>
          <w:szCs w:val="24"/>
        </w:rPr>
        <w:t xml:space="preserve">Isotretinoin er ligeledes kontraindiceret til patienter med overfølsomhed over for den isotretinoin eller over for et eller flere af hjælpestofferne anført i pkt. 6.1. </w:t>
      </w:r>
    </w:p>
    <w:p w14:paraId="45B5A9DA" w14:textId="77777777" w:rsidR="00615BEE" w:rsidRPr="00615BEE" w:rsidRDefault="00615BEE" w:rsidP="00615BEE">
      <w:pPr>
        <w:tabs>
          <w:tab w:val="left" w:pos="851"/>
        </w:tabs>
        <w:ind w:left="851"/>
        <w:rPr>
          <w:sz w:val="24"/>
          <w:szCs w:val="24"/>
        </w:rPr>
      </w:pPr>
      <w:r w:rsidRPr="00615BEE">
        <w:rPr>
          <w:sz w:val="24"/>
          <w:szCs w:val="24"/>
        </w:rPr>
        <w:t>Isotretinoin Pharmathen 10mg og 20mg indeholder renset sojaolie, hydrogeneret sojaolie og hydrogeneret vegetabilsk olie. Derfor er Isotretinoin Pharmathen 10 mg og 20 mg kontraindiceret hos patienter med overfølsomhed (allergi) over for peanuts (jordnødder) eller soja.</w:t>
      </w:r>
    </w:p>
    <w:p w14:paraId="6541E6A9" w14:textId="77777777" w:rsidR="00615BEE" w:rsidRPr="00615BEE" w:rsidRDefault="00615BEE" w:rsidP="00615BEE">
      <w:pPr>
        <w:tabs>
          <w:tab w:val="left" w:pos="851"/>
        </w:tabs>
        <w:ind w:left="851"/>
        <w:rPr>
          <w:sz w:val="24"/>
          <w:szCs w:val="24"/>
        </w:rPr>
      </w:pPr>
    </w:p>
    <w:p w14:paraId="2C3AD2C3" w14:textId="77777777" w:rsidR="00615BEE" w:rsidRPr="00615BEE" w:rsidRDefault="00615BEE" w:rsidP="00615BEE">
      <w:pPr>
        <w:tabs>
          <w:tab w:val="left" w:pos="851"/>
        </w:tabs>
        <w:ind w:left="851"/>
        <w:rPr>
          <w:sz w:val="24"/>
          <w:szCs w:val="24"/>
        </w:rPr>
      </w:pPr>
      <w:r w:rsidRPr="00615BEE">
        <w:rPr>
          <w:sz w:val="24"/>
          <w:szCs w:val="24"/>
        </w:rPr>
        <w:t>Isotretinoin er også kontraindiceret til patienter</w:t>
      </w:r>
    </w:p>
    <w:p w14:paraId="67B455DC" w14:textId="77777777" w:rsidR="00615BEE" w:rsidRPr="00615BEE" w:rsidRDefault="00615BEE" w:rsidP="00615BEE">
      <w:pPr>
        <w:numPr>
          <w:ilvl w:val="0"/>
          <w:numId w:val="6"/>
        </w:numPr>
        <w:tabs>
          <w:tab w:val="left" w:pos="851"/>
        </w:tabs>
        <w:ind w:left="1134" w:hanging="283"/>
        <w:rPr>
          <w:sz w:val="24"/>
          <w:szCs w:val="24"/>
        </w:rPr>
      </w:pPr>
      <w:r w:rsidRPr="00615BEE">
        <w:rPr>
          <w:sz w:val="24"/>
          <w:szCs w:val="24"/>
        </w:rPr>
        <w:t>med leverinsufficiens</w:t>
      </w:r>
    </w:p>
    <w:p w14:paraId="0C4EBCA8" w14:textId="77777777" w:rsidR="00615BEE" w:rsidRPr="00615BEE" w:rsidRDefault="00615BEE" w:rsidP="00615BEE">
      <w:pPr>
        <w:numPr>
          <w:ilvl w:val="0"/>
          <w:numId w:val="6"/>
        </w:numPr>
        <w:tabs>
          <w:tab w:val="left" w:pos="851"/>
        </w:tabs>
        <w:ind w:left="1134" w:hanging="283"/>
        <w:rPr>
          <w:sz w:val="24"/>
          <w:szCs w:val="24"/>
        </w:rPr>
      </w:pPr>
      <w:r w:rsidRPr="00615BEE">
        <w:rPr>
          <w:sz w:val="24"/>
          <w:szCs w:val="24"/>
        </w:rPr>
        <w:t>med stærkt forhøjede blodlipidværdier</w:t>
      </w:r>
    </w:p>
    <w:p w14:paraId="43A82371" w14:textId="77777777" w:rsidR="00615BEE" w:rsidRPr="00615BEE" w:rsidRDefault="00615BEE" w:rsidP="00615BEE">
      <w:pPr>
        <w:numPr>
          <w:ilvl w:val="0"/>
          <w:numId w:val="6"/>
        </w:numPr>
        <w:tabs>
          <w:tab w:val="left" w:pos="851"/>
        </w:tabs>
        <w:ind w:left="1134" w:hanging="283"/>
        <w:rPr>
          <w:sz w:val="24"/>
          <w:szCs w:val="24"/>
        </w:rPr>
      </w:pPr>
      <w:r w:rsidRPr="00615BEE">
        <w:rPr>
          <w:sz w:val="24"/>
          <w:szCs w:val="24"/>
        </w:rPr>
        <w:t>med hypervitaminosis A</w:t>
      </w:r>
    </w:p>
    <w:p w14:paraId="2464788D" w14:textId="77777777" w:rsidR="00615BEE" w:rsidRPr="00615BEE" w:rsidRDefault="00615BEE" w:rsidP="00615BEE">
      <w:pPr>
        <w:numPr>
          <w:ilvl w:val="0"/>
          <w:numId w:val="6"/>
        </w:numPr>
        <w:tabs>
          <w:tab w:val="left" w:pos="851"/>
        </w:tabs>
        <w:ind w:left="1134" w:hanging="283"/>
        <w:rPr>
          <w:sz w:val="24"/>
          <w:szCs w:val="24"/>
        </w:rPr>
      </w:pPr>
      <w:r w:rsidRPr="00615BEE">
        <w:rPr>
          <w:sz w:val="24"/>
          <w:szCs w:val="24"/>
        </w:rPr>
        <w:t>som samtidig behandles med tetracykliner (se pkt. 4.5).</w:t>
      </w:r>
    </w:p>
    <w:p w14:paraId="71647911" w14:textId="77777777" w:rsidR="009260DE" w:rsidRPr="00C84483" w:rsidRDefault="009260DE" w:rsidP="009260DE">
      <w:pPr>
        <w:tabs>
          <w:tab w:val="left" w:pos="851"/>
        </w:tabs>
        <w:ind w:left="851"/>
        <w:rPr>
          <w:sz w:val="24"/>
          <w:szCs w:val="24"/>
        </w:rPr>
      </w:pPr>
    </w:p>
    <w:p w14:paraId="36858354"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24E7CF71" w14:textId="77777777" w:rsidR="002A21A1" w:rsidRPr="002A21A1" w:rsidRDefault="002A21A1" w:rsidP="002A21A1">
      <w:pPr>
        <w:tabs>
          <w:tab w:val="left" w:pos="851"/>
        </w:tabs>
        <w:ind w:left="993"/>
        <w:rPr>
          <w:b/>
          <w:bCs/>
          <w:sz w:val="24"/>
          <w:szCs w:val="24"/>
        </w:rPr>
      </w:pPr>
    </w:p>
    <w:p w14:paraId="6C0DF3F2" w14:textId="77777777" w:rsidR="002A21A1" w:rsidRPr="002A21A1" w:rsidRDefault="002A21A1" w:rsidP="002A21A1">
      <w:pPr>
        <w:widowControl w:val="0"/>
        <w:pBdr>
          <w:top w:val="single" w:sz="24" w:space="1" w:color="auto"/>
          <w:left w:val="single" w:sz="24" w:space="4" w:color="auto"/>
          <w:bottom w:val="single" w:sz="24" w:space="1" w:color="auto"/>
          <w:right w:val="single" w:sz="24" w:space="4" w:color="auto"/>
        </w:pBdr>
        <w:autoSpaceDE w:val="0"/>
        <w:autoSpaceDN w:val="0"/>
        <w:spacing w:before="1"/>
        <w:ind w:left="993"/>
        <w:rPr>
          <w:b/>
          <w:sz w:val="24"/>
          <w:szCs w:val="24"/>
        </w:rPr>
      </w:pPr>
      <w:r w:rsidRPr="002A21A1">
        <w:rPr>
          <w:b/>
          <w:sz w:val="24"/>
          <w:szCs w:val="24"/>
        </w:rPr>
        <w:t>Teratogene virkninger</w:t>
      </w:r>
    </w:p>
    <w:p w14:paraId="6E547935" w14:textId="2586A6B5" w:rsidR="002A21A1" w:rsidRPr="002A21A1" w:rsidRDefault="002A21A1" w:rsidP="002A21A1">
      <w:pPr>
        <w:widowControl w:val="0"/>
        <w:pBdr>
          <w:top w:val="single" w:sz="24" w:space="1" w:color="auto"/>
          <w:left w:val="single" w:sz="24" w:space="4" w:color="auto"/>
          <w:bottom w:val="single" w:sz="24" w:space="1" w:color="auto"/>
          <w:right w:val="single" w:sz="24" w:space="4" w:color="auto"/>
        </w:pBdr>
        <w:autoSpaceDE w:val="0"/>
        <w:autoSpaceDN w:val="0"/>
        <w:spacing w:before="1"/>
        <w:ind w:left="993"/>
        <w:rPr>
          <w:bCs/>
          <w:sz w:val="24"/>
          <w:szCs w:val="24"/>
        </w:rPr>
      </w:pPr>
      <w:r>
        <w:rPr>
          <w:bCs/>
          <w:sz w:val="24"/>
          <w:szCs w:val="24"/>
        </w:rPr>
        <w:t>Isotretinion "Pharmathen"</w:t>
      </w:r>
      <w:r w:rsidRPr="002A21A1">
        <w:rPr>
          <w:bCs/>
          <w:sz w:val="24"/>
          <w:szCs w:val="24"/>
        </w:rPr>
        <w:t xml:space="preserve"> er et kraftigt humant teratogen, der inducer en høj frekvens af alvorlige og livstruende fødselsdefekter.</w:t>
      </w:r>
    </w:p>
    <w:p w14:paraId="39BACE7B" w14:textId="77777777" w:rsidR="002A21A1" w:rsidRPr="002A21A1" w:rsidRDefault="002A21A1" w:rsidP="002A21A1">
      <w:pPr>
        <w:widowControl w:val="0"/>
        <w:pBdr>
          <w:top w:val="single" w:sz="24" w:space="1" w:color="auto"/>
          <w:left w:val="single" w:sz="24" w:space="4" w:color="auto"/>
          <w:bottom w:val="single" w:sz="24" w:space="1" w:color="auto"/>
          <w:right w:val="single" w:sz="24" w:space="4" w:color="auto"/>
        </w:pBdr>
        <w:autoSpaceDE w:val="0"/>
        <w:autoSpaceDN w:val="0"/>
        <w:spacing w:before="1"/>
        <w:ind w:left="993"/>
        <w:rPr>
          <w:b/>
          <w:sz w:val="24"/>
          <w:szCs w:val="24"/>
        </w:rPr>
      </w:pPr>
    </w:p>
    <w:p w14:paraId="4E9011A2" w14:textId="66E75145" w:rsidR="002A21A1" w:rsidRPr="002A21A1" w:rsidRDefault="002A21A1" w:rsidP="002A21A1">
      <w:pPr>
        <w:widowControl w:val="0"/>
        <w:pBdr>
          <w:top w:val="single" w:sz="24" w:space="1" w:color="auto"/>
          <w:left w:val="single" w:sz="24" w:space="4" w:color="auto"/>
          <w:bottom w:val="single" w:sz="24" w:space="1" w:color="auto"/>
          <w:right w:val="single" w:sz="24" w:space="4" w:color="auto"/>
        </w:pBdr>
        <w:autoSpaceDE w:val="0"/>
        <w:autoSpaceDN w:val="0"/>
        <w:spacing w:before="1"/>
        <w:ind w:left="993"/>
        <w:rPr>
          <w:b/>
          <w:sz w:val="24"/>
          <w:szCs w:val="24"/>
        </w:rPr>
      </w:pPr>
      <w:r w:rsidRPr="002A21A1">
        <w:rPr>
          <w:b/>
          <w:sz w:val="24"/>
          <w:szCs w:val="24"/>
        </w:rPr>
        <w:t xml:space="preserve">Isotretinoin </w:t>
      </w:r>
      <w:r>
        <w:rPr>
          <w:b/>
          <w:sz w:val="24"/>
          <w:szCs w:val="24"/>
        </w:rPr>
        <w:t>"</w:t>
      </w:r>
      <w:r w:rsidRPr="002A21A1">
        <w:rPr>
          <w:b/>
          <w:sz w:val="24"/>
          <w:szCs w:val="24"/>
        </w:rPr>
        <w:t>Pharmathen</w:t>
      </w:r>
      <w:r>
        <w:rPr>
          <w:b/>
          <w:sz w:val="24"/>
          <w:szCs w:val="24"/>
        </w:rPr>
        <w:t>"</w:t>
      </w:r>
      <w:r w:rsidRPr="002A21A1">
        <w:rPr>
          <w:b/>
          <w:sz w:val="24"/>
          <w:szCs w:val="24"/>
        </w:rPr>
        <w:t xml:space="preserve"> er strengt kontraindiceret hos:</w:t>
      </w:r>
    </w:p>
    <w:p w14:paraId="08016299" w14:textId="77777777" w:rsidR="002A21A1" w:rsidRPr="002A21A1" w:rsidRDefault="002A21A1" w:rsidP="002A21A1">
      <w:pPr>
        <w:widowControl w:val="0"/>
        <w:pBdr>
          <w:top w:val="single" w:sz="24" w:space="1" w:color="auto"/>
          <w:left w:val="single" w:sz="24" w:space="4" w:color="auto"/>
          <w:bottom w:val="single" w:sz="24" w:space="1" w:color="auto"/>
          <w:right w:val="single" w:sz="24" w:space="4" w:color="auto"/>
        </w:pBdr>
        <w:autoSpaceDE w:val="0"/>
        <w:autoSpaceDN w:val="0"/>
        <w:spacing w:before="1"/>
        <w:ind w:left="993"/>
        <w:rPr>
          <w:bCs/>
          <w:sz w:val="24"/>
          <w:szCs w:val="24"/>
        </w:rPr>
      </w:pPr>
      <w:r w:rsidRPr="002A21A1">
        <w:rPr>
          <w:bCs/>
          <w:sz w:val="24"/>
          <w:szCs w:val="24"/>
        </w:rPr>
        <w:t>- Gravide kvinder</w:t>
      </w:r>
    </w:p>
    <w:p w14:paraId="38304CE4" w14:textId="77777777" w:rsidR="002A21A1" w:rsidRPr="002A21A1" w:rsidRDefault="002A21A1" w:rsidP="002A21A1">
      <w:pPr>
        <w:widowControl w:val="0"/>
        <w:pBdr>
          <w:top w:val="single" w:sz="24" w:space="1" w:color="auto"/>
          <w:left w:val="single" w:sz="24" w:space="4" w:color="auto"/>
          <w:bottom w:val="single" w:sz="24" w:space="1" w:color="auto"/>
          <w:right w:val="single" w:sz="24" w:space="4" w:color="auto"/>
        </w:pBdr>
        <w:autoSpaceDE w:val="0"/>
        <w:autoSpaceDN w:val="0"/>
        <w:spacing w:before="1"/>
        <w:ind w:left="993"/>
        <w:rPr>
          <w:bCs/>
          <w:sz w:val="24"/>
          <w:szCs w:val="24"/>
        </w:rPr>
      </w:pPr>
      <w:r w:rsidRPr="002A21A1">
        <w:rPr>
          <w:bCs/>
          <w:sz w:val="24"/>
          <w:szCs w:val="24"/>
        </w:rPr>
        <w:t>- Fertile kvinder, medmindre alle betingelser i svangerskabsforebyggelsesprogrammet opfyldes</w:t>
      </w:r>
    </w:p>
    <w:p w14:paraId="3002A158" w14:textId="77777777" w:rsidR="002A21A1" w:rsidRPr="002A21A1" w:rsidRDefault="002A21A1" w:rsidP="002A21A1">
      <w:pPr>
        <w:widowControl w:val="0"/>
        <w:pBdr>
          <w:top w:val="single" w:sz="24" w:space="1" w:color="auto"/>
          <w:left w:val="single" w:sz="24" w:space="4" w:color="auto"/>
          <w:bottom w:val="single" w:sz="24" w:space="1" w:color="auto"/>
          <w:right w:val="single" w:sz="24" w:space="4" w:color="auto"/>
        </w:pBdr>
        <w:autoSpaceDE w:val="0"/>
        <w:autoSpaceDN w:val="0"/>
        <w:spacing w:before="1"/>
        <w:ind w:left="993"/>
        <w:rPr>
          <w:bCs/>
          <w:sz w:val="22"/>
          <w:szCs w:val="22"/>
        </w:rPr>
      </w:pPr>
    </w:p>
    <w:p w14:paraId="6FF470A0" w14:textId="77777777" w:rsidR="002A21A1" w:rsidRPr="002A21A1" w:rsidRDefault="002A21A1" w:rsidP="002A21A1">
      <w:pPr>
        <w:tabs>
          <w:tab w:val="left" w:pos="851"/>
        </w:tabs>
        <w:ind w:left="993"/>
        <w:rPr>
          <w:b/>
          <w:bCs/>
          <w:sz w:val="24"/>
          <w:szCs w:val="24"/>
        </w:rPr>
      </w:pPr>
    </w:p>
    <w:p w14:paraId="09140F96" w14:textId="77777777" w:rsidR="0040023F" w:rsidRPr="0040023F" w:rsidRDefault="0040023F" w:rsidP="0040023F">
      <w:pPr>
        <w:tabs>
          <w:tab w:val="left" w:pos="851"/>
        </w:tabs>
        <w:ind w:left="851"/>
        <w:rPr>
          <w:b/>
          <w:sz w:val="24"/>
          <w:szCs w:val="24"/>
        </w:rPr>
      </w:pPr>
      <w:r w:rsidRPr="0040023F">
        <w:rPr>
          <w:b/>
          <w:sz w:val="24"/>
          <w:szCs w:val="24"/>
        </w:rPr>
        <w:t>Svangerskabsforebyggelsesprogram</w:t>
      </w:r>
    </w:p>
    <w:p w14:paraId="61A6B546" w14:textId="77777777" w:rsidR="0040023F" w:rsidRPr="0040023F" w:rsidRDefault="0040023F" w:rsidP="0040023F">
      <w:pPr>
        <w:tabs>
          <w:tab w:val="left" w:pos="851"/>
        </w:tabs>
        <w:ind w:left="851"/>
        <w:rPr>
          <w:sz w:val="24"/>
          <w:szCs w:val="24"/>
          <w:u w:val="single"/>
        </w:rPr>
      </w:pPr>
    </w:p>
    <w:p w14:paraId="538518B8" w14:textId="77777777" w:rsidR="0040023F" w:rsidRPr="0040023F" w:rsidRDefault="0040023F" w:rsidP="0040023F">
      <w:pPr>
        <w:tabs>
          <w:tab w:val="left" w:pos="851"/>
        </w:tabs>
        <w:ind w:left="851"/>
        <w:rPr>
          <w:sz w:val="24"/>
          <w:szCs w:val="24"/>
        </w:rPr>
      </w:pPr>
      <w:r w:rsidRPr="0040023F">
        <w:rPr>
          <w:sz w:val="24"/>
          <w:szCs w:val="24"/>
          <w:u w:val="single"/>
        </w:rPr>
        <w:t>Dette lægemiddel er TERATOGENT</w:t>
      </w:r>
    </w:p>
    <w:p w14:paraId="34121FF7" w14:textId="77777777" w:rsidR="0040023F" w:rsidRPr="0040023F" w:rsidRDefault="0040023F" w:rsidP="0040023F">
      <w:pPr>
        <w:tabs>
          <w:tab w:val="left" w:pos="851"/>
        </w:tabs>
        <w:ind w:left="851"/>
        <w:rPr>
          <w:sz w:val="24"/>
          <w:szCs w:val="24"/>
        </w:rPr>
      </w:pPr>
    </w:p>
    <w:p w14:paraId="36610765" w14:textId="77777777" w:rsidR="0040023F" w:rsidRPr="0040023F" w:rsidRDefault="0040023F" w:rsidP="0040023F">
      <w:pPr>
        <w:tabs>
          <w:tab w:val="left" w:pos="851"/>
        </w:tabs>
        <w:ind w:left="851"/>
        <w:rPr>
          <w:sz w:val="24"/>
          <w:szCs w:val="24"/>
        </w:rPr>
      </w:pPr>
      <w:r w:rsidRPr="0040023F">
        <w:rPr>
          <w:sz w:val="24"/>
          <w:szCs w:val="24"/>
        </w:rPr>
        <w:t xml:space="preserve">Isotretinoin er kontraindiceret hos fertile kvinder medmindre alle nedenstående betingelser i </w:t>
      </w:r>
      <w:r w:rsidRPr="0040023F">
        <w:rPr>
          <w:bCs/>
          <w:iCs/>
          <w:sz w:val="24"/>
          <w:szCs w:val="24"/>
        </w:rPr>
        <w:t>svangerskabsforebyggelsesprogrammet</w:t>
      </w:r>
      <w:r w:rsidRPr="0040023F">
        <w:rPr>
          <w:sz w:val="24"/>
          <w:szCs w:val="24"/>
        </w:rPr>
        <w:t xml:space="preserve"> opfyldes:</w:t>
      </w:r>
    </w:p>
    <w:p w14:paraId="43657E2A" w14:textId="77777777" w:rsidR="0040023F" w:rsidRPr="0040023F" w:rsidRDefault="0040023F" w:rsidP="0040023F">
      <w:pPr>
        <w:numPr>
          <w:ilvl w:val="0"/>
          <w:numId w:val="7"/>
        </w:numPr>
        <w:tabs>
          <w:tab w:val="clear" w:pos="1570"/>
          <w:tab w:val="num" w:pos="284"/>
          <w:tab w:val="left" w:pos="851"/>
          <w:tab w:val="num" w:pos="1134"/>
        </w:tabs>
        <w:ind w:left="1134" w:hanging="283"/>
        <w:rPr>
          <w:sz w:val="24"/>
          <w:szCs w:val="24"/>
        </w:rPr>
      </w:pPr>
      <w:r w:rsidRPr="0040023F">
        <w:rPr>
          <w:sz w:val="24"/>
          <w:szCs w:val="24"/>
        </w:rPr>
        <w:t>Kvinden skal have svær akne (som f.eks. nodulær akne eller acne conglobata eller akne, som indebærer risiko for permanent ardannelse), som er resistent overfor adækvat standardbehandling med systemiske antibakterielle midler og lokal behandling (se pkt. 4.1).</w:t>
      </w:r>
    </w:p>
    <w:p w14:paraId="27A5EE3F" w14:textId="77777777" w:rsidR="0040023F" w:rsidRPr="0040023F" w:rsidRDefault="0040023F" w:rsidP="0040023F">
      <w:pPr>
        <w:numPr>
          <w:ilvl w:val="0"/>
          <w:numId w:val="7"/>
        </w:numPr>
        <w:tabs>
          <w:tab w:val="clear" w:pos="1570"/>
          <w:tab w:val="num" w:pos="284"/>
          <w:tab w:val="left" w:pos="851"/>
          <w:tab w:val="num" w:pos="1134"/>
        </w:tabs>
        <w:ind w:left="1134" w:hanging="283"/>
        <w:rPr>
          <w:sz w:val="24"/>
          <w:szCs w:val="24"/>
        </w:rPr>
      </w:pPr>
      <w:r w:rsidRPr="0040023F">
        <w:rPr>
          <w:sz w:val="24"/>
          <w:szCs w:val="24"/>
        </w:rPr>
        <w:t>Muligheden for graviditet skal vurderes for alle kvindelige patienter.</w:t>
      </w:r>
    </w:p>
    <w:p w14:paraId="23B1AA53" w14:textId="77777777" w:rsidR="0040023F" w:rsidRPr="0040023F" w:rsidRDefault="0040023F" w:rsidP="0040023F">
      <w:pPr>
        <w:numPr>
          <w:ilvl w:val="0"/>
          <w:numId w:val="7"/>
        </w:numPr>
        <w:tabs>
          <w:tab w:val="clear" w:pos="1570"/>
          <w:tab w:val="num" w:pos="284"/>
          <w:tab w:val="left" w:pos="851"/>
          <w:tab w:val="num" w:pos="1134"/>
        </w:tabs>
        <w:ind w:left="1134" w:hanging="283"/>
        <w:rPr>
          <w:sz w:val="24"/>
          <w:szCs w:val="24"/>
        </w:rPr>
      </w:pPr>
      <w:r w:rsidRPr="0040023F">
        <w:rPr>
          <w:sz w:val="24"/>
          <w:szCs w:val="24"/>
        </w:rPr>
        <w:t>Hun forstår den teratogene risiko.</w:t>
      </w:r>
    </w:p>
    <w:p w14:paraId="71DFF7E8" w14:textId="77777777" w:rsidR="0040023F" w:rsidRPr="0040023F" w:rsidRDefault="0040023F" w:rsidP="0040023F">
      <w:pPr>
        <w:numPr>
          <w:ilvl w:val="0"/>
          <w:numId w:val="7"/>
        </w:numPr>
        <w:tabs>
          <w:tab w:val="clear" w:pos="1570"/>
          <w:tab w:val="num" w:pos="284"/>
          <w:tab w:val="left" w:pos="851"/>
          <w:tab w:val="num" w:pos="1134"/>
        </w:tabs>
        <w:ind w:left="1134" w:hanging="283"/>
        <w:rPr>
          <w:sz w:val="24"/>
          <w:szCs w:val="24"/>
        </w:rPr>
      </w:pPr>
      <w:r w:rsidRPr="0040023F">
        <w:rPr>
          <w:sz w:val="24"/>
          <w:szCs w:val="24"/>
        </w:rPr>
        <w:t>Hun forstår behovet for en streng månedlig opfølgning.</w:t>
      </w:r>
    </w:p>
    <w:p w14:paraId="3836839B" w14:textId="77777777" w:rsidR="0040023F" w:rsidRPr="0040023F" w:rsidRDefault="0040023F" w:rsidP="0040023F">
      <w:pPr>
        <w:numPr>
          <w:ilvl w:val="0"/>
          <w:numId w:val="7"/>
        </w:numPr>
        <w:tabs>
          <w:tab w:val="clear" w:pos="1570"/>
          <w:tab w:val="left" w:pos="851"/>
          <w:tab w:val="num" w:pos="1134"/>
        </w:tabs>
        <w:ind w:left="1134" w:hanging="283"/>
        <w:rPr>
          <w:sz w:val="24"/>
          <w:szCs w:val="24"/>
        </w:rPr>
      </w:pPr>
      <w:r w:rsidRPr="0040023F">
        <w:rPr>
          <w:sz w:val="24"/>
          <w:szCs w:val="24"/>
        </w:rPr>
        <w:t xml:space="preserve">Hun forstår og accepterer behovet for effektiv prævention, uden afbrydelse, 1 måned før behandlingen påbegyndes, igennem hele behandlingsforløbet og i 1 måned efter behandlingens afslutning. Der bør anvendes mindst en meget effektiv </w:t>
      </w:r>
      <w:r w:rsidRPr="0040023F">
        <w:rPr>
          <w:sz w:val="24"/>
          <w:szCs w:val="24"/>
        </w:rPr>
        <w:lastRenderedPageBreak/>
        <w:t>præventionsmetode (dvs. en brugeruafhængig form) eller to komplementære brugerafhængige former for prævention.</w:t>
      </w:r>
    </w:p>
    <w:p w14:paraId="1E63A2C2" w14:textId="77777777" w:rsidR="0040023F" w:rsidRPr="0040023F" w:rsidRDefault="0040023F" w:rsidP="0040023F">
      <w:pPr>
        <w:numPr>
          <w:ilvl w:val="0"/>
          <w:numId w:val="7"/>
        </w:numPr>
        <w:tabs>
          <w:tab w:val="clear" w:pos="1570"/>
          <w:tab w:val="num" w:pos="284"/>
          <w:tab w:val="left" w:pos="851"/>
          <w:tab w:val="num" w:pos="1134"/>
        </w:tabs>
        <w:ind w:left="1134" w:hanging="283"/>
        <w:rPr>
          <w:sz w:val="24"/>
          <w:szCs w:val="24"/>
        </w:rPr>
      </w:pPr>
      <w:r w:rsidRPr="0040023F">
        <w:rPr>
          <w:sz w:val="24"/>
          <w:szCs w:val="24"/>
        </w:rPr>
        <w:t>Individuelle forhold bør vurderes i hvert tilfælde, når der vælges præventionsmetode ved at involvere patienten i diskussionen, for at sikre hendes engagement og overholdelse af de valgte foranstaltninger.</w:t>
      </w:r>
    </w:p>
    <w:p w14:paraId="6F67B0F5" w14:textId="77777777" w:rsidR="0040023F" w:rsidRPr="0040023F" w:rsidRDefault="0040023F" w:rsidP="0040023F">
      <w:pPr>
        <w:numPr>
          <w:ilvl w:val="0"/>
          <w:numId w:val="7"/>
        </w:numPr>
        <w:tabs>
          <w:tab w:val="clear" w:pos="1570"/>
          <w:tab w:val="left" w:pos="851"/>
          <w:tab w:val="num" w:pos="1134"/>
        </w:tabs>
        <w:ind w:left="1134" w:hanging="283"/>
        <w:rPr>
          <w:sz w:val="24"/>
          <w:szCs w:val="24"/>
        </w:rPr>
      </w:pPr>
      <w:r w:rsidRPr="0040023F">
        <w:rPr>
          <w:sz w:val="24"/>
          <w:szCs w:val="24"/>
        </w:rPr>
        <w:t>Selv om hun har amenoré, skal hun følge alle råd om effektiv prævention.</w:t>
      </w:r>
    </w:p>
    <w:p w14:paraId="77FCA7F4" w14:textId="77777777" w:rsidR="0040023F" w:rsidRPr="0040023F" w:rsidRDefault="0040023F" w:rsidP="0040023F">
      <w:pPr>
        <w:numPr>
          <w:ilvl w:val="0"/>
          <w:numId w:val="7"/>
        </w:numPr>
        <w:tabs>
          <w:tab w:val="clear" w:pos="1570"/>
          <w:tab w:val="num" w:pos="284"/>
          <w:tab w:val="left" w:pos="851"/>
          <w:tab w:val="num" w:pos="1134"/>
        </w:tabs>
        <w:ind w:left="1134" w:hanging="283"/>
        <w:rPr>
          <w:sz w:val="24"/>
          <w:szCs w:val="24"/>
        </w:rPr>
      </w:pPr>
      <w:r w:rsidRPr="0040023F">
        <w:rPr>
          <w:sz w:val="24"/>
          <w:szCs w:val="24"/>
        </w:rPr>
        <w:t xml:space="preserve">Hun er informeret og forstår de mulige konsekvenser af graviditet og behovet for øjeblikkelig konsultation, hvis der er risiko for graviditet, eller hvis hun måske er gravid. </w:t>
      </w:r>
    </w:p>
    <w:p w14:paraId="32C42CB5" w14:textId="77777777" w:rsidR="0040023F" w:rsidRPr="0040023F" w:rsidRDefault="0040023F" w:rsidP="0040023F">
      <w:pPr>
        <w:numPr>
          <w:ilvl w:val="0"/>
          <w:numId w:val="7"/>
        </w:numPr>
        <w:tabs>
          <w:tab w:val="clear" w:pos="1570"/>
          <w:tab w:val="left" w:pos="851"/>
          <w:tab w:val="num" w:pos="1134"/>
        </w:tabs>
        <w:ind w:left="1134" w:hanging="283"/>
        <w:rPr>
          <w:sz w:val="24"/>
          <w:szCs w:val="24"/>
        </w:rPr>
      </w:pPr>
      <w:r w:rsidRPr="0040023F">
        <w:rPr>
          <w:sz w:val="24"/>
          <w:szCs w:val="24"/>
        </w:rPr>
        <w:t>Hun forstår behovet og acceptere at gennemgå regelmæssige graviditetstests før, helst månedligt under behandlingen og 1 måned efter ophør af behandlingen.</w:t>
      </w:r>
    </w:p>
    <w:p w14:paraId="2AF3F957" w14:textId="77777777" w:rsidR="0040023F" w:rsidRPr="0040023F" w:rsidRDefault="0040023F" w:rsidP="0040023F">
      <w:pPr>
        <w:numPr>
          <w:ilvl w:val="0"/>
          <w:numId w:val="7"/>
        </w:numPr>
        <w:tabs>
          <w:tab w:val="clear" w:pos="1570"/>
          <w:tab w:val="num" w:pos="284"/>
          <w:tab w:val="left" w:pos="851"/>
          <w:tab w:val="num" w:pos="1134"/>
        </w:tabs>
        <w:ind w:left="1134" w:hanging="283"/>
        <w:rPr>
          <w:b/>
          <w:sz w:val="24"/>
          <w:szCs w:val="24"/>
        </w:rPr>
      </w:pPr>
      <w:r w:rsidRPr="0040023F">
        <w:rPr>
          <w:sz w:val="24"/>
          <w:szCs w:val="24"/>
        </w:rPr>
        <w:t>Hun har bekræftet, at hun har forstået de risici og de nødvendige forholdsregler, der er i forbindelse med brugen af isotretinoin.</w:t>
      </w:r>
    </w:p>
    <w:p w14:paraId="6CB1536C" w14:textId="77777777" w:rsidR="0040023F" w:rsidRPr="0040023F" w:rsidRDefault="0040023F" w:rsidP="0040023F">
      <w:pPr>
        <w:tabs>
          <w:tab w:val="left" w:pos="851"/>
        </w:tabs>
        <w:ind w:left="851"/>
        <w:rPr>
          <w:sz w:val="24"/>
          <w:szCs w:val="24"/>
        </w:rPr>
      </w:pPr>
    </w:p>
    <w:p w14:paraId="69DA47C0" w14:textId="77777777" w:rsidR="0040023F" w:rsidRPr="0040023F" w:rsidRDefault="0040023F" w:rsidP="0040023F">
      <w:pPr>
        <w:tabs>
          <w:tab w:val="left" w:pos="851"/>
        </w:tabs>
        <w:ind w:left="851"/>
        <w:rPr>
          <w:sz w:val="24"/>
          <w:szCs w:val="24"/>
        </w:rPr>
      </w:pPr>
      <w:r w:rsidRPr="0040023F">
        <w:rPr>
          <w:sz w:val="24"/>
          <w:szCs w:val="24"/>
        </w:rPr>
        <w:t xml:space="preserve">Disse betingelser vedrører også kvinder, der ikke aktuelt er seksuelt aktive, medmindre ordinerende læge mener, at der er overbevisende grunde til at indikere, at der ikke er nogen risiko for graviditet. </w:t>
      </w:r>
    </w:p>
    <w:p w14:paraId="75FF71C7" w14:textId="77777777" w:rsidR="0040023F" w:rsidRPr="0040023F" w:rsidRDefault="0040023F" w:rsidP="0040023F">
      <w:pPr>
        <w:tabs>
          <w:tab w:val="left" w:pos="851"/>
        </w:tabs>
        <w:ind w:left="851"/>
        <w:rPr>
          <w:sz w:val="24"/>
          <w:szCs w:val="24"/>
        </w:rPr>
      </w:pPr>
    </w:p>
    <w:p w14:paraId="63BCE81C" w14:textId="77777777" w:rsidR="0040023F" w:rsidRPr="0040023F" w:rsidRDefault="0040023F" w:rsidP="0040023F">
      <w:pPr>
        <w:tabs>
          <w:tab w:val="left" w:pos="851"/>
        </w:tabs>
        <w:ind w:left="851"/>
        <w:rPr>
          <w:sz w:val="24"/>
          <w:szCs w:val="24"/>
        </w:rPr>
      </w:pPr>
      <w:r w:rsidRPr="0040023F">
        <w:rPr>
          <w:sz w:val="24"/>
          <w:szCs w:val="24"/>
        </w:rPr>
        <w:t>Ordinerende læge skal sikre at:</w:t>
      </w:r>
    </w:p>
    <w:p w14:paraId="61216E16" w14:textId="77777777" w:rsidR="0040023F" w:rsidRPr="0040023F" w:rsidRDefault="0040023F" w:rsidP="0040023F">
      <w:pPr>
        <w:numPr>
          <w:ilvl w:val="0"/>
          <w:numId w:val="8"/>
        </w:numPr>
        <w:tabs>
          <w:tab w:val="clear" w:pos="1570"/>
          <w:tab w:val="num" w:pos="284"/>
          <w:tab w:val="left" w:pos="851"/>
          <w:tab w:val="num" w:pos="1134"/>
        </w:tabs>
        <w:ind w:left="1134" w:hanging="283"/>
        <w:rPr>
          <w:sz w:val="24"/>
          <w:szCs w:val="24"/>
        </w:rPr>
      </w:pPr>
      <w:r w:rsidRPr="0040023F">
        <w:rPr>
          <w:sz w:val="24"/>
          <w:szCs w:val="24"/>
        </w:rPr>
        <w:t>Patienten overholder betingelserne for graviditetsforebyggelse, som nævnt ovenfor, herunder bekræftelse af, at hun har et tilstrækkeligt forståelsesniveau.</w:t>
      </w:r>
    </w:p>
    <w:p w14:paraId="5A891BC1" w14:textId="77777777" w:rsidR="0040023F" w:rsidRPr="0040023F" w:rsidRDefault="0040023F" w:rsidP="0040023F">
      <w:pPr>
        <w:numPr>
          <w:ilvl w:val="0"/>
          <w:numId w:val="8"/>
        </w:numPr>
        <w:tabs>
          <w:tab w:val="clear" w:pos="1570"/>
          <w:tab w:val="num" w:pos="284"/>
          <w:tab w:val="left" w:pos="851"/>
          <w:tab w:val="num" w:pos="1134"/>
        </w:tabs>
        <w:ind w:left="1134" w:hanging="283"/>
        <w:rPr>
          <w:sz w:val="24"/>
          <w:szCs w:val="24"/>
        </w:rPr>
      </w:pPr>
      <w:r w:rsidRPr="0040023F">
        <w:rPr>
          <w:sz w:val="24"/>
          <w:szCs w:val="24"/>
        </w:rPr>
        <w:t xml:space="preserve">Patienten har bekræftet ovennævnte betingelser. </w:t>
      </w:r>
    </w:p>
    <w:p w14:paraId="58FAAC2E" w14:textId="77777777" w:rsidR="0040023F" w:rsidRPr="0040023F" w:rsidRDefault="0040023F" w:rsidP="0040023F">
      <w:pPr>
        <w:numPr>
          <w:ilvl w:val="0"/>
          <w:numId w:val="8"/>
        </w:numPr>
        <w:tabs>
          <w:tab w:val="clear" w:pos="1570"/>
          <w:tab w:val="left" w:pos="851"/>
          <w:tab w:val="num" w:pos="1134"/>
        </w:tabs>
        <w:ind w:left="1134" w:hanging="283"/>
        <w:rPr>
          <w:sz w:val="24"/>
          <w:szCs w:val="24"/>
        </w:rPr>
      </w:pPr>
      <w:r w:rsidRPr="0040023F">
        <w:rPr>
          <w:sz w:val="24"/>
          <w:szCs w:val="24"/>
        </w:rPr>
        <w:t xml:space="preserve">Patienten forstår, at hun konsekvent og korrekt skal anvende en yderst effektiv præventionsmetode (dvs. en brugeruafhængig form) eller to komplementære brugerafhængige former for prævention, i mindst 1 måned før behandlingen påbegyndes og fortsætte med at anvende effektiv prævention i hele behandlingsperioden og i mindst 1 måned efter ophør af behandlingen. </w:t>
      </w:r>
    </w:p>
    <w:p w14:paraId="23AC3E39" w14:textId="77777777" w:rsidR="0040023F" w:rsidRPr="0040023F" w:rsidRDefault="0040023F" w:rsidP="0040023F">
      <w:pPr>
        <w:numPr>
          <w:ilvl w:val="0"/>
          <w:numId w:val="8"/>
        </w:numPr>
        <w:tabs>
          <w:tab w:val="clear" w:pos="1570"/>
          <w:tab w:val="num" w:pos="284"/>
          <w:tab w:val="left" w:pos="851"/>
          <w:tab w:val="num" w:pos="1134"/>
        </w:tabs>
        <w:ind w:left="1134" w:hanging="283"/>
        <w:rPr>
          <w:sz w:val="24"/>
          <w:szCs w:val="24"/>
        </w:rPr>
      </w:pPr>
      <w:r w:rsidRPr="0040023F">
        <w:rPr>
          <w:sz w:val="24"/>
          <w:szCs w:val="24"/>
        </w:rPr>
        <w:t>Der skal foreligge negative graviditetsresultater før, under og 1 måned efter behandlingens afslutning. Dato og resultater af graviditetstest skal dokumenteres.</w:t>
      </w:r>
    </w:p>
    <w:p w14:paraId="21DBDE8F" w14:textId="77777777" w:rsidR="0040023F" w:rsidRPr="0040023F" w:rsidRDefault="0040023F" w:rsidP="0040023F">
      <w:pPr>
        <w:tabs>
          <w:tab w:val="left" w:pos="851"/>
        </w:tabs>
        <w:ind w:left="851"/>
        <w:rPr>
          <w:sz w:val="24"/>
          <w:szCs w:val="24"/>
        </w:rPr>
      </w:pPr>
    </w:p>
    <w:p w14:paraId="0AF5E33A" w14:textId="77777777" w:rsidR="0040023F" w:rsidRPr="0040023F" w:rsidRDefault="0040023F" w:rsidP="0040023F">
      <w:pPr>
        <w:tabs>
          <w:tab w:val="left" w:pos="851"/>
        </w:tabs>
        <w:ind w:left="851"/>
        <w:rPr>
          <w:sz w:val="24"/>
          <w:szCs w:val="24"/>
        </w:rPr>
      </w:pPr>
      <w:r w:rsidRPr="0040023F">
        <w:rPr>
          <w:sz w:val="24"/>
          <w:szCs w:val="24"/>
        </w:rPr>
        <w:t>Hvis der opstår graviditet hos en kvinde, der behandles med isotretinoin, skal behandlingen stoppes, og patienten skal henvises til en læge, der er specialiseret i eller har erfaring med teratologi, til vurdering og rådgivning.</w:t>
      </w:r>
    </w:p>
    <w:p w14:paraId="161AE24B" w14:textId="77777777" w:rsidR="0040023F" w:rsidRPr="0040023F" w:rsidRDefault="0040023F" w:rsidP="0040023F">
      <w:pPr>
        <w:tabs>
          <w:tab w:val="left" w:pos="851"/>
        </w:tabs>
        <w:ind w:left="851"/>
        <w:rPr>
          <w:sz w:val="24"/>
          <w:szCs w:val="24"/>
        </w:rPr>
      </w:pPr>
      <w:r w:rsidRPr="0040023F">
        <w:rPr>
          <w:sz w:val="24"/>
          <w:szCs w:val="24"/>
        </w:rPr>
        <w:t>Hvis graviditet opstår efter behandlingens ophør, er der risiko for alvorlig og kritisk misdannelse af fosteret. Denne risiko fortsætter, indtil produktet er fuldstændigt elimineret, hvilket er inden for en måned efter afslutningen af behandlingen.</w:t>
      </w:r>
    </w:p>
    <w:p w14:paraId="20680FE5" w14:textId="77777777" w:rsidR="0040023F" w:rsidRPr="0040023F" w:rsidRDefault="0040023F" w:rsidP="0040023F">
      <w:pPr>
        <w:tabs>
          <w:tab w:val="left" w:pos="851"/>
        </w:tabs>
        <w:ind w:left="851"/>
        <w:rPr>
          <w:sz w:val="24"/>
          <w:szCs w:val="24"/>
        </w:rPr>
      </w:pPr>
    </w:p>
    <w:p w14:paraId="533683F4" w14:textId="77777777" w:rsidR="0040023F" w:rsidRPr="0040023F" w:rsidRDefault="0040023F" w:rsidP="0040023F">
      <w:pPr>
        <w:tabs>
          <w:tab w:val="left" w:pos="851"/>
        </w:tabs>
        <w:ind w:left="851"/>
        <w:rPr>
          <w:b/>
          <w:bCs/>
          <w:sz w:val="24"/>
          <w:szCs w:val="24"/>
        </w:rPr>
      </w:pPr>
      <w:r w:rsidRPr="0040023F">
        <w:rPr>
          <w:b/>
          <w:bCs/>
          <w:sz w:val="24"/>
          <w:szCs w:val="24"/>
        </w:rPr>
        <w:t>Prævention</w:t>
      </w:r>
    </w:p>
    <w:p w14:paraId="6D711795" w14:textId="77777777" w:rsidR="0040023F" w:rsidRPr="0040023F" w:rsidRDefault="0040023F" w:rsidP="0040023F">
      <w:pPr>
        <w:tabs>
          <w:tab w:val="left" w:pos="851"/>
        </w:tabs>
        <w:ind w:left="851"/>
        <w:rPr>
          <w:sz w:val="24"/>
          <w:szCs w:val="24"/>
        </w:rPr>
      </w:pPr>
      <w:r w:rsidRPr="0040023F">
        <w:rPr>
          <w:sz w:val="24"/>
          <w:szCs w:val="24"/>
        </w:rPr>
        <w:t>Kvindelige patienter skal have omfattende information om graviditetsforebyggelse og bør henvises til præventionsrådgivning, hvis de ikke bruger sikker prævention. Hvis den ordinerende læge ikke er i stand til at give sådanne oplysninger, skal patienten henvises til relevant sundhedspersonale.</w:t>
      </w:r>
    </w:p>
    <w:p w14:paraId="26A29735" w14:textId="77777777" w:rsidR="0040023F" w:rsidRPr="0040023F" w:rsidRDefault="0040023F" w:rsidP="0040023F">
      <w:pPr>
        <w:tabs>
          <w:tab w:val="left" w:pos="851"/>
        </w:tabs>
        <w:ind w:left="851"/>
        <w:rPr>
          <w:sz w:val="24"/>
          <w:szCs w:val="24"/>
        </w:rPr>
      </w:pPr>
    </w:p>
    <w:p w14:paraId="468F8B45" w14:textId="77777777" w:rsidR="0040023F" w:rsidRPr="0040023F" w:rsidRDefault="0040023F" w:rsidP="0040023F">
      <w:pPr>
        <w:tabs>
          <w:tab w:val="left" w:pos="851"/>
        </w:tabs>
        <w:ind w:left="851"/>
        <w:rPr>
          <w:sz w:val="24"/>
          <w:szCs w:val="24"/>
        </w:rPr>
      </w:pPr>
      <w:r w:rsidRPr="0040023F">
        <w:rPr>
          <w:sz w:val="24"/>
          <w:szCs w:val="24"/>
        </w:rPr>
        <w:t xml:space="preserve">Som minimumskrav skal fertile kvindelige patienter, anvende mindst én meget effektiv præventionsmetode (dvs. en brugeruafhængig form) eller to komplementære brugerafhængige former for prævention. Der skal anvendes prævention i mindst 1 måned før behandlingen påbegyndes, under hele behandlingen, og der fortsættes i mindst 1 måned efter behandlingen med isotretinoin er ophørt, selv hos patienter med amenoré. </w:t>
      </w:r>
    </w:p>
    <w:p w14:paraId="0BDEA6B1" w14:textId="77777777" w:rsidR="0040023F" w:rsidRPr="0040023F" w:rsidRDefault="0040023F" w:rsidP="0040023F">
      <w:pPr>
        <w:tabs>
          <w:tab w:val="left" w:pos="851"/>
        </w:tabs>
        <w:ind w:left="851"/>
        <w:rPr>
          <w:sz w:val="24"/>
          <w:szCs w:val="24"/>
        </w:rPr>
      </w:pPr>
    </w:p>
    <w:p w14:paraId="77AD98DB" w14:textId="77777777" w:rsidR="0040023F" w:rsidRPr="0040023F" w:rsidRDefault="0040023F" w:rsidP="0040023F">
      <w:pPr>
        <w:tabs>
          <w:tab w:val="left" w:pos="851"/>
        </w:tabs>
        <w:ind w:left="851"/>
        <w:rPr>
          <w:sz w:val="24"/>
          <w:szCs w:val="24"/>
        </w:rPr>
      </w:pPr>
      <w:r w:rsidRPr="0040023F">
        <w:rPr>
          <w:sz w:val="24"/>
          <w:szCs w:val="24"/>
        </w:rPr>
        <w:lastRenderedPageBreak/>
        <w:t>Individuelle forhold bør vurderes i hvert tilfælde, når der vælges præventionsmetode, ved at involvere patienten i diskussionen, for at sikre hendes engagement og overholdelse af de valgte foranstaltninger.</w:t>
      </w:r>
    </w:p>
    <w:p w14:paraId="59CE117A" w14:textId="77777777" w:rsidR="0040023F" w:rsidRPr="0040023F" w:rsidRDefault="0040023F" w:rsidP="0040023F">
      <w:pPr>
        <w:tabs>
          <w:tab w:val="left" w:pos="851"/>
        </w:tabs>
        <w:ind w:left="851"/>
        <w:rPr>
          <w:sz w:val="24"/>
          <w:szCs w:val="24"/>
        </w:rPr>
      </w:pPr>
    </w:p>
    <w:p w14:paraId="51816257" w14:textId="77777777" w:rsidR="0040023F" w:rsidRPr="0040023F" w:rsidRDefault="0040023F" w:rsidP="0040023F">
      <w:pPr>
        <w:tabs>
          <w:tab w:val="left" w:pos="851"/>
        </w:tabs>
        <w:ind w:left="851"/>
        <w:rPr>
          <w:b/>
          <w:bCs/>
          <w:sz w:val="24"/>
          <w:szCs w:val="24"/>
        </w:rPr>
      </w:pPr>
      <w:r w:rsidRPr="0040023F">
        <w:rPr>
          <w:b/>
          <w:bCs/>
          <w:sz w:val="24"/>
          <w:szCs w:val="24"/>
        </w:rPr>
        <w:t>Graviditetstestning</w:t>
      </w:r>
    </w:p>
    <w:p w14:paraId="6BA68875" w14:textId="77777777" w:rsidR="0040023F" w:rsidRPr="0040023F" w:rsidRDefault="0040023F" w:rsidP="0040023F">
      <w:pPr>
        <w:tabs>
          <w:tab w:val="left" w:pos="851"/>
        </w:tabs>
        <w:ind w:left="851"/>
        <w:rPr>
          <w:sz w:val="24"/>
          <w:szCs w:val="24"/>
        </w:rPr>
      </w:pPr>
      <w:r w:rsidRPr="0040023F">
        <w:rPr>
          <w:sz w:val="24"/>
          <w:szCs w:val="24"/>
        </w:rPr>
        <w:t xml:space="preserve">I henhold til lokal praksis anbefales det at foretage medicinsk overvågede graviditetstest med en sensitivitet på mindst 25 mIE/ml som følger. </w:t>
      </w:r>
    </w:p>
    <w:p w14:paraId="6ECDDD13" w14:textId="77777777" w:rsidR="0040023F" w:rsidRPr="0040023F" w:rsidRDefault="0040023F" w:rsidP="0040023F">
      <w:pPr>
        <w:tabs>
          <w:tab w:val="left" w:pos="851"/>
        </w:tabs>
        <w:ind w:left="851"/>
        <w:rPr>
          <w:sz w:val="24"/>
          <w:szCs w:val="24"/>
        </w:rPr>
      </w:pPr>
    </w:p>
    <w:p w14:paraId="6AA70362" w14:textId="77777777" w:rsidR="0040023F" w:rsidRPr="0040023F" w:rsidRDefault="0040023F" w:rsidP="0040023F">
      <w:pPr>
        <w:tabs>
          <w:tab w:val="left" w:pos="851"/>
        </w:tabs>
        <w:ind w:left="851"/>
        <w:rPr>
          <w:sz w:val="24"/>
          <w:szCs w:val="24"/>
          <w:u w:val="single"/>
        </w:rPr>
      </w:pPr>
      <w:r w:rsidRPr="0040023F">
        <w:rPr>
          <w:sz w:val="24"/>
          <w:szCs w:val="24"/>
          <w:u w:val="single"/>
        </w:rPr>
        <w:t>Før behandling påbegyndes</w:t>
      </w:r>
    </w:p>
    <w:p w14:paraId="2439AC95" w14:textId="77777777" w:rsidR="0040023F" w:rsidRPr="0040023F" w:rsidRDefault="0040023F" w:rsidP="0040023F">
      <w:pPr>
        <w:tabs>
          <w:tab w:val="left" w:pos="851"/>
        </w:tabs>
        <w:ind w:left="851"/>
        <w:rPr>
          <w:sz w:val="24"/>
          <w:szCs w:val="24"/>
        </w:rPr>
      </w:pPr>
      <w:r w:rsidRPr="0040023F">
        <w:rPr>
          <w:sz w:val="24"/>
          <w:szCs w:val="24"/>
        </w:rPr>
        <w:t xml:space="preserve">Patienten bør få foretaget en medicinsk overvåget graviditetstest mindst en måned efter, at patienten er begyndt at bruge prævention og kort tid (helst få dage) før den første recept. Denne test skal sikre, at patienten ikke er gravid, når hun begynder behandling med isotretinoin. </w:t>
      </w:r>
    </w:p>
    <w:p w14:paraId="539E8BC5" w14:textId="77777777" w:rsidR="0040023F" w:rsidRPr="0040023F" w:rsidRDefault="0040023F" w:rsidP="0040023F">
      <w:pPr>
        <w:tabs>
          <w:tab w:val="left" w:pos="851"/>
        </w:tabs>
        <w:ind w:left="851"/>
        <w:rPr>
          <w:sz w:val="24"/>
          <w:szCs w:val="24"/>
        </w:rPr>
      </w:pPr>
    </w:p>
    <w:p w14:paraId="0464F4E3" w14:textId="77777777" w:rsidR="0040023F" w:rsidRPr="0040023F" w:rsidRDefault="0040023F" w:rsidP="0040023F">
      <w:pPr>
        <w:tabs>
          <w:tab w:val="left" w:pos="851"/>
        </w:tabs>
        <w:ind w:left="851"/>
        <w:rPr>
          <w:sz w:val="24"/>
          <w:szCs w:val="24"/>
          <w:u w:val="single"/>
        </w:rPr>
      </w:pPr>
      <w:r w:rsidRPr="0040023F">
        <w:rPr>
          <w:sz w:val="24"/>
          <w:szCs w:val="24"/>
          <w:u w:val="single"/>
        </w:rPr>
        <w:t>Opfølgende besøg</w:t>
      </w:r>
    </w:p>
    <w:p w14:paraId="301366A8" w14:textId="77777777" w:rsidR="0040023F" w:rsidRPr="0040023F" w:rsidRDefault="0040023F" w:rsidP="0040023F">
      <w:pPr>
        <w:tabs>
          <w:tab w:val="left" w:pos="851"/>
        </w:tabs>
        <w:ind w:left="851"/>
        <w:rPr>
          <w:sz w:val="24"/>
          <w:szCs w:val="24"/>
        </w:rPr>
      </w:pPr>
      <w:r w:rsidRPr="0040023F">
        <w:rPr>
          <w:sz w:val="24"/>
          <w:szCs w:val="24"/>
        </w:rPr>
        <w:t xml:space="preserve">Der skal aftales opfølgende besøg med jævne mellemrum, helst månedligt. Behovet for gentagne medicinsk overvågede graviditetstests hver måned bør bestemmes i henhold til lokal praksis, herunder overvejelse af patientens seksuelle aktivitet, nylig menstruations-historik (unormale menstruationer, udeblevne menstruationer eller amenoré) og præventionsmetode. Hvis indikeret, bør opfølgende graviditetstests foretages på dagen, hvor lægemidlet ordineres eller i de 3 dage forud for besøget hos ordinerende læge. </w:t>
      </w:r>
    </w:p>
    <w:p w14:paraId="73560BBA" w14:textId="77777777" w:rsidR="0040023F" w:rsidRPr="0040023F" w:rsidRDefault="0040023F" w:rsidP="0040023F">
      <w:pPr>
        <w:tabs>
          <w:tab w:val="left" w:pos="851"/>
        </w:tabs>
        <w:ind w:left="851"/>
        <w:rPr>
          <w:sz w:val="24"/>
          <w:szCs w:val="24"/>
        </w:rPr>
      </w:pPr>
    </w:p>
    <w:p w14:paraId="470CD076" w14:textId="77777777" w:rsidR="0040023F" w:rsidRPr="0040023F" w:rsidRDefault="0040023F" w:rsidP="0040023F">
      <w:pPr>
        <w:tabs>
          <w:tab w:val="left" w:pos="851"/>
        </w:tabs>
        <w:ind w:left="851"/>
        <w:rPr>
          <w:sz w:val="24"/>
          <w:szCs w:val="24"/>
          <w:u w:val="single"/>
        </w:rPr>
      </w:pPr>
      <w:r w:rsidRPr="0040023F">
        <w:rPr>
          <w:sz w:val="24"/>
          <w:szCs w:val="24"/>
          <w:u w:val="single"/>
        </w:rPr>
        <w:t>Behandlingsafslutning</w:t>
      </w:r>
    </w:p>
    <w:p w14:paraId="51A61C4D" w14:textId="77777777" w:rsidR="0040023F" w:rsidRPr="0040023F" w:rsidRDefault="0040023F" w:rsidP="0040023F">
      <w:pPr>
        <w:tabs>
          <w:tab w:val="left" w:pos="851"/>
        </w:tabs>
        <w:ind w:left="851"/>
        <w:rPr>
          <w:sz w:val="24"/>
          <w:szCs w:val="24"/>
        </w:rPr>
      </w:pPr>
      <w:r w:rsidRPr="0040023F">
        <w:rPr>
          <w:sz w:val="24"/>
          <w:szCs w:val="24"/>
        </w:rPr>
        <w:t>En måned efter endt behandling skal kvinder få foretaget en endelig graviditetstest.</w:t>
      </w:r>
    </w:p>
    <w:p w14:paraId="6C98A337" w14:textId="77777777" w:rsidR="0040023F" w:rsidRPr="0040023F" w:rsidRDefault="0040023F" w:rsidP="0040023F">
      <w:pPr>
        <w:tabs>
          <w:tab w:val="left" w:pos="851"/>
        </w:tabs>
        <w:ind w:left="851"/>
        <w:rPr>
          <w:sz w:val="24"/>
          <w:szCs w:val="24"/>
        </w:rPr>
      </w:pPr>
    </w:p>
    <w:p w14:paraId="36BA6EBD" w14:textId="77777777" w:rsidR="0040023F" w:rsidRPr="0040023F" w:rsidRDefault="0040023F" w:rsidP="0040023F">
      <w:pPr>
        <w:tabs>
          <w:tab w:val="left" w:pos="851"/>
        </w:tabs>
        <w:ind w:left="851"/>
        <w:rPr>
          <w:b/>
          <w:bCs/>
          <w:sz w:val="24"/>
          <w:szCs w:val="24"/>
        </w:rPr>
      </w:pPr>
      <w:r w:rsidRPr="0040023F">
        <w:rPr>
          <w:b/>
          <w:bCs/>
          <w:sz w:val="24"/>
          <w:szCs w:val="24"/>
        </w:rPr>
        <w:t>Restriktioner for receptudskrivning og udlevering</w:t>
      </w:r>
    </w:p>
    <w:p w14:paraId="293728F2" w14:textId="77777777" w:rsidR="0040023F" w:rsidRPr="0040023F" w:rsidRDefault="0040023F" w:rsidP="0040023F">
      <w:pPr>
        <w:tabs>
          <w:tab w:val="left" w:pos="851"/>
        </w:tabs>
        <w:ind w:left="851"/>
        <w:rPr>
          <w:sz w:val="24"/>
          <w:szCs w:val="24"/>
        </w:rPr>
      </w:pPr>
      <w:r w:rsidRPr="0040023F">
        <w:rPr>
          <w:sz w:val="24"/>
          <w:szCs w:val="24"/>
        </w:rPr>
        <w:t>Fertile kvinder bør idéelt set kun få ordineret Isotretinoin Pharmathen til 30 dage for at understøtte regelmæssig opfølgning, herunder graviditetstest og overvågning. Ideelt set bør graviditetstest, udstedelse af recept og udlevering af Isotretinoin Pharmathen ske samme dag.</w:t>
      </w:r>
    </w:p>
    <w:p w14:paraId="442A8F0D" w14:textId="77777777" w:rsidR="0040023F" w:rsidRPr="0040023F" w:rsidRDefault="0040023F" w:rsidP="0040023F">
      <w:pPr>
        <w:tabs>
          <w:tab w:val="left" w:pos="851"/>
        </w:tabs>
        <w:ind w:left="851"/>
        <w:rPr>
          <w:sz w:val="24"/>
          <w:szCs w:val="24"/>
        </w:rPr>
      </w:pPr>
    </w:p>
    <w:p w14:paraId="2FBEB5F9" w14:textId="77777777" w:rsidR="0040023F" w:rsidRPr="0040023F" w:rsidRDefault="0040023F" w:rsidP="0040023F">
      <w:pPr>
        <w:tabs>
          <w:tab w:val="left" w:pos="851"/>
        </w:tabs>
        <w:ind w:left="851"/>
        <w:rPr>
          <w:sz w:val="24"/>
          <w:szCs w:val="24"/>
        </w:rPr>
      </w:pPr>
      <w:r w:rsidRPr="0040023F">
        <w:rPr>
          <w:sz w:val="24"/>
          <w:szCs w:val="24"/>
        </w:rPr>
        <w:t>Denne månedlige opfølgning vil gøre det muligt at sikre, at regelmæssig graviditetstestning og overvågning udføres, og at patienten ikke er gravid, før hun får den næste omgang medicin.</w:t>
      </w:r>
    </w:p>
    <w:p w14:paraId="4257D98A" w14:textId="77777777" w:rsidR="0040023F" w:rsidRPr="0040023F" w:rsidRDefault="0040023F" w:rsidP="0040023F">
      <w:pPr>
        <w:tabs>
          <w:tab w:val="left" w:pos="851"/>
        </w:tabs>
        <w:ind w:left="851"/>
        <w:rPr>
          <w:sz w:val="24"/>
          <w:szCs w:val="24"/>
        </w:rPr>
      </w:pPr>
    </w:p>
    <w:p w14:paraId="3F4152EF" w14:textId="77777777" w:rsidR="0040023F" w:rsidRPr="0040023F" w:rsidRDefault="0040023F" w:rsidP="0040023F">
      <w:pPr>
        <w:tabs>
          <w:tab w:val="left" w:pos="851"/>
        </w:tabs>
        <w:ind w:left="851"/>
        <w:rPr>
          <w:b/>
          <w:bCs/>
          <w:sz w:val="24"/>
          <w:szCs w:val="24"/>
        </w:rPr>
      </w:pPr>
      <w:r w:rsidRPr="0040023F">
        <w:rPr>
          <w:b/>
          <w:bCs/>
          <w:sz w:val="24"/>
          <w:szCs w:val="24"/>
        </w:rPr>
        <w:t xml:space="preserve">Mandlige patienter </w:t>
      </w:r>
    </w:p>
    <w:p w14:paraId="48175F75" w14:textId="77777777" w:rsidR="0040023F" w:rsidRPr="0040023F" w:rsidRDefault="0040023F" w:rsidP="0040023F">
      <w:pPr>
        <w:tabs>
          <w:tab w:val="left" w:pos="851"/>
        </w:tabs>
        <w:ind w:left="851"/>
        <w:rPr>
          <w:sz w:val="24"/>
          <w:szCs w:val="24"/>
        </w:rPr>
      </w:pPr>
      <w:r w:rsidRPr="0040023F">
        <w:rPr>
          <w:sz w:val="24"/>
          <w:szCs w:val="24"/>
        </w:rPr>
        <w:t>De tilgængelige data tyder på, at niveauet af den kvindelige eksponering over for sæden hos patienter, der får Isotretinoin Pharmathen, ikke er tilstrækkelig stor til at være forbundet med Isotretinoin Pharmathens teratogene virkninger. Mandlige patienter skal mindes om, at de ikke må dele deres medicin med nogen, slet ikke kvinder.</w:t>
      </w:r>
    </w:p>
    <w:p w14:paraId="43B5F407" w14:textId="77777777" w:rsidR="0040023F" w:rsidRPr="0040023F" w:rsidRDefault="0040023F" w:rsidP="0040023F">
      <w:pPr>
        <w:tabs>
          <w:tab w:val="left" w:pos="851"/>
        </w:tabs>
        <w:ind w:left="851"/>
        <w:rPr>
          <w:sz w:val="24"/>
          <w:szCs w:val="24"/>
        </w:rPr>
      </w:pPr>
    </w:p>
    <w:p w14:paraId="365F994B" w14:textId="77777777" w:rsidR="0040023F" w:rsidRPr="0040023F" w:rsidRDefault="0040023F" w:rsidP="0040023F">
      <w:pPr>
        <w:tabs>
          <w:tab w:val="left" w:pos="851"/>
        </w:tabs>
        <w:ind w:left="851"/>
        <w:rPr>
          <w:b/>
          <w:bCs/>
          <w:sz w:val="24"/>
          <w:szCs w:val="24"/>
        </w:rPr>
      </w:pPr>
      <w:r w:rsidRPr="0040023F">
        <w:rPr>
          <w:b/>
          <w:bCs/>
          <w:sz w:val="24"/>
          <w:szCs w:val="24"/>
        </w:rPr>
        <w:t>Yderligere sikkerhedsforanstaltninger</w:t>
      </w:r>
    </w:p>
    <w:p w14:paraId="0C88A98B" w14:textId="77777777" w:rsidR="0040023F" w:rsidRPr="0040023F" w:rsidRDefault="0040023F" w:rsidP="0040023F">
      <w:pPr>
        <w:tabs>
          <w:tab w:val="left" w:pos="851"/>
        </w:tabs>
        <w:ind w:left="851"/>
        <w:rPr>
          <w:b/>
          <w:bCs/>
          <w:sz w:val="24"/>
          <w:szCs w:val="24"/>
        </w:rPr>
      </w:pPr>
      <w:r w:rsidRPr="0040023F">
        <w:rPr>
          <w:sz w:val="24"/>
          <w:szCs w:val="24"/>
        </w:rPr>
        <w:t>Patienter bør oplyses om aldrig at give dette lægemiddel til en anden person og at returnere eventuelle ubrugte kapsler til apotekspersonalet ved behandlingens afslutning.</w:t>
      </w:r>
    </w:p>
    <w:p w14:paraId="71DCDE0F" w14:textId="77777777" w:rsidR="0040023F" w:rsidRPr="0040023F" w:rsidRDefault="0040023F" w:rsidP="0040023F">
      <w:pPr>
        <w:tabs>
          <w:tab w:val="left" w:pos="851"/>
        </w:tabs>
        <w:ind w:left="851"/>
        <w:rPr>
          <w:sz w:val="24"/>
          <w:szCs w:val="24"/>
        </w:rPr>
      </w:pPr>
    </w:p>
    <w:p w14:paraId="413FD7DD" w14:textId="77777777" w:rsidR="0040023F" w:rsidRPr="0040023F" w:rsidRDefault="0040023F" w:rsidP="0040023F">
      <w:pPr>
        <w:tabs>
          <w:tab w:val="left" w:pos="851"/>
        </w:tabs>
        <w:ind w:left="851"/>
        <w:rPr>
          <w:sz w:val="24"/>
          <w:szCs w:val="24"/>
        </w:rPr>
      </w:pPr>
      <w:r w:rsidRPr="0040023F">
        <w:rPr>
          <w:sz w:val="24"/>
          <w:szCs w:val="24"/>
        </w:rPr>
        <w:t>Patienter bør ikke donere blod under behandlingen og i 1 måned efter seponering af isotretinoin på grund af den potentielle risiko for fosteret hos en gravid transfusionsmodtager.</w:t>
      </w:r>
    </w:p>
    <w:p w14:paraId="49492136" w14:textId="5325C3AB" w:rsidR="002A21A1" w:rsidRDefault="002A21A1">
      <w:pPr>
        <w:rPr>
          <w:sz w:val="24"/>
          <w:szCs w:val="24"/>
        </w:rPr>
      </w:pPr>
      <w:r>
        <w:rPr>
          <w:sz w:val="24"/>
          <w:szCs w:val="24"/>
        </w:rPr>
        <w:br w:type="page"/>
      </w:r>
    </w:p>
    <w:p w14:paraId="6AD05DC5" w14:textId="77777777" w:rsidR="0040023F" w:rsidRPr="0040023F" w:rsidRDefault="0040023F" w:rsidP="0040023F">
      <w:pPr>
        <w:tabs>
          <w:tab w:val="left" w:pos="851"/>
        </w:tabs>
        <w:ind w:left="851"/>
        <w:rPr>
          <w:sz w:val="24"/>
          <w:szCs w:val="24"/>
        </w:rPr>
      </w:pPr>
    </w:p>
    <w:p w14:paraId="158BEBFD" w14:textId="77777777" w:rsidR="0040023F" w:rsidRPr="0040023F" w:rsidRDefault="0040023F" w:rsidP="0040023F">
      <w:pPr>
        <w:tabs>
          <w:tab w:val="left" w:pos="851"/>
        </w:tabs>
        <w:ind w:left="851"/>
        <w:rPr>
          <w:b/>
          <w:bCs/>
          <w:sz w:val="24"/>
          <w:szCs w:val="24"/>
        </w:rPr>
      </w:pPr>
      <w:r w:rsidRPr="0040023F">
        <w:rPr>
          <w:b/>
          <w:bCs/>
          <w:sz w:val="24"/>
          <w:szCs w:val="24"/>
        </w:rPr>
        <w:t>Undervisningsmateriale</w:t>
      </w:r>
    </w:p>
    <w:p w14:paraId="33E8F472" w14:textId="77777777" w:rsidR="0040023F" w:rsidRPr="0040023F" w:rsidRDefault="0040023F" w:rsidP="0040023F">
      <w:pPr>
        <w:tabs>
          <w:tab w:val="left" w:pos="851"/>
        </w:tabs>
        <w:ind w:left="851"/>
        <w:rPr>
          <w:sz w:val="24"/>
          <w:szCs w:val="24"/>
        </w:rPr>
      </w:pPr>
      <w:r w:rsidRPr="0040023F">
        <w:rPr>
          <w:sz w:val="24"/>
          <w:szCs w:val="24"/>
        </w:rPr>
        <w:t>For at hjælpe de ordinerende læger, apotekspersonale og patienter med at undgå at udsætte fosteret for isotretinoin vil indehaveren af markedsføringstilladelsen levere undervisningsmateriale for at forstærke advarslerne om de teratogene virkninger af isotretinoin, rådgive om prævention før behandlingen startes og give vejledning om behovet for graviditetstests.</w:t>
      </w:r>
    </w:p>
    <w:p w14:paraId="0AF68159" w14:textId="77777777" w:rsidR="0040023F" w:rsidRPr="0040023F" w:rsidRDefault="0040023F" w:rsidP="0040023F">
      <w:pPr>
        <w:tabs>
          <w:tab w:val="left" w:pos="851"/>
        </w:tabs>
        <w:ind w:left="851"/>
        <w:rPr>
          <w:sz w:val="24"/>
          <w:szCs w:val="24"/>
        </w:rPr>
      </w:pPr>
      <w:r w:rsidRPr="0040023F">
        <w:rPr>
          <w:sz w:val="24"/>
          <w:szCs w:val="24"/>
        </w:rPr>
        <w:t>Alle patienter - både mænd og kvinder - skal modtage fuldstændige oplysninger af lægen om den teratogene risiko og de strenge foranstaltninger til forebyggelse af graviditet som beskrevet i svangerskabsforebyggelsesprogrammet.</w:t>
      </w:r>
    </w:p>
    <w:p w14:paraId="2DCCF532" w14:textId="77777777" w:rsidR="0040023F" w:rsidRPr="0040023F" w:rsidRDefault="0040023F" w:rsidP="0040023F">
      <w:pPr>
        <w:tabs>
          <w:tab w:val="left" w:pos="851"/>
        </w:tabs>
        <w:ind w:left="851"/>
        <w:rPr>
          <w:sz w:val="24"/>
          <w:szCs w:val="24"/>
        </w:rPr>
      </w:pPr>
      <w:r w:rsidRPr="0040023F">
        <w:rPr>
          <w:sz w:val="24"/>
          <w:szCs w:val="24"/>
        </w:rPr>
        <w:t xml:space="preserve"> </w:t>
      </w:r>
    </w:p>
    <w:p w14:paraId="2AE74C0B" w14:textId="77777777" w:rsidR="0040023F" w:rsidRPr="0040023F" w:rsidRDefault="0040023F" w:rsidP="0040023F">
      <w:pPr>
        <w:tabs>
          <w:tab w:val="left" w:pos="851"/>
        </w:tabs>
        <w:ind w:left="851"/>
        <w:rPr>
          <w:b/>
          <w:bCs/>
          <w:sz w:val="24"/>
          <w:szCs w:val="24"/>
        </w:rPr>
      </w:pPr>
      <w:r w:rsidRPr="0040023F">
        <w:rPr>
          <w:b/>
          <w:bCs/>
          <w:sz w:val="24"/>
          <w:szCs w:val="24"/>
        </w:rPr>
        <w:t>Psykiske lidelser</w:t>
      </w:r>
    </w:p>
    <w:p w14:paraId="065D036A" w14:textId="77777777" w:rsidR="0040023F" w:rsidRPr="0040023F" w:rsidRDefault="0040023F" w:rsidP="0040023F">
      <w:pPr>
        <w:tabs>
          <w:tab w:val="left" w:pos="851"/>
        </w:tabs>
        <w:ind w:left="851"/>
        <w:rPr>
          <w:sz w:val="24"/>
          <w:szCs w:val="24"/>
        </w:rPr>
      </w:pPr>
      <w:r w:rsidRPr="0040023F">
        <w:rPr>
          <w:sz w:val="24"/>
          <w:szCs w:val="24"/>
        </w:rPr>
        <w:t xml:space="preserve">Der er rapporteret om depression, forværring af depression, angst, aggressive tendenser, humørforandringer, psykotiske symptomer og i meget sjældne tilfælde selvmordstanker, selvmordsforsøg og selvmord hos patienter, som er behandlet med isotretinoin (se pkt. 4.8). Der skal udvises særlig forsigtighed hos patienter med tidligere depression, og alle patienter skal overvåges for tegn på depression og om nødvendigt henvises til passende behandling. Seponering af isotretinoin kan dog være utilstrækkelig til at lindre symptomer, og derfor kan yderligere psykiatrisk eller psykologisk vurdering være nødvendig. </w:t>
      </w:r>
    </w:p>
    <w:p w14:paraId="39589C93" w14:textId="77777777" w:rsidR="0040023F" w:rsidRPr="0040023F" w:rsidRDefault="0040023F" w:rsidP="0040023F">
      <w:pPr>
        <w:tabs>
          <w:tab w:val="left" w:pos="851"/>
        </w:tabs>
        <w:ind w:left="851"/>
        <w:rPr>
          <w:sz w:val="24"/>
          <w:szCs w:val="24"/>
        </w:rPr>
      </w:pPr>
      <w:r w:rsidRPr="0040023F">
        <w:rPr>
          <w:sz w:val="24"/>
          <w:szCs w:val="24"/>
        </w:rPr>
        <w:t>Opmærksomhed udvist af familie eller venner kan være nyttig i opdagelsen af forringelse af den psykiske tilstand.</w:t>
      </w:r>
    </w:p>
    <w:p w14:paraId="177B8D8B" w14:textId="77777777" w:rsidR="0040023F" w:rsidRPr="0040023F" w:rsidRDefault="0040023F" w:rsidP="0040023F">
      <w:pPr>
        <w:tabs>
          <w:tab w:val="left" w:pos="851"/>
        </w:tabs>
        <w:ind w:left="851"/>
        <w:rPr>
          <w:sz w:val="24"/>
          <w:szCs w:val="24"/>
        </w:rPr>
      </w:pPr>
    </w:p>
    <w:p w14:paraId="79F1D4AD" w14:textId="77777777" w:rsidR="0040023F" w:rsidRPr="0040023F" w:rsidRDefault="0040023F" w:rsidP="0040023F">
      <w:pPr>
        <w:tabs>
          <w:tab w:val="left" w:pos="851"/>
        </w:tabs>
        <w:ind w:left="851"/>
        <w:rPr>
          <w:b/>
          <w:bCs/>
          <w:sz w:val="24"/>
          <w:szCs w:val="24"/>
        </w:rPr>
      </w:pPr>
      <w:r w:rsidRPr="0040023F">
        <w:rPr>
          <w:b/>
          <w:bCs/>
          <w:sz w:val="24"/>
          <w:szCs w:val="24"/>
        </w:rPr>
        <w:t>Sygdomme i hud og subkutane væv</w:t>
      </w:r>
    </w:p>
    <w:p w14:paraId="4D78E01E" w14:textId="77777777" w:rsidR="0040023F" w:rsidRPr="0040023F" w:rsidRDefault="0040023F" w:rsidP="0040023F">
      <w:pPr>
        <w:tabs>
          <w:tab w:val="left" w:pos="851"/>
        </w:tabs>
        <w:ind w:left="851"/>
        <w:rPr>
          <w:sz w:val="24"/>
          <w:szCs w:val="24"/>
        </w:rPr>
      </w:pPr>
      <w:r w:rsidRPr="0040023F">
        <w:rPr>
          <w:sz w:val="24"/>
          <w:szCs w:val="24"/>
        </w:rPr>
        <w:t>Lejlighedsvis ses der akut eksacerbation af akne i den initiale periode, men den forsvinder under fortsat behandling, normalt inden for 7-10 dage, og kræver sædvanligvis ingen dosisjustering.</w:t>
      </w:r>
    </w:p>
    <w:p w14:paraId="313AAEB3" w14:textId="77777777" w:rsidR="0040023F" w:rsidRPr="0040023F" w:rsidRDefault="0040023F" w:rsidP="0040023F">
      <w:pPr>
        <w:tabs>
          <w:tab w:val="left" w:pos="851"/>
        </w:tabs>
        <w:ind w:left="851"/>
        <w:rPr>
          <w:sz w:val="24"/>
          <w:szCs w:val="24"/>
        </w:rPr>
      </w:pPr>
    </w:p>
    <w:p w14:paraId="334CCDAA" w14:textId="77777777" w:rsidR="0040023F" w:rsidRPr="0040023F" w:rsidRDefault="0040023F" w:rsidP="0040023F">
      <w:pPr>
        <w:tabs>
          <w:tab w:val="left" w:pos="851"/>
        </w:tabs>
        <w:ind w:left="851"/>
        <w:rPr>
          <w:sz w:val="24"/>
          <w:szCs w:val="24"/>
        </w:rPr>
      </w:pPr>
      <w:r w:rsidRPr="0040023F">
        <w:rPr>
          <w:sz w:val="24"/>
          <w:szCs w:val="24"/>
        </w:rPr>
        <w:t xml:space="preserve">Udsættelse for stærkt sollys og ultraviolet lys bør undgås. Om nødvendigt bør der anvendes et solbeskyttelsespræparat med en beskyttelsesfaktor på mindst 15. </w:t>
      </w:r>
    </w:p>
    <w:p w14:paraId="247AB4EC" w14:textId="77777777" w:rsidR="0040023F" w:rsidRPr="0040023F" w:rsidRDefault="0040023F" w:rsidP="0040023F">
      <w:pPr>
        <w:tabs>
          <w:tab w:val="left" w:pos="851"/>
        </w:tabs>
        <w:ind w:left="851"/>
        <w:rPr>
          <w:sz w:val="24"/>
          <w:szCs w:val="24"/>
        </w:rPr>
      </w:pPr>
    </w:p>
    <w:p w14:paraId="127B8420" w14:textId="77777777" w:rsidR="0040023F" w:rsidRPr="0040023F" w:rsidRDefault="0040023F" w:rsidP="0040023F">
      <w:pPr>
        <w:tabs>
          <w:tab w:val="left" w:pos="851"/>
        </w:tabs>
        <w:ind w:left="851"/>
        <w:rPr>
          <w:sz w:val="24"/>
          <w:szCs w:val="24"/>
        </w:rPr>
      </w:pPr>
      <w:r w:rsidRPr="0040023F">
        <w:rPr>
          <w:sz w:val="24"/>
          <w:szCs w:val="24"/>
        </w:rPr>
        <w:t>Aggressiv kemisk dermabrasion og laserbehandling af huden bør undgås under behandling med isotretinoin og i 5-6 måneder efter endt behandling på grund af risiko for hypertrofiske ar i atypiske områder og mere sjældent post-inflammatorisk hyper- eller hypopigmentering i de behandlede områder. Voksepilation bør undgås hos patienter i behandling med isotretinoin i mindst 6 måneder efter endt behandling på grund af risiko for epidermal afskalning.</w:t>
      </w:r>
    </w:p>
    <w:p w14:paraId="2788708E" w14:textId="77777777" w:rsidR="0040023F" w:rsidRPr="0040023F" w:rsidRDefault="0040023F" w:rsidP="0040023F">
      <w:pPr>
        <w:tabs>
          <w:tab w:val="left" w:pos="851"/>
        </w:tabs>
        <w:ind w:left="851"/>
        <w:rPr>
          <w:sz w:val="24"/>
          <w:szCs w:val="24"/>
        </w:rPr>
      </w:pPr>
    </w:p>
    <w:p w14:paraId="3852C284" w14:textId="77777777" w:rsidR="0040023F" w:rsidRPr="0040023F" w:rsidRDefault="0040023F" w:rsidP="0040023F">
      <w:pPr>
        <w:tabs>
          <w:tab w:val="left" w:pos="851"/>
        </w:tabs>
        <w:ind w:left="851"/>
        <w:rPr>
          <w:sz w:val="24"/>
          <w:szCs w:val="24"/>
        </w:rPr>
      </w:pPr>
      <w:r w:rsidRPr="0040023F">
        <w:rPr>
          <w:sz w:val="24"/>
          <w:szCs w:val="24"/>
        </w:rPr>
        <w:t>Samtidig administration af isotretinoin og lokale keratolytika eller aknemidler med exfoliativ virkning bør undgås, da lokalirritationen kan øges.</w:t>
      </w:r>
    </w:p>
    <w:p w14:paraId="59FD0E01" w14:textId="77777777" w:rsidR="0040023F" w:rsidRPr="0040023F" w:rsidRDefault="0040023F" w:rsidP="0040023F">
      <w:pPr>
        <w:tabs>
          <w:tab w:val="left" w:pos="851"/>
        </w:tabs>
        <w:ind w:left="851"/>
        <w:rPr>
          <w:sz w:val="24"/>
          <w:szCs w:val="24"/>
        </w:rPr>
      </w:pPr>
    </w:p>
    <w:p w14:paraId="5C0F2436" w14:textId="77777777" w:rsidR="0040023F" w:rsidRPr="0040023F" w:rsidRDefault="0040023F" w:rsidP="0040023F">
      <w:pPr>
        <w:tabs>
          <w:tab w:val="left" w:pos="851"/>
        </w:tabs>
        <w:ind w:left="851"/>
        <w:rPr>
          <w:sz w:val="24"/>
          <w:szCs w:val="24"/>
        </w:rPr>
      </w:pPr>
      <w:r w:rsidRPr="0040023F">
        <w:rPr>
          <w:sz w:val="24"/>
          <w:szCs w:val="24"/>
        </w:rPr>
        <w:t>Patienterne skal rådes til at anvende en fugtighedssalve eller creme samt en læbepomade fra behandlingens start, da isotretinoin kan forårsage tørhed af hud og læber.</w:t>
      </w:r>
    </w:p>
    <w:p w14:paraId="4BED2261" w14:textId="77777777" w:rsidR="0040023F" w:rsidRPr="0040023F" w:rsidRDefault="0040023F" w:rsidP="0040023F">
      <w:pPr>
        <w:tabs>
          <w:tab w:val="left" w:pos="851"/>
        </w:tabs>
        <w:ind w:left="851"/>
        <w:rPr>
          <w:sz w:val="24"/>
          <w:szCs w:val="24"/>
        </w:rPr>
      </w:pPr>
    </w:p>
    <w:p w14:paraId="634CB941" w14:textId="77777777" w:rsidR="0040023F" w:rsidRPr="0040023F" w:rsidRDefault="0040023F" w:rsidP="0040023F">
      <w:pPr>
        <w:tabs>
          <w:tab w:val="left" w:pos="851"/>
        </w:tabs>
        <w:ind w:left="851"/>
        <w:rPr>
          <w:sz w:val="24"/>
          <w:szCs w:val="24"/>
        </w:rPr>
      </w:pPr>
      <w:r w:rsidRPr="0040023F">
        <w:rPr>
          <w:sz w:val="24"/>
          <w:szCs w:val="24"/>
        </w:rPr>
        <w:t>Der er efter markedsføring blevet rapporteret om alvorlige hudreaktioner (f.eks. erytema multiforme (EM), Stevens-Johnson syndrom (SJS) og toksisk epidermal nekrolyse (TEN), og akut generaliseret eksantematøs pustulose (AGEP), ved brug af isotretinoin. Da sådanne hudreaktioner kan være svære at skelne fra andre mindre alvorlige reaktioner (se pkt. 4.8), skal patienten oplyses om specifikke symptomer og følges tæt. Ved mistanke om alvorlige hudreaktioner, skal behandling med isotretinoin afbrydes.</w:t>
      </w:r>
    </w:p>
    <w:p w14:paraId="116BE089" w14:textId="77777777" w:rsidR="0040023F" w:rsidRPr="0040023F" w:rsidRDefault="0040023F" w:rsidP="0040023F">
      <w:pPr>
        <w:tabs>
          <w:tab w:val="left" w:pos="851"/>
        </w:tabs>
        <w:ind w:left="851"/>
        <w:rPr>
          <w:sz w:val="24"/>
          <w:szCs w:val="24"/>
        </w:rPr>
      </w:pPr>
    </w:p>
    <w:p w14:paraId="7291AD26" w14:textId="77777777" w:rsidR="0040023F" w:rsidRPr="0040023F" w:rsidRDefault="0040023F" w:rsidP="0040023F">
      <w:pPr>
        <w:tabs>
          <w:tab w:val="left" w:pos="851"/>
        </w:tabs>
        <w:ind w:left="851"/>
        <w:rPr>
          <w:sz w:val="24"/>
          <w:szCs w:val="24"/>
        </w:rPr>
      </w:pPr>
      <w:r w:rsidRPr="0040023F">
        <w:rPr>
          <w:sz w:val="24"/>
          <w:szCs w:val="24"/>
        </w:rPr>
        <w:lastRenderedPageBreak/>
        <w:t>Patienterne skal informeres om tegnene og symptomerne på disse alvorlige kutane bivirkninger, og at de straks skal søge lægehjælp, hvis de observerer tegn eller symptomer, der kan indikere en eller flere af disse reaktioner.</w:t>
      </w:r>
    </w:p>
    <w:p w14:paraId="59AC92A6" w14:textId="77777777" w:rsidR="0040023F" w:rsidRPr="0040023F" w:rsidRDefault="0040023F" w:rsidP="0040023F">
      <w:pPr>
        <w:tabs>
          <w:tab w:val="left" w:pos="851"/>
        </w:tabs>
        <w:ind w:left="851"/>
        <w:rPr>
          <w:sz w:val="24"/>
          <w:szCs w:val="24"/>
        </w:rPr>
      </w:pPr>
    </w:p>
    <w:p w14:paraId="4C82D048" w14:textId="77777777" w:rsidR="0040023F" w:rsidRPr="0040023F" w:rsidRDefault="0040023F" w:rsidP="0040023F">
      <w:pPr>
        <w:tabs>
          <w:tab w:val="left" w:pos="851"/>
        </w:tabs>
        <w:ind w:left="851"/>
        <w:rPr>
          <w:sz w:val="24"/>
          <w:szCs w:val="24"/>
        </w:rPr>
      </w:pPr>
      <w:r w:rsidRPr="0040023F">
        <w:rPr>
          <w:sz w:val="24"/>
          <w:szCs w:val="24"/>
        </w:rPr>
        <w:t>Hvis der forekommer tegn og symptomer, der kan tyde på disse reaktioner, skal Isotretinoin Pharmathen straks seponeres og en alternativ behandling overvejes (efter behov).</w:t>
      </w:r>
    </w:p>
    <w:p w14:paraId="517D3C29" w14:textId="77777777" w:rsidR="0040023F" w:rsidRPr="0040023F" w:rsidRDefault="0040023F" w:rsidP="0040023F">
      <w:pPr>
        <w:tabs>
          <w:tab w:val="left" w:pos="851"/>
        </w:tabs>
        <w:ind w:left="851"/>
        <w:rPr>
          <w:sz w:val="24"/>
          <w:szCs w:val="24"/>
        </w:rPr>
      </w:pPr>
    </w:p>
    <w:p w14:paraId="4C79E136" w14:textId="77777777" w:rsidR="0040023F" w:rsidRPr="0040023F" w:rsidRDefault="0040023F" w:rsidP="0040023F">
      <w:pPr>
        <w:tabs>
          <w:tab w:val="left" w:pos="851"/>
        </w:tabs>
        <w:ind w:left="851"/>
        <w:rPr>
          <w:sz w:val="24"/>
          <w:szCs w:val="24"/>
        </w:rPr>
      </w:pPr>
      <w:r w:rsidRPr="0040023F">
        <w:rPr>
          <w:sz w:val="24"/>
          <w:szCs w:val="24"/>
        </w:rPr>
        <w:t>Hvis patienten har udviklet en alvorlig kutan bivirkning som f.eks. SJS, TEN eller AGEP under brugen af Isotretinoin Pharmathen må behandlingen med Isotretinoin Pharmathen ikke genoptages på noget som helst tidspunkt hos den pågældende patient.</w:t>
      </w:r>
    </w:p>
    <w:p w14:paraId="7AC1B92B" w14:textId="77777777" w:rsidR="0040023F" w:rsidRPr="0040023F" w:rsidRDefault="0040023F" w:rsidP="0040023F">
      <w:pPr>
        <w:tabs>
          <w:tab w:val="left" w:pos="851"/>
        </w:tabs>
        <w:ind w:left="851"/>
        <w:rPr>
          <w:sz w:val="24"/>
          <w:szCs w:val="24"/>
        </w:rPr>
      </w:pPr>
    </w:p>
    <w:p w14:paraId="74E99DAE" w14:textId="77777777" w:rsidR="0040023F" w:rsidRPr="0040023F" w:rsidRDefault="0040023F" w:rsidP="0040023F">
      <w:pPr>
        <w:tabs>
          <w:tab w:val="left" w:pos="851"/>
        </w:tabs>
        <w:ind w:left="851"/>
        <w:rPr>
          <w:b/>
          <w:bCs/>
          <w:sz w:val="24"/>
          <w:szCs w:val="24"/>
        </w:rPr>
      </w:pPr>
      <w:r w:rsidRPr="0040023F">
        <w:rPr>
          <w:b/>
          <w:bCs/>
          <w:sz w:val="24"/>
          <w:szCs w:val="24"/>
        </w:rPr>
        <w:t>Allergiske reaktioner</w:t>
      </w:r>
    </w:p>
    <w:p w14:paraId="41530E2D" w14:textId="77777777" w:rsidR="0040023F" w:rsidRPr="0040023F" w:rsidRDefault="0040023F" w:rsidP="0040023F">
      <w:pPr>
        <w:tabs>
          <w:tab w:val="left" w:pos="851"/>
        </w:tabs>
        <w:ind w:left="851"/>
        <w:rPr>
          <w:sz w:val="24"/>
          <w:szCs w:val="24"/>
        </w:rPr>
      </w:pPr>
      <w:r w:rsidRPr="0040023F">
        <w:rPr>
          <w:sz w:val="24"/>
          <w:szCs w:val="24"/>
        </w:rPr>
        <w:t>Anafylaktiske reaktioner er sjældent rapporteret. I enkelte tilfælde er det set efter tidligere topikal anvendelse af retinoider. Allergiske kutane reaktioner er rapporteret enkelte gange. Alvorlige tilfælde af allergisk vaskulitis, ofte med purpura (blodudtrædninger) på ekstremiteterne og ekstrakutan involvering er blevet rapporteret. Alvorlige allergiske reaktioner nødvendiggør afbrydelse af behandlingen og nøje overvågning.</w:t>
      </w:r>
    </w:p>
    <w:p w14:paraId="2A53B8D4" w14:textId="77777777" w:rsidR="0040023F" w:rsidRPr="0040023F" w:rsidRDefault="0040023F" w:rsidP="0040023F">
      <w:pPr>
        <w:tabs>
          <w:tab w:val="left" w:pos="851"/>
        </w:tabs>
        <w:ind w:left="851"/>
        <w:rPr>
          <w:sz w:val="24"/>
          <w:szCs w:val="24"/>
        </w:rPr>
      </w:pPr>
    </w:p>
    <w:p w14:paraId="68E666BE" w14:textId="77777777" w:rsidR="0040023F" w:rsidRPr="0040023F" w:rsidRDefault="0040023F" w:rsidP="0040023F">
      <w:pPr>
        <w:tabs>
          <w:tab w:val="left" w:pos="851"/>
        </w:tabs>
        <w:ind w:left="851"/>
        <w:rPr>
          <w:b/>
          <w:bCs/>
          <w:sz w:val="24"/>
          <w:szCs w:val="24"/>
        </w:rPr>
      </w:pPr>
      <w:r w:rsidRPr="0040023F">
        <w:rPr>
          <w:b/>
          <w:bCs/>
          <w:sz w:val="24"/>
          <w:szCs w:val="24"/>
        </w:rPr>
        <w:t>Øjensygdomme</w:t>
      </w:r>
    </w:p>
    <w:p w14:paraId="6A007D09" w14:textId="77777777" w:rsidR="0040023F" w:rsidRPr="0040023F" w:rsidRDefault="0040023F" w:rsidP="0040023F">
      <w:pPr>
        <w:tabs>
          <w:tab w:val="left" w:pos="851"/>
        </w:tabs>
        <w:ind w:left="851"/>
        <w:rPr>
          <w:sz w:val="24"/>
          <w:szCs w:val="24"/>
        </w:rPr>
      </w:pPr>
      <w:r w:rsidRPr="0040023F">
        <w:rPr>
          <w:sz w:val="24"/>
          <w:szCs w:val="24"/>
        </w:rPr>
        <w:t xml:space="preserve">Tørhed af øjnene, korneal uklarhed, nedsat nattesyn og keratitis forsvinder sædvanligvis efter afbrydelse af behandlingen. Der er rapporteret tilfælde af tørre øjne, som ikke forsvinder efter seponering af behandling. Tørhed af øjnene kan forebygges ved anvendelse af en mild øjensalve eller ved drypning med kunstig tårevæske. Der kan optræde intolerans over for kontaktlinser, hvilket kan nødvendiggøre, at patienterne bruger briller under behandlingen. </w:t>
      </w:r>
    </w:p>
    <w:p w14:paraId="2FC99F55" w14:textId="77777777" w:rsidR="0040023F" w:rsidRPr="0040023F" w:rsidRDefault="0040023F" w:rsidP="0040023F">
      <w:pPr>
        <w:tabs>
          <w:tab w:val="left" w:pos="851"/>
        </w:tabs>
        <w:ind w:left="851"/>
        <w:rPr>
          <w:sz w:val="24"/>
          <w:szCs w:val="24"/>
        </w:rPr>
      </w:pPr>
    </w:p>
    <w:p w14:paraId="64F24A48" w14:textId="77777777" w:rsidR="0040023F" w:rsidRPr="0040023F" w:rsidRDefault="0040023F" w:rsidP="0040023F">
      <w:pPr>
        <w:tabs>
          <w:tab w:val="left" w:pos="851"/>
        </w:tabs>
        <w:ind w:left="851"/>
        <w:rPr>
          <w:sz w:val="24"/>
          <w:szCs w:val="24"/>
        </w:rPr>
      </w:pPr>
      <w:r w:rsidRPr="0040023F">
        <w:rPr>
          <w:sz w:val="24"/>
          <w:szCs w:val="24"/>
        </w:rPr>
        <w:t>Der er også rapporteret om nedsat nattesyn, som hos nogle patienter startede pludseligt (se pkt. 4.7). Patienter, som får synsforstyrrelser, skal henvises til øjenlæge. Det kan blive nødvendigt at stoppe behandlingen med isotretinoin.</w:t>
      </w:r>
    </w:p>
    <w:p w14:paraId="3E189428" w14:textId="77777777" w:rsidR="0040023F" w:rsidRPr="0040023F" w:rsidRDefault="0040023F" w:rsidP="0040023F">
      <w:pPr>
        <w:tabs>
          <w:tab w:val="left" w:pos="851"/>
        </w:tabs>
        <w:ind w:left="851"/>
        <w:rPr>
          <w:sz w:val="24"/>
          <w:szCs w:val="24"/>
        </w:rPr>
      </w:pPr>
    </w:p>
    <w:p w14:paraId="4FF8A0DE" w14:textId="77777777" w:rsidR="0040023F" w:rsidRPr="0040023F" w:rsidRDefault="0040023F" w:rsidP="0040023F">
      <w:pPr>
        <w:tabs>
          <w:tab w:val="left" w:pos="851"/>
        </w:tabs>
        <w:ind w:left="851"/>
        <w:rPr>
          <w:b/>
          <w:bCs/>
          <w:sz w:val="24"/>
          <w:szCs w:val="24"/>
        </w:rPr>
      </w:pPr>
      <w:r w:rsidRPr="0040023F">
        <w:rPr>
          <w:b/>
          <w:bCs/>
          <w:sz w:val="24"/>
          <w:szCs w:val="24"/>
        </w:rPr>
        <w:t xml:space="preserve">Sygdomme i bevægeapparatet, bindevæv og knogler </w:t>
      </w:r>
    </w:p>
    <w:p w14:paraId="1040326D" w14:textId="77777777" w:rsidR="0040023F" w:rsidRPr="0040023F" w:rsidRDefault="0040023F" w:rsidP="0040023F">
      <w:pPr>
        <w:tabs>
          <w:tab w:val="left" w:pos="851"/>
        </w:tabs>
        <w:ind w:left="851"/>
        <w:rPr>
          <w:sz w:val="24"/>
          <w:szCs w:val="24"/>
        </w:rPr>
      </w:pPr>
      <w:r w:rsidRPr="0040023F">
        <w:rPr>
          <w:sz w:val="24"/>
          <w:szCs w:val="24"/>
        </w:rPr>
        <w:t>Der er rapporteret om myalgier, artralgier og forhøjede kreatininfosfokinase-værdier i serum hos patienter, der fik isotretinoin, specielt hos patienter, som er meget fysisk aktive (se pkt. 4.8). I nogle tilfælde kan dette udvikle sig til potentiel livstruende rhabdomyolyse.</w:t>
      </w:r>
    </w:p>
    <w:p w14:paraId="09DB47E8" w14:textId="77777777" w:rsidR="0040023F" w:rsidRPr="0040023F" w:rsidRDefault="0040023F" w:rsidP="0040023F">
      <w:pPr>
        <w:tabs>
          <w:tab w:val="left" w:pos="851"/>
        </w:tabs>
        <w:ind w:left="851"/>
        <w:rPr>
          <w:sz w:val="24"/>
          <w:szCs w:val="24"/>
        </w:rPr>
      </w:pPr>
    </w:p>
    <w:p w14:paraId="3C624D9F" w14:textId="77777777" w:rsidR="0040023F" w:rsidRPr="0040023F" w:rsidRDefault="0040023F" w:rsidP="0040023F">
      <w:pPr>
        <w:tabs>
          <w:tab w:val="left" w:pos="851"/>
        </w:tabs>
        <w:ind w:left="851"/>
        <w:rPr>
          <w:sz w:val="24"/>
          <w:szCs w:val="24"/>
        </w:rPr>
      </w:pPr>
      <w:r w:rsidRPr="0040023F">
        <w:rPr>
          <w:sz w:val="24"/>
          <w:szCs w:val="24"/>
        </w:rPr>
        <w:t>Efter flere års indtagelse af meget høje doser i forbindelse med behandling af keratiniserende sygdomme er der indtruffet knogleændringer, inklusive præmatur epifyselukning, hyperostosis og forkalkning af sener og ligamenter. Dosis, behandlings-varighed og total kumulativ dosis hos disse patienter overskred i almindelighed langt de doser, som anbefales til behandling af akne.</w:t>
      </w:r>
    </w:p>
    <w:p w14:paraId="2248AB66" w14:textId="77777777" w:rsidR="0040023F" w:rsidRPr="0040023F" w:rsidRDefault="0040023F" w:rsidP="0040023F">
      <w:pPr>
        <w:tabs>
          <w:tab w:val="left" w:pos="851"/>
        </w:tabs>
        <w:ind w:left="851"/>
        <w:rPr>
          <w:sz w:val="24"/>
          <w:szCs w:val="24"/>
        </w:rPr>
      </w:pPr>
    </w:p>
    <w:p w14:paraId="58E42B57" w14:textId="77777777" w:rsidR="0040023F" w:rsidRPr="0040023F" w:rsidRDefault="0040023F" w:rsidP="0040023F">
      <w:pPr>
        <w:tabs>
          <w:tab w:val="left" w:pos="851"/>
        </w:tabs>
        <w:ind w:left="851"/>
        <w:rPr>
          <w:sz w:val="24"/>
          <w:szCs w:val="24"/>
        </w:rPr>
      </w:pPr>
      <w:r w:rsidRPr="0040023F">
        <w:rPr>
          <w:sz w:val="24"/>
          <w:szCs w:val="24"/>
        </w:rPr>
        <w:t>Sacroiliitis er blevet rapporteret hos patienter behandlet med isotretinoin. For at skelne sacroiliitis fra andre årsager til rygsmerter i patienter med tegn på sacroiliitis kan yderligere evaluering være nødvendig, herunder MR-scanning. I sager rapporteret efter markedsføring forbedredes sacroiliitis efter seponering af Isotretinoin Pharmathen og passende behandling.</w:t>
      </w:r>
    </w:p>
    <w:p w14:paraId="445F86CA" w14:textId="77777777" w:rsidR="0040023F" w:rsidRPr="0040023F" w:rsidRDefault="0040023F" w:rsidP="0040023F">
      <w:pPr>
        <w:tabs>
          <w:tab w:val="left" w:pos="851"/>
        </w:tabs>
        <w:ind w:left="851"/>
        <w:rPr>
          <w:sz w:val="24"/>
          <w:szCs w:val="24"/>
        </w:rPr>
      </w:pPr>
    </w:p>
    <w:p w14:paraId="1FC2D996" w14:textId="77777777" w:rsidR="0040023F" w:rsidRPr="0040023F" w:rsidRDefault="0040023F" w:rsidP="0040023F">
      <w:pPr>
        <w:tabs>
          <w:tab w:val="left" w:pos="851"/>
        </w:tabs>
        <w:ind w:left="851"/>
        <w:rPr>
          <w:b/>
          <w:bCs/>
          <w:sz w:val="24"/>
          <w:szCs w:val="24"/>
        </w:rPr>
      </w:pPr>
      <w:r w:rsidRPr="0040023F">
        <w:rPr>
          <w:b/>
          <w:bCs/>
          <w:sz w:val="24"/>
          <w:szCs w:val="24"/>
        </w:rPr>
        <w:t>Benign intrakranial hypertension</w:t>
      </w:r>
    </w:p>
    <w:p w14:paraId="1122200B" w14:textId="77777777" w:rsidR="0040023F" w:rsidRPr="0040023F" w:rsidRDefault="0040023F" w:rsidP="0040023F">
      <w:pPr>
        <w:tabs>
          <w:tab w:val="left" w:pos="851"/>
        </w:tabs>
        <w:ind w:left="851"/>
        <w:rPr>
          <w:sz w:val="24"/>
          <w:szCs w:val="24"/>
        </w:rPr>
      </w:pPr>
      <w:r w:rsidRPr="0040023F">
        <w:rPr>
          <w:sz w:val="24"/>
          <w:szCs w:val="24"/>
        </w:rPr>
        <w:t xml:space="preserve">Der er rapporteret om tilfælde af benign intrakranial hypertension, af hvilke nogle involverede samtidig anvendelse af tetracykliner (se pkt. 4.3 og 4.5). Symptomerne på </w:t>
      </w:r>
      <w:r w:rsidRPr="0040023F">
        <w:rPr>
          <w:sz w:val="24"/>
          <w:szCs w:val="24"/>
        </w:rPr>
        <w:lastRenderedPageBreak/>
        <w:t>benign intrakranial hypertension omfatter hovedpine, kvalme og opkastning samt synsforstyrrelser og papilødem. Patienter, som får benign intrakranial hypertension skal straks ophøre behandlingen med isotretinoin.</w:t>
      </w:r>
    </w:p>
    <w:p w14:paraId="65340396" w14:textId="77777777" w:rsidR="0040023F" w:rsidRPr="0040023F" w:rsidRDefault="0040023F" w:rsidP="0040023F">
      <w:pPr>
        <w:tabs>
          <w:tab w:val="left" w:pos="851"/>
        </w:tabs>
        <w:ind w:left="851"/>
        <w:rPr>
          <w:sz w:val="24"/>
          <w:szCs w:val="24"/>
        </w:rPr>
      </w:pPr>
    </w:p>
    <w:p w14:paraId="177A772C" w14:textId="77777777" w:rsidR="0040023F" w:rsidRPr="0040023F" w:rsidRDefault="0040023F" w:rsidP="0040023F">
      <w:pPr>
        <w:tabs>
          <w:tab w:val="left" w:pos="851"/>
        </w:tabs>
        <w:ind w:left="851"/>
        <w:rPr>
          <w:b/>
          <w:bCs/>
          <w:sz w:val="24"/>
          <w:szCs w:val="24"/>
        </w:rPr>
      </w:pPr>
      <w:r w:rsidRPr="0040023F">
        <w:rPr>
          <w:b/>
          <w:bCs/>
          <w:sz w:val="24"/>
          <w:szCs w:val="24"/>
        </w:rPr>
        <w:t>Sygdomme i lever og galde</w:t>
      </w:r>
    </w:p>
    <w:p w14:paraId="503A991E" w14:textId="77777777" w:rsidR="0040023F" w:rsidRPr="0040023F" w:rsidRDefault="0040023F" w:rsidP="0040023F">
      <w:pPr>
        <w:tabs>
          <w:tab w:val="left" w:pos="851"/>
        </w:tabs>
        <w:ind w:left="851"/>
        <w:rPr>
          <w:sz w:val="24"/>
          <w:szCs w:val="24"/>
        </w:rPr>
      </w:pPr>
      <w:r w:rsidRPr="0040023F">
        <w:rPr>
          <w:sz w:val="24"/>
          <w:szCs w:val="24"/>
        </w:rPr>
        <w:t>Leverenzymerne bør kontrolleres før og 1 måned efter påbegyndelse af behandling og derefter hver 3. måned, medmindre det bliver klinisk nødvendigt med hyppigere kontrol. Der er rapporteret om transitoriske og reversible stigninger af levertransaminaser. I mange tilfælde har stigningerne været inden for referenceområdet, og værdierne er vendt tilbage til udgangsværdierne under behandlingen. Hvis der kommer persisterende, klinisk relevante stigninger af transaminaserne, bør det overvejes at reducere dosis eller stoppe behandlingen.</w:t>
      </w:r>
    </w:p>
    <w:p w14:paraId="7310EE56" w14:textId="77777777" w:rsidR="0040023F" w:rsidRPr="0040023F" w:rsidRDefault="0040023F" w:rsidP="0040023F">
      <w:pPr>
        <w:tabs>
          <w:tab w:val="left" w:pos="851"/>
        </w:tabs>
        <w:ind w:left="851"/>
        <w:rPr>
          <w:sz w:val="24"/>
          <w:szCs w:val="24"/>
        </w:rPr>
      </w:pPr>
    </w:p>
    <w:p w14:paraId="6B943C4C" w14:textId="77777777" w:rsidR="0040023F" w:rsidRPr="0040023F" w:rsidRDefault="0040023F" w:rsidP="0040023F">
      <w:pPr>
        <w:tabs>
          <w:tab w:val="left" w:pos="851"/>
        </w:tabs>
        <w:ind w:left="851"/>
        <w:rPr>
          <w:b/>
          <w:bCs/>
          <w:sz w:val="24"/>
          <w:szCs w:val="24"/>
        </w:rPr>
      </w:pPr>
      <w:r w:rsidRPr="0040023F">
        <w:rPr>
          <w:b/>
          <w:bCs/>
          <w:sz w:val="24"/>
          <w:szCs w:val="24"/>
        </w:rPr>
        <w:t>Nyreinsufficiens</w:t>
      </w:r>
    </w:p>
    <w:p w14:paraId="30DA0E8B" w14:textId="77777777" w:rsidR="0040023F" w:rsidRPr="0040023F" w:rsidRDefault="0040023F" w:rsidP="0040023F">
      <w:pPr>
        <w:tabs>
          <w:tab w:val="left" w:pos="851"/>
        </w:tabs>
        <w:ind w:left="851"/>
        <w:rPr>
          <w:sz w:val="24"/>
          <w:szCs w:val="24"/>
        </w:rPr>
      </w:pPr>
      <w:r w:rsidRPr="0040023F">
        <w:rPr>
          <w:sz w:val="24"/>
          <w:szCs w:val="24"/>
        </w:rPr>
        <w:t>Nyreinsufficiens og nyresvigt påvirker ikke isotretinoins farmakokinetik. Isotretinoin kan derfor gives til patienter med nyreinsufficiens. Det anbefales dog, at patienterne starter med en lav dosis og titreres op til maksimal tolereret dosis (se pkt. 4.2).</w:t>
      </w:r>
    </w:p>
    <w:p w14:paraId="386CC9BB" w14:textId="77777777" w:rsidR="0040023F" w:rsidRPr="0040023F" w:rsidRDefault="0040023F" w:rsidP="0040023F">
      <w:pPr>
        <w:tabs>
          <w:tab w:val="left" w:pos="851"/>
        </w:tabs>
        <w:ind w:left="851"/>
        <w:rPr>
          <w:sz w:val="24"/>
          <w:szCs w:val="24"/>
        </w:rPr>
      </w:pPr>
    </w:p>
    <w:p w14:paraId="4083DF9A" w14:textId="77777777" w:rsidR="0040023F" w:rsidRPr="0040023F" w:rsidRDefault="0040023F" w:rsidP="0040023F">
      <w:pPr>
        <w:tabs>
          <w:tab w:val="left" w:pos="851"/>
        </w:tabs>
        <w:ind w:left="851"/>
        <w:rPr>
          <w:b/>
          <w:bCs/>
          <w:sz w:val="24"/>
          <w:szCs w:val="24"/>
        </w:rPr>
      </w:pPr>
      <w:r w:rsidRPr="0040023F">
        <w:rPr>
          <w:b/>
          <w:bCs/>
          <w:sz w:val="24"/>
          <w:szCs w:val="24"/>
        </w:rPr>
        <w:t>Lipidstofskiftet</w:t>
      </w:r>
    </w:p>
    <w:p w14:paraId="1E25FA87" w14:textId="77777777" w:rsidR="0040023F" w:rsidRPr="0040023F" w:rsidRDefault="0040023F" w:rsidP="0040023F">
      <w:pPr>
        <w:tabs>
          <w:tab w:val="left" w:pos="851"/>
        </w:tabs>
        <w:ind w:left="851"/>
        <w:rPr>
          <w:sz w:val="24"/>
          <w:szCs w:val="24"/>
        </w:rPr>
      </w:pPr>
      <w:r w:rsidRPr="0040023F">
        <w:rPr>
          <w:sz w:val="24"/>
          <w:szCs w:val="24"/>
        </w:rPr>
        <w:t>Serumlipider (fasteværdier) bør kontrolleres før og 1 måned efter påbegyndelse af behandling og derefter hver 3. måned, medmindre det bliver nødvendigt med hyppigere kontrol. Forhøjede serumlipidværdier normaliseres sædvanligvis ved reduktion af dosis eller ved afbrydelse af behandlingen og kan også respondere på ændringer i kosten.</w:t>
      </w:r>
    </w:p>
    <w:p w14:paraId="3208CFE1" w14:textId="77777777" w:rsidR="0040023F" w:rsidRPr="0040023F" w:rsidRDefault="0040023F" w:rsidP="0040023F">
      <w:pPr>
        <w:tabs>
          <w:tab w:val="left" w:pos="851"/>
        </w:tabs>
        <w:ind w:left="851"/>
        <w:rPr>
          <w:sz w:val="24"/>
          <w:szCs w:val="24"/>
        </w:rPr>
      </w:pPr>
    </w:p>
    <w:p w14:paraId="171BC57B" w14:textId="77777777" w:rsidR="0040023F" w:rsidRPr="0040023F" w:rsidRDefault="0040023F" w:rsidP="0040023F">
      <w:pPr>
        <w:tabs>
          <w:tab w:val="left" w:pos="851"/>
        </w:tabs>
        <w:ind w:left="851"/>
        <w:rPr>
          <w:sz w:val="24"/>
          <w:szCs w:val="24"/>
        </w:rPr>
      </w:pPr>
      <w:r w:rsidRPr="0040023F">
        <w:rPr>
          <w:sz w:val="24"/>
          <w:szCs w:val="24"/>
        </w:rPr>
        <w:t>Isotretinoin er blevet associeret med forhøjede plasmatriglycerid niveauer. Isotretinoin behandling bør afsluttes, hvis hypertriglyceridæmien ikke kan kontrolleres på et acceptabelt niveau eller hvis symptomerne på pancreatitis opstår (se pkt. 4.8.). Niveauer over 800 mg/dl eller 9 mmol/l er nogle gange blevet associeret med akut pancreatitis, som kan være fatal.</w:t>
      </w:r>
    </w:p>
    <w:p w14:paraId="1F73B1E3" w14:textId="77777777" w:rsidR="0040023F" w:rsidRPr="0040023F" w:rsidRDefault="0040023F" w:rsidP="0040023F">
      <w:pPr>
        <w:tabs>
          <w:tab w:val="left" w:pos="851"/>
        </w:tabs>
        <w:ind w:left="851"/>
        <w:rPr>
          <w:sz w:val="24"/>
          <w:szCs w:val="24"/>
        </w:rPr>
      </w:pPr>
    </w:p>
    <w:p w14:paraId="347C1FC4" w14:textId="77777777" w:rsidR="0040023F" w:rsidRPr="0040023F" w:rsidRDefault="0040023F" w:rsidP="0040023F">
      <w:pPr>
        <w:tabs>
          <w:tab w:val="left" w:pos="851"/>
        </w:tabs>
        <w:ind w:left="851"/>
        <w:rPr>
          <w:b/>
          <w:bCs/>
          <w:sz w:val="24"/>
          <w:szCs w:val="24"/>
        </w:rPr>
      </w:pPr>
      <w:r w:rsidRPr="0040023F">
        <w:rPr>
          <w:b/>
          <w:bCs/>
          <w:sz w:val="24"/>
          <w:szCs w:val="24"/>
        </w:rPr>
        <w:t>Gastrointestinale lidelser</w:t>
      </w:r>
    </w:p>
    <w:p w14:paraId="18DB74ED" w14:textId="77777777" w:rsidR="0040023F" w:rsidRPr="0040023F" w:rsidRDefault="0040023F" w:rsidP="0040023F">
      <w:pPr>
        <w:tabs>
          <w:tab w:val="left" w:pos="851"/>
        </w:tabs>
        <w:ind w:left="851"/>
        <w:rPr>
          <w:sz w:val="24"/>
          <w:szCs w:val="24"/>
        </w:rPr>
      </w:pPr>
      <w:r w:rsidRPr="0040023F">
        <w:rPr>
          <w:sz w:val="24"/>
          <w:szCs w:val="24"/>
        </w:rPr>
        <w:t xml:space="preserve">Isotretinoin er blevet associeret med inflammatorisk tarmsygdom (inklusive lokalt forekommende ileitis) hos patienter, som ikke tidligere har lidt af gastrointestinale sygdomme. Patienter, som oplever alvorlig (blødende) diarré, skal ophøre isotretinoin behandling med det samme. </w:t>
      </w:r>
    </w:p>
    <w:p w14:paraId="36216FF4" w14:textId="77777777" w:rsidR="0040023F" w:rsidRPr="0040023F" w:rsidRDefault="0040023F" w:rsidP="0040023F">
      <w:pPr>
        <w:tabs>
          <w:tab w:val="left" w:pos="851"/>
        </w:tabs>
        <w:ind w:left="851"/>
        <w:rPr>
          <w:sz w:val="24"/>
          <w:szCs w:val="24"/>
        </w:rPr>
      </w:pPr>
    </w:p>
    <w:p w14:paraId="3BD0C4E6" w14:textId="77777777" w:rsidR="0040023F" w:rsidRPr="0040023F" w:rsidRDefault="0040023F" w:rsidP="0040023F">
      <w:pPr>
        <w:tabs>
          <w:tab w:val="left" w:pos="851"/>
        </w:tabs>
        <w:ind w:left="851"/>
        <w:rPr>
          <w:b/>
          <w:bCs/>
          <w:sz w:val="24"/>
          <w:szCs w:val="24"/>
        </w:rPr>
      </w:pPr>
      <w:r w:rsidRPr="0040023F">
        <w:rPr>
          <w:b/>
          <w:bCs/>
          <w:sz w:val="24"/>
          <w:szCs w:val="24"/>
        </w:rPr>
        <w:t>Højrisiko-patienter</w:t>
      </w:r>
    </w:p>
    <w:p w14:paraId="531E7C8D" w14:textId="77777777" w:rsidR="0040023F" w:rsidRPr="0040023F" w:rsidRDefault="0040023F" w:rsidP="0040023F">
      <w:pPr>
        <w:tabs>
          <w:tab w:val="left" w:pos="851"/>
        </w:tabs>
        <w:ind w:left="851"/>
        <w:rPr>
          <w:sz w:val="24"/>
          <w:szCs w:val="24"/>
        </w:rPr>
      </w:pPr>
      <w:r w:rsidRPr="0040023F">
        <w:rPr>
          <w:sz w:val="24"/>
          <w:szCs w:val="24"/>
        </w:rPr>
        <w:t>Der er efter markedsføring blevet rapporteret om alvorlige hudreaktioner (f.eks. erytema multiforme (EM), Stevens-Johnsons syndrom (SJS) og toksisk epidermal nekrolyse (TEN) ved brug af isotretinoin. Da sådanne hudreaktioner kan være svære at skelne fra andre mindre alvorlige reaktioner (se pkt. 4.8), skal patienten oplyses om specifikke symptomer og følges tæt. Ved mistanke om alvorlige hudreaktioner, skal behandling med isotretinoin afbrydes.</w:t>
      </w:r>
    </w:p>
    <w:p w14:paraId="54B46010" w14:textId="77777777" w:rsidR="009260DE" w:rsidRPr="00C84483" w:rsidRDefault="009260DE" w:rsidP="009260DE">
      <w:pPr>
        <w:tabs>
          <w:tab w:val="left" w:pos="851"/>
        </w:tabs>
        <w:ind w:left="851"/>
        <w:rPr>
          <w:sz w:val="24"/>
          <w:szCs w:val="24"/>
        </w:rPr>
      </w:pPr>
    </w:p>
    <w:p w14:paraId="26D619A9"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7C963E80" w14:textId="77777777" w:rsidR="00DE2259" w:rsidRPr="00DE2259" w:rsidRDefault="00DE2259" w:rsidP="00DE2259">
      <w:pPr>
        <w:tabs>
          <w:tab w:val="left" w:pos="851"/>
        </w:tabs>
        <w:ind w:left="851"/>
        <w:rPr>
          <w:sz w:val="24"/>
          <w:szCs w:val="24"/>
        </w:rPr>
      </w:pPr>
      <w:r w:rsidRPr="00DE2259">
        <w:rPr>
          <w:sz w:val="24"/>
          <w:szCs w:val="24"/>
        </w:rPr>
        <w:t>Patienterne må ikke tage vitamin A som ledsagende medicin på grund af risikoen for at udvikle hypervitaminosis A.</w:t>
      </w:r>
    </w:p>
    <w:p w14:paraId="2AE8A99D" w14:textId="77777777" w:rsidR="00DE2259" w:rsidRPr="00DE2259" w:rsidRDefault="00DE2259" w:rsidP="00DE2259">
      <w:pPr>
        <w:tabs>
          <w:tab w:val="left" w:pos="851"/>
        </w:tabs>
        <w:ind w:left="851"/>
        <w:rPr>
          <w:sz w:val="24"/>
          <w:szCs w:val="24"/>
        </w:rPr>
      </w:pPr>
    </w:p>
    <w:p w14:paraId="3ABFC247" w14:textId="77777777" w:rsidR="00DE2259" w:rsidRPr="00DE2259" w:rsidRDefault="00DE2259" w:rsidP="00DE2259">
      <w:pPr>
        <w:tabs>
          <w:tab w:val="left" w:pos="851"/>
        </w:tabs>
        <w:ind w:left="851"/>
        <w:rPr>
          <w:sz w:val="24"/>
          <w:szCs w:val="24"/>
        </w:rPr>
      </w:pPr>
      <w:r w:rsidRPr="00DE2259">
        <w:rPr>
          <w:sz w:val="24"/>
          <w:szCs w:val="24"/>
        </w:rPr>
        <w:t>Der er rapporteret om tilfælde af benign intrakranial hypertension (pseudotumor cerebri) efter samtidig behandling med isotretinoin og tetracykliner. Samtidig behandling med tetracykliner skal derfor undgås (se pkt. 4.3 og pkt. 4.4).</w:t>
      </w:r>
    </w:p>
    <w:p w14:paraId="698CFA41" w14:textId="77777777" w:rsidR="00DE2259" w:rsidRPr="00DE2259" w:rsidRDefault="00DE2259" w:rsidP="00DE2259">
      <w:pPr>
        <w:tabs>
          <w:tab w:val="left" w:pos="851"/>
        </w:tabs>
        <w:ind w:left="851"/>
        <w:rPr>
          <w:sz w:val="24"/>
          <w:szCs w:val="24"/>
        </w:rPr>
      </w:pPr>
    </w:p>
    <w:p w14:paraId="60696EFF" w14:textId="77777777" w:rsidR="00DE2259" w:rsidRPr="00DE2259" w:rsidRDefault="00DE2259" w:rsidP="00DE2259">
      <w:pPr>
        <w:tabs>
          <w:tab w:val="left" w:pos="851"/>
        </w:tabs>
        <w:ind w:left="851"/>
        <w:rPr>
          <w:sz w:val="24"/>
          <w:szCs w:val="24"/>
        </w:rPr>
      </w:pPr>
      <w:r w:rsidRPr="00DE2259">
        <w:rPr>
          <w:sz w:val="24"/>
          <w:szCs w:val="24"/>
        </w:rPr>
        <w:t>Samtidig administration af isotretinoin med topikal keratolytisk eller exfoliative anti-aknemidler bør undgås, da lokal irritation kan forværres (se pkt. 4.4).</w:t>
      </w:r>
    </w:p>
    <w:p w14:paraId="780FBFD4" w14:textId="77777777" w:rsidR="009260DE" w:rsidRPr="00C84483" w:rsidRDefault="009260DE" w:rsidP="009260DE">
      <w:pPr>
        <w:tabs>
          <w:tab w:val="left" w:pos="851"/>
        </w:tabs>
        <w:ind w:left="851"/>
        <w:rPr>
          <w:sz w:val="24"/>
          <w:szCs w:val="24"/>
        </w:rPr>
      </w:pPr>
    </w:p>
    <w:p w14:paraId="43E241B7"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758687A9" w14:textId="77777777" w:rsidR="00DE2259" w:rsidRDefault="00DE2259" w:rsidP="00DE2259">
      <w:pPr>
        <w:ind w:left="851"/>
        <w:jc w:val="both"/>
        <w:rPr>
          <w:sz w:val="24"/>
          <w:szCs w:val="24"/>
          <w:u w:val="single"/>
        </w:rPr>
      </w:pPr>
    </w:p>
    <w:p w14:paraId="01F28C4D" w14:textId="07BCEAC0" w:rsidR="00DE2259" w:rsidRDefault="00DE2259" w:rsidP="00DE2259">
      <w:pPr>
        <w:ind w:left="851"/>
        <w:jc w:val="both"/>
        <w:rPr>
          <w:sz w:val="24"/>
          <w:szCs w:val="24"/>
          <w:u w:val="single"/>
        </w:rPr>
      </w:pPr>
      <w:r>
        <w:rPr>
          <w:sz w:val="24"/>
          <w:szCs w:val="24"/>
          <w:u w:val="single"/>
        </w:rPr>
        <w:t>Graviditet</w:t>
      </w:r>
    </w:p>
    <w:p w14:paraId="50FD1CBF" w14:textId="77777777" w:rsidR="00DE2259" w:rsidRDefault="00DE2259" w:rsidP="00DE2259">
      <w:pPr>
        <w:ind w:left="851"/>
        <w:jc w:val="both"/>
        <w:rPr>
          <w:sz w:val="24"/>
          <w:szCs w:val="24"/>
          <w:u w:val="single"/>
        </w:rPr>
      </w:pPr>
    </w:p>
    <w:p w14:paraId="19449CC4" w14:textId="77777777" w:rsidR="00DE2259" w:rsidRDefault="00DE2259" w:rsidP="00DE2259">
      <w:pPr>
        <w:pBdr>
          <w:top w:val="double" w:sz="4" w:space="1" w:color="auto"/>
          <w:left w:val="double" w:sz="4" w:space="0" w:color="auto"/>
          <w:bottom w:val="double" w:sz="4" w:space="1" w:color="auto"/>
          <w:right w:val="double" w:sz="4" w:space="4" w:color="auto"/>
        </w:pBdr>
        <w:ind w:left="851"/>
        <w:rPr>
          <w:b/>
          <w:sz w:val="24"/>
          <w:szCs w:val="24"/>
        </w:rPr>
      </w:pPr>
      <w:r>
        <w:rPr>
          <w:b/>
          <w:sz w:val="24"/>
          <w:szCs w:val="24"/>
        </w:rPr>
        <w:t xml:space="preserve">Graviditet er en </w:t>
      </w:r>
      <w:r>
        <w:rPr>
          <w:b/>
          <w:sz w:val="24"/>
          <w:szCs w:val="24"/>
          <w:u w:val="single"/>
        </w:rPr>
        <w:t>absolut</w:t>
      </w:r>
      <w:r>
        <w:rPr>
          <w:b/>
          <w:sz w:val="24"/>
          <w:szCs w:val="24"/>
        </w:rPr>
        <w:t xml:space="preserve"> kontraindikation for behandling med isotretinoin (se pkt. 4.3). Kvinder i den fødedygtige alder bør bruge effektiv prævention en måned før behandlingen, under behandlingen og i en måned efter behandlingen. Hvis der på trods af disse forsigtighedsregler indtræffer graviditet under behandlingen med isotretinoin eller i den efterfølgende måned, er der stor risiko for meget alvorlige misdannelser af fostret. </w:t>
      </w:r>
    </w:p>
    <w:p w14:paraId="783EB95B" w14:textId="77777777" w:rsidR="00DE2259" w:rsidRDefault="00DE2259" w:rsidP="00DE2259">
      <w:pPr>
        <w:ind w:left="851"/>
        <w:rPr>
          <w:sz w:val="24"/>
          <w:szCs w:val="24"/>
        </w:rPr>
      </w:pPr>
    </w:p>
    <w:p w14:paraId="1959D411" w14:textId="77777777" w:rsidR="00DE2259" w:rsidRDefault="00DE2259" w:rsidP="00DE2259">
      <w:pPr>
        <w:ind w:left="851"/>
        <w:rPr>
          <w:sz w:val="24"/>
          <w:szCs w:val="24"/>
        </w:rPr>
      </w:pPr>
      <w:r>
        <w:rPr>
          <w:sz w:val="24"/>
          <w:szCs w:val="24"/>
        </w:rPr>
        <w:t>De føtale misdannelser efter eksponering for isotretinoin omfatter abnormaliteter i centralnervesystemet (hydrocephalus, cerebellare misdannelser/abnormaliteter, microcephali), deformitet af ansigtet, ganespalte, abnormaliteter af ydre øre (fravær af ydre øre, små eller fraværende eksterne auditive kanaler), øjeabnormaliteter (microphthalmia), kardiovaskulære abnormaliteter (conotruncale misdannelser som f.eks. Steno-Fallots tetrade, ændringer af de store kar, septumdefekter), abnormaliteter af thymus og parathyroideae. Der er også en forhøjet hyppighed af spontan abort.</w:t>
      </w:r>
    </w:p>
    <w:p w14:paraId="26295B55" w14:textId="77777777" w:rsidR="00DE2259" w:rsidRDefault="00DE2259" w:rsidP="00DE2259">
      <w:pPr>
        <w:ind w:left="851"/>
        <w:rPr>
          <w:sz w:val="24"/>
          <w:szCs w:val="24"/>
        </w:rPr>
      </w:pPr>
    </w:p>
    <w:p w14:paraId="1BA1867A" w14:textId="77777777" w:rsidR="00DE2259" w:rsidRDefault="00DE2259" w:rsidP="00DE2259">
      <w:pPr>
        <w:ind w:left="851"/>
        <w:rPr>
          <w:sz w:val="24"/>
          <w:szCs w:val="24"/>
        </w:rPr>
      </w:pPr>
      <w:r>
        <w:rPr>
          <w:sz w:val="24"/>
          <w:szCs w:val="24"/>
        </w:rPr>
        <w:t>Hvis der indtræffer graviditet hos en kvinde, som behandles med isotretinoin, skal behandlingen stoppes, og patienten skal henvises til en læge, der er specialist eller har erfaring med teratologi med henblik på evaluering og råd.</w:t>
      </w:r>
    </w:p>
    <w:p w14:paraId="1EB0AB72" w14:textId="77777777" w:rsidR="00DE2259" w:rsidRDefault="00DE2259" w:rsidP="00DE2259">
      <w:pPr>
        <w:ind w:left="851"/>
        <w:jc w:val="both"/>
        <w:rPr>
          <w:sz w:val="24"/>
          <w:szCs w:val="24"/>
        </w:rPr>
      </w:pPr>
    </w:p>
    <w:p w14:paraId="7AAE05EF" w14:textId="77777777" w:rsidR="00DE2259" w:rsidRDefault="00DE2259" w:rsidP="00DE2259">
      <w:pPr>
        <w:ind w:left="851"/>
        <w:outlineLvl w:val="0"/>
        <w:rPr>
          <w:sz w:val="24"/>
          <w:szCs w:val="24"/>
        </w:rPr>
      </w:pPr>
      <w:r>
        <w:rPr>
          <w:sz w:val="24"/>
          <w:szCs w:val="24"/>
          <w:u w:val="single"/>
        </w:rPr>
        <w:t>Amning</w:t>
      </w:r>
    </w:p>
    <w:p w14:paraId="012693A5" w14:textId="77777777" w:rsidR="00DE2259" w:rsidRDefault="00DE2259" w:rsidP="00DE2259">
      <w:pPr>
        <w:tabs>
          <w:tab w:val="left" w:pos="0"/>
        </w:tabs>
        <w:ind w:left="851"/>
        <w:rPr>
          <w:sz w:val="24"/>
          <w:szCs w:val="24"/>
        </w:rPr>
      </w:pPr>
      <w:r>
        <w:rPr>
          <w:sz w:val="24"/>
          <w:szCs w:val="24"/>
        </w:rPr>
        <w:t>Da isotretinoin er stærkt lipofilt, er det meget sandsynligt, at lægemidlet passerer over i human mælk. På grund af risikoen for bivirkninger hos barnet, som udsættes for stoffet gennem modermælken, er isotretinoin kontraindiceret under amning (se pkt. 4.3).</w:t>
      </w:r>
    </w:p>
    <w:p w14:paraId="3FFAD11F" w14:textId="77777777" w:rsidR="00DE2259" w:rsidRDefault="00DE2259" w:rsidP="00DE2259">
      <w:pPr>
        <w:tabs>
          <w:tab w:val="left" w:pos="851"/>
        </w:tabs>
        <w:ind w:left="851"/>
        <w:rPr>
          <w:sz w:val="24"/>
          <w:szCs w:val="24"/>
        </w:rPr>
      </w:pPr>
    </w:p>
    <w:p w14:paraId="1435643D" w14:textId="77777777" w:rsidR="00DE2259" w:rsidRDefault="00DE2259" w:rsidP="00DE2259">
      <w:pPr>
        <w:tabs>
          <w:tab w:val="left" w:pos="0"/>
        </w:tabs>
        <w:ind w:left="851"/>
        <w:rPr>
          <w:sz w:val="24"/>
          <w:szCs w:val="24"/>
          <w:u w:val="single"/>
        </w:rPr>
      </w:pPr>
      <w:r>
        <w:rPr>
          <w:sz w:val="24"/>
          <w:szCs w:val="24"/>
          <w:u w:val="single"/>
        </w:rPr>
        <w:t>Fertilitet</w:t>
      </w:r>
    </w:p>
    <w:p w14:paraId="5F532C29" w14:textId="77777777" w:rsidR="00DE2259" w:rsidRDefault="00DE2259" w:rsidP="00DE2259">
      <w:pPr>
        <w:ind w:left="851"/>
        <w:rPr>
          <w:sz w:val="24"/>
          <w:szCs w:val="24"/>
        </w:rPr>
      </w:pPr>
      <w:r>
        <w:rPr>
          <w:sz w:val="24"/>
          <w:szCs w:val="24"/>
        </w:rPr>
        <w:t>I terapeutiske doser påvirker isotretinoin ikke antallet, motiliteten og morfologien af sædceller hos mænd, der tager isotretinoin, og skader ikke dannelsen og udviklingen af et embryo undfanget af disse.</w:t>
      </w:r>
    </w:p>
    <w:p w14:paraId="49A967FC" w14:textId="77777777" w:rsidR="009260DE" w:rsidRPr="00C84483" w:rsidRDefault="009260DE" w:rsidP="00DE2259">
      <w:pPr>
        <w:tabs>
          <w:tab w:val="left" w:pos="851"/>
        </w:tabs>
        <w:ind w:left="851"/>
        <w:rPr>
          <w:sz w:val="24"/>
          <w:szCs w:val="24"/>
        </w:rPr>
      </w:pPr>
    </w:p>
    <w:p w14:paraId="03071368"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0CBB1069" w14:textId="77777777" w:rsidR="00DE2259" w:rsidRPr="00DE2259" w:rsidRDefault="00DE2259" w:rsidP="00DE2259">
      <w:pPr>
        <w:tabs>
          <w:tab w:val="left" w:pos="851"/>
        </w:tabs>
        <w:ind w:left="851"/>
        <w:rPr>
          <w:sz w:val="24"/>
          <w:szCs w:val="24"/>
        </w:rPr>
      </w:pPr>
      <w:r w:rsidRPr="00DE2259">
        <w:rPr>
          <w:sz w:val="24"/>
          <w:szCs w:val="24"/>
        </w:rPr>
        <w:t xml:space="preserve">Ikke mærkning. </w:t>
      </w:r>
    </w:p>
    <w:p w14:paraId="7F71457D" w14:textId="77777777" w:rsidR="00DE2259" w:rsidRPr="00DE2259" w:rsidRDefault="00DE2259" w:rsidP="00DE2259">
      <w:pPr>
        <w:tabs>
          <w:tab w:val="left" w:pos="851"/>
        </w:tabs>
        <w:ind w:left="851"/>
        <w:rPr>
          <w:sz w:val="24"/>
          <w:szCs w:val="24"/>
        </w:rPr>
      </w:pPr>
      <w:r w:rsidRPr="00DE2259">
        <w:rPr>
          <w:sz w:val="24"/>
          <w:szCs w:val="24"/>
        </w:rPr>
        <w:t>Isotretinoin Pharmathen kan potentielt påvirke evnen til at føre motorkøretøj og betjene maskiner.</w:t>
      </w:r>
    </w:p>
    <w:p w14:paraId="3783D24C" w14:textId="77777777" w:rsidR="00DE2259" w:rsidRPr="00DE2259" w:rsidRDefault="00DE2259" w:rsidP="00DE2259">
      <w:pPr>
        <w:tabs>
          <w:tab w:val="left" w:pos="851"/>
        </w:tabs>
        <w:ind w:left="851"/>
        <w:rPr>
          <w:sz w:val="24"/>
          <w:szCs w:val="24"/>
        </w:rPr>
      </w:pPr>
      <w:r w:rsidRPr="00DE2259">
        <w:rPr>
          <w:sz w:val="24"/>
          <w:szCs w:val="24"/>
        </w:rPr>
        <w:t>Under behandling med isotretinoin er der indtruffet flere tilfælde af nedsat nattesyn, som i sjældne tilfælde har persisteret efter behandlingen (se pkt. 4.4 og pkt. 4.8). På grund af pludselig indsættelse hos nogle patienter skal patienterne oplyses om dette potentielle problem og tilrådes at være forsigtige, når de fører motorkøretøj eller betjener maskiner.</w:t>
      </w:r>
    </w:p>
    <w:p w14:paraId="57278EF1" w14:textId="77777777" w:rsidR="00DE2259" w:rsidRPr="00DE2259" w:rsidRDefault="00DE2259" w:rsidP="00DE2259">
      <w:pPr>
        <w:tabs>
          <w:tab w:val="left" w:pos="851"/>
        </w:tabs>
        <w:ind w:left="851"/>
        <w:rPr>
          <w:sz w:val="24"/>
          <w:szCs w:val="24"/>
        </w:rPr>
      </w:pPr>
    </w:p>
    <w:p w14:paraId="23A38B85" w14:textId="77777777" w:rsidR="00DE2259" w:rsidRPr="00DE2259" w:rsidRDefault="00DE2259" w:rsidP="00DE2259">
      <w:pPr>
        <w:tabs>
          <w:tab w:val="left" w:pos="851"/>
        </w:tabs>
        <w:ind w:left="851"/>
        <w:rPr>
          <w:sz w:val="24"/>
          <w:szCs w:val="24"/>
        </w:rPr>
      </w:pPr>
      <w:r w:rsidRPr="00DE2259">
        <w:rPr>
          <w:sz w:val="24"/>
          <w:szCs w:val="24"/>
        </w:rPr>
        <w:t>Der er i meget sjældne tilfælde rapporteret om døsighed, svimmelhed og synsforstyrrelser. Hvis disse bivirkninger opstår, skal patienter advares om ikke køre bil, betjene maskiner eller deltage i andre aktiviteter, hvor symptomerne kan medvirke til, at de er til fare for dem selv eller andre.</w:t>
      </w:r>
    </w:p>
    <w:p w14:paraId="6AD70788" w14:textId="03769ED5" w:rsidR="00DE2259" w:rsidRDefault="00DE2259">
      <w:pPr>
        <w:rPr>
          <w:sz w:val="24"/>
          <w:szCs w:val="24"/>
        </w:rPr>
      </w:pPr>
      <w:r>
        <w:rPr>
          <w:sz w:val="24"/>
          <w:szCs w:val="24"/>
        </w:rPr>
        <w:br w:type="page"/>
      </w:r>
    </w:p>
    <w:p w14:paraId="78B7F2B8" w14:textId="77777777" w:rsidR="009260DE" w:rsidRPr="00C84483" w:rsidRDefault="009260DE" w:rsidP="009260DE">
      <w:pPr>
        <w:tabs>
          <w:tab w:val="left" w:pos="851"/>
        </w:tabs>
        <w:ind w:left="851"/>
        <w:rPr>
          <w:sz w:val="24"/>
          <w:szCs w:val="24"/>
        </w:rPr>
      </w:pPr>
    </w:p>
    <w:p w14:paraId="5648E258"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1F0CD0AF" w14:textId="77777777" w:rsidR="00DE2259" w:rsidRPr="00DE2259" w:rsidRDefault="00DE2259" w:rsidP="00DE2259">
      <w:pPr>
        <w:ind w:left="851"/>
        <w:rPr>
          <w:sz w:val="24"/>
          <w:szCs w:val="24"/>
        </w:rPr>
      </w:pPr>
    </w:p>
    <w:p w14:paraId="49AE84C4" w14:textId="77777777" w:rsidR="00DE2259" w:rsidRPr="00DE2259" w:rsidRDefault="00DE2259" w:rsidP="00DE2259">
      <w:pPr>
        <w:ind w:left="851"/>
        <w:rPr>
          <w:sz w:val="24"/>
          <w:szCs w:val="24"/>
          <w:u w:val="single"/>
        </w:rPr>
      </w:pPr>
      <w:r w:rsidRPr="00DE2259">
        <w:rPr>
          <w:sz w:val="24"/>
          <w:szCs w:val="24"/>
          <w:u w:val="single"/>
        </w:rPr>
        <w:t>Resumé af sikkerhedsprofilen</w:t>
      </w:r>
    </w:p>
    <w:p w14:paraId="47284013" w14:textId="77777777" w:rsidR="00DE2259" w:rsidRPr="00DE2259" w:rsidRDefault="00DE2259" w:rsidP="00DE2259">
      <w:pPr>
        <w:ind w:left="851"/>
        <w:rPr>
          <w:sz w:val="24"/>
          <w:szCs w:val="24"/>
        </w:rPr>
      </w:pPr>
      <w:r w:rsidRPr="00DE2259">
        <w:rPr>
          <w:sz w:val="24"/>
          <w:szCs w:val="24"/>
        </w:rPr>
        <w:t>Nogle af bivirkningerne forbundet med anvendelsen af isotretinoin er dosisafhængige. Bivirkningerne er generelt reversible efter ændring af dosis eller afbrydelse af behandlingen. Nogle bivirkninger kan dog persistere efter behandlingen er ophørt. Følgende symptomer er de mest almindeligt rapporterede bivirkninger af isotretinoin: Tørhed af huden, tørhed af slimhinderne f.eks. af læberne (cheilitis), næseslimhinden (epistaxis), øjnene (konjunctivitis).</w:t>
      </w:r>
    </w:p>
    <w:p w14:paraId="6E2EEFD1" w14:textId="77777777" w:rsidR="00DE2259" w:rsidRPr="00DE2259" w:rsidRDefault="00DE2259" w:rsidP="00DE2259">
      <w:pPr>
        <w:ind w:left="851"/>
        <w:rPr>
          <w:sz w:val="24"/>
          <w:szCs w:val="24"/>
        </w:rPr>
      </w:pPr>
    </w:p>
    <w:p w14:paraId="19B319BE" w14:textId="77777777" w:rsidR="00DE2259" w:rsidRPr="00DE2259" w:rsidRDefault="00DE2259" w:rsidP="00DE2259">
      <w:pPr>
        <w:ind w:left="851"/>
        <w:rPr>
          <w:sz w:val="24"/>
          <w:szCs w:val="24"/>
          <w:u w:val="single"/>
        </w:rPr>
      </w:pPr>
      <w:r w:rsidRPr="00DE2259">
        <w:rPr>
          <w:sz w:val="24"/>
          <w:szCs w:val="24"/>
          <w:u w:val="single"/>
        </w:rPr>
        <w:t>Liste over bivirkninger i tabelform</w:t>
      </w:r>
    </w:p>
    <w:p w14:paraId="06EF4865" w14:textId="77777777" w:rsidR="00DE2259" w:rsidRPr="00DE2259" w:rsidRDefault="00DE2259" w:rsidP="00DE2259">
      <w:pPr>
        <w:ind w:left="851"/>
        <w:rPr>
          <w:sz w:val="24"/>
          <w:szCs w:val="24"/>
        </w:rPr>
      </w:pPr>
      <w:r w:rsidRPr="00DE2259">
        <w:rPr>
          <w:sz w:val="24"/>
          <w:szCs w:val="24"/>
        </w:rPr>
        <w:t xml:space="preserve">Bivirkningsincidensen, der blev beregnet på grundlag af de samlede resultater fra de kliniske studier, som omfattede 824 patienter og fra data indsamlet efter markedsføringen, er vist i tabellen nedenfor. Bivirkningerne er anført nedenfor efter MedDRA systemorganklasse (SOC) og frekvens. </w:t>
      </w:r>
    </w:p>
    <w:p w14:paraId="24B91147" w14:textId="77777777" w:rsidR="00DE2259" w:rsidRPr="00DE2259" w:rsidRDefault="00DE2259" w:rsidP="00DE2259">
      <w:pPr>
        <w:ind w:left="851"/>
        <w:rPr>
          <w:sz w:val="24"/>
          <w:szCs w:val="24"/>
        </w:rPr>
      </w:pPr>
    </w:p>
    <w:p w14:paraId="6AD88850" w14:textId="77777777" w:rsidR="00DE2259" w:rsidRPr="00DE2259" w:rsidRDefault="00DE2259" w:rsidP="00DE2259">
      <w:pPr>
        <w:ind w:left="851"/>
        <w:rPr>
          <w:sz w:val="24"/>
          <w:szCs w:val="24"/>
        </w:rPr>
      </w:pPr>
      <w:r w:rsidRPr="00DE2259">
        <w:rPr>
          <w:sz w:val="24"/>
          <w:szCs w:val="24"/>
        </w:rPr>
        <w:t>Hyppighedsfrekvenserne er defineret som: Meget almindelig (≥ 1/10), almindelig (≥ 1/100 til &lt; 1/10), ikke almindelig (≥ 1/1.000 til &lt; 1/100), sjælden (≥ 1/10.000 til &lt; 1/1.000), meget sjælden (&lt; 1/10.000) og ikke kendt (kan ikke estimeres ud fra forhåndenværende data). Inden for hver frekvensgruppe og systemorganklasse er bivirkningerne anført med aftagende sværhedsgrad.</w:t>
      </w:r>
    </w:p>
    <w:p w14:paraId="0FF255C2" w14:textId="77777777" w:rsidR="00DE2259" w:rsidRPr="00DE2259" w:rsidRDefault="00DE2259" w:rsidP="00DE2259">
      <w:pPr>
        <w:ind w:left="851"/>
        <w:rPr>
          <w:sz w:val="24"/>
          <w:szCs w:val="24"/>
        </w:rPr>
      </w:pPr>
    </w:p>
    <w:p w14:paraId="5ED0AE25" w14:textId="77777777" w:rsidR="00DE2259" w:rsidRDefault="00DE2259" w:rsidP="00DE2259">
      <w:pPr>
        <w:rPr>
          <w:b/>
          <w:bCs/>
        </w:rPr>
      </w:pPr>
      <w:r>
        <w:rPr>
          <w:b/>
          <w:bCs/>
        </w:rPr>
        <w:t>Tabel 1: Liste over bivirkninger hos patienter behandlet med isotretinoin</w:t>
      </w:r>
    </w:p>
    <w:tbl>
      <w:tblPr>
        <w:tblW w:w="9810" w:type="dxa"/>
        <w:tblBorders>
          <w:top w:val="outset" w:sz="6" w:space="0" w:color="auto"/>
          <w:left w:val="outset" w:sz="6" w:space="0" w:color="auto"/>
          <w:bottom w:val="outset" w:sz="6" w:space="0" w:color="auto"/>
          <w:right w:val="outset" w:sz="6" w:space="0" w:color="auto"/>
        </w:tblBorders>
        <w:tblLayout w:type="fixed"/>
        <w:tblCellMar>
          <w:top w:w="24" w:type="dxa"/>
          <w:left w:w="24" w:type="dxa"/>
          <w:bottom w:w="24" w:type="dxa"/>
          <w:right w:w="24" w:type="dxa"/>
        </w:tblCellMar>
        <w:tblLook w:val="04A0" w:firstRow="1" w:lastRow="0" w:firstColumn="1" w:lastColumn="0" w:noHBand="0" w:noVBand="1"/>
      </w:tblPr>
      <w:tblGrid>
        <w:gridCol w:w="1837"/>
        <w:gridCol w:w="1874"/>
        <w:gridCol w:w="1229"/>
        <w:gridCol w:w="1576"/>
        <w:gridCol w:w="1985"/>
        <w:gridCol w:w="1309"/>
      </w:tblGrid>
      <w:tr w:rsidR="00DE2259" w14:paraId="7D162117" w14:textId="77777777">
        <w:trPr>
          <w:tblHeader/>
        </w:trPr>
        <w:tc>
          <w:tcPr>
            <w:tcW w:w="1837" w:type="dxa"/>
            <w:tcBorders>
              <w:top w:val="outset" w:sz="6" w:space="0" w:color="auto"/>
              <w:left w:val="outset" w:sz="6" w:space="0" w:color="auto"/>
              <w:bottom w:val="outset" w:sz="6" w:space="0" w:color="auto"/>
              <w:right w:val="outset" w:sz="6" w:space="0" w:color="auto"/>
            </w:tcBorders>
            <w:hideMark/>
          </w:tcPr>
          <w:p w14:paraId="06B5A3E7" w14:textId="77777777" w:rsidR="00DE2259" w:rsidRDefault="00DE2259">
            <w:pPr>
              <w:spacing w:line="276" w:lineRule="auto"/>
              <w:jc w:val="center"/>
              <w:rPr>
                <w:color w:val="000000"/>
                <w:kern w:val="2"/>
                <w:sz w:val="22"/>
                <w:szCs w:val="22"/>
                <w:lang w:val="en-US" w:eastAsia="el-GR"/>
                <w14:ligatures w14:val="standardContextual"/>
              </w:rPr>
            </w:pPr>
            <w:r>
              <w:rPr>
                <w:b/>
                <w:bCs/>
                <w:color w:val="000000"/>
                <w:kern w:val="2"/>
                <w:sz w:val="22"/>
                <w:szCs w:val="22"/>
                <w:lang w:val="en-US" w:eastAsia="el-GR"/>
                <w14:ligatures w14:val="standardContextual"/>
              </w:rPr>
              <w:t>Systemorganklasse</w:t>
            </w:r>
          </w:p>
        </w:tc>
        <w:tc>
          <w:tcPr>
            <w:tcW w:w="1873" w:type="dxa"/>
            <w:tcBorders>
              <w:top w:val="outset" w:sz="6" w:space="0" w:color="auto"/>
              <w:left w:val="outset" w:sz="6" w:space="0" w:color="auto"/>
              <w:bottom w:val="outset" w:sz="6" w:space="0" w:color="auto"/>
              <w:right w:val="outset" w:sz="6" w:space="0" w:color="auto"/>
            </w:tcBorders>
            <w:hideMark/>
          </w:tcPr>
          <w:p w14:paraId="015D7BF6" w14:textId="77777777" w:rsidR="00DE2259" w:rsidRDefault="00DE2259">
            <w:pPr>
              <w:spacing w:line="276" w:lineRule="auto"/>
              <w:jc w:val="center"/>
              <w:rPr>
                <w:color w:val="000000"/>
                <w:kern w:val="2"/>
                <w:sz w:val="22"/>
                <w:szCs w:val="22"/>
                <w:lang w:val="en-US" w:eastAsia="el-GR"/>
                <w14:ligatures w14:val="standardContextual"/>
              </w:rPr>
            </w:pPr>
            <w:r>
              <w:rPr>
                <w:b/>
                <w:bCs/>
                <w:color w:val="000000"/>
                <w:kern w:val="2"/>
                <w:sz w:val="22"/>
                <w:szCs w:val="22"/>
                <w:lang w:val="en-US" w:eastAsia="el-GR"/>
                <w14:ligatures w14:val="standardContextual"/>
              </w:rPr>
              <w:t>Meget almindelig</w:t>
            </w:r>
          </w:p>
        </w:tc>
        <w:tc>
          <w:tcPr>
            <w:tcW w:w="1228" w:type="dxa"/>
            <w:tcBorders>
              <w:top w:val="outset" w:sz="6" w:space="0" w:color="auto"/>
              <w:left w:val="outset" w:sz="6" w:space="0" w:color="auto"/>
              <w:bottom w:val="outset" w:sz="6" w:space="0" w:color="auto"/>
              <w:right w:val="outset" w:sz="6" w:space="0" w:color="auto"/>
            </w:tcBorders>
            <w:hideMark/>
          </w:tcPr>
          <w:p w14:paraId="7A6931D4" w14:textId="77777777" w:rsidR="00DE2259" w:rsidRDefault="00DE2259">
            <w:pPr>
              <w:spacing w:line="276" w:lineRule="auto"/>
              <w:jc w:val="center"/>
              <w:rPr>
                <w:color w:val="000000"/>
                <w:kern w:val="2"/>
                <w:sz w:val="22"/>
                <w:szCs w:val="22"/>
                <w:lang w:val="en-US" w:eastAsia="el-GR"/>
                <w14:ligatures w14:val="standardContextual"/>
              </w:rPr>
            </w:pPr>
            <w:r>
              <w:rPr>
                <w:b/>
                <w:bCs/>
                <w:color w:val="000000"/>
                <w:kern w:val="2"/>
                <w:sz w:val="22"/>
                <w:szCs w:val="22"/>
                <w:lang w:val="en-US" w:eastAsia="el-GR"/>
                <w14:ligatures w14:val="standardContextual"/>
              </w:rPr>
              <w:t>Almindelig</w:t>
            </w:r>
          </w:p>
        </w:tc>
        <w:tc>
          <w:tcPr>
            <w:tcW w:w="1575" w:type="dxa"/>
            <w:tcBorders>
              <w:top w:val="outset" w:sz="6" w:space="0" w:color="auto"/>
              <w:left w:val="outset" w:sz="6" w:space="0" w:color="auto"/>
              <w:bottom w:val="outset" w:sz="6" w:space="0" w:color="auto"/>
              <w:right w:val="outset" w:sz="6" w:space="0" w:color="auto"/>
            </w:tcBorders>
            <w:hideMark/>
          </w:tcPr>
          <w:p w14:paraId="30A98B54" w14:textId="77777777" w:rsidR="00DE2259" w:rsidRDefault="00DE2259">
            <w:pPr>
              <w:spacing w:line="276" w:lineRule="auto"/>
              <w:jc w:val="center"/>
              <w:rPr>
                <w:color w:val="000000"/>
                <w:kern w:val="2"/>
                <w:sz w:val="22"/>
                <w:szCs w:val="22"/>
                <w:lang w:val="en-US" w:eastAsia="el-GR"/>
                <w14:ligatures w14:val="standardContextual"/>
              </w:rPr>
            </w:pPr>
            <w:r>
              <w:rPr>
                <w:b/>
                <w:bCs/>
                <w:color w:val="000000"/>
                <w:kern w:val="2"/>
                <w:sz w:val="22"/>
                <w:szCs w:val="22"/>
                <w:lang w:val="en-US" w:eastAsia="el-GR"/>
                <w14:ligatures w14:val="standardContextual"/>
              </w:rPr>
              <w:t>Sjælden</w:t>
            </w:r>
          </w:p>
        </w:tc>
        <w:tc>
          <w:tcPr>
            <w:tcW w:w="1984" w:type="dxa"/>
            <w:tcBorders>
              <w:top w:val="outset" w:sz="6" w:space="0" w:color="auto"/>
              <w:left w:val="outset" w:sz="6" w:space="0" w:color="auto"/>
              <w:bottom w:val="outset" w:sz="6" w:space="0" w:color="auto"/>
              <w:right w:val="outset" w:sz="6" w:space="0" w:color="auto"/>
            </w:tcBorders>
            <w:hideMark/>
          </w:tcPr>
          <w:p w14:paraId="7352D786" w14:textId="77777777" w:rsidR="00DE2259" w:rsidRDefault="00DE2259">
            <w:pPr>
              <w:spacing w:line="276" w:lineRule="auto"/>
              <w:jc w:val="center"/>
              <w:rPr>
                <w:color w:val="000000"/>
                <w:kern w:val="2"/>
                <w:sz w:val="22"/>
                <w:szCs w:val="22"/>
                <w:lang w:val="en-US" w:eastAsia="el-GR"/>
                <w14:ligatures w14:val="standardContextual"/>
              </w:rPr>
            </w:pPr>
            <w:r>
              <w:rPr>
                <w:b/>
                <w:bCs/>
                <w:color w:val="000000"/>
                <w:kern w:val="2"/>
                <w:sz w:val="22"/>
                <w:szCs w:val="22"/>
                <w:lang w:val="en-US" w:eastAsia="el-GR"/>
                <w14:ligatures w14:val="standardContextual"/>
              </w:rPr>
              <w:t>Meget sjælden</w:t>
            </w:r>
          </w:p>
        </w:tc>
        <w:tc>
          <w:tcPr>
            <w:tcW w:w="1308" w:type="dxa"/>
            <w:tcBorders>
              <w:top w:val="outset" w:sz="6" w:space="0" w:color="auto"/>
              <w:left w:val="outset" w:sz="6" w:space="0" w:color="auto"/>
              <w:bottom w:val="outset" w:sz="6" w:space="0" w:color="auto"/>
              <w:right w:val="outset" w:sz="6" w:space="0" w:color="auto"/>
            </w:tcBorders>
            <w:hideMark/>
          </w:tcPr>
          <w:p w14:paraId="4C2330DB" w14:textId="77777777" w:rsidR="00DE2259" w:rsidRDefault="00DE2259">
            <w:pPr>
              <w:spacing w:line="276" w:lineRule="auto"/>
              <w:jc w:val="center"/>
              <w:rPr>
                <w:color w:val="000000"/>
                <w:kern w:val="2"/>
                <w:sz w:val="22"/>
                <w:szCs w:val="22"/>
                <w:lang w:val="en-US" w:eastAsia="el-GR"/>
                <w14:ligatures w14:val="standardContextual"/>
              </w:rPr>
            </w:pPr>
            <w:r>
              <w:rPr>
                <w:b/>
                <w:bCs/>
                <w:color w:val="000000"/>
                <w:kern w:val="2"/>
                <w:sz w:val="22"/>
                <w:szCs w:val="22"/>
                <w:lang w:val="en-US" w:eastAsia="el-GR"/>
                <w14:ligatures w14:val="standardContextual"/>
              </w:rPr>
              <w:t>Ikke kendt*</w:t>
            </w:r>
          </w:p>
        </w:tc>
      </w:tr>
      <w:tr w:rsidR="00DE2259" w14:paraId="51A8C2D1" w14:textId="77777777">
        <w:tc>
          <w:tcPr>
            <w:tcW w:w="1837" w:type="dxa"/>
            <w:tcBorders>
              <w:top w:val="outset" w:sz="6" w:space="0" w:color="auto"/>
              <w:left w:val="outset" w:sz="6" w:space="0" w:color="auto"/>
              <w:bottom w:val="outset" w:sz="6" w:space="0" w:color="auto"/>
              <w:right w:val="outset" w:sz="6" w:space="0" w:color="auto"/>
            </w:tcBorders>
            <w:hideMark/>
          </w:tcPr>
          <w:p w14:paraId="55005FE6" w14:textId="77777777" w:rsidR="00DE2259" w:rsidRDefault="00DE2259">
            <w:pPr>
              <w:spacing w:line="276" w:lineRule="auto"/>
              <w:rPr>
                <w:b/>
                <w:color w:val="000000"/>
                <w:kern w:val="2"/>
                <w:sz w:val="22"/>
                <w:szCs w:val="22"/>
                <w:lang w:val="en-US" w:eastAsia="el-GR"/>
                <w14:ligatures w14:val="standardContextual"/>
              </w:rPr>
            </w:pPr>
            <w:r>
              <w:rPr>
                <w:b/>
                <w:noProof/>
                <w:kern w:val="2"/>
                <w:sz w:val="22"/>
                <w:szCs w:val="22"/>
                <w:lang w:val="en-US"/>
                <w14:ligatures w14:val="standardContextual"/>
              </w:rPr>
              <w:t xml:space="preserve">Infektioner </w:t>
            </w:r>
          </w:p>
        </w:tc>
        <w:tc>
          <w:tcPr>
            <w:tcW w:w="1873" w:type="dxa"/>
            <w:tcBorders>
              <w:top w:val="outset" w:sz="6" w:space="0" w:color="auto"/>
              <w:left w:val="outset" w:sz="6" w:space="0" w:color="auto"/>
              <w:bottom w:val="outset" w:sz="6" w:space="0" w:color="auto"/>
              <w:right w:val="outset" w:sz="6" w:space="0" w:color="auto"/>
            </w:tcBorders>
            <w:hideMark/>
          </w:tcPr>
          <w:p w14:paraId="0A6BCDCE" w14:textId="77777777" w:rsidR="00DE2259" w:rsidRDefault="00DE2259">
            <w:pPr>
              <w:rPr>
                <w:b/>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64C303BE" w14:textId="77777777" w:rsidR="00DE2259" w:rsidRDefault="00DE2259">
            <w:pPr>
              <w:spacing w:line="276" w:lineRule="auto"/>
              <w:rPr>
                <w:rFonts w:asciiTheme="minorHAnsi" w:eastAsiaTheme="minorHAnsi" w:hAnsiTheme="minorHAnsi" w:cstheme="minorBidi"/>
                <w:sz w:val="20"/>
                <w:lang w:eastAsia="da-DK"/>
              </w:rPr>
            </w:pPr>
          </w:p>
        </w:tc>
        <w:tc>
          <w:tcPr>
            <w:tcW w:w="1575" w:type="dxa"/>
            <w:tcBorders>
              <w:top w:val="outset" w:sz="6" w:space="0" w:color="auto"/>
              <w:left w:val="outset" w:sz="6" w:space="0" w:color="auto"/>
              <w:bottom w:val="outset" w:sz="6" w:space="0" w:color="auto"/>
              <w:right w:val="outset" w:sz="6" w:space="0" w:color="auto"/>
            </w:tcBorders>
            <w:hideMark/>
          </w:tcPr>
          <w:p w14:paraId="28737ACC"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713AB7BA" w14:textId="77777777" w:rsidR="00DE2259" w:rsidRPr="00DE2259" w:rsidRDefault="00DE2259">
            <w:pPr>
              <w:spacing w:line="276" w:lineRule="auto"/>
              <w:rPr>
                <w:color w:val="000000"/>
                <w:kern w:val="2"/>
                <w:sz w:val="22"/>
                <w:szCs w:val="22"/>
                <w:lang w:eastAsia="el-GR"/>
                <w14:ligatures w14:val="standardContextual"/>
              </w:rPr>
            </w:pPr>
            <w:r w:rsidRPr="00DE2259">
              <w:rPr>
                <w:kern w:val="2"/>
                <w:sz w:val="22"/>
                <w:szCs w:val="22"/>
                <w14:ligatures w14:val="standardContextual"/>
              </w:rPr>
              <w:t>Gram-positive (mucokutane) bakterielle infektioner</w:t>
            </w:r>
          </w:p>
        </w:tc>
        <w:tc>
          <w:tcPr>
            <w:tcW w:w="1308" w:type="dxa"/>
            <w:tcBorders>
              <w:top w:val="outset" w:sz="6" w:space="0" w:color="auto"/>
              <w:left w:val="outset" w:sz="6" w:space="0" w:color="auto"/>
              <w:bottom w:val="outset" w:sz="6" w:space="0" w:color="auto"/>
              <w:right w:val="outset" w:sz="6" w:space="0" w:color="auto"/>
            </w:tcBorders>
            <w:hideMark/>
          </w:tcPr>
          <w:p w14:paraId="74A74FAE" w14:textId="77777777" w:rsidR="00DE2259" w:rsidRPr="00DE2259" w:rsidRDefault="00DE2259">
            <w:pPr>
              <w:rPr>
                <w:color w:val="000000"/>
                <w:kern w:val="2"/>
                <w:sz w:val="22"/>
                <w:szCs w:val="22"/>
                <w:lang w:eastAsia="el-GR"/>
                <w14:ligatures w14:val="standardContextual"/>
              </w:rPr>
            </w:pPr>
          </w:p>
        </w:tc>
      </w:tr>
      <w:tr w:rsidR="00DE2259" w14:paraId="3C73CE26" w14:textId="77777777">
        <w:tc>
          <w:tcPr>
            <w:tcW w:w="1837" w:type="dxa"/>
            <w:tcBorders>
              <w:top w:val="outset" w:sz="6" w:space="0" w:color="auto"/>
              <w:left w:val="outset" w:sz="6" w:space="0" w:color="auto"/>
              <w:bottom w:val="outset" w:sz="6" w:space="0" w:color="auto"/>
              <w:right w:val="outset" w:sz="6" w:space="0" w:color="auto"/>
            </w:tcBorders>
            <w:hideMark/>
          </w:tcPr>
          <w:p w14:paraId="5246A876" w14:textId="77777777" w:rsidR="00DE2259" w:rsidRDefault="00DE2259">
            <w:pPr>
              <w:spacing w:line="276" w:lineRule="auto"/>
              <w:rPr>
                <w:color w:val="000000"/>
                <w:kern w:val="2"/>
                <w:sz w:val="22"/>
                <w:szCs w:val="22"/>
                <w:lang w:val="en-US" w:eastAsia="el-GR"/>
                <w14:ligatures w14:val="standardContextual"/>
              </w:rPr>
            </w:pPr>
            <w:r>
              <w:rPr>
                <w:b/>
                <w:bCs/>
                <w:noProof/>
                <w:kern w:val="2"/>
                <w:sz w:val="22"/>
                <w:szCs w:val="22"/>
                <w:lang w:val="en-US"/>
                <w14:ligatures w14:val="standardContextual"/>
              </w:rPr>
              <w:t>Blod og lymfesystem</w:t>
            </w:r>
          </w:p>
        </w:tc>
        <w:tc>
          <w:tcPr>
            <w:tcW w:w="1873" w:type="dxa"/>
            <w:tcBorders>
              <w:top w:val="outset" w:sz="6" w:space="0" w:color="auto"/>
              <w:left w:val="outset" w:sz="6" w:space="0" w:color="auto"/>
              <w:bottom w:val="outset" w:sz="6" w:space="0" w:color="auto"/>
              <w:right w:val="outset" w:sz="6" w:space="0" w:color="auto"/>
            </w:tcBorders>
            <w:hideMark/>
          </w:tcPr>
          <w:p w14:paraId="7BB99D37"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Trombocytopeni, anæmi, trombocytose, øget sedimentationshas-tighed af røde blodlegemer</w:t>
            </w:r>
          </w:p>
        </w:tc>
        <w:tc>
          <w:tcPr>
            <w:tcW w:w="1228" w:type="dxa"/>
            <w:tcBorders>
              <w:top w:val="outset" w:sz="6" w:space="0" w:color="auto"/>
              <w:left w:val="outset" w:sz="6" w:space="0" w:color="auto"/>
              <w:bottom w:val="outset" w:sz="6" w:space="0" w:color="auto"/>
              <w:right w:val="outset" w:sz="6" w:space="0" w:color="auto"/>
            </w:tcBorders>
            <w:hideMark/>
          </w:tcPr>
          <w:p w14:paraId="1AD14BD5" w14:textId="77777777" w:rsidR="00DE2259" w:rsidRDefault="00DE2259">
            <w:pPr>
              <w:spacing w:line="276" w:lineRule="auto"/>
              <w:rPr>
                <w:color w:val="000000"/>
                <w:kern w:val="2"/>
                <w:sz w:val="22"/>
                <w:szCs w:val="22"/>
                <w:lang w:val="en-US" w:eastAsia="el-GR"/>
                <w14:ligatures w14:val="standardContextual"/>
              </w:rPr>
            </w:pPr>
            <w:r>
              <w:rPr>
                <w:color w:val="000000"/>
                <w:kern w:val="2"/>
                <w:sz w:val="22"/>
                <w:szCs w:val="22"/>
                <w:lang w:val="en-US" w:eastAsia="el-GR"/>
                <w14:ligatures w14:val="standardContextual"/>
              </w:rPr>
              <w:t xml:space="preserve">Neutropeni </w:t>
            </w:r>
          </w:p>
        </w:tc>
        <w:tc>
          <w:tcPr>
            <w:tcW w:w="1575" w:type="dxa"/>
            <w:tcBorders>
              <w:top w:val="outset" w:sz="6" w:space="0" w:color="auto"/>
              <w:left w:val="outset" w:sz="6" w:space="0" w:color="auto"/>
              <w:bottom w:val="outset" w:sz="6" w:space="0" w:color="auto"/>
              <w:right w:val="outset" w:sz="6" w:space="0" w:color="auto"/>
            </w:tcBorders>
            <w:hideMark/>
          </w:tcPr>
          <w:p w14:paraId="6A56DFCD" w14:textId="77777777" w:rsidR="00DE2259" w:rsidRDefault="00DE2259">
            <w:pPr>
              <w:rPr>
                <w:color w:val="000000"/>
                <w:kern w:val="2"/>
                <w:sz w:val="22"/>
                <w:szCs w:val="22"/>
                <w:lang w:val="en-US" w:eastAsia="el-GR"/>
                <w14:ligatures w14:val="standardContextual"/>
              </w:rPr>
            </w:pPr>
          </w:p>
        </w:tc>
        <w:tc>
          <w:tcPr>
            <w:tcW w:w="1984" w:type="dxa"/>
            <w:tcBorders>
              <w:top w:val="outset" w:sz="6" w:space="0" w:color="auto"/>
              <w:left w:val="outset" w:sz="6" w:space="0" w:color="auto"/>
              <w:bottom w:val="outset" w:sz="6" w:space="0" w:color="auto"/>
              <w:right w:val="outset" w:sz="6" w:space="0" w:color="auto"/>
            </w:tcBorders>
            <w:hideMark/>
          </w:tcPr>
          <w:p w14:paraId="21D4A8DF" w14:textId="77777777" w:rsidR="00DE2259" w:rsidRDefault="00DE2259">
            <w:pPr>
              <w:spacing w:line="276" w:lineRule="auto"/>
              <w:rPr>
                <w:color w:val="000000"/>
                <w:kern w:val="2"/>
                <w:sz w:val="22"/>
                <w:szCs w:val="22"/>
                <w:lang w:val="en-US" w:eastAsia="el-GR"/>
                <w14:ligatures w14:val="standardContextual"/>
              </w:rPr>
            </w:pPr>
            <w:r>
              <w:rPr>
                <w:color w:val="000000"/>
                <w:kern w:val="2"/>
                <w:sz w:val="22"/>
                <w:szCs w:val="22"/>
                <w:lang w:val="en-US" w:eastAsia="el-GR"/>
                <w14:ligatures w14:val="standardContextual"/>
              </w:rPr>
              <w:t xml:space="preserve">Lymfadenopati </w:t>
            </w:r>
          </w:p>
        </w:tc>
        <w:tc>
          <w:tcPr>
            <w:tcW w:w="1308" w:type="dxa"/>
            <w:tcBorders>
              <w:top w:val="outset" w:sz="6" w:space="0" w:color="auto"/>
              <w:left w:val="outset" w:sz="6" w:space="0" w:color="auto"/>
              <w:bottom w:val="outset" w:sz="6" w:space="0" w:color="auto"/>
              <w:right w:val="outset" w:sz="6" w:space="0" w:color="auto"/>
            </w:tcBorders>
            <w:hideMark/>
          </w:tcPr>
          <w:p w14:paraId="765F2DFA" w14:textId="77777777" w:rsidR="00DE2259" w:rsidRDefault="00DE2259">
            <w:pPr>
              <w:rPr>
                <w:color w:val="000000"/>
                <w:kern w:val="2"/>
                <w:sz w:val="22"/>
                <w:szCs w:val="22"/>
                <w:lang w:val="en-US" w:eastAsia="el-GR"/>
                <w14:ligatures w14:val="standardContextual"/>
              </w:rPr>
            </w:pPr>
          </w:p>
        </w:tc>
      </w:tr>
      <w:tr w:rsidR="00DE2259" w14:paraId="2743B522" w14:textId="77777777">
        <w:tc>
          <w:tcPr>
            <w:tcW w:w="1837" w:type="dxa"/>
            <w:tcBorders>
              <w:top w:val="outset" w:sz="6" w:space="0" w:color="auto"/>
              <w:left w:val="outset" w:sz="6" w:space="0" w:color="auto"/>
              <w:bottom w:val="outset" w:sz="6" w:space="0" w:color="auto"/>
              <w:right w:val="outset" w:sz="6" w:space="0" w:color="auto"/>
            </w:tcBorders>
            <w:hideMark/>
          </w:tcPr>
          <w:p w14:paraId="41B86B3C"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Immunsystemet</w:t>
            </w:r>
          </w:p>
        </w:tc>
        <w:tc>
          <w:tcPr>
            <w:tcW w:w="1873" w:type="dxa"/>
            <w:tcBorders>
              <w:top w:val="outset" w:sz="6" w:space="0" w:color="auto"/>
              <w:left w:val="outset" w:sz="6" w:space="0" w:color="auto"/>
              <w:bottom w:val="outset" w:sz="6" w:space="0" w:color="auto"/>
              <w:right w:val="outset" w:sz="6" w:space="0" w:color="auto"/>
            </w:tcBorders>
            <w:hideMark/>
          </w:tcPr>
          <w:p w14:paraId="5AF6B80F" w14:textId="77777777" w:rsidR="00DE2259" w:rsidRDefault="00DE2259">
            <w:pPr>
              <w:rPr>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45FFFA6E" w14:textId="77777777" w:rsidR="00DE2259" w:rsidRDefault="00DE2259">
            <w:pPr>
              <w:spacing w:line="276" w:lineRule="auto"/>
              <w:rPr>
                <w:rFonts w:asciiTheme="minorHAnsi" w:eastAsiaTheme="minorHAnsi" w:hAnsiTheme="minorHAnsi" w:cstheme="minorBidi"/>
                <w:sz w:val="20"/>
                <w:lang w:eastAsia="da-DK"/>
              </w:rPr>
            </w:pPr>
          </w:p>
        </w:tc>
        <w:tc>
          <w:tcPr>
            <w:tcW w:w="1575" w:type="dxa"/>
            <w:tcBorders>
              <w:top w:val="outset" w:sz="6" w:space="0" w:color="auto"/>
              <w:left w:val="outset" w:sz="6" w:space="0" w:color="auto"/>
              <w:bottom w:val="outset" w:sz="6" w:space="0" w:color="auto"/>
              <w:right w:val="outset" w:sz="6" w:space="0" w:color="auto"/>
            </w:tcBorders>
            <w:hideMark/>
          </w:tcPr>
          <w:p w14:paraId="083725C8" w14:textId="77777777" w:rsidR="00DE2259" w:rsidRPr="00DE2259" w:rsidRDefault="00DE2259">
            <w:pPr>
              <w:tabs>
                <w:tab w:val="left" w:pos="-1440"/>
                <w:tab w:val="left" w:pos="0"/>
                <w:tab w:val="left" w:pos="2016"/>
                <w:tab w:val="left" w:pos="3744"/>
                <w:tab w:val="left" w:pos="5472"/>
                <w:tab w:val="left" w:pos="7488"/>
              </w:tabs>
              <w:suppressAutoHyphens/>
              <w:spacing w:line="276" w:lineRule="auto"/>
              <w:rPr>
                <w:color w:val="000000"/>
                <w:kern w:val="2"/>
                <w:sz w:val="22"/>
                <w:szCs w:val="22"/>
                <w:lang w:eastAsia="el-GR"/>
                <w14:ligatures w14:val="standardContextual"/>
              </w:rPr>
            </w:pPr>
            <w:r w:rsidRPr="00DE2259">
              <w:rPr>
                <w:noProof/>
                <w:kern w:val="2"/>
                <w:sz w:val="22"/>
                <w:szCs w:val="22"/>
                <w14:ligatures w14:val="standardContextual"/>
              </w:rPr>
              <w:t>Anafylaktiske reaktioner, hypersensitivitet, allergisk hudreaktion</w:t>
            </w:r>
          </w:p>
        </w:tc>
        <w:tc>
          <w:tcPr>
            <w:tcW w:w="1984" w:type="dxa"/>
            <w:tcBorders>
              <w:top w:val="outset" w:sz="6" w:space="0" w:color="auto"/>
              <w:left w:val="outset" w:sz="6" w:space="0" w:color="auto"/>
              <w:bottom w:val="outset" w:sz="6" w:space="0" w:color="auto"/>
              <w:right w:val="outset" w:sz="6" w:space="0" w:color="auto"/>
            </w:tcBorders>
            <w:hideMark/>
          </w:tcPr>
          <w:p w14:paraId="46B118A3" w14:textId="77777777" w:rsidR="00DE2259" w:rsidRPr="00DE2259" w:rsidRDefault="00DE2259">
            <w:pPr>
              <w:rPr>
                <w:color w:val="000000"/>
                <w:kern w:val="2"/>
                <w:sz w:val="22"/>
                <w:szCs w:val="22"/>
                <w:lang w:eastAsia="el-GR"/>
                <w14:ligatures w14:val="standardContextual"/>
              </w:rPr>
            </w:pPr>
          </w:p>
        </w:tc>
        <w:tc>
          <w:tcPr>
            <w:tcW w:w="1308" w:type="dxa"/>
            <w:tcBorders>
              <w:top w:val="outset" w:sz="6" w:space="0" w:color="auto"/>
              <w:left w:val="outset" w:sz="6" w:space="0" w:color="auto"/>
              <w:bottom w:val="outset" w:sz="6" w:space="0" w:color="auto"/>
              <w:right w:val="outset" w:sz="6" w:space="0" w:color="auto"/>
            </w:tcBorders>
            <w:hideMark/>
          </w:tcPr>
          <w:p w14:paraId="130AFAC9" w14:textId="77777777" w:rsidR="00DE2259" w:rsidRDefault="00DE2259">
            <w:pPr>
              <w:spacing w:line="276" w:lineRule="auto"/>
              <w:rPr>
                <w:rFonts w:asciiTheme="minorHAnsi" w:eastAsiaTheme="minorHAnsi" w:hAnsiTheme="minorHAnsi" w:cstheme="minorBidi"/>
                <w:sz w:val="20"/>
                <w:lang w:eastAsia="da-DK"/>
              </w:rPr>
            </w:pPr>
          </w:p>
        </w:tc>
      </w:tr>
      <w:tr w:rsidR="00DE2259" w14:paraId="2A44F953" w14:textId="77777777">
        <w:tc>
          <w:tcPr>
            <w:tcW w:w="1837" w:type="dxa"/>
            <w:tcBorders>
              <w:top w:val="outset" w:sz="6" w:space="0" w:color="auto"/>
              <w:left w:val="outset" w:sz="6" w:space="0" w:color="auto"/>
              <w:bottom w:val="outset" w:sz="6" w:space="0" w:color="auto"/>
              <w:right w:val="outset" w:sz="6" w:space="0" w:color="auto"/>
            </w:tcBorders>
            <w:hideMark/>
          </w:tcPr>
          <w:p w14:paraId="6B889119"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Metabolisme og ernæring</w:t>
            </w:r>
          </w:p>
        </w:tc>
        <w:tc>
          <w:tcPr>
            <w:tcW w:w="1873" w:type="dxa"/>
            <w:tcBorders>
              <w:top w:val="outset" w:sz="6" w:space="0" w:color="auto"/>
              <w:left w:val="outset" w:sz="6" w:space="0" w:color="auto"/>
              <w:bottom w:val="outset" w:sz="6" w:space="0" w:color="auto"/>
              <w:right w:val="outset" w:sz="6" w:space="0" w:color="auto"/>
            </w:tcBorders>
            <w:hideMark/>
          </w:tcPr>
          <w:p w14:paraId="71334B50" w14:textId="77777777" w:rsidR="00DE2259" w:rsidRDefault="00DE2259">
            <w:pPr>
              <w:rPr>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57DD372B" w14:textId="77777777" w:rsidR="00DE2259" w:rsidRDefault="00DE2259">
            <w:pPr>
              <w:spacing w:line="276" w:lineRule="auto"/>
              <w:rPr>
                <w:rFonts w:asciiTheme="minorHAnsi" w:eastAsiaTheme="minorHAnsi" w:hAnsiTheme="minorHAnsi" w:cstheme="minorBidi"/>
                <w:sz w:val="20"/>
                <w:lang w:eastAsia="da-DK"/>
              </w:rPr>
            </w:pPr>
          </w:p>
        </w:tc>
        <w:tc>
          <w:tcPr>
            <w:tcW w:w="1575" w:type="dxa"/>
            <w:tcBorders>
              <w:top w:val="outset" w:sz="6" w:space="0" w:color="auto"/>
              <w:left w:val="outset" w:sz="6" w:space="0" w:color="auto"/>
              <w:bottom w:val="outset" w:sz="6" w:space="0" w:color="auto"/>
              <w:right w:val="outset" w:sz="6" w:space="0" w:color="auto"/>
            </w:tcBorders>
            <w:hideMark/>
          </w:tcPr>
          <w:p w14:paraId="5C9A573E"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2811D192" w14:textId="77777777" w:rsidR="00DE2259" w:rsidRDefault="00DE2259">
            <w:pPr>
              <w:spacing w:line="276" w:lineRule="auto"/>
              <w:rPr>
                <w:color w:val="000000"/>
                <w:kern w:val="2"/>
                <w:sz w:val="22"/>
                <w:szCs w:val="22"/>
                <w:lang w:val="en-US" w:eastAsia="el-GR"/>
                <w14:ligatures w14:val="standardContextual"/>
              </w:rPr>
            </w:pPr>
            <w:r>
              <w:rPr>
                <w:kern w:val="2"/>
                <w:sz w:val="22"/>
                <w:szCs w:val="22"/>
                <w:lang w:val="en-US"/>
                <w14:ligatures w14:val="standardContextual"/>
              </w:rPr>
              <w:t>Diabetes mellitus, h</w:t>
            </w:r>
            <w:r>
              <w:rPr>
                <w:snapToGrid w:val="0"/>
                <w:kern w:val="2"/>
                <w:sz w:val="22"/>
                <w:szCs w:val="22"/>
                <w:lang w:val="en-US"/>
                <w14:ligatures w14:val="standardContextual"/>
              </w:rPr>
              <w:t>yperurikæmi</w:t>
            </w:r>
          </w:p>
        </w:tc>
        <w:tc>
          <w:tcPr>
            <w:tcW w:w="1308" w:type="dxa"/>
            <w:tcBorders>
              <w:top w:val="outset" w:sz="6" w:space="0" w:color="auto"/>
              <w:left w:val="outset" w:sz="6" w:space="0" w:color="auto"/>
              <w:bottom w:val="outset" w:sz="6" w:space="0" w:color="auto"/>
              <w:right w:val="outset" w:sz="6" w:space="0" w:color="auto"/>
            </w:tcBorders>
            <w:hideMark/>
          </w:tcPr>
          <w:p w14:paraId="4EA1A508" w14:textId="77777777" w:rsidR="00DE2259" w:rsidRDefault="00DE2259">
            <w:pPr>
              <w:rPr>
                <w:color w:val="000000"/>
                <w:kern w:val="2"/>
                <w:sz w:val="22"/>
                <w:szCs w:val="22"/>
                <w:lang w:val="en-US" w:eastAsia="el-GR"/>
                <w14:ligatures w14:val="standardContextual"/>
              </w:rPr>
            </w:pPr>
          </w:p>
        </w:tc>
      </w:tr>
      <w:tr w:rsidR="00DE2259" w14:paraId="45CA14C3" w14:textId="77777777">
        <w:tc>
          <w:tcPr>
            <w:tcW w:w="1837" w:type="dxa"/>
            <w:tcBorders>
              <w:top w:val="outset" w:sz="6" w:space="0" w:color="auto"/>
              <w:left w:val="outset" w:sz="6" w:space="0" w:color="auto"/>
              <w:bottom w:val="outset" w:sz="6" w:space="0" w:color="auto"/>
              <w:right w:val="outset" w:sz="6" w:space="0" w:color="auto"/>
            </w:tcBorders>
            <w:hideMark/>
          </w:tcPr>
          <w:p w14:paraId="331DC1B1"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Psykiske forstyrrelser</w:t>
            </w:r>
          </w:p>
        </w:tc>
        <w:tc>
          <w:tcPr>
            <w:tcW w:w="1873" w:type="dxa"/>
            <w:tcBorders>
              <w:top w:val="outset" w:sz="6" w:space="0" w:color="auto"/>
              <w:left w:val="outset" w:sz="6" w:space="0" w:color="auto"/>
              <w:bottom w:val="outset" w:sz="6" w:space="0" w:color="auto"/>
              <w:right w:val="outset" w:sz="6" w:space="0" w:color="auto"/>
            </w:tcBorders>
            <w:hideMark/>
          </w:tcPr>
          <w:p w14:paraId="179C634B" w14:textId="77777777" w:rsidR="00DE2259" w:rsidRDefault="00DE2259">
            <w:pPr>
              <w:rPr>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6599EC5E" w14:textId="77777777" w:rsidR="00DE2259" w:rsidRDefault="00DE2259">
            <w:pPr>
              <w:spacing w:line="276" w:lineRule="auto"/>
              <w:rPr>
                <w:rFonts w:asciiTheme="minorHAnsi" w:eastAsiaTheme="minorHAnsi" w:hAnsiTheme="minorHAnsi" w:cstheme="minorBidi"/>
                <w:sz w:val="20"/>
                <w:lang w:eastAsia="da-DK"/>
              </w:rPr>
            </w:pPr>
          </w:p>
        </w:tc>
        <w:tc>
          <w:tcPr>
            <w:tcW w:w="1575" w:type="dxa"/>
            <w:tcBorders>
              <w:top w:val="outset" w:sz="6" w:space="0" w:color="auto"/>
              <w:left w:val="outset" w:sz="6" w:space="0" w:color="auto"/>
              <w:bottom w:val="outset" w:sz="6" w:space="0" w:color="auto"/>
              <w:right w:val="outset" w:sz="6" w:space="0" w:color="auto"/>
            </w:tcBorders>
            <w:hideMark/>
          </w:tcPr>
          <w:p w14:paraId="5D0DADDC"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Depression, forværring af depression, aggressive tendenser, angst og humør</w:t>
            </w:r>
            <w:r w:rsidRPr="00DE2259">
              <w:rPr>
                <w:noProof/>
                <w:kern w:val="2"/>
                <w:sz w:val="22"/>
                <w:szCs w:val="22"/>
                <w14:ligatures w14:val="standardContextual"/>
              </w:rPr>
              <w:softHyphen/>
              <w:t>svingninger</w:t>
            </w:r>
          </w:p>
        </w:tc>
        <w:tc>
          <w:tcPr>
            <w:tcW w:w="1984" w:type="dxa"/>
            <w:tcBorders>
              <w:top w:val="outset" w:sz="6" w:space="0" w:color="auto"/>
              <w:left w:val="outset" w:sz="6" w:space="0" w:color="auto"/>
              <w:bottom w:val="outset" w:sz="6" w:space="0" w:color="auto"/>
              <w:right w:val="outset" w:sz="6" w:space="0" w:color="auto"/>
            </w:tcBorders>
            <w:hideMark/>
          </w:tcPr>
          <w:p w14:paraId="70D3B759"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Selvmord, selvmordsforsøg, selvmordstanker, psykotisk lidelse, unormal adfærd</w:t>
            </w:r>
          </w:p>
        </w:tc>
        <w:tc>
          <w:tcPr>
            <w:tcW w:w="1308" w:type="dxa"/>
            <w:tcBorders>
              <w:top w:val="outset" w:sz="6" w:space="0" w:color="auto"/>
              <w:left w:val="outset" w:sz="6" w:space="0" w:color="auto"/>
              <w:bottom w:val="outset" w:sz="6" w:space="0" w:color="auto"/>
              <w:right w:val="outset" w:sz="6" w:space="0" w:color="auto"/>
            </w:tcBorders>
            <w:hideMark/>
          </w:tcPr>
          <w:p w14:paraId="052DB6CA" w14:textId="77777777" w:rsidR="00DE2259" w:rsidRPr="00DE2259" w:rsidRDefault="00DE2259">
            <w:pPr>
              <w:rPr>
                <w:color w:val="000000"/>
                <w:kern w:val="2"/>
                <w:sz w:val="22"/>
                <w:szCs w:val="22"/>
                <w:lang w:eastAsia="el-GR"/>
                <w14:ligatures w14:val="standardContextual"/>
              </w:rPr>
            </w:pPr>
          </w:p>
        </w:tc>
      </w:tr>
      <w:tr w:rsidR="00DE2259" w14:paraId="6B7BDEF9" w14:textId="77777777">
        <w:tc>
          <w:tcPr>
            <w:tcW w:w="1837" w:type="dxa"/>
            <w:tcBorders>
              <w:top w:val="outset" w:sz="6" w:space="0" w:color="auto"/>
              <w:left w:val="outset" w:sz="6" w:space="0" w:color="auto"/>
              <w:bottom w:val="outset" w:sz="6" w:space="0" w:color="auto"/>
              <w:right w:val="outset" w:sz="6" w:space="0" w:color="auto"/>
            </w:tcBorders>
            <w:hideMark/>
          </w:tcPr>
          <w:p w14:paraId="748B4B36" w14:textId="77777777" w:rsidR="00DE2259" w:rsidRDefault="00DE2259">
            <w:pPr>
              <w:spacing w:line="276" w:lineRule="auto"/>
              <w:rPr>
                <w:color w:val="000000"/>
                <w:kern w:val="2"/>
                <w:sz w:val="22"/>
                <w:szCs w:val="22"/>
                <w:lang w:val="en-US" w:eastAsia="el-GR"/>
                <w14:ligatures w14:val="standardContextual"/>
              </w:rPr>
            </w:pPr>
            <w:r>
              <w:rPr>
                <w:b/>
                <w:bCs/>
                <w:noProof/>
                <w:kern w:val="2"/>
                <w:sz w:val="22"/>
                <w:szCs w:val="22"/>
                <w:lang w:val="en-US"/>
                <w14:ligatures w14:val="standardContextual"/>
              </w:rPr>
              <w:lastRenderedPageBreak/>
              <w:t>Nervesystemet</w:t>
            </w:r>
          </w:p>
        </w:tc>
        <w:tc>
          <w:tcPr>
            <w:tcW w:w="1873" w:type="dxa"/>
            <w:tcBorders>
              <w:top w:val="outset" w:sz="6" w:space="0" w:color="auto"/>
              <w:left w:val="outset" w:sz="6" w:space="0" w:color="auto"/>
              <w:bottom w:val="outset" w:sz="6" w:space="0" w:color="auto"/>
              <w:right w:val="outset" w:sz="6" w:space="0" w:color="auto"/>
            </w:tcBorders>
            <w:hideMark/>
          </w:tcPr>
          <w:p w14:paraId="1ED156AC" w14:textId="77777777" w:rsidR="00DE2259" w:rsidRDefault="00DE2259">
            <w:pPr>
              <w:rPr>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5FF6C84B" w14:textId="77777777" w:rsidR="00DE2259" w:rsidRDefault="00DE2259">
            <w:pPr>
              <w:spacing w:line="276" w:lineRule="auto"/>
              <w:rPr>
                <w:color w:val="000000"/>
                <w:kern w:val="2"/>
                <w:sz w:val="22"/>
                <w:szCs w:val="22"/>
                <w:lang w:val="en-US" w:eastAsia="el-GR"/>
                <w14:ligatures w14:val="standardContextual"/>
              </w:rPr>
            </w:pPr>
            <w:r>
              <w:rPr>
                <w:noProof/>
                <w:kern w:val="2"/>
                <w:sz w:val="22"/>
                <w:szCs w:val="22"/>
                <w:lang w:val="en-US"/>
                <w14:ligatures w14:val="standardContextual"/>
              </w:rPr>
              <w:t xml:space="preserve">Hovedpine </w:t>
            </w:r>
          </w:p>
        </w:tc>
        <w:tc>
          <w:tcPr>
            <w:tcW w:w="1575" w:type="dxa"/>
            <w:tcBorders>
              <w:top w:val="outset" w:sz="6" w:space="0" w:color="auto"/>
              <w:left w:val="outset" w:sz="6" w:space="0" w:color="auto"/>
              <w:bottom w:val="outset" w:sz="6" w:space="0" w:color="auto"/>
              <w:right w:val="outset" w:sz="6" w:space="0" w:color="auto"/>
            </w:tcBorders>
            <w:hideMark/>
          </w:tcPr>
          <w:p w14:paraId="196ECDD9" w14:textId="77777777" w:rsidR="00DE2259" w:rsidRDefault="00DE2259">
            <w:pPr>
              <w:rPr>
                <w:color w:val="000000"/>
                <w:kern w:val="2"/>
                <w:sz w:val="22"/>
                <w:szCs w:val="22"/>
                <w:lang w:val="en-US" w:eastAsia="el-GR"/>
                <w14:ligatures w14:val="standardContextual"/>
              </w:rPr>
            </w:pPr>
          </w:p>
        </w:tc>
        <w:tc>
          <w:tcPr>
            <w:tcW w:w="1984" w:type="dxa"/>
            <w:tcBorders>
              <w:top w:val="outset" w:sz="6" w:space="0" w:color="auto"/>
              <w:left w:val="outset" w:sz="6" w:space="0" w:color="auto"/>
              <w:bottom w:val="outset" w:sz="6" w:space="0" w:color="auto"/>
              <w:right w:val="outset" w:sz="6" w:space="0" w:color="auto"/>
            </w:tcBorders>
            <w:hideMark/>
          </w:tcPr>
          <w:p w14:paraId="4ADBC730"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Benign intrakranial hypertension, kramper, døsighed, svimmelhed</w:t>
            </w:r>
          </w:p>
        </w:tc>
        <w:tc>
          <w:tcPr>
            <w:tcW w:w="1308" w:type="dxa"/>
            <w:tcBorders>
              <w:top w:val="outset" w:sz="6" w:space="0" w:color="auto"/>
              <w:left w:val="outset" w:sz="6" w:space="0" w:color="auto"/>
              <w:bottom w:val="outset" w:sz="6" w:space="0" w:color="auto"/>
              <w:right w:val="outset" w:sz="6" w:space="0" w:color="auto"/>
            </w:tcBorders>
            <w:hideMark/>
          </w:tcPr>
          <w:p w14:paraId="6C754F9B" w14:textId="77777777" w:rsidR="00DE2259" w:rsidRPr="00DE2259" w:rsidRDefault="00DE2259">
            <w:pPr>
              <w:rPr>
                <w:color w:val="000000"/>
                <w:kern w:val="2"/>
                <w:sz w:val="22"/>
                <w:szCs w:val="22"/>
                <w:lang w:eastAsia="el-GR"/>
                <w14:ligatures w14:val="standardContextual"/>
              </w:rPr>
            </w:pPr>
          </w:p>
        </w:tc>
      </w:tr>
      <w:tr w:rsidR="00DE2259" w14:paraId="07800E22" w14:textId="77777777">
        <w:tc>
          <w:tcPr>
            <w:tcW w:w="1837" w:type="dxa"/>
            <w:tcBorders>
              <w:top w:val="outset" w:sz="6" w:space="0" w:color="auto"/>
              <w:left w:val="outset" w:sz="6" w:space="0" w:color="auto"/>
              <w:bottom w:val="outset" w:sz="6" w:space="0" w:color="auto"/>
              <w:right w:val="outset" w:sz="6" w:space="0" w:color="auto"/>
            </w:tcBorders>
            <w:hideMark/>
          </w:tcPr>
          <w:p w14:paraId="0A25E56E"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Øjne</w:t>
            </w:r>
          </w:p>
        </w:tc>
        <w:tc>
          <w:tcPr>
            <w:tcW w:w="1873" w:type="dxa"/>
            <w:tcBorders>
              <w:top w:val="outset" w:sz="6" w:space="0" w:color="auto"/>
              <w:left w:val="outset" w:sz="6" w:space="0" w:color="auto"/>
              <w:bottom w:val="outset" w:sz="6" w:space="0" w:color="auto"/>
              <w:right w:val="outset" w:sz="6" w:space="0" w:color="auto"/>
            </w:tcBorders>
            <w:hideMark/>
          </w:tcPr>
          <w:p w14:paraId="6ADF60E2" w14:textId="77777777" w:rsidR="00DE2259" w:rsidRPr="00DE2259" w:rsidRDefault="00DE2259">
            <w:pPr>
              <w:spacing w:line="280" w:lineRule="exact"/>
              <w:rPr>
                <w:noProof/>
                <w:kern w:val="2"/>
                <w:sz w:val="22"/>
                <w:szCs w:val="22"/>
                <w14:ligatures w14:val="standardContextual"/>
              </w:rPr>
            </w:pPr>
            <w:r w:rsidRPr="00DE2259">
              <w:rPr>
                <w:noProof/>
                <w:kern w:val="2"/>
                <w:sz w:val="22"/>
                <w:szCs w:val="22"/>
                <w14:ligatures w14:val="standardContextual"/>
              </w:rPr>
              <w:t>Blepharitis, conjunctivitis, tørre øjne, irritation af øjnene</w:t>
            </w:r>
          </w:p>
        </w:tc>
        <w:tc>
          <w:tcPr>
            <w:tcW w:w="1228" w:type="dxa"/>
            <w:tcBorders>
              <w:top w:val="outset" w:sz="6" w:space="0" w:color="auto"/>
              <w:left w:val="outset" w:sz="6" w:space="0" w:color="auto"/>
              <w:bottom w:val="outset" w:sz="6" w:space="0" w:color="auto"/>
              <w:right w:val="outset" w:sz="6" w:space="0" w:color="auto"/>
            </w:tcBorders>
            <w:hideMark/>
          </w:tcPr>
          <w:p w14:paraId="1694B996" w14:textId="77777777" w:rsidR="00DE2259" w:rsidRPr="00DE2259" w:rsidRDefault="00DE2259">
            <w:pPr>
              <w:rPr>
                <w:noProof/>
                <w:kern w:val="2"/>
                <w:sz w:val="22"/>
                <w:szCs w:val="22"/>
                <w14:ligatures w14:val="standardContextual"/>
              </w:rPr>
            </w:pPr>
          </w:p>
        </w:tc>
        <w:tc>
          <w:tcPr>
            <w:tcW w:w="1575" w:type="dxa"/>
            <w:tcBorders>
              <w:top w:val="outset" w:sz="6" w:space="0" w:color="auto"/>
              <w:left w:val="outset" w:sz="6" w:space="0" w:color="auto"/>
              <w:bottom w:val="outset" w:sz="6" w:space="0" w:color="auto"/>
              <w:right w:val="outset" w:sz="6" w:space="0" w:color="auto"/>
            </w:tcBorders>
            <w:hideMark/>
          </w:tcPr>
          <w:p w14:paraId="62A07027"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3FFB7F01"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Papilødem (som tegn på benign intercranial hypertension), katarakt, farveblindhed (farvesynsforstyrrel</w:t>
            </w:r>
            <w:r w:rsidRPr="00DE2259">
              <w:rPr>
                <w:noProof/>
                <w:kern w:val="2"/>
                <w:sz w:val="22"/>
                <w:szCs w:val="22"/>
                <w14:ligatures w14:val="standardContextual"/>
              </w:rPr>
              <w:softHyphen/>
              <w:t>ser), intolerans over for kontaktlinser, korneal uklarhed, nedsat nattesyn, keratitis, fotofobi, synsforstyrrelser sløret syn</w:t>
            </w:r>
          </w:p>
        </w:tc>
        <w:tc>
          <w:tcPr>
            <w:tcW w:w="1308" w:type="dxa"/>
            <w:tcBorders>
              <w:top w:val="outset" w:sz="6" w:space="0" w:color="auto"/>
              <w:left w:val="outset" w:sz="6" w:space="0" w:color="auto"/>
              <w:bottom w:val="outset" w:sz="6" w:space="0" w:color="auto"/>
              <w:right w:val="outset" w:sz="6" w:space="0" w:color="auto"/>
            </w:tcBorders>
            <w:hideMark/>
          </w:tcPr>
          <w:p w14:paraId="2E44265A" w14:textId="77777777" w:rsidR="00DE2259" w:rsidRPr="00DE2259" w:rsidRDefault="00DE2259">
            <w:pPr>
              <w:rPr>
                <w:color w:val="000000"/>
                <w:kern w:val="2"/>
                <w:sz w:val="22"/>
                <w:szCs w:val="22"/>
                <w:lang w:eastAsia="el-GR"/>
                <w14:ligatures w14:val="standardContextual"/>
              </w:rPr>
            </w:pPr>
          </w:p>
        </w:tc>
      </w:tr>
      <w:tr w:rsidR="00DE2259" w14:paraId="1036CBEB" w14:textId="77777777">
        <w:tc>
          <w:tcPr>
            <w:tcW w:w="1837" w:type="dxa"/>
            <w:tcBorders>
              <w:top w:val="outset" w:sz="6" w:space="0" w:color="auto"/>
              <w:left w:val="outset" w:sz="6" w:space="0" w:color="auto"/>
              <w:bottom w:val="outset" w:sz="6" w:space="0" w:color="auto"/>
              <w:right w:val="outset" w:sz="6" w:space="0" w:color="auto"/>
            </w:tcBorders>
            <w:hideMark/>
          </w:tcPr>
          <w:p w14:paraId="56AAF41C"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Øre og labyrint</w:t>
            </w:r>
          </w:p>
        </w:tc>
        <w:tc>
          <w:tcPr>
            <w:tcW w:w="1873" w:type="dxa"/>
            <w:tcBorders>
              <w:top w:val="outset" w:sz="6" w:space="0" w:color="auto"/>
              <w:left w:val="outset" w:sz="6" w:space="0" w:color="auto"/>
              <w:bottom w:val="outset" w:sz="6" w:space="0" w:color="auto"/>
              <w:right w:val="outset" w:sz="6" w:space="0" w:color="auto"/>
            </w:tcBorders>
            <w:hideMark/>
          </w:tcPr>
          <w:p w14:paraId="7763B421" w14:textId="77777777" w:rsidR="00DE2259" w:rsidRDefault="00DE2259">
            <w:pPr>
              <w:rPr>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47024DA6" w14:textId="77777777" w:rsidR="00DE2259" w:rsidRDefault="00DE2259">
            <w:pPr>
              <w:spacing w:line="276" w:lineRule="auto"/>
              <w:rPr>
                <w:rFonts w:asciiTheme="minorHAnsi" w:eastAsiaTheme="minorHAnsi" w:hAnsiTheme="minorHAnsi" w:cstheme="minorBidi"/>
                <w:sz w:val="20"/>
                <w:lang w:eastAsia="da-DK"/>
              </w:rPr>
            </w:pPr>
          </w:p>
        </w:tc>
        <w:tc>
          <w:tcPr>
            <w:tcW w:w="1575" w:type="dxa"/>
            <w:tcBorders>
              <w:top w:val="outset" w:sz="6" w:space="0" w:color="auto"/>
              <w:left w:val="outset" w:sz="6" w:space="0" w:color="auto"/>
              <w:bottom w:val="outset" w:sz="6" w:space="0" w:color="auto"/>
              <w:right w:val="outset" w:sz="6" w:space="0" w:color="auto"/>
            </w:tcBorders>
            <w:hideMark/>
          </w:tcPr>
          <w:p w14:paraId="3E69B64B"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78831EAE" w14:textId="77777777" w:rsidR="00DE2259" w:rsidRDefault="00DE2259">
            <w:pPr>
              <w:spacing w:line="276" w:lineRule="auto"/>
              <w:rPr>
                <w:color w:val="000000"/>
                <w:kern w:val="2"/>
                <w:sz w:val="22"/>
                <w:szCs w:val="22"/>
                <w:lang w:val="en-US" w:eastAsia="el-GR"/>
                <w14:ligatures w14:val="standardContextual"/>
              </w:rPr>
            </w:pPr>
            <w:r>
              <w:rPr>
                <w:noProof/>
                <w:kern w:val="2"/>
                <w:sz w:val="22"/>
                <w:szCs w:val="22"/>
                <w:lang w:val="en-US"/>
                <w14:ligatures w14:val="standardContextual"/>
              </w:rPr>
              <w:t>Nedsat hørelse</w:t>
            </w:r>
          </w:p>
        </w:tc>
        <w:tc>
          <w:tcPr>
            <w:tcW w:w="1308" w:type="dxa"/>
            <w:tcBorders>
              <w:top w:val="outset" w:sz="6" w:space="0" w:color="auto"/>
              <w:left w:val="outset" w:sz="6" w:space="0" w:color="auto"/>
              <w:bottom w:val="outset" w:sz="6" w:space="0" w:color="auto"/>
              <w:right w:val="outset" w:sz="6" w:space="0" w:color="auto"/>
            </w:tcBorders>
            <w:hideMark/>
          </w:tcPr>
          <w:p w14:paraId="593CE555" w14:textId="77777777" w:rsidR="00DE2259" w:rsidRDefault="00DE2259">
            <w:pPr>
              <w:rPr>
                <w:color w:val="000000"/>
                <w:kern w:val="2"/>
                <w:sz w:val="22"/>
                <w:szCs w:val="22"/>
                <w:lang w:val="en-US" w:eastAsia="el-GR"/>
                <w14:ligatures w14:val="standardContextual"/>
              </w:rPr>
            </w:pPr>
          </w:p>
        </w:tc>
      </w:tr>
      <w:tr w:rsidR="00DE2259" w14:paraId="5583EAEF" w14:textId="77777777">
        <w:tc>
          <w:tcPr>
            <w:tcW w:w="1837" w:type="dxa"/>
            <w:tcBorders>
              <w:top w:val="outset" w:sz="6" w:space="0" w:color="auto"/>
              <w:left w:val="outset" w:sz="6" w:space="0" w:color="auto"/>
              <w:bottom w:val="outset" w:sz="6" w:space="0" w:color="auto"/>
              <w:right w:val="outset" w:sz="6" w:space="0" w:color="auto"/>
            </w:tcBorders>
            <w:hideMark/>
          </w:tcPr>
          <w:p w14:paraId="2139A847"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Vaskulære sygdomme</w:t>
            </w:r>
          </w:p>
        </w:tc>
        <w:tc>
          <w:tcPr>
            <w:tcW w:w="1873" w:type="dxa"/>
            <w:tcBorders>
              <w:top w:val="outset" w:sz="6" w:space="0" w:color="auto"/>
              <w:left w:val="outset" w:sz="6" w:space="0" w:color="auto"/>
              <w:bottom w:val="outset" w:sz="6" w:space="0" w:color="auto"/>
              <w:right w:val="outset" w:sz="6" w:space="0" w:color="auto"/>
            </w:tcBorders>
            <w:hideMark/>
          </w:tcPr>
          <w:p w14:paraId="3BF95E38" w14:textId="77777777" w:rsidR="00DE2259" w:rsidRDefault="00DE2259">
            <w:pPr>
              <w:rPr>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68A06D8C" w14:textId="77777777" w:rsidR="00DE2259" w:rsidRDefault="00DE2259">
            <w:pPr>
              <w:spacing w:line="276" w:lineRule="auto"/>
              <w:rPr>
                <w:rFonts w:asciiTheme="minorHAnsi" w:eastAsiaTheme="minorHAnsi" w:hAnsiTheme="minorHAnsi" w:cstheme="minorBidi"/>
                <w:sz w:val="20"/>
                <w:lang w:eastAsia="da-DK"/>
              </w:rPr>
            </w:pPr>
          </w:p>
        </w:tc>
        <w:tc>
          <w:tcPr>
            <w:tcW w:w="1575" w:type="dxa"/>
            <w:tcBorders>
              <w:top w:val="outset" w:sz="6" w:space="0" w:color="auto"/>
              <w:left w:val="outset" w:sz="6" w:space="0" w:color="auto"/>
              <w:bottom w:val="outset" w:sz="6" w:space="0" w:color="auto"/>
              <w:right w:val="outset" w:sz="6" w:space="0" w:color="auto"/>
            </w:tcBorders>
            <w:hideMark/>
          </w:tcPr>
          <w:p w14:paraId="6D978094"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682C9D1B"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Vaskulitis (f.eks.</w:t>
            </w:r>
            <w:r w:rsidRPr="00DE2259">
              <w:rPr>
                <w:kern w:val="2"/>
                <w:sz w:val="22"/>
                <w:szCs w:val="22"/>
                <w14:ligatures w14:val="standardContextual"/>
              </w:rPr>
              <w:t xml:space="preserve"> Wegeners granulomatose, allergisk vaskulitis)</w:t>
            </w:r>
          </w:p>
        </w:tc>
        <w:tc>
          <w:tcPr>
            <w:tcW w:w="1308" w:type="dxa"/>
            <w:tcBorders>
              <w:top w:val="outset" w:sz="6" w:space="0" w:color="auto"/>
              <w:left w:val="outset" w:sz="6" w:space="0" w:color="auto"/>
              <w:bottom w:val="outset" w:sz="6" w:space="0" w:color="auto"/>
              <w:right w:val="outset" w:sz="6" w:space="0" w:color="auto"/>
            </w:tcBorders>
            <w:hideMark/>
          </w:tcPr>
          <w:p w14:paraId="12941204" w14:textId="77777777" w:rsidR="00DE2259" w:rsidRPr="00DE2259" w:rsidRDefault="00DE2259">
            <w:pPr>
              <w:rPr>
                <w:color w:val="000000"/>
                <w:kern w:val="2"/>
                <w:sz w:val="22"/>
                <w:szCs w:val="22"/>
                <w:lang w:eastAsia="el-GR"/>
                <w14:ligatures w14:val="standardContextual"/>
              </w:rPr>
            </w:pPr>
          </w:p>
        </w:tc>
      </w:tr>
      <w:tr w:rsidR="00DE2259" w14:paraId="6B6D9B65" w14:textId="77777777">
        <w:tc>
          <w:tcPr>
            <w:tcW w:w="1837" w:type="dxa"/>
            <w:tcBorders>
              <w:top w:val="outset" w:sz="6" w:space="0" w:color="auto"/>
              <w:left w:val="outset" w:sz="6" w:space="0" w:color="auto"/>
              <w:bottom w:val="outset" w:sz="6" w:space="0" w:color="auto"/>
              <w:right w:val="outset" w:sz="6" w:space="0" w:color="auto"/>
            </w:tcBorders>
            <w:hideMark/>
          </w:tcPr>
          <w:p w14:paraId="40D8B79A"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Luftveje, thorax og mediastinum</w:t>
            </w:r>
          </w:p>
        </w:tc>
        <w:tc>
          <w:tcPr>
            <w:tcW w:w="1873" w:type="dxa"/>
            <w:tcBorders>
              <w:top w:val="outset" w:sz="6" w:space="0" w:color="auto"/>
              <w:left w:val="outset" w:sz="6" w:space="0" w:color="auto"/>
              <w:bottom w:val="outset" w:sz="6" w:space="0" w:color="auto"/>
              <w:right w:val="outset" w:sz="6" w:space="0" w:color="auto"/>
            </w:tcBorders>
            <w:hideMark/>
          </w:tcPr>
          <w:p w14:paraId="5508748C" w14:textId="77777777" w:rsidR="00DE2259" w:rsidRDefault="00DE2259">
            <w:pPr>
              <w:rPr>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406C0463"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Nasofaryngitis, epistaxis, tørhed af næsen</w:t>
            </w:r>
          </w:p>
        </w:tc>
        <w:tc>
          <w:tcPr>
            <w:tcW w:w="1575" w:type="dxa"/>
            <w:tcBorders>
              <w:top w:val="outset" w:sz="6" w:space="0" w:color="auto"/>
              <w:left w:val="outset" w:sz="6" w:space="0" w:color="auto"/>
              <w:bottom w:val="outset" w:sz="6" w:space="0" w:color="auto"/>
              <w:right w:val="outset" w:sz="6" w:space="0" w:color="auto"/>
            </w:tcBorders>
            <w:hideMark/>
          </w:tcPr>
          <w:p w14:paraId="0AF12887" w14:textId="77777777" w:rsidR="00DE2259" w:rsidRPr="00DE2259" w:rsidRDefault="00DE2259">
            <w:pPr>
              <w:rPr>
                <w:color w:val="000000"/>
                <w:kern w:val="2"/>
                <w:sz w:val="22"/>
                <w:szCs w:val="22"/>
                <w:lang w:eastAsia="el-GR"/>
                <w14:ligatures w14:val="standardContextual"/>
              </w:rPr>
            </w:pPr>
          </w:p>
        </w:tc>
        <w:tc>
          <w:tcPr>
            <w:tcW w:w="1984" w:type="dxa"/>
            <w:tcBorders>
              <w:top w:val="outset" w:sz="6" w:space="0" w:color="auto"/>
              <w:left w:val="outset" w:sz="6" w:space="0" w:color="auto"/>
              <w:bottom w:val="outset" w:sz="6" w:space="0" w:color="auto"/>
              <w:right w:val="outset" w:sz="6" w:space="0" w:color="auto"/>
            </w:tcBorders>
            <w:hideMark/>
          </w:tcPr>
          <w:p w14:paraId="60AC7F5C"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Bronkospasmer (specielt hos patienter med astma), hæshed</w:t>
            </w:r>
          </w:p>
        </w:tc>
        <w:tc>
          <w:tcPr>
            <w:tcW w:w="1308" w:type="dxa"/>
            <w:tcBorders>
              <w:top w:val="outset" w:sz="6" w:space="0" w:color="auto"/>
              <w:left w:val="outset" w:sz="6" w:space="0" w:color="auto"/>
              <w:bottom w:val="outset" w:sz="6" w:space="0" w:color="auto"/>
              <w:right w:val="outset" w:sz="6" w:space="0" w:color="auto"/>
            </w:tcBorders>
            <w:hideMark/>
          </w:tcPr>
          <w:p w14:paraId="549ECEBA" w14:textId="77777777" w:rsidR="00DE2259" w:rsidRPr="00DE2259" w:rsidRDefault="00DE2259">
            <w:pPr>
              <w:rPr>
                <w:color w:val="000000"/>
                <w:kern w:val="2"/>
                <w:sz w:val="22"/>
                <w:szCs w:val="22"/>
                <w:lang w:eastAsia="el-GR"/>
                <w14:ligatures w14:val="standardContextual"/>
              </w:rPr>
            </w:pPr>
          </w:p>
        </w:tc>
      </w:tr>
      <w:tr w:rsidR="00DE2259" w14:paraId="7946F186" w14:textId="77777777">
        <w:tc>
          <w:tcPr>
            <w:tcW w:w="1837" w:type="dxa"/>
            <w:tcBorders>
              <w:top w:val="outset" w:sz="6" w:space="0" w:color="auto"/>
              <w:left w:val="outset" w:sz="6" w:space="0" w:color="auto"/>
              <w:bottom w:val="outset" w:sz="6" w:space="0" w:color="auto"/>
              <w:right w:val="outset" w:sz="6" w:space="0" w:color="auto"/>
            </w:tcBorders>
            <w:hideMark/>
          </w:tcPr>
          <w:p w14:paraId="66EF6C1F"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Mave-tarm-kanalen</w:t>
            </w:r>
          </w:p>
        </w:tc>
        <w:tc>
          <w:tcPr>
            <w:tcW w:w="1873" w:type="dxa"/>
            <w:tcBorders>
              <w:top w:val="outset" w:sz="6" w:space="0" w:color="auto"/>
              <w:left w:val="outset" w:sz="6" w:space="0" w:color="auto"/>
              <w:bottom w:val="outset" w:sz="6" w:space="0" w:color="auto"/>
              <w:right w:val="outset" w:sz="6" w:space="0" w:color="auto"/>
            </w:tcBorders>
            <w:hideMark/>
          </w:tcPr>
          <w:p w14:paraId="0A13D9FA" w14:textId="77777777" w:rsidR="00DE2259" w:rsidRDefault="00DE2259">
            <w:pPr>
              <w:rPr>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369DF0D6" w14:textId="77777777" w:rsidR="00DE2259" w:rsidRDefault="00DE2259">
            <w:pPr>
              <w:spacing w:line="276" w:lineRule="auto"/>
              <w:rPr>
                <w:rFonts w:asciiTheme="minorHAnsi" w:eastAsiaTheme="minorHAnsi" w:hAnsiTheme="minorHAnsi" w:cstheme="minorBidi"/>
                <w:sz w:val="20"/>
                <w:lang w:eastAsia="da-DK"/>
              </w:rPr>
            </w:pPr>
          </w:p>
        </w:tc>
        <w:tc>
          <w:tcPr>
            <w:tcW w:w="1575" w:type="dxa"/>
            <w:tcBorders>
              <w:top w:val="outset" w:sz="6" w:space="0" w:color="auto"/>
              <w:left w:val="outset" w:sz="6" w:space="0" w:color="auto"/>
              <w:bottom w:val="outset" w:sz="6" w:space="0" w:color="auto"/>
              <w:right w:val="outset" w:sz="6" w:space="0" w:color="auto"/>
            </w:tcBorders>
            <w:hideMark/>
          </w:tcPr>
          <w:p w14:paraId="642D113D"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2FFB46A6"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Inflammatorisk tarmsygdom, colitis, ileitis, pancreatitis, gastrointestinal hæmoragi, hæmoragisk diarré, kvalme, tørhed i halsen, (se pkt. 4.4)</w:t>
            </w:r>
          </w:p>
        </w:tc>
        <w:tc>
          <w:tcPr>
            <w:tcW w:w="1308" w:type="dxa"/>
            <w:tcBorders>
              <w:top w:val="outset" w:sz="6" w:space="0" w:color="auto"/>
              <w:left w:val="outset" w:sz="6" w:space="0" w:color="auto"/>
              <w:bottom w:val="outset" w:sz="6" w:space="0" w:color="auto"/>
              <w:right w:val="outset" w:sz="6" w:space="0" w:color="auto"/>
            </w:tcBorders>
            <w:hideMark/>
          </w:tcPr>
          <w:p w14:paraId="55D220F3" w14:textId="77777777" w:rsidR="00DE2259" w:rsidRDefault="00DE2259">
            <w:pPr>
              <w:spacing w:line="276" w:lineRule="auto"/>
              <w:rPr>
                <w:color w:val="000000"/>
                <w:kern w:val="2"/>
                <w:sz w:val="22"/>
                <w:szCs w:val="22"/>
                <w:lang w:val="en-US" w:eastAsia="el-GR"/>
                <w14:ligatures w14:val="standardContextual"/>
              </w:rPr>
            </w:pPr>
            <w:r>
              <w:rPr>
                <w:color w:val="000000"/>
                <w:kern w:val="2"/>
                <w:sz w:val="22"/>
                <w:szCs w:val="22"/>
                <w:lang w:val="en-US" w:eastAsia="el-GR"/>
                <w14:ligatures w14:val="standardContextual"/>
              </w:rPr>
              <w:t>anal fissur</w:t>
            </w:r>
          </w:p>
        </w:tc>
      </w:tr>
      <w:tr w:rsidR="00DE2259" w14:paraId="4E825202" w14:textId="77777777">
        <w:tc>
          <w:tcPr>
            <w:tcW w:w="1837" w:type="dxa"/>
            <w:tcBorders>
              <w:top w:val="outset" w:sz="6" w:space="0" w:color="auto"/>
              <w:left w:val="outset" w:sz="6" w:space="0" w:color="auto"/>
              <w:bottom w:val="outset" w:sz="6" w:space="0" w:color="auto"/>
              <w:right w:val="outset" w:sz="6" w:space="0" w:color="auto"/>
            </w:tcBorders>
            <w:hideMark/>
          </w:tcPr>
          <w:p w14:paraId="31ACAD6C"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Lever og galdeveje</w:t>
            </w:r>
          </w:p>
        </w:tc>
        <w:tc>
          <w:tcPr>
            <w:tcW w:w="1873" w:type="dxa"/>
            <w:tcBorders>
              <w:top w:val="outset" w:sz="6" w:space="0" w:color="auto"/>
              <w:left w:val="outset" w:sz="6" w:space="0" w:color="auto"/>
              <w:bottom w:val="outset" w:sz="6" w:space="0" w:color="auto"/>
              <w:right w:val="outset" w:sz="6" w:space="0" w:color="auto"/>
            </w:tcBorders>
            <w:hideMark/>
          </w:tcPr>
          <w:p w14:paraId="4885D8EF"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Stigning af transaminaser (se pkt. 4.4)</w:t>
            </w:r>
          </w:p>
        </w:tc>
        <w:tc>
          <w:tcPr>
            <w:tcW w:w="1228" w:type="dxa"/>
            <w:tcBorders>
              <w:top w:val="outset" w:sz="6" w:space="0" w:color="auto"/>
              <w:left w:val="outset" w:sz="6" w:space="0" w:color="auto"/>
              <w:bottom w:val="outset" w:sz="6" w:space="0" w:color="auto"/>
              <w:right w:val="outset" w:sz="6" w:space="0" w:color="auto"/>
            </w:tcBorders>
            <w:hideMark/>
          </w:tcPr>
          <w:p w14:paraId="51E0145A" w14:textId="77777777" w:rsidR="00DE2259" w:rsidRPr="00DE2259" w:rsidRDefault="00DE2259">
            <w:pPr>
              <w:rPr>
                <w:color w:val="000000"/>
                <w:kern w:val="2"/>
                <w:sz w:val="22"/>
                <w:szCs w:val="22"/>
                <w:lang w:eastAsia="el-GR"/>
                <w14:ligatures w14:val="standardContextual"/>
              </w:rPr>
            </w:pPr>
          </w:p>
        </w:tc>
        <w:tc>
          <w:tcPr>
            <w:tcW w:w="1575" w:type="dxa"/>
            <w:tcBorders>
              <w:top w:val="outset" w:sz="6" w:space="0" w:color="auto"/>
              <w:left w:val="outset" w:sz="6" w:space="0" w:color="auto"/>
              <w:bottom w:val="outset" w:sz="6" w:space="0" w:color="auto"/>
              <w:right w:val="outset" w:sz="6" w:space="0" w:color="auto"/>
            </w:tcBorders>
            <w:hideMark/>
          </w:tcPr>
          <w:p w14:paraId="1C799E22"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00B4453D" w14:textId="77777777" w:rsidR="00DE2259" w:rsidRDefault="00DE2259">
            <w:pPr>
              <w:spacing w:line="276" w:lineRule="auto"/>
              <w:rPr>
                <w:color w:val="000000"/>
                <w:kern w:val="2"/>
                <w:sz w:val="22"/>
                <w:szCs w:val="22"/>
                <w:lang w:val="en-US" w:eastAsia="el-GR"/>
                <w14:ligatures w14:val="standardContextual"/>
              </w:rPr>
            </w:pPr>
            <w:r>
              <w:rPr>
                <w:color w:val="000000"/>
                <w:kern w:val="2"/>
                <w:sz w:val="22"/>
                <w:szCs w:val="22"/>
                <w:lang w:val="en-US" w:eastAsia="el-GR"/>
                <w14:ligatures w14:val="standardContextual"/>
              </w:rPr>
              <w:t xml:space="preserve">Hepatitis </w:t>
            </w:r>
          </w:p>
        </w:tc>
        <w:tc>
          <w:tcPr>
            <w:tcW w:w="1308" w:type="dxa"/>
            <w:tcBorders>
              <w:top w:val="outset" w:sz="6" w:space="0" w:color="auto"/>
              <w:left w:val="outset" w:sz="6" w:space="0" w:color="auto"/>
              <w:bottom w:val="outset" w:sz="6" w:space="0" w:color="auto"/>
              <w:right w:val="outset" w:sz="6" w:space="0" w:color="auto"/>
            </w:tcBorders>
            <w:hideMark/>
          </w:tcPr>
          <w:p w14:paraId="1ED0E232" w14:textId="77777777" w:rsidR="00DE2259" w:rsidRDefault="00DE2259">
            <w:pPr>
              <w:rPr>
                <w:color w:val="000000"/>
                <w:kern w:val="2"/>
                <w:sz w:val="22"/>
                <w:szCs w:val="22"/>
                <w:lang w:val="en-US" w:eastAsia="el-GR"/>
                <w14:ligatures w14:val="standardContextual"/>
              </w:rPr>
            </w:pPr>
          </w:p>
        </w:tc>
      </w:tr>
      <w:tr w:rsidR="00DE2259" w14:paraId="03E4802C" w14:textId="77777777">
        <w:tc>
          <w:tcPr>
            <w:tcW w:w="1837" w:type="dxa"/>
            <w:tcBorders>
              <w:top w:val="outset" w:sz="6" w:space="0" w:color="auto"/>
              <w:left w:val="outset" w:sz="6" w:space="0" w:color="auto"/>
              <w:bottom w:val="outset" w:sz="6" w:space="0" w:color="auto"/>
              <w:right w:val="outset" w:sz="6" w:space="0" w:color="auto"/>
            </w:tcBorders>
            <w:hideMark/>
          </w:tcPr>
          <w:p w14:paraId="789104C1"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Hud og subkutane væv</w:t>
            </w:r>
          </w:p>
        </w:tc>
        <w:tc>
          <w:tcPr>
            <w:tcW w:w="1873" w:type="dxa"/>
            <w:tcBorders>
              <w:top w:val="outset" w:sz="6" w:space="0" w:color="auto"/>
              <w:left w:val="outset" w:sz="6" w:space="0" w:color="auto"/>
              <w:bottom w:val="outset" w:sz="6" w:space="0" w:color="auto"/>
              <w:right w:val="outset" w:sz="6" w:space="0" w:color="auto"/>
            </w:tcBorders>
            <w:hideMark/>
          </w:tcPr>
          <w:p w14:paraId="6E706987"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 xml:space="preserve">Pruritus, erytematøst udslæt, dermatitis, </w:t>
            </w:r>
            <w:r w:rsidRPr="00DE2259">
              <w:rPr>
                <w:color w:val="000000"/>
                <w:kern w:val="2"/>
                <w:sz w:val="22"/>
                <w:szCs w:val="22"/>
                <w:lang w:eastAsia="el-GR"/>
                <w14:ligatures w14:val="standardContextual"/>
              </w:rPr>
              <w:t xml:space="preserve">cheilitis, </w:t>
            </w:r>
            <w:r w:rsidRPr="00DE2259">
              <w:rPr>
                <w:noProof/>
                <w:kern w:val="2"/>
                <w:sz w:val="22"/>
                <w:szCs w:val="22"/>
                <w14:ligatures w14:val="standardContextual"/>
              </w:rPr>
              <w:t>tør hud, lokaliseret exfoliation, hudskørhed (risiko for friktionstraume)</w:t>
            </w:r>
          </w:p>
        </w:tc>
        <w:tc>
          <w:tcPr>
            <w:tcW w:w="1228" w:type="dxa"/>
            <w:tcBorders>
              <w:top w:val="outset" w:sz="6" w:space="0" w:color="auto"/>
              <w:left w:val="outset" w:sz="6" w:space="0" w:color="auto"/>
              <w:bottom w:val="outset" w:sz="6" w:space="0" w:color="auto"/>
              <w:right w:val="outset" w:sz="6" w:space="0" w:color="auto"/>
            </w:tcBorders>
            <w:hideMark/>
          </w:tcPr>
          <w:p w14:paraId="698D6557" w14:textId="77777777" w:rsidR="00DE2259" w:rsidRPr="00DE2259" w:rsidRDefault="00DE2259">
            <w:pPr>
              <w:rPr>
                <w:color w:val="000000"/>
                <w:kern w:val="2"/>
                <w:sz w:val="22"/>
                <w:szCs w:val="22"/>
                <w:lang w:eastAsia="el-GR"/>
                <w14:ligatures w14:val="standardContextual"/>
              </w:rPr>
            </w:pPr>
          </w:p>
        </w:tc>
        <w:tc>
          <w:tcPr>
            <w:tcW w:w="1575" w:type="dxa"/>
            <w:tcBorders>
              <w:top w:val="outset" w:sz="6" w:space="0" w:color="auto"/>
              <w:left w:val="outset" w:sz="6" w:space="0" w:color="auto"/>
              <w:bottom w:val="outset" w:sz="6" w:space="0" w:color="auto"/>
              <w:right w:val="outset" w:sz="6" w:space="0" w:color="auto"/>
            </w:tcBorders>
            <w:hideMark/>
          </w:tcPr>
          <w:p w14:paraId="707599D6" w14:textId="77777777" w:rsidR="00DE2259" w:rsidRDefault="00DE2259">
            <w:pPr>
              <w:spacing w:line="276" w:lineRule="auto"/>
              <w:rPr>
                <w:color w:val="000000"/>
                <w:kern w:val="2"/>
                <w:sz w:val="22"/>
                <w:szCs w:val="22"/>
                <w:lang w:val="en-US" w:eastAsia="el-GR"/>
                <w14:ligatures w14:val="standardContextual"/>
              </w:rPr>
            </w:pPr>
            <w:r>
              <w:rPr>
                <w:color w:val="000000"/>
                <w:kern w:val="2"/>
                <w:sz w:val="22"/>
                <w:szCs w:val="22"/>
                <w:lang w:val="en-US" w:eastAsia="el-GR"/>
                <w14:ligatures w14:val="standardContextual"/>
              </w:rPr>
              <w:t xml:space="preserve">Alopeci </w:t>
            </w:r>
          </w:p>
        </w:tc>
        <w:tc>
          <w:tcPr>
            <w:tcW w:w="1984" w:type="dxa"/>
            <w:tcBorders>
              <w:top w:val="outset" w:sz="6" w:space="0" w:color="auto"/>
              <w:left w:val="outset" w:sz="6" w:space="0" w:color="auto"/>
              <w:bottom w:val="outset" w:sz="6" w:space="0" w:color="auto"/>
              <w:right w:val="outset" w:sz="6" w:space="0" w:color="auto"/>
            </w:tcBorders>
            <w:hideMark/>
          </w:tcPr>
          <w:p w14:paraId="6A9BA1C6" w14:textId="21BAF249"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 xml:space="preserve">Acne fulminans, forværring af akne, erytem (facial), eksantem, hår sygdomme, hirsutisme, negle dystrofi, paronykion, fotosensitivitet, pyogent granulom, </w:t>
            </w:r>
            <w:r w:rsidRPr="00DE2259">
              <w:rPr>
                <w:noProof/>
                <w:kern w:val="2"/>
                <w:sz w:val="22"/>
                <w:szCs w:val="22"/>
                <w14:ligatures w14:val="standardContextual"/>
              </w:rPr>
              <w:lastRenderedPageBreak/>
              <w:t>hyperpigmentering, øget svedtendens</w:t>
            </w:r>
          </w:p>
        </w:tc>
        <w:tc>
          <w:tcPr>
            <w:tcW w:w="1308" w:type="dxa"/>
            <w:tcBorders>
              <w:top w:val="outset" w:sz="6" w:space="0" w:color="auto"/>
              <w:left w:val="outset" w:sz="6" w:space="0" w:color="auto"/>
              <w:bottom w:val="outset" w:sz="6" w:space="0" w:color="auto"/>
              <w:right w:val="outset" w:sz="6" w:space="0" w:color="auto"/>
            </w:tcBorders>
            <w:hideMark/>
          </w:tcPr>
          <w:p w14:paraId="6F9A0CA8" w14:textId="43E77687" w:rsidR="00DE2259" w:rsidRDefault="00DE2259">
            <w:pPr>
              <w:spacing w:line="276" w:lineRule="auto"/>
              <w:rPr>
                <w:color w:val="000000"/>
                <w:kern w:val="2"/>
                <w:sz w:val="22"/>
                <w:szCs w:val="22"/>
                <w:lang w:val="nb-NO" w:eastAsia="el-GR"/>
                <w14:ligatures w14:val="standardContextual"/>
              </w:rPr>
            </w:pPr>
            <w:r>
              <w:rPr>
                <w:kern w:val="2"/>
                <w:sz w:val="22"/>
                <w:szCs w:val="22"/>
                <w:lang w:val="nb-NO"/>
                <w14:ligatures w14:val="standardContextual"/>
              </w:rPr>
              <w:lastRenderedPageBreak/>
              <w:t xml:space="preserve">Erythema multiforme, Stevens-Johnsons Syndrom, toksisk epidermal nekrolyse, Akut </w:t>
            </w:r>
            <w:r>
              <w:rPr>
                <w:kern w:val="2"/>
                <w:sz w:val="22"/>
                <w:szCs w:val="22"/>
                <w:lang w:val="nb-NO"/>
                <w14:ligatures w14:val="standardContextual"/>
              </w:rPr>
              <w:lastRenderedPageBreak/>
              <w:t>generaliseret eksantematøs pustulose (AGEP)</w:t>
            </w:r>
          </w:p>
        </w:tc>
      </w:tr>
      <w:tr w:rsidR="00DE2259" w14:paraId="750B66AD" w14:textId="77777777">
        <w:tc>
          <w:tcPr>
            <w:tcW w:w="1837" w:type="dxa"/>
            <w:tcBorders>
              <w:top w:val="outset" w:sz="6" w:space="0" w:color="auto"/>
              <w:left w:val="outset" w:sz="6" w:space="0" w:color="auto"/>
              <w:bottom w:val="outset" w:sz="6" w:space="0" w:color="auto"/>
              <w:right w:val="outset" w:sz="6" w:space="0" w:color="auto"/>
            </w:tcBorders>
            <w:hideMark/>
          </w:tcPr>
          <w:p w14:paraId="7015C444" w14:textId="77777777" w:rsidR="00DE2259" w:rsidRPr="00DE2259" w:rsidRDefault="00DE2259">
            <w:pPr>
              <w:spacing w:line="276" w:lineRule="auto"/>
              <w:rPr>
                <w:color w:val="000000"/>
                <w:kern w:val="2"/>
                <w:sz w:val="22"/>
                <w:szCs w:val="22"/>
                <w:lang w:eastAsia="el-GR"/>
                <w14:ligatures w14:val="standardContextual"/>
              </w:rPr>
            </w:pPr>
            <w:r w:rsidRPr="00DE2259">
              <w:rPr>
                <w:b/>
                <w:noProof/>
                <w:kern w:val="2"/>
                <w:sz w:val="22"/>
                <w:szCs w:val="22"/>
                <w14:ligatures w14:val="standardContextual"/>
              </w:rPr>
              <w:t xml:space="preserve">Knogler, led, muskler og bindevæv </w:t>
            </w:r>
          </w:p>
        </w:tc>
        <w:tc>
          <w:tcPr>
            <w:tcW w:w="1873" w:type="dxa"/>
            <w:tcBorders>
              <w:top w:val="outset" w:sz="6" w:space="0" w:color="auto"/>
              <w:left w:val="outset" w:sz="6" w:space="0" w:color="auto"/>
              <w:bottom w:val="outset" w:sz="6" w:space="0" w:color="auto"/>
              <w:right w:val="outset" w:sz="6" w:space="0" w:color="auto"/>
            </w:tcBorders>
            <w:hideMark/>
          </w:tcPr>
          <w:p w14:paraId="0E174BF5"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Artralgier, myalgier, rygsmerter (særligt hos børn og unge patienter)</w:t>
            </w:r>
          </w:p>
        </w:tc>
        <w:tc>
          <w:tcPr>
            <w:tcW w:w="1228" w:type="dxa"/>
            <w:tcBorders>
              <w:top w:val="outset" w:sz="6" w:space="0" w:color="auto"/>
              <w:left w:val="outset" w:sz="6" w:space="0" w:color="auto"/>
              <w:bottom w:val="outset" w:sz="6" w:space="0" w:color="auto"/>
              <w:right w:val="outset" w:sz="6" w:space="0" w:color="auto"/>
            </w:tcBorders>
            <w:hideMark/>
          </w:tcPr>
          <w:p w14:paraId="2EC9B52B" w14:textId="77777777" w:rsidR="00DE2259" w:rsidRPr="00DE2259" w:rsidRDefault="00DE2259">
            <w:pPr>
              <w:rPr>
                <w:color w:val="000000"/>
                <w:kern w:val="2"/>
                <w:sz w:val="22"/>
                <w:szCs w:val="22"/>
                <w:lang w:eastAsia="el-GR"/>
                <w14:ligatures w14:val="standardContextual"/>
              </w:rPr>
            </w:pPr>
          </w:p>
        </w:tc>
        <w:tc>
          <w:tcPr>
            <w:tcW w:w="1575" w:type="dxa"/>
            <w:tcBorders>
              <w:top w:val="outset" w:sz="6" w:space="0" w:color="auto"/>
              <w:left w:val="outset" w:sz="6" w:space="0" w:color="auto"/>
              <w:bottom w:val="outset" w:sz="6" w:space="0" w:color="auto"/>
              <w:right w:val="outset" w:sz="6" w:space="0" w:color="auto"/>
            </w:tcBorders>
            <w:hideMark/>
          </w:tcPr>
          <w:p w14:paraId="0B38112F"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00F7F465"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Artritis, calcinosis (forkalkninger af ligamenter og sener), epifyse præmatur fusion, exostosis, (hyperostosis), nedsat knogletæthed, tendonitis</w:t>
            </w:r>
          </w:p>
        </w:tc>
        <w:tc>
          <w:tcPr>
            <w:tcW w:w="1308" w:type="dxa"/>
            <w:tcBorders>
              <w:top w:val="outset" w:sz="6" w:space="0" w:color="auto"/>
              <w:left w:val="outset" w:sz="6" w:space="0" w:color="auto"/>
              <w:bottom w:val="outset" w:sz="6" w:space="0" w:color="auto"/>
              <w:right w:val="outset" w:sz="6" w:space="0" w:color="auto"/>
            </w:tcBorders>
            <w:hideMark/>
          </w:tcPr>
          <w:p w14:paraId="436782A2" w14:textId="77777777" w:rsidR="00DE2259" w:rsidRDefault="00DE2259">
            <w:pPr>
              <w:spacing w:line="276" w:lineRule="auto"/>
              <w:rPr>
                <w:color w:val="000000"/>
                <w:kern w:val="2"/>
                <w:sz w:val="22"/>
                <w:szCs w:val="22"/>
                <w:lang w:val="en-US" w:eastAsia="el-GR"/>
                <w14:ligatures w14:val="standardContextual"/>
              </w:rPr>
            </w:pPr>
            <w:r>
              <w:rPr>
                <w:color w:val="000000"/>
                <w:kern w:val="2"/>
                <w:sz w:val="22"/>
                <w:szCs w:val="22"/>
                <w:lang w:val="en-US" w:eastAsia="el-GR"/>
                <w14:ligatures w14:val="standardContextual"/>
              </w:rPr>
              <w:t>Rhabdomyo</w:t>
            </w:r>
            <w:r>
              <w:rPr>
                <w:color w:val="000000"/>
                <w:kern w:val="2"/>
                <w:sz w:val="22"/>
                <w:szCs w:val="22"/>
                <w:lang w:val="en-US" w:eastAsia="el-GR"/>
                <w14:ligatures w14:val="standardContextual"/>
              </w:rPr>
              <w:softHyphen/>
              <w:t>lyse, sacroiliitis</w:t>
            </w:r>
          </w:p>
        </w:tc>
      </w:tr>
      <w:tr w:rsidR="00DE2259" w14:paraId="6B66E374" w14:textId="77777777">
        <w:tc>
          <w:tcPr>
            <w:tcW w:w="1837" w:type="dxa"/>
            <w:tcBorders>
              <w:top w:val="outset" w:sz="6" w:space="0" w:color="auto"/>
              <w:left w:val="outset" w:sz="6" w:space="0" w:color="auto"/>
              <w:bottom w:val="outset" w:sz="6" w:space="0" w:color="auto"/>
              <w:right w:val="outset" w:sz="6" w:space="0" w:color="auto"/>
            </w:tcBorders>
            <w:hideMark/>
          </w:tcPr>
          <w:p w14:paraId="516F00BE" w14:textId="77777777" w:rsidR="00DE2259" w:rsidRDefault="00DE2259">
            <w:pPr>
              <w:spacing w:line="276" w:lineRule="auto"/>
              <w:rPr>
                <w:color w:val="000000"/>
                <w:kern w:val="2"/>
                <w:sz w:val="22"/>
                <w:szCs w:val="22"/>
                <w:lang w:val="en-US" w:eastAsia="el-GR"/>
                <w14:ligatures w14:val="standardContextual"/>
              </w:rPr>
            </w:pPr>
            <w:r>
              <w:rPr>
                <w:b/>
                <w:noProof/>
                <w:kern w:val="2"/>
                <w:sz w:val="22"/>
                <w:szCs w:val="22"/>
                <w:lang w:val="en-US"/>
                <w14:ligatures w14:val="standardContextual"/>
              </w:rPr>
              <w:t>Nyrer og urinveje</w:t>
            </w:r>
          </w:p>
        </w:tc>
        <w:tc>
          <w:tcPr>
            <w:tcW w:w="1873" w:type="dxa"/>
            <w:tcBorders>
              <w:top w:val="outset" w:sz="6" w:space="0" w:color="auto"/>
              <w:left w:val="outset" w:sz="6" w:space="0" w:color="auto"/>
              <w:bottom w:val="outset" w:sz="6" w:space="0" w:color="auto"/>
              <w:right w:val="outset" w:sz="6" w:space="0" w:color="auto"/>
            </w:tcBorders>
            <w:hideMark/>
          </w:tcPr>
          <w:p w14:paraId="2A7C69A4" w14:textId="77777777" w:rsidR="00DE2259" w:rsidRDefault="00DE2259">
            <w:pPr>
              <w:rPr>
                <w:color w:val="000000"/>
                <w:kern w:val="2"/>
                <w:sz w:val="22"/>
                <w:szCs w:val="22"/>
                <w:lang w:val="en-US"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01ED92A5" w14:textId="77777777" w:rsidR="00DE2259" w:rsidRDefault="00DE2259">
            <w:pPr>
              <w:spacing w:line="276" w:lineRule="auto"/>
              <w:rPr>
                <w:rFonts w:asciiTheme="minorHAnsi" w:eastAsiaTheme="minorHAnsi" w:hAnsiTheme="minorHAnsi" w:cstheme="minorBidi"/>
                <w:sz w:val="20"/>
                <w:lang w:eastAsia="da-DK"/>
              </w:rPr>
            </w:pPr>
          </w:p>
        </w:tc>
        <w:tc>
          <w:tcPr>
            <w:tcW w:w="1575" w:type="dxa"/>
            <w:tcBorders>
              <w:top w:val="outset" w:sz="6" w:space="0" w:color="auto"/>
              <w:left w:val="outset" w:sz="6" w:space="0" w:color="auto"/>
              <w:bottom w:val="outset" w:sz="6" w:space="0" w:color="auto"/>
              <w:right w:val="outset" w:sz="6" w:space="0" w:color="auto"/>
            </w:tcBorders>
            <w:hideMark/>
          </w:tcPr>
          <w:p w14:paraId="121F8428"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5E1DBF8F" w14:textId="77777777" w:rsidR="00DE2259" w:rsidRDefault="00DE2259">
            <w:pPr>
              <w:spacing w:line="276" w:lineRule="auto"/>
              <w:rPr>
                <w:color w:val="000000"/>
                <w:kern w:val="2"/>
                <w:sz w:val="22"/>
                <w:szCs w:val="22"/>
                <w:lang w:val="en-US" w:eastAsia="el-GR"/>
                <w14:ligatures w14:val="standardContextual"/>
              </w:rPr>
            </w:pPr>
            <w:r>
              <w:rPr>
                <w:noProof/>
                <w:kern w:val="2"/>
                <w:sz w:val="22"/>
                <w:szCs w:val="22"/>
                <w:lang w:val="en-US"/>
                <w14:ligatures w14:val="standardContextual"/>
              </w:rPr>
              <w:t>Glomerulonephritis</w:t>
            </w:r>
          </w:p>
        </w:tc>
        <w:tc>
          <w:tcPr>
            <w:tcW w:w="1308" w:type="dxa"/>
            <w:tcBorders>
              <w:top w:val="outset" w:sz="6" w:space="0" w:color="auto"/>
              <w:left w:val="outset" w:sz="6" w:space="0" w:color="auto"/>
              <w:bottom w:val="outset" w:sz="6" w:space="0" w:color="auto"/>
              <w:right w:val="outset" w:sz="6" w:space="0" w:color="auto"/>
            </w:tcBorders>
            <w:hideMark/>
          </w:tcPr>
          <w:p w14:paraId="364AB74D" w14:textId="77777777" w:rsidR="00DE2259" w:rsidRDefault="00DE2259">
            <w:pPr>
              <w:spacing w:line="276" w:lineRule="auto"/>
              <w:rPr>
                <w:color w:val="000000"/>
                <w:kern w:val="2"/>
                <w:sz w:val="22"/>
                <w:szCs w:val="22"/>
                <w:lang w:val="en-US" w:eastAsia="el-GR"/>
                <w14:ligatures w14:val="standardContextual"/>
              </w:rPr>
            </w:pPr>
            <w:r>
              <w:rPr>
                <w:color w:val="000000"/>
                <w:kern w:val="2"/>
                <w:sz w:val="22"/>
                <w:szCs w:val="22"/>
                <w:lang w:val="en-US" w:eastAsia="el-GR"/>
                <w14:ligatures w14:val="standardContextual"/>
              </w:rPr>
              <w:t>Urethritis</w:t>
            </w:r>
          </w:p>
        </w:tc>
      </w:tr>
      <w:tr w:rsidR="00DE2259" w14:paraId="3C34EF98" w14:textId="77777777">
        <w:trPr>
          <w:trHeight w:val="2183"/>
        </w:trPr>
        <w:tc>
          <w:tcPr>
            <w:tcW w:w="1837" w:type="dxa"/>
            <w:tcBorders>
              <w:top w:val="outset" w:sz="6" w:space="0" w:color="auto"/>
              <w:left w:val="outset" w:sz="6" w:space="0" w:color="auto"/>
              <w:bottom w:val="outset" w:sz="6" w:space="0" w:color="auto"/>
              <w:right w:val="outset" w:sz="6" w:space="0" w:color="auto"/>
            </w:tcBorders>
            <w:hideMark/>
          </w:tcPr>
          <w:p w14:paraId="6530DB37" w14:textId="77777777" w:rsidR="00DE2259" w:rsidRPr="00DE2259" w:rsidRDefault="00DE2259">
            <w:pPr>
              <w:spacing w:line="276" w:lineRule="auto"/>
              <w:rPr>
                <w:b/>
                <w:bCs/>
                <w:color w:val="000000"/>
                <w:kern w:val="2"/>
                <w:sz w:val="22"/>
                <w:szCs w:val="22"/>
                <w:lang w:eastAsia="el-GR"/>
                <w14:ligatures w14:val="standardContextual"/>
              </w:rPr>
            </w:pPr>
            <w:r w:rsidRPr="00DE2259">
              <w:rPr>
                <w:b/>
                <w:noProof/>
                <w:kern w:val="2"/>
                <w:sz w:val="22"/>
                <w:szCs w:val="22"/>
                <w14:ligatures w14:val="standardContextual"/>
              </w:rPr>
              <w:t>Det reproduktive system og mammae</w:t>
            </w:r>
          </w:p>
        </w:tc>
        <w:tc>
          <w:tcPr>
            <w:tcW w:w="1873" w:type="dxa"/>
            <w:tcBorders>
              <w:top w:val="outset" w:sz="6" w:space="0" w:color="auto"/>
              <w:left w:val="outset" w:sz="6" w:space="0" w:color="auto"/>
              <w:bottom w:val="outset" w:sz="6" w:space="0" w:color="auto"/>
              <w:right w:val="outset" w:sz="6" w:space="0" w:color="auto"/>
            </w:tcBorders>
          </w:tcPr>
          <w:p w14:paraId="1E56B369" w14:textId="77777777" w:rsidR="00DE2259" w:rsidRPr="00DE2259" w:rsidRDefault="00DE2259">
            <w:pPr>
              <w:spacing w:line="276" w:lineRule="auto"/>
              <w:rPr>
                <w:color w:val="000000"/>
                <w:kern w:val="2"/>
                <w:sz w:val="22"/>
                <w:szCs w:val="22"/>
                <w:lang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tcPr>
          <w:p w14:paraId="7F2D823B" w14:textId="77777777" w:rsidR="00DE2259" w:rsidRPr="00DE2259" w:rsidRDefault="00DE2259">
            <w:pPr>
              <w:spacing w:line="276" w:lineRule="auto"/>
              <w:rPr>
                <w:color w:val="000000"/>
                <w:kern w:val="2"/>
                <w:sz w:val="22"/>
                <w:szCs w:val="22"/>
                <w:lang w:eastAsia="el-GR"/>
                <w14:ligatures w14:val="standardContextual"/>
              </w:rPr>
            </w:pPr>
          </w:p>
        </w:tc>
        <w:tc>
          <w:tcPr>
            <w:tcW w:w="1575" w:type="dxa"/>
            <w:tcBorders>
              <w:top w:val="outset" w:sz="6" w:space="0" w:color="auto"/>
              <w:left w:val="outset" w:sz="6" w:space="0" w:color="auto"/>
              <w:bottom w:val="outset" w:sz="6" w:space="0" w:color="auto"/>
              <w:right w:val="outset" w:sz="6" w:space="0" w:color="auto"/>
            </w:tcBorders>
          </w:tcPr>
          <w:p w14:paraId="0FEA0F64" w14:textId="77777777" w:rsidR="00DE2259" w:rsidRPr="00DE2259" w:rsidRDefault="00DE2259">
            <w:pPr>
              <w:spacing w:line="276" w:lineRule="auto"/>
              <w:rPr>
                <w:color w:val="000000"/>
                <w:kern w:val="2"/>
                <w:sz w:val="22"/>
                <w:szCs w:val="22"/>
                <w:lang w:eastAsia="el-GR"/>
                <w14:ligatures w14:val="standardContextual"/>
              </w:rPr>
            </w:pPr>
          </w:p>
        </w:tc>
        <w:tc>
          <w:tcPr>
            <w:tcW w:w="1984" w:type="dxa"/>
            <w:tcBorders>
              <w:top w:val="outset" w:sz="6" w:space="0" w:color="auto"/>
              <w:left w:val="outset" w:sz="6" w:space="0" w:color="auto"/>
              <w:bottom w:val="outset" w:sz="6" w:space="0" w:color="auto"/>
              <w:right w:val="outset" w:sz="6" w:space="0" w:color="auto"/>
            </w:tcBorders>
          </w:tcPr>
          <w:p w14:paraId="215D2FD8" w14:textId="77777777" w:rsidR="00DE2259" w:rsidRPr="00DE2259" w:rsidRDefault="00DE2259">
            <w:pPr>
              <w:spacing w:line="276" w:lineRule="auto"/>
              <w:rPr>
                <w:color w:val="000000"/>
                <w:kern w:val="2"/>
                <w:sz w:val="22"/>
                <w:szCs w:val="22"/>
                <w:lang w:eastAsia="el-GR"/>
                <w14:ligatures w14:val="standardContextual"/>
              </w:rPr>
            </w:pPr>
          </w:p>
        </w:tc>
        <w:tc>
          <w:tcPr>
            <w:tcW w:w="1308" w:type="dxa"/>
            <w:tcBorders>
              <w:top w:val="outset" w:sz="6" w:space="0" w:color="auto"/>
              <w:left w:val="outset" w:sz="6" w:space="0" w:color="auto"/>
              <w:bottom w:val="outset" w:sz="6" w:space="0" w:color="auto"/>
              <w:right w:val="outset" w:sz="6" w:space="0" w:color="auto"/>
            </w:tcBorders>
            <w:hideMark/>
          </w:tcPr>
          <w:p w14:paraId="0F013402" w14:textId="77777777" w:rsidR="00DE2259" w:rsidRPr="00DE2259" w:rsidRDefault="00DE2259">
            <w:pPr>
              <w:spacing w:line="276" w:lineRule="auto"/>
              <w:rPr>
                <w:color w:val="000000"/>
                <w:kern w:val="2"/>
                <w:sz w:val="22"/>
                <w:szCs w:val="22"/>
                <w:lang w:eastAsia="el-GR"/>
                <w14:ligatures w14:val="standardContextual"/>
              </w:rPr>
            </w:pPr>
            <w:r w:rsidRPr="00DE2259">
              <w:rPr>
                <w:color w:val="000000"/>
                <w:kern w:val="2"/>
                <w:sz w:val="22"/>
                <w:szCs w:val="22"/>
                <w:lang w:eastAsia="el-GR"/>
                <w14:ligatures w14:val="standardContextual"/>
              </w:rPr>
              <w:t>Seksuel dysfunktion inklusive erektil dysfunktion og nedsat libido, gynækomasti, vulvovaginal tørhed</w:t>
            </w:r>
          </w:p>
        </w:tc>
      </w:tr>
      <w:tr w:rsidR="00DE2259" w14:paraId="1C075DBA" w14:textId="77777777">
        <w:tc>
          <w:tcPr>
            <w:tcW w:w="1837" w:type="dxa"/>
            <w:tcBorders>
              <w:top w:val="outset" w:sz="6" w:space="0" w:color="auto"/>
              <w:left w:val="outset" w:sz="6" w:space="0" w:color="auto"/>
              <w:bottom w:val="outset" w:sz="6" w:space="0" w:color="auto"/>
              <w:right w:val="outset" w:sz="6" w:space="0" w:color="auto"/>
            </w:tcBorders>
            <w:hideMark/>
          </w:tcPr>
          <w:p w14:paraId="55D85CE7" w14:textId="77777777" w:rsidR="00DE2259" w:rsidRPr="00DE2259" w:rsidRDefault="00DE2259">
            <w:pPr>
              <w:spacing w:line="276" w:lineRule="auto"/>
              <w:rPr>
                <w:color w:val="000000"/>
                <w:kern w:val="2"/>
                <w:sz w:val="22"/>
                <w:szCs w:val="22"/>
                <w:lang w:eastAsia="el-GR"/>
                <w14:ligatures w14:val="standardContextual"/>
              </w:rPr>
            </w:pPr>
            <w:r w:rsidRPr="00DE2259">
              <w:rPr>
                <w:b/>
                <w:noProof/>
                <w:kern w:val="2"/>
                <w:sz w:val="22"/>
                <w:szCs w:val="22"/>
                <w14:ligatures w14:val="standardContextual"/>
              </w:rPr>
              <w:t>Almene symptomer og reaktioner på administrations</w:t>
            </w:r>
            <w:r w:rsidRPr="00DE2259">
              <w:rPr>
                <w:b/>
                <w:noProof/>
                <w:kern w:val="2"/>
                <w:sz w:val="22"/>
                <w:szCs w:val="22"/>
                <w14:ligatures w14:val="standardContextual"/>
              </w:rPr>
              <w:softHyphen/>
              <w:t>stedet</w:t>
            </w:r>
          </w:p>
        </w:tc>
        <w:tc>
          <w:tcPr>
            <w:tcW w:w="1873" w:type="dxa"/>
            <w:tcBorders>
              <w:top w:val="outset" w:sz="6" w:space="0" w:color="auto"/>
              <w:left w:val="outset" w:sz="6" w:space="0" w:color="auto"/>
              <w:bottom w:val="outset" w:sz="6" w:space="0" w:color="auto"/>
              <w:right w:val="outset" w:sz="6" w:space="0" w:color="auto"/>
            </w:tcBorders>
            <w:hideMark/>
          </w:tcPr>
          <w:p w14:paraId="6870FD15" w14:textId="77777777" w:rsidR="00DE2259" w:rsidRPr="00DE2259" w:rsidRDefault="00DE2259">
            <w:pPr>
              <w:rPr>
                <w:color w:val="000000"/>
                <w:kern w:val="2"/>
                <w:sz w:val="22"/>
                <w:szCs w:val="22"/>
                <w:lang w:eastAsia="el-GR"/>
                <w14:ligatures w14:val="standardContextual"/>
              </w:rPr>
            </w:pPr>
          </w:p>
        </w:tc>
        <w:tc>
          <w:tcPr>
            <w:tcW w:w="1228" w:type="dxa"/>
            <w:tcBorders>
              <w:top w:val="outset" w:sz="6" w:space="0" w:color="auto"/>
              <w:left w:val="outset" w:sz="6" w:space="0" w:color="auto"/>
              <w:bottom w:val="outset" w:sz="6" w:space="0" w:color="auto"/>
              <w:right w:val="outset" w:sz="6" w:space="0" w:color="auto"/>
            </w:tcBorders>
            <w:hideMark/>
          </w:tcPr>
          <w:p w14:paraId="51A9EF6F" w14:textId="77777777" w:rsidR="00DE2259" w:rsidRDefault="00DE2259">
            <w:pPr>
              <w:spacing w:line="276" w:lineRule="auto"/>
              <w:rPr>
                <w:rFonts w:asciiTheme="minorHAnsi" w:eastAsiaTheme="minorHAnsi" w:hAnsiTheme="minorHAnsi" w:cstheme="minorBidi"/>
                <w:sz w:val="20"/>
                <w:lang w:eastAsia="da-DK"/>
              </w:rPr>
            </w:pPr>
          </w:p>
        </w:tc>
        <w:tc>
          <w:tcPr>
            <w:tcW w:w="1575" w:type="dxa"/>
            <w:tcBorders>
              <w:top w:val="outset" w:sz="6" w:space="0" w:color="auto"/>
              <w:left w:val="outset" w:sz="6" w:space="0" w:color="auto"/>
              <w:bottom w:val="outset" w:sz="6" w:space="0" w:color="auto"/>
              <w:right w:val="outset" w:sz="6" w:space="0" w:color="auto"/>
            </w:tcBorders>
            <w:hideMark/>
          </w:tcPr>
          <w:p w14:paraId="7F53693C" w14:textId="77777777" w:rsidR="00DE2259" w:rsidRDefault="00DE2259">
            <w:pPr>
              <w:spacing w:line="276" w:lineRule="auto"/>
              <w:rPr>
                <w:rFonts w:asciiTheme="minorHAnsi" w:eastAsiaTheme="minorHAnsi" w:hAnsiTheme="minorHAnsi" w:cstheme="minorBidi"/>
                <w:sz w:val="20"/>
                <w:lang w:eastAsia="da-DK"/>
              </w:rPr>
            </w:pPr>
          </w:p>
        </w:tc>
        <w:tc>
          <w:tcPr>
            <w:tcW w:w="1984" w:type="dxa"/>
            <w:tcBorders>
              <w:top w:val="outset" w:sz="6" w:space="0" w:color="auto"/>
              <w:left w:val="outset" w:sz="6" w:space="0" w:color="auto"/>
              <w:bottom w:val="outset" w:sz="6" w:space="0" w:color="auto"/>
              <w:right w:val="outset" w:sz="6" w:space="0" w:color="auto"/>
            </w:tcBorders>
            <w:hideMark/>
          </w:tcPr>
          <w:p w14:paraId="3DF922ED"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Øget dannelse af granulationsvæv, utilpashed</w:t>
            </w:r>
          </w:p>
        </w:tc>
        <w:tc>
          <w:tcPr>
            <w:tcW w:w="1308" w:type="dxa"/>
            <w:tcBorders>
              <w:top w:val="outset" w:sz="6" w:space="0" w:color="auto"/>
              <w:left w:val="outset" w:sz="6" w:space="0" w:color="auto"/>
              <w:bottom w:val="outset" w:sz="6" w:space="0" w:color="auto"/>
              <w:right w:val="outset" w:sz="6" w:space="0" w:color="auto"/>
            </w:tcBorders>
            <w:hideMark/>
          </w:tcPr>
          <w:p w14:paraId="19BDA8F4" w14:textId="77777777" w:rsidR="00DE2259" w:rsidRPr="00DE2259" w:rsidRDefault="00DE2259">
            <w:pPr>
              <w:rPr>
                <w:color w:val="000000"/>
                <w:kern w:val="2"/>
                <w:sz w:val="22"/>
                <w:szCs w:val="22"/>
                <w:lang w:eastAsia="el-GR"/>
                <w14:ligatures w14:val="standardContextual"/>
              </w:rPr>
            </w:pPr>
          </w:p>
        </w:tc>
      </w:tr>
      <w:tr w:rsidR="00DE2259" w14:paraId="2B6A6ACC" w14:textId="77777777">
        <w:trPr>
          <w:trHeight w:val="1839"/>
        </w:trPr>
        <w:tc>
          <w:tcPr>
            <w:tcW w:w="1837" w:type="dxa"/>
            <w:tcBorders>
              <w:top w:val="outset" w:sz="6" w:space="0" w:color="auto"/>
              <w:left w:val="outset" w:sz="6" w:space="0" w:color="auto"/>
              <w:bottom w:val="outset" w:sz="6" w:space="0" w:color="auto"/>
              <w:right w:val="outset" w:sz="6" w:space="0" w:color="auto"/>
            </w:tcBorders>
            <w:hideMark/>
          </w:tcPr>
          <w:p w14:paraId="61A36E2D" w14:textId="77777777" w:rsidR="00DE2259" w:rsidRDefault="00DE2259">
            <w:pPr>
              <w:spacing w:line="276" w:lineRule="auto"/>
              <w:rPr>
                <w:color w:val="000000"/>
                <w:kern w:val="2"/>
                <w:sz w:val="22"/>
                <w:szCs w:val="22"/>
                <w:lang w:val="en-US" w:eastAsia="el-GR"/>
                <w14:ligatures w14:val="standardContextual"/>
              </w:rPr>
            </w:pPr>
            <w:r>
              <w:rPr>
                <w:b/>
                <w:bCs/>
                <w:noProof/>
                <w:kern w:val="2"/>
                <w:sz w:val="22"/>
                <w:szCs w:val="22"/>
                <w:lang w:val="en-US"/>
                <w14:ligatures w14:val="standardContextual"/>
              </w:rPr>
              <w:t>Undersøgelser</w:t>
            </w:r>
          </w:p>
        </w:tc>
        <w:tc>
          <w:tcPr>
            <w:tcW w:w="1873" w:type="dxa"/>
            <w:tcBorders>
              <w:top w:val="outset" w:sz="6" w:space="0" w:color="auto"/>
              <w:left w:val="outset" w:sz="6" w:space="0" w:color="auto"/>
              <w:bottom w:val="outset" w:sz="6" w:space="0" w:color="auto"/>
              <w:right w:val="outset" w:sz="6" w:space="0" w:color="auto"/>
            </w:tcBorders>
            <w:hideMark/>
          </w:tcPr>
          <w:p w14:paraId="55C6AABC"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Forhøjede triglycerider i blodet, nedsat højdensitetslipo-protein</w:t>
            </w:r>
          </w:p>
        </w:tc>
        <w:tc>
          <w:tcPr>
            <w:tcW w:w="1228" w:type="dxa"/>
            <w:tcBorders>
              <w:top w:val="outset" w:sz="6" w:space="0" w:color="auto"/>
              <w:left w:val="outset" w:sz="6" w:space="0" w:color="auto"/>
              <w:bottom w:val="outset" w:sz="6" w:space="0" w:color="auto"/>
              <w:right w:val="outset" w:sz="6" w:space="0" w:color="auto"/>
            </w:tcBorders>
            <w:hideMark/>
          </w:tcPr>
          <w:p w14:paraId="4190C7D6" w14:textId="77777777" w:rsidR="00DE2259" w:rsidRPr="00DE2259" w:rsidRDefault="00DE2259">
            <w:pPr>
              <w:spacing w:line="276" w:lineRule="auto"/>
              <w:rPr>
                <w:color w:val="000000"/>
                <w:kern w:val="2"/>
                <w:sz w:val="22"/>
                <w:szCs w:val="22"/>
                <w:lang w:eastAsia="el-GR"/>
                <w14:ligatures w14:val="standardContextual"/>
              </w:rPr>
            </w:pPr>
            <w:r w:rsidRPr="00DE2259">
              <w:rPr>
                <w:noProof/>
                <w:kern w:val="2"/>
                <w:sz w:val="22"/>
                <w:szCs w:val="22"/>
                <w14:ligatures w14:val="standardContextual"/>
              </w:rPr>
              <w:t>Forhøjet kolesterol i blodet, forhøjet blodglucose, hæmaturi, proteinuri</w:t>
            </w:r>
          </w:p>
        </w:tc>
        <w:tc>
          <w:tcPr>
            <w:tcW w:w="1575" w:type="dxa"/>
            <w:tcBorders>
              <w:top w:val="outset" w:sz="6" w:space="0" w:color="auto"/>
              <w:left w:val="outset" w:sz="6" w:space="0" w:color="auto"/>
              <w:bottom w:val="outset" w:sz="6" w:space="0" w:color="auto"/>
              <w:right w:val="outset" w:sz="6" w:space="0" w:color="auto"/>
            </w:tcBorders>
            <w:hideMark/>
          </w:tcPr>
          <w:p w14:paraId="6A4F38E7" w14:textId="77777777" w:rsidR="00DE2259" w:rsidRPr="00DE2259" w:rsidRDefault="00DE2259">
            <w:pPr>
              <w:rPr>
                <w:color w:val="000000"/>
                <w:kern w:val="2"/>
                <w:sz w:val="22"/>
                <w:szCs w:val="22"/>
                <w:lang w:eastAsia="el-GR"/>
                <w14:ligatures w14:val="standardContextual"/>
              </w:rPr>
            </w:pPr>
          </w:p>
        </w:tc>
        <w:tc>
          <w:tcPr>
            <w:tcW w:w="1984" w:type="dxa"/>
            <w:tcBorders>
              <w:top w:val="outset" w:sz="6" w:space="0" w:color="auto"/>
              <w:left w:val="outset" w:sz="6" w:space="0" w:color="auto"/>
              <w:bottom w:val="outset" w:sz="6" w:space="0" w:color="auto"/>
              <w:right w:val="outset" w:sz="6" w:space="0" w:color="auto"/>
            </w:tcBorders>
            <w:hideMark/>
          </w:tcPr>
          <w:p w14:paraId="7C46DFCA" w14:textId="77777777" w:rsidR="00DE2259" w:rsidRDefault="00DE2259">
            <w:pPr>
              <w:spacing w:line="276" w:lineRule="auto"/>
              <w:rPr>
                <w:color w:val="000000"/>
                <w:kern w:val="2"/>
                <w:sz w:val="22"/>
                <w:szCs w:val="22"/>
                <w:lang w:val="en-US" w:eastAsia="el-GR"/>
                <w14:ligatures w14:val="standardContextual"/>
              </w:rPr>
            </w:pPr>
            <w:r>
              <w:rPr>
                <w:noProof/>
                <w:kern w:val="2"/>
                <w:sz w:val="22"/>
                <w:szCs w:val="22"/>
                <w:lang w:val="en-US"/>
                <w14:ligatures w14:val="standardContextual"/>
              </w:rPr>
              <w:t>Forhøjet kreatininphospho</w:t>
            </w:r>
            <w:r>
              <w:rPr>
                <w:noProof/>
                <w:kern w:val="2"/>
                <w:sz w:val="22"/>
                <w:szCs w:val="22"/>
                <w:lang w:val="en-US"/>
                <w14:ligatures w14:val="standardContextual"/>
              </w:rPr>
              <w:softHyphen/>
              <w:t>kinase i blodet</w:t>
            </w:r>
          </w:p>
        </w:tc>
        <w:tc>
          <w:tcPr>
            <w:tcW w:w="1308" w:type="dxa"/>
            <w:tcBorders>
              <w:top w:val="outset" w:sz="6" w:space="0" w:color="auto"/>
              <w:left w:val="outset" w:sz="6" w:space="0" w:color="auto"/>
              <w:bottom w:val="outset" w:sz="6" w:space="0" w:color="auto"/>
              <w:right w:val="outset" w:sz="6" w:space="0" w:color="auto"/>
            </w:tcBorders>
            <w:hideMark/>
          </w:tcPr>
          <w:p w14:paraId="46043B79" w14:textId="77777777" w:rsidR="00DE2259" w:rsidRDefault="00DE2259">
            <w:pPr>
              <w:rPr>
                <w:color w:val="000000"/>
                <w:kern w:val="2"/>
                <w:sz w:val="22"/>
                <w:szCs w:val="22"/>
                <w:lang w:val="en-US" w:eastAsia="el-GR"/>
                <w14:ligatures w14:val="standardContextual"/>
              </w:rPr>
            </w:pPr>
          </w:p>
        </w:tc>
      </w:tr>
    </w:tbl>
    <w:p w14:paraId="2C8FE5C8" w14:textId="77777777" w:rsidR="00DE2259" w:rsidRDefault="00DE2259" w:rsidP="00DE2259">
      <w:pPr>
        <w:jc w:val="both"/>
        <w:rPr>
          <w:snapToGrid w:val="0"/>
          <w:sz w:val="24"/>
          <w:szCs w:val="24"/>
        </w:rPr>
      </w:pPr>
      <w:r>
        <w:rPr>
          <w:snapToGrid w:val="0"/>
          <w:sz w:val="24"/>
          <w:szCs w:val="24"/>
        </w:rPr>
        <w:t>* kan ikke estimeres ud fra de forhåndenværende data.</w:t>
      </w:r>
    </w:p>
    <w:p w14:paraId="276F030C" w14:textId="77777777" w:rsidR="00DE2259" w:rsidRDefault="00DE2259" w:rsidP="00DE2259">
      <w:pPr>
        <w:ind w:left="851"/>
        <w:jc w:val="both"/>
        <w:rPr>
          <w:snapToGrid w:val="0"/>
          <w:sz w:val="24"/>
          <w:szCs w:val="24"/>
        </w:rPr>
      </w:pPr>
    </w:p>
    <w:p w14:paraId="68D4B195" w14:textId="77777777" w:rsidR="00DE2259" w:rsidRDefault="00DE2259" w:rsidP="00DE2259">
      <w:pPr>
        <w:ind w:left="851"/>
        <w:jc w:val="both"/>
        <w:rPr>
          <w:snapToGrid w:val="0"/>
          <w:sz w:val="24"/>
          <w:szCs w:val="24"/>
          <w:u w:val="single"/>
        </w:rPr>
      </w:pPr>
      <w:r>
        <w:rPr>
          <w:snapToGrid w:val="0"/>
          <w:sz w:val="24"/>
          <w:szCs w:val="24"/>
          <w:u w:val="single"/>
        </w:rPr>
        <w:t>Indberetning af formodede bivirkninger</w:t>
      </w:r>
    </w:p>
    <w:p w14:paraId="42AD933F" w14:textId="77777777" w:rsidR="00DE2259" w:rsidRDefault="00DE2259" w:rsidP="00DE2259">
      <w:pPr>
        <w:ind w:left="851"/>
        <w:jc w:val="both"/>
        <w:rPr>
          <w:snapToGrid w:val="0"/>
          <w:sz w:val="24"/>
          <w:szCs w:val="24"/>
        </w:rPr>
      </w:pPr>
      <w:r>
        <w:rPr>
          <w:snapToGrid w:val="0"/>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17F6A3DE" w14:textId="77777777" w:rsidR="00DE2259" w:rsidRDefault="00DE2259" w:rsidP="00DE2259">
      <w:pPr>
        <w:ind w:left="851"/>
        <w:jc w:val="both"/>
        <w:rPr>
          <w:snapToGrid w:val="0"/>
          <w:sz w:val="24"/>
          <w:szCs w:val="24"/>
        </w:rPr>
      </w:pPr>
    </w:p>
    <w:p w14:paraId="6BF9362A" w14:textId="77777777" w:rsidR="00DE2259" w:rsidRDefault="00DE2259" w:rsidP="00DE2259">
      <w:pPr>
        <w:ind w:left="851"/>
        <w:jc w:val="both"/>
        <w:rPr>
          <w:snapToGrid w:val="0"/>
          <w:sz w:val="24"/>
          <w:szCs w:val="24"/>
        </w:rPr>
      </w:pPr>
      <w:r>
        <w:rPr>
          <w:snapToGrid w:val="0"/>
          <w:sz w:val="24"/>
          <w:szCs w:val="24"/>
        </w:rPr>
        <w:t>Lægemiddelstyrelsen</w:t>
      </w:r>
    </w:p>
    <w:p w14:paraId="529FE424" w14:textId="77777777" w:rsidR="00DE2259" w:rsidRDefault="00DE2259" w:rsidP="00DE2259">
      <w:pPr>
        <w:ind w:left="851"/>
        <w:jc w:val="both"/>
        <w:rPr>
          <w:snapToGrid w:val="0"/>
          <w:sz w:val="24"/>
          <w:szCs w:val="24"/>
        </w:rPr>
      </w:pPr>
      <w:r>
        <w:rPr>
          <w:snapToGrid w:val="0"/>
          <w:sz w:val="24"/>
          <w:szCs w:val="24"/>
        </w:rPr>
        <w:t>Axel Heides Gade 1</w:t>
      </w:r>
    </w:p>
    <w:p w14:paraId="5B000EB8" w14:textId="77777777" w:rsidR="00DE2259" w:rsidRDefault="00DE2259" w:rsidP="00DE2259">
      <w:pPr>
        <w:ind w:left="851"/>
        <w:jc w:val="both"/>
        <w:rPr>
          <w:snapToGrid w:val="0"/>
          <w:sz w:val="24"/>
          <w:szCs w:val="24"/>
        </w:rPr>
      </w:pPr>
      <w:r>
        <w:rPr>
          <w:snapToGrid w:val="0"/>
          <w:sz w:val="24"/>
          <w:szCs w:val="24"/>
        </w:rPr>
        <w:t>DK-2300 København S</w:t>
      </w:r>
    </w:p>
    <w:p w14:paraId="2C419A49" w14:textId="352E7F1C" w:rsidR="00DE2259" w:rsidRPr="002A21A1" w:rsidRDefault="00DE2259" w:rsidP="00DE2259">
      <w:pPr>
        <w:ind w:left="851"/>
        <w:jc w:val="both"/>
        <w:rPr>
          <w:snapToGrid w:val="0"/>
          <w:sz w:val="24"/>
          <w:szCs w:val="24"/>
        </w:rPr>
      </w:pPr>
      <w:r w:rsidRPr="002A21A1">
        <w:rPr>
          <w:snapToGrid w:val="0"/>
          <w:sz w:val="24"/>
          <w:szCs w:val="24"/>
        </w:rPr>
        <w:t>Websted: www.meldenbivirkning.dk</w:t>
      </w:r>
    </w:p>
    <w:p w14:paraId="6BC8BC82" w14:textId="77777777" w:rsidR="00DE2259" w:rsidRPr="002A21A1" w:rsidRDefault="00DE2259" w:rsidP="00DE2259">
      <w:pPr>
        <w:ind w:left="851"/>
        <w:jc w:val="both"/>
        <w:rPr>
          <w:snapToGrid w:val="0"/>
          <w:sz w:val="24"/>
          <w:szCs w:val="24"/>
        </w:rPr>
      </w:pPr>
    </w:p>
    <w:p w14:paraId="6BBDA2A6" w14:textId="77777777" w:rsidR="009260DE" w:rsidRPr="00D87D80" w:rsidRDefault="009260DE" w:rsidP="009260DE">
      <w:pPr>
        <w:tabs>
          <w:tab w:val="left" w:pos="851"/>
        </w:tabs>
        <w:ind w:left="851" w:hanging="851"/>
        <w:rPr>
          <w:b/>
          <w:sz w:val="24"/>
          <w:szCs w:val="24"/>
        </w:rPr>
      </w:pPr>
      <w:r w:rsidRPr="00D87D80">
        <w:rPr>
          <w:b/>
          <w:sz w:val="24"/>
          <w:szCs w:val="24"/>
        </w:rPr>
        <w:lastRenderedPageBreak/>
        <w:t>4.9</w:t>
      </w:r>
      <w:r w:rsidRPr="00D87D80">
        <w:rPr>
          <w:b/>
          <w:sz w:val="24"/>
          <w:szCs w:val="24"/>
        </w:rPr>
        <w:tab/>
        <w:t>Overdosering</w:t>
      </w:r>
    </w:p>
    <w:p w14:paraId="45FE1CBC" w14:textId="77777777" w:rsidR="00D87D80" w:rsidRPr="00D87D80" w:rsidRDefault="00D87D80" w:rsidP="00D87D80">
      <w:pPr>
        <w:tabs>
          <w:tab w:val="left" w:pos="851"/>
        </w:tabs>
        <w:ind w:left="851"/>
        <w:rPr>
          <w:sz w:val="24"/>
          <w:szCs w:val="24"/>
        </w:rPr>
      </w:pPr>
      <w:r w:rsidRPr="00D87D80">
        <w:rPr>
          <w:sz w:val="24"/>
          <w:szCs w:val="24"/>
        </w:rPr>
        <w:t>Isotretinoin er et derivat af vitamin A. Selvom den akutte toksicitet af isotretinoin er lav, kan der, i tilfælde af overdosering som følge af uheld, optræde symptomer på hypervitaminosis A. Symptomerne på akut vitamin A toksicitet omfatter hovedpine, kvalme eller opkastning, omtågethed, irritabilitet og pruritus. Tegn og symptomer på overdosering som følge af uheld eller forsætlig overdosering med isotretinoin er formentlig de samme. Det kan forventes, at symptomerne er reversible og forsvinder uden behov for behandling.</w:t>
      </w:r>
    </w:p>
    <w:p w14:paraId="093451EE" w14:textId="77777777" w:rsidR="009260DE" w:rsidRPr="00C84483" w:rsidRDefault="009260DE" w:rsidP="009260DE">
      <w:pPr>
        <w:tabs>
          <w:tab w:val="left" w:pos="851"/>
        </w:tabs>
        <w:ind w:left="851"/>
        <w:rPr>
          <w:sz w:val="24"/>
          <w:szCs w:val="24"/>
        </w:rPr>
      </w:pPr>
    </w:p>
    <w:p w14:paraId="3737DDE5"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74144E5A" w14:textId="076B9A5A" w:rsidR="00D87D80" w:rsidRPr="00D87D80" w:rsidRDefault="00D87D80" w:rsidP="00D87D80">
      <w:pPr>
        <w:tabs>
          <w:tab w:val="left" w:pos="851"/>
        </w:tabs>
        <w:ind w:left="851"/>
        <w:rPr>
          <w:sz w:val="24"/>
          <w:szCs w:val="24"/>
        </w:rPr>
      </w:pPr>
      <w:r w:rsidRPr="00D87D80">
        <w:rPr>
          <w:sz w:val="24"/>
          <w:szCs w:val="24"/>
        </w:rPr>
        <w:t xml:space="preserve">NBS </w:t>
      </w:r>
      <w:r>
        <w:rPr>
          <w:sz w:val="24"/>
          <w:szCs w:val="24"/>
        </w:rPr>
        <w:t>(</w:t>
      </w:r>
      <w:r w:rsidRPr="00D87D80">
        <w:rPr>
          <w:sz w:val="24"/>
          <w:szCs w:val="24"/>
        </w:rPr>
        <w:t>kun til sygehuse samt efter ordination af speciallæger i dermato-venerologi</w:t>
      </w:r>
      <w:r>
        <w:rPr>
          <w:sz w:val="24"/>
          <w:szCs w:val="24"/>
        </w:rPr>
        <w:t>)</w:t>
      </w:r>
      <w:r w:rsidRPr="00D87D80">
        <w:rPr>
          <w:sz w:val="24"/>
          <w:szCs w:val="24"/>
        </w:rPr>
        <w:t>.</w:t>
      </w:r>
    </w:p>
    <w:p w14:paraId="761CB9A5" w14:textId="77777777" w:rsidR="009260DE" w:rsidRPr="00C84483" w:rsidRDefault="009260DE" w:rsidP="009260DE">
      <w:pPr>
        <w:tabs>
          <w:tab w:val="left" w:pos="851"/>
        </w:tabs>
        <w:ind w:left="851"/>
        <w:rPr>
          <w:sz w:val="24"/>
          <w:szCs w:val="24"/>
        </w:rPr>
      </w:pPr>
    </w:p>
    <w:p w14:paraId="470AF5BD" w14:textId="77777777" w:rsidR="009260DE" w:rsidRPr="00C84483" w:rsidRDefault="009260DE" w:rsidP="009260DE">
      <w:pPr>
        <w:tabs>
          <w:tab w:val="left" w:pos="851"/>
        </w:tabs>
        <w:ind w:left="851"/>
        <w:rPr>
          <w:sz w:val="24"/>
          <w:szCs w:val="24"/>
        </w:rPr>
      </w:pPr>
    </w:p>
    <w:p w14:paraId="0A8224D0"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3DCAE82D" w14:textId="77777777" w:rsidR="009260DE" w:rsidRPr="00C84483" w:rsidRDefault="009260DE" w:rsidP="009260DE">
      <w:pPr>
        <w:tabs>
          <w:tab w:val="left" w:pos="851"/>
        </w:tabs>
        <w:ind w:left="851"/>
        <w:rPr>
          <w:sz w:val="24"/>
          <w:szCs w:val="24"/>
        </w:rPr>
      </w:pPr>
    </w:p>
    <w:p w14:paraId="2C39CB0F"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15113696" w14:textId="77777777" w:rsidR="00D87D80" w:rsidRPr="00D87D80" w:rsidRDefault="00D87D80" w:rsidP="00D87D80">
      <w:pPr>
        <w:tabs>
          <w:tab w:val="left" w:pos="851"/>
        </w:tabs>
        <w:ind w:left="851"/>
        <w:rPr>
          <w:sz w:val="24"/>
          <w:szCs w:val="24"/>
        </w:rPr>
      </w:pPr>
      <w:r w:rsidRPr="00D87D80">
        <w:rPr>
          <w:sz w:val="24"/>
          <w:szCs w:val="24"/>
        </w:rPr>
        <w:t>Farmakoterapeutisk klassifikation: Midler mod acne, retinoider til behandling af akne, ATC-kode: D10BA01.</w:t>
      </w:r>
    </w:p>
    <w:p w14:paraId="5067D1BD" w14:textId="77777777" w:rsidR="00D87D80" w:rsidRPr="00D87D80" w:rsidRDefault="00D87D80" w:rsidP="00D87D80">
      <w:pPr>
        <w:tabs>
          <w:tab w:val="left" w:pos="851"/>
        </w:tabs>
        <w:ind w:left="851"/>
        <w:rPr>
          <w:sz w:val="24"/>
          <w:szCs w:val="24"/>
        </w:rPr>
      </w:pPr>
    </w:p>
    <w:p w14:paraId="39E610CF" w14:textId="77777777" w:rsidR="00D87D80" w:rsidRPr="00D87D80" w:rsidRDefault="00D87D80" w:rsidP="00D87D80">
      <w:pPr>
        <w:tabs>
          <w:tab w:val="left" w:pos="851"/>
        </w:tabs>
        <w:ind w:left="851"/>
        <w:rPr>
          <w:sz w:val="24"/>
          <w:szCs w:val="24"/>
          <w:u w:val="single"/>
        </w:rPr>
      </w:pPr>
      <w:r w:rsidRPr="00D87D80">
        <w:rPr>
          <w:sz w:val="24"/>
          <w:szCs w:val="24"/>
          <w:u w:val="single"/>
        </w:rPr>
        <w:t>Virkningsmekanisme</w:t>
      </w:r>
    </w:p>
    <w:p w14:paraId="4A1FA42C" w14:textId="77777777" w:rsidR="00D87D80" w:rsidRPr="00D87D80" w:rsidRDefault="00D87D80" w:rsidP="00D87D80">
      <w:pPr>
        <w:tabs>
          <w:tab w:val="left" w:pos="851"/>
        </w:tabs>
        <w:ind w:left="851"/>
        <w:rPr>
          <w:sz w:val="24"/>
          <w:szCs w:val="24"/>
        </w:rPr>
      </w:pPr>
      <w:r w:rsidRPr="00D87D80">
        <w:rPr>
          <w:sz w:val="24"/>
          <w:szCs w:val="24"/>
        </w:rPr>
        <w:t>Isotretinoin er en stereoisomer af all-trans retinoinsyre (tretinoin). Den nøjagtige virkningsmekanisme af isotretinoin er ikke fuldt klarlagt, men det er vist, at den observerede bedring af det kliniske billede ved svær akne er relateret til hæmning af talgkirtelaktivitet og en histologisk påvist reduktion af størrelsen af talgkirtler. Det er desuden påvist, at isotretinoin har en antiinflammatorisk effekt i huden.</w:t>
      </w:r>
    </w:p>
    <w:p w14:paraId="3AEA170F" w14:textId="77777777" w:rsidR="00D87D80" w:rsidRPr="00D87D80" w:rsidRDefault="00D87D80" w:rsidP="00D87D80">
      <w:pPr>
        <w:tabs>
          <w:tab w:val="left" w:pos="851"/>
        </w:tabs>
        <w:ind w:left="851"/>
        <w:rPr>
          <w:sz w:val="24"/>
          <w:szCs w:val="24"/>
        </w:rPr>
      </w:pPr>
    </w:p>
    <w:p w14:paraId="41836394" w14:textId="77777777" w:rsidR="00D87D80" w:rsidRPr="00D87D80" w:rsidRDefault="00D87D80" w:rsidP="00D87D80">
      <w:pPr>
        <w:tabs>
          <w:tab w:val="left" w:pos="851"/>
        </w:tabs>
        <w:ind w:left="851"/>
        <w:rPr>
          <w:sz w:val="24"/>
          <w:szCs w:val="24"/>
          <w:u w:val="single"/>
        </w:rPr>
      </w:pPr>
      <w:r w:rsidRPr="00D87D80">
        <w:rPr>
          <w:sz w:val="24"/>
          <w:szCs w:val="24"/>
          <w:u w:val="single"/>
        </w:rPr>
        <w:t>Klinisk virkning og sikkerhed</w:t>
      </w:r>
    </w:p>
    <w:p w14:paraId="68900964" w14:textId="77777777" w:rsidR="00D87D80" w:rsidRPr="00D87D80" w:rsidRDefault="00D87D80" w:rsidP="00D87D80">
      <w:pPr>
        <w:tabs>
          <w:tab w:val="left" w:pos="851"/>
        </w:tabs>
        <w:ind w:left="851"/>
        <w:rPr>
          <w:sz w:val="24"/>
          <w:szCs w:val="24"/>
        </w:rPr>
      </w:pPr>
      <w:r w:rsidRPr="00D87D80">
        <w:rPr>
          <w:sz w:val="24"/>
          <w:szCs w:val="24"/>
        </w:rPr>
        <w:t xml:space="preserve">Forøget horndannelse af talgkirtlens epitel medfører spredning af corneocytter i udførselsgangen og tilstopning med keratin og overskudstalg. Dette efterfølges af dannelsen af en komedon og til sidst af inflammatoriske læsioner. Isotretinoin hæmmer proliferationen af sebocytter og virker på akne ved at reetablere differentiations-programmet. Sebum er hovedsubstratet for væksten af </w:t>
      </w:r>
      <w:r w:rsidRPr="00D87D80">
        <w:rPr>
          <w:i/>
          <w:iCs/>
          <w:sz w:val="24"/>
          <w:szCs w:val="24"/>
        </w:rPr>
        <w:t>Propionibacterium acnes</w:t>
      </w:r>
      <w:r w:rsidRPr="00D87D80">
        <w:rPr>
          <w:sz w:val="24"/>
          <w:szCs w:val="24"/>
        </w:rPr>
        <w:t>, så nedsat talgproduktion hæmmer den bakterielle kolonisering af udførselsgangen.</w:t>
      </w:r>
    </w:p>
    <w:p w14:paraId="04085D66" w14:textId="77777777" w:rsidR="009260DE" w:rsidRPr="00C84483" w:rsidRDefault="009260DE" w:rsidP="009260DE">
      <w:pPr>
        <w:tabs>
          <w:tab w:val="left" w:pos="851"/>
        </w:tabs>
        <w:ind w:left="851"/>
        <w:rPr>
          <w:sz w:val="24"/>
          <w:szCs w:val="24"/>
        </w:rPr>
      </w:pPr>
    </w:p>
    <w:p w14:paraId="4FF3C35B"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08216CE3" w14:textId="77777777" w:rsidR="00D87D80" w:rsidRPr="00D87D80" w:rsidRDefault="00D87D80" w:rsidP="00D87D80">
      <w:pPr>
        <w:tabs>
          <w:tab w:val="left" w:pos="851"/>
        </w:tabs>
        <w:ind w:left="851"/>
        <w:rPr>
          <w:b/>
          <w:bCs/>
          <w:sz w:val="24"/>
          <w:szCs w:val="24"/>
        </w:rPr>
      </w:pPr>
    </w:p>
    <w:p w14:paraId="055AFF1C" w14:textId="77777777" w:rsidR="00D87D80" w:rsidRPr="00D87D80" w:rsidRDefault="00D87D80" w:rsidP="00D87D80">
      <w:pPr>
        <w:tabs>
          <w:tab w:val="left" w:pos="851"/>
        </w:tabs>
        <w:ind w:left="851"/>
        <w:rPr>
          <w:sz w:val="24"/>
          <w:szCs w:val="24"/>
          <w:u w:val="single"/>
        </w:rPr>
      </w:pPr>
      <w:r w:rsidRPr="00D87D80">
        <w:rPr>
          <w:sz w:val="24"/>
          <w:szCs w:val="24"/>
          <w:u w:val="single"/>
        </w:rPr>
        <w:t>Absorption</w:t>
      </w:r>
    </w:p>
    <w:p w14:paraId="0EF982F5" w14:textId="77777777" w:rsidR="00D87D80" w:rsidRPr="00D87D80" w:rsidRDefault="00D87D80" w:rsidP="00D87D80">
      <w:pPr>
        <w:tabs>
          <w:tab w:val="left" w:pos="851"/>
        </w:tabs>
        <w:ind w:left="851"/>
        <w:rPr>
          <w:sz w:val="24"/>
          <w:szCs w:val="24"/>
        </w:rPr>
      </w:pPr>
      <w:r w:rsidRPr="00D87D80">
        <w:rPr>
          <w:sz w:val="24"/>
          <w:szCs w:val="24"/>
        </w:rPr>
        <w:t>Absorptionen af isotretinoin fra mave-tarm-kanalen varierer og er dosis-lineær inden for det terapeutiske område. Den absolutte biotilgængelighed kendes ikke, da stoffet ikke kan gives intravenøst til mennesker, men ekstrapolation fra forsøg på hunde tyder på en ret lav og variabel systemisk biotilgængelighed. Sammenlignet med faste fordobles biotilgængeligheden, når isotretinoin tages med føde.</w:t>
      </w:r>
    </w:p>
    <w:p w14:paraId="1521A3CF" w14:textId="77777777" w:rsidR="00D87D80" w:rsidRPr="00D87D80" w:rsidRDefault="00D87D80" w:rsidP="00D87D80">
      <w:pPr>
        <w:tabs>
          <w:tab w:val="left" w:pos="851"/>
        </w:tabs>
        <w:ind w:left="851"/>
        <w:rPr>
          <w:sz w:val="24"/>
          <w:szCs w:val="24"/>
        </w:rPr>
      </w:pPr>
    </w:p>
    <w:p w14:paraId="4695F585" w14:textId="77777777" w:rsidR="00D87D80" w:rsidRPr="00D87D80" w:rsidRDefault="00D87D80" w:rsidP="00D87D80">
      <w:pPr>
        <w:tabs>
          <w:tab w:val="left" w:pos="851"/>
        </w:tabs>
        <w:ind w:left="851"/>
        <w:rPr>
          <w:sz w:val="24"/>
          <w:szCs w:val="24"/>
          <w:u w:val="single"/>
        </w:rPr>
      </w:pPr>
      <w:r w:rsidRPr="00D87D80">
        <w:rPr>
          <w:sz w:val="24"/>
          <w:szCs w:val="24"/>
          <w:u w:val="single"/>
        </w:rPr>
        <w:t>Fordeling</w:t>
      </w:r>
    </w:p>
    <w:p w14:paraId="01F8C770" w14:textId="77777777" w:rsidR="00D87D80" w:rsidRPr="00D87D80" w:rsidRDefault="00D87D80" w:rsidP="00D87D80">
      <w:pPr>
        <w:tabs>
          <w:tab w:val="left" w:pos="851"/>
        </w:tabs>
        <w:ind w:left="851"/>
        <w:rPr>
          <w:sz w:val="24"/>
          <w:szCs w:val="24"/>
        </w:rPr>
      </w:pPr>
      <w:r w:rsidRPr="00D87D80">
        <w:rPr>
          <w:sz w:val="24"/>
          <w:szCs w:val="24"/>
        </w:rPr>
        <w:t>Isotretinoin bindes i stor udstrækning til plasmaproteiner, hovedsageligt albumin (99,9 %). Distributionsvolumen for isotretinoin kendes ikke hos mennesker, da isotretinoin ikke findes i intravenøs form til mennesker. Der er kun lidt information tilgængelig vedrørende distributionen af isotretinoin ind i væv. Koncentrationen af isotretinoin i epidermis er kun det halve af koncentrationen i serum. Plasmakoncentrationen af isotretinoin er ca. 1,7 gange højere end i fuldblod på grund af dårlig penetration af isotretinoin ind i røde blodlegemer.</w:t>
      </w:r>
    </w:p>
    <w:p w14:paraId="4007B82E" w14:textId="77777777" w:rsidR="00D87D80" w:rsidRPr="00D87D80" w:rsidRDefault="00D87D80" w:rsidP="00D87D80">
      <w:pPr>
        <w:tabs>
          <w:tab w:val="left" w:pos="851"/>
        </w:tabs>
        <w:ind w:left="851"/>
        <w:rPr>
          <w:sz w:val="24"/>
          <w:szCs w:val="24"/>
        </w:rPr>
      </w:pPr>
    </w:p>
    <w:p w14:paraId="033181CD" w14:textId="77777777" w:rsidR="00D87D80" w:rsidRPr="00D87D80" w:rsidRDefault="00D87D80" w:rsidP="00D87D80">
      <w:pPr>
        <w:tabs>
          <w:tab w:val="left" w:pos="851"/>
        </w:tabs>
        <w:ind w:left="851"/>
        <w:rPr>
          <w:sz w:val="24"/>
          <w:szCs w:val="24"/>
          <w:u w:val="single"/>
        </w:rPr>
      </w:pPr>
      <w:r w:rsidRPr="00D87D80">
        <w:rPr>
          <w:sz w:val="24"/>
          <w:szCs w:val="24"/>
          <w:u w:val="single"/>
        </w:rPr>
        <w:t>Biotransformation</w:t>
      </w:r>
    </w:p>
    <w:p w14:paraId="1D4D4BB9" w14:textId="77777777" w:rsidR="00D87D80" w:rsidRPr="00D87D80" w:rsidRDefault="00D87D80" w:rsidP="00D87D80">
      <w:pPr>
        <w:tabs>
          <w:tab w:val="left" w:pos="851"/>
        </w:tabs>
        <w:ind w:left="851"/>
        <w:rPr>
          <w:sz w:val="24"/>
          <w:szCs w:val="24"/>
        </w:rPr>
      </w:pPr>
      <w:r w:rsidRPr="00D87D80">
        <w:rPr>
          <w:sz w:val="24"/>
          <w:szCs w:val="24"/>
        </w:rPr>
        <w:t xml:space="preserve">Efter oral administration af isotretinoin er der identificeret tre hovedmetabolitter i plasma: 4-oxo-isotretinoin, tretinoin (all-trans-retinoinsyre) og 4-oxo-tretinoin. Metabolitterne har vist biologisk aktivitet i flere </w:t>
      </w:r>
      <w:r w:rsidRPr="00D87D80">
        <w:rPr>
          <w:i/>
          <w:iCs/>
          <w:sz w:val="24"/>
          <w:szCs w:val="24"/>
        </w:rPr>
        <w:t>in-vitro</w:t>
      </w:r>
      <w:r w:rsidRPr="00D87D80">
        <w:rPr>
          <w:sz w:val="24"/>
          <w:szCs w:val="24"/>
        </w:rPr>
        <w:t xml:space="preserve"> tests. 4-oxo-isotretinoin har i et klinisk studie vist sig at bidrage signifikant til isotretinoins aktivitet (reduktion af sebumekskretionsraten til trods for manglende effekt på plasmakoncentrationerne af isotretinoin og tretinoin). Andre mindre metabolitter indbefatter glukuronidkonjugater. Hovedmetabolitten er 4-oxo-isotretinoin, hvis plasmakoncentrationer i steady-state er 2,5 gange højere end moderstoffets.</w:t>
      </w:r>
    </w:p>
    <w:p w14:paraId="395EBF2B" w14:textId="77777777" w:rsidR="00D87D80" w:rsidRPr="00D87D80" w:rsidRDefault="00D87D80" w:rsidP="00D87D80">
      <w:pPr>
        <w:tabs>
          <w:tab w:val="left" w:pos="851"/>
        </w:tabs>
        <w:ind w:left="851"/>
        <w:rPr>
          <w:sz w:val="24"/>
          <w:szCs w:val="24"/>
        </w:rPr>
      </w:pPr>
    </w:p>
    <w:p w14:paraId="02D89FA1" w14:textId="77777777" w:rsidR="00D87D80" w:rsidRPr="00D87D80" w:rsidRDefault="00D87D80" w:rsidP="00D87D80">
      <w:pPr>
        <w:tabs>
          <w:tab w:val="left" w:pos="851"/>
        </w:tabs>
        <w:ind w:left="851"/>
        <w:rPr>
          <w:sz w:val="24"/>
          <w:szCs w:val="24"/>
        </w:rPr>
      </w:pPr>
      <w:r w:rsidRPr="00D87D80">
        <w:rPr>
          <w:sz w:val="24"/>
          <w:szCs w:val="24"/>
        </w:rPr>
        <w:t>Isotretinoin og tretinoin (all-transretinoinsyre) metaboliseres reversibelt til hinanden (interkonverteres), og tretinoins metabolisme er derfor bundet sammen med isotretinoins. Det er beregnet, at 20-30 % af en isotretinoindosis metaboliseres ved isomerisation.</w:t>
      </w:r>
    </w:p>
    <w:p w14:paraId="4B709025" w14:textId="77777777" w:rsidR="00D87D80" w:rsidRPr="00D87D80" w:rsidRDefault="00D87D80" w:rsidP="00D87D80">
      <w:pPr>
        <w:tabs>
          <w:tab w:val="left" w:pos="851"/>
        </w:tabs>
        <w:ind w:left="851"/>
        <w:rPr>
          <w:sz w:val="24"/>
          <w:szCs w:val="24"/>
        </w:rPr>
      </w:pPr>
    </w:p>
    <w:p w14:paraId="3856BF2D" w14:textId="77777777" w:rsidR="00D87D80" w:rsidRPr="00D87D80" w:rsidRDefault="00D87D80" w:rsidP="00D87D80">
      <w:pPr>
        <w:tabs>
          <w:tab w:val="left" w:pos="851"/>
        </w:tabs>
        <w:ind w:left="851"/>
        <w:rPr>
          <w:sz w:val="24"/>
          <w:szCs w:val="24"/>
        </w:rPr>
      </w:pPr>
      <w:r w:rsidRPr="00D87D80">
        <w:rPr>
          <w:sz w:val="24"/>
          <w:szCs w:val="24"/>
        </w:rPr>
        <w:t>Enterohepatisk cirkulation kan spille en vigtig rolle i isotretinoins farmakokinetik hos mennesker.</w:t>
      </w:r>
    </w:p>
    <w:p w14:paraId="72F0E2C2" w14:textId="77777777" w:rsidR="00D87D80" w:rsidRPr="00D87D80" w:rsidRDefault="00D87D80" w:rsidP="00D87D80">
      <w:pPr>
        <w:tabs>
          <w:tab w:val="left" w:pos="851"/>
        </w:tabs>
        <w:ind w:left="851"/>
        <w:rPr>
          <w:sz w:val="24"/>
          <w:szCs w:val="24"/>
        </w:rPr>
      </w:pPr>
      <w:r w:rsidRPr="00D87D80">
        <w:rPr>
          <w:sz w:val="24"/>
          <w:szCs w:val="24"/>
        </w:rPr>
        <w:t>Metabolismestudier in vitro har vist, at flere CYP-enzymer er involveret i isotretinoins omdannelse til 4-oxo-isotretinoin og tretinoin. Der er ikke en bestemt isoform, som har en dominerende rolle. Isotretinoin og dets metabolitter påvirker ikke CYP aktiviteten signifikant.</w:t>
      </w:r>
    </w:p>
    <w:p w14:paraId="1E381C46" w14:textId="77777777" w:rsidR="00D87D80" w:rsidRPr="00D87D80" w:rsidRDefault="00D87D80" w:rsidP="00D87D80">
      <w:pPr>
        <w:tabs>
          <w:tab w:val="left" w:pos="851"/>
        </w:tabs>
        <w:ind w:left="851"/>
        <w:rPr>
          <w:sz w:val="24"/>
          <w:szCs w:val="24"/>
        </w:rPr>
      </w:pPr>
    </w:p>
    <w:p w14:paraId="69A15D34" w14:textId="77777777" w:rsidR="00D87D80" w:rsidRPr="00D87D80" w:rsidRDefault="00D87D80" w:rsidP="00D87D80">
      <w:pPr>
        <w:tabs>
          <w:tab w:val="left" w:pos="851"/>
        </w:tabs>
        <w:ind w:left="851"/>
        <w:rPr>
          <w:sz w:val="24"/>
          <w:szCs w:val="24"/>
          <w:u w:val="single"/>
        </w:rPr>
      </w:pPr>
      <w:r w:rsidRPr="00D87D80">
        <w:rPr>
          <w:sz w:val="24"/>
          <w:szCs w:val="24"/>
          <w:u w:val="single"/>
        </w:rPr>
        <w:t>Elimination</w:t>
      </w:r>
    </w:p>
    <w:p w14:paraId="6E81816F" w14:textId="77777777" w:rsidR="00D87D80" w:rsidRPr="00D87D80" w:rsidRDefault="00D87D80" w:rsidP="00D87D80">
      <w:pPr>
        <w:tabs>
          <w:tab w:val="left" w:pos="851"/>
        </w:tabs>
        <w:ind w:left="851"/>
        <w:rPr>
          <w:sz w:val="24"/>
          <w:szCs w:val="24"/>
        </w:rPr>
      </w:pPr>
      <w:r w:rsidRPr="00D87D80">
        <w:rPr>
          <w:sz w:val="24"/>
          <w:szCs w:val="24"/>
        </w:rPr>
        <w:t>Efter oral administration af radioaktivt mærket isotretinoin genfandtes omtrent lige store fraktioner af dosis i urin og fæces. Efter oral administration af isotretinoin til patienter med akne er den terminale eliminationshalveringstid af uomdannet medicin i gennemsnit 19 timer. Den terminale eliminationshalveringstid af 4-oxo-isotretinoin er længere, gennemsnitlig 29 timer.</w:t>
      </w:r>
    </w:p>
    <w:p w14:paraId="794F6E97" w14:textId="77777777" w:rsidR="00D87D80" w:rsidRPr="00D87D80" w:rsidRDefault="00D87D80" w:rsidP="00D87D80">
      <w:pPr>
        <w:tabs>
          <w:tab w:val="left" w:pos="851"/>
        </w:tabs>
        <w:ind w:left="851"/>
        <w:rPr>
          <w:sz w:val="24"/>
          <w:szCs w:val="24"/>
        </w:rPr>
      </w:pPr>
    </w:p>
    <w:p w14:paraId="77528D04" w14:textId="77777777" w:rsidR="00D87D80" w:rsidRPr="00D87D80" w:rsidRDefault="00D87D80" w:rsidP="00D87D80">
      <w:pPr>
        <w:tabs>
          <w:tab w:val="left" w:pos="851"/>
        </w:tabs>
        <w:ind w:left="851"/>
        <w:rPr>
          <w:sz w:val="24"/>
          <w:szCs w:val="24"/>
        </w:rPr>
      </w:pPr>
      <w:r w:rsidRPr="00D87D80">
        <w:rPr>
          <w:sz w:val="24"/>
          <w:szCs w:val="24"/>
        </w:rPr>
        <w:t>Isotretinoin er et fysiologisk retinoid, og der opnås endogene retinoidkoncentrationer ca. to uger efter afslutningen af behandling med isotretinoin.</w:t>
      </w:r>
    </w:p>
    <w:p w14:paraId="34F8BD87" w14:textId="77777777" w:rsidR="00D87D80" w:rsidRPr="00D87D80" w:rsidRDefault="00D87D80" w:rsidP="00D87D80">
      <w:pPr>
        <w:tabs>
          <w:tab w:val="left" w:pos="851"/>
        </w:tabs>
        <w:ind w:left="851"/>
        <w:rPr>
          <w:sz w:val="24"/>
          <w:szCs w:val="24"/>
        </w:rPr>
      </w:pPr>
    </w:p>
    <w:p w14:paraId="458BAD3F" w14:textId="77777777" w:rsidR="00D87D80" w:rsidRPr="00D87D80" w:rsidRDefault="00D87D80" w:rsidP="00D87D80">
      <w:pPr>
        <w:tabs>
          <w:tab w:val="left" w:pos="851"/>
        </w:tabs>
        <w:ind w:left="851"/>
        <w:rPr>
          <w:sz w:val="24"/>
          <w:szCs w:val="24"/>
          <w:u w:val="single"/>
        </w:rPr>
      </w:pPr>
      <w:r w:rsidRPr="00D87D80">
        <w:rPr>
          <w:sz w:val="24"/>
          <w:szCs w:val="24"/>
          <w:u w:val="single"/>
        </w:rPr>
        <w:t>Nedsat leverfunktion</w:t>
      </w:r>
    </w:p>
    <w:p w14:paraId="1A82357D" w14:textId="77777777" w:rsidR="00D87D80" w:rsidRPr="00D87D80" w:rsidRDefault="00D87D80" w:rsidP="00D87D80">
      <w:pPr>
        <w:tabs>
          <w:tab w:val="left" w:pos="851"/>
        </w:tabs>
        <w:ind w:left="851"/>
        <w:rPr>
          <w:sz w:val="24"/>
          <w:szCs w:val="24"/>
        </w:rPr>
      </w:pPr>
      <w:r w:rsidRPr="00D87D80">
        <w:rPr>
          <w:sz w:val="24"/>
          <w:szCs w:val="24"/>
        </w:rPr>
        <w:t>Da isotretinoin er kontraindiceret til patienter med leverinsufficiens, er der begrænset information om isotretinoins farmakokinetik hos denne patientpopulation.</w:t>
      </w:r>
    </w:p>
    <w:p w14:paraId="104AA998" w14:textId="77777777" w:rsidR="00D87D80" w:rsidRPr="00D87D80" w:rsidRDefault="00D87D80" w:rsidP="00D87D80">
      <w:pPr>
        <w:tabs>
          <w:tab w:val="left" w:pos="851"/>
        </w:tabs>
        <w:ind w:left="851"/>
        <w:rPr>
          <w:sz w:val="24"/>
          <w:szCs w:val="24"/>
        </w:rPr>
      </w:pPr>
    </w:p>
    <w:p w14:paraId="1B58F401" w14:textId="77777777" w:rsidR="00D87D80" w:rsidRPr="00D87D80" w:rsidRDefault="00D87D80" w:rsidP="00D87D80">
      <w:pPr>
        <w:tabs>
          <w:tab w:val="left" w:pos="851"/>
        </w:tabs>
        <w:ind w:left="851"/>
        <w:rPr>
          <w:sz w:val="24"/>
          <w:szCs w:val="24"/>
          <w:u w:val="single"/>
        </w:rPr>
      </w:pPr>
      <w:r w:rsidRPr="00D87D80">
        <w:rPr>
          <w:sz w:val="24"/>
          <w:szCs w:val="24"/>
          <w:u w:val="single"/>
        </w:rPr>
        <w:t>Nedsat nyrefunktion</w:t>
      </w:r>
    </w:p>
    <w:p w14:paraId="3E957E4A" w14:textId="77777777" w:rsidR="00D87D80" w:rsidRPr="00D87D80" w:rsidRDefault="00D87D80" w:rsidP="00D87D80">
      <w:pPr>
        <w:tabs>
          <w:tab w:val="left" w:pos="851"/>
        </w:tabs>
        <w:ind w:left="851"/>
        <w:rPr>
          <w:sz w:val="24"/>
          <w:szCs w:val="24"/>
        </w:rPr>
      </w:pPr>
      <w:r w:rsidRPr="00D87D80">
        <w:rPr>
          <w:sz w:val="24"/>
          <w:szCs w:val="24"/>
        </w:rPr>
        <w:t>Nyreinsufficiens nedsætter ikke plasmaclearance af isotretinoin eller 4-oxo-isotretinoin signifikant.</w:t>
      </w:r>
    </w:p>
    <w:p w14:paraId="1F8E0DD4" w14:textId="77777777" w:rsidR="009260DE" w:rsidRPr="00C84483" w:rsidRDefault="009260DE" w:rsidP="009260DE">
      <w:pPr>
        <w:tabs>
          <w:tab w:val="left" w:pos="851"/>
        </w:tabs>
        <w:ind w:left="851"/>
        <w:rPr>
          <w:sz w:val="24"/>
          <w:szCs w:val="24"/>
        </w:rPr>
      </w:pPr>
    </w:p>
    <w:p w14:paraId="27B54161"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29887C11" w14:textId="77777777" w:rsidR="00D87D80" w:rsidRDefault="00D87D80" w:rsidP="00D87D80">
      <w:pPr>
        <w:tabs>
          <w:tab w:val="left" w:pos="851"/>
        </w:tabs>
        <w:ind w:left="851"/>
        <w:rPr>
          <w:sz w:val="24"/>
          <w:szCs w:val="24"/>
          <w:u w:val="single"/>
        </w:rPr>
      </w:pPr>
    </w:p>
    <w:p w14:paraId="7C272291" w14:textId="1D824472" w:rsidR="00D87D80" w:rsidRPr="00D87D80" w:rsidRDefault="00D87D80" w:rsidP="00D87D80">
      <w:pPr>
        <w:tabs>
          <w:tab w:val="left" w:pos="851"/>
        </w:tabs>
        <w:ind w:left="851"/>
        <w:rPr>
          <w:sz w:val="24"/>
          <w:szCs w:val="24"/>
          <w:u w:val="single"/>
        </w:rPr>
      </w:pPr>
      <w:r w:rsidRPr="00D87D80">
        <w:rPr>
          <w:sz w:val="24"/>
          <w:szCs w:val="24"/>
          <w:u w:val="single"/>
        </w:rPr>
        <w:t>Akut toksicitet</w:t>
      </w:r>
    </w:p>
    <w:p w14:paraId="04660D3D" w14:textId="77777777" w:rsidR="00D87D80" w:rsidRPr="00D87D80" w:rsidRDefault="00D87D80" w:rsidP="00D87D80">
      <w:pPr>
        <w:tabs>
          <w:tab w:val="left" w:pos="851"/>
        </w:tabs>
        <w:ind w:left="851"/>
        <w:rPr>
          <w:sz w:val="24"/>
          <w:szCs w:val="24"/>
        </w:rPr>
      </w:pPr>
      <w:r w:rsidRPr="00D87D80">
        <w:rPr>
          <w:sz w:val="24"/>
          <w:szCs w:val="24"/>
        </w:rPr>
        <w:t>Isotretinoins akutte orale toksicitet blev bestemt hos forskellige dyrearter. LD</w:t>
      </w:r>
      <w:r w:rsidRPr="00D87D80">
        <w:rPr>
          <w:sz w:val="24"/>
          <w:szCs w:val="24"/>
          <w:vertAlign w:val="subscript"/>
        </w:rPr>
        <w:t>50</w:t>
      </w:r>
      <w:r w:rsidRPr="00D87D80">
        <w:rPr>
          <w:sz w:val="24"/>
          <w:szCs w:val="24"/>
        </w:rPr>
        <w:t xml:space="preserve"> er ca. 2.000 mg/kg hos kaniner, ca. 3.000 mg/kg hos mus og over 4.000 mg/kg hos rotter.</w:t>
      </w:r>
    </w:p>
    <w:p w14:paraId="5A169AAD" w14:textId="77777777" w:rsidR="00D87D80" w:rsidRPr="00D87D80" w:rsidRDefault="00D87D80" w:rsidP="00D87D80">
      <w:pPr>
        <w:tabs>
          <w:tab w:val="left" w:pos="851"/>
        </w:tabs>
        <w:ind w:left="851"/>
        <w:rPr>
          <w:sz w:val="24"/>
          <w:szCs w:val="24"/>
        </w:rPr>
      </w:pPr>
    </w:p>
    <w:p w14:paraId="3038BD8F" w14:textId="77777777" w:rsidR="00D87D80" w:rsidRPr="00D87D80" w:rsidRDefault="00D87D80" w:rsidP="00D87D80">
      <w:pPr>
        <w:tabs>
          <w:tab w:val="left" w:pos="851"/>
        </w:tabs>
        <w:ind w:left="851"/>
        <w:rPr>
          <w:sz w:val="24"/>
          <w:szCs w:val="24"/>
          <w:u w:val="single"/>
        </w:rPr>
      </w:pPr>
      <w:r w:rsidRPr="00D87D80">
        <w:rPr>
          <w:sz w:val="24"/>
          <w:szCs w:val="24"/>
          <w:u w:val="single"/>
        </w:rPr>
        <w:t>Kronisk toksicitet</w:t>
      </w:r>
    </w:p>
    <w:p w14:paraId="0BCCE135" w14:textId="77777777" w:rsidR="00D87D80" w:rsidRPr="00D87D80" w:rsidRDefault="00D87D80" w:rsidP="00D87D80">
      <w:pPr>
        <w:tabs>
          <w:tab w:val="left" w:pos="851"/>
        </w:tabs>
        <w:ind w:left="851"/>
        <w:rPr>
          <w:sz w:val="24"/>
          <w:szCs w:val="24"/>
        </w:rPr>
      </w:pPr>
      <w:r w:rsidRPr="00D87D80">
        <w:rPr>
          <w:sz w:val="24"/>
          <w:szCs w:val="24"/>
        </w:rPr>
        <w:t xml:space="preserve">Et langtidsstudie hos rotter over 2 år (isotretinoindosis: 2, 8 og 32 mg/kg/dag) gav holdepunkter for partielt hårtab og forhøjede plasmatriglycerider i højdosisgrupperne. Isotretinoins bivirkningsprofil hos gnavere minder således meget om den for vitamin A, </w:t>
      </w:r>
      <w:r w:rsidRPr="00D87D80">
        <w:rPr>
          <w:sz w:val="24"/>
          <w:szCs w:val="24"/>
        </w:rPr>
        <w:lastRenderedPageBreak/>
        <w:t>men omfatter ikke de massive vævs- og organforkalkninger, som ses med vitamin A hos rotter. Ændringer i leverceller observeret med vitamin A opstod ikke med isotretinoin.</w:t>
      </w:r>
    </w:p>
    <w:p w14:paraId="4DE861F4" w14:textId="77777777" w:rsidR="00D87D80" w:rsidRPr="00D87D80" w:rsidRDefault="00D87D80" w:rsidP="00D87D80">
      <w:pPr>
        <w:tabs>
          <w:tab w:val="left" w:pos="851"/>
        </w:tabs>
        <w:ind w:left="851"/>
        <w:rPr>
          <w:sz w:val="24"/>
          <w:szCs w:val="24"/>
        </w:rPr>
      </w:pPr>
    </w:p>
    <w:p w14:paraId="6702B437" w14:textId="1B486318" w:rsidR="00D87D80" w:rsidRPr="00D87D80" w:rsidRDefault="00D87D80" w:rsidP="00D87D80">
      <w:pPr>
        <w:tabs>
          <w:tab w:val="left" w:pos="851"/>
        </w:tabs>
        <w:ind w:left="851"/>
        <w:rPr>
          <w:sz w:val="24"/>
          <w:szCs w:val="24"/>
        </w:rPr>
      </w:pPr>
      <w:r w:rsidRPr="00D87D80">
        <w:rPr>
          <w:sz w:val="24"/>
          <w:szCs w:val="24"/>
        </w:rPr>
        <w:t>Alle observerede bivirkninger af hypervitaminosis A syndromet var spontant reversible efter ophør med isotretinoin. Selv forsøgsdyr i dårlig almentilstand kom sig for det meste i løbet af 1-2 uger.</w:t>
      </w:r>
    </w:p>
    <w:p w14:paraId="6DC8955E" w14:textId="77777777" w:rsidR="00D87D80" w:rsidRPr="00D87D80" w:rsidRDefault="00D87D80" w:rsidP="00D87D80">
      <w:pPr>
        <w:tabs>
          <w:tab w:val="left" w:pos="851"/>
        </w:tabs>
        <w:ind w:left="851"/>
        <w:rPr>
          <w:sz w:val="24"/>
          <w:szCs w:val="24"/>
        </w:rPr>
      </w:pPr>
    </w:p>
    <w:p w14:paraId="43172CDC" w14:textId="77777777" w:rsidR="00D87D80" w:rsidRPr="00D87D80" w:rsidRDefault="00D87D80" w:rsidP="00D87D80">
      <w:pPr>
        <w:tabs>
          <w:tab w:val="left" w:pos="851"/>
        </w:tabs>
        <w:ind w:left="851"/>
        <w:rPr>
          <w:sz w:val="24"/>
          <w:szCs w:val="24"/>
          <w:u w:val="single"/>
        </w:rPr>
      </w:pPr>
      <w:r w:rsidRPr="00D87D80">
        <w:rPr>
          <w:sz w:val="24"/>
          <w:szCs w:val="24"/>
          <w:u w:val="single"/>
        </w:rPr>
        <w:t>Teratogenicitet</w:t>
      </w:r>
    </w:p>
    <w:p w14:paraId="6B20DB8C" w14:textId="77777777" w:rsidR="00D87D80" w:rsidRPr="00D87D80" w:rsidRDefault="00D87D80" w:rsidP="00D87D80">
      <w:pPr>
        <w:tabs>
          <w:tab w:val="left" w:pos="851"/>
        </w:tabs>
        <w:ind w:left="851"/>
        <w:rPr>
          <w:sz w:val="24"/>
          <w:szCs w:val="24"/>
        </w:rPr>
      </w:pPr>
      <w:r w:rsidRPr="00D87D80">
        <w:rPr>
          <w:sz w:val="24"/>
          <w:szCs w:val="24"/>
        </w:rPr>
        <w:t>Som for andre derivater af vitamin A er det vist, at isotretinoin er teratogent og embryotoksisk i dyreforsøg.</w:t>
      </w:r>
    </w:p>
    <w:p w14:paraId="66936BB7" w14:textId="77777777" w:rsidR="00D87D80" w:rsidRPr="00D87D80" w:rsidRDefault="00D87D80" w:rsidP="00D87D80">
      <w:pPr>
        <w:tabs>
          <w:tab w:val="left" w:pos="851"/>
        </w:tabs>
        <w:ind w:left="851"/>
        <w:rPr>
          <w:sz w:val="24"/>
          <w:szCs w:val="24"/>
        </w:rPr>
      </w:pPr>
    </w:p>
    <w:p w14:paraId="40982E03" w14:textId="77777777" w:rsidR="00D87D80" w:rsidRPr="00D87D80" w:rsidRDefault="00D87D80" w:rsidP="00D87D80">
      <w:pPr>
        <w:tabs>
          <w:tab w:val="left" w:pos="851"/>
        </w:tabs>
        <w:ind w:left="851"/>
        <w:rPr>
          <w:sz w:val="24"/>
          <w:szCs w:val="24"/>
        </w:rPr>
      </w:pPr>
      <w:r w:rsidRPr="00D87D80">
        <w:rPr>
          <w:sz w:val="24"/>
          <w:szCs w:val="24"/>
        </w:rPr>
        <w:t>På grund af isotretinoins teratogene potentiale, har administration til fertile kvinder terapeutiske konsekvenser (se pkt. 4.3, pkt. 4.4 og pkt. 4.6).</w:t>
      </w:r>
    </w:p>
    <w:p w14:paraId="2929FD76" w14:textId="77777777" w:rsidR="00D87D80" w:rsidRPr="00D87D80" w:rsidRDefault="00D87D80" w:rsidP="00D87D80">
      <w:pPr>
        <w:tabs>
          <w:tab w:val="left" w:pos="851"/>
        </w:tabs>
        <w:ind w:left="851"/>
        <w:rPr>
          <w:sz w:val="24"/>
          <w:szCs w:val="24"/>
        </w:rPr>
      </w:pPr>
    </w:p>
    <w:p w14:paraId="4AED5F93" w14:textId="77777777" w:rsidR="00D87D80" w:rsidRPr="00D87D80" w:rsidRDefault="00D87D80" w:rsidP="00D87D80">
      <w:pPr>
        <w:tabs>
          <w:tab w:val="left" w:pos="851"/>
        </w:tabs>
        <w:ind w:left="851"/>
        <w:rPr>
          <w:sz w:val="24"/>
          <w:szCs w:val="24"/>
          <w:u w:val="single"/>
        </w:rPr>
      </w:pPr>
      <w:r w:rsidRPr="00D87D80">
        <w:rPr>
          <w:sz w:val="24"/>
          <w:szCs w:val="24"/>
          <w:u w:val="single"/>
        </w:rPr>
        <w:t>Mutagenicitet</w:t>
      </w:r>
    </w:p>
    <w:p w14:paraId="0F785DBA" w14:textId="77777777" w:rsidR="00D87D80" w:rsidRPr="00D87D80" w:rsidRDefault="00D87D80" w:rsidP="00D87D80">
      <w:pPr>
        <w:tabs>
          <w:tab w:val="left" w:pos="851"/>
        </w:tabs>
        <w:ind w:left="851"/>
        <w:rPr>
          <w:sz w:val="24"/>
          <w:szCs w:val="24"/>
        </w:rPr>
      </w:pPr>
      <w:r w:rsidRPr="00D87D80">
        <w:rPr>
          <w:sz w:val="24"/>
          <w:szCs w:val="24"/>
        </w:rPr>
        <w:t xml:space="preserve">I dyreforsøg var isotretinoin ikke mutagent, hverken </w:t>
      </w:r>
      <w:r w:rsidRPr="00D87D80">
        <w:rPr>
          <w:i/>
          <w:iCs/>
          <w:sz w:val="24"/>
          <w:szCs w:val="24"/>
        </w:rPr>
        <w:t>in vitro</w:t>
      </w:r>
      <w:r w:rsidRPr="00D87D80">
        <w:rPr>
          <w:sz w:val="24"/>
          <w:szCs w:val="24"/>
        </w:rPr>
        <w:t xml:space="preserve"> eller </w:t>
      </w:r>
      <w:r w:rsidRPr="00D87D80">
        <w:rPr>
          <w:i/>
          <w:iCs/>
          <w:sz w:val="24"/>
          <w:szCs w:val="24"/>
        </w:rPr>
        <w:t>in vivo</w:t>
      </w:r>
      <w:r w:rsidRPr="00D87D80">
        <w:rPr>
          <w:sz w:val="24"/>
          <w:szCs w:val="24"/>
        </w:rPr>
        <w:t>.</w:t>
      </w:r>
    </w:p>
    <w:p w14:paraId="17B05B73" w14:textId="77777777" w:rsidR="00D87D80" w:rsidRPr="00D87D80" w:rsidRDefault="00D87D80" w:rsidP="00D87D80">
      <w:pPr>
        <w:tabs>
          <w:tab w:val="left" w:pos="851"/>
        </w:tabs>
        <w:ind w:left="851"/>
        <w:rPr>
          <w:sz w:val="24"/>
          <w:szCs w:val="24"/>
        </w:rPr>
      </w:pPr>
    </w:p>
    <w:p w14:paraId="63B10B10" w14:textId="77777777" w:rsidR="00D87D80" w:rsidRPr="00D87D80" w:rsidRDefault="00D87D80" w:rsidP="00D87D80">
      <w:pPr>
        <w:tabs>
          <w:tab w:val="left" w:pos="851"/>
        </w:tabs>
        <w:ind w:left="851"/>
        <w:rPr>
          <w:sz w:val="24"/>
          <w:szCs w:val="24"/>
          <w:u w:val="single"/>
        </w:rPr>
      </w:pPr>
      <w:r w:rsidRPr="00D87D80">
        <w:rPr>
          <w:sz w:val="24"/>
          <w:szCs w:val="24"/>
          <w:u w:val="single"/>
        </w:rPr>
        <w:t>Miljørisikovurdering</w:t>
      </w:r>
    </w:p>
    <w:p w14:paraId="1A025F2C" w14:textId="77777777" w:rsidR="00D87D80" w:rsidRPr="00D87D80" w:rsidRDefault="00D87D80" w:rsidP="00D87D80">
      <w:pPr>
        <w:tabs>
          <w:tab w:val="left" w:pos="851"/>
        </w:tabs>
        <w:ind w:left="851"/>
        <w:rPr>
          <w:sz w:val="24"/>
          <w:szCs w:val="24"/>
        </w:rPr>
      </w:pPr>
      <w:r w:rsidRPr="00D87D80">
        <w:rPr>
          <w:sz w:val="24"/>
          <w:szCs w:val="24"/>
        </w:rPr>
        <w:t>Undersøgelser af miljømæssige risikovurderinger har vist, at isotretinoin kan udgøre en risiko for miljøet (se pkt. 6.6).</w:t>
      </w:r>
    </w:p>
    <w:p w14:paraId="7DF41F9F" w14:textId="77777777" w:rsidR="009260DE" w:rsidRPr="00C84483" w:rsidRDefault="009260DE" w:rsidP="009260DE">
      <w:pPr>
        <w:tabs>
          <w:tab w:val="left" w:pos="851"/>
        </w:tabs>
        <w:ind w:left="851"/>
        <w:rPr>
          <w:sz w:val="24"/>
          <w:szCs w:val="24"/>
        </w:rPr>
      </w:pPr>
    </w:p>
    <w:p w14:paraId="196E0E20" w14:textId="77777777" w:rsidR="009260DE" w:rsidRPr="00C84483" w:rsidRDefault="009260DE" w:rsidP="009260DE">
      <w:pPr>
        <w:tabs>
          <w:tab w:val="left" w:pos="851"/>
        </w:tabs>
        <w:ind w:left="851"/>
        <w:rPr>
          <w:sz w:val="24"/>
          <w:szCs w:val="24"/>
        </w:rPr>
      </w:pPr>
    </w:p>
    <w:p w14:paraId="2E20A2BD"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35100095" w14:textId="77777777" w:rsidR="009260DE" w:rsidRPr="00BA09F1" w:rsidRDefault="009260DE" w:rsidP="009260DE">
      <w:pPr>
        <w:tabs>
          <w:tab w:val="left" w:pos="851"/>
        </w:tabs>
        <w:ind w:left="851"/>
        <w:rPr>
          <w:sz w:val="24"/>
          <w:szCs w:val="24"/>
        </w:rPr>
      </w:pPr>
    </w:p>
    <w:p w14:paraId="41F31864"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499070EB" w14:textId="77777777" w:rsidR="00D87D80" w:rsidRDefault="00D87D80" w:rsidP="00D87D80">
      <w:pPr>
        <w:tabs>
          <w:tab w:val="left" w:pos="851"/>
        </w:tabs>
        <w:ind w:left="851"/>
        <w:rPr>
          <w:bCs/>
          <w:sz w:val="24"/>
          <w:szCs w:val="24"/>
          <w:u w:val="single"/>
        </w:rPr>
      </w:pPr>
    </w:p>
    <w:p w14:paraId="53D4CE21" w14:textId="6CDF3210" w:rsidR="00D87D80" w:rsidRPr="00D87D80" w:rsidRDefault="00D87D80" w:rsidP="00D87D80">
      <w:pPr>
        <w:tabs>
          <w:tab w:val="left" w:pos="851"/>
        </w:tabs>
        <w:ind w:left="851"/>
        <w:rPr>
          <w:bCs/>
          <w:sz w:val="24"/>
          <w:szCs w:val="24"/>
          <w:u w:val="single"/>
        </w:rPr>
      </w:pPr>
      <w:r w:rsidRPr="00D87D80">
        <w:rPr>
          <w:bCs/>
          <w:sz w:val="24"/>
          <w:szCs w:val="24"/>
          <w:u w:val="single"/>
        </w:rPr>
        <w:t>Kapselfyld</w:t>
      </w:r>
    </w:p>
    <w:p w14:paraId="25F4B34A" w14:textId="77777777" w:rsidR="00D87D80" w:rsidRPr="00D87D80" w:rsidRDefault="00D87D80" w:rsidP="00D87D80">
      <w:pPr>
        <w:tabs>
          <w:tab w:val="left" w:pos="851"/>
        </w:tabs>
        <w:ind w:left="851"/>
        <w:rPr>
          <w:bCs/>
          <w:sz w:val="24"/>
          <w:szCs w:val="24"/>
        </w:rPr>
      </w:pPr>
      <w:r w:rsidRPr="00D87D80">
        <w:rPr>
          <w:bCs/>
          <w:sz w:val="24"/>
          <w:szCs w:val="24"/>
        </w:rPr>
        <w:t>Sojaolie, renset</w:t>
      </w:r>
    </w:p>
    <w:p w14:paraId="378ED58E" w14:textId="77777777" w:rsidR="00D87D80" w:rsidRPr="00D87D80" w:rsidRDefault="00D87D80" w:rsidP="00D87D80">
      <w:pPr>
        <w:tabs>
          <w:tab w:val="left" w:pos="851"/>
        </w:tabs>
        <w:ind w:left="851"/>
        <w:rPr>
          <w:bCs/>
          <w:sz w:val="24"/>
          <w:szCs w:val="24"/>
        </w:rPr>
      </w:pPr>
      <w:r w:rsidRPr="00D87D80">
        <w:rPr>
          <w:bCs/>
          <w:sz w:val="24"/>
          <w:szCs w:val="24"/>
        </w:rPr>
        <w:t>Bivoks, gul</w:t>
      </w:r>
    </w:p>
    <w:p w14:paraId="7DA380D9" w14:textId="77777777" w:rsidR="00D87D80" w:rsidRPr="00D87D80" w:rsidRDefault="00D87D80" w:rsidP="00D87D80">
      <w:pPr>
        <w:tabs>
          <w:tab w:val="left" w:pos="851"/>
        </w:tabs>
        <w:ind w:left="851"/>
        <w:rPr>
          <w:bCs/>
          <w:sz w:val="24"/>
          <w:szCs w:val="24"/>
        </w:rPr>
      </w:pPr>
      <w:r w:rsidRPr="00D87D80">
        <w:rPr>
          <w:bCs/>
          <w:sz w:val="24"/>
          <w:szCs w:val="24"/>
        </w:rPr>
        <w:t>Sojaolie, hydrogeneret</w:t>
      </w:r>
    </w:p>
    <w:p w14:paraId="049303FD" w14:textId="77777777" w:rsidR="00D87D80" w:rsidRPr="00D87D80" w:rsidRDefault="00D87D80" w:rsidP="00D87D80">
      <w:pPr>
        <w:tabs>
          <w:tab w:val="left" w:pos="851"/>
        </w:tabs>
        <w:ind w:left="851"/>
        <w:rPr>
          <w:bCs/>
          <w:sz w:val="24"/>
          <w:szCs w:val="24"/>
        </w:rPr>
      </w:pPr>
      <w:r w:rsidRPr="00D87D80">
        <w:rPr>
          <w:bCs/>
          <w:sz w:val="24"/>
          <w:szCs w:val="24"/>
        </w:rPr>
        <w:t>Hydrogeneret vegetabilsk olie</w:t>
      </w:r>
    </w:p>
    <w:p w14:paraId="170CBDD4" w14:textId="77777777" w:rsidR="00D87D80" w:rsidRPr="00D87D80" w:rsidRDefault="00D87D80" w:rsidP="00D87D80">
      <w:pPr>
        <w:tabs>
          <w:tab w:val="left" w:pos="851"/>
        </w:tabs>
        <w:ind w:left="851"/>
        <w:rPr>
          <w:bCs/>
          <w:sz w:val="24"/>
          <w:szCs w:val="24"/>
        </w:rPr>
      </w:pPr>
    </w:p>
    <w:p w14:paraId="5EDB3B57" w14:textId="77777777" w:rsidR="00D87D80" w:rsidRPr="00D87D80" w:rsidRDefault="00D87D80" w:rsidP="00D87D80">
      <w:pPr>
        <w:tabs>
          <w:tab w:val="left" w:pos="851"/>
        </w:tabs>
        <w:ind w:left="851"/>
        <w:rPr>
          <w:bCs/>
          <w:sz w:val="24"/>
          <w:szCs w:val="24"/>
          <w:u w:val="single"/>
        </w:rPr>
      </w:pPr>
      <w:r w:rsidRPr="00D87D80">
        <w:rPr>
          <w:bCs/>
          <w:sz w:val="24"/>
          <w:szCs w:val="24"/>
          <w:u w:val="single"/>
        </w:rPr>
        <w:t>Kapselskal</w:t>
      </w:r>
    </w:p>
    <w:p w14:paraId="1B8063D5" w14:textId="77777777" w:rsidR="00D87D80" w:rsidRPr="00D87D80" w:rsidRDefault="00D87D80" w:rsidP="00D87D80">
      <w:pPr>
        <w:tabs>
          <w:tab w:val="left" w:pos="851"/>
        </w:tabs>
        <w:ind w:left="851"/>
        <w:rPr>
          <w:bCs/>
          <w:sz w:val="24"/>
          <w:szCs w:val="24"/>
        </w:rPr>
      </w:pPr>
      <w:r w:rsidRPr="00D87D80">
        <w:rPr>
          <w:bCs/>
          <w:sz w:val="24"/>
          <w:szCs w:val="24"/>
        </w:rPr>
        <w:t>Gelatine</w:t>
      </w:r>
    </w:p>
    <w:p w14:paraId="27829316" w14:textId="77777777" w:rsidR="00D87D80" w:rsidRPr="00D87D80" w:rsidRDefault="00D87D80" w:rsidP="00D87D80">
      <w:pPr>
        <w:tabs>
          <w:tab w:val="left" w:pos="851"/>
        </w:tabs>
        <w:ind w:left="851"/>
        <w:rPr>
          <w:bCs/>
          <w:sz w:val="24"/>
          <w:szCs w:val="24"/>
        </w:rPr>
      </w:pPr>
      <w:r w:rsidRPr="00D87D80">
        <w:rPr>
          <w:bCs/>
          <w:sz w:val="24"/>
          <w:szCs w:val="24"/>
        </w:rPr>
        <w:t>Glycerol</w:t>
      </w:r>
    </w:p>
    <w:p w14:paraId="57516904" w14:textId="77777777" w:rsidR="00D87D80" w:rsidRPr="00D87D80" w:rsidRDefault="00D87D80" w:rsidP="00D87D80">
      <w:pPr>
        <w:tabs>
          <w:tab w:val="left" w:pos="851"/>
        </w:tabs>
        <w:ind w:left="851"/>
        <w:rPr>
          <w:bCs/>
          <w:sz w:val="24"/>
          <w:szCs w:val="24"/>
        </w:rPr>
      </w:pPr>
      <w:r w:rsidRPr="00D87D80">
        <w:rPr>
          <w:bCs/>
          <w:sz w:val="24"/>
          <w:szCs w:val="24"/>
        </w:rPr>
        <w:t>Titandioxid (E171)</w:t>
      </w:r>
    </w:p>
    <w:p w14:paraId="693696DE" w14:textId="77777777" w:rsidR="00D87D80" w:rsidRPr="00D87D80" w:rsidRDefault="00D87D80" w:rsidP="00D87D80">
      <w:pPr>
        <w:tabs>
          <w:tab w:val="left" w:pos="851"/>
        </w:tabs>
        <w:ind w:left="851"/>
        <w:rPr>
          <w:bCs/>
          <w:sz w:val="24"/>
          <w:szCs w:val="24"/>
        </w:rPr>
      </w:pPr>
      <w:r w:rsidRPr="00D87D80">
        <w:rPr>
          <w:bCs/>
          <w:sz w:val="24"/>
          <w:szCs w:val="24"/>
        </w:rPr>
        <w:t>Rød jernoxid (E172)</w:t>
      </w:r>
    </w:p>
    <w:p w14:paraId="6E46A95F" w14:textId="77777777" w:rsidR="00D87D80" w:rsidRPr="00D87D80" w:rsidRDefault="00D87D80" w:rsidP="00D87D80">
      <w:pPr>
        <w:tabs>
          <w:tab w:val="left" w:pos="851"/>
        </w:tabs>
        <w:ind w:left="851"/>
        <w:rPr>
          <w:bCs/>
          <w:sz w:val="24"/>
          <w:szCs w:val="24"/>
        </w:rPr>
      </w:pPr>
      <w:r w:rsidRPr="00D87D80">
        <w:rPr>
          <w:bCs/>
          <w:sz w:val="24"/>
          <w:szCs w:val="24"/>
        </w:rPr>
        <w:t>Gul jernoxid (E172)</w:t>
      </w:r>
    </w:p>
    <w:p w14:paraId="3B849C15" w14:textId="77777777" w:rsidR="009260DE" w:rsidRPr="00C84483" w:rsidRDefault="009260DE" w:rsidP="009260DE">
      <w:pPr>
        <w:tabs>
          <w:tab w:val="left" w:pos="851"/>
        </w:tabs>
        <w:ind w:left="851"/>
        <w:rPr>
          <w:sz w:val="24"/>
          <w:szCs w:val="24"/>
        </w:rPr>
      </w:pPr>
    </w:p>
    <w:p w14:paraId="6964A70C"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79D1D8A8" w14:textId="77777777" w:rsidR="00D87D80" w:rsidRPr="00D87D80" w:rsidRDefault="00D87D80" w:rsidP="00D87D80">
      <w:pPr>
        <w:tabs>
          <w:tab w:val="left" w:pos="851"/>
        </w:tabs>
        <w:ind w:left="851"/>
        <w:rPr>
          <w:sz w:val="24"/>
          <w:szCs w:val="24"/>
        </w:rPr>
      </w:pPr>
      <w:r w:rsidRPr="00D87D80">
        <w:rPr>
          <w:sz w:val="24"/>
          <w:szCs w:val="24"/>
        </w:rPr>
        <w:t>Ikke relevant.</w:t>
      </w:r>
    </w:p>
    <w:p w14:paraId="44C45E8B" w14:textId="77777777" w:rsidR="009260DE" w:rsidRPr="00C84483" w:rsidRDefault="009260DE" w:rsidP="009260DE">
      <w:pPr>
        <w:tabs>
          <w:tab w:val="left" w:pos="851"/>
        </w:tabs>
        <w:ind w:left="851"/>
        <w:rPr>
          <w:sz w:val="24"/>
          <w:szCs w:val="24"/>
        </w:rPr>
      </w:pPr>
    </w:p>
    <w:p w14:paraId="3C6BD8FB"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106FF0E6" w14:textId="4753588B" w:rsidR="009260DE" w:rsidRPr="00D87D80" w:rsidRDefault="00D87D80" w:rsidP="00D87D80">
      <w:pPr>
        <w:tabs>
          <w:tab w:val="left" w:pos="851"/>
        </w:tabs>
        <w:ind w:left="851"/>
        <w:rPr>
          <w:bCs/>
          <w:sz w:val="24"/>
          <w:szCs w:val="24"/>
        </w:rPr>
      </w:pPr>
      <w:r w:rsidRPr="00D87D80">
        <w:rPr>
          <w:bCs/>
          <w:sz w:val="24"/>
          <w:szCs w:val="24"/>
        </w:rPr>
        <w:t>3 år</w:t>
      </w:r>
      <w:r>
        <w:rPr>
          <w:bCs/>
          <w:sz w:val="24"/>
          <w:szCs w:val="24"/>
        </w:rPr>
        <w:t>.</w:t>
      </w:r>
    </w:p>
    <w:p w14:paraId="3179679F" w14:textId="77777777" w:rsidR="009260DE" w:rsidRPr="00C84483" w:rsidRDefault="009260DE" w:rsidP="009260DE">
      <w:pPr>
        <w:tabs>
          <w:tab w:val="left" w:pos="851"/>
        </w:tabs>
        <w:ind w:left="851"/>
        <w:rPr>
          <w:sz w:val="24"/>
          <w:szCs w:val="24"/>
        </w:rPr>
      </w:pPr>
    </w:p>
    <w:p w14:paraId="1988FDDB"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25D3311E" w14:textId="77777777" w:rsidR="00D87D80" w:rsidRPr="00D87D80" w:rsidRDefault="00D87D80" w:rsidP="00D87D80">
      <w:pPr>
        <w:tabs>
          <w:tab w:val="left" w:pos="851"/>
        </w:tabs>
        <w:ind w:left="851"/>
        <w:rPr>
          <w:bCs/>
          <w:sz w:val="24"/>
          <w:szCs w:val="24"/>
        </w:rPr>
      </w:pPr>
      <w:r w:rsidRPr="00D87D80">
        <w:rPr>
          <w:bCs/>
          <w:sz w:val="24"/>
          <w:szCs w:val="24"/>
        </w:rPr>
        <w:t>Må ikke opbevares ved temperaturer over 30 °C.</w:t>
      </w:r>
    </w:p>
    <w:p w14:paraId="32101C5F" w14:textId="77777777" w:rsidR="00D87D80" w:rsidRPr="00D87D80" w:rsidRDefault="00D87D80" w:rsidP="00D87D80">
      <w:pPr>
        <w:tabs>
          <w:tab w:val="left" w:pos="851"/>
        </w:tabs>
        <w:ind w:left="851"/>
        <w:rPr>
          <w:sz w:val="24"/>
          <w:szCs w:val="24"/>
        </w:rPr>
      </w:pPr>
      <w:r w:rsidRPr="00D87D80">
        <w:rPr>
          <w:sz w:val="24"/>
          <w:szCs w:val="24"/>
        </w:rPr>
        <w:t>Opbevares i den originale yderpakning for at beskytte mod fugt og lys.</w:t>
      </w:r>
    </w:p>
    <w:p w14:paraId="2E56E4D3" w14:textId="0F6BE516" w:rsidR="00D87D80" w:rsidRDefault="00D87D80">
      <w:pPr>
        <w:rPr>
          <w:sz w:val="24"/>
          <w:szCs w:val="24"/>
        </w:rPr>
      </w:pPr>
      <w:r>
        <w:rPr>
          <w:sz w:val="24"/>
          <w:szCs w:val="24"/>
        </w:rPr>
        <w:br w:type="page"/>
      </w:r>
    </w:p>
    <w:p w14:paraId="39404440" w14:textId="77777777" w:rsidR="009260DE" w:rsidRPr="00C84483" w:rsidRDefault="009260DE" w:rsidP="009260DE">
      <w:pPr>
        <w:tabs>
          <w:tab w:val="left" w:pos="851"/>
        </w:tabs>
        <w:ind w:left="851"/>
        <w:rPr>
          <w:sz w:val="24"/>
          <w:szCs w:val="24"/>
        </w:rPr>
      </w:pPr>
    </w:p>
    <w:p w14:paraId="56952E38"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13E6A38D" w14:textId="77777777" w:rsidR="00D87D80" w:rsidRDefault="00D87D80" w:rsidP="00D87D80">
      <w:pPr>
        <w:tabs>
          <w:tab w:val="left" w:pos="851"/>
        </w:tabs>
        <w:ind w:left="851"/>
        <w:rPr>
          <w:sz w:val="24"/>
          <w:szCs w:val="24"/>
        </w:rPr>
      </w:pPr>
      <w:r w:rsidRPr="00D87D80">
        <w:rPr>
          <w:sz w:val="24"/>
          <w:szCs w:val="24"/>
        </w:rPr>
        <w:t>PVC/PE/PVDC aluminium blisterpakning</w:t>
      </w:r>
      <w:r>
        <w:rPr>
          <w:sz w:val="24"/>
          <w:szCs w:val="24"/>
        </w:rPr>
        <w:t>.</w:t>
      </w:r>
    </w:p>
    <w:p w14:paraId="02AC5D4B" w14:textId="77777777" w:rsidR="00D87D80" w:rsidRDefault="00D87D80" w:rsidP="00D87D80">
      <w:pPr>
        <w:tabs>
          <w:tab w:val="left" w:pos="851"/>
        </w:tabs>
        <w:ind w:left="851"/>
        <w:rPr>
          <w:sz w:val="24"/>
          <w:szCs w:val="24"/>
        </w:rPr>
      </w:pPr>
    </w:p>
    <w:p w14:paraId="1BF7AEEC" w14:textId="08FC9ED5" w:rsidR="00D87D80" w:rsidRPr="00D87D80" w:rsidRDefault="00D87D80" w:rsidP="00D87D80">
      <w:pPr>
        <w:tabs>
          <w:tab w:val="left" w:pos="851"/>
        </w:tabs>
        <w:ind w:left="851"/>
        <w:rPr>
          <w:sz w:val="24"/>
          <w:szCs w:val="24"/>
        </w:rPr>
      </w:pPr>
      <w:r>
        <w:rPr>
          <w:sz w:val="24"/>
          <w:szCs w:val="24"/>
        </w:rPr>
        <w:t xml:space="preserve">Pakningsstørrelser: </w:t>
      </w:r>
      <w:r w:rsidRPr="00D87D80">
        <w:rPr>
          <w:sz w:val="24"/>
          <w:szCs w:val="24"/>
        </w:rPr>
        <w:t>30, 50, 60 og 100 kapsler</w:t>
      </w:r>
      <w:r>
        <w:rPr>
          <w:sz w:val="24"/>
          <w:szCs w:val="24"/>
        </w:rPr>
        <w:t>.</w:t>
      </w:r>
    </w:p>
    <w:p w14:paraId="07FE5EE4" w14:textId="77777777" w:rsidR="00D87D80" w:rsidRPr="00D87D80" w:rsidRDefault="00D87D80" w:rsidP="00D87D80">
      <w:pPr>
        <w:tabs>
          <w:tab w:val="left" w:pos="851"/>
        </w:tabs>
        <w:ind w:left="851"/>
        <w:rPr>
          <w:sz w:val="24"/>
          <w:szCs w:val="24"/>
        </w:rPr>
      </w:pPr>
    </w:p>
    <w:p w14:paraId="448B0B6C" w14:textId="77777777" w:rsidR="00D87D80" w:rsidRPr="00D87D80" w:rsidRDefault="00D87D80" w:rsidP="00D87D80">
      <w:pPr>
        <w:tabs>
          <w:tab w:val="left" w:pos="851"/>
        </w:tabs>
        <w:ind w:left="851"/>
        <w:rPr>
          <w:sz w:val="24"/>
          <w:szCs w:val="24"/>
        </w:rPr>
      </w:pPr>
      <w:r w:rsidRPr="00D87D80">
        <w:rPr>
          <w:sz w:val="24"/>
          <w:szCs w:val="24"/>
        </w:rPr>
        <w:t>Ikke alle pakningsstørrelser er nødvendigvis markedsført.</w:t>
      </w:r>
    </w:p>
    <w:p w14:paraId="0B6985FB" w14:textId="77777777" w:rsidR="009260DE" w:rsidRPr="00C84483" w:rsidRDefault="009260DE" w:rsidP="009260DE">
      <w:pPr>
        <w:tabs>
          <w:tab w:val="left" w:pos="851"/>
        </w:tabs>
        <w:ind w:left="851"/>
        <w:rPr>
          <w:sz w:val="24"/>
          <w:szCs w:val="24"/>
        </w:rPr>
      </w:pPr>
    </w:p>
    <w:p w14:paraId="6A459824"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5C29B606" w14:textId="77777777" w:rsidR="00D87D80" w:rsidRPr="00D87D80" w:rsidRDefault="00D87D80" w:rsidP="00D87D80">
      <w:pPr>
        <w:tabs>
          <w:tab w:val="left" w:pos="851"/>
        </w:tabs>
        <w:ind w:left="851"/>
        <w:rPr>
          <w:sz w:val="24"/>
          <w:szCs w:val="24"/>
        </w:rPr>
      </w:pPr>
      <w:r w:rsidRPr="00D87D80">
        <w:rPr>
          <w:sz w:val="24"/>
          <w:szCs w:val="24"/>
        </w:rPr>
        <w:t>Dette lægemiddel kan udgøre en risiko for miljøet (se pkt. 5.3).</w:t>
      </w:r>
    </w:p>
    <w:p w14:paraId="4738E5BC" w14:textId="77777777" w:rsidR="00D87D80" w:rsidRPr="00D87D80" w:rsidRDefault="00D87D80" w:rsidP="00D87D80">
      <w:pPr>
        <w:tabs>
          <w:tab w:val="left" w:pos="851"/>
        </w:tabs>
        <w:ind w:left="851"/>
        <w:rPr>
          <w:sz w:val="24"/>
          <w:szCs w:val="24"/>
        </w:rPr>
      </w:pPr>
    </w:p>
    <w:p w14:paraId="6CD24A2A" w14:textId="77777777" w:rsidR="00D87D80" w:rsidRPr="00D87D80" w:rsidRDefault="00D87D80" w:rsidP="00D87D80">
      <w:pPr>
        <w:tabs>
          <w:tab w:val="left" w:pos="851"/>
        </w:tabs>
        <w:ind w:left="851"/>
        <w:rPr>
          <w:sz w:val="24"/>
          <w:szCs w:val="24"/>
        </w:rPr>
      </w:pPr>
      <w:r w:rsidRPr="00D87D80">
        <w:rPr>
          <w:sz w:val="24"/>
          <w:szCs w:val="24"/>
        </w:rPr>
        <w:t>Ikke anvendt lægemiddel samt affald heraf skal bortskaffes i henhold til lokale retningslinjer.</w:t>
      </w:r>
    </w:p>
    <w:p w14:paraId="6402B773" w14:textId="77777777" w:rsidR="009260DE" w:rsidRPr="00C84483" w:rsidRDefault="009260DE" w:rsidP="000730CA">
      <w:pPr>
        <w:tabs>
          <w:tab w:val="left" w:pos="851"/>
        </w:tabs>
        <w:ind w:left="851"/>
        <w:rPr>
          <w:sz w:val="24"/>
          <w:szCs w:val="24"/>
        </w:rPr>
      </w:pPr>
    </w:p>
    <w:p w14:paraId="5744A226"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03DDCC29" w14:textId="77777777" w:rsidR="00D87D80" w:rsidRPr="00D87D80" w:rsidRDefault="00D87D80" w:rsidP="00D87D80">
      <w:pPr>
        <w:tabs>
          <w:tab w:val="left" w:pos="851"/>
        </w:tabs>
        <w:ind w:left="851"/>
        <w:rPr>
          <w:sz w:val="24"/>
          <w:szCs w:val="24"/>
        </w:rPr>
      </w:pPr>
      <w:r w:rsidRPr="00D87D80">
        <w:rPr>
          <w:sz w:val="24"/>
          <w:szCs w:val="24"/>
        </w:rPr>
        <w:t>Pharmathen S.A.</w:t>
      </w:r>
    </w:p>
    <w:p w14:paraId="6EEDE4C8" w14:textId="77777777" w:rsidR="00D87D80" w:rsidRPr="00D87D80" w:rsidRDefault="00D87D80" w:rsidP="00D87D80">
      <w:pPr>
        <w:tabs>
          <w:tab w:val="left" w:pos="851"/>
        </w:tabs>
        <w:ind w:left="851"/>
        <w:rPr>
          <w:sz w:val="24"/>
          <w:szCs w:val="24"/>
        </w:rPr>
      </w:pPr>
      <w:r w:rsidRPr="00D87D80">
        <w:rPr>
          <w:sz w:val="24"/>
          <w:szCs w:val="24"/>
        </w:rPr>
        <w:t>6, Dervenakion str.</w:t>
      </w:r>
    </w:p>
    <w:p w14:paraId="376ECD16" w14:textId="77777777" w:rsidR="00D87D80" w:rsidRPr="00D87D80" w:rsidRDefault="00D87D80" w:rsidP="00D87D80">
      <w:pPr>
        <w:tabs>
          <w:tab w:val="left" w:pos="851"/>
        </w:tabs>
        <w:ind w:left="851"/>
        <w:rPr>
          <w:sz w:val="24"/>
          <w:szCs w:val="24"/>
        </w:rPr>
      </w:pPr>
      <w:r w:rsidRPr="00D87D80">
        <w:rPr>
          <w:sz w:val="24"/>
          <w:szCs w:val="24"/>
        </w:rPr>
        <w:t>153 51 Pallini Attikis</w:t>
      </w:r>
    </w:p>
    <w:p w14:paraId="30BE855B" w14:textId="77777777" w:rsidR="00D87D80" w:rsidRPr="00D87D80" w:rsidRDefault="00D87D80" w:rsidP="00D87D80">
      <w:pPr>
        <w:tabs>
          <w:tab w:val="left" w:pos="851"/>
        </w:tabs>
        <w:ind w:left="851"/>
        <w:rPr>
          <w:sz w:val="24"/>
          <w:szCs w:val="24"/>
        </w:rPr>
      </w:pPr>
      <w:r w:rsidRPr="00D87D80">
        <w:rPr>
          <w:sz w:val="24"/>
          <w:szCs w:val="24"/>
        </w:rPr>
        <w:t>Grækenland</w:t>
      </w:r>
    </w:p>
    <w:p w14:paraId="072D7148" w14:textId="77777777" w:rsidR="00641C65" w:rsidRPr="00641C65" w:rsidRDefault="00641C65" w:rsidP="009260DE">
      <w:pPr>
        <w:tabs>
          <w:tab w:val="left" w:pos="851"/>
        </w:tabs>
        <w:ind w:left="851"/>
        <w:rPr>
          <w:sz w:val="24"/>
          <w:szCs w:val="24"/>
        </w:rPr>
      </w:pPr>
    </w:p>
    <w:p w14:paraId="755F7C05"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066C4A55" w14:textId="17C72137" w:rsidR="00D87D80" w:rsidRPr="00D87D80" w:rsidRDefault="00D87D80" w:rsidP="00D87D80">
      <w:pPr>
        <w:tabs>
          <w:tab w:val="left" w:pos="851"/>
        </w:tabs>
        <w:ind w:left="851"/>
        <w:jc w:val="both"/>
        <w:rPr>
          <w:sz w:val="24"/>
          <w:szCs w:val="24"/>
        </w:rPr>
      </w:pPr>
      <w:r w:rsidRPr="00D87D80">
        <w:rPr>
          <w:sz w:val="24"/>
          <w:szCs w:val="24"/>
        </w:rPr>
        <w:t>10 mg:</w:t>
      </w:r>
      <w:r>
        <w:rPr>
          <w:sz w:val="24"/>
          <w:szCs w:val="24"/>
        </w:rPr>
        <w:t xml:space="preserve"> 73039</w:t>
      </w:r>
    </w:p>
    <w:p w14:paraId="036C4206" w14:textId="4519F28E" w:rsidR="00D87D80" w:rsidRPr="00D87D80" w:rsidRDefault="00D87D80" w:rsidP="00D87D80">
      <w:pPr>
        <w:tabs>
          <w:tab w:val="left" w:pos="851"/>
        </w:tabs>
        <w:ind w:left="851"/>
        <w:jc w:val="both"/>
        <w:rPr>
          <w:sz w:val="24"/>
          <w:szCs w:val="24"/>
        </w:rPr>
      </w:pPr>
      <w:r w:rsidRPr="00D87D80">
        <w:rPr>
          <w:sz w:val="24"/>
          <w:szCs w:val="24"/>
        </w:rPr>
        <w:t xml:space="preserve">20 mg: </w:t>
      </w:r>
      <w:r>
        <w:rPr>
          <w:sz w:val="24"/>
          <w:szCs w:val="24"/>
        </w:rPr>
        <w:t>73040</w:t>
      </w:r>
    </w:p>
    <w:p w14:paraId="206D5778" w14:textId="77777777" w:rsidR="009260DE" w:rsidRPr="00C84483" w:rsidRDefault="009260DE" w:rsidP="009260DE">
      <w:pPr>
        <w:tabs>
          <w:tab w:val="left" w:pos="851"/>
        </w:tabs>
        <w:ind w:left="851"/>
        <w:jc w:val="both"/>
        <w:rPr>
          <w:sz w:val="24"/>
          <w:szCs w:val="24"/>
        </w:rPr>
      </w:pPr>
    </w:p>
    <w:p w14:paraId="1DC1492C"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1B20E7C4" w14:textId="6DB85063" w:rsidR="009260DE" w:rsidRPr="00C84483" w:rsidRDefault="002A21A1" w:rsidP="009260DE">
      <w:pPr>
        <w:tabs>
          <w:tab w:val="left" w:pos="851"/>
        </w:tabs>
        <w:ind w:left="851"/>
        <w:rPr>
          <w:sz w:val="24"/>
          <w:szCs w:val="24"/>
        </w:rPr>
      </w:pPr>
      <w:r>
        <w:rPr>
          <w:sz w:val="24"/>
          <w:szCs w:val="24"/>
        </w:rPr>
        <w:t>9. oktober 2026</w:t>
      </w:r>
    </w:p>
    <w:p w14:paraId="58680851" w14:textId="77777777" w:rsidR="009260DE" w:rsidRPr="00C84483" w:rsidRDefault="009260DE" w:rsidP="009260DE">
      <w:pPr>
        <w:tabs>
          <w:tab w:val="left" w:pos="851"/>
        </w:tabs>
        <w:ind w:left="851"/>
        <w:rPr>
          <w:sz w:val="24"/>
          <w:szCs w:val="24"/>
        </w:rPr>
      </w:pPr>
    </w:p>
    <w:p w14:paraId="2A13FB85"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5BA4ECF7" w14:textId="6C2EC247" w:rsidR="009260DE" w:rsidRPr="00C84483" w:rsidRDefault="00D87D80"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31B08" w14:textId="77777777" w:rsidR="00DF49A7" w:rsidRDefault="00DF49A7">
      <w:r>
        <w:separator/>
      </w:r>
    </w:p>
  </w:endnote>
  <w:endnote w:type="continuationSeparator" w:id="0">
    <w:p w14:paraId="41FC0338" w14:textId="77777777" w:rsidR="00DF49A7" w:rsidRDefault="00DF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DA901" w14:textId="77777777" w:rsidR="000259B9" w:rsidRDefault="000259B9">
    <w:pPr>
      <w:pStyle w:val="Sidefod"/>
      <w:pBdr>
        <w:bottom w:val="single" w:sz="6" w:space="1" w:color="auto"/>
      </w:pBdr>
    </w:pPr>
  </w:p>
  <w:p w14:paraId="2E196BB9" w14:textId="77777777" w:rsidR="000259B9" w:rsidRDefault="000259B9" w:rsidP="00C42586">
    <w:pPr>
      <w:pStyle w:val="Sidefod"/>
      <w:tabs>
        <w:tab w:val="clear" w:pos="4819"/>
        <w:tab w:val="left" w:pos="8505"/>
      </w:tabs>
      <w:rPr>
        <w:i/>
        <w:sz w:val="18"/>
        <w:szCs w:val="18"/>
      </w:rPr>
    </w:pPr>
  </w:p>
  <w:p w14:paraId="20466250" w14:textId="76360CAA"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615BEE">
      <w:rPr>
        <w:i/>
        <w:noProof/>
        <w:sz w:val="18"/>
        <w:szCs w:val="18"/>
      </w:rPr>
      <w:t>Isotretinoin Pharmathen, bløde kapsler 10 mg og 20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A9B52" w14:textId="77777777" w:rsidR="00DF49A7" w:rsidRDefault="00DF49A7">
      <w:r>
        <w:separator/>
      </w:r>
    </w:p>
  </w:footnote>
  <w:footnote w:type="continuationSeparator" w:id="0">
    <w:p w14:paraId="01CA4CB4" w14:textId="77777777" w:rsidR="00DF49A7" w:rsidRDefault="00DF4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0685097"/>
    <w:multiLevelType w:val="hybridMultilevel"/>
    <w:tmpl w:val="244A95AC"/>
    <w:lvl w:ilvl="0" w:tplc="04090001">
      <w:start w:val="1"/>
      <w:numFmt w:val="bullet"/>
      <w:lvlText w:val=""/>
      <w:lvlJc w:val="left"/>
      <w:pPr>
        <w:ind w:left="1574" w:hanging="360"/>
      </w:pPr>
      <w:rPr>
        <w:rFonts w:ascii="Symbol" w:hAnsi="Symbol" w:hint="default"/>
      </w:rPr>
    </w:lvl>
    <w:lvl w:ilvl="1" w:tplc="04090003">
      <w:start w:val="1"/>
      <w:numFmt w:val="bullet"/>
      <w:lvlText w:val="o"/>
      <w:lvlJc w:val="left"/>
      <w:pPr>
        <w:ind w:left="2294" w:hanging="360"/>
      </w:pPr>
      <w:rPr>
        <w:rFonts w:ascii="Courier New" w:hAnsi="Courier New" w:cs="Courier New" w:hint="default"/>
      </w:rPr>
    </w:lvl>
    <w:lvl w:ilvl="2" w:tplc="04090005">
      <w:start w:val="1"/>
      <w:numFmt w:val="bullet"/>
      <w:lvlText w:val=""/>
      <w:lvlJc w:val="left"/>
      <w:pPr>
        <w:ind w:left="3014" w:hanging="360"/>
      </w:pPr>
      <w:rPr>
        <w:rFonts w:ascii="Wingdings" w:hAnsi="Wingdings" w:hint="default"/>
      </w:rPr>
    </w:lvl>
    <w:lvl w:ilvl="3" w:tplc="04090001">
      <w:start w:val="1"/>
      <w:numFmt w:val="bullet"/>
      <w:lvlText w:val=""/>
      <w:lvlJc w:val="left"/>
      <w:pPr>
        <w:ind w:left="3734" w:hanging="360"/>
      </w:pPr>
      <w:rPr>
        <w:rFonts w:ascii="Symbol" w:hAnsi="Symbol" w:hint="default"/>
      </w:rPr>
    </w:lvl>
    <w:lvl w:ilvl="4" w:tplc="04090003">
      <w:start w:val="1"/>
      <w:numFmt w:val="bullet"/>
      <w:lvlText w:val="o"/>
      <w:lvlJc w:val="left"/>
      <w:pPr>
        <w:ind w:left="4454" w:hanging="360"/>
      </w:pPr>
      <w:rPr>
        <w:rFonts w:ascii="Courier New" w:hAnsi="Courier New" w:cs="Courier New" w:hint="default"/>
      </w:rPr>
    </w:lvl>
    <w:lvl w:ilvl="5" w:tplc="04090005">
      <w:start w:val="1"/>
      <w:numFmt w:val="bullet"/>
      <w:lvlText w:val=""/>
      <w:lvlJc w:val="left"/>
      <w:pPr>
        <w:ind w:left="5174" w:hanging="360"/>
      </w:pPr>
      <w:rPr>
        <w:rFonts w:ascii="Wingdings" w:hAnsi="Wingdings" w:hint="default"/>
      </w:rPr>
    </w:lvl>
    <w:lvl w:ilvl="6" w:tplc="04090001">
      <w:start w:val="1"/>
      <w:numFmt w:val="bullet"/>
      <w:lvlText w:val=""/>
      <w:lvlJc w:val="left"/>
      <w:pPr>
        <w:ind w:left="5894" w:hanging="360"/>
      </w:pPr>
      <w:rPr>
        <w:rFonts w:ascii="Symbol" w:hAnsi="Symbol" w:hint="default"/>
      </w:rPr>
    </w:lvl>
    <w:lvl w:ilvl="7" w:tplc="04090003">
      <w:start w:val="1"/>
      <w:numFmt w:val="bullet"/>
      <w:lvlText w:val="o"/>
      <w:lvlJc w:val="left"/>
      <w:pPr>
        <w:ind w:left="6614" w:hanging="360"/>
      </w:pPr>
      <w:rPr>
        <w:rFonts w:ascii="Courier New" w:hAnsi="Courier New" w:cs="Courier New" w:hint="default"/>
      </w:rPr>
    </w:lvl>
    <w:lvl w:ilvl="8" w:tplc="04090005">
      <w:start w:val="1"/>
      <w:numFmt w:val="bullet"/>
      <w:lvlText w:val=""/>
      <w:lvlJc w:val="left"/>
      <w:pPr>
        <w:ind w:left="7334" w:hanging="360"/>
      </w:pPr>
      <w:rPr>
        <w:rFonts w:ascii="Wingdings" w:hAnsi="Wingdings" w:hint="default"/>
      </w:rPr>
    </w:lvl>
  </w:abstractNum>
  <w:abstractNum w:abstractNumId="2" w15:restartNumberingAfterBreak="0">
    <w:nsid w:val="315A04F8"/>
    <w:multiLevelType w:val="hybridMultilevel"/>
    <w:tmpl w:val="C02CD13E"/>
    <w:lvl w:ilvl="0" w:tplc="04060001">
      <w:start w:val="1"/>
      <w:numFmt w:val="bullet"/>
      <w:lvlText w:val=""/>
      <w:lvlJc w:val="left"/>
      <w:pPr>
        <w:tabs>
          <w:tab w:val="num" w:pos="1570"/>
        </w:tabs>
        <w:ind w:left="1570" w:hanging="360"/>
      </w:pPr>
      <w:rPr>
        <w:rFonts w:ascii="Symbol" w:hAnsi="Symbol" w:hint="default"/>
      </w:rPr>
    </w:lvl>
    <w:lvl w:ilvl="1" w:tplc="04060003">
      <w:start w:val="1"/>
      <w:numFmt w:val="bullet"/>
      <w:lvlText w:val="o"/>
      <w:lvlJc w:val="left"/>
      <w:pPr>
        <w:tabs>
          <w:tab w:val="num" w:pos="2290"/>
        </w:tabs>
        <w:ind w:left="2290" w:hanging="360"/>
      </w:pPr>
      <w:rPr>
        <w:rFonts w:ascii="Courier New" w:hAnsi="Courier New" w:cs="Courier New" w:hint="default"/>
      </w:rPr>
    </w:lvl>
    <w:lvl w:ilvl="2" w:tplc="04060005">
      <w:start w:val="1"/>
      <w:numFmt w:val="bullet"/>
      <w:lvlText w:val=""/>
      <w:lvlJc w:val="left"/>
      <w:pPr>
        <w:tabs>
          <w:tab w:val="num" w:pos="3010"/>
        </w:tabs>
        <w:ind w:left="3010" w:hanging="360"/>
      </w:pPr>
      <w:rPr>
        <w:rFonts w:ascii="Wingdings" w:hAnsi="Wingdings" w:hint="default"/>
      </w:rPr>
    </w:lvl>
    <w:lvl w:ilvl="3" w:tplc="04060001">
      <w:start w:val="1"/>
      <w:numFmt w:val="bullet"/>
      <w:lvlText w:val=""/>
      <w:lvlJc w:val="left"/>
      <w:pPr>
        <w:tabs>
          <w:tab w:val="num" w:pos="3730"/>
        </w:tabs>
        <w:ind w:left="3730" w:hanging="360"/>
      </w:pPr>
      <w:rPr>
        <w:rFonts w:ascii="Symbol" w:hAnsi="Symbol" w:hint="default"/>
      </w:rPr>
    </w:lvl>
    <w:lvl w:ilvl="4" w:tplc="04060003">
      <w:start w:val="1"/>
      <w:numFmt w:val="bullet"/>
      <w:lvlText w:val="o"/>
      <w:lvlJc w:val="left"/>
      <w:pPr>
        <w:tabs>
          <w:tab w:val="num" w:pos="4450"/>
        </w:tabs>
        <w:ind w:left="4450" w:hanging="360"/>
      </w:pPr>
      <w:rPr>
        <w:rFonts w:ascii="Courier New" w:hAnsi="Courier New" w:cs="Courier New" w:hint="default"/>
      </w:rPr>
    </w:lvl>
    <w:lvl w:ilvl="5" w:tplc="04060005">
      <w:start w:val="1"/>
      <w:numFmt w:val="bullet"/>
      <w:lvlText w:val=""/>
      <w:lvlJc w:val="left"/>
      <w:pPr>
        <w:tabs>
          <w:tab w:val="num" w:pos="5170"/>
        </w:tabs>
        <w:ind w:left="5170" w:hanging="360"/>
      </w:pPr>
      <w:rPr>
        <w:rFonts w:ascii="Wingdings" w:hAnsi="Wingdings" w:hint="default"/>
      </w:rPr>
    </w:lvl>
    <w:lvl w:ilvl="6" w:tplc="04060001">
      <w:start w:val="1"/>
      <w:numFmt w:val="bullet"/>
      <w:lvlText w:val=""/>
      <w:lvlJc w:val="left"/>
      <w:pPr>
        <w:tabs>
          <w:tab w:val="num" w:pos="5890"/>
        </w:tabs>
        <w:ind w:left="5890" w:hanging="360"/>
      </w:pPr>
      <w:rPr>
        <w:rFonts w:ascii="Symbol" w:hAnsi="Symbol" w:hint="default"/>
      </w:rPr>
    </w:lvl>
    <w:lvl w:ilvl="7" w:tplc="04060003">
      <w:start w:val="1"/>
      <w:numFmt w:val="bullet"/>
      <w:lvlText w:val="o"/>
      <w:lvlJc w:val="left"/>
      <w:pPr>
        <w:tabs>
          <w:tab w:val="num" w:pos="6610"/>
        </w:tabs>
        <w:ind w:left="6610" w:hanging="360"/>
      </w:pPr>
      <w:rPr>
        <w:rFonts w:ascii="Courier New" w:hAnsi="Courier New" w:cs="Courier New" w:hint="default"/>
      </w:rPr>
    </w:lvl>
    <w:lvl w:ilvl="8" w:tplc="04060005">
      <w:start w:val="1"/>
      <w:numFmt w:val="bullet"/>
      <w:lvlText w:val=""/>
      <w:lvlJc w:val="left"/>
      <w:pPr>
        <w:tabs>
          <w:tab w:val="num" w:pos="7330"/>
        </w:tabs>
        <w:ind w:left="7330"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5E4F5831"/>
    <w:multiLevelType w:val="hybridMultilevel"/>
    <w:tmpl w:val="396C5D74"/>
    <w:lvl w:ilvl="0" w:tplc="04060001">
      <w:start w:val="1"/>
      <w:numFmt w:val="bullet"/>
      <w:lvlText w:val=""/>
      <w:lvlJc w:val="left"/>
      <w:pPr>
        <w:tabs>
          <w:tab w:val="num" w:pos="1570"/>
        </w:tabs>
        <w:ind w:left="1570" w:hanging="360"/>
      </w:pPr>
      <w:rPr>
        <w:rFonts w:ascii="Symbol" w:hAnsi="Symbol" w:hint="default"/>
      </w:rPr>
    </w:lvl>
    <w:lvl w:ilvl="1" w:tplc="04060003">
      <w:start w:val="1"/>
      <w:numFmt w:val="bullet"/>
      <w:lvlText w:val="o"/>
      <w:lvlJc w:val="left"/>
      <w:pPr>
        <w:tabs>
          <w:tab w:val="num" w:pos="2290"/>
        </w:tabs>
        <w:ind w:left="2290" w:hanging="360"/>
      </w:pPr>
      <w:rPr>
        <w:rFonts w:ascii="Courier New" w:hAnsi="Courier New" w:cs="Courier New" w:hint="default"/>
      </w:rPr>
    </w:lvl>
    <w:lvl w:ilvl="2" w:tplc="04060005">
      <w:start w:val="1"/>
      <w:numFmt w:val="bullet"/>
      <w:lvlText w:val=""/>
      <w:lvlJc w:val="left"/>
      <w:pPr>
        <w:tabs>
          <w:tab w:val="num" w:pos="3010"/>
        </w:tabs>
        <w:ind w:left="3010" w:hanging="360"/>
      </w:pPr>
      <w:rPr>
        <w:rFonts w:ascii="Wingdings" w:hAnsi="Wingdings" w:hint="default"/>
      </w:rPr>
    </w:lvl>
    <w:lvl w:ilvl="3" w:tplc="04060001">
      <w:start w:val="1"/>
      <w:numFmt w:val="bullet"/>
      <w:lvlText w:val=""/>
      <w:lvlJc w:val="left"/>
      <w:pPr>
        <w:tabs>
          <w:tab w:val="num" w:pos="3730"/>
        </w:tabs>
        <w:ind w:left="3730" w:hanging="360"/>
      </w:pPr>
      <w:rPr>
        <w:rFonts w:ascii="Symbol" w:hAnsi="Symbol" w:hint="default"/>
      </w:rPr>
    </w:lvl>
    <w:lvl w:ilvl="4" w:tplc="04060003">
      <w:start w:val="1"/>
      <w:numFmt w:val="bullet"/>
      <w:lvlText w:val="o"/>
      <w:lvlJc w:val="left"/>
      <w:pPr>
        <w:tabs>
          <w:tab w:val="num" w:pos="4450"/>
        </w:tabs>
        <w:ind w:left="4450" w:hanging="360"/>
      </w:pPr>
      <w:rPr>
        <w:rFonts w:ascii="Courier New" w:hAnsi="Courier New" w:cs="Courier New" w:hint="default"/>
      </w:rPr>
    </w:lvl>
    <w:lvl w:ilvl="5" w:tplc="04060005">
      <w:start w:val="1"/>
      <w:numFmt w:val="bullet"/>
      <w:lvlText w:val=""/>
      <w:lvlJc w:val="left"/>
      <w:pPr>
        <w:tabs>
          <w:tab w:val="num" w:pos="5170"/>
        </w:tabs>
        <w:ind w:left="5170" w:hanging="360"/>
      </w:pPr>
      <w:rPr>
        <w:rFonts w:ascii="Wingdings" w:hAnsi="Wingdings" w:hint="default"/>
      </w:rPr>
    </w:lvl>
    <w:lvl w:ilvl="6" w:tplc="04060001">
      <w:start w:val="1"/>
      <w:numFmt w:val="bullet"/>
      <w:lvlText w:val=""/>
      <w:lvlJc w:val="left"/>
      <w:pPr>
        <w:tabs>
          <w:tab w:val="num" w:pos="5890"/>
        </w:tabs>
        <w:ind w:left="5890" w:hanging="360"/>
      </w:pPr>
      <w:rPr>
        <w:rFonts w:ascii="Symbol" w:hAnsi="Symbol" w:hint="default"/>
      </w:rPr>
    </w:lvl>
    <w:lvl w:ilvl="7" w:tplc="04060003">
      <w:start w:val="1"/>
      <w:numFmt w:val="bullet"/>
      <w:lvlText w:val="o"/>
      <w:lvlJc w:val="left"/>
      <w:pPr>
        <w:tabs>
          <w:tab w:val="num" w:pos="6610"/>
        </w:tabs>
        <w:ind w:left="6610" w:hanging="360"/>
      </w:pPr>
      <w:rPr>
        <w:rFonts w:ascii="Courier New" w:hAnsi="Courier New" w:cs="Courier New" w:hint="default"/>
      </w:rPr>
    </w:lvl>
    <w:lvl w:ilvl="8" w:tplc="04060005">
      <w:start w:val="1"/>
      <w:numFmt w:val="bullet"/>
      <w:lvlText w:val=""/>
      <w:lvlJc w:val="left"/>
      <w:pPr>
        <w:tabs>
          <w:tab w:val="num" w:pos="7330"/>
        </w:tabs>
        <w:ind w:left="7330" w:hanging="360"/>
      </w:pPr>
      <w:rPr>
        <w:rFonts w:ascii="Wingdings" w:hAnsi="Wingdings" w:hint="default"/>
      </w:rPr>
    </w:lvl>
  </w:abstractNum>
  <w:num w:numId="1" w16cid:durableId="196530960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2601668">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2332123">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6092280">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730650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9881779">
    <w:abstractNumId w:val="1"/>
  </w:num>
  <w:num w:numId="7" w16cid:durableId="858398630">
    <w:abstractNumId w:val="2"/>
  </w:num>
  <w:num w:numId="8" w16cid:durableId="7054443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A63"/>
    <w:rsid w:val="000259B9"/>
    <w:rsid w:val="00041491"/>
    <w:rsid w:val="00050D16"/>
    <w:rsid w:val="000730CA"/>
    <w:rsid w:val="00074F2A"/>
    <w:rsid w:val="000A1CA8"/>
    <w:rsid w:val="000A466B"/>
    <w:rsid w:val="000B058C"/>
    <w:rsid w:val="000D68B0"/>
    <w:rsid w:val="000E4EE6"/>
    <w:rsid w:val="00112B40"/>
    <w:rsid w:val="001454E2"/>
    <w:rsid w:val="00206CE8"/>
    <w:rsid w:val="0021526C"/>
    <w:rsid w:val="00283A2B"/>
    <w:rsid w:val="002A21A1"/>
    <w:rsid w:val="002B30AD"/>
    <w:rsid w:val="002C1EC0"/>
    <w:rsid w:val="002C2C01"/>
    <w:rsid w:val="003A29AE"/>
    <w:rsid w:val="003A32D7"/>
    <w:rsid w:val="003B4074"/>
    <w:rsid w:val="003C3094"/>
    <w:rsid w:val="003C769A"/>
    <w:rsid w:val="003D3A90"/>
    <w:rsid w:val="003F1838"/>
    <w:rsid w:val="0040023F"/>
    <w:rsid w:val="004251C1"/>
    <w:rsid w:val="0045746C"/>
    <w:rsid w:val="0049104B"/>
    <w:rsid w:val="004E3B12"/>
    <w:rsid w:val="00532310"/>
    <w:rsid w:val="00565F0F"/>
    <w:rsid w:val="00594A86"/>
    <w:rsid w:val="00596D86"/>
    <w:rsid w:val="005D0FD3"/>
    <w:rsid w:val="005F1A63"/>
    <w:rsid w:val="00615BEE"/>
    <w:rsid w:val="00637F5A"/>
    <w:rsid w:val="00641C65"/>
    <w:rsid w:val="006560B1"/>
    <w:rsid w:val="006756DD"/>
    <w:rsid w:val="0071241E"/>
    <w:rsid w:val="00737275"/>
    <w:rsid w:val="00740EEC"/>
    <w:rsid w:val="0078011A"/>
    <w:rsid w:val="00782AF4"/>
    <w:rsid w:val="00790EE7"/>
    <w:rsid w:val="007B6649"/>
    <w:rsid w:val="0082576E"/>
    <w:rsid w:val="0089346F"/>
    <w:rsid w:val="00907F75"/>
    <w:rsid w:val="009260DE"/>
    <w:rsid w:val="0093258A"/>
    <w:rsid w:val="009C7BA3"/>
    <w:rsid w:val="009D1F5A"/>
    <w:rsid w:val="009F16FA"/>
    <w:rsid w:val="00A10294"/>
    <w:rsid w:val="00B003BF"/>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87D80"/>
    <w:rsid w:val="00D93992"/>
    <w:rsid w:val="00DE2259"/>
    <w:rsid w:val="00DF49A7"/>
    <w:rsid w:val="00E108AA"/>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44AFB"/>
  <w15:chartTrackingRefBased/>
  <w15:docId w15:val="{7FDB2288-06BB-465A-8AF9-52FB6CDDD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DE2259"/>
    <w:rPr>
      <w:color w:val="0563C1" w:themeColor="hyperlink"/>
      <w:u w:val="single"/>
    </w:rPr>
  </w:style>
  <w:style w:type="character" w:styleId="Ulstomtale">
    <w:name w:val="Unresolved Mention"/>
    <w:basedOn w:val="Standardskrifttypeiafsnit"/>
    <w:uiPriority w:val="99"/>
    <w:semiHidden/>
    <w:unhideWhenUsed/>
    <w:rsid w:val="00DE2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0</TotalTime>
  <Pages>16</Pages>
  <Words>4959</Words>
  <Characters>30251</Characters>
  <Application>Microsoft Office Word</Application>
  <DocSecurity>0</DocSecurity>
  <Lines>252</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2025010267 mt</dc:description>
  <cp:lastModifiedBy>Hanne Thy Iversen</cp:lastModifiedBy>
  <cp:revision>2</cp:revision>
  <cp:lastPrinted>2012-08-22T08:53:00Z</cp:lastPrinted>
  <dcterms:created xsi:type="dcterms:W3CDTF">2026-10-09T09:43:00Z</dcterms:created>
  <dcterms:modified xsi:type="dcterms:W3CDTF">2026-10-09T09:43:00Z</dcterms:modified>
</cp:coreProperties>
</file>