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BC13" w14:textId="77777777" w:rsidR="004A3BF4" w:rsidRPr="00303008" w:rsidRDefault="00056601" w:rsidP="000B039D">
      <w:pPr>
        <w:rPr>
          <w:sz w:val="24"/>
          <w:szCs w:val="24"/>
          <w:lang w:val="en-GB"/>
        </w:rPr>
      </w:pPr>
      <w:r w:rsidRPr="00303008">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2CDFBBF" w14:textId="77777777" w:rsidR="006B3847" w:rsidRPr="00303008" w:rsidRDefault="006B3847" w:rsidP="000B039D">
      <w:pPr>
        <w:rPr>
          <w:sz w:val="24"/>
          <w:szCs w:val="24"/>
          <w:lang w:val="en-GB"/>
        </w:rPr>
      </w:pPr>
    </w:p>
    <w:p w14:paraId="233F95DF" w14:textId="5D18E32D" w:rsidR="006B3847" w:rsidRPr="00303008" w:rsidRDefault="006B3847" w:rsidP="000B039D">
      <w:pPr>
        <w:tabs>
          <w:tab w:val="right" w:pos="9356"/>
        </w:tabs>
        <w:rPr>
          <w:b/>
          <w:sz w:val="24"/>
          <w:szCs w:val="24"/>
          <w:lang w:val="en-GB"/>
        </w:rPr>
      </w:pPr>
      <w:r w:rsidRPr="00303008">
        <w:rPr>
          <w:b/>
          <w:sz w:val="24"/>
          <w:szCs w:val="24"/>
          <w:lang w:val="en-GB"/>
        </w:rPr>
        <w:tab/>
      </w:r>
      <w:r w:rsidR="00915489">
        <w:rPr>
          <w:b/>
          <w:sz w:val="24"/>
          <w:szCs w:val="24"/>
          <w:lang w:val="en-GB"/>
        </w:rPr>
        <w:t>24 September 2026</w:t>
      </w:r>
    </w:p>
    <w:p w14:paraId="59654A6D" w14:textId="77777777" w:rsidR="006B3847" w:rsidRPr="00303008" w:rsidRDefault="006B3847" w:rsidP="000B039D">
      <w:pPr>
        <w:rPr>
          <w:sz w:val="24"/>
          <w:szCs w:val="24"/>
          <w:lang w:val="en-GB"/>
        </w:rPr>
      </w:pPr>
    </w:p>
    <w:p w14:paraId="1DE51D34" w14:textId="77777777" w:rsidR="007C5D2A" w:rsidRPr="00303008" w:rsidRDefault="007C5D2A" w:rsidP="000B039D">
      <w:pPr>
        <w:rPr>
          <w:sz w:val="24"/>
          <w:szCs w:val="24"/>
          <w:lang w:val="en-GB"/>
        </w:rPr>
      </w:pPr>
    </w:p>
    <w:p w14:paraId="799E130D" w14:textId="77777777" w:rsidR="007C5D2A" w:rsidRPr="00303008" w:rsidRDefault="007C5D2A" w:rsidP="000B039D">
      <w:pPr>
        <w:rPr>
          <w:sz w:val="24"/>
          <w:szCs w:val="24"/>
          <w:lang w:val="en-GB"/>
        </w:rPr>
      </w:pPr>
    </w:p>
    <w:p w14:paraId="404DDEA5" w14:textId="77777777" w:rsidR="007C5D2A" w:rsidRPr="00303008" w:rsidRDefault="007C5D2A" w:rsidP="000B039D">
      <w:pPr>
        <w:jc w:val="center"/>
        <w:rPr>
          <w:b/>
          <w:sz w:val="24"/>
          <w:szCs w:val="24"/>
          <w:lang w:val="en-GB"/>
        </w:rPr>
      </w:pPr>
      <w:bookmarkStart w:id="0" w:name="_Hlk49158549"/>
      <w:r w:rsidRPr="00303008">
        <w:rPr>
          <w:b/>
          <w:sz w:val="24"/>
          <w:szCs w:val="24"/>
          <w:lang w:val="en-GB"/>
        </w:rPr>
        <w:t>SUMMARY OF PRODUCT CHARACTERISTICS</w:t>
      </w:r>
    </w:p>
    <w:bookmarkEnd w:id="0"/>
    <w:p w14:paraId="066342C7" w14:textId="77777777" w:rsidR="007C5D2A" w:rsidRPr="00303008" w:rsidRDefault="007C5D2A" w:rsidP="000B039D">
      <w:pPr>
        <w:jc w:val="center"/>
        <w:rPr>
          <w:sz w:val="24"/>
          <w:szCs w:val="24"/>
          <w:lang w:val="en-GB"/>
        </w:rPr>
      </w:pPr>
    </w:p>
    <w:p w14:paraId="29056FD0" w14:textId="77777777" w:rsidR="007C5D2A" w:rsidRPr="00303008" w:rsidRDefault="007C5D2A" w:rsidP="000B039D">
      <w:pPr>
        <w:jc w:val="center"/>
        <w:rPr>
          <w:b/>
          <w:sz w:val="24"/>
          <w:szCs w:val="24"/>
          <w:lang w:val="en-GB"/>
        </w:rPr>
      </w:pPr>
      <w:r w:rsidRPr="00303008">
        <w:rPr>
          <w:b/>
          <w:sz w:val="24"/>
          <w:szCs w:val="24"/>
          <w:lang w:val="en-GB"/>
        </w:rPr>
        <w:t>for</w:t>
      </w:r>
    </w:p>
    <w:p w14:paraId="509F35C9" w14:textId="77777777" w:rsidR="007C5D2A" w:rsidRPr="00303008" w:rsidRDefault="007C5D2A" w:rsidP="000B039D">
      <w:pPr>
        <w:jc w:val="center"/>
        <w:rPr>
          <w:sz w:val="24"/>
          <w:szCs w:val="24"/>
          <w:lang w:val="en-GB"/>
        </w:rPr>
      </w:pPr>
    </w:p>
    <w:p w14:paraId="3BFAE742" w14:textId="64A809A5" w:rsidR="007C5D2A" w:rsidRPr="00356CC0" w:rsidRDefault="00CA3C12" w:rsidP="000B039D">
      <w:pPr>
        <w:jc w:val="center"/>
        <w:rPr>
          <w:sz w:val="24"/>
          <w:szCs w:val="24"/>
          <w:lang w:val="en-US"/>
        </w:rPr>
      </w:pPr>
      <w:r>
        <w:rPr>
          <w:b/>
          <w:sz w:val="24"/>
          <w:szCs w:val="24"/>
          <w:lang w:val="en-US"/>
        </w:rPr>
        <w:t>Ivacaftor "Hormosan Pharma GmbH"</w:t>
      </w:r>
      <w:r w:rsidR="00356CC0">
        <w:rPr>
          <w:b/>
          <w:sz w:val="24"/>
          <w:szCs w:val="24"/>
          <w:lang w:val="en-US"/>
        </w:rPr>
        <w:t>, film-coated tablets</w:t>
      </w:r>
    </w:p>
    <w:p w14:paraId="2386AFF0" w14:textId="77777777" w:rsidR="0042292D" w:rsidRPr="00303008" w:rsidRDefault="0042292D" w:rsidP="000B039D">
      <w:pPr>
        <w:jc w:val="both"/>
        <w:rPr>
          <w:sz w:val="24"/>
          <w:szCs w:val="24"/>
          <w:lang w:val="en-GB"/>
        </w:rPr>
      </w:pPr>
    </w:p>
    <w:p w14:paraId="01183F51" w14:textId="77777777" w:rsidR="008F2F8C" w:rsidRPr="00303008" w:rsidRDefault="008F2F8C" w:rsidP="000B039D">
      <w:pPr>
        <w:tabs>
          <w:tab w:val="left" w:pos="8222"/>
        </w:tabs>
        <w:ind w:left="851" w:hanging="851"/>
        <w:rPr>
          <w:b/>
          <w:sz w:val="24"/>
          <w:szCs w:val="24"/>
          <w:lang w:val="en-GB"/>
        </w:rPr>
      </w:pPr>
      <w:r w:rsidRPr="00303008">
        <w:rPr>
          <w:b/>
          <w:sz w:val="24"/>
          <w:szCs w:val="24"/>
          <w:lang w:val="en-GB"/>
        </w:rPr>
        <w:t>0.</w:t>
      </w:r>
      <w:r w:rsidRPr="00303008">
        <w:rPr>
          <w:b/>
          <w:sz w:val="24"/>
          <w:szCs w:val="24"/>
          <w:lang w:val="en-GB"/>
        </w:rPr>
        <w:tab/>
        <w:t>D.SP.NO.</w:t>
      </w:r>
    </w:p>
    <w:p w14:paraId="1A41B196" w14:textId="5DD9B9E7" w:rsidR="008F2F8C" w:rsidRPr="00303008" w:rsidRDefault="00356CC0" w:rsidP="000B039D">
      <w:pPr>
        <w:tabs>
          <w:tab w:val="left" w:pos="8222"/>
        </w:tabs>
        <w:ind w:left="851"/>
        <w:rPr>
          <w:sz w:val="24"/>
          <w:szCs w:val="24"/>
          <w:lang w:val="en-GB"/>
        </w:rPr>
      </w:pPr>
      <w:r>
        <w:rPr>
          <w:sz w:val="24"/>
          <w:szCs w:val="24"/>
          <w:lang w:val="en-GB"/>
        </w:rPr>
        <w:t>3441</w:t>
      </w:r>
      <w:r w:rsidR="00CA3C12">
        <w:rPr>
          <w:sz w:val="24"/>
          <w:szCs w:val="24"/>
          <w:lang w:val="en-GB"/>
        </w:rPr>
        <w:t>2</w:t>
      </w:r>
    </w:p>
    <w:p w14:paraId="654692F2" w14:textId="77777777" w:rsidR="007C5D2A" w:rsidRPr="00303008" w:rsidRDefault="007C5D2A" w:rsidP="000B039D">
      <w:pPr>
        <w:tabs>
          <w:tab w:val="left" w:pos="851"/>
        </w:tabs>
        <w:jc w:val="both"/>
        <w:rPr>
          <w:sz w:val="24"/>
          <w:szCs w:val="24"/>
          <w:lang w:val="en-GB"/>
        </w:rPr>
      </w:pPr>
    </w:p>
    <w:p w14:paraId="5F802FE2" w14:textId="77777777" w:rsidR="007C5D2A" w:rsidRPr="00303008" w:rsidRDefault="009925C9" w:rsidP="000B039D">
      <w:pPr>
        <w:tabs>
          <w:tab w:val="left" w:pos="851"/>
        </w:tabs>
        <w:ind w:left="851" w:hanging="851"/>
        <w:rPr>
          <w:sz w:val="24"/>
          <w:szCs w:val="24"/>
          <w:lang w:val="en-GB"/>
        </w:rPr>
      </w:pPr>
      <w:r w:rsidRPr="00303008">
        <w:rPr>
          <w:b/>
          <w:sz w:val="24"/>
          <w:szCs w:val="24"/>
          <w:lang w:val="en-GB"/>
        </w:rPr>
        <w:t>1.</w:t>
      </w:r>
      <w:r w:rsidR="007C5D2A" w:rsidRPr="00303008">
        <w:rPr>
          <w:b/>
          <w:sz w:val="24"/>
          <w:szCs w:val="24"/>
          <w:lang w:val="en-GB"/>
        </w:rPr>
        <w:tab/>
        <w:t>NAME OF THE MEDICINAL PRODUCT</w:t>
      </w:r>
    </w:p>
    <w:p w14:paraId="53B9CAB7" w14:textId="5BF4A2C5" w:rsidR="007C5D2A" w:rsidRPr="006F4E45" w:rsidRDefault="00CA3C12" w:rsidP="000B039D">
      <w:pPr>
        <w:tabs>
          <w:tab w:val="left" w:pos="851"/>
        </w:tabs>
        <w:ind w:left="851"/>
        <w:rPr>
          <w:bCs/>
          <w:sz w:val="24"/>
          <w:szCs w:val="24"/>
          <w:lang w:val="en-GB"/>
        </w:rPr>
      </w:pPr>
      <w:r>
        <w:rPr>
          <w:bCs/>
          <w:sz w:val="24"/>
          <w:szCs w:val="24"/>
          <w:lang w:val="en-US"/>
        </w:rPr>
        <w:t>Ivacaftor "Hormosan Pharma GmbH"</w:t>
      </w:r>
    </w:p>
    <w:p w14:paraId="19A2B19D" w14:textId="77777777" w:rsidR="007C5D2A" w:rsidRPr="006F4E45" w:rsidRDefault="007C5D2A" w:rsidP="000B039D">
      <w:pPr>
        <w:tabs>
          <w:tab w:val="left" w:pos="851"/>
        </w:tabs>
        <w:ind w:left="851"/>
        <w:rPr>
          <w:bCs/>
          <w:sz w:val="24"/>
          <w:szCs w:val="24"/>
          <w:lang w:val="en-GB"/>
        </w:rPr>
      </w:pPr>
    </w:p>
    <w:p w14:paraId="1184936D" w14:textId="77777777" w:rsidR="007C5D2A" w:rsidRPr="00303008" w:rsidRDefault="009925C9" w:rsidP="000B039D">
      <w:pPr>
        <w:ind w:left="851" w:hanging="851"/>
        <w:rPr>
          <w:b/>
          <w:sz w:val="24"/>
          <w:szCs w:val="24"/>
          <w:lang w:val="en-GB"/>
        </w:rPr>
      </w:pPr>
      <w:r w:rsidRPr="00303008">
        <w:rPr>
          <w:b/>
          <w:sz w:val="24"/>
          <w:szCs w:val="24"/>
          <w:lang w:val="en-GB"/>
        </w:rPr>
        <w:t>2.</w:t>
      </w:r>
      <w:r w:rsidR="007C5D2A" w:rsidRPr="00303008">
        <w:rPr>
          <w:b/>
          <w:sz w:val="24"/>
          <w:szCs w:val="24"/>
          <w:lang w:val="en-GB"/>
        </w:rPr>
        <w:tab/>
        <w:t>QUALITATIVE AND QUANTITATIVE COMPOSITION</w:t>
      </w:r>
    </w:p>
    <w:p w14:paraId="531390DA" w14:textId="77777777" w:rsidR="006F4E45" w:rsidRDefault="006F4E45" w:rsidP="000B039D">
      <w:pPr>
        <w:tabs>
          <w:tab w:val="left" w:pos="851"/>
        </w:tabs>
        <w:ind w:left="851"/>
        <w:rPr>
          <w:sz w:val="24"/>
          <w:szCs w:val="24"/>
          <w:u w:val="single"/>
          <w:lang w:val="en-GB"/>
        </w:rPr>
      </w:pPr>
    </w:p>
    <w:p w14:paraId="5D9CFA35" w14:textId="74C028FA" w:rsidR="006F4E45" w:rsidRPr="006F4E45" w:rsidRDefault="00CA3C12" w:rsidP="000B039D">
      <w:pPr>
        <w:tabs>
          <w:tab w:val="left" w:pos="851"/>
        </w:tabs>
        <w:ind w:left="851"/>
        <w:rPr>
          <w:sz w:val="24"/>
          <w:szCs w:val="24"/>
          <w:u w:val="single"/>
          <w:lang w:val="en-GB"/>
        </w:rPr>
      </w:pPr>
      <w:r>
        <w:rPr>
          <w:sz w:val="24"/>
          <w:szCs w:val="24"/>
          <w:u w:val="single"/>
          <w:lang w:val="en-GB"/>
        </w:rPr>
        <w:t>Ivacaftor "Hormosan Pharma GmbH"</w:t>
      </w:r>
      <w:r w:rsidR="006F4E45" w:rsidRPr="006F4E45">
        <w:rPr>
          <w:sz w:val="24"/>
          <w:szCs w:val="24"/>
          <w:u w:val="single"/>
          <w:lang w:val="en-GB"/>
        </w:rPr>
        <w:t xml:space="preserve"> 75 mg film-coated tablets</w:t>
      </w:r>
      <w:r w:rsidR="006F4E45" w:rsidRPr="006F4E45">
        <w:rPr>
          <w:sz w:val="24"/>
          <w:szCs w:val="24"/>
          <w:lang w:val="en-GB"/>
        </w:rPr>
        <w:t xml:space="preserve"> </w:t>
      </w:r>
    </w:p>
    <w:p w14:paraId="7258F5F9" w14:textId="598CCA32" w:rsidR="006F4E45" w:rsidRPr="006F4E45" w:rsidRDefault="006F4E45" w:rsidP="000B039D">
      <w:pPr>
        <w:tabs>
          <w:tab w:val="left" w:pos="851"/>
        </w:tabs>
        <w:ind w:left="851"/>
        <w:rPr>
          <w:sz w:val="24"/>
          <w:szCs w:val="24"/>
          <w:lang w:val="en-GB"/>
        </w:rPr>
      </w:pPr>
      <w:r w:rsidRPr="006F4E45">
        <w:rPr>
          <w:sz w:val="24"/>
          <w:szCs w:val="24"/>
          <w:lang w:val="en-GB"/>
        </w:rPr>
        <w:t xml:space="preserve">Each film-coated tablet contains 75 mg of ivacaftor. </w:t>
      </w:r>
    </w:p>
    <w:p w14:paraId="59E156E7"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34CFC917" w14:textId="77777777" w:rsidR="006F4E45" w:rsidRPr="006F4E45" w:rsidRDefault="006F4E45" w:rsidP="000B039D">
      <w:pPr>
        <w:tabs>
          <w:tab w:val="left" w:pos="851"/>
        </w:tabs>
        <w:ind w:left="851"/>
        <w:rPr>
          <w:sz w:val="24"/>
          <w:szCs w:val="24"/>
          <w:lang w:val="en-GB"/>
        </w:rPr>
      </w:pPr>
      <w:r w:rsidRPr="006F4E45">
        <w:rPr>
          <w:i/>
          <w:sz w:val="24"/>
          <w:szCs w:val="24"/>
          <w:lang w:val="en-GB"/>
        </w:rPr>
        <w:t xml:space="preserve">Excipient with known effect </w:t>
      </w:r>
    </w:p>
    <w:p w14:paraId="2ECF33FD" w14:textId="77777777" w:rsidR="006F4E45" w:rsidRPr="006F4E45" w:rsidRDefault="006F4E45" w:rsidP="000B039D">
      <w:pPr>
        <w:tabs>
          <w:tab w:val="left" w:pos="851"/>
        </w:tabs>
        <w:ind w:left="851"/>
        <w:rPr>
          <w:sz w:val="24"/>
          <w:szCs w:val="24"/>
          <w:lang w:val="en-GB"/>
        </w:rPr>
      </w:pPr>
      <w:r w:rsidRPr="006F4E45">
        <w:rPr>
          <w:sz w:val="24"/>
          <w:szCs w:val="24"/>
          <w:lang w:val="en-GB"/>
        </w:rPr>
        <w:t>Each film-coated tablet contains 59.38 mg lactose (as lactose monohydrate).</w:t>
      </w:r>
    </w:p>
    <w:p w14:paraId="5E0A2CB4"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4761CD48" w14:textId="5BCD4B68" w:rsidR="006F4E45" w:rsidRPr="006F4E45" w:rsidRDefault="00CA3C12" w:rsidP="000B039D">
      <w:pPr>
        <w:tabs>
          <w:tab w:val="left" w:pos="851"/>
        </w:tabs>
        <w:ind w:left="851"/>
        <w:rPr>
          <w:sz w:val="24"/>
          <w:szCs w:val="24"/>
          <w:u w:val="single"/>
          <w:lang w:val="en-GB"/>
        </w:rPr>
      </w:pPr>
      <w:r>
        <w:rPr>
          <w:sz w:val="24"/>
          <w:szCs w:val="24"/>
          <w:u w:val="single"/>
          <w:lang w:val="en-GB"/>
        </w:rPr>
        <w:t>Ivacaftor "Hormosan Pharma GmbH"</w:t>
      </w:r>
      <w:r w:rsidR="006F4E45" w:rsidRPr="006F4E45">
        <w:rPr>
          <w:sz w:val="24"/>
          <w:szCs w:val="24"/>
          <w:u w:val="single"/>
          <w:lang w:val="en-GB"/>
        </w:rPr>
        <w:t xml:space="preserve"> 150 mg film-coated tablets</w:t>
      </w:r>
      <w:r w:rsidR="006F4E45" w:rsidRPr="006F4E45">
        <w:rPr>
          <w:sz w:val="24"/>
          <w:szCs w:val="24"/>
          <w:lang w:val="en-GB"/>
        </w:rPr>
        <w:t xml:space="preserve"> </w:t>
      </w:r>
    </w:p>
    <w:p w14:paraId="287D100B"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Each film-coated tablet contains 150 mg of ivacaftor. </w:t>
      </w:r>
    </w:p>
    <w:p w14:paraId="60DD3A7B"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22195B46" w14:textId="77777777" w:rsidR="006F4E45" w:rsidRPr="006F4E45" w:rsidRDefault="006F4E45" w:rsidP="000B039D">
      <w:pPr>
        <w:tabs>
          <w:tab w:val="left" w:pos="851"/>
        </w:tabs>
        <w:ind w:left="851"/>
        <w:rPr>
          <w:i/>
          <w:sz w:val="24"/>
          <w:szCs w:val="24"/>
          <w:lang w:val="en-GB"/>
        </w:rPr>
      </w:pPr>
      <w:r w:rsidRPr="006F4E45">
        <w:rPr>
          <w:i/>
          <w:sz w:val="24"/>
          <w:szCs w:val="24"/>
          <w:lang w:val="en-GB"/>
        </w:rPr>
        <w:t xml:space="preserve">Excipient with known effect </w:t>
      </w:r>
    </w:p>
    <w:p w14:paraId="4A4BB0FE"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Each film-coated tablet contains 118.76 mg lactose (as lactose monohydrate). </w:t>
      </w:r>
    </w:p>
    <w:p w14:paraId="54D1D23E"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107B89CA"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For the full list of excipients, see section 6.1. </w:t>
      </w:r>
    </w:p>
    <w:p w14:paraId="16676E59" w14:textId="77777777" w:rsidR="007C5D2A" w:rsidRPr="00303008" w:rsidRDefault="007C5D2A" w:rsidP="000B039D">
      <w:pPr>
        <w:tabs>
          <w:tab w:val="left" w:pos="851"/>
        </w:tabs>
        <w:ind w:left="851"/>
        <w:rPr>
          <w:sz w:val="24"/>
          <w:szCs w:val="24"/>
          <w:lang w:val="en-GB"/>
        </w:rPr>
      </w:pPr>
    </w:p>
    <w:p w14:paraId="19010967"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3.</w:t>
      </w:r>
      <w:r w:rsidRPr="00303008">
        <w:rPr>
          <w:b/>
          <w:sz w:val="24"/>
          <w:szCs w:val="24"/>
          <w:lang w:val="en-GB"/>
        </w:rPr>
        <w:tab/>
        <w:t>PHARMACEUTICAL FORM</w:t>
      </w:r>
    </w:p>
    <w:p w14:paraId="3F634020" w14:textId="499C59AA" w:rsidR="006F4E45" w:rsidRPr="006F4E45" w:rsidRDefault="006F4E45" w:rsidP="000B039D">
      <w:pPr>
        <w:tabs>
          <w:tab w:val="left" w:pos="851"/>
        </w:tabs>
        <w:ind w:left="851"/>
        <w:rPr>
          <w:sz w:val="24"/>
          <w:szCs w:val="24"/>
          <w:lang w:val="en-GB"/>
        </w:rPr>
      </w:pPr>
      <w:r w:rsidRPr="006F4E45">
        <w:rPr>
          <w:sz w:val="24"/>
          <w:szCs w:val="24"/>
          <w:lang w:val="en-GB"/>
        </w:rPr>
        <w:t>Film-coated tablet</w:t>
      </w:r>
      <w:r>
        <w:rPr>
          <w:sz w:val="24"/>
          <w:szCs w:val="24"/>
          <w:lang w:val="en-GB"/>
        </w:rPr>
        <w:t>s</w:t>
      </w:r>
      <w:r w:rsidRPr="006F4E45">
        <w:rPr>
          <w:sz w:val="24"/>
          <w:szCs w:val="24"/>
          <w:lang w:val="en-GB"/>
        </w:rPr>
        <w:t xml:space="preserve"> (tablet) </w:t>
      </w:r>
    </w:p>
    <w:p w14:paraId="5D9FD19C"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573925A3" w14:textId="481CE8F1" w:rsidR="006F4E45" w:rsidRPr="006F4E45" w:rsidRDefault="00CA3C12" w:rsidP="000B039D">
      <w:pPr>
        <w:tabs>
          <w:tab w:val="left" w:pos="851"/>
        </w:tabs>
        <w:ind w:left="851"/>
        <w:rPr>
          <w:sz w:val="24"/>
          <w:szCs w:val="24"/>
          <w:lang w:val="en-GB"/>
        </w:rPr>
      </w:pPr>
      <w:r>
        <w:rPr>
          <w:sz w:val="24"/>
          <w:szCs w:val="24"/>
          <w:u w:val="single"/>
          <w:lang w:val="en-GB"/>
        </w:rPr>
        <w:t>Ivacaftor "Hormosan Pharma GmbH"</w:t>
      </w:r>
      <w:r w:rsidR="006F4E45" w:rsidRPr="006F4E45">
        <w:rPr>
          <w:sz w:val="24"/>
          <w:szCs w:val="24"/>
          <w:u w:val="single"/>
          <w:lang w:val="en-GB"/>
        </w:rPr>
        <w:t xml:space="preserve"> 75 mg film-coated tablets</w:t>
      </w:r>
      <w:r w:rsidR="006F4E45" w:rsidRPr="006F4E45">
        <w:rPr>
          <w:sz w:val="24"/>
          <w:szCs w:val="24"/>
          <w:lang w:val="en-GB"/>
        </w:rPr>
        <w:t xml:space="preserve"> </w:t>
      </w:r>
    </w:p>
    <w:p w14:paraId="48BCF276" w14:textId="0E28A527" w:rsidR="006F4E45" w:rsidRPr="006F4E45" w:rsidRDefault="006F4E45" w:rsidP="000B039D">
      <w:pPr>
        <w:tabs>
          <w:tab w:val="left" w:pos="851"/>
        </w:tabs>
        <w:ind w:left="851"/>
        <w:rPr>
          <w:sz w:val="24"/>
          <w:szCs w:val="24"/>
          <w:lang w:val="en-GB"/>
        </w:rPr>
      </w:pPr>
      <w:r w:rsidRPr="006F4E45">
        <w:rPr>
          <w:sz w:val="24"/>
          <w:szCs w:val="24"/>
          <w:lang w:val="en-GB"/>
        </w:rPr>
        <w:t>White to off white colored film coated tablets, modified capsule shaped, 12.80 x 5.90 mm, debossed with "L" on one side and plain on other side</w:t>
      </w:r>
      <w:r>
        <w:rPr>
          <w:sz w:val="24"/>
          <w:szCs w:val="24"/>
          <w:lang w:val="en-GB"/>
        </w:rPr>
        <w:t>.</w:t>
      </w:r>
    </w:p>
    <w:p w14:paraId="13AE8418"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290E3D6D" w14:textId="4C678992" w:rsidR="006F4E45" w:rsidRPr="006F4E45" w:rsidRDefault="00CA3C12" w:rsidP="000B039D">
      <w:pPr>
        <w:tabs>
          <w:tab w:val="left" w:pos="851"/>
        </w:tabs>
        <w:ind w:left="851"/>
        <w:rPr>
          <w:sz w:val="24"/>
          <w:szCs w:val="24"/>
          <w:u w:val="single"/>
          <w:lang w:val="en-GB"/>
        </w:rPr>
      </w:pPr>
      <w:r>
        <w:rPr>
          <w:sz w:val="24"/>
          <w:szCs w:val="24"/>
          <w:u w:val="single"/>
          <w:lang w:val="en-GB"/>
        </w:rPr>
        <w:t>Ivacaftor "Hormosan Pharma GmbH"</w:t>
      </w:r>
      <w:r w:rsidR="006F4E45" w:rsidRPr="006F4E45">
        <w:rPr>
          <w:sz w:val="24"/>
          <w:szCs w:val="24"/>
          <w:u w:val="single"/>
          <w:lang w:val="en-GB"/>
        </w:rPr>
        <w:t xml:space="preserve"> 150 mg film-coated tablets</w:t>
      </w:r>
      <w:r w:rsidR="006F4E45" w:rsidRPr="006F4E45">
        <w:rPr>
          <w:sz w:val="24"/>
          <w:szCs w:val="24"/>
          <w:lang w:val="en-GB"/>
        </w:rPr>
        <w:t xml:space="preserve"> </w:t>
      </w:r>
    </w:p>
    <w:p w14:paraId="068A902E" w14:textId="48548D34" w:rsidR="006F4E45" w:rsidRPr="006F4E45" w:rsidRDefault="006F4E45" w:rsidP="000B039D">
      <w:pPr>
        <w:tabs>
          <w:tab w:val="left" w:pos="851"/>
        </w:tabs>
        <w:ind w:left="851"/>
        <w:rPr>
          <w:sz w:val="24"/>
          <w:szCs w:val="24"/>
          <w:lang w:val="en-GB"/>
        </w:rPr>
      </w:pPr>
      <w:r w:rsidRPr="006F4E45">
        <w:rPr>
          <w:sz w:val="24"/>
          <w:szCs w:val="24"/>
          <w:lang w:val="en-GB"/>
        </w:rPr>
        <w:t>Light blue film coated tablets, modified capsule shaped, 16.20 x 7.90 mm, debossed with “E07” on one side and “LU” on other side</w:t>
      </w:r>
      <w:r>
        <w:rPr>
          <w:sz w:val="24"/>
          <w:szCs w:val="24"/>
          <w:lang w:val="en-GB"/>
        </w:rPr>
        <w:t>.</w:t>
      </w:r>
    </w:p>
    <w:p w14:paraId="3E1F2B68" w14:textId="77777777" w:rsidR="007C5D2A" w:rsidRPr="00303008" w:rsidRDefault="007C5D2A" w:rsidP="000B039D">
      <w:pPr>
        <w:tabs>
          <w:tab w:val="left" w:pos="851"/>
        </w:tabs>
        <w:ind w:left="851"/>
        <w:rPr>
          <w:sz w:val="24"/>
          <w:szCs w:val="24"/>
          <w:lang w:val="en-GB"/>
        </w:rPr>
      </w:pPr>
    </w:p>
    <w:p w14:paraId="4CD10C99" w14:textId="26E6A84D" w:rsidR="004B19A3" w:rsidRDefault="004B19A3" w:rsidP="000B039D">
      <w:pPr>
        <w:rPr>
          <w:sz w:val="24"/>
          <w:szCs w:val="24"/>
          <w:lang w:val="en-GB"/>
        </w:rPr>
      </w:pPr>
      <w:r>
        <w:rPr>
          <w:sz w:val="24"/>
          <w:szCs w:val="24"/>
          <w:lang w:val="en-GB"/>
        </w:rPr>
        <w:br w:type="page"/>
      </w:r>
    </w:p>
    <w:p w14:paraId="79D36058" w14:textId="77777777" w:rsidR="007C5D2A" w:rsidRPr="00303008" w:rsidRDefault="007C5D2A" w:rsidP="000B039D">
      <w:pPr>
        <w:tabs>
          <w:tab w:val="left" w:pos="851"/>
        </w:tabs>
        <w:ind w:left="851"/>
        <w:rPr>
          <w:sz w:val="24"/>
          <w:szCs w:val="24"/>
          <w:lang w:val="en-GB"/>
        </w:rPr>
      </w:pPr>
    </w:p>
    <w:p w14:paraId="0ADD1EEE" w14:textId="77777777" w:rsidR="007C5D2A" w:rsidRPr="00303008" w:rsidRDefault="007C5D2A" w:rsidP="000B039D">
      <w:pPr>
        <w:ind w:left="851" w:hanging="851"/>
        <w:rPr>
          <w:b/>
          <w:sz w:val="24"/>
          <w:szCs w:val="24"/>
          <w:lang w:val="en-GB"/>
        </w:rPr>
      </w:pPr>
      <w:r w:rsidRPr="00303008">
        <w:rPr>
          <w:b/>
          <w:sz w:val="24"/>
          <w:szCs w:val="24"/>
          <w:lang w:val="en-GB"/>
        </w:rPr>
        <w:t>4.</w:t>
      </w:r>
      <w:r w:rsidRPr="00303008">
        <w:rPr>
          <w:b/>
          <w:sz w:val="24"/>
          <w:szCs w:val="24"/>
          <w:lang w:val="en-GB"/>
        </w:rPr>
        <w:tab/>
        <w:t>CLINICAL PARTICULARS</w:t>
      </w:r>
    </w:p>
    <w:p w14:paraId="5FF83FAA" w14:textId="77777777" w:rsidR="007C5D2A" w:rsidRPr="00303008" w:rsidRDefault="007C5D2A" w:rsidP="000B039D">
      <w:pPr>
        <w:tabs>
          <w:tab w:val="left" w:pos="851"/>
        </w:tabs>
        <w:ind w:left="851"/>
        <w:rPr>
          <w:sz w:val="24"/>
          <w:szCs w:val="24"/>
          <w:lang w:val="en-GB"/>
        </w:rPr>
      </w:pPr>
    </w:p>
    <w:p w14:paraId="51AF473B" w14:textId="77777777" w:rsidR="007C5D2A" w:rsidRPr="00303008" w:rsidRDefault="007C5D2A" w:rsidP="000B039D">
      <w:pPr>
        <w:ind w:left="851" w:hanging="851"/>
        <w:rPr>
          <w:b/>
          <w:sz w:val="24"/>
          <w:szCs w:val="24"/>
          <w:u w:val="single"/>
          <w:lang w:val="en-GB"/>
        </w:rPr>
      </w:pPr>
      <w:r w:rsidRPr="00303008">
        <w:rPr>
          <w:b/>
          <w:sz w:val="24"/>
          <w:szCs w:val="24"/>
          <w:lang w:val="en-GB"/>
        </w:rPr>
        <w:t>4.1</w:t>
      </w:r>
      <w:r w:rsidRPr="00303008">
        <w:rPr>
          <w:b/>
          <w:sz w:val="24"/>
          <w:szCs w:val="24"/>
          <w:lang w:val="en-GB"/>
        </w:rPr>
        <w:tab/>
        <w:t>Therapeutic indications</w:t>
      </w:r>
    </w:p>
    <w:p w14:paraId="2F0206FC" w14:textId="77777777" w:rsidR="006F4E45" w:rsidRPr="006F4E45" w:rsidRDefault="006F4E45" w:rsidP="000B039D">
      <w:pPr>
        <w:tabs>
          <w:tab w:val="left" w:pos="851"/>
        </w:tabs>
        <w:ind w:left="851"/>
        <w:rPr>
          <w:sz w:val="24"/>
          <w:szCs w:val="24"/>
          <w:lang w:val="en-GB"/>
        </w:rPr>
      </w:pPr>
    </w:p>
    <w:p w14:paraId="7BD2BB20" w14:textId="45221207" w:rsidR="006F4E45" w:rsidRPr="006F4E45" w:rsidRDefault="00CA3C12" w:rsidP="000B039D">
      <w:pPr>
        <w:tabs>
          <w:tab w:val="left" w:pos="851"/>
        </w:tabs>
        <w:ind w:left="851"/>
        <w:rPr>
          <w:sz w:val="24"/>
          <w:szCs w:val="24"/>
          <w:lang w:val="en-GB"/>
        </w:rPr>
      </w:pPr>
      <w:r>
        <w:rPr>
          <w:sz w:val="24"/>
          <w:szCs w:val="24"/>
          <w:lang w:val="en-GB"/>
        </w:rPr>
        <w:t>Ivacaftor "Hormosan Pharma GmbH"</w:t>
      </w:r>
      <w:r w:rsidR="006F4E45" w:rsidRPr="006F4E45">
        <w:rPr>
          <w:sz w:val="24"/>
          <w:szCs w:val="24"/>
          <w:lang w:val="en-GB"/>
        </w:rPr>
        <w:t xml:space="preserve"> tablets are indicated:  </w:t>
      </w:r>
    </w:p>
    <w:p w14:paraId="62AB9267" w14:textId="2637F588" w:rsidR="006F4E45" w:rsidRDefault="006F4E45" w:rsidP="000B039D">
      <w:pPr>
        <w:numPr>
          <w:ilvl w:val="0"/>
          <w:numId w:val="5"/>
        </w:numPr>
        <w:tabs>
          <w:tab w:val="left" w:pos="851"/>
        </w:tabs>
        <w:ind w:left="1134" w:hanging="283"/>
        <w:rPr>
          <w:sz w:val="24"/>
          <w:szCs w:val="24"/>
          <w:lang w:val="en-GB"/>
        </w:rPr>
      </w:pPr>
      <w:r w:rsidRPr="006F4E45">
        <w:rPr>
          <w:sz w:val="24"/>
          <w:szCs w:val="24"/>
          <w:lang w:val="en-GB"/>
        </w:rPr>
        <w:t xml:space="preserve">As monotherapy for the treatment of adults, adolescents, and children aged 6 years and older and weighing 25 kg or more with cystic fibrosis (CF) who have an </w:t>
      </w:r>
      <w:r w:rsidRPr="006F4E45">
        <w:rPr>
          <w:i/>
          <w:sz w:val="24"/>
          <w:szCs w:val="24"/>
          <w:lang w:val="en-GB"/>
        </w:rPr>
        <w:t>R117H CFTR</w:t>
      </w:r>
      <w:r w:rsidRPr="006F4E45">
        <w:rPr>
          <w:sz w:val="24"/>
          <w:szCs w:val="24"/>
          <w:lang w:val="en-GB"/>
        </w:rPr>
        <w:t xml:space="preserve"> mutation or one of the following gating (Class III) mutations in the cystic fibrosis transmembrane conductance regulator (</w:t>
      </w:r>
      <w:r w:rsidRPr="006F4E45">
        <w:rPr>
          <w:i/>
          <w:sz w:val="24"/>
          <w:szCs w:val="24"/>
          <w:lang w:val="en-GB"/>
        </w:rPr>
        <w:t>CFTR</w:t>
      </w:r>
      <w:r w:rsidRPr="006F4E45">
        <w:rPr>
          <w:sz w:val="24"/>
          <w:szCs w:val="24"/>
          <w:lang w:val="en-GB"/>
        </w:rPr>
        <w:t xml:space="preserve">) gene: </w:t>
      </w:r>
      <w:r w:rsidRPr="006F4E45">
        <w:rPr>
          <w:i/>
          <w:sz w:val="24"/>
          <w:szCs w:val="24"/>
          <w:lang w:val="en-GB"/>
        </w:rPr>
        <w:t>G551D</w:t>
      </w:r>
      <w:r w:rsidRPr="006F4E45">
        <w:rPr>
          <w:sz w:val="24"/>
          <w:szCs w:val="24"/>
          <w:lang w:val="en-GB"/>
        </w:rPr>
        <w:t xml:space="preserve">, </w:t>
      </w:r>
      <w:r w:rsidRPr="006F4E45">
        <w:rPr>
          <w:i/>
          <w:sz w:val="24"/>
          <w:szCs w:val="24"/>
          <w:lang w:val="en-GB"/>
        </w:rPr>
        <w:t>G1244E</w:t>
      </w:r>
      <w:r w:rsidRPr="006F4E45">
        <w:rPr>
          <w:sz w:val="24"/>
          <w:szCs w:val="24"/>
          <w:lang w:val="en-GB"/>
        </w:rPr>
        <w:t xml:space="preserve">, </w:t>
      </w:r>
      <w:r w:rsidRPr="006F4E45">
        <w:rPr>
          <w:i/>
          <w:sz w:val="24"/>
          <w:szCs w:val="24"/>
          <w:lang w:val="en-GB"/>
        </w:rPr>
        <w:t>G1349D</w:t>
      </w:r>
      <w:r w:rsidRPr="006F4E45">
        <w:rPr>
          <w:sz w:val="24"/>
          <w:szCs w:val="24"/>
          <w:lang w:val="en-GB"/>
        </w:rPr>
        <w:t xml:space="preserve">, </w:t>
      </w:r>
      <w:r w:rsidRPr="006F4E45">
        <w:rPr>
          <w:i/>
          <w:sz w:val="24"/>
          <w:szCs w:val="24"/>
          <w:lang w:val="en-GB"/>
        </w:rPr>
        <w:t>G178R</w:t>
      </w:r>
      <w:r w:rsidRPr="006F4E45">
        <w:rPr>
          <w:sz w:val="24"/>
          <w:szCs w:val="24"/>
          <w:lang w:val="en-GB"/>
        </w:rPr>
        <w:t xml:space="preserve">, </w:t>
      </w:r>
      <w:r w:rsidRPr="006F4E45">
        <w:rPr>
          <w:i/>
          <w:sz w:val="24"/>
          <w:szCs w:val="24"/>
          <w:lang w:val="en-GB"/>
        </w:rPr>
        <w:t>G551S</w:t>
      </w:r>
      <w:r w:rsidRPr="006F4E45">
        <w:rPr>
          <w:sz w:val="24"/>
          <w:szCs w:val="24"/>
          <w:lang w:val="en-GB"/>
        </w:rPr>
        <w:t xml:space="preserve">, </w:t>
      </w:r>
      <w:r w:rsidRPr="006F4E45">
        <w:rPr>
          <w:i/>
          <w:sz w:val="24"/>
          <w:szCs w:val="24"/>
          <w:lang w:val="en-GB"/>
        </w:rPr>
        <w:t>S1251N</w:t>
      </w:r>
      <w:r w:rsidRPr="006F4E45">
        <w:rPr>
          <w:sz w:val="24"/>
          <w:szCs w:val="24"/>
          <w:lang w:val="en-GB"/>
        </w:rPr>
        <w:t xml:space="preserve">, </w:t>
      </w:r>
      <w:r w:rsidRPr="006F4E45">
        <w:rPr>
          <w:i/>
          <w:sz w:val="24"/>
          <w:szCs w:val="24"/>
          <w:lang w:val="en-GB"/>
        </w:rPr>
        <w:t>S1255P</w:t>
      </w:r>
      <w:r w:rsidRPr="006F4E45">
        <w:rPr>
          <w:sz w:val="24"/>
          <w:szCs w:val="24"/>
          <w:lang w:val="en-GB"/>
        </w:rPr>
        <w:t xml:space="preserve">, </w:t>
      </w:r>
      <w:r w:rsidRPr="006F4E45">
        <w:rPr>
          <w:i/>
          <w:sz w:val="24"/>
          <w:szCs w:val="24"/>
          <w:lang w:val="en-GB"/>
        </w:rPr>
        <w:t>S549N</w:t>
      </w:r>
      <w:r w:rsidRPr="006F4E45">
        <w:rPr>
          <w:sz w:val="24"/>
          <w:szCs w:val="24"/>
          <w:lang w:val="en-GB"/>
        </w:rPr>
        <w:t xml:space="preserve"> or </w:t>
      </w:r>
      <w:r w:rsidRPr="006F4E45">
        <w:rPr>
          <w:i/>
          <w:sz w:val="24"/>
          <w:szCs w:val="24"/>
          <w:lang w:val="en-GB"/>
        </w:rPr>
        <w:t>S549R</w:t>
      </w:r>
      <w:r w:rsidRPr="006F4E45">
        <w:rPr>
          <w:sz w:val="24"/>
          <w:szCs w:val="24"/>
          <w:lang w:val="en-GB"/>
        </w:rPr>
        <w:t xml:space="preserve"> (see sections 4.4 and 5.1).</w:t>
      </w:r>
    </w:p>
    <w:p w14:paraId="2B8779FE" w14:textId="77777777" w:rsidR="004B19A3" w:rsidRPr="006F4E45" w:rsidRDefault="004B19A3" w:rsidP="000B039D">
      <w:pPr>
        <w:tabs>
          <w:tab w:val="left" w:pos="851"/>
        </w:tabs>
        <w:ind w:left="1134"/>
        <w:rPr>
          <w:sz w:val="24"/>
          <w:szCs w:val="24"/>
          <w:lang w:val="en-GB"/>
        </w:rPr>
      </w:pPr>
    </w:p>
    <w:p w14:paraId="3D110A57" w14:textId="797F5DA1" w:rsidR="006F4E45" w:rsidRDefault="006F4E45" w:rsidP="000B039D">
      <w:pPr>
        <w:numPr>
          <w:ilvl w:val="0"/>
          <w:numId w:val="5"/>
        </w:numPr>
        <w:tabs>
          <w:tab w:val="left" w:pos="1134"/>
        </w:tabs>
        <w:ind w:left="1134" w:hanging="283"/>
        <w:rPr>
          <w:sz w:val="24"/>
          <w:szCs w:val="24"/>
          <w:lang w:val="en-GB"/>
        </w:rPr>
      </w:pPr>
      <w:r w:rsidRPr="006F4E45">
        <w:rPr>
          <w:sz w:val="24"/>
          <w:szCs w:val="24"/>
          <w:lang w:val="en-GB"/>
        </w:rPr>
        <w:t xml:space="preserve">In a combination regimen with tezacaftor/ivacaftor tablets for the treatment of adults, adolescents, and children aged 6 years and older with cystic fibrosis (CF) who are homozygous for the </w:t>
      </w:r>
      <w:r w:rsidRPr="006F4E45">
        <w:rPr>
          <w:i/>
          <w:sz w:val="24"/>
          <w:szCs w:val="24"/>
          <w:lang w:val="en-GB"/>
        </w:rPr>
        <w:t xml:space="preserve">F508del </w:t>
      </w:r>
      <w:r w:rsidRPr="006F4E45">
        <w:rPr>
          <w:sz w:val="24"/>
          <w:szCs w:val="24"/>
          <w:lang w:val="en-GB"/>
        </w:rPr>
        <w:t xml:space="preserve">mutation or who are heterozygous for the </w:t>
      </w:r>
      <w:r w:rsidRPr="006F4E45">
        <w:rPr>
          <w:i/>
          <w:sz w:val="24"/>
          <w:szCs w:val="24"/>
          <w:lang w:val="en-GB"/>
        </w:rPr>
        <w:t>F508del</w:t>
      </w:r>
      <w:r w:rsidRPr="006F4E45">
        <w:rPr>
          <w:sz w:val="24"/>
          <w:szCs w:val="24"/>
          <w:lang w:val="en-GB"/>
        </w:rPr>
        <w:t xml:space="preserve"> mutation and have one of the following mutations in the </w:t>
      </w:r>
      <w:r w:rsidRPr="006F4E45">
        <w:rPr>
          <w:i/>
          <w:sz w:val="24"/>
          <w:szCs w:val="24"/>
          <w:lang w:val="en-GB"/>
        </w:rPr>
        <w:t>CFTR</w:t>
      </w:r>
      <w:r w:rsidRPr="006F4E45">
        <w:rPr>
          <w:sz w:val="24"/>
          <w:szCs w:val="24"/>
          <w:lang w:val="en-GB"/>
        </w:rPr>
        <w:t xml:space="preserve"> gene: </w:t>
      </w:r>
      <w:r w:rsidRPr="006F4E45">
        <w:rPr>
          <w:i/>
          <w:sz w:val="24"/>
          <w:szCs w:val="24"/>
          <w:lang w:val="en-GB"/>
        </w:rPr>
        <w:t xml:space="preserve">P67L, R117C, L206W, R352Q, A455E, D579G, 711+3A→G, S945L, S977F, R1070W, D1152H, 2789+5G→A, 3272-26A→G, </w:t>
      </w:r>
      <w:r w:rsidRPr="006F4E45">
        <w:rPr>
          <w:sz w:val="24"/>
          <w:szCs w:val="24"/>
          <w:lang w:val="en-GB"/>
        </w:rPr>
        <w:t>and</w:t>
      </w:r>
      <w:r w:rsidRPr="006F4E45">
        <w:rPr>
          <w:i/>
          <w:sz w:val="24"/>
          <w:szCs w:val="24"/>
          <w:lang w:val="en-GB"/>
        </w:rPr>
        <w:t xml:space="preserve"> 3849+10kbC→T</w:t>
      </w:r>
      <w:r w:rsidRPr="006F4E45">
        <w:rPr>
          <w:sz w:val="24"/>
          <w:szCs w:val="24"/>
          <w:lang w:val="en-GB"/>
        </w:rPr>
        <w:t>.</w:t>
      </w:r>
    </w:p>
    <w:p w14:paraId="0075B5F3" w14:textId="77777777" w:rsidR="004B19A3" w:rsidRPr="006F4E45" w:rsidRDefault="004B19A3" w:rsidP="000B039D">
      <w:pPr>
        <w:tabs>
          <w:tab w:val="left" w:pos="1134"/>
        </w:tabs>
        <w:ind w:left="1134"/>
        <w:rPr>
          <w:sz w:val="24"/>
          <w:szCs w:val="24"/>
          <w:lang w:val="en-GB"/>
        </w:rPr>
      </w:pPr>
    </w:p>
    <w:p w14:paraId="51C68D3C" w14:textId="77777777" w:rsidR="006F4E45" w:rsidRPr="006F4E45" w:rsidRDefault="006F4E45" w:rsidP="000B039D">
      <w:pPr>
        <w:numPr>
          <w:ilvl w:val="0"/>
          <w:numId w:val="5"/>
        </w:numPr>
        <w:tabs>
          <w:tab w:val="left" w:pos="851"/>
        </w:tabs>
        <w:ind w:left="1134" w:hanging="283"/>
        <w:rPr>
          <w:sz w:val="24"/>
          <w:szCs w:val="24"/>
          <w:lang w:val="en-GB"/>
        </w:rPr>
      </w:pPr>
      <w:r w:rsidRPr="006F4E45">
        <w:rPr>
          <w:sz w:val="24"/>
          <w:szCs w:val="24"/>
          <w:lang w:val="en-GB"/>
        </w:rPr>
        <w:t>In a combination regimen with ivacaftor/tezacaftor/elexacaftor tablets for the treatment of adults, adolescents, and children aged 6 years and older with cystic fibrosis (CF) who have at least one non-Class I</w:t>
      </w:r>
      <w:r w:rsidRPr="006F4E45">
        <w:rPr>
          <w:i/>
          <w:sz w:val="24"/>
          <w:szCs w:val="24"/>
          <w:lang w:val="en-GB"/>
        </w:rPr>
        <w:t xml:space="preserve"> </w:t>
      </w:r>
      <w:r w:rsidRPr="006F4E45">
        <w:rPr>
          <w:iCs/>
          <w:sz w:val="24"/>
          <w:szCs w:val="24"/>
          <w:lang w:val="en-GB"/>
        </w:rPr>
        <w:t>mutation</w:t>
      </w:r>
      <w:r w:rsidRPr="006F4E45">
        <w:rPr>
          <w:i/>
          <w:sz w:val="24"/>
          <w:szCs w:val="24"/>
          <w:lang w:val="en-GB"/>
        </w:rPr>
        <w:t xml:space="preserve"> </w:t>
      </w:r>
      <w:r w:rsidRPr="006F4E45">
        <w:rPr>
          <w:sz w:val="24"/>
          <w:szCs w:val="24"/>
          <w:lang w:val="en-GB"/>
        </w:rPr>
        <w:t xml:space="preserve">in the </w:t>
      </w:r>
      <w:r w:rsidRPr="006F4E45">
        <w:rPr>
          <w:i/>
          <w:iCs/>
          <w:sz w:val="24"/>
          <w:szCs w:val="24"/>
          <w:lang w:val="en-GB"/>
        </w:rPr>
        <w:t>CFTR</w:t>
      </w:r>
      <w:r w:rsidRPr="006F4E45">
        <w:rPr>
          <w:sz w:val="24"/>
          <w:szCs w:val="24"/>
          <w:lang w:val="en-GB"/>
        </w:rPr>
        <w:t xml:space="preserve"> gene (see sections 4.2 and 5.1). </w:t>
      </w:r>
    </w:p>
    <w:p w14:paraId="49252AA3" w14:textId="77777777" w:rsidR="006F4E45" w:rsidRPr="006F4E45" w:rsidRDefault="006F4E45" w:rsidP="000B039D">
      <w:pPr>
        <w:tabs>
          <w:tab w:val="left" w:pos="851"/>
        </w:tabs>
        <w:ind w:left="851"/>
        <w:rPr>
          <w:sz w:val="24"/>
          <w:szCs w:val="24"/>
          <w:lang w:val="en-GB"/>
        </w:rPr>
      </w:pPr>
    </w:p>
    <w:p w14:paraId="5989619A" w14:textId="77777777" w:rsidR="007C5D2A" w:rsidRPr="00303008" w:rsidRDefault="009925C9" w:rsidP="000B039D">
      <w:pPr>
        <w:tabs>
          <w:tab w:val="left" w:pos="851"/>
        </w:tabs>
        <w:ind w:left="851" w:hanging="851"/>
        <w:rPr>
          <w:sz w:val="24"/>
          <w:szCs w:val="24"/>
          <w:lang w:val="en-GB"/>
        </w:rPr>
      </w:pPr>
      <w:r w:rsidRPr="00303008">
        <w:rPr>
          <w:b/>
          <w:sz w:val="24"/>
          <w:szCs w:val="24"/>
          <w:lang w:val="en-GB"/>
        </w:rPr>
        <w:t>4.2</w:t>
      </w:r>
      <w:r w:rsidR="007C5D2A" w:rsidRPr="00303008">
        <w:rPr>
          <w:b/>
          <w:sz w:val="24"/>
          <w:szCs w:val="24"/>
          <w:lang w:val="en-GB"/>
        </w:rPr>
        <w:tab/>
        <w:t>Posology and method of administration</w:t>
      </w:r>
    </w:p>
    <w:p w14:paraId="66F2752A" w14:textId="5CC36C5C" w:rsidR="006F4E45" w:rsidRPr="00BE772B" w:rsidRDefault="00CA3C12" w:rsidP="000B039D">
      <w:pPr>
        <w:spacing w:after="5"/>
        <w:ind w:left="851" w:right="11"/>
        <w:rPr>
          <w:color w:val="000000"/>
          <w:kern w:val="2"/>
          <w:sz w:val="24"/>
          <w:szCs w:val="24"/>
          <w:lang w:val="en-GB" w:eastAsia="en-GB"/>
        </w:rPr>
      </w:pPr>
      <w:r>
        <w:rPr>
          <w:color w:val="000000"/>
          <w:kern w:val="2"/>
          <w:sz w:val="24"/>
          <w:szCs w:val="24"/>
          <w:lang w:val="en-GB" w:eastAsia="en-GB"/>
        </w:rPr>
        <w:t>Ivacaftor "Hormosan Pharma GmbH"</w:t>
      </w:r>
      <w:r w:rsidR="006F4E45" w:rsidRPr="00BE772B">
        <w:rPr>
          <w:color w:val="000000"/>
          <w:kern w:val="2"/>
          <w:sz w:val="24"/>
          <w:szCs w:val="24"/>
          <w:lang w:val="en-GB" w:eastAsia="en-GB"/>
        </w:rPr>
        <w:t xml:space="preserve"> should only be prescribed by physicians with experience in the treatment of cystic fibrosis. If the patient's genotype is unknown, an accurate and validated genotyping method should be performed before starting treatment to confirm the presence of an indicated mutation in the </w:t>
      </w:r>
      <w:r w:rsidR="006F4E45" w:rsidRPr="00BE772B">
        <w:rPr>
          <w:i/>
          <w:color w:val="000000"/>
          <w:kern w:val="2"/>
          <w:sz w:val="24"/>
          <w:szCs w:val="24"/>
          <w:lang w:val="en-GB" w:eastAsia="en-GB"/>
        </w:rPr>
        <w:t>CFTR</w:t>
      </w:r>
      <w:r w:rsidR="006F4E45" w:rsidRPr="00BE772B">
        <w:rPr>
          <w:color w:val="000000"/>
          <w:kern w:val="2"/>
          <w:sz w:val="24"/>
          <w:szCs w:val="24"/>
          <w:lang w:val="en-GB" w:eastAsia="en-GB"/>
        </w:rPr>
        <w:t xml:space="preserve"> gene (see section 4.1). The phase of the poly-T variant identified with the </w:t>
      </w:r>
      <w:r w:rsidR="006F4E45" w:rsidRPr="00BE772B">
        <w:rPr>
          <w:i/>
          <w:color w:val="000000"/>
          <w:kern w:val="2"/>
          <w:sz w:val="24"/>
          <w:szCs w:val="24"/>
          <w:lang w:val="en-GB" w:eastAsia="en-GB"/>
        </w:rPr>
        <w:t>R117H</w:t>
      </w:r>
      <w:r w:rsidR="006F4E45" w:rsidRPr="00BE772B">
        <w:rPr>
          <w:color w:val="000000"/>
          <w:kern w:val="2"/>
          <w:sz w:val="24"/>
          <w:szCs w:val="24"/>
          <w:lang w:val="en-GB" w:eastAsia="en-GB"/>
        </w:rPr>
        <w:t xml:space="preserve"> mutation should be determined in accordance with local clinical recommendations. </w:t>
      </w:r>
    </w:p>
    <w:p w14:paraId="7E85C26B" w14:textId="77777777" w:rsidR="006F4E45" w:rsidRPr="00BE772B" w:rsidRDefault="006F4E45" w:rsidP="000B039D">
      <w:pPr>
        <w:ind w:left="851"/>
        <w:rPr>
          <w:color w:val="000000"/>
          <w:kern w:val="2"/>
          <w:sz w:val="24"/>
          <w:szCs w:val="24"/>
          <w:lang w:val="en-GB" w:eastAsia="en-GB"/>
        </w:rPr>
      </w:pPr>
    </w:p>
    <w:p w14:paraId="6C806DDE" w14:textId="1797E539" w:rsidR="006F4E45" w:rsidRPr="00BE772B" w:rsidRDefault="00CA3C12" w:rsidP="000B039D">
      <w:pPr>
        <w:ind w:left="851"/>
        <w:rPr>
          <w:i/>
          <w:iCs/>
          <w:color w:val="000000"/>
          <w:kern w:val="2"/>
          <w:sz w:val="24"/>
          <w:szCs w:val="24"/>
          <w:lang w:val="en-GB" w:eastAsia="en-GB"/>
        </w:rPr>
      </w:pPr>
      <w:r>
        <w:rPr>
          <w:color w:val="000000"/>
          <w:kern w:val="2"/>
          <w:sz w:val="24"/>
          <w:szCs w:val="24"/>
          <w:lang w:val="en-GB" w:eastAsia="en-GB"/>
        </w:rPr>
        <w:t>Ivacaftor "Hormosan Pharma GmbH"</w:t>
      </w:r>
      <w:r w:rsidR="006F4E45" w:rsidRPr="00BE772B">
        <w:rPr>
          <w:color w:val="000000"/>
          <w:kern w:val="2"/>
          <w:sz w:val="24"/>
          <w:szCs w:val="24"/>
          <w:lang w:val="en-GB" w:eastAsia="en-GB"/>
        </w:rPr>
        <w:t xml:space="preserve"> </w:t>
      </w:r>
      <w:r w:rsidR="006F4E45" w:rsidRPr="00BE772B">
        <w:rPr>
          <w:i/>
          <w:iCs/>
          <w:color w:val="000000"/>
          <w:kern w:val="2"/>
          <w:sz w:val="24"/>
          <w:szCs w:val="24"/>
          <w:lang w:val="en-GB" w:eastAsia="en-GB"/>
        </w:rPr>
        <w:t>in combination with ivacaftor/tezacaftor/elexacaftor</w:t>
      </w:r>
    </w:p>
    <w:p w14:paraId="1603C62D" w14:textId="77777777" w:rsidR="006F4E45" w:rsidRPr="006F4E45" w:rsidRDefault="006F4E45" w:rsidP="000B039D">
      <w:pPr>
        <w:spacing w:after="5"/>
        <w:ind w:left="851" w:right="11"/>
        <w:rPr>
          <w:color w:val="000000"/>
          <w:kern w:val="2"/>
          <w:sz w:val="24"/>
          <w:szCs w:val="24"/>
          <w:lang w:val="en-GB" w:eastAsia="en-GB"/>
        </w:rPr>
      </w:pPr>
      <w:r w:rsidRPr="00BE772B">
        <w:rPr>
          <w:color w:val="000000"/>
          <w:kern w:val="2"/>
          <w:sz w:val="24"/>
          <w:szCs w:val="24"/>
          <w:lang w:val="en-GB" w:eastAsia="en-GB"/>
        </w:rPr>
        <w:t>There are a limited number of patients who harbour mutations not listed in Table 6 that may</w:t>
      </w:r>
      <w:r w:rsidRPr="006F4E45">
        <w:rPr>
          <w:color w:val="000000"/>
          <w:kern w:val="2"/>
          <w:sz w:val="24"/>
          <w:szCs w:val="24"/>
          <w:lang w:val="en-GB" w:eastAsia="en-GB"/>
        </w:rPr>
        <w:t xml:space="preserve"> be responsive to ivacaftor/tezacaftor/elexacaftor (IVA/TEZ/ELX). In these cases, ivacaftor (IVA) in combination with IVA/TEZ/ELX can be considered when the physician deems the potential benefits outweigh the potential risks and under close medical supervision. This excludes patients with two Class I (null) mutations (mutations that are known not to produce CFTR protein) as they are not expected to respond to modulator therapy (see sections 4.1, 4.4 and 5.1).</w:t>
      </w:r>
    </w:p>
    <w:p w14:paraId="29D66ED0" w14:textId="77777777" w:rsidR="006F4E45" w:rsidRPr="006F4E45" w:rsidRDefault="006F4E45" w:rsidP="000B039D">
      <w:pPr>
        <w:ind w:left="851"/>
        <w:rPr>
          <w:color w:val="000000"/>
          <w:kern w:val="2"/>
          <w:sz w:val="24"/>
          <w:szCs w:val="24"/>
          <w:lang w:val="en-GB" w:eastAsia="en-GB"/>
        </w:rPr>
      </w:pPr>
    </w:p>
    <w:p w14:paraId="2265D976" w14:textId="77777777" w:rsidR="006F4E45" w:rsidRPr="006F4E45" w:rsidRDefault="006F4E45" w:rsidP="000B039D">
      <w:pPr>
        <w:ind w:left="851"/>
        <w:rPr>
          <w:color w:val="000000"/>
          <w:kern w:val="2"/>
          <w:sz w:val="24"/>
          <w:szCs w:val="24"/>
          <w:lang w:val="en-GB" w:eastAsia="en-GB"/>
        </w:rPr>
      </w:pPr>
      <w:r w:rsidRPr="006F4E45">
        <w:rPr>
          <w:color w:val="000000"/>
          <w:kern w:val="2"/>
          <w:sz w:val="24"/>
          <w:szCs w:val="24"/>
          <w:u w:val="single" w:color="000000"/>
          <w:lang w:val="en-GB" w:eastAsia="en-GB"/>
        </w:rPr>
        <w:t>Posology</w:t>
      </w:r>
      <w:r w:rsidRPr="006F4E45">
        <w:rPr>
          <w:color w:val="000000"/>
          <w:kern w:val="2"/>
          <w:sz w:val="24"/>
          <w:szCs w:val="24"/>
          <w:lang w:val="en-GB" w:eastAsia="en-GB"/>
        </w:rPr>
        <w:t xml:space="preserve"> </w:t>
      </w:r>
    </w:p>
    <w:p w14:paraId="33464458" w14:textId="77777777" w:rsidR="00BE772B"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Adults, adolescents, and children aged 6 years and older should be dosed according to</w:t>
      </w:r>
    </w:p>
    <w:p w14:paraId="14C19B47" w14:textId="17ABC236"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Table 1. </w:t>
      </w:r>
    </w:p>
    <w:p w14:paraId="626EB0C2" w14:textId="77777777" w:rsidR="006F4E45" w:rsidRPr="006F4E45" w:rsidRDefault="006F4E45" w:rsidP="000B039D">
      <w:pPr>
        <w:spacing w:after="5"/>
        <w:ind w:left="-4" w:right="11" w:hanging="8"/>
        <w:jc w:val="both"/>
        <w:rPr>
          <w:color w:val="000000"/>
          <w:kern w:val="2"/>
          <w:sz w:val="22"/>
          <w:szCs w:val="24"/>
          <w:lang w:val="en-GB" w:eastAsia="en-GB"/>
        </w:rPr>
      </w:pPr>
    </w:p>
    <w:p w14:paraId="4B7FE4A2" w14:textId="77777777" w:rsidR="006F4E45" w:rsidRPr="006F4E45" w:rsidRDefault="006F4E45" w:rsidP="000B039D">
      <w:pPr>
        <w:keepNext/>
        <w:keepLines/>
        <w:jc w:val="both"/>
        <w:outlineLvl w:val="0"/>
        <w:rPr>
          <w:b/>
          <w:color w:val="000000"/>
          <w:kern w:val="2"/>
          <w:sz w:val="22"/>
          <w:szCs w:val="24"/>
          <w:lang w:val="en-GB" w:eastAsia="en-GB"/>
        </w:rPr>
      </w:pPr>
      <w:r w:rsidRPr="006F4E45">
        <w:rPr>
          <w:b/>
          <w:color w:val="000000"/>
          <w:kern w:val="2"/>
          <w:sz w:val="22"/>
          <w:szCs w:val="24"/>
          <w:lang w:val="en-GB" w:eastAsia="en-GB"/>
        </w:rPr>
        <w:t xml:space="preserve">Table 1: Dosing recommendations </w:t>
      </w:r>
    </w:p>
    <w:tbl>
      <w:tblPr>
        <w:tblW w:w="5000" w:type="pct"/>
        <w:tblCellMar>
          <w:top w:w="58" w:type="dxa"/>
          <w:right w:w="90" w:type="dxa"/>
        </w:tblCellMar>
        <w:tblLook w:val="04A0" w:firstRow="1" w:lastRow="0" w:firstColumn="1" w:lastColumn="0" w:noHBand="0" w:noVBand="1"/>
      </w:tblPr>
      <w:tblGrid>
        <w:gridCol w:w="2355"/>
        <w:gridCol w:w="5684"/>
        <w:gridCol w:w="1589"/>
      </w:tblGrid>
      <w:tr w:rsidR="006F4E45" w:rsidRPr="006F4E45" w14:paraId="5FB925C9"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0472F2BF"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 xml:space="preserve">Age/weight </w:t>
            </w:r>
          </w:p>
        </w:tc>
        <w:tc>
          <w:tcPr>
            <w:tcW w:w="2952" w:type="pct"/>
            <w:tcBorders>
              <w:top w:val="single" w:sz="4" w:space="0" w:color="000000"/>
              <w:left w:val="single" w:sz="4" w:space="0" w:color="000000"/>
              <w:bottom w:val="single" w:sz="4" w:space="0" w:color="000000"/>
              <w:right w:val="single" w:sz="4" w:space="0" w:color="000000"/>
            </w:tcBorders>
            <w:hideMark/>
          </w:tcPr>
          <w:p w14:paraId="48D73F56" w14:textId="77777777" w:rsidR="006F4E45" w:rsidRPr="006F4E45" w:rsidRDefault="006F4E45" w:rsidP="000B039D">
            <w:pPr>
              <w:ind w:right="18"/>
              <w:jc w:val="both"/>
              <w:rPr>
                <w:color w:val="000000"/>
                <w:kern w:val="2"/>
                <w:sz w:val="20"/>
                <w:lang w:val="en-GB" w:eastAsia="en-GB"/>
              </w:rPr>
            </w:pPr>
            <w:r w:rsidRPr="006F4E45">
              <w:rPr>
                <w:b/>
                <w:color w:val="000000"/>
                <w:kern w:val="2"/>
                <w:sz w:val="20"/>
                <w:lang w:val="en-GB" w:eastAsia="en-GB"/>
              </w:rPr>
              <w:t xml:space="preserve">Morning dose </w:t>
            </w:r>
          </w:p>
        </w:tc>
        <w:tc>
          <w:tcPr>
            <w:tcW w:w="825" w:type="pct"/>
            <w:tcBorders>
              <w:top w:val="single" w:sz="4" w:space="0" w:color="000000"/>
              <w:left w:val="single" w:sz="4" w:space="0" w:color="000000"/>
              <w:bottom w:val="single" w:sz="4" w:space="0" w:color="000000"/>
              <w:right w:val="single" w:sz="4" w:space="0" w:color="000000"/>
            </w:tcBorders>
            <w:hideMark/>
          </w:tcPr>
          <w:p w14:paraId="04A597B1" w14:textId="77777777" w:rsidR="006F4E45" w:rsidRPr="006F4E45" w:rsidRDefault="006F4E45" w:rsidP="000B039D">
            <w:pPr>
              <w:ind w:left="36"/>
              <w:jc w:val="both"/>
              <w:rPr>
                <w:color w:val="000000"/>
                <w:kern w:val="2"/>
                <w:sz w:val="20"/>
                <w:lang w:val="en-GB" w:eastAsia="en-GB"/>
              </w:rPr>
            </w:pPr>
            <w:r w:rsidRPr="006F4E45">
              <w:rPr>
                <w:b/>
                <w:color w:val="000000"/>
                <w:kern w:val="2"/>
                <w:sz w:val="20"/>
                <w:lang w:val="en-GB" w:eastAsia="en-GB"/>
              </w:rPr>
              <w:t xml:space="preserve">Evening dose </w:t>
            </w:r>
          </w:p>
        </w:tc>
      </w:tr>
      <w:tr w:rsidR="006F4E45" w:rsidRPr="006F4E45" w14:paraId="2DB63984"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5CEB6A9B"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 xml:space="preserve">Ivacaftor as monotherapy </w:t>
            </w:r>
          </w:p>
        </w:tc>
        <w:tc>
          <w:tcPr>
            <w:tcW w:w="825" w:type="pct"/>
            <w:tcBorders>
              <w:top w:val="single" w:sz="4" w:space="0" w:color="000000"/>
              <w:left w:val="nil"/>
              <w:bottom w:val="single" w:sz="4" w:space="0" w:color="000000"/>
              <w:right w:val="single" w:sz="4" w:space="0" w:color="000000"/>
            </w:tcBorders>
          </w:tcPr>
          <w:p w14:paraId="4E65AD4D" w14:textId="77777777" w:rsidR="006F4E45" w:rsidRPr="006F4E45" w:rsidRDefault="006F4E45" w:rsidP="000B039D">
            <w:pPr>
              <w:spacing w:after="160"/>
              <w:jc w:val="both"/>
              <w:rPr>
                <w:color w:val="000000"/>
                <w:kern w:val="2"/>
                <w:sz w:val="20"/>
                <w:lang w:val="en-GB" w:eastAsia="en-GB"/>
              </w:rPr>
            </w:pPr>
          </w:p>
        </w:tc>
      </w:tr>
      <w:tr w:rsidR="006F4E45" w:rsidRPr="006F4E45" w14:paraId="6486F1C3"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42C94EED"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and older, </w:t>
            </w:r>
          </w:p>
          <w:p w14:paraId="3FE5A8FF"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25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689122BD"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22EEA047"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378781AF"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915489" w14:paraId="135E6153"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27F5A1DB"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 xml:space="preserve">Ivacaftor in combination with tezacaftor/ivacaftor </w:t>
            </w:r>
          </w:p>
        </w:tc>
        <w:tc>
          <w:tcPr>
            <w:tcW w:w="825" w:type="pct"/>
            <w:tcBorders>
              <w:top w:val="single" w:sz="4" w:space="0" w:color="000000"/>
              <w:left w:val="nil"/>
              <w:bottom w:val="single" w:sz="4" w:space="0" w:color="000000"/>
              <w:right w:val="single" w:sz="4" w:space="0" w:color="000000"/>
            </w:tcBorders>
          </w:tcPr>
          <w:p w14:paraId="154F0423" w14:textId="77777777" w:rsidR="006F4E45" w:rsidRPr="006F4E45" w:rsidRDefault="006F4E45" w:rsidP="000B039D">
            <w:pPr>
              <w:spacing w:after="160"/>
              <w:jc w:val="both"/>
              <w:rPr>
                <w:color w:val="000000"/>
                <w:kern w:val="2"/>
                <w:sz w:val="20"/>
                <w:lang w:val="en-GB" w:eastAsia="en-GB"/>
              </w:rPr>
            </w:pPr>
          </w:p>
        </w:tc>
      </w:tr>
      <w:tr w:rsidR="006F4E45" w:rsidRPr="006F4E45" w14:paraId="23266F52"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26C85FE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lastRenderedPageBreak/>
              <w:t xml:space="preserve">6 years to &lt; 12 years, </w:t>
            </w:r>
          </w:p>
          <w:p w14:paraId="7013137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26DE256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tezacaftor 50 mg/ivacaftor 75 mg tablet </w:t>
            </w:r>
          </w:p>
        </w:tc>
        <w:tc>
          <w:tcPr>
            <w:tcW w:w="825" w:type="pct"/>
            <w:tcBorders>
              <w:top w:val="single" w:sz="4" w:space="0" w:color="000000"/>
              <w:left w:val="single" w:sz="4" w:space="0" w:color="000000"/>
              <w:bottom w:val="single" w:sz="4" w:space="0" w:color="000000"/>
              <w:right w:val="single" w:sz="4" w:space="0" w:color="000000"/>
            </w:tcBorders>
            <w:hideMark/>
          </w:tcPr>
          <w:p w14:paraId="334CC4CB"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One ivacaftor 75 mg tablet </w:t>
            </w:r>
          </w:p>
        </w:tc>
      </w:tr>
      <w:tr w:rsidR="006F4E45" w:rsidRPr="006F4E45" w14:paraId="20785CA0"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148972E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&lt; 12 years, </w:t>
            </w:r>
          </w:p>
          <w:p w14:paraId="780916A0"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0FB5DFC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tezacaftor 100 mg/ivacaftor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4F55AAAE"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2481BE90"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6F4E45" w14:paraId="6E45D03A" w14:textId="77777777">
        <w:trPr>
          <w:trHeight w:val="113"/>
        </w:trPr>
        <w:tc>
          <w:tcPr>
            <w:tcW w:w="1223" w:type="pct"/>
            <w:tcBorders>
              <w:top w:val="single" w:sz="4" w:space="0" w:color="000000"/>
              <w:left w:val="single" w:sz="4" w:space="0" w:color="000000"/>
              <w:bottom w:val="single" w:sz="4" w:space="0" w:color="000000"/>
              <w:right w:val="single" w:sz="4" w:space="0" w:color="000000"/>
            </w:tcBorders>
            <w:vAlign w:val="center"/>
            <w:hideMark/>
          </w:tcPr>
          <w:p w14:paraId="4486367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12 years and older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6BE3A8D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tezacaftor 100 mg/ivacaftor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17D098B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387EA9D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915489" w14:paraId="41AE6B0B"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07523357"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Ivacaftor in combination with ivacaftor/tezacaftor/elexacaftor</w:t>
            </w:r>
          </w:p>
        </w:tc>
        <w:tc>
          <w:tcPr>
            <w:tcW w:w="825" w:type="pct"/>
            <w:tcBorders>
              <w:top w:val="single" w:sz="4" w:space="0" w:color="000000"/>
              <w:left w:val="nil"/>
              <w:bottom w:val="single" w:sz="4" w:space="0" w:color="000000"/>
              <w:right w:val="single" w:sz="4" w:space="0" w:color="000000"/>
            </w:tcBorders>
          </w:tcPr>
          <w:p w14:paraId="7788443A" w14:textId="77777777" w:rsidR="006F4E45" w:rsidRPr="006F4E45" w:rsidRDefault="006F4E45" w:rsidP="000B039D">
            <w:pPr>
              <w:spacing w:after="160"/>
              <w:jc w:val="both"/>
              <w:rPr>
                <w:color w:val="000000"/>
                <w:kern w:val="2"/>
                <w:sz w:val="20"/>
                <w:lang w:val="en-GB" w:eastAsia="en-GB"/>
              </w:rPr>
            </w:pPr>
          </w:p>
        </w:tc>
      </w:tr>
      <w:tr w:rsidR="006F4E45" w:rsidRPr="006F4E45" w14:paraId="20853E9C"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5B4D5624"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&lt; 12 years, </w:t>
            </w:r>
          </w:p>
          <w:p w14:paraId="40EE986B"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952" w:type="pct"/>
            <w:tcBorders>
              <w:top w:val="single" w:sz="4" w:space="0" w:color="000000"/>
              <w:left w:val="single" w:sz="4" w:space="0" w:color="000000"/>
              <w:bottom w:val="single" w:sz="4" w:space="0" w:color="000000"/>
              <w:right w:val="single" w:sz="4" w:space="0" w:color="000000"/>
            </w:tcBorders>
            <w:hideMark/>
          </w:tcPr>
          <w:p w14:paraId="1C5A0595" w14:textId="77777777" w:rsidR="006F4E45" w:rsidRPr="006F4E45" w:rsidRDefault="006F4E45" w:rsidP="000B039D">
            <w:pPr>
              <w:ind w:right="627"/>
              <w:jc w:val="both"/>
              <w:rPr>
                <w:color w:val="000000"/>
                <w:kern w:val="2"/>
                <w:sz w:val="20"/>
                <w:lang w:val="en-GB" w:eastAsia="en-GB"/>
              </w:rPr>
            </w:pPr>
            <w:r w:rsidRPr="006F4E45">
              <w:rPr>
                <w:color w:val="000000"/>
                <w:kern w:val="2"/>
                <w:sz w:val="20"/>
                <w:lang w:val="en-GB" w:eastAsia="en-GB"/>
              </w:rPr>
              <w:t xml:space="preserve">Two ivacaftor 37.5 mg/tezacaftor 25 mg/elexacaftor 50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4494EE4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One ivacaftor 75 mg tablet </w:t>
            </w:r>
          </w:p>
        </w:tc>
      </w:tr>
      <w:tr w:rsidR="006F4E45" w:rsidRPr="006F4E45" w14:paraId="462FFE0C"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32BF97FA"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&lt; 12 years,  </w:t>
            </w:r>
          </w:p>
          <w:p w14:paraId="7B361939"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952" w:type="pct"/>
            <w:tcBorders>
              <w:top w:val="single" w:sz="4" w:space="0" w:color="000000"/>
              <w:left w:val="single" w:sz="4" w:space="0" w:color="000000"/>
              <w:bottom w:val="single" w:sz="4" w:space="0" w:color="000000"/>
              <w:right w:val="single" w:sz="4" w:space="0" w:color="000000"/>
            </w:tcBorders>
            <w:hideMark/>
          </w:tcPr>
          <w:p w14:paraId="6572A3E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Two ivacaftor 75 mg/tezacaftor 50 mg/elexacaftor 100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7A05D87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4D4E0C0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6F4E45" w14:paraId="5D170721" w14:textId="77777777">
        <w:trPr>
          <w:trHeight w:val="113"/>
        </w:trPr>
        <w:tc>
          <w:tcPr>
            <w:tcW w:w="1223" w:type="pct"/>
            <w:tcBorders>
              <w:top w:val="single" w:sz="4" w:space="0" w:color="000000"/>
              <w:left w:val="single" w:sz="4" w:space="0" w:color="000000"/>
              <w:bottom w:val="single" w:sz="4" w:space="0" w:color="000000"/>
              <w:right w:val="single" w:sz="4" w:space="0" w:color="000000"/>
            </w:tcBorders>
            <w:vAlign w:val="center"/>
            <w:hideMark/>
          </w:tcPr>
          <w:p w14:paraId="3A31F138"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12 years and older </w:t>
            </w:r>
          </w:p>
        </w:tc>
        <w:tc>
          <w:tcPr>
            <w:tcW w:w="2952" w:type="pct"/>
            <w:tcBorders>
              <w:top w:val="single" w:sz="4" w:space="0" w:color="000000"/>
              <w:left w:val="single" w:sz="4" w:space="0" w:color="000000"/>
              <w:bottom w:val="single" w:sz="4" w:space="0" w:color="000000"/>
              <w:right w:val="single" w:sz="4" w:space="0" w:color="000000"/>
            </w:tcBorders>
            <w:hideMark/>
          </w:tcPr>
          <w:p w14:paraId="28FFC989"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Two ivacaftor 75 mg/tezacaftor 50 mg/elexacaftor 100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77E35E97"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68B0AE2E"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bl>
    <w:p w14:paraId="577976D2" w14:textId="77777777" w:rsidR="006F4E45" w:rsidRPr="006F4E45" w:rsidRDefault="006F4E45" w:rsidP="000B039D">
      <w:pPr>
        <w:ind w:left="851"/>
        <w:jc w:val="both"/>
        <w:rPr>
          <w:color w:val="000000"/>
          <w:kern w:val="2"/>
          <w:sz w:val="24"/>
          <w:szCs w:val="24"/>
          <w:lang w:val="en-GB" w:eastAsia="en-GB"/>
        </w:rPr>
      </w:pPr>
    </w:p>
    <w:p w14:paraId="69D03D77"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The morning and evening dose should be taken approximately 12 hours apart with fat-containing food (see Method of administration). </w:t>
      </w:r>
    </w:p>
    <w:p w14:paraId="74D2DCA3" w14:textId="2A78EF29" w:rsidR="006F4E45" w:rsidRDefault="006F4E45" w:rsidP="000B039D">
      <w:pPr>
        <w:ind w:left="851"/>
        <w:rPr>
          <w:color w:val="000000"/>
          <w:kern w:val="2"/>
          <w:sz w:val="24"/>
          <w:szCs w:val="24"/>
          <w:lang w:val="en-GB" w:eastAsia="en-GB"/>
        </w:rPr>
      </w:pPr>
    </w:p>
    <w:p w14:paraId="25C1C22D" w14:textId="77777777" w:rsidR="002172BE" w:rsidRPr="002172BE" w:rsidRDefault="002172BE" w:rsidP="000B039D">
      <w:pPr>
        <w:ind w:left="851"/>
        <w:rPr>
          <w:color w:val="000000"/>
          <w:kern w:val="2"/>
          <w:sz w:val="24"/>
          <w:szCs w:val="24"/>
          <w:u w:val="single"/>
          <w:lang w:val="en-GB" w:eastAsia="en-GB"/>
        </w:rPr>
      </w:pPr>
      <w:r w:rsidRPr="002172BE">
        <w:rPr>
          <w:i/>
          <w:color w:val="000000"/>
          <w:kern w:val="2"/>
          <w:sz w:val="24"/>
          <w:szCs w:val="24"/>
          <w:lang w:val="en-GB" w:eastAsia="en-GB"/>
        </w:rPr>
        <w:t xml:space="preserve">Missed dose </w:t>
      </w:r>
    </w:p>
    <w:p w14:paraId="0F218032"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If 6 hours or less have passed since the missed morning or evening dose, the patient should be advised to take it as soon as possible and then take the next dose at the regularly scheduled time. If more than 6 hours have passed since the time the dose is usually taken, the patient should be advised to wait until the next scheduled dose. </w:t>
      </w:r>
    </w:p>
    <w:p w14:paraId="133FAECC" w14:textId="6F36F599" w:rsidR="006F4E45" w:rsidRPr="006F4E45" w:rsidRDefault="006F4E45" w:rsidP="000B039D">
      <w:pPr>
        <w:ind w:left="851"/>
        <w:rPr>
          <w:color w:val="000000"/>
          <w:kern w:val="2"/>
          <w:sz w:val="24"/>
          <w:szCs w:val="24"/>
          <w:lang w:val="en-GB" w:eastAsia="en-GB"/>
        </w:rPr>
      </w:pPr>
    </w:p>
    <w:p w14:paraId="0D21772B" w14:textId="1F27E62E"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Patients receiving </w:t>
      </w:r>
      <w:r w:rsidR="00CA3C12">
        <w:rPr>
          <w:color w:val="000000"/>
          <w:kern w:val="2"/>
          <w:sz w:val="24"/>
          <w:szCs w:val="24"/>
          <w:lang w:val="en-GB" w:eastAsia="en-GB"/>
        </w:rPr>
        <w:t>Ivacaftor "Hormosan Pharma GmbH"</w:t>
      </w:r>
      <w:r w:rsidRPr="006F4E45">
        <w:rPr>
          <w:color w:val="000000"/>
          <w:kern w:val="2"/>
          <w:sz w:val="24"/>
          <w:szCs w:val="24"/>
          <w:lang w:val="en-GB" w:eastAsia="en-GB"/>
        </w:rPr>
        <w:t xml:space="preserve"> in a combination regimen should be advised not to take more than one dose of either medicinal product at the same time. </w:t>
      </w:r>
    </w:p>
    <w:p w14:paraId="57E562CB" w14:textId="7C7BC60B" w:rsidR="006F4E45" w:rsidRDefault="006F4E45" w:rsidP="000B039D">
      <w:pPr>
        <w:ind w:left="851"/>
        <w:rPr>
          <w:color w:val="000000"/>
          <w:kern w:val="2"/>
          <w:sz w:val="24"/>
          <w:szCs w:val="24"/>
          <w:lang w:val="en-GB" w:eastAsia="en-GB"/>
        </w:rPr>
      </w:pPr>
    </w:p>
    <w:p w14:paraId="0AFD6F3F" w14:textId="77777777" w:rsidR="002172BE" w:rsidRPr="002172BE" w:rsidRDefault="002172BE" w:rsidP="000B039D">
      <w:pPr>
        <w:ind w:left="851"/>
        <w:rPr>
          <w:color w:val="000000"/>
          <w:kern w:val="2"/>
          <w:sz w:val="24"/>
          <w:szCs w:val="24"/>
          <w:u w:val="single"/>
          <w:lang w:val="en-GB" w:eastAsia="en-GB"/>
        </w:rPr>
      </w:pPr>
      <w:r w:rsidRPr="002172BE">
        <w:rPr>
          <w:i/>
          <w:color w:val="000000"/>
          <w:kern w:val="2"/>
          <w:sz w:val="24"/>
          <w:szCs w:val="24"/>
          <w:lang w:val="en-GB" w:eastAsia="en-GB"/>
        </w:rPr>
        <w:t xml:space="preserve">Concomitant use of CYP3A inhibitors </w:t>
      </w:r>
    </w:p>
    <w:p w14:paraId="1811EB64" w14:textId="2E54330B" w:rsidR="006F4E45" w:rsidRPr="006F4E45" w:rsidRDefault="006F4E45" w:rsidP="000B039D">
      <w:pPr>
        <w:ind w:left="851"/>
        <w:rPr>
          <w:color w:val="000000"/>
          <w:kern w:val="2"/>
          <w:sz w:val="24"/>
          <w:szCs w:val="24"/>
          <w:lang w:val="en-GB" w:eastAsia="en-GB"/>
        </w:rPr>
      </w:pPr>
      <w:r w:rsidRPr="006F4E45">
        <w:rPr>
          <w:color w:val="000000"/>
          <w:kern w:val="2"/>
          <w:sz w:val="24"/>
          <w:szCs w:val="24"/>
          <w:lang w:val="en-GB" w:eastAsia="en-GB"/>
        </w:rPr>
        <w:t xml:space="preserve">During concomitant administration with moderate or strong inhibitors of CYP3A, the ivacaftor dose should be adjusted as detailed in Table 2. Dosing intervals should be modified according to clinical response and tolerability (see sections 4.4 and 4.5). </w:t>
      </w:r>
    </w:p>
    <w:p w14:paraId="02801B65" w14:textId="33697F25" w:rsidR="006F4E45" w:rsidRDefault="006F4E45" w:rsidP="000B039D">
      <w:pPr>
        <w:spacing w:after="98"/>
        <w:ind w:left="3"/>
        <w:jc w:val="both"/>
        <w:rPr>
          <w:color w:val="000000"/>
          <w:kern w:val="2"/>
          <w:sz w:val="22"/>
          <w:szCs w:val="24"/>
          <w:lang w:val="en-GB" w:eastAsia="en-GB"/>
        </w:rPr>
      </w:pPr>
    </w:p>
    <w:p w14:paraId="5C8D3C94" w14:textId="03D04C33" w:rsidR="002172BE" w:rsidRPr="006F4E45" w:rsidRDefault="002172BE" w:rsidP="000B039D">
      <w:pPr>
        <w:spacing w:after="98"/>
        <w:ind w:left="3"/>
        <w:jc w:val="both"/>
        <w:rPr>
          <w:color w:val="000000"/>
          <w:kern w:val="2"/>
          <w:sz w:val="22"/>
          <w:szCs w:val="24"/>
          <w:lang w:val="en-GB" w:eastAsia="en-GB"/>
        </w:rPr>
      </w:pPr>
      <w:r w:rsidRPr="002172BE">
        <w:rPr>
          <w:b/>
          <w:color w:val="000000"/>
          <w:kern w:val="2"/>
          <w:sz w:val="22"/>
          <w:szCs w:val="24"/>
          <w:lang w:val="en-GB" w:eastAsia="en-GB"/>
        </w:rPr>
        <w:t>Table 2: Dosing recommendations for concomitant use with moderate or strong CYP3A inhibitors</w:t>
      </w:r>
    </w:p>
    <w:tbl>
      <w:tblPr>
        <w:tblW w:w="4949" w:type="pct"/>
        <w:tblCellMar>
          <w:top w:w="61" w:type="dxa"/>
          <w:right w:w="78" w:type="dxa"/>
        </w:tblCellMar>
        <w:tblLook w:val="04A0" w:firstRow="1" w:lastRow="0" w:firstColumn="1" w:lastColumn="0" w:noHBand="0" w:noVBand="1"/>
      </w:tblPr>
      <w:tblGrid>
        <w:gridCol w:w="1658"/>
        <w:gridCol w:w="4052"/>
        <w:gridCol w:w="3820"/>
      </w:tblGrid>
      <w:tr w:rsidR="006F4E45" w:rsidRPr="006F4E45" w14:paraId="4A8FF565" w14:textId="77777777">
        <w:trPr>
          <w:trHeight w:val="113"/>
          <w:tblHeader/>
        </w:trPr>
        <w:tc>
          <w:tcPr>
            <w:tcW w:w="870" w:type="pct"/>
            <w:tcBorders>
              <w:top w:val="single" w:sz="4" w:space="0" w:color="000000"/>
              <w:left w:val="single" w:sz="4" w:space="0" w:color="000000"/>
              <w:bottom w:val="single" w:sz="4" w:space="0" w:color="000000"/>
              <w:right w:val="single" w:sz="4" w:space="0" w:color="000000"/>
            </w:tcBorders>
            <w:hideMark/>
          </w:tcPr>
          <w:p w14:paraId="4735C040"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Age / weight</w:t>
            </w:r>
            <w:r w:rsidRPr="006F4E45">
              <w:rPr>
                <w:color w:val="000000"/>
                <w:kern w:val="2"/>
                <w:sz w:val="20"/>
                <w:lang w:val="en-GB" w:eastAsia="en-GB"/>
              </w:rPr>
              <w:t xml:space="preserve"> </w:t>
            </w:r>
          </w:p>
        </w:tc>
        <w:tc>
          <w:tcPr>
            <w:tcW w:w="2126" w:type="pct"/>
            <w:tcBorders>
              <w:top w:val="single" w:sz="4" w:space="0" w:color="000000"/>
              <w:left w:val="single" w:sz="4" w:space="0" w:color="000000"/>
              <w:bottom w:val="single" w:sz="4" w:space="0" w:color="000000"/>
              <w:right w:val="single" w:sz="4" w:space="0" w:color="000000"/>
            </w:tcBorders>
            <w:hideMark/>
          </w:tcPr>
          <w:p w14:paraId="741D2EAE" w14:textId="77777777" w:rsidR="006F4E45" w:rsidRPr="006F4E45" w:rsidRDefault="006F4E45" w:rsidP="000B039D">
            <w:pPr>
              <w:ind w:right="29"/>
              <w:rPr>
                <w:color w:val="000000"/>
                <w:kern w:val="2"/>
                <w:sz w:val="20"/>
                <w:lang w:val="en-GB" w:eastAsia="en-GB"/>
              </w:rPr>
            </w:pPr>
            <w:r w:rsidRPr="006F4E45">
              <w:rPr>
                <w:b/>
                <w:color w:val="000000"/>
                <w:kern w:val="2"/>
                <w:sz w:val="20"/>
                <w:lang w:val="en-GB" w:eastAsia="en-GB"/>
              </w:rPr>
              <w:t xml:space="preserve">Moderate CYP3A inhibitors </w:t>
            </w:r>
          </w:p>
        </w:tc>
        <w:tc>
          <w:tcPr>
            <w:tcW w:w="2004" w:type="pct"/>
            <w:tcBorders>
              <w:top w:val="single" w:sz="4" w:space="0" w:color="000000"/>
              <w:left w:val="single" w:sz="4" w:space="0" w:color="000000"/>
              <w:bottom w:val="single" w:sz="4" w:space="0" w:color="000000"/>
              <w:right w:val="single" w:sz="4" w:space="0" w:color="000000"/>
            </w:tcBorders>
            <w:hideMark/>
          </w:tcPr>
          <w:p w14:paraId="1E94B928" w14:textId="77777777" w:rsidR="006F4E45" w:rsidRPr="006F4E45" w:rsidRDefault="006F4E45" w:rsidP="000B039D">
            <w:pPr>
              <w:ind w:right="32"/>
              <w:rPr>
                <w:color w:val="000000"/>
                <w:kern w:val="2"/>
                <w:sz w:val="20"/>
                <w:lang w:val="en-GB" w:eastAsia="en-GB"/>
              </w:rPr>
            </w:pPr>
            <w:r w:rsidRPr="006F4E45">
              <w:rPr>
                <w:b/>
                <w:color w:val="000000"/>
                <w:kern w:val="2"/>
                <w:sz w:val="20"/>
                <w:lang w:val="en-GB" w:eastAsia="en-GB"/>
              </w:rPr>
              <w:t xml:space="preserve">Strong CYP3A inhibitors </w:t>
            </w:r>
          </w:p>
        </w:tc>
      </w:tr>
      <w:tr w:rsidR="006F4E45" w:rsidRPr="006F4E45" w14:paraId="37AAD274"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0FC5F092"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as monotherapy </w:t>
            </w:r>
          </w:p>
        </w:tc>
      </w:tr>
      <w:tr w:rsidR="006F4E45" w:rsidRPr="006F4E45" w14:paraId="14E74086"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F587592" w14:textId="77777777" w:rsidR="006F4E45" w:rsidRPr="006F4E45" w:rsidRDefault="006F4E45" w:rsidP="000B039D">
            <w:pPr>
              <w:ind w:right="83"/>
              <w:jc w:val="both"/>
              <w:rPr>
                <w:color w:val="000000"/>
                <w:kern w:val="2"/>
                <w:sz w:val="20"/>
                <w:lang w:val="en-GB" w:eastAsia="en-GB"/>
              </w:rPr>
            </w:pPr>
            <w:r w:rsidRPr="006F4E45">
              <w:rPr>
                <w:color w:val="000000"/>
                <w:kern w:val="2"/>
                <w:sz w:val="20"/>
                <w:lang w:val="en-GB" w:eastAsia="en-GB"/>
              </w:rPr>
              <w:t xml:space="preserve">6 years and older, ≥ 25 kg </w:t>
            </w:r>
          </w:p>
        </w:tc>
        <w:tc>
          <w:tcPr>
            <w:tcW w:w="2126" w:type="pct"/>
            <w:tcBorders>
              <w:top w:val="single" w:sz="4" w:space="0" w:color="000000"/>
              <w:left w:val="single" w:sz="4" w:space="0" w:color="000000"/>
              <w:bottom w:val="single" w:sz="4" w:space="0" w:color="000000"/>
              <w:right w:val="single" w:sz="4" w:space="0" w:color="000000"/>
            </w:tcBorders>
          </w:tcPr>
          <w:p w14:paraId="6FA33C2D" w14:textId="77777777" w:rsidR="006F4E45" w:rsidRPr="006F4E45" w:rsidRDefault="006F4E45" w:rsidP="000B039D">
            <w:pPr>
              <w:spacing w:after="1"/>
              <w:rPr>
                <w:color w:val="000000"/>
                <w:kern w:val="2"/>
                <w:sz w:val="20"/>
                <w:lang w:val="en-GB" w:eastAsia="en-GB"/>
              </w:rPr>
            </w:pPr>
            <w:r w:rsidRPr="006F4E45">
              <w:rPr>
                <w:color w:val="000000"/>
                <w:kern w:val="2"/>
                <w:sz w:val="20"/>
                <w:lang w:val="en-GB" w:eastAsia="en-GB"/>
              </w:rPr>
              <w:t xml:space="preserve">One morning tablet of ivacaftor 150 mg once daily. </w:t>
            </w:r>
          </w:p>
          <w:p w14:paraId="644877E4" w14:textId="77777777" w:rsidR="006F4E45" w:rsidRPr="006F4E45" w:rsidRDefault="006F4E45" w:rsidP="000B039D">
            <w:pPr>
              <w:rPr>
                <w:color w:val="000000"/>
                <w:kern w:val="2"/>
                <w:sz w:val="20"/>
                <w:lang w:val="en-GB" w:eastAsia="en-GB"/>
              </w:rPr>
            </w:pPr>
          </w:p>
          <w:p w14:paraId="4B2C553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tcPr>
          <w:p w14:paraId="7ECF2F8B" w14:textId="77777777" w:rsidR="006F4E45" w:rsidRPr="006F4E45" w:rsidRDefault="006F4E45" w:rsidP="000B039D">
            <w:pPr>
              <w:spacing w:after="1"/>
              <w:rPr>
                <w:color w:val="000000"/>
                <w:kern w:val="2"/>
                <w:sz w:val="20"/>
                <w:lang w:val="en-GB" w:eastAsia="en-GB"/>
              </w:rPr>
            </w:pPr>
            <w:r w:rsidRPr="006F4E45">
              <w:rPr>
                <w:color w:val="000000"/>
                <w:kern w:val="2"/>
                <w:sz w:val="20"/>
                <w:lang w:val="en-GB" w:eastAsia="en-GB"/>
              </w:rPr>
              <w:t xml:space="preserve">One morning tablet of ivacaftor 150 mg twice a week, approximately 3 to 4 days apart. </w:t>
            </w:r>
          </w:p>
          <w:p w14:paraId="6D5FE9A5" w14:textId="77777777" w:rsidR="006F4E45" w:rsidRPr="006F4E45" w:rsidRDefault="006F4E45" w:rsidP="000B039D">
            <w:pPr>
              <w:rPr>
                <w:color w:val="000000"/>
                <w:kern w:val="2"/>
                <w:sz w:val="20"/>
                <w:lang w:val="en-GB" w:eastAsia="en-GB"/>
              </w:rPr>
            </w:pPr>
          </w:p>
          <w:p w14:paraId="13934C6A"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915489" w14:paraId="37A21686"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06A30922"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in a combination regimen with tezacaftor/ivacaftor </w:t>
            </w:r>
          </w:p>
        </w:tc>
      </w:tr>
      <w:tr w:rsidR="006F4E45" w:rsidRPr="006F4E45" w14:paraId="6335D071"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6046DCDB"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1993B70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12 years,  </w:t>
            </w:r>
          </w:p>
          <w:p w14:paraId="52E0FF26"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126" w:type="pct"/>
            <w:tcBorders>
              <w:top w:val="single" w:sz="4" w:space="0" w:color="000000"/>
              <w:left w:val="single" w:sz="4" w:space="0" w:color="000000"/>
              <w:bottom w:val="single" w:sz="4" w:space="0" w:color="000000"/>
              <w:right w:val="single" w:sz="4" w:space="0" w:color="000000"/>
            </w:tcBorders>
            <w:hideMark/>
          </w:tcPr>
          <w:p w14:paraId="1CA947D2"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25351629" w14:textId="77777777" w:rsidR="006F4E45" w:rsidRPr="006F4E45" w:rsidRDefault="006F4E45" w:rsidP="000B039D">
            <w:pPr>
              <w:numPr>
                <w:ilvl w:val="0"/>
                <w:numId w:val="6"/>
              </w:numPr>
              <w:spacing w:after="24"/>
              <w:ind w:left="215" w:right="107" w:hanging="215"/>
              <w:rPr>
                <w:color w:val="000000"/>
                <w:kern w:val="2"/>
                <w:sz w:val="20"/>
                <w:lang w:val="en-GB" w:eastAsia="en-GB"/>
              </w:rPr>
            </w:pPr>
            <w:r w:rsidRPr="006F4E45">
              <w:rPr>
                <w:color w:val="000000"/>
                <w:kern w:val="2"/>
                <w:sz w:val="20"/>
                <w:lang w:val="en-GB" w:eastAsia="en-GB"/>
              </w:rPr>
              <w:t xml:space="preserve">one morning tablet of tezacaftor 50 mg/ivacaftor 75 mg on the first day </w:t>
            </w:r>
          </w:p>
          <w:p w14:paraId="009FF8B1" w14:textId="77777777" w:rsidR="006F4E45" w:rsidRPr="006F4E45" w:rsidRDefault="006F4E45" w:rsidP="000B039D">
            <w:pPr>
              <w:numPr>
                <w:ilvl w:val="0"/>
                <w:numId w:val="6"/>
              </w:numPr>
              <w:spacing w:after="24"/>
              <w:ind w:left="215" w:right="107" w:hanging="215"/>
              <w:rPr>
                <w:color w:val="000000"/>
                <w:kern w:val="2"/>
                <w:sz w:val="20"/>
                <w:lang w:val="en-GB" w:eastAsia="en-GB"/>
              </w:rPr>
            </w:pPr>
            <w:r w:rsidRPr="006F4E45">
              <w:rPr>
                <w:color w:val="000000"/>
                <w:kern w:val="2"/>
                <w:sz w:val="20"/>
                <w:lang w:val="en-GB" w:eastAsia="en-GB"/>
              </w:rPr>
              <w:t xml:space="preserve">one morning tablet of ivacaftor 75 mg on the next day </w:t>
            </w:r>
          </w:p>
          <w:p w14:paraId="141450F5"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6A727263"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439B2BD3" w14:textId="77777777" w:rsidR="006F4E45" w:rsidRPr="006F4E45" w:rsidRDefault="006F4E45" w:rsidP="000B039D">
            <w:pPr>
              <w:ind w:right="516"/>
              <w:rPr>
                <w:color w:val="000000"/>
                <w:kern w:val="2"/>
                <w:sz w:val="20"/>
                <w:lang w:val="en-GB" w:eastAsia="en-GB"/>
              </w:rPr>
            </w:pPr>
            <w:r w:rsidRPr="006F4E45">
              <w:rPr>
                <w:color w:val="000000"/>
                <w:kern w:val="2"/>
                <w:sz w:val="20"/>
                <w:lang w:val="en-GB" w:eastAsia="en-GB"/>
              </w:rPr>
              <w:t xml:space="preserve">One morning tablet of tezacaftor 50 mg/ivacaftor 75 mg twice a week, approximately 3 to 4 days apart.  </w:t>
            </w:r>
          </w:p>
          <w:p w14:paraId="32ED165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4C7FF06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15BDCBF1"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28A6E06"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33AB9008"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12 years, </w:t>
            </w:r>
          </w:p>
          <w:p w14:paraId="57C1510E"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126" w:type="pct"/>
            <w:tcBorders>
              <w:top w:val="single" w:sz="4" w:space="0" w:color="000000"/>
              <w:left w:val="single" w:sz="4" w:space="0" w:color="000000"/>
              <w:bottom w:val="single" w:sz="4" w:space="0" w:color="000000"/>
              <w:right w:val="single" w:sz="4" w:space="0" w:color="000000"/>
            </w:tcBorders>
            <w:hideMark/>
          </w:tcPr>
          <w:p w14:paraId="2E4F713C"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38B7DAE5" w14:textId="77777777" w:rsidR="006F4E45" w:rsidRPr="006F4E45" w:rsidRDefault="006F4E45" w:rsidP="000B039D">
            <w:pPr>
              <w:numPr>
                <w:ilvl w:val="0"/>
                <w:numId w:val="7"/>
              </w:numPr>
              <w:spacing w:after="24"/>
              <w:ind w:left="215" w:right="54" w:hanging="215"/>
              <w:rPr>
                <w:color w:val="000000"/>
                <w:kern w:val="2"/>
                <w:sz w:val="20"/>
                <w:lang w:val="en-GB" w:eastAsia="en-GB"/>
              </w:rPr>
            </w:pPr>
            <w:r w:rsidRPr="006F4E45">
              <w:rPr>
                <w:color w:val="000000"/>
                <w:kern w:val="2"/>
                <w:sz w:val="20"/>
                <w:lang w:val="en-GB" w:eastAsia="en-GB"/>
              </w:rPr>
              <w:t xml:space="preserve">one morning tablet of tezacaftor 100 mg/ivacaftor 150 mg on the first day </w:t>
            </w:r>
          </w:p>
          <w:p w14:paraId="66DEA211" w14:textId="56597331" w:rsidR="006F4E45" w:rsidRPr="00BE772B" w:rsidRDefault="006F4E45" w:rsidP="000B039D">
            <w:pPr>
              <w:numPr>
                <w:ilvl w:val="0"/>
                <w:numId w:val="7"/>
              </w:numPr>
              <w:spacing w:after="5"/>
              <w:ind w:left="215" w:right="54" w:hanging="215"/>
              <w:rPr>
                <w:color w:val="000000"/>
                <w:kern w:val="2"/>
                <w:sz w:val="20"/>
                <w:lang w:val="en-GB" w:eastAsia="en-GB"/>
              </w:rPr>
            </w:pPr>
            <w:r w:rsidRPr="00BE772B">
              <w:rPr>
                <w:color w:val="000000"/>
                <w:kern w:val="2"/>
                <w:sz w:val="20"/>
                <w:lang w:val="en-GB" w:eastAsia="en-GB"/>
              </w:rPr>
              <w:lastRenderedPageBreak/>
              <w:t xml:space="preserve">one morning tablet of ivacaftor 150 mg on the next day </w:t>
            </w:r>
          </w:p>
          <w:p w14:paraId="05FC506E"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3BA63D30"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7386413C" w14:textId="77777777" w:rsidR="006F4E45" w:rsidRPr="006F4E45" w:rsidRDefault="006F4E45" w:rsidP="000B039D">
            <w:pPr>
              <w:spacing w:after="1"/>
              <w:ind w:right="296"/>
              <w:rPr>
                <w:color w:val="000000"/>
                <w:kern w:val="2"/>
                <w:sz w:val="20"/>
                <w:lang w:val="en-GB" w:eastAsia="en-GB"/>
              </w:rPr>
            </w:pPr>
            <w:r w:rsidRPr="006F4E45">
              <w:rPr>
                <w:color w:val="000000"/>
                <w:kern w:val="2"/>
                <w:sz w:val="20"/>
                <w:lang w:val="en-GB" w:eastAsia="en-GB"/>
              </w:rPr>
              <w:lastRenderedPageBreak/>
              <w:t xml:space="preserve">One morning tablet of tezacaftor 100 mg/ivacaftor 150 mg twice a week, approximately 3 to 4 days apart. </w:t>
            </w:r>
          </w:p>
          <w:p w14:paraId="0081A31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085A92C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lastRenderedPageBreak/>
              <w:t xml:space="preserve">No evening ivacaftor dose. </w:t>
            </w:r>
          </w:p>
        </w:tc>
      </w:tr>
      <w:tr w:rsidR="006F4E45" w:rsidRPr="006F4E45" w14:paraId="1FCAC06E"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D458DE4"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lastRenderedPageBreak/>
              <w:t xml:space="preserve">12 years and older </w:t>
            </w:r>
          </w:p>
        </w:tc>
        <w:tc>
          <w:tcPr>
            <w:tcW w:w="2126" w:type="pct"/>
            <w:tcBorders>
              <w:top w:val="single" w:sz="4" w:space="0" w:color="000000"/>
              <w:left w:val="single" w:sz="4" w:space="0" w:color="000000"/>
              <w:bottom w:val="single" w:sz="4" w:space="0" w:color="000000"/>
              <w:right w:val="single" w:sz="4" w:space="0" w:color="000000"/>
            </w:tcBorders>
            <w:hideMark/>
          </w:tcPr>
          <w:p w14:paraId="606141E6"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0E2A037D" w14:textId="77777777" w:rsidR="006F4E45" w:rsidRPr="006F4E45" w:rsidRDefault="006F4E45" w:rsidP="000B039D">
            <w:pPr>
              <w:numPr>
                <w:ilvl w:val="0"/>
                <w:numId w:val="8"/>
              </w:numPr>
              <w:spacing w:after="24"/>
              <w:ind w:left="215" w:right="43" w:hanging="215"/>
              <w:rPr>
                <w:color w:val="000000"/>
                <w:kern w:val="2"/>
                <w:sz w:val="20"/>
                <w:lang w:val="en-GB" w:eastAsia="en-GB"/>
              </w:rPr>
            </w:pPr>
            <w:r w:rsidRPr="006F4E45">
              <w:rPr>
                <w:color w:val="000000"/>
                <w:kern w:val="2"/>
                <w:sz w:val="20"/>
                <w:lang w:val="en-GB" w:eastAsia="en-GB"/>
              </w:rPr>
              <w:t xml:space="preserve">one morning tablet of tezacaftor 100 mg/ivacaftor 150 mg on the first day </w:t>
            </w:r>
          </w:p>
          <w:p w14:paraId="7CD495FE" w14:textId="77777777" w:rsidR="006F4E45" w:rsidRPr="006F4E45" w:rsidRDefault="006F4E45" w:rsidP="000B039D">
            <w:pPr>
              <w:numPr>
                <w:ilvl w:val="0"/>
                <w:numId w:val="8"/>
              </w:numPr>
              <w:spacing w:after="5"/>
              <w:ind w:left="215" w:right="43"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028B2B56"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300A31AC"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12206C81" w14:textId="77777777" w:rsidR="006F4E45" w:rsidRPr="006F4E45" w:rsidRDefault="006F4E45" w:rsidP="000B039D">
            <w:pPr>
              <w:ind w:right="296"/>
              <w:rPr>
                <w:color w:val="000000"/>
                <w:kern w:val="2"/>
                <w:sz w:val="20"/>
                <w:lang w:val="en-GB" w:eastAsia="en-GB"/>
              </w:rPr>
            </w:pPr>
            <w:r w:rsidRPr="006F4E45">
              <w:rPr>
                <w:color w:val="000000"/>
                <w:kern w:val="2"/>
                <w:sz w:val="20"/>
                <w:lang w:val="en-GB" w:eastAsia="en-GB"/>
              </w:rPr>
              <w:t xml:space="preserve">One morning tablet of tezacaftor 100 mg/ivacaftor 150 mg twice a week, approximately 3 to 4 days apart. </w:t>
            </w:r>
          </w:p>
          <w:p w14:paraId="00EF534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859958A"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915489" w14:paraId="2F4C313E"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44ED30"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Ivacaftor in a combination regimen with ivacaftor/tezacaftor/elexacaftor</w:t>
            </w:r>
          </w:p>
        </w:tc>
      </w:tr>
      <w:tr w:rsidR="006F4E45" w:rsidRPr="006F4E45" w14:paraId="62831040"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1909D318"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28F402B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&lt; 12 years,</w:t>
            </w:r>
          </w:p>
          <w:p w14:paraId="34189C1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126" w:type="pct"/>
            <w:tcBorders>
              <w:top w:val="single" w:sz="4" w:space="0" w:color="000000"/>
              <w:left w:val="single" w:sz="4" w:space="0" w:color="000000"/>
              <w:bottom w:val="single" w:sz="4" w:space="0" w:color="000000"/>
              <w:right w:val="single" w:sz="4" w:space="0" w:color="000000"/>
            </w:tcBorders>
            <w:hideMark/>
          </w:tcPr>
          <w:p w14:paraId="2F280880"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2DDAE58D" w14:textId="77777777" w:rsidR="006F4E45" w:rsidRPr="006F4E45" w:rsidRDefault="006F4E45" w:rsidP="000B039D">
            <w:pPr>
              <w:numPr>
                <w:ilvl w:val="0"/>
                <w:numId w:val="9"/>
              </w:numPr>
              <w:spacing w:after="24"/>
              <w:ind w:left="215" w:right="178" w:hanging="215"/>
              <w:rPr>
                <w:color w:val="000000"/>
                <w:kern w:val="2"/>
                <w:sz w:val="20"/>
                <w:lang w:val="en-GB" w:eastAsia="en-GB"/>
              </w:rPr>
            </w:pPr>
            <w:r w:rsidRPr="006F4E45">
              <w:rPr>
                <w:color w:val="000000"/>
                <w:kern w:val="2"/>
                <w:sz w:val="20"/>
                <w:lang w:val="en-GB" w:eastAsia="en-GB"/>
              </w:rPr>
              <w:t xml:space="preserve">two morning tablets of ivacaftor 37.5 mg/tezacaftor 25 mg/ elexacaftor 50 mg on the first day  </w:t>
            </w:r>
          </w:p>
          <w:p w14:paraId="41A51DE7" w14:textId="77777777" w:rsidR="006F4E45" w:rsidRPr="006F4E45" w:rsidRDefault="006F4E45" w:rsidP="000B039D">
            <w:pPr>
              <w:numPr>
                <w:ilvl w:val="0"/>
                <w:numId w:val="9"/>
              </w:numPr>
              <w:spacing w:after="5"/>
              <w:ind w:left="215" w:right="178" w:hanging="215"/>
              <w:rPr>
                <w:color w:val="000000"/>
                <w:kern w:val="2"/>
                <w:sz w:val="20"/>
                <w:lang w:val="en-GB" w:eastAsia="en-GB"/>
              </w:rPr>
            </w:pPr>
            <w:r w:rsidRPr="006F4E45">
              <w:rPr>
                <w:color w:val="000000"/>
                <w:kern w:val="2"/>
                <w:sz w:val="20"/>
                <w:lang w:val="en-GB" w:eastAsia="en-GB"/>
              </w:rPr>
              <w:t xml:space="preserve">one morning tablet of ivacaftor 75 mg on the next day  </w:t>
            </w:r>
          </w:p>
          <w:p w14:paraId="7678EBED"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17FFC81B"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4AAC619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Two morning tablets of </w:t>
            </w:r>
          </w:p>
          <w:p w14:paraId="5228B70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ivacaftor 37.5 mg/tezacaftor 25 mg/ elexacaftor 50 mg twice a week, approximately 3 to 4 days apart. </w:t>
            </w:r>
          </w:p>
          <w:p w14:paraId="7F021A7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0EBF789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38ED147C"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591352B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555862A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12 years, </w:t>
            </w:r>
          </w:p>
          <w:p w14:paraId="3ACCD73D"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126" w:type="pct"/>
            <w:tcBorders>
              <w:top w:val="single" w:sz="4" w:space="0" w:color="000000"/>
              <w:left w:val="single" w:sz="4" w:space="0" w:color="000000"/>
              <w:bottom w:val="single" w:sz="4" w:space="0" w:color="000000"/>
              <w:right w:val="single" w:sz="4" w:space="0" w:color="000000"/>
            </w:tcBorders>
            <w:hideMark/>
          </w:tcPr>
          <w:p w14:paraId="5F6A18B3"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04426731" w14:textId="77777777" w:rsidR="006F4E45" w:rsidRPr="006F4E45" w:rsidRDefault="006F4E45" w:rsidP="000B039D">
            <w:pPr>
              <w:numPr>
                <w:ilvl w:val="0"/>
                <w:numId w:val="10"/>
              </w:numPr>
              <w:spacing w:after="24"/>
              <w:ind w:left="215" w:right="218" w:hanging="215"/>
              <w:rPr>
                <w:color w:val="000000"/>
                <w:kern w:val="2"/>
                <w:sz w:val="20"/>
                <w:lang w:val="en-GB" w:eastAsia="en-GB"/>
              </w:rPr>
            </w:pPr>
            <w:r w:rsidRPr="006F4E45">
              <w:rPr>
                <w:color w:val="000000"/>
                <w:kern w:val="2"/>
                <w:sz w:val="20"/>
                <w:lang w:val="en-GB" w:eastAsia="en-GB"/>
              </w:rPr>
              <w:t xml:space="preserve">two morning tablets of ivacaftor 75 mg/tezacaftor 50 mg/ elexacaftor 100 mg on the first day  </w:t>
            </w:r>
          </w:p>
          <w:p w14:paraId="027D8651" w14:textId="77777777" w:rsidR="006F4E45" w:rsidRPr="006F4E45" w:rsidRDefault="006F4E45" w:rsidP="000B039D">
            <w:pPr>
              <w:numPr>
                <w:ilvl w:val="0"/>
                <w:numId w:val="10"/>
              </w:numPr>
              <w:spacing w:after="5"/>
              <w:ind w:left="215" w:right="218"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249677CB"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3B7E5A3A"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79582561" w14:textId="77777777" w:rsidR="006F4E45" w:rsidRPr="006F4E45" w:rsidRDefault="006F4E45" w:rsidP="000B039D">
            <w:pPr>
              <w:ind w:right="789"/>
              <w:rPr>
                <w:color w:val="000000"/>
                <w:kern w:val="2"/>
                <w:sz w:val="20"/>
                <w:lang w:val="en-GB" w:eastAsia="en-GB"/>
              </w:rPr>
            </w:pPr>
            <w:r w:rsidRPr="006F4E45">
              <w:rPr>
                <w:color w:val="000000"/>
                <w:kern w:val="2"/>
                <w:sz w:val="20"/>
                <w:lang w:val="en-GB" w:eastAsia="en-GB"/>
              </w:rPr>
              <w:t xml:space="preserve">Two morning tablets of ivacaftor 75 mg/tezacaftor 50 mg/ elexacaftor 100 mg twice a week, approximately 3 to 4 days apart. </w:t>
            </w:r>
          </w:p>
          <w:p w14:paraId="459EF0E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D8D832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507BE1F6"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7A379E34"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12 years and older </w:t>
            </w:r>
          </w:p>
        </w:tc>
        <w:tc>
          <w:tcPr>
            <w:tcW w:w="2126" w:type="pct"/>
            <w:tcBorders>
              <w:top w:val="single" w:sz="4" w:space="0" w:color="000000"/>
              <w:left w:val="single" w:sz="4" w:space="0" w:color="000000"/>
              <w:bottom w:val="single" w:sz="4" w:space="0" w:color="000000"/>
              <w:right w:val="single" w:sz="4" w:space="0" w:color="000000"/>
            </w:tcBorders>
            <w:hideMark/>
          </w:tcPr>
          <w:p w14:paraId="42BD23D5"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6D146E6E" w14:textId="77777777" w:rsidR="006F4E45" w:rsidRPr="006F4E45" w:rsidRDefault="006F4E45" w:rsidP="000B039D">
            <w:pPr>
              <w:numPr>
                <w:ilvl w:val="0"/>
                <w:numId w:val="11"/>
              </w:numPr>
              <w:spacing w:after="24"/>
              <w:ind w:left="215" w:right="218" w:hanging="215"/>
              <w:rPr>
                <w:color w:val="000000"/>
                <w:kern w:val="2"/>
                <w:sz w:val="20"/>
                <w:lang w:val="en-GB" w:eastAsia="en-GB"/>
              </w:rPr>
            </w:pPr>
            <w:r w:rsidRPr="006F4E45">
              <w:rPr>
                <w:color w:val="000000"/>
                <w:kern w:val="2"/>
                <w:sz w:val="20"/>
                <w:lang w:val="en-GB" w:eastAsia="en-GB"/>
              </w:rPr>
              <w:t xml:space="preserve">two morning tablets of ivacaftor 75 mg/tezacaftor 50 mg/ elexacaftor 100 mg on the first day  </w:t>
            </w:r>
          </w:p>
          <w:p w14:paraId="43DD59D0" w14:textId="77777777" w:rsidR="006F4E45" w:rsidRPr="006F4E45" w:rsidRDefault="006F4E45" w:rsidP="000B039D">
            <w:pPr>
              <w:numPr>
                <w:ilvl w:val="0"/>
                <w:numId w:val="11"/>
              </w:numPr>
              <w:spacing w:after="5"/>
              <w:ind w:left="215" w:right="218"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1DCB511D"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1BF38321"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67FA484D" w14:textId="77777777" w:rsidR="006F4E45" w:rsidRPr="006F4E45" w:rsidRDefault="006F4E45" w:rsidP="000B039D">
            <w:pPr>
              <w:ind w:right="789"/>
              <w:rPr>
                <w:color w:val="000000"/>
                <w:kern w:val="2"/>
                <w:sz w:val="20"/>
                <w:lang w:val="en-GB" w:eastAsia="en-GB"/>
              </w:rPr>
            </w:pPr>
            <w:r w:rsidRPr="006F4E45">
              <w:rPr>
                <w:color w:val="000000"/>
                <w:kern w:val="2"/>
                <w:sz w:val="20"/>
                <w:lang w:val="en-GB" w:eastAsia="en-GB"/>
              </w:rPr>
              <w:t xml:space="preserve">Two morning tablets of ivacaftor 75 mg/tezacaftor 50 mg/ elexacaftor 100 mg twice a week, approximately 3 to 4 days apart. </w:t>
            </w:r>
          </w:p>
          <w:p w14:paraId="07B49E7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37303C0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bl>
    <w:p w14:paraId="3B987927" w14:textId="6F934E44" w:rsidR="006F4E45" w:rsidRDefault="006F4E45" w:rsidP="000B039D">
      <w:pPr>
        <w:ind w:left="851"/>
        <w:jc w:val="both"/>
        <w:rPr>
          <w:color w:val="000000"/>
          <w:kern w:val="2"/>
          <w:sz w:val="24"/>
          <w:szCs w:val="24"/>
          <w:lang w:val="en-GB" w:eastAsia="en-GB"/>
        </w:rPr>
      </w:pPr>
    </w:p>
    <w:p w14:paraId="1D88F08B" w14:textId="77777777" w:rsidR="002172BE" w:rsidRPr="002172BE" w:rsidRDefault="002172BE" w:rsidP="000B039D">
      <w:pPr>
        <w:ind w:left="851"/>
        <w:jc w:val="both"/>
        <w:rPr>
          <w:color w:val="000000"/>
          <w:kern w:val="2"/>
          <w:sz w:val="24"/>
          <w:szCs w:val="24"/>
          <w:u w:val="single"/>
          <w:lang w:val="en-GB" w:eastAsia="en-GB"/>
        </w:rPr>
      </w:pPr>
      <w:r w:rsidRPr="002172BE">
        <w:rPr>
          <w:color w:val="000000"/>
          <w:kern w:val="2"/>
          <w:sz w:val="24"/>
          <w:szCs w:val="24"/>
          <w:u w:val="single"/>
          <w:lang w:val="en-GB" w:eastAsia="en-GB"/>
        </w:rPr>
        <w:t>Special populations</w:t>
      </w:r>
      <w:r w:rsidRPr="002172BE">
        <w:rPr>
          <w:color w:val="000000"/>
          <w:kern w:val="2"/>
          <w:sz w:val="24"/>
          <w:szCs w:val="24"/>
          <w:lang w:val="en-GB" w:eastAsia="en-GB"/>
        </w:rPr>
        <w:t xml:space="preserve"> </w:t>
      </w:r>
    </w:p>
    <w:p w14:paraId="2980B8A6" w14:textId="77777777" w:rsidR="002172BE" w:rsidRPr="002172BE" w:rsidRDefault="002172BE" w:rsidP="000B039D">
      <w:pPr>
        <w:ind w:left="851"/>
        <w:jc w:val="both"/>
        <w:rPr>
          <w:color w:val="000000"/>
          <w:kern w:val="2"/>
          <w:sz w:val="24"/>
          <w:szCs w:val="24"/>
          <w:lang w:val="en-GB" w:eastAsia="en-GB"/>
        </w:rPr>
      </w:pPr>
    </w:p>
    <w:p w14:paraId="4A387BF7" w14:textId="77777777" w:rsidR="002172BE" w:rsidRPr="002172BE" w:rsidRDefault="002172BE" w:rsidP="000B039D">
      <w:pPr>
        <w:ind w:left="851"/>
        <w:jc w:val="both"/>
        <w:rPr>
          <w:i/>
          <w:color w:val="000000"/>
          <w:kern w:val="2"/>
          <w:sz w:val="24"/>
          <w:szCs w:val="24"/>
          <w:lang w:val="en-GB" w:eastAsia="en-GB"/>
        </w:rPr>
      </w:pPr>
      <w:r w:rsidRPr="002172BE">
        <w:rPr>
          <w:i/>
          <w:color w:val="000000"/>
          <w:kern w:val="2"/>
          <w:sz w:val="24"/>
          <w:szCs w:val="24"/>
          <w:lang w:val="en-GB" w:eastAsia="en-GB"/>
        </w:rPr>
        <w:t>Elderly</w:t>
      </w:r>
    </w:p>
    <w:p w14:paraId="1A39B5E6" w14:textId="77777777" w:rsidR="006F4E45" w:rsidRPr="006F4E45" w:rsidRDefault="006F4E45" w:rsidP="000B039D">
      <w:pPr>
        <w:spacing w:after="5"/>
        <w:ind w:left="851" w:right="11" w:hanging="8"/>
        <w:rPr>
          <w:color w:val="000000"/>
          <w:kern w:val="2"/>
          <w:sz w:val="24"/>
          <w:szCs w:val="24"/>
          <w:lang w:val="en-GB" w:eastAsia="en-GB"/>
        </w:rPr>
      </w:pPr>
      <w:r w:rsidRPr="006F4E45">
        <w:rPr>
          <w:color w:val="000000"/>
          <w:kern w:val="2"/>
          <w:sz w:val="24"/>
          <w:szCs w:val="24"/>
          <w:lang w:val="en-GB" w:eastAsia="en-GB"/>
        </w:rPr>
        <w:t xml:space="preserve">Very limited data are available for elderly patients treated with ivacaftor (administered as monotherapy or in a combination regimen). No dose adjustment specific to this patient population is required (see section 5.2). </w:t>
      </w:r>
    </w:p>
    <w:p w14:paraId="3303FB9E" w14:textId="0E941436" w:rsidR="006F4E45" w:rsidRDefault="006F4E45" w:rsidP="000B039D">
      <w:pPr>
        <w:ind w:left="851"/>
        <w:rPr>
          <w:color w:val="000000"/>
          <w:kern w:val="2"/>
          <w:sz w:val="24"/>
          <w:szCs w:val="24"/>
          <w:lang w:val="en-GB" w:eastAsia="en-GB"/>
        </w:rPr>
      </w:pPr>
    </w:p>
    <w:p w14:paraId="386DACA4" w14:textId="77777777" w:rsidR="002172BE" w:rsidRPr="002172BE" w:rsidRDefault="002172BE" w:rsidP="000B039D">
      <w:pPr>
        <w:ind w:left="851"/>
        <w:rPr>
          <w:i/>
          <w:color w:val="000000"/>
          <w:kern w:val="2"/>
          <w:sz w:val="24"/>
          <w:szCs w:val="24"/>
          <w:lang w:val="en-GB" w:eastAsia="en-GB"/>
        </w:rPr>
      </w:pPr>
      <w:r w:rsidRPr="002172BE">
        <w:rPr>
          <w:i/>
          <w:color w:val="000000"/>
          <w:kern w:val="2"/>
          <w:sz w:val="24"/>
          <w:szCs w:val="24"/>
          <w:lang w:val="en-GB" w:eastAsia="en-GB"/>
        </w:rPr>
        <w:t>Renal impairment</w:t>
      </w:r>
    </w:p>
    <w:p w14:paraId="7E4041EE" w14:textId="77777777" w:rsidR="006F4E45" w:rsidRPr="006F4E45" w:rsidRDefault="006F4E45" w:rsidP="000B039D">
      <w:pPr>
        <w:spacing w:after="5"/>
        <w:ind w:left="851" w:right="276" w:hanging="8"/>
        <w:rPr>
          <w:color w:val="000000"/>
          <w:kern w:val="2"/>
          <w:sz w:val="24"/>
          <w:szCs w:val="24"/>
          <w:lang w:val="en-GB" w:eastAsia="en-GB"/>
        </w:rPr>
      </w:pPr>
      <w:r w:rsidRPr="006F4E45">
        <w:rPr>
          <w:color w:val="000000"/>
          <w:kern w:val="2"/>
          <w:sz w:val="24"/>
          <w:szCs w:val="24"/>
          <w:lang w:val="en-GB" w:eastAsia="en-GB"/>
        </w:rPr>
        <w:t xml:space="preserve">No dose adjustment is necessary for patients with mild to moderate renal impairment. Caution is recommended in patients with severe renal impairment (creatinine clearance less than or equal to 30 mL/min) or end-stage renal disease (see sections 4.4 and 5.2). </w:t>
      </w:r>
    </w:p>
    <w:p w14:paraId="022E35FC" w14:textId="7666D842" w:rsidR="006F4E45" w:rsidRPr="006F4E45" w:rsidRDefault="006F4E45" w:rsidP="000B039D">
      <w:pPr>
        <w:ind w:left="851"/>
        <w:rPr>
          <w:color w:val="000000"/>
          <w:kern w:val="2"/>
          <w:sz w:val="24"/>
          <w:szCs w:val="24"/>
          <w:lang w:val="en-GB" w:eastAsia="en-GB"/>
        </w:rPr>
      </w:pPr>
    </w:p>
    <w:p w14:paraId="43405C07" w14:textId="77777777" w:rsidR="002172BE" w:rsidRPr="002172BE" w:rsidRDefault="002172BE" w:rsidP="000B039D">
      <w:pPr>
        <w:spacing w:after="5"/>
        <w:ind w:left="851" w:right="11" w:hanging="8"/>
        <w:rPr>
          <w:i/>
          <w:color w:val="000000"/>
          <w:kern w:val="2"/>
          <w:sz w:val="24"/>
          <w:szCs w:val="24"/>
          <w:lang w:val="en-GB" w:eastAsia="en-GB"/>
        </w:rPr>
      </w:pPr>
      <w:r w:rsidRPr="002172BE">
        <w:rPr>
          <w:i/>
          <w:color w:val="000000"/>
          <w:kern w:val="2"/>
          <w:sz w:val="24"/>
          <w:szCs w:val="24"/>
          <w:lang w:val="en-GB" w:eastAsia="en-GB"/>
        </w:rPr>
        <w:t>Hepatic impairment</w:t>
      </w:r>
    </w:p>
    <w:p w14:paraId="761C02F5" w14:textId="5500EF1C" w:rsidR="006F4E45" w:rsidRPr="006F4E45" w:rsidRDefault="006F4E45" w:rsidP="000B039D">
      <w:pPr>
        <w:spacing w:after="5"/>
        <w:ind w:left="851" w:right="11" w:hanging="8"/>
        <w:rPr>
          <w:color w:val="000000"/>
          <w:kern w:val="2"/>
          <w:sz w:val="24"/>
          <w:szCs w:val="24"/>
          <w:lang w:val="en-GB" w:eastAsia="en-GB"/>
        </w:rPr>
      </w:pPr>
      <w:r w:rsidRPr="006F4E45">
        <w:rPr>
          <w:color w:val="000000"/>
          <w:kern w:val="2"/>
          <w:sz w:val="24"/>
          <w:szCs w:val="24"/>
          <w:lang w:val="en-GB" w:eastAsia="en-GB"/>
        </w:rPr>
        <w:t xml:space="preserve">No dose adjustment is necessary in patients with mild hepatic impairment (Child-Pugh Class A). </w:t>
      </w:r>
    </w:p>
    <w:p w14:paraId="2BAA73E8" w14:textId="63CF8574" w:rsidR="006F4E45" w:rsidRPr="006F4E45" w:rsidRDefault="006F4E45" w:rsidP="000B039D">
      <w:pPr>
        <w:ind w:left="851"/>
        <w:rPr>
          <w:color w:val="000000"/>
          <w:kern w:val="2"/>
          <w:sz w:val="24"/>
          <w:szCs w:val="24"/>
          <w:lang w:val="en-GB" w:eastAsia="en-GB"/>
        </w:rPr>
      </w:pPr>
    </w:p>
    <w:p w14:paraId="452D4B58" w14:textId="705775E9" w:rsidR="006F4E45" w:rsidRDefault="006F4E45" w:rsidP="000B039D">
      <w:pPr>
        <w:spacing w:after="5"/>
        <w:ind w:left="851" w:right="11" w:hanging="8"/>
        <w:rPr>
          <w:color w:val="000000"/>
          <w:kern w:val="2"/>
          <w:sz w:val="24"/>
          <w:szCs w:val="24"/>
          <w:lang w:val="en-GB" w:eastAsia="en-GB"/>
        </w:rPr>
      </w:pPr>
      <w:r w:rsidRPr="006F4E45">
        <w:rPr>
          <w:color w:val="000000"/>
          <w:kern w:val="2"/>
          <w:sz w:val="24"/>
          <w:szCs w:val="24"/>
          <w:lang w:val="en-GB" w:eastAsia="en-GB"/>
        </w:rPr>
        <w:lastRenderedPageBreak/>
        <w:t>In patients with moderate hepatic impairment (Child-Pugh Class B) or severe hepatic impairment (Child-Pugh Class C), the ivacaftor dose should be adjusted as detailed in Table 3 (see sections 4.4, 4.8, and 5.2).</w:t>
      </w:r>
    </w:p>
    <w:p w14:paraId="75B0546B" w14:textId="628363BF" w:rsidR="006F4E45" w:rsidRDefault="006F4E45" w:rsidP="000B039D">
      <w:pPr>
        <w:ind w:left="3"/>
        <w:jc w:val="both"/>
        <w:rPr>
          <w:color w:val="000000"/>
          <w:kern w:val="2"/>
          <w:sz w:val="22"/>
          <w:szCs w:val="24"/>
          <w:lang w:val="en-GB" w:eastAsia="en-GB"/>
        </w:rPr>
      </w:pPr>
    </w:p>
    <w:p w14:paraId="1581B621" w14:textId="77777777" w:rsidR="002172BE" w:rsidRPr="002172BE" w:rsidRDefault="002172BE" w:rsidP="000B039D">
      <w:pPr>
        <w:ind w:left="3"/>
        <w:jc w:val="both"/>
        <w:rPr>
          <w:b/>
          <w:color w:val="000000"/>
          <w:kern w:val="2"/>
          <w:sz w:val="22"/>
          <w:szCs w:val="24"/>
          <w:lang w:val="en-GB" w:eastAsia="en-GB"/>
        </w:rPr>
      </w:pPr>
      <w:r w:rsidRPr="002172BE">
        <w:rPr>
          <w:b/>
          <w:color w:val="000000"/>
          <w:kern w:val="2"/>
          <w:sz w:val="22"/>
          <w:szCs w:val="24"/>
          <w:lang w:val="en-GB" w:eastAsia="en-GB"/>
        </w:rPr>
        <w:t>Table 3: Dosing recommendations for patients with moderate or severe hepatic impairment</w:t>
      </w:r>
    </w:p>
    <w:tbl>
      <w:tblPr>
        <w:tblW w:w="5000" w:type="pct"/>
        <w:tblCellMar>
          <w:top w:w="58" w:type="dxa"/>
          <w:left w:w="107" w:type="dxa"/>
          <w:right w:w="65" w:type="dxa"/>
        </w:tblCellMar>
        <w:tblLook w:val="04A0" w:firstRow="1" w:lastRow="0" w:firstColumn="1" w:lastColumn="0" w:noHBand="0" w:noVBand="1"/>
      </w:tblPr>
      <w:tblGrid>
        <w:gridCol w:w="1581"/>
        <w:gridCol w:w="3460"/>
        <w:gridCol w:w="4587"/>
      </w:tblGrid>
      <w:tr w:rsidR="006F4E45" w:rsidRPr="00915489" w14:paraId="2BF03358" w14:textId="77777777">
        <w:trPr>
          <w:trHeight w:val="113"/>
          <w:tblHeader/>
        </w:trPr>
        <w:tc>
          <w:tcPr>
            <w:tcW w:w="821" w:type="pct"/>
            <w:tcBorders>
              <w:top w:val="single" w:sz="4" w:space="0" w:color="000000"/>
              <w:left w:val="single" w:sz="4" w:space="0" w:color="000000"/>
              <w:bottom w:val="single" w:sz="4" w:space="0" w:color="000000"/>
              <w:right w:val="single" w:sz="4" w:space="0" w:color="000000"/>
            </w:tcBorders>
            <w:hideMark/>
          </w:tcPr>
          <w:p w14:paraId="0511A788"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Age/weight </w:t>
            </w:r>
          </w:p>
        </w:tc>
        <w:tc>
          <w:tcPr>
            <w:tcW w:w="1797" w:type="pct"/>
            <w:tcBorders>
              <w:top w:val="single" w:sz="4" w:space="0" w:color="000000"/>
              <w:left w:val="single" w:sz="4" w:space="0" w:color="000000"/>
              <w:bottom w:val="single" w:sz="4" w:space="0" w:color="000000"/>
              <w:right w:val="single" w:sz="4" w:space="0" w:color="000000"/>
            </w:tcBorders>
            <w:hideMark/>
          </w:tcPr>
          <w:p w14:paraId="1154CEF2" w14:textId="77777777" w:rsidR="006F4E45" w:rsidRPr="006F4E45" w:rsidRDefault="006F4E45" w:rsidP="000B039D">
            <w:pPr>
              <w:ind w:right="45"/>
              <w:rPr>
                <w:color w:val="000000"/>
                <w:kern w:val="2"/>
                <w:sz w:val="20"/>
                <w:lang w:val="en-GB" w:eastAsia="en-GB"/>
              </w:rPr>
            </w:pPr>
            <w:r w:rsidRPr="006F4E45">
              <w:rPr>
                <w:b/>
                <w:color w:val="000000"/>
                <w:kern w:val="2"/>
                <w:sz w:val="20"/>
                <w:lang w:val="en-GB" w:eastAsia="en-GB"/>
              </w:rPr>
              <w:t xml:space="preserve">Moderate (Child-Pugh Class B) </w:t>
            </w:r>
          </w:p>
        </w:tc>
        <w:tc>
          <w:tcPr>
            <w:tcW w:w="2382" w:type="pct"/>
            <w:tcBorders>
              <w:top w:val="single" w:sz="4" w:space="0" w:color="000000"/>
              <w:left w:val="single" w:sz="4" w:space="0" w:color="000000"/>
              <w:bottom w:val="single" w:sz="4" w:space="0" w:color="000000"/>
              <w:right w:val="single" w:sz="4" w:space="0" w:color="000000"/>
            </w:tcBorders>
            <w:hideMark/>
          </w:tcPr>
          <w:p w14:paraId="7D93D8C7" w14:textId="77777777" w:rsidR="006F4E45" w:rsidRPr="006F4E45" w:rsidRDefault="006F4E45" w:rsidP="000B039D">
            <w:pPr>
              <w:ind w:right="44"/>
              <w:rPr>
                <w:color w:val="000000"/>
                <w:kern w:val="2"/>
                <w:sz w:val="20"/>
                <w:lang w:val="en-GB" w:eastAsia="en-GB"/>
              </w:rPr>
            </w:pPr>
            <w:r w:rsidRPr="006F4E45">
              <w:rPr>
                <w:b/>
                <w:color w:val="000000"/>
                <w:kern w:val="2"/>
                <w:sz w:val="20"/>
                <w:lang w:val="en-GB" w:eastAsia="en-GB"/>
              </w:rPr>
              <w:t xml:space="preserve">Severe (Child-Pugh Class C) </w:t>
            </w:r>
          </w:p>
        </w:tc>
      </w:tr>
      <w:tr w:rsidR="006F4E45" w:rsidRPr="006F4E45" w14:paraId="3147BD1E"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38EE83EC"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as monotherapy </w:t>
            </w:r>
          </w:p>
        </w:tc>
      </w:tr>
      <w:tr w:rsidR="006F4E45" w:rsidRPr="006F4E45" w14:paraId="4AB88BC6"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282EED35" w14:textId="77777777" w:rsidR="006F4E45" w:rsidRPr="006F4E45" w:rsidRDefault="006F4E45" w:rsidP="000B039D">
            <w:pPr>
              <w:ind w:right="170"/>
              <w:rPr>
                <w:color w:val="000000"/>
                <w:kern w:val="2"/>
                <w:sz w:val="20"/>
                <w:lang w:val="en-GB" w:eastAsia="en-GB"/>
              </w:rPr>
            </w:pPr>
            <w:r w:rsidRPr="006F4E45">
              <w:rPr>
                <w:color w:val="000000"/>
                <w:kern w:val="2"/>
                <w:sz w:val="20"/>
                <w:lang w:val="en-GB" w:eastAsia="en-GB"/>
              </w:rPr>
              <w:t xml:space="preserve">6 years and older, ≥ 25 kg </w:t>
            </w:r>
          </w:p>
        </w:tc>
        <w:tc>
          <w:tcPr>
            <w:tcW w:w="1797" w:type="pct"/>
            <w:tcBorders>
              <w:top w:val="single" w:sz="4" w:space="0" w:color="000000"/>
              <w:left w:val="single" w:sz="4" w:space="0" w:color="000000"/>
              <w:bottom w:val="single" w:sz="4" w:space="0" w:color="000000"/>
              <w:right w:val="single" w:sz="4" w:space="0" w:color="000000"/>
            </w:tcBorders>
            <w:hideMark/>
          </w:tcPr>
          <w:p w14:paraId="2B4EE4C5" w14:textId="77777777" w:rsidR="006F4E45" w:rsidRPr="006F4E45" w:rsidRDefault="006F4E45" w:rsidP="000B039D">
            <w:pPr>
              <w:ind w:right="641"/>
              <w:rPr>
                <w:color w:val="000000"/>
                <w:kern w:val="2"/>
                <w:sz w:val="20"/>
                <w:lang w:val="en-GB" w:eastAsia="en-GB"/>
              </w:rPr>
            </w:pPr>
            <w:r w:rsidRPr="006F4E45">
              <w:rPr>
                <w:color w:val="000000"/>
                <w:kern w:val="2"/>
                <w:sz w:val="20"/>
                <w:lang w:val="en-GB" w:eastAsia="en-GB"/>
              </w:rPr>
              <w:t xml:space="preserve">One morning tablet of ivacaftor 150 mg once daily.  </w:t>
            </w:r>
          </w:p>
          <w:p w14:paraId="0CAB1D3B"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B8D14BC"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0E6141E6"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4429C09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0CF1962" w14:textId="77777777" w:rsidR="006F4E45" w:rsidRPr="006F4E45" w:rsidRDefault="006F4E45" w:rsidP="000B039D">
            <w:pPr>
              <w:spacing w:after="1"/>
              <w:rPr>
                <w:color w:val="000000"/>
                <w:kern w:val="2"/>
                <w:sz w:val="20"/>
                <w:lang w:val="en-GB" w:eastAsia="en-GB"/>
              </w:rPr>
            </w:pPr>
            <w:r w:rsidRPr="006F4E45">
              <w:rPr>
                <w:color w:val="000000"/>
                <w:kern w:val="2"/>
                <w:sz w:val="20"/>
                <w:lang w:val="en-GB" w:eastAsia="en-GB"/>
              </w:rPr>
              <w:t xml:space="preserve">If used, one morning tablet of ivacaftor 150 mg every other day or less frequently according to clinical response and tolerability. </w:t>
            </w:r>
          </w:p>
          <w:p w14:paraId="740D8FFA"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47595FA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915489" w14:paraId="67D62BA0"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24D7048C"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in a combination regimen with tezacaftor/ivacaftor </w:t>
            </w:r>
          </w:p>
        </w:tc>
      </w:tr>
      <w:tr w:rsidR="006F4E45" w:rsidRPr="006F4E45" w14:paraId="2EC9DA67"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1E547EE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6 years to </w:t>
            </w:r>
          </w:p>
          <w:p w14:paraId="2A944AD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12 years,  </w:t>
            </w:r>
          </w:p>
          <w:p w14:paraId="1607F06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30 kg </w:t>
            </w:r>
          </w:p>
        </w:tc>
        <w:tc>
          <w:tcPr>
            <w:tcW w:w="1797" w:type="pct"/>
            <w:tcBorders>
              <w:top w:val="single" w:sz="4" w:space="0" w:color="000000"/>
              <w:left w:val="single" w:sz="4" w:space="0" w:color="000000"/>
              <w:bottom w:val="single" w:sz="4" w:space="0" w:color="000000"/>
              <w:right w:val="single" w:sz="4" w:space="0" w:color="000000"/>
            </w:tcBorders>
            <w:hideMark/>
          </w:tcPr>
          <w:p w14:paraId="499F42AA" w14:textId="77777777" w:rsidR="006F4E45" w:rsidRPr="006F4E45" w:rsidRDefault="006F4E45" w:rsidP="000B039D">
            <w:pPr>
              <w:spacing w:after="1"/>
              <w:ind w:right="281"/>
              <w:rPr>
                <w:color w:val="000000"/>
                <w:kern w:val="2"/>
                <w:sz w:val="20"/>
                <w:lang w:val="en-GB" w:eastAsia="en-GB"/>
              </w:rPr>
            </w:pPr>
            <w:r w:rsidRPr="006F4E45">
              <w:rPr>
                <w:color w:val="000000"/>
                <w:kern w:val="2"/>
                <w:sz w:val="20"/>
                <w:lang w:val="en-GB" w:eastAsia="en-GB"/>
              </w:rPr>
              <w:t xml:space="preserve">One morning tablet of tezacaftor 50 mg/ivacaftor 75 mg once daily.  </w:t>
            </w:r>
          </w:p>
          <w:p w14:paraId="7DCD4F0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485D55CC"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3FB14B00" w14:textId="77777777" w:rsidR="006F4E45" w:rsidRPr="006F4E45" w:rsidRDefault="006F4E45" w:rsidP="000B039D">
            <w:pPr>
              <w:spacing w:after="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F971B5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32FF9D83" w14:textId="77777777" w:rsidR="006F4E45" w:rsidRPr="006F4E45" w:rsidRDefault="006F4E45" w:rsidP="000B039D">
            <w:pPr>
              <w:ind w:right="374"/>
              <w:rPr>
                <w:color w:val="000000"/>
                <w:kern w:val="2"/>
                <w:sz w:val="20"/>
                <w:lang w:val="en-GB" w:eastAsia="en-GB"/>
              </w:rPr>
            </w:pPr>
            <w:r w:rsidRPr="006F4E45">
              <w:rPr>
                <w:color w:val="000000"/>
                <w:kern w:val="2"/>
                <w:sz w:val="20"/>
                <w:lang w:val="en-GB" w:eastAsia="en-GB"/>
              </w:rPr>
              <w:t xml:space="preserve">If used, one morning tablet of tezacaftor 50 mg/ivacaftor 75 mg once daily or less frequently according to clinical response and tolerability.  </w:t>
            </w:r>
          </w:p>
          <w:p w14:paraId="134A6F1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2994067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5C496FEE"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10CC77F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6 years to </w:t>
            </w:r>
          </w:p>
          <w:p w14:paraId="0F22EA5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12 years, </w:t>
            </w:r>
          </w:p>
          <w:p w14:paraId="4984DA8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30 kg </w:t>
            </w:r>
          </w:p>
        </w:tc>
        <w:tc>
          <w:tcPr>
            <w:tcW w:w="1797" w:type="pct"/>
            <w:tcBorders>
              <w:top w:val="single" w:sz="4" w:space="0" w:color="000000"/>
              <w:left w:val="single" w:sz="4" w:space="0" w:color="000000"/>
              <w:bottom w:val="single" w:sz="4" w:space="0" w:color="000000"/>
              <w:right w:val="single" w:sz="4" w:space="0" w:color="000000"/>
            </w:tcBorders>
            <w:hideMark/>
          </w:tcPr>
          <w:p w14:paraId="08BF6AF9" w14:textId="77777777" w:rsidR="006F4E45" w:rsidRPr="006F4E45" w:rsidRDefault="006F4E45" w:rsidP="000B039D">
            <w:pPr>
              <w:ind w:right="170"/>
              <w:rPr>
                <w:color w:val="000000"/>
                <w:kern w:val="2"/>
                <w:sz w:val="20"/>
                <w:lang w:val="en-GB" w:eastAsia="en-GB"/>
              </w:rPr>
            </w:pPr>
            <w:r w:rsidRPr="006F4E45">
              <w:rPr>
                <w:color w:val="000000"/>
                <w:kern w:val="2"/>
                <w:sz w:val="20"/>
                <w:lang w:val="en-GB" w:eastAsia="en-GB"/>
              </w:rPr>
              <w:t xml:space="preserve">One morning tablet of tezacaftor 100 mg/ivacaftor 150 mg once daily.  </w:t>
            </w:r>
          </w:p>
          <w:p w14:paraId="3277795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2C77093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6DA9AAE4"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210DEF3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2E9E79D4" w14:textId="77777777" w:rsidR="006F4E45" w:rsidRPr="006F4E45" w:rsidRDefault="006F4E45" w:rsidP="000B039D">
            <w:pPr>
              <w:ind w:right="374"/>
              <w:rPr>
                <w:color w:val="000000"/>
                <w:kern w:val="2"/>
                <w:sz w:val="20"/>
                <w:lang w:val="en-GB" w:eastAsia="en-GB"/>
              </w:rPr>
            </w:pPr>
            <w:r w:rsidRPr="006F4E45">
              <w:rPr>
                <w:color w:val="000000"/>
                <w:kern w:val="2"/>
                <w:sz w:val="20"/>
                <w:lang w:val="en-GB" w:eastAsia="en-GB"/>
              </w:rPr>
              <w:t xml:space="preserve">If used, one morning tablet of tezacaftor 100 mg/ivacaftor 150 mg once daily or less frequently according to clinical response and tolerability. </w:t>
            </w:r>
          </w:p>
          <w:p w14:paraId="10B48EF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9DE32A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4360BC7D"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0857D9B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12 years and older </w:t>
            </w:r>
          </w:p>
        </w:tc>
        <w:tc>
          <w:tcPr>
            <w:tcW w:w="1797" w:type="pct"/>
            <w:tcBorders>
              <w:top w:val="single" w:sz="4" w:space="0" w:color="000000"/>
              <w:left w:val="single" w:sz="4" w:space="0" w:color="000000"/>
              <w:bottom w:val="single" w:sz="4" w:space="0" w:color="000000"/>
              <w:right w:val="single" w:sz="4" w:space="0" w:color="000000"/>
            </w:tcBorders>
            <w:hideMark/>
          </w:tcPr>
          <w:p w14:paraId="2D477282" w14:textId="77777777" w:rsidR="006F4E45" w:rsidRPr="006F4E45" w:rsidRDefault="006F4E45" w:rsidP="000B039D">
            <w:pPr>
              <w:ind w:right="274"/>
              <w:rPr>
                <w:color w:val="000000"/>
                <w:kern w:val="2"/>
                <w:sz w:val="20"/>
                <w:lang w:val="en-GB" w:eastAsia="en-GB"/>
              </w:rPr>
            </w:pPr>
            <w:r w:rsidRPr="006F4E45">
              <w:rPr>
                <w:color w:val="000000"/>
                <w:kern w:val="2"/>
                <w:sz w:val="20"/>
                <w:lang w:val="en-GB" w:eastAsia="en-GB"/>
              </w:rPr>
              <w:t xml:space="preserve">One morning tablet of tezacaftor 100 mg/ivacaftor 150 mg once daily. </w:t>
            </w:r>
          </w:p>
          <w:p w14:paraId="2900ADD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A199E9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63E5FB5E"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8E9304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4EEA3B4" w14:textId="77777777" w:rsidR="006F4E45" w:rsidRPr="006F4E45" w:rsidRDefault="006F4E45" w:rsidP="000B039D">
            <w:pPr>
              <w:ind w:right="124"/>
              <w:rPr>
                <w:color w:val="000000"/>
                <w:kern w:val="2"/>
                <w:sz w:val="20"/>
                <w:lang w:val="en-GB" w:eastAsia="en-GB"/>
              </w:rPr>
            </w:pPr>
            <w:r w:rsidRPr="006F4E45">
              <w:rPr>
                <w:color w:val="000000"/>
                <w:kern w:val="2"/>
                <w:sz w:val="20"/>
                <w:lang w:val="en-GB" w:eastAsia="en-GB"/>
              </w:rPr>
              <w:t xml:space="preserve">If used, one morning tablet of tezacaftor 100 mg/ivacaftor 150 mg once daily or less frequently according to clinical response and tolerability.  </w:t>
            </w:r>
          </w:p>
          <w:p w14:paraId="020B374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0353DD6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915489" w14:paraId="3C614CEC"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712BE79C"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in a combination regimen with ivacaftor/tezacaftor/elexacaftor  </w:t>
            </w:r>
          </w:p>
        </w:tc>
      </w:tr>
      <w:tr w:rsidR="006F4E45" w:rsidRPr="006F4E45" w14:paraId="68309A63" w14:textId="77777777" w:rsidTr="004B19A3">
        <w:trPr>
          <w:trHeight w:val="4165"/>
        </w:trPr>
        <w:tc>
          <w:tcPr>
            <w:tcW w:w="821" w:type="pct"/>
            <w:tcBorders>
              <w:top w:val="single" w:sz="4" w:space="0" w:color="000000"/>
              <w:left w:val="single" w:sz="4" w:space="0" w:color="000000"/>
              <w:bottom w:val="nil"/>
              <w:right w:val="single" w:sz="4" w:space="0" w:color="000000"/>
            </w:tcBorders>
            <w:hideMark/>
          </w:tcPr>
          <w:p w14:paraId="7BD0E04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lastRenderedPageBreak/>
              <w:t xml:space="preserve">6 years to </w:t>
            </w:r>
          </w:p>
          <w:p w14:paraId="173A2A1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12 years, </w:t>
            </w:r>
          </w:p>
          <w:p w14:paraId="2D6D83B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30 kg </w:t>
            </w:r>
          </w:p>
        </w:tc>
        <w:tc>
          <w:tcPr>
            <w:tcW w:w="1797" w:type="pct"/>
            <w:tcBorders>
              <w:top w:val="single" w:sz="4" w:space="0" w:color="000000"/>
              <w:left w:val="single" w:sz="4" w:space="0" w:color="000000"/>
              <w:bottom w:val="nil"/>
              <w:right w:val="single" w:sz="4" w:space="0" w:color="000000"/>
            </w:tcBorders>
            <w:hideMark/>
          </w:tcPr>
          <w:p w14:paraId="5D6277F1" w14:textId="77777777" w:rsidR="006F4E45" w:rsidRPr="006F4E45" w:rsidRDefault="006F4E45" w:rsidP="000B039D">
            <w:pPr>
              <w:ind w:left="11" w:hanging="1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25A03371"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 </w:t>
            </w:r>
          </w:p>
          <w:p w14:paraId="0DE23631" w14:textId="77777777" w:rsidR="006F4E45" w:rsidRPr="006F4E45" w:rsidRDefault="006F4E45" w:rsidP="000B039D">
            <w:pPr>
              <w:spacing w:after="38"/>
              <w:ind w:left="11" w:hanging="11"/>
              <w:rPr>
                <w:color w:val="000000"/>
                <w:kern w:val="2"/>
                <w:sz w:val="20"/>
                <w:lang w:val="en-GB" w:eastAsia="en-GB"/>
              </w:rPr>
            </w:pPr>
            <w:r w:rsidRPr="006F4E45">
              <w:rPr>
                <w:color w:val="000000"/>
                <w:kern w:val="2"/>
                <w:sz w:val="20"/>
                <w:lang w:val="en-GB" w:eastAsia="en-GB"/>
              </w:rPr>
              <w:t xml:space="preserve">If used, the dose should be adjusted as follows: </w:t>
            </w:r>
          </w:p>
          <w:p w14:paraId="2044BA65" w14:textId="44F9CA32" w:rsidR="006F4E45" w:rsidRPr="004B19A3" w:rsidRDefault="006F4E45" w:rsidP="000B039D">
            <w:pPr>
              <w:numPr>
                <w:ilvl w:val="0"/>
                <w:numId w:val="12"/>
              </w:numPr>
              <w:spacing w:after="5"/>
              <w:ind w:left="295" w:right="61" w:hanging="295"/>
              <w:rPr>
                <w:color w:val="000000"/>
                <w:kern w:val="2"/>
                <w:sz w:val="20"/>
                <w:lang w:val="en-GB" w:eastAsia="en-GB"/>
              </w:rPr>
            </w:pPr>
            <w:r w:rsidRPr="004B19A3">
              <w:rPr>
                <w:color w:val="000000"/>
                <w:kern w:val="2"/>
                <w:sz w:val="20"/>
                <w:lang w:val="en-GB" w:eastAsia="en-GB"/>
              </w:rPr>
              <w:t xml:space="preserve">Day 1: two ivacaftor 37.5 mg/tezacaftor 25 mg/elexacaftor 50 mg tablets in the morning </w:t>
            </w:r>
          </w:p>
          <w:p w14:paraId="713BB445" w14:textId="6F4F7FFD" w:rsidR="006F4E45" w:rsidRPr="004B19A3" w:rsidRDefault="006F4E45" w:rsidP="000B039D">
            <w:pPr>
              <w:numPr>
                <w:ilvl w:val="0"/>
                <w:numId w:val="12"/>
              </w:numPr>
              <w:spacing w:after="4"/>
              <w:ind w:left="295" w:right="129" w:hanging="295"/>
              <w:rPr>
                <w:color w:val="000000"/>
                <w:kern w:val="2"/>
                <w:sz w:val="20"/>
                <w:lang w:val="en-GB" w:eastAsia="en-GB"/>
              </w:rPr>
            </w:pPr>
            <w:r w:rsidRPr="004B19A3">
              <w:rPr>
                <w:color w:val="000000"/>
                <w:kern w:val="2"/>
                <w:sz w:val="20"/>
                <w:lang w:val="en-GB" w:eastAsia="en-GB"/>
              </w:rPr>
              <w:t xml:space="preserve">Day 2: one ivacaftor 37.5 mg/tezacaftor 25 mg/elexacaftor 50 mg tablet in the morning </w:t>
            </w:r>
          </w:p>
          <w:p w14:paraId="1A7FB62D"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 </w:t>
            </w:r>
          </w:p>
          <w:p w14:paraId="307CA09C"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382A465B"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 </w:t>
            </w:r>
          </w:p>
          <w:p w14:paraId="48D9E80D"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nil"/>
              <w:right w:val="single" w:sz="4" w:space="0" w:color="000000"/>
            </w:tcBorders>
            <w:hideMark/>
          </w:tcPr>
          <w:p w14:paraId="6AA81023"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Should not be used. </w:t>
            </w:r>
          </w:p>
          <w:p w14:paraId="4C80119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tc>
      </w:tr>
      <w:tr w:rsidR="006F4E45" w:rsidRPr="006F4E45" w14:paraId="0434D182"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2B9FA673"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6 years to </w:t>
            </w:r>
          </w:p>
          <w:p w14:paraId="26C1657E"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&lt; 12 years, </w:t>
            </w:r>
          </w:p>
          <w:p w14:paraId="645F52D6"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30 kg </w:t>
            </w:r>
          </w:p>
        </w:tc>
        <w:tc>
          <w:tcPr>
            <w:tcW w:w="1797" w:type="pct"/>
            <w:tcBorders>
              <w:top w:val="single" w:sz="4" w:space="0" w:color="000000"/>
              <w:left w:val="single" w:sz="4" w:space="0" w:color="000000"/>
              <w:bottom w:val="single" w:sz="4" w:space="0" w:color="000000"/>
              <w:right w:val="single" w:sz="4" w:space="0" w:color="000000"/>
            </w:tcBorders>
            <w:hideMark/>
          </w:tcPr>
          <w:p w14:paraId="37F9C132" w14:textId="77777777" w:rsidR="006F4E45" w:rsidRPr="006F4E45" w:rsidRDefault="006F4E45" w:rsidP="000B039D">
            <w:pPr>
              <w:ind w:left="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37572C2"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p w14:paraId="4BC03CEA" w14:textId="77777777" w:rsidR="006F4E45" w:rsidRPr="006F4E45" w:rsidRDefault="006F4E45" w:rsidP="000B039D">
            <w:pPr>
              <w:spacing w:after="38"/>
              <w:ind w:left="1"/>
              <w:rPr>
                <w:color w:val="000000"/>
                <w:kern w:val="2"/>
                <w:sz w:val="20"/>
                <w:lang w:val="en-GB" w:eastAsia="en-GB"/>
              </w:rPr>
            </w:pPr>
            <w:r w:rsidRPr="006F4E45">
              <w:rPr>
                <w:color w:val="000000"/>
                <w:kern w:val="2"/>
                <w:sz w:val="20"/>
                <w:lang w:val="en-GB" w:eastAsia="en-GB"/>
              </w:rPr>
              <w:t xml:space="preserve">If used, the dose should be adjusted as follows: </w:t>
            </w:r>
          </w:p>
          <w:p w14:paraId="43C2E689" w14:textId="5214E5B1" w:rsidR="006F4E45" w:rsidRPr="004B19A3" w:rsidRDefault="006F4E45" w:rsidP="000B039D">
            <w:pPr>
              <w:numPr>
                <w:ilvl w:val="0"/>
                <w:numId w:val="13"/>
              </w:numPr>
              <w:spacing w:after="43"/>
              <w:ind w:left="295" w:right="294" w:hanging="284"/>
              <w:rPr>
                <w:color w:val="000000"/>
                <w:kern w:val="2"/>
                <w:sz w:val="20"/>
                <w:lang w:val="en-GB" w:eastAsia="en-GB"/>
              </w:rPr>
            </w:pPr>
            <w:r w:rsidRPr="004B19A3">
              <w:rPr>
                <w:color w:val="000000"/>
                <w:kern w:val="2"/>
                <w:sz w:val="20"/>
                <w:lang w:val="en-GB" w:eastAsia="en-GB"/>
              </w:rPr>
              <w:t xml:space="preserve">Day 1: two ivacaftor 75 mg/tezacaftor 50 mg/elexacaftor 100 mg tablets in the morning </w:t>
            </w:r>
          </w:p>
          <w:p w14:paraId="1EB82BBD" w14:textId="613F41FC" w:rsidR="006F4E45" w:rsidRPr="004B19A3" w:rsidRDefault="006F4E45" w:rsidP="000B039D">
            <w:pPr>
              <w:numPr>
                <w:ilvl w:val="0"/>
                <w:numId w:val="13"/>
              </w:numPr>
              <w:spacing w:after="5"/>
              <w:ind w:left="295" w:right="285" w:hanging="284"/>
              <w:rPr>
                <w:color w:val="000000"/>
                <w:kern w:val="2"/>
                <w:sz w:val="20"/>
                <w:lang w:val="en-GB" w:eastAsia="en-GB"/>
              </w:rPr>
            </w:pPr>
            <w:r w:rsidRPr="004B19A3">
              <w:rPr>
                <w:color w:val="000000"/>
                <w:kern w:val="2"/>
                <w:sz w:val="20"/>
                <w:lang w:val="en-GB" w:eastAsia="en-GB"/>
              </w:rPr>
              <w:t xml:space="preserve">Day 2: one ivacaftor 75 mg/tezacaftor 50 mg/elexacaftor 100 mg tablet in the morning </w:t>
            </w:r>
          </w:p>
          <w:p w14:paraId="1A72C0B6"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3F57D1CC"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2718441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68FA17E6"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5D73CD10"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Should not be used. </w:t>
            </w:r>
          </w:p>
          <w:p w14:paraId="3E8EB7FA"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tc>
      </w:tr>
      <w:tr w:rsidR="006F4E45" w:rsidRPr="006F4E45" w14:paraId="6156488A"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795619FA"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12 years and older </w:t>
            </w:r>
          </w:p>
        </w:tc>
        <w:tc>
          <w:tcPr>
            <w:tcW w:w="1797" w:type="pct"/>
            <w:tcBorders>
              <w:top w:val="single" w:sz="4" w:space="0" w:color="000000"/>
              <w:left w:val="single" w:sz="4" w:space="0" w:color="000000"/>
              <w:bottom w:val="single" w:sz="4" w:space="0" w:color="000000"/>
              <w:right w:val="single" w:sz="4" w:space="0" w:color="000000"/>
            </w:tcBorders>
            <w:hideMark/>
          </w:tcPr>
          <w:p w14:paraId="772F7D09" w14:textId="77777777" w:rsidR="006F4E45" w:rsidRPr="006F4E45" w:rsidRDefault="006F4E45" w:rsidP="000B039D">
            <w:pPr>
              <w:spacing w:after="1"/>
              <w:ind w:left="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73DCADCA"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p w14:paraId="74041165" w14:textId="77777777" w:rsidR="006F4E45" w:rsidRPr="006F4E45" w:rsidRDefault="006F4E45" w:rsidP="000B039D">
            <w:pPr>
              <w:spacing w:after="1"/>
              <w:ind w:left="1"/>
              <w:rPr>
                <w:color w:val="000000"/>
                <w:kern w:val="2"/>
                <w:sz w:val="20"/>
                <w:lang w:val="en-GB" w:eastAsia="en-GB"/>
              </w:rPr>
            </w:pPr>
            <w:r w:rsidRPr="006F4E45">
              <w:rPr>
                <w:color w:val="000000"/>
                <w:kern w:val="2"/>
                <w:sz w:val="20"/>
                <w:lang w:val="en-GB" w:eastAsia="en-GB"/>
              </w:rPr>
              <w:t xml:space="preserve">If used, the dose should be adjusted as follows: </w:t>
            </w:r>
          </w:p>
          <w:p w14:paraId="5B1C4900" w14:textId="77777777" w:rsidR="006F4E45" w:rsidRPr="006F4E45" w:rsidRDefault="006F4E45" w:rsidP="000B039D">
            <w:pPr>
              <w:spacing w:after="24"/>
              <w:ind w:left="1"/>
              <w:rPr>
                <w:color w:val="000000"/>
                <w:kern w:val="2"/>
                <w:sz w:val="20"/>
                <w:lang w:val="en-GB" w:eastAsia="en-GB"/>
              </w:rPr>
            </w:pPr>
            <w:r w:rsidRPr="006F4E45">
              <w:rPr>
                <w:color w:val="000000"/>
                <w:kern w:val="2"/>
                <w:sz w:val="20"/>
                <w:lang w:val="en-GB" w:eastAsia="en-GB"/>
              </w:rPr>
              <w:t xml:space="preserve"> </w:t>
            </w:r>
          </w:p>
          <w:p w14:paraId="399B2A9B" w14:textId="373E5B18" w:rsidR="006F4E45" w:rsidRPr="004B19A3" w:rsidRDefault="006F4E45" w:rsidP="000B039D">
            <w:pPr>
              <w:numPr>
                <w:ilvl w:val="0"/>
                <w:numId w:val="14"/>
              </w:numPr>
              <w:spacing w:after="43"/>
              <w:ind w:left="295" w:right="294" w:hanging="284"/>
              <w:rPr>
                <w:color w:val="000000"/>
                <w:kern w:val="2"/>
                <w:sz w:val="20"/>
                <w:lang w:val="en-GB" w:eastAsia="en-GB"/>
              </w:rPr>
            </w:pPr>
            <w:r w:rsidRPr="004B19A3">
              <w:rPr>
                <w:color w:val="000000"/>
                <w:kern w:val="2"/>
                <w:sz w:val="20"/>
                <w:lang w:val="en-GB" w:eastAsia="en-GB"/>
              </w:rPr>
              <w:t xml:space="preserve">Day 1: two ivacaftor 75 mg/tezacaftor 50 mg/elexacaftor 100 mg tablets in the morning  </w:t>
            </w:r>
          </w:p>
          <w:p w14:paraId="6F3595E8" w14:textId="1F600F5D" w:rsidR="006F4E45" w:rsidRPr="004B19A3" w:rsidRDefault="006F4E45" w:rsidP="000B039D">
            <w:pPr>
              <w:numPr>
                <w:ilvl w:val="0"/>
                <w:numId w:val="14"/>
              </w:numPr>
              <w:spacing w:after="5"/>
              <w:ind w:left="295" w:right="285" w:hanging="284"/>
              <w:rPr>
                <w:color w:val="000000"/>
                <w:kern w:val="2"/>
                <w:sz w:val="20"/>
                <w:lang w:val="en-GB" w:eastAsia="en-GB"/>
              </w:rPr>
            </w:pPr>
            <w:r w:rsidRPr="004B19A3">
              <w:rPr>
                <w:color w:val="000000"/>
                <w:kern w:val="2"/>
                <w:sz w:val="20"/>
                <w:lang w:val="en-GB" w:eastAsia="en-GB"/>
              </w:rPr>
              <w:t xml:space="preserve">Day 2: one ivacaftor 75 mg/tezacaftor 50 mg/elexacaftor 100 mg tablet in the morning </w:t>
            </w:r>
          </w:p>
          <w:p w14:paraId="75C4E3FB"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D6B1A6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30DFE15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7D59CBB"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78EA73A4"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Should not be used. </w:t>
            </w:r>
          </w:p>
          <w:p w14:paraId="5563663E"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tc>
      </w:tr>
    </w:tbl>
    <w:p w14:paraId="4629C52D" w14:textId="37DBF193" w:rsidR="004B19A3" w:rsidRDefault="004B19A3" w:rsidP="000B039D">
      <w:pPr>
        <w:spacing w:after="41"/>
        <w:ind w:left="851"/>
        <w:jc w:val="both"/>
        <w:rPr>
          <w:color w:val="000000"/>
          <w:kern w:val="2"/>
          <w:sz w:val="24"/>
          <w:szCs w:val="24"/>
          <w:lang w:val="en-GB" w:eastAsia="en-GB"/>
        </w:rPr>
      </w:pPr>
    </w:p>
    <w:p w14:paraId="0BCF69E6" w14:textId="77777777" w:rsidR="004B19A3" w:rsidRDefault="004B19A3" w:rsidP="000B039D">
      <w:pPr>
        <w:rPr>
          <w:color w:val="000000"/>
          <w:kern w:val="2"/>
          <w:sz w:val="24"/>
          <w:szCs w:val="24"/>
          <w:lang w:val="en-GB" w:eastAsia="en-GB"/>
        </w:rPr>
      </w:pPr>
      <w:r>
        <w:rPr>
          <w:color w:val="000000"/>
          <w:kern w:val="2"/>
          <w:sz w:val="24"/>
          <w:szCs w:val="24"/>
          <w:lang w:val="en-GB" w:eastAsia="en-GB"/>
        </w:rPr>
        <w:br w:type="page"/>
      </w:r>
    </w:p>
    <w:p w14:paraId="5B395E5E" w14:textId="77777777" w:rsidR="002172BE" w:rsidRPr="002172BE" w:rsidRDefault="002172BE" w:rsidP="000B039D">
      <w:pPr>
        <w:spacing w:after="41"/>
        <w:ind w:left="851"/>
        <w:jc w:val="both"/>
        <w:rPr>
          <w:color w:val="000000"/>
          <w:kern w:val="2"/>
          <w:sz w:val="24"/>
          <w:szCs w:val="24"/>
          <w:u w:val="single"/>
          <w:lang w:val="en-GB" w:eastAsia="en-GB"/>
        </w:rPr>
      </w:pPr>
      <w:r w:rsidRPr="002172BE">
        <w:rPr>
          <w:color w:val="000000"/>
          <w:kern w:val="2"/>
          <w:sz w:val="24"/>
          <w:szCs w:val="24"/>
          <w:u w:val="single"/>
          <w:lang w:val="en-GB" w:eastAsia="en-GB"/>
        </w:rPr>
        <w:lastRenderedPageBreak/>
        <w:t>Paediatric population</w:t>
      </w:r>
      <w:r w:rsidRPr="002172BE">
        <w:rPr>
          <w:color w:val="000000"/>
          <w:kern w:val="2"/>
          <w:sz w:val="24"/>
          <w:szCs w:val="24"/>
          <w:lang w:val="en-GB" w:eastAsia="en-GB"/>
        </w:rPr>
        <w:t xml:space="preserve"> </w:t>
      </w:r>
    </w:p>
    <w:p w14:paraId="220FDCD9" w14:textId="3A63E3E5" w:rsidR="006F4E45" w:rsidRPr="006F4E45" w:rsidRDefault="006F4E45" w:rsidP="000B039D">
      <w:pPr>
        <w:ind w:left="851"/>
        <w:rPr>
          <w:color w:val="000000"/>
          <w:kern w:val="2"/>
          <w:sz w:val="24"/>
          <w:szCs w:val="24"/>
          <w:lang w:val="en-GB" w:eastAsia="en-GB"/>
        </w:rPr>
      </w:pPr>
      <w:r w:rsidRPr="006F4E45">
        <w:rPr>
          <w:color w:val="000000"/>
          <w:kern w:val="2"/>
          <w:sz w:val="24"/>
          <w:szCs w:val="24"/>
          <w:lang w:val="en-GB" w:eastAsia="en-GB"/>
        </w:rPr>
        <w:t xml:space="preserve">The safety and efficacy of ivacaftor as monotherapy have not been established in children less than 1 month of age or in children less than 6 months of age born prematurely (less than 37 weeks of gestational age), neither in combination with tezacaftor/ivacaftor in children less than 6 years of age or in combination with ivacaftor/tezacaftor/elexacaftor in children less than 2 years of age. No data are available. </w:t>
      </w:r>
    </w:p>
    <w:p w14:paraId="55983D68" w14:textId="77777777" w:rsidR="006F4E45" w:rsidRPr="006F4E45" w:rsidRDefault="006F4E45" w:rsidP="000B039D">
      <w:pPr>
        <w:ind w:left="851"/>
        <w:rPr>
          <w:color w:val="000000"/>
          <w:kern w:val="2"/>
          <w:sz w:val="24"/>
          <w:szCs w:val="24"/>
          <w:lang w:val="en-GB" w:eastAsia="en-GB"/>
        </w:rPr>
      </w:pPr>
      <w:r w:rsidRPr="006F4E45">
        <w:rPr>
          <w:color w:val="000000"/>
          <w:kern w:val="2"/>
          <w:sz w:val="24"/>
          <w:szCs w:val="24"/>
          <w:lang w:val="en-GB" w:eastAsia="en-GB"/>
        </w:rPr>
        <w:t xml:space="preserve"> </w:t>
      </w:r>
    </w:p>
    <w:p w14:paraId="4C78B10C" w14:textId="44727660"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Limited data are available in patients less than 6 years of age with an </w:t>
      </w:r>
      <w:r w:rsidRPr="006F4E45">
        <w:rPr>
          <w:i/>
          <w:color w:val="000000"/>
          <w:kern w:val="2"/>
          <w:sz w:val="24"/>
          <w:szCs w:val="24"/>
          <w:lang w:val="en-GB" w:eastAsia="en-GB"/>
        </w:rPr>
        <w:t xml:space="preserve">R117H </w:t>
      </w:r>
      <w:r w:rsidRPr="006F4E45">
        <w:rPr>
          <w:color w:val="000000"/>
          <w:kern w:val="2"/>
          <w:sz w:val="24"/>
          <w:szCs w:val="24"/>
          <w:lang w:val="en-GB" w:eastAsia="en-GB"/>
        </w:rPr>
        <w:t xml:space="preserve">mutation in the </w:t>
      </w:r>
      <w:r w:rsidRPr="006F4E45">
        <w:rPr>
          <w:i/>
          <w:color w:val="000000"/>
          <w:kern w:val="2"/>
          <w:sz w:val="24"/>
          <w:szCs w:val="24"/>
          <w:lang w:val="en-GB" w:eastAsia="en-GB"/>
        </w:rPr>
        <w:t xml:space="preserve">CFTR </w:t>
      </w:r>
      <w:r w:rsidRPr="006F4E45">
        <w:rPr>
          <w:color w:val="000000"/>
          <w:kern w:val="2"/>
          <w:sz w:val="24"/>
          <w:szCs w:val="24"/>
          <w:lang w:val="en-GB" w:eastAsia="en-GB"/>
        </w:rPr>
        <w:t>gene. Available data in patients aged 6 years and older are described in sections 4.8, 5.1, and 5.2.</w:t>
      </w:r>
    </w:p>
    <w:p w14:paraId="4D2CF346" w14:textId="708824A5" w:rsidR="006F4E45" w:rsidRDefault="006F4E45" w:rsidP="000B039D">
      <w:pPr>
        <w:ind w:left="851"/>
        <w:rPr>
          <w:color w:val="000000"/>
          <w:kern w:val="2"/>
          <w:sz w:val="24"/>
          <w:szCs w:val="24"/>
          <w:lang w:val="en-GB" w:eastAsia="en-GB"/>
        </w:rPr>
      </w:pPr>
    </w:p>
    <w:p w14:paraId="00657208" w14:textId="76341B76" w:rsidR="002172BE" w:rsidRPr="002172BE" w:rsidRDefault="002172BE" w:rsidP="000B039D">
      <w:pPr>
        <w:ind w:left="851"/>
        <w:rPr>
          <w:color w:val="000000"/>
          <w:kern w:val="2"/>
          <w:sz w:val="24"/>
          <w:szCs w:val="24"/>
          <w:u w:val="single"/>
          <w:lang w:val="en-GB" w:eastAsia="en-GB"/>
        </w:rPr>
      </w:pPr>
      <w:r w:rsidRPr="002172BE">
        <w:rPr>
          <w:color w:val="000000"/>
          <w:kern w:val="2"/>
          <w:sz w:val="24"/>
          <w:szCs w:val="24"/>
          <w:u w:val="single"/>
          <w:lang w:val="en-GB" w:eastAsia="en-GB"/>
        </w:rPr>
        <w:t>Method of administration</w:t>
      </w:r>
    </w:p>
    <w:p w14:paraId="506323CC" w14:textId="6E016C20"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For oral use.</w:t>
      </w:r>
    </w:p>
    <w:p w14:paraId="066137C8" w14:textId="5B04F47B" w:rsidR="006F4E45" w:rsidRPr="006F4E45" w:rsidRDefault="006F4E45" w:rsidP="000B039D">
      <w:pPr>
        <w:ind w:left="851"/>
        <w:rPr>
          <w:color w:val="000000"/>
          <w:kern w:val="2"/>
          <w:sz w:val="24"/>
          <w:szCs w:val="24"/>
          <w:lang w:val="en-GB" w:eastAsia="en-GB"/>
        </w:rPr>
      </w:pPr>
    </w:p>
    <w:p w14:paraId="5AA5B1FF" w14:textId="480E6EDC"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Patients should be instructed to swallow the tablets whole. The tablets should not be chewed, crushed, or broken before swallowing because there are no clinical data currently available to support other methods of administration.</w:t>
      </w:r>
    </w:p>
    <w:p w14:paraId="21AA6246" w14:textId="21BC974C" w:rsidR="006F4E45" w:rsidRPr="006F4E45" w:rsidRDefault="006F4E45" w:rsidP="000B039D">
      <w:pPr>
        <w:ind w:left="851"/>
        <w:rPr>
          <w:color w:val="000000"/>
          <w:kern w:val="2"/>
          <w:sz w:val="24"/>
          <w:szCs w:val="24"/>
          <w:lang w:val="en-GB" w:eastAsia="en-GB"/>
        </w:rPr>
      </w:pPr>
    </w:p>
    <w:p w14:paraId="2088DAB8" w14:textId="6CBFC476"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Ivacaftor tablets should be taken with fat-containing food.</w:t>
      </w:r>
    </w:p>
    <w:p w14:paraId="3D3B7CAA" w14:textId="68240386" w:rsidR="006F4E45" w:rsidRPr="006F4E45" w:rsidRDefault="006F4E45" w:rsidP="000B039D">
      <w:pPr>
        <w:ind w:left="851"/>
        <w:rPr>
          <w:color w:val="000000"/>
          <w:kern w:val="2"/>
          <w:sz w:val="24"/>
          <w:szCs w:val="24"/>
          <w:lang w:val="en-GB" w:eastAsia="en-GB"/>
        </w:rPr>
      </w:pPr>
    </w:p>
    <w:p w14:paraId="2E2A6BF6"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Food or drink containing grapefruit should be avoided during treatment (see section 4.5). </w:t>
      </w:r>
    </w:p>
    <w:p w14:paraId="6655E1E1" w14:textId="77777777" w:rsidR="007C5D2A" w:rsidRPr="006F4E45" w:rsidRDefault="007C5D2A" w:rsidP="000B039D">
      <w:pPr>
        <w:tabs>
          <w:tab w:val="left" w:pos="851"/>
        </w:tabs>
        <w:ind w:left="851"/>
        <w:rPr>
          <w:sz w:val="24"/>
          <w:szCs w:val="24"/>
          <w:lang w:val="en-GB"/>
        </w:rPr>
      </w:pPr>
    </w:p>
    <w:p w14:paraId="07C74F7B"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4.3</w:t>
      </w:r>
      <w:r w:rsidRPr="00303008">
        <w:rPr>
          <w:b/>
          <w:sz w:val="24"/>
          <w:szCs w:val="24"/>
          <w:lang w:val="en-GB"/>
        </w:rPr>
        <w:tab/>
        <w:t>Contraindications</w:t>
      </w:r>
    </w:p>
    <w:p w14:paraId="40637A71"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Hypersensitivity to the active substance or to any of the excipients listed in section 6.1. </w:t>
      </w:r>
    </w:p>
    <w:p w14:paraId="460D79C4" w14:textId="77777777" w:rsidR="007C5D2A" w:rsidRPr="00303008" w:rsidRDefault="007C5D2A" w:rsidP="000B039D">
      <w:pPr>
        <w:tabs>
          <w:tab w:val="left" w:pos="851"/>
        </w:tabs>
        <w:ind w:left="851"/>
        <w:rPr>
          <w:sz w:val="24"/>
          <w:szCs w:val="24"/>
          <w:lang w:val="en-GB"/>
        </w:rPr>
      </w:pPr>
    </w:p>
    <w:p w14:paraId="0E0526ED" w14:textId="77777777" w:rsidR="007C5D2A" w:rsidRPr="00303008" w:rsidRDefault="007C5D2A" w:rsidP="000B039D">
      <w:pPr>
        <w:tabs>
          <w:tab w:val="left" w:pos="851"/>
        </w:tabs>
        <w:rPr>
          <w:b/>
          <w:sz w:val="24"/>
          <w:szCs w:val="24"/>
          <w:lang w:val="en-GB"/>
        </w:rPr>
      </w:pPr>
      <w:r w:rsidRPr="00303008">
        <w:rPr>
          <w:b/>
          <w:sz w:val="24"/>
          <w:szCs w:val="24"/>
          <w:lang w:val="en-GB"/>
        </w:rPr>
        <w:t>4.4</w:t>
      </w:r>
      <w:r w:rsidRPr="00303008">
        <w:rPr>
          <w:b/>
          <w:sz w:val="24"/>
          <w:szCs w:val="24"/>
          <w:lang w:val="en-GB"/>
        </w:rPr>
        <w:tab/>
        <w:t>Special warnings and precautions for use</w:t>
      </w:r>
    </w:p>
    <w:p w14:paraId="7C8072F2"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Only patients with CF who had a </w:t>
      </w:r>
      <w:r w:rsidRPr="00B27757">
        <w:rPr>
          <w:i/>
          <w:sz w:val="24"/>
          <w:szCs w:val="24"/>
          <w:lang w:val="en-GB"/>
        </w:rPr>
        <w:t>G551D</w:t>
      </w:r>
      <w:r w:rsidRPr="00B27757">
        <w:rPr>
          <w:sz w:val="24"/>
          <w:szCs w:val="24"/>
          <w:lang w:val="en-GB"/>
        </w:rPr>
        <w:t xml:space="preserve">, </w:t>
      </w:r>
      <w:r w:rsidRPr="00B27757">
        <w:rPr>
          <w:i/>
          <w:sz w:val="24"/>
          <w:szCs w:val="24"/>
          <w:lang w:val="en-GB"/>
        </w:rPr>
        <w:t>G1244E</w:t>
      </w:r>
      <w:r w:rsidRPr="00B27757">
        <w:rPr>
          <w:sz w:val="24"/>
          <w:szCs w:val="24"/>
          <w:lang w:val="en-GB"/>
        </w:rPr>
        <w:t xml:space="preserve">, </w:t>
      </w:r>
      <w:r w:rsidRPr="00B27757">
        <w:rPr>
          <w:i/>
          <w:sz w:val="24"/>
          <w:szCs w:val="24"/>
          <w:lang w:val="en-GB"/>
        </w:rPr>
        <w:t>G1349D</w:t>
      </w:r>
      <w:r w:rsidRPr="00B27757">
        <w:rPr>
          <w:sz w:val="24"/>
          <w:szCs w:val="24"/>
          <w:lang w:val="en-GB"/>
        </w:rPr>
        <w:t xml:space="preserve">, </w:t>
      </w:r>
      <w:r w:rsidRPr="00B27757">
        <w:rPr>
          <w:i/>
          <w:sz w:val="24"/>
          <w:szCs w:val="24"/>
          <w:lang w:val="en-GB"/>
        </w:rPr>
        <w:t>G178R</w:t>
      </w:r>
      <w:r w:rsidRPr="00B27757">
        <w:rPr>
          <w:sz w:val="24"/>
          <w:szCs w:val="24"/>
          <w:lang w:val="en-GB"/>
        </w:rPr>
        <w:t xml:space="preserve">, </w:t>
      </w:r>
      <w:r w:rsidRPr="00B27757">
        <w:rPr>
          <w:i/>
          <w:sz w:val="24"/>
          <w:szCs w:val="24"/>
          <w:lang w:val="en-GB"/>
        </w:rPr>
        <w:t>G551S</w:t>
      </w:r>
      <w:r w:rsidRPr="00B27757">
        <w:rPr>
          <w:sz w:val="24"/>
          <w:szCs w:val="24"/>
          <w:lang w:val="en-GB"/>
        </w:rPr>
        <w:t xml:space="preserve">, </w:t>
      </w:r>
      <w:r w:rsidRPr="00B27757">
        <w:rPr>
          <w:i/>
          <w:sz w:val="24"/>
          <w:szCs w:val="24"/>
          <w:lang w:val="en-GB"/>
        </w:rPr>
        <w:t>S1251N</w:t>
      </w:r>
      <w:r w:rsidRPr="00B27757">
        <w:rPr>
          <w:sz w:val="24"/>
          <w:szCs w:val="24"/>
          <w:lang w:val="en-GB"/>
        </w:rPr>
        <w:t xml:space="preserve">, </w:t>
      </w:r>
      <w:r w:rsidRPr="00B27757">
        <w:rPr>
          <w:i/>
          <w:sz w:val="24"/>
          <w:szCs w:val="24"/>
          <w:lang w:val="en-GB"/>
        </w:rPr>
        <w:t>S1255P</w:t>
      </w:r>
      <w:r w:rsidRPr="00B27757">
        <w:rPr>
          <w:sz w:val="24"/>
          <w:szCs w:val="24"/>
          <w:lang w:val="en-GB"/>
        </w:rPr>
        <w:t xml:space="preserve">, </w:t>
      </w:r>
      <w:r w:rsidRPr="00B27757">
        <w:rPr>
          <w:i/>
          <w:sz w:val="24"/>
          <w:szCs w:val="24"/>
          <w:lang w:val="en-GB"/>
        </w:rPr>
        <w:t>S549N</w:t>
      </w:r>
      <w:r w:rsidRPr="00B27757">
        <w:rPr>
          <w:sz w:val="24"/>
          <w:szCs w:val="24"/>
          <w:lang w:val="en-GB"/>
        </w:rPr>
        <w:t xml:space="preserve">, </w:t>
      </w:r>
      <w:r w:rsidRPr="00B27757">
        <w:rPr>
          <w:i/>
          <w:sz w:val="24"/>
          <w:szCs w:val="24"/>
          <w:lang w:val="en-GB"/>
        </w:rPr>
        <w:t>S549R</w:t>
      </w:r>
      <w:r w:rsidRPr="00B27757">
        <w:rPr>
          <w:sz w:val="24"/>
          <w:szCs w:val="24"/>
          <w:lang w:val="en-GB"/>
        </w:rPr>
        <w:t xml:space="preserve"> gating (Class III), </w:t>
      </w:r>
      <w:r w:rsidRPr="00B27757">
        <w:rPr>
          <w:i/>
          <w:sz w:val="24"/>
          <w:szCs w:val="24"/>
          <w:lang w:val="en-GB"/>
        </w:rPr>
        <w:t>G970R</w:t>
      </w:r>
      <w:r w:rsidRPr="00B27757">
        <w:rPr>
          <w:sz w:val="24"/>
          <w:szCs w:val="24"/>
          <w:lang w:val="en-GB"/>
        </w:rPr>
        <w:t xml:space="preserve"> or </w:t>
      </w:r>
      <w:r w:rsidRPr="00B27757">
        <w:rPr>
          <w:i/>
          <w:sz w:val="24"/>
          <w:szCs w:val="24"/>
          <w:lang w:val="en-GB"/>
        </w:rPr>
        <w:t xml:space="preserve">R117H </w:t>
      </w:r>
      <w:r w:rsidRPr="00B27757">
        <w:rPr>
          <w:sz w:val="24"/>
          <w:szCs w:val="24"/>
          <w:lang w:val="en-GB"/>
        </w:rPr>
        <w:t xml:space="preserve">mutation in at least one allele of the </w:t>
      </w:r>
      <w:r w:rsidRPr="00B27757">
        <w:rPr>
          <w:i/>
          <w:sz w:val="24"/>
          <w:szCs w:val="24"/>
          <w:lang w:val="en-GB"/>
        </w:rPr>
        <w:t>CFTR</w:t>
      </w:r>
      <w:r w:rsidRPr="00B27757">
        <w:rPr>
          <w:sz w:val="24"/>
          <w:szCs w:val="24"/>
          <w:lang w:val="en-GB"/>
        </w:rPr>
        <w:t xml:space="preserve"> gene were included in studies 770-102, 770-103, 770-111 and 770-110 (see section 5.1). </w:t>
      </w:r>
    </w:p>
    <w:p w14:paraId="66C6B9E1"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70D5D243"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In study 770-111, four patients with the </w:t>
      </w:r>
      <w:r w:rsidRPr="00B27757">
        <w:rPr>
          <w:i/>
          <w:sz w:val="24"/>
          <w:szCs w:val="24"/>
          <w:lang w:val="en-GB"/>
        </w:rPr>
        <w:t>G970R</w:t>
      </w:r>
      <w:r w:rsidRPr="00B27757">
        <w:rPr>
          <w:sz w:val="24"/>
          <w:szCs w:val="24"/>
          <w:lang w:val="en-GB"/>
        </w:rPr>
        <w:t xml:space="preserve"> mutation were included. In three of four patients the change in the sweat chloride test was &lt; 5 mmol/L and this group did not demonstrate a clinically relevant improvement in FEV</w:t>
      </w:r>
      <w:r w:rsidRPr="00B27757">
        <w:rPr>
          <w:sz w:val="24"/>
          <w:szCs w:val="24"/>
          <w:vertAlign w:val="subscript"/>
          <w:lang w:val="en-GB"/>
        </w:rPr>
        <w:t>1</w:t>
      </w:r>
      <w:r w:rsidRPr="00B27757">
        <w:rPr>
          <w:sz w:val="24"/>
          <w:szCs w:val="24"/>
          <w:lang w:val="en-GB"/>
        </w:rPr>
        <w:t xml:space="preserve"> after 8 weeks of treatment. Clinical efficacy in patients with the </w:t>
      </w:r>
      <w:r w:rsidRPr="00B27757">
        <w:rPr>
          <w:i/>
          <w:sz w:val="24"/>
          <w:szCs w:val="24"/>
          <w:lang w:val="en-GB"/>
        </w:rPr>
        <w:t>G970R</w:t>
      </w:r>
      <w:r w:rsidRPr="00B27757">
        <w:rPr>
          <w:sz w:val="24"/>
          <w:szCs w:val="24"/>
          <w:lang w:val="en-GB"/>
        </w:rPr>
        <w:t xml:space="preserve"> mutation of the </w:t>
      </w:r>
      <w:r w:rsidRPr="00B27757">
        <w:rPr>
          <w:i/>
          <w:sz w:val="24"/>
          <w:szCs w:val="24"/>
          <w:lang w:val="en-GB"/>
        </w:rPr>
        <w:t>CFTR</w:t>
      </w:r>
      <w:r w:rsidRPr="00B27757">
        <w:rPr>
          <w:sz w:val="24"/>
          <w:szCs w:val="24"/>
          <w:lang w:val="en-GB"/>
        </w:rPr>
        <w:t xml:space="preserve"> gene could not be established (see section 5.1). </w:t>
      </w:r>
    </w:p>
    <w:p w14:paraId="55F05943"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009D422D"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Efficacy results from a phase 2 study in patients with CF who are homozygous for the </w:t>
      </w:r>
      <w:r w:rsidRPr="00B27757">
        <w:rPr>
          <w:i/>
          <w:sz w:val="24"/>
          <w:szCs w:val="24"/>
          <w:lang w:val="en-GB"/>
        </w:rPr>
        <w:t xml:space="preserve">F508del </w:t>
      </w:r>
      <w:r w:rsidRPr="00B27757">
        <w:rPr>
          <w:sz w:val="24"/>
          <w:szCs w:val="24"/>
          <w:lang w:val="en-GB"/>
        </w:rPr>
        <w:t xml:space="preserve">mutation in the </w:t>
      </w:r>
      <w:r w:rsidRPr="00B27757">
        <w:rPr>
          <w:i/>
          <w:sz w:val="24"/>
          <w:szCs w:val="24"/>
          <w:lang w:val="en-GB"/>
        </w:rPr>
        <w:t>CFTR</w:t>
      </w:r>
      <w:r w:rsidRPr="00B27757">
        <w:rPr>
          <w:sz w:val="24"/>
          <w:szCs w:val="24"/>
          <w:lang w:val="en-GB"/>
        </w:rPr>
        <w:t xml:space="preserve"> gene showed no statistically significant difference in FEV</w:t>
      </w:r>
      <w:r w:rsidRPr="00B27757">
        <w:rPr>
          <w:sz w:val="24"/>
          <w:szCs w:val="24"/>
          <w:vertAlign w:val="subscript"/>
          <w:lang w:val="en-GB"/>
        </w:rPr>
        <w:t>1</w:t>
      </w:r>
      <w:r w:rsidRPr="00B27757">
        <w:rPr>
          <w:sz w:val="24"/>
          <w:szCs w:val="24"/>
          <w:lang w:val="en-GB"/>
        </w:rPr>
        <w:t xml:space="preserve"> over 16 weeks of ivacaftor treatment compared to placebo (see section 5.1). Therefore, use of ivacaftor as monotherapy in these patients is not recommended. </w:t>
      </w:r>
    </w:p>
    <w:p w14:paraId="2C005BDD"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24D10AE0"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Less evidence of a positive effect of ivacaftor has been shown for patients with an </w:t>
      </w:r>
      <w:r w:rsidRPr="00B27757">
        <w:rPr>
          <w:i/>
          <w:sz w:val="24"/>
          <w:szCs w:val="24"/>
          <w:lang w:val="en-GB"/>
        </w:rPr>
        <w:t>R117H-7T</w:t>
      </w:r>
      <w:r w:rsidRPr="00B27757">
        <w:rPr>
          <w:sz w:val="24"/>
          <w:szCs w:val="24"/>
          <w:lang w:val="en-GB"/>
        </w:rPr>
        <w:t xml:space="preserve"> mutation associated with less severe disease in study 770-110 (see section 5.1).  </w:t>
      </w:r>
    </w:p>
    <w:p w14:paraId="029AED5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0C8FAFAF"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Ivacaftor in a combination regimen with tezacaftor/ivacaftor should not be prescribed in patients with CF who are heterozygous for the </w:t>
      </w:r>
      <w:r w:rsidRPr="00B27757">
        <w:rPr>
          <w:i/>
          <w:sz w:val="24"/>
          <w:szCs w:val="24"/>
          <w:lang w:val="en-GB"/>
        </w:rPr>
        <w:t>F508del</w:t>
      </w:r>
      <w:r w:rsidRPr="00B27757">
        <w:rPr>
          <w:sz w:val="24"/>
          <w:szCs w:val="24"/>
          <w:lang w:val="en-GB"/>
        </w:rPr>
        <w:t xml:space="preserve"> mutation and have a second </w:t>
      </w:r>
      <w:r w:rsidRPr="00B27757">
        <w:rPr>
          <w:i/>
          <w:sz w:val="24"/>
          <w:szCs w:val="24"/>
          <w:lang w:val="en-GB"/>
        </w:rPr>
        <w:t>CFTR</w:t>
      </w:r>
      <w:r w:rsidRPr="00B27757">
        <w:rPr>
          <w:sz w:val="24"/>
          <w:szCs w:val="24"/>
          <w:lang w:val="en-GB"/>
        </w:rPr>
        <w:t xml:space="preserve"> mutation not listed in section 4.1. </w:t>
      </w:r>
    </w:p>
    <w:p w14:paraId="5D281B17" w14:textId="7CD2B20C" w:rsidR="00CA3C12" w:rsidRDefault="00CA3C12">
      <w:pPr>
        <w:rPr>
          <w:sz w:val="24"/>
          <w:szCs w:val="24"/>
          <w:lang w:val="en-GB"/>
        </w:rPr>
      </w:pPr>
      <w:r>
        <w:rPr>
          <w:sz w:val="24"/>
          <w:szCs w:val="24"/>
          <w:lang w:val="en-GB"/>
        </w:rPr>
        <w:br w:type="page"/>
      </w:r>
    </w:p>
    <w:p w14:paraId="3A058147" w14:textId="77777777" w:rsidR="00B27757" w:rsidRPr="00B27757" w:rsidRDefault="00B27757" w:rsidP="000B039D">
      <w:pPr>
        <w:tabs>
          <w:tab w:val="left" w:pos="851"/>
        </w:tabs>
        <w:ind w:left="851"/>
        <w:rPr>
          <w:sz w:val="24"/>
          <w:szCs w:val="24"/>
          <w:lang w:val="en-GB"/>
        </w:rPr>
      </w:pPr>
    </w:p>
    <w:p w14:paraId="42853E64"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Elevated transaminases and hepatic injury</w:t>
      </w:r>
      <w:r w:rsidRPr="00B27757">
        <w:rPr>
          <w:sz w:val="24"/>
          <w:szCs w:val="24"/>
          <w:lang w:val="en-GB"/>
        </w:rPr>
        <w:t xml:space="preserve"> </w:t>
      </w:r>
    </w:p>
    <w:p w14:paraId="71ADEB69" w14:textId="5316B254" w:rsidR="00B27757" w:rsidRPr="00B27757" w:rsidRDefault="00B27757" w:rsidP="000B039D">
      <w:pPr>
        <w:tabs>
          <w:tab w:val="left" w:pos="851"/>
        </w:tabs>
        <w:ind w:left="851"/>
        <w:rPr>
          <w:sz w:val="24"/>
          <w:szCs w:val="24"/>
          <w:lang w:val="en-GB"/>
        </w:rPr>
      </w:pPr>
      <w:r w:rsidRPr="00B27757">
        <w:rPr>
          <w:sz w:val="24"/>
          <w:szCs w:val="24"/>
          <w:lang w:val="en-GB"/>
        </w:rPr>
        <w:t xml:space="preserve">In a patient with cirrhosis and portal hypertension, liver failure leading to transplantation has been reported while receiving ivacaftor in a combination regimen with ivacaftor/tezacaftor/elexacaftor. This medicinal product should be used with caution in patients with pre-existing advanced liver disease (e.g., cirrhosis, portal hypertension) and only if the benefits are expected to outweigh the risks. If used in these patients, they should be closely monitored after the initiation of treatment (see sections 4.2, 4.8, and 5.2). </w:t>
      </w:r>
    </w:p>
    <w:p w14:paraId="382D125B"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31D7F7BF" w14:textId="30947332" w:rsidR="00B27757" w:rsidRPr="00B27757" w:rsidRDefault="00B27757" w:rsidP="000B039D">
      <w:pPr>
        <w:tabs>
          <w:tab w:val="left" w:pos="851"/>
        </w:tabs>
        <w:ind w:left="851"/>
        <w:rPr>
          <w:sz w:val="24"/>
          <w:szCs w:val="24"/>
          <w:lang w:val="en-GB"/>
        </w:rPr>
      </w:pPr>
      <w:r w:rsidRPr="00B27757">
        <w:rPr>
          <w:sz w:val="24"/>
          <w:szCs w:val="24"/>
          <w:lang w:val="en-GB"/>
        </w:rPr>
        <w:t xml:space="preserve">Moderate transaminase (alanine transaminase [ALT] or aspartate transaminase [AST]) elevations are common in subjects with CF. Transaminase elevations have been observed in some patients treated with ivacaftor as monotherapy and in combination regimens with tezacaftor/ivacaftor or ivacaftor/tezacaftor/elexacaftor. In patients taking ivacaftor in a combination regimen with ivacaftor/tezacaftor/elexacaftor, these elevations have sometimes been associated with concomitant elevations in total bilirubin. Therefore, assessments of transaminases (ALT and AST) and total bilirubin are recommended for all patients prior to initiating ivacaftor, every 3 months during the first year of treatment and annually thereafter. For all patients with a history of liver disease or transaminase elevations, more frequent monitoring of liver function tests should be considered. In the event of significant elevations of transaminases (e.g., patients with ALT or AST &gt; 5 × the upper limit of normal (ULN), or ALT or AST &gt; 3 × ULN with bilirubin &gt; 2 × ULN), dosing should be interrupted, and laboratory tests closely followed until the abnormalities resolve. Following resolution of transaminase elevations, the benefits and risks of resuming treatment should be considered (see sections 4.2, 4.8, and 5.2). </w:t>
      </w:r>
    </w:p>
    <w:p w14:paraId="45481DE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7AAFCD47"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Hepatic impairment</w:t>
      </w:r>
      <w:r w:rsidRPr="00B27757">
        <w:rPr>
          <w:sz w:val="24"/>
          <w:szCs w:val="24"/>
          <w:lang w:val="en-GB"/>
        </w:rPr>
        <w:t xml:space="preserve"> </w:t>
      </w:r>
    </w:p>
    <w:p w14:paraId="065C3463" w14:textId="0622A783" w:rsidR="00B27757" w:rsidRPr="00B27757" w:rsidRDefault="00B27757" w:rsidP="000B039D">
      <w:pPr>
        <w:tabs>
          <w:tab w:val="left" w:pos="851"/>
        </w:tabs>
        <w:ind w:left="851"/>
        <w:rPr>
          <w:sz w:val="24"/>
          <w:szCs w:val="24"/>
          <w:lang w:val="en-GB"/>
        </w:rPr>
      </w:pPr>
      <w:r w:rsidRPr="00B27757">
        <w:rPr>
          <w:sz w:val="24"/>
          <w:szCs w:val="24"/>
          <w:lang w:val="en-GB"/>
        </w:rPr>
        <w:t xml:space="preserve">Use of ivacaftor, either as monotherapy or in a combination regimen with tezacaftor/ivacaftor, is not recommended in patients aged 6 years and older with severe hepatic impairment unless the benefits are expected to outweigh the risks. These patients should not be treated with ivacaftor in a combination regimen with ivacaftor/tezacaftor/elexacaftor (see Table 3 in section 4.2, and sections 4.8 and 5.2).  </w:t>
      </w:r>
    </w:p>
    <w:p w14:paraId="1A5273F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8376E78"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For patients aged 6 years and older with moderate hepatic impairment, use of ivacaftor in a combination regimen with ivacaftor/tezacaftor/elexacaftor is not recommended. Treatment should only be considered when there is a clear medical need and the benefits are expected to outweigh the risks. If used, it should be used with caution at a reduced dose (see Table 3 in section 4.2, and sections 4.8 and 5.2). </w:t>
      </w:r>
    </w:p>
    <w:p w14:paraId="3195E41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5E5BE872"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Depression</w:t>
      </w:r>
      <w:r w:rsidRPr="00B27757">
        <w:rPr>
          <w:sz w:val="24"/>
          <w:szCs w:val="24"/>
          <w:lang w:val="en-GB"/>
        </w:rPr>
        <w:t xml:space="preserve"> </w:t>
      </w:r>
    </w:p>
    <w:p w14:paraId="7298FF7A" w14:textId="3FCFF629" w:rsidR="00B27757" w:rsidRPr="00B27757" w:rsidRDefault="00B27757" w:rsidP="000B039D">
      <w:pPr>
        <w:tabs>
          <w:tab w:val="left" w:pos="851"/>
        </w:tabs>
        <w:ind w:left="851"/>
        <w:rPr>
          <w:sz w:val="24"/>
          <w:szCs w:val="24"/>
          <w:lang w:val="en-GB"/>
        </w:rPr>
      </w:pPr>
      <w:r w:rsidRPr="00B27757">
        <w:rPr>
          <w:sz w:val="24"/>
          <w:szCs w:val="24"/>
          <w:lang w:val="en-GB"/>
        </w:rPr>
        <w:t>Depression (including suicidal ideation and suicide attempt) has been reported in patients while receiving ivacaftor, mainly in a combination regimen with tezacaftor/ivacaftor or ivacaftor/tezacaftor/elexacaftor, usually occurring within three months of treatment initiation and in patients with a history of psychiatric disorders. In some cases, symptom improvement was reported after dose reduction or treatment discontinuation. Patients (and caregivers) should be alerted about the need to monitor for depressed mood, suicidal thoughts, or unusual changes in behaviour and to seek medical advice immediately if these symptoms present.</w:t>
      </w:r>
      <w:r w:rsidRPr="00B27757">
        <w:rPr>
          <w:i/>
          <w:sz w:val="24"/>
          <w:szCs w:val="24"/>
          <w:lang w:val="en-GB"/>
        </w:rPr>
        <w:t xml:space="preserve">  </w:t>
      </w:r>
    </w:p>
    <w:p w14:paraId="728DD5B7"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464CCAFC"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Renal impairment</w:t>
      </w:r>
      <w:r w:rsidRPr="00B27757">
        <w:rPr>
          <w:sz w:val="24"/>
          <w:szCs w:val="24"/>
          <w:lang w:val="en-GB"/>
        </w:rPr>
        <w:t xml:space="preserve"> </w:t>
      </w:r>
    </w:p>
    <w:p w14:paraId="1AA93A16" w14:textId="70BD5D8D" w:rsidR="00B27757" w:rsidRPr="00B27757" w:rsidRDefault="00B27757" w:rsidP="000B039D">
      <w:pPr>
        <w:tabs>
          <w:tab w:val="left" w:pos="851"/>
        </w:tabs>
        <w:ind w:left="851"/>
        <w:rPr>
          <w:sz w:val="24"/>
          <w:szCs w:val="24"/>
          <w:lang w:val="en-GB"/>
        </w:rPr>
      </w:pPr>
      <w:r w:rsidRPr="00B27757">
        <w:rPr>
          <w:sz w:val="24"/>
          <w:szCs w:val="24"/>
          <w:lang w:val="en-GB"/>
        </w:rPr>
        <w:t xml:space="preserve">Caution is recommended while using ivacaftor in patients with severe renal impairment or end-stage renal disease (see sections 4.2 and 5.2). </w:t>
      </w:r>
    </w:p>
    <w:p w14:paraId="69261A9B" w14:textId="77777777" w:rsidR="00B27757" w:rsidRPr="00B27757" w:rsidRDefault="00B27757" w:rsidP="000B039D">
      <w:pPr>
        <w:tabs>
          <w:tab w:val="left" w:pos="851"/>
        </w:tabs>
        <w:ind w:left="851"/>
        <w:rPr>
          <w:sz w:val="24"/>
          <w:szCs w:val="24"/>
          <w:lang w:val="en-GB"/>
        </w:rPr>
      </w:pPr>
    </w:p>
    <w:p w14:paraId="75D7AA7C"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Mutations unlikely to respond to modulator therapy</w:t>
      </w:r>
    </w:p>
    <w:p w14:paraId="39D78BC2"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Patients with a genotype consisting of two </w:t>
      </w:r>
      <w:r w:rsidRPr="00B27757">
        <w:rPr>
          <w:i/>
          <w:iCs/>
          <w:sz w:val="24"/>
          <w:szCs w:val="24"/>
          <w:lang w:val="en-GB"/>
        </w:rPr>
        <w:t xml:space="preserve">CFTR </w:t>
      </w:r>
      <w:r w:rsidRPr="00B27757">
        <w:rPr>
          <w:sz w:val="24"/>
          <w:szCs w:val="24"/>
          <w:lang w:val="en-GB"/>
        </w:rPr>
        <w:t>mutations that are known not to produce CFTR protein (i.e., two Class I mutations) are not expected to respond to CFTR modulator therapy.</w:t>
      </w:r>
    </w:p>
    <w:p w14:paraId="1D195CA2" w14:textId="77777777" w:rsidR="00B27757" w:rsidRPr="00B27757" w:rsidRDefault="00B27757" w:rsidP="000B039D">
      <w:pPr>
        <w:tabs>
          <w:tab w:val="left" w:pos="851"/>
        </w:tabs>
        <w:ind w:left="851"/>
        <w:rPr>
          <w:sz w:val="24"/>
          <w:szCs w:val="24"/>
          <w:lang w:val="en-GB"/>
        </w:rPr>
      </w:pPr>
    </w:p>
    <w:p w14:paraId="71036D71"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Clinical studies comparing ivacaftor/tezacaftor/elexacaftor to tezacaftor/ivacaftor or ivacaftor</w:t>
      </w:r>
    </w:p>
    <w:p w14:paraId="2B8A89E7"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No clinical study has been conducted to directly compare ivacaftor/tezacaftor/elexacaftor to tezacaftor/ivacaftor or ivacaftor in patients not harbouring </w:t>
      </w:r>
      <w:r w:rsidRPr="00B27757">
        <w:rPr>
          <w:i/>
          <w:iCs/>
          <w:sz w:val="24"/>
          <w:szCs w:val="24"/>
          <w:lang w:val="en-GB"/>
        </w:rPr>
        <w:t xml:space="preserve">F508del </w:t>
      </w:r>
      <w:r w:rsidRPr="00B27757">
        <w:rPr>
          <w:sz w:val="24"/>
          <w:szCs w:val="24"/>
          <w:lang w:val="en-GB"/>
        </w:rPr>
        <w:t>variants.</w:t>
      </w:r>
    </w:p>
    <w:p w14:paraId="7CD93483" w14:textId="2BBADDFD" w:rsidR="00B27757" w:rsidRPr="00B27757" w:rsidRDefault="00B27757" w:rsidP="000B039D">
      <w:pPr>
        <w:tabs>
          <w:tab w:val="left" w:pos="851"/>
        </w:tabs>
        <w:ind w:left="851"/>
        <w:rPr>
          <w:sz w:val="24"/>
          <w:szCs w:val="24"/>
          <w:lang w:val="en-GB"/>
        </w:rPr>
      </w:pPr>
    </w:p>
    <w:p w14:paraId="33C07E60"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Patients after organ transplantation</w:t>
      </w:r>
      <w:r w:rsidRPr="00B27757">
        <w:rPr>
          <w:sz w:val="24"/>
          <w:szCs w:val="24"/>
          <w:lang w:val="en-GB"/>
        </w:rPr>
        <w:t xml:space="preserve"> </w:t>
      </w:r>
    </w:p>
    <w:p w14:paraId="3EFE8516" w14:textId="31564B7A" w:rsidR="00B27757" w:rsidRPr="00B27757" w:rsidRDefault="00B27757" w:rsidP="000B039D">
      <w:pPr>
        <w:tabs>
          <w:tab w:val="left" w:pos="851"/>
        </w:tabs>
        <w:ind w:left="851"/>
        <w:rPr>
          <w:sz w:val="24"/>
          <w:szCs w:val="24"/>
          <w:lang w:val="en-GB"/>
        </w:rPr>
      </w:pPr>
      <w:r w:rsidRPr="00B27757">
        <w:rPr>
          <w:sz w:val="24"/>
          <w:szCs w:val="24"/>
          <w:lang w:val="en-GB"/>
        </w:rPr>
        <w:t>Ivacaftor has not been studied in patients with CF who have undergone organ transplantation. Therefore, use in transplanted patients is not recommended. See section 4.5 for interactions with ciclosporin or tacrolimus.</w:t>
      </w:r>
      <w:r w:rsidRPr="00B27757">
        <w:rPr>
          <w:i/>
          <w:sz w:val="24"/>
          <w:szCs w:val="24"/>
          <w:lang w:val="en-GB"/>
        </w:rPr>
        <w:t xml:space="preserve"> </w:t>
      </w:r>
    </w:p>
    <w:p w14:paraId="45446CA4"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D08ACA3"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Rash events</w:t>
      </w:r>
      <w:r w:rsidRPr="00B27757">
        <w:rPr>
          <w:sz w:val="24"/>
          <w:szCs w:val="24"/>
          <w:lang w:val="en-GB"/>
        </w:rPr>
        <w:t xml:space="preserve">  </w:t>
      </w:r>
    </w:p>
    <w:p w14:paraId="5A5E5A42" w14:textId="7B6035A2" w:rsidR="00B27757" w:rsidRPr="00B27757" w:rsidRDefault="00B27757" w:rsidP="000B039D">
      <w:pPr>
        <w:tabs>
          <w:tab w:val="left" w:pos="851"/>
        </w:tabs>
        <w:ind w:left="851"/>
        <w:rPr>
          <w:sz w:val="24"/>
          <w:szCs w:val="24"/>
          <w:lang w:val="en-GB"/>
        </w:rPr>
      </w:pPr>
      <w:r w:rsidRPr="00B27757">
        <w:rPr>
          <w:sz w:val="24"/>
          <w:szCs w:val="24"/>
          <w:lang w:val="en-GB"/>
        </w:rPr>
        <w:t xml:space="preserve">The incidence of rash events with ivacaftor in a combination regimen with </w:t>
      </w:r>
    </w:p>
    <w:p w14:paraId="70B97B47" w14:textId="00132542" w:rsidR="00B27757" w:rsidRPr="00B27757" w:rsidRDefault="00B27757" w:rsidP="000B039D">
      <w:pPr>
        <w:tabs>
          <w:tab w:val="left" w:pos="851"/>
        </w:tabs>
        <w:ind w:left="851"/>
        <w:rPr>
          <w:sz w:val="24"/>
          <w:szCs w:val="24"/>
          <w:lang w:val="en-GB"/>
        </w:rPr>
      </w:pPr>
      <w:r w:rsidRPr="00B27757">
        <w:rPr>
          <w:sz w:val="24"/>
          <w:szCs w:val="24"/>
          <w:lang w:val="en-GB"/>
        </w:rPr>
        <w:t xml:space="preserve">ivacaftor/tezacaftor/elexacaftor was higher in females than in males, particularly in females taking hormonal contraceptives. A role for hormonal contraceptives in the occurrence of rash cannot be excluded. For patients taking hormonal contraceptives who develop rash, interrupting treatment with ivacaftor in a combination regimen with ivacaftor/tezacaftor/elexacaftor and hormonal contraceptives should be considered. Following the resolution of rash, it should be considered if resuming ivacaftor in a combination regimen with ivacaftor/tezacaftor/elexacaftor without hormonal contraceptives is appropriate. If rash does not recur, resumption of hormonal </w:t>
      </w:r>
      <w:r w:rsidR="00E9130E">
        <w:rPr>
          <w:sz w:val="24"/>
          <w:szCs w:val="24"/>
          <w:lang w:val="en-GB"/>
        </w:rPr>
        <w:t>c</w:t>
      </w:r>
      <w:r w:rsidRPr="00B27757">
        <w:rPr>
          <w:sz w:val="24"/>
          <w:szCs w:val="24"/>
          <w:lang w:val="en-GB"/>
        </w:rPr>
        <w:t>ontraceptives can be considered (see section 4.8).</w:t>
      </w:r>
      <w:r w:rsidRPr="00B27757">
        <w:rPr>
          <w:i/>
          <w:sz w:val="24"/>
          <w:szCs w:val="24"/>
          <w:lang w:val="en-GB"/>
        </w:rPr>
        <w:t xml:space="preserve">  </w:t>
      </w:r>
    </w:p>
    <w:p w14:paraId="16BB4E47" w14:textId="77777777" w:rsidR="00B27757" w:rsidRPr="00B27757" w:rsidRDefault="00B27757" w:rsidP="000B039D">
      <w:pPr>
        <w:tabs>
          <w:tab w:val="left" w:pos="851"/>
        </w:tabs>
        <w:ind w:left="851"/>
        <w:rPr>
          <w:sz w:val="24"/>
          <w:szCs w:val="24"/>
          <w:lang w:val="en-GB"/>
        </w:rPr>
      </w:pPr>
      <w:r w:rsidRPr="00B27757">
        <w:rPr>
          <w:i/>
          <w:sz w:val="24"/>
          <w:szCs w:val="24"/>
          <w:lang w:val="en-GB"/>
        </w:rPr>
        <w:t xml:space="preserve"> </w:t>
      </w:r>
    </w:p>
    <w:p w14:paraId="2AB6BA75"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Interactions with medicinal products</w:t>
      </w:r>
      <w:r w:rsidRPr="00B27757">
        <w:rPr>
          <w:sz w:val="24"/>
          <w:szCs w:val="24"/>
          <w:lang w:val="en-GB"/>
        </w:rPr>
        <w:t xml:space="preserve"> </w:t>
      </w:r>
    </w:p>
    <w:p w14:paraId="3F1BEAFA"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2D1255CF"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CYP3A inducers </w:t>
      </w:r>
    </w:p>
    <w:p w14:paraId="50E297F9"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Exposure to ivacaftor is significantly decreased by the concomitant use of CYP3A inducers, potentially resulting in the loss of ivacaftor efficacy; therefore, co-administration of ivacaftor with strong CYP3A inducers is not recommended (see section 4.5).  </w:t>
      </w:r>
    </w:p>
    <w:p w14:paraId="1FED096B"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38F1F2B"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CYP3A inhibitors </w:t>
      </w:r>
    </w:p>
    <w:p w14:paraId="44FAF13D"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Exposure to ivacaftor, tezacaftor and elexacaftor are increased when co-administered with strong or moderate CYP3A inhibitors. The dose of ivacaftor must be adjusted when used concomitantly with strong or moderate CYP3A inhibitors (see Table 2 in section 4.2 and section 4.5).  </w:t>
      </w:r>
    </w:p>
    <w:p w14:paraId="6A057B0A"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F4E0C37"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Paediatric population</w:t>
      </w:r>
      <w:r w:rsidRPr="00B27757">
        <w:rPr>
          <w:sz w:val="24"/>
          <w:szCs w:val="24"/>
          <w:lang w:val="en-GB"/>
        </w:rPr>
        <w:t xml:space="preserve"> </w:t>
      </w:r>
    </w:p>
    <w:p w14:paraId="0F62376A" w14:textId="190A8A24" w:rsidR="00B27757" w:rsidRPr="00B27757" w:rsidRDefault="00B27757" w:rsidP="000B039D">
      <w:pPr>
        <w:tabs>
          <w:tab w:val="left" w:pos="851"/>
        </w:tabs>
        <w:ind w:left="851"/>
        <w:rPr>
          <w:sz w:val="24"/>
          <w:szCs w:val="24"/>
          <w:lang w:val="en-GB"/>
        </w:rPr>
      </w:pPr>
      <w:r w:rsidRPr="00B27757">
        <w:rPr>
          <w:sz w:val="24"/>
          <w:szCs w:val="24"/>
          <w:lang w:val="en-GB"/>
        </w:rPr>
        <w:t xml:space="preserve">Cases of non-congenital lens opacities/cataracts without impact on vision have been reported in paediatric patients treated with ivacaftor and ivacaftor-containing regimens. Although other risk factors were present in some cases (such as corticosteroid use and exposure to radiation), a possible risk attributable to treatment with ivacaftor cannot be excluded. Baseline and follow-up ophthalmological examinations are recommended in paediatric patients initiating ivacaftor treatment (see section 5.3). </w:t>
      </w:r>
    </w:p>
    <w:p w14:paraId="45F4981A" w14:textId="082522FC" w:rsidR="00B27757" w:rsidRDefault="00B27757" w:rsidP="000B039D">
      <w:pPr>
        <w:rPr>
          <w:sz w:val="24"/>
          <w:szCs w:val="24"/>
          <w:lang w:val="en-GB"/>
        </w:rPr>
      </w:pPr>
      <w:r>
        <w:rPr>
          <w:sz w:val="24"/>
          <w:szCs w:val="24"/>
          <w:lang w:val="en-GB"/>
        </w:rPr>
        <w:br w:type="page"/>
      </w:r>
    </w:p>
    <w:p w14:paraId="13BBD55F" w14:textId="77777777" w:rsidR="00B27757" w:rsidRPr="00B27757" w:rsidRDefault="00B27757" w:rsidP="000B039D">
      <w:pPr>
        <w:tabs>
          <w:tab w:val="left" w:pos="851"/>
        </w:tabs>
        <w:ind w:left="851"/>
        <w:rPr>
          <w:sz w:val="24"/>
          <w:szCs w:val="24"/>
          <w:lang w:val="en-GB"/>
        </w:rPr>
      </w:pPr>
    </w:p>
    <w:p w14:paraId="537BF8EF"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Excipients with known effect</w:t>
      </w:r>
      <w:r w:rsidRPr="00B27757">
        <w:rPr>
          <w:sz w:val="24"/>
          <w:szCs w:val="24"/>
          <w:lang w:val="en-GB"/>
        </w:rPr>
        <w:t xml:space="preserve"> </w:t>
      </w:r>
    </w:p>
    <w:p w14:paraId="5609BA58"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4E3EB3C9"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Lactose </w:t>
      </w:r>
    </w:p>
    <w:p w14:paraId="207A126A"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This medicinal product contains lactose. Patients with rare hereditary problems of galactose intolerance, total lactase deficiency or glucose-galactose malabsorption should not take this medicinal product. </w:t>
      </w:r>
    </w:p>
    <w:p w14:paraId="06213F88"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448F01C6"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Sodium </w:t>
      </w:r>
    </w:p>
    <w:p w14:paraId="6F03A0E2"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This medicinal product contains less than 1 mmol sodium (23 mg) per tablet, that is to say essentially ‘sodium-free’. </w:t>
      </w:r>
    </w:p>
    <w:p w14:paraId="4FF786E6" w14:textId="77777777" w:rsidR="007C5D2A" w:rsidRPr="00303008" w:rsidRDefault="007C5D2A" w:rsidP="000B039D">
      <w:pPr>
        <w:tabs>
          <w:tab w:val="left" w:pos="851"/>
        </w:tabs>
        <w:ind w:left="851"/>
        <w:rPr>
          <w:sz w:val="24"/>
          <w:szCs w:val="24"/>
          <w:lang w:val="en-GB"/>
        </w:rPr>
      </w:pPr>
    </w:p>
    <w:p w14:paraId="65FEF6B3" w14:textId="77777777" w:rsidR="007C5D2A" w:rsidRPr="00303008" w:rsidRDefault="007C5D2A" w:rsidP="000B039D">
      <w:pPr>
        <w:ind w:left="851" w:hanging="851"/>
        <w:rPr>
          <w:b/>
          <w:sz w:val="24"/>
          <w:szCs w:val="24"/>
          <w:lang w:val="en-GB"/>
        </w:rPr>
      </w:pPr>
      <w:r w:rsidRPr="00303008">
        <w:rPr>
          <w:b/>
          <w:sz w:val="24"/>
          <w:szCs w:val="24"/>
          <w:lang w:val="en-GB"/>
        </w:rPr>
        <w:t>4.5</w:t>
      </w:r>
      <w:r w:rsidRPr="00303008">
        <w:rPr>
          <w:b/>
          <w:sz w:val="24"/>
          <w:szCs w:val="24"/>
          <w:lang w:val="en-GB"/>
        </w:rPr>
        <w:tab/>
        <w:t>Interaction with other medicinal products and other forms of interaction</w:t>
      </w:r>
    </w:p>
    <w:p w14:paraId="005A68C9"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Ivacaftor is a substrate of CYP3A4 and CYP3A5. It is a weak inhibitor of CYP3A and P-glycoprotein (P-gp) and a potential inhibitor of CYP2C9. </w:t>
      </w:r>
      <w:r w:rsidRPr="00282C98">
        <w:rPr>
          <w:i/>
          <w:sz w:val="24"/>
          <w:szCs w:val="24"/>
          <w:lang w:val="en-GB"/>
        </w:rPr>
        <w:t>In vitro</w:t>
      </w:r>
      <w:r w:rsidRPr="00282C98">
        <w:rPr>
          <w:sz w:val="24"/>
          <w:szCs w:val="24"/>
          <w:lang w:val="en-GB"/>
        </w:rPr>
        <w:t xml:space="preserve"> studies showed that ivacaftor is not a substrate for P-gp.  </w:t>
      </w:r>
    </w:p>
    <w:p w14:paraId="27729088"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711F7D02" w14:textId="77777777" w:rsidR="00282C98" w:rsidRPr="00282C98" w:rsidRDefault="00282C98" w:rsidP="000B039D">
      <w:pPr>
        <w:tabs>
          <w:tab w:val="left" w:pos="851"/>
        </w:tabs>
        <w:ind w:left="851"/>
        <w:rPr>
          <w:sz w:val="24"/>
          <w:szCs w:val="24"/>
          <w:u w:val="single"/>
          <w:lang w:val="en-GB"/>
        </w:rPr>
      </w:pPr>
      <w:r w:rsidRPr="00282C98">
        <w:rPr>
          <w:sz w:val="24"/>
          <w:szCs w:val="24"/>
          <w:u w:val="single"/>
          <w:lang w:val="en-GB"/>
        </w:rPr>
        <w:t>Medicinal products affecting the pharmacokinetics of ivacaftor</w:t>
      </w:r>
      <w:r w:rsidRPr="00282C98">
        <w:rPr>
          <w:sz w:val="24"/>
          <w:szCs w:val="24"/>
          <w:lang w:val="en-GB"/>
        </w:rPr>
        <w:t xml:space="preserve"> </w:t>
      </w:r>
    </w:p>
    <w:p w14:paraId="600BA884"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3A4CB448"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CYP3A inducers </w:t>
      </w:r>
    </w:p>
    <w:p w14:paraId="2957A4F5" w14:textId="3BE6AC8A" w:rsidR="00282C98" w:rsidRPr="00282C98" w:rsidRDefault="00282C98" w:rsidP="000B039D">
      <w:pPr>
        <w:tabs>
          <w:tab w:val="left" w:pos="851"/>
        </w:tabs>
        <w:ind w:left="851"/>
        <w:rPr>
          <w:sz w:val="24"/>
          <w:szCs w:val="24"/>
          <w:lang w:val="en-GB"/>
        </w:rPr>
      </w:pPr>
      <w:r w:rsidRPr="00282C98">
        <w:rPr>
          <w:sz w:val="24"/>
          <w:szCs w:val="24"/>
          <w:lang w:val="en-GB"/>
        </w:rPr>
        <w:t>Co-administration of ivacaftor with rifampicin, a strong CYP3A inducer, decreased ivacaftor exposure (AUC) by 89% and decreased hydroxymethyl ivacaftor (M1) to a lesser extent than ivacaftor. Co-administration of ivacaftor with strong CYP3A inducers, such as rifampicin, rifabutin, phenobarbital, carbamazepine, phenytoin and St. John’s wort (</w:t>
      </w:r>
      <w:r w:rsidRPr="00282C98">
        <w:rPr>
          <w:i/>
          <w:sz w:val="24"/>
          <w:szCs w:val="24"/>
          <w:lang w:val="en-GB"/>
        </w:rPr>
        <w:t>Hypericum perforatum</w:t>
      </w:r>
      <w:r w:rsidRPr="00282C98">
        <w:rPr>
          <w:sz w:val="24"/>
          <w:szCs w:val="24"/>
          <w:lang w:val="en-GB"/>
        </w:rPr>
        <w:t xml:space="preserve">), is not recommended (see section 4.4). </w:t>
      </w:r>
    </w:p>
    <w:p w14:paraId="226000F4"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58116216"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No dose adjustment is recommended when ivacaftor is used with moderate or weak CYP3A inducers.  </w:t>
      </w:r>
    </w:p>
    <w:p w14:paraId="2DECD0D7"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7114A2B1"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CYP3A inhibitors </w:t>
      </w:r>
    </w:p>
    <w:p w14:paraId="36E580CA"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Ivacaftor is a sensitive CYP3A substrate. Co-administration with ketoconazole, a strong CYP3A inhibitor, increased ivacaftor exposure (measured as area under the curve [AUC]) by 8.5-fold and increased M1 to a lesser extent than ivacaftor. A reduction of the ivacaftor dose is recommended for co-administration with strong CYP3A inhibitors, such as ketoconazole, itraconazole, posaconazole, voriconazole, telithromycin and clarithromycin (see Table 2 in section 4.2 and section 4.4). </w:t>
      </w:r>
    </w:p>
    <w:p w14:paraId="1D8A975B"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68DD4CF5"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with fluconazole, a moderate inhibitor of CYP3A, increased ivacaftor exposure by 3-fold and increased M1 to a lesser extent than ivacaftor. A reduction of the ivacaftor dose is recommended for patients taking concomitant moderate CYP3A inhibitors, such as fluconazole, erythromycin, and verapamil (see Table 2 in section 4.2 and section 4.4). </w:t>
      </w:r>
    </w:p>
    <w:p w14:paraId="0CDE371D"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43F4FA6C"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of ivacaftor with grapefruit juice, which contains one or more components that moderately inhibit CYP3A, may increase exposure to ivacaftor. Food or drink containing grapefruit should be avoided during treatment with ivacaftor (see section 4.2). </w:t>
      </w:r>
    </w:p>
    <w:p w14:paraId="779F96A6" w14:textId="77777777" w:rsidR="00282C98" w:rsidRPr="00282C98" w:rsidRDefault="00282C98" w:rsidP="000B039D">
      <w:pPr>
        <w:tabs>
          <w:tab w:val="left" w:pos="851"/>
        </w:tabs>
        <w:ind w:left="851"/>
        <w:rPr>
          <w:sz w:val="24"/>
          <w:szCs w:val="24"/>
          <w:lang w:val="en-GB"/>
        </w:rPr>
      </w:pPr>
    </w:p>
    <w:p w14:paraId="036BC79A"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Potential for ivacaftor to interact with transporters </w:t>
      </w:r>
    </w:p>
    <w:p w14:paraId="0183E729" w14:textId="3F2D72F9" w:rsidR="00282C98" w:rsidRPr="00282C98" w:rsidRDefault="00282C98" w:rsidP="000B039D">
      <w:pPr>
        <w:tabs>
          <w:tab w:val="left" w:pos="851"/>
        </w:tabs>
        <w:ind w:left="851"/>
        <w:rPr>
          <w:sz w:val="24"/>
          <w:szCs w:val="24"/>
          <w:lang w:val="en-GB"/>
        </w:rPr>
      </w:pPr>
      <w:r w:rsidRPr="00282C98">
        <w:rPr>
          <w:i/>
          <w:sz w:val="24"/>
          <w:szCs w:val="24"/>
          <w:lang w:val="en-GB"/>
        </w:rPr>
        <w:t>In vitro</w:t>
      </w:r>
      <w:r w:rsidRPr="00282C98">
        <w:rPr>
          <w:sz w:val="24"/>
          <w:szCs w:val="24"/>
          <w:lang w:val="en-GB"/>
        </w:rPr>
        <w:t xml:space="preserve"> studies showed that ivacaftor is not a substrate for OATP1B1 or OATP1B3. Ivacaftor and its metabolites are substrates of BCRP </w:t>
      </w:r>
      <w:r w:rsidRPr="00282C98">
        <w:rPr>
          <w:i/>
          <w:sz w:val="24"/>
          <w:szCs w:val="24"/>
          <w:lang w:val="en-GB"/>
        </w:rPr>
        <w:t>in vitro</w:t>
      </w:r>
      <w:r w:rsidRPr="00282C98">
        <w:rPr>
          <w:sz w:val="24"/>
          <w:szCs w:val="24"/>
          <w:lang w:val="en-GB"/>
        </w:rPr>
        <w:t xml:space="preserve">. Due to its high intrinsic </w:t>
      </w:r>
      <w:r w:rsidRPr="00282C98">
        <w:rPr>
          <w:sz w:val="24"/>
          <w:szCs w:val="24"/>
          <w:lang w:val="en-GB"/>
        </w:rPr>
        <w:lastRenderedPageBreak/>
        <w:t xml:space="preserve">permeability and low likelihood of being excreted intact, co-administration of BCRP inhibitors is not expected to alter exposure of ivacaftor and M1-IVA, while any potential changes in M6-IVA exposures are not expected to be clinically relevant.  </w:t>
      </w:r>
    </w:p>
    <w:p w14:paraId="3C47BE80" w14:textId="77777777" w:rsidR="00282C98" w:rsidRPr="00282C98" w:rsidRDefault="00282C98" w:rsidP="000B039D">
      <w:pPr>
        <w:tabs>
          <w:tab w:val="left" w:pos="851"/>
        </w:tabs>
        <w:ind w:left="851"/>
        <w:rPr>
          <w:sz w:val="24"/>
          <w:szCs w:val="24"/>
          <w:lang w:val="en-GB"/>
        </w:rPr>
      </w:pPr>
      <w:r w:rsidRPr="00282C98">
        <w:rPr>
          <w:i/>
          <w:sz w:val="24"/>
          <w:szCs w:val="24"/>
          <w:lang w:val="en-GB"/>
        </w:rPr>
        <w:t xml:space="preserve"> </w:t>
      </w:r>
    </w:p>
    <w:p w14:paraId="27640D98"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Ciprofloxacin </w:t>
      </w:r>
    </w:p>
    <w:p w14:paraId="3ADAB37D" w14:textId="25600E08"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of ciprofloxacin with ivacaftor did not affect the exposure of ivacaftor. No dose adjustment is required when ivacaftor is co-administered with ciprofloxacin. </w:t>
      </w:r>
    </w:p>
    <w:p w14:paraId="7324A28A"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5F7C8A0F" w14:textId="77777777" w:rsidR="00282C98" w:rsidRPr="00282C98" w:rsidRDefault="00282C98" w:rsidP="000B039D">
      <w:pPr>
        <w:tabs>
          <w:tab w:val="left" w:pos="851"/>
        </w:tabs>
        <w:ind w:left="851"/>
        <w:rPr>
          <w:sz w:val="24"/>
          <w:szCs w:val="24"/>
          <w:u w:val="single"/>
          <w:lang w:val="en-GB"/>
        </w:rPr>
      </w:pPr>
      <w:r w:rsidRPr="00282C98">
        <w:rPr>
          <w:sz w:val="24"/>
          <w:szCs w:val="24"/>
          <w:u w:val="single"/>
          <w:lang w:val="en-GB"/>
        </w:rPr>
        <w:t>Medicinal products affected by ivacaftor</w:t>
      </w:r>
      <w:r w:rsidRPr="00282C98">
        <w:rPr>
          <w:sz w:val="24"/>
          <w:szCs w:val="24"/>
          <w:lang w:val="en-GB"/>
        </w:rPr>
        <w:t xml:space="preserve"> </w:t>
      </w:r>
    </w:p>
    <w:p w14:paraId="0DC659A1" w14:textId="37BEC2BA" w:rsidR="00282C98" w:rsidRPr="00282C98" w:rsidRDefault="00282C98" w:rsidP="000B039D">
      <w:pPr>
        <w:tabs>
          <w:tab w:val="left" w:pos="851"/>
        </w:tabs>
        <w:ind w:left="851"/>
        <w:rPr>
          <w:sz w:val="24"/>
          <w:szCs w:val="24"/>
          <w:lang w:val="en-GB"/>
        </w:rPr>
      </w:pPr>
      <w:r w:rsidRPr="00282C98">
        <w:rPr>
          <w:sz w:val="24"/>
          <w:szCs w:val="24"/>
          <w:lang w:val="en-GB"/>
        </w:rPr>
        <w:t xml:space="preserve">Administration of ivacaftor may increase systemic exposure of medicinal products that are sensitive substrates of CYP2C9, and/or P-gp, and/or CYP3A which may increase or prolong their therapeutic effect and adverse reactions. </w:t>
      </w:r>
    </w:p>
    <w:p w14:paraId="0D691DBA"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14A630CE"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CYP2C9 substrates </w:t>
      </w:r>
    </w:p>
    <w:p w14:paraId="2A1A0203" w14:textId="5A58AC18" w:rsidR="00282C98" w:rsidRPr="00282C98" w:rsidRDefault="00282C98" w:rsidP="000B039D">
      <w:pPr>
        <w:tabs>
          <w:tab w:val="left" w:pos="851"/>
        </w:tabs>
        <w:ind w:left="851"/>
        <w:rPr>
          <w:sz w:val="24"/>
          <w:szCs w:val="24"/>
          <w:lang w:val="en-GB"/>
        </w:rPr>
      </w:pPr>
      <w:r w:rsidRPr="00282C98">
        <w:rPr>
          <w:sz w:val="24"/>
          <w:szCs w:val="24"/>
          <w:lang w:val="en-GB"/>
        </w:rPr>
        <w:t>Ivacaftor may inhibit CYP2C9. Therefore, monitoring of the international normalised ratio (INR) is recommended during co-administration of warfarin with ivacaftor. Other medicinal products for which exposure may be increased include glimepiride and glipizide; these medicinal products should be used with caution.</w:t>
      </w:r>
      <w:r w:rsidRPr="00282C98">
        <w:rPr>
          <w:i/>
          <w:sz w:val="24"/>
          <w:szCs w:val="24"/>
          <w:lang w:val="en-GB"/>
        </w:rPr>
        <w:t xml:space="preserve"> </w:t>
      </w:r>
    </w:p>
    <w:p w14:paraId="42CBF000"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24C311B5"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Digoxin and other P-gp substrates </w:t>
      </w:r>
    </w:p>
    <w:p w14:paraId="76857033"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with digoxin, a sensitive P-gp substrate, increased digoxin exposure by 1.3-fold, consistent with weak inhibition of P-gp by ivacaftor. Administration of ivacaftor may increase systemic exposure of medicinal products that are sensitive substrates of P-gp, which may increase or prolong their therapeutic effect and adverse reactions. When used concomitantly with digoxin or other substrates of P-gp with a narrow therapeutic index, such as ciclosporin, everolimus, sirolimus or tacrolimus, caution and appropriate monitoring should be used. </w:t>
      </w:r>
    </w:p>
    <w:p w14:paraId="782E4A16"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22DD2E0C"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CYP3A substrates  </w:t>
      </w:r>
    </w:p>
    <w:p w14:paraId="2379FC10" w14:textId="20389D14" w:rsidR="00282C98" w:rsidRDefault="00282C98" w:rsidP="000B039D">
      <w:pPr>
        <w:tabs>
          <w:tab w:val="left" w:pos="851"/>
        </w:tabs>
        <w:ind w:left="851"/>
        <w:rPr>
          <w:sz w:val="24"/>
          <w:szCs w:val="24"/>
          <w:lang w:val="en-GB"/>
        </w:rPr>
      </w:pPr>
      <w:r w:rsidRPr="00282C98">
        <w:rPr>
          <w:sz w:val="24"/>
          <w:szCs w:val="24"/>
          <w:lang w:val="en-GB"/>
        </w:rPr>
        <w:t>Co-administration with (oral) midazolam, a sensitive CYP3A substrate, increased midazolam exposure 1.5-fold, consistent with weak inhibition of CYP3A by ivacaftor. No dose adjustment of CYP3A substrates, such as midazolam, alprazolam, diazepam or triazolam, is required when these are co-administered with ivacaftor.</w:t>
      </w:r>
    </w:p>
    <w:p w14:paraId="016E4523" w14:textId="77777777" w:rsidR="00E9130E" w:rsidRPr="00282C98" w:rsidRDefault="00E9130E" w:rsidP="000B039D">
      <w:pPr>
        <w:tabs>
          <w:tab w:val="left" w:pos="851"/>
        </w:tabs>
        <w:ind w:left="851"/>
        <w:rPr>
          <w:sz w:val="24"/>
          <w:szCs w:val="24"/>
          <w:lang w:val="en-GB"/>
        </w:rPr>
      </w:pPr>
    </w:p>
    <w:p w14:paraId="19C7C4FC"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Hormonal contraceptives </w:t>
      </w:r>
    </w:p>
    <w:p w14:paraId="732BEDB9"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Ivacaftor has been studied with an oestrogen/progesterone oral contraceptive and was found to have no significant effect on the exposures of the oral contraceptive. Therefore, no dose adjustment of oral contraceptives is necessary. </w:t>
      </w:r>
    </w:p>
    <w:p w14:paraId="774BCBD0"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31D6E346" w14:textId="77777777" w:rsidR="00282C98" w:rsidRPr="00282C98" w:rsidRDefault="00282C98" w:rsidP="000B039D">
      <w:pPr>
        <w:tabs>
          <w:tab w:val="left" w:pos="851"/>
        </w:tabs>
        <w:ind w:left="851"/>
        <w:rPr>
          <w:sz w:val="24"/>
          <w:szCs w:val="24"/>
          <w:u w:val="single"/>
          <w:lang w:val="en-GB"/>
        </w:rPr>
      </w:pPr>
      <w:r w:rsidRPr="00282C98">
        <w:rPr>
          <w:sz w:val="24"/>
          <w:szCs w:val="24"/>
          <w:u w:val="single"/>
          <w:lang w:val="en-GB"/>
        </w:rPr>
        <w:t>Paediatric population</w:t>
      </w:r>
      <w:r w:rsidRPr="00282C98">
        <w:rPr>
          <w:sz w:val="24"/>
          <w:szCs w:val="24"/>
          <w:lang w:val="en-GB"/>
        </w:rPr>
        <w:t xml:space="preserve"> </w:t>
      </w:r>
    </w:p>
    <w:p w14:paraId="0BA31793" w14:textId="69F09E0D" w:rsidR="00282C98" w:rsidRPr="00282C98" w:rsidRDefault="00282C98" w:rsidP="000B039D">
      <w:pPr>
        <w:tabs>
          <w:tab w:val="left" w:pos="851"/>
        </w:tabs>
        <w:ind w:left="851"/>
        <w:rPr>
          <w:sz w:val="24"/>
          <w:szCs w:val="24"/>
          <w:lang w:val="en-GB"/>
        </w:rPr>
      </w:pPr>
      <w:r w:rsidRPr="00282C98">
        <w:rPr>
          <w:sz w:val="24"/>
          <w:szCs w:val="24"/>
          <w:lang w:val="en-GB"/>
        </w:rPr>
        <w:t>Interaction studies have only been performed in adults.</w:t>
      </w:r>
      <w:r w:rsidRPr="00282C98">
        <w:rPr>
          <w:i/>
          <w:sz w:val="24"/>
          <w:szCs w:val="24"/>
          <w:lang w:val="en-GB"/>
        </w:rPr>
        <w:t xml:space="preserve"> </w:t>
      </w:r>
    </w:p>
    <w:p w14:paraId="333394C3" w14:textId="77777777" w:rsidR="007C5D2A" w:rsidRPr="00282C98" w:rsidRDefault="007C5D2A" w:rsidP="000B039D">
      <w:pPr>
        <w:tabs>
          <w:tab w:val="left" w:pos="851"/>
        </w:tabs>
        <w:ind w:left="851"/>
        <w:rPr>
          <w:iCs/>
          <w:sz w:val="24"/>
          <w:szCs w:val="24"/>
          <w:lang w:val="en-GB"/>
        </w:rPr>
      </w:pPr>
    </w:p>
    <w:p w14:paraId="4959C90E"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4.6</w:t>
      </w:r>
      <w:r w:rsidRPr="00303008">
        <w:rPr>
          <w:b/>
          <w:sz w:val="24"/>
          <w:szCs w:val="24"/>
          <w:lang w:val="en-GB"/>
        </w:rPr>
        <w:tab/>
      </w:r>
      <w:r w:rsidR="004860D3">
        <w:rPr>
          <w:b/>
          <w:sz w:val="24"/>
          <w:szCs w:val="24"/>
          <w:lang w:val="en-GB"/>
        </w:rPr>
        <w:t>Fertility, p</w:t>
      </w:r>
      <w:r w:rsidRPr="00303008">
        <w:rPr>
          <w:b/>
          <w:sz w:val="24"/>
          <w:szCs w:val="24"/>
          <w:lang w:val="en-GB"/>
        </w:rPr>
        <w:t>regnancy and lactation</w:t>
      </w:r>
    </w:p>
    <w:p w14:paraId="1F5F7414" w14:textId="77777777" w:rsidR="006559DA" w:rsidRPr="006559DA" w:rsidRDefault="006559DA" w:rsidP="000B039D">
      <w:pPr>
        <w:tabs>
          <w:tab w:val="left" w:pos="851"/>
        </w:tabs>
        <w:ind w:left="851"/>
        <w:rPr>
          <w:sz w:val="24"/>
          <w:szCs w:val="24"/>
          <w:lang w:val="en-GB"/>
        </w:rPr>
      </w:pPr>
    </w:p>
    <w:p w14:paraId="2BF4F5EA"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Pregnancy</w:t>
      </w:r>
      <w:r w:rsidRPr="006559DA">
        <w:rPr>
          <w:sz w:val="24"/>
          <w:szCs w:val="24"/>
          <w:lang w:val="en-GB"/>
        </w:rPr>
        <w:t xml:space="preserve"> </w:t>
      </w:r>
    </w:p>
    <w:p w14:paraId="3BC98092" w14:textId="6AFE6CF8" w:rsidR="006559DA" w:rsidRPr="006559DA" w:rsidRDefault="006559DA" w:rsidP="000B039D">
      <w:pPr>
        <w:tabs>
          <w:tab w:val="left" w:pos="851"/>
        </w:tabs>
        <w:ind w:left="851"/>
        <w:rPr>
          <w:sz w:val="24"/>
          <w:szCs w:val="24"/>
          <w:lang w:val="en-GB"/>
        </w:rPr>
      </w:pPr>
      <w:r w:rsidRPr="006559DA">
        <w:rPr>
          <w:sz w:val="24"/>
          <w:szCs w:val="24"/>
          <w:lang w:val="en-GB"/>
        </w:rPr>
        <w:t xml:space="preserve">There are no or limited amount of data (less than 300 pregnancy outcomes) from the use of ivacaftor in pregnant women. Animals studies do not indicate direct or indirect harmful effects with respect to reproductive toxicity (see section 5.3). As a precautionary measure, it is preferable to avoid the use of ivacaftor during pregnancy. </w:t>
      </w:r>
    </w:p>
    <w:p w14:paraId="3C5631BD" w14:textId="69C6AD30" w:rsidR="00CA3C12" w:rsidRDefault="00CA3C12">
      <w:pPr>
        <w:rPr>
          <w:sz w:val="24"/>
          <w:szCs w:val="24"/>
          <w:lang w:val="en-GB"/>
        </w:rPr>
      </w:pPr>
      <w:r>
        <w:rPr>
          <w:sz w:val="24"/>
          <w:szCs w:val="24"/>
          <w:lang w:val="en-GB"/>
        </w:rPr>
        <w:br w:type="page"/>
      </w:r>
    </w:p>
    <w:p w14:paraId="05EF06D3" w14:textId="77777777" w:rsidR="006559DA" w:rsidRPr="006559DA" w:rsidRDefault="006559DA" w:rsidP="000B039D">
      <w:pPr>
        <w:tabs>
          <w:tab w:val="left" w:pos="851"/>
        </w:tabs>
        <w:ind w:left="851"/>
        <w:rPr>
          <w:sz w:val="24"/>
          <w:szCs w:val="24"/>
          <w:lang w:val="en-GB"/>
        </w:rPr>
      </w:pPr>
    </w:p>
    <w:p w14:paraId="51BEEB30"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Breast-feeding</w:t>
      </w:r>
      <w:r w:rsidRPr="006559DA">
        <w:rPr>
          <w:sz w:val="24"/>
          <w:szCs w:val="24"/>
          <w:lang w:val="en-GB"/>
        </w:rPr>
        <w:t xml:space="preserve"> </w:t>
      </w:r>
    </w:p>
    <w:p w14:paraId="62F0F141" w14:textId="5668ED42" w:rsidR="006559DA" w:rsidRPr="006559DA" w:rsidRDefault="006559DA" w:rsidP="000B039D">
      <w:pPr>
        <w:tabs>
          <w:tab w:val="left" w:pos="851"/>
        </w:tabs>
        <w:ind w:left="851"/>
        <w:rPr>
          <w:sz w:val="24"/>
          <w:szCs w:val="24"/>
          <w:lang w:val="en-GB"/>
        </w:rPr>
      </w:pPr>
      <w:r w:rsidRPr="006559DA">
        <w:rPr>
          <w:sz w:val="24"/>
          <w:szCs w:val="24"/>
          <w:lang w:val="en-GB"/>
        </w:rPr>
        <w:t xml:space="preserve">Limited data show that ivacaftor is excreted into human milk. A risk to the newborns/infants cannot be excluded. A decision must be made whether to discontinue breast-feeding or to discontinue/abstain from ivacaftor therapy taking into account the benefit of breast-feeding for the child and the benefit of therapy for the woman. </w:t>
      </w:r>
    </w:p>
    <w:p w14:paraId="5064445F"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319FD0B9"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Fertility</w:t>
      </w:r>
      <w:r w:rsidRPr="006559DA">
        <w:rPr>
          <w:sz w:val="24"/>
          <w:szCs w:val="24"/>
          <w:lang w:val="en-GB"/>
        </w:rPr>
        <w:t xml:space="preserve"> </w:t>
      </w:r>
    </w:p>
    <w:p w14:paraId="1D36083F" w14:textId="74B28347" w:rsidR="006559DA" w:rsidRPr="006559DA" w:rsidRDefault="006559DA" w:rsidP="000B039D">
      <w:pPr>
        <w:tabs>
          <w:tab w:val="left" w:pos="851"/>
        </w:tabs>
        <w:ind w:left="851"/>
        <w:rPr>
          <w:sz w:val="24"/>
          <w:szCs w:val="24"/>
          <w:lang w:val="en-GB"/>
        </w:rPr>
      </w:pPr>
      <w:r w:rsidRPr="006559DA">
        <w:rPr>
          <w:sz w:val="24"/>
          <w:szCs w:val="24"/>
          <w:lang w:val="en-GB"/>
        </w:rPr>
        <w:t xml:space="preserve">There are no data available on the effect of ivacaftor on fertility in humans. Ivacaftor had an effect on fertility in rats (see section 5.3). </w:t>
      </w:r>
    </w:p>
    <w:p w14:paraId="7D040C92" w14:textId="1951A30D" w:rsidR="007C5D2A" w:rsidRPr="00303008" w:rsidRDefault="007C5D2A" w:rsidP="000B039D">
      <w:pPr>
        <w:tabs>
          <w:tab w:val="left" w:pos="851"/>
        </w:tabs>
        <w:ind w:left="851"/>
        <w:rPr>
          <w:sz w:val="24"/>
          <w:szCs w:val="24"/>
          <w:lang w:val="en-GB"/>
        </w:rPr>
      </w:pPr>
    </w:p>
    <w:p w14:paraId="1F634077"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4.7</w:t>
      </w:r>
      <w:r w:rsidRPr="00303008">
        <w:rPr>
          <w:b/>
          <w:sz w:val="24"/>
          <w:szCs w:val="24"/>
          <w:lang w:val="en-GB"/>
        </w:rPr>
        <w:tab/>
        <w:t>Effects on ability to drive and use machines</w:t>
      </w:r>
    </w:p>
    <w:p w14:paraId="76599131" w14:textId="77777777" w:rsidR="000B039D" w:rsidRDefault="000B039D" w:rsidP="000B039D">
      <w:pPr>
        <w:tabs>
          <w:tab w:val="left" w:pos="851"/>
        </w:tabs>
        <w:ind w:left="851"/>
        <w:rPr>
          <w:sz w:val="24"/>
          <w:szCs w:val="24"/>
          <w:lang w:val="en-GB"/>
        </w:rPr>
      </w:pPr>
      <w:r>
        <w:rPr>
          <w:sz w:val="24"/>
          <w:szCs w:val="24"/>
          <w:lang w:val="en-GB"/>
        </w:rPr>
        <w:t>No traffic warning.</w:t>
      </w:r>
    </w:p>
    <w:p w14:paraId="7A7FD97E" w14:textId="091B4603" w:rsidR="006559DA" w:rsidRPr="006559DA" w:rsidRDefault="006559DA" w:rsidP="000B039D">
      <w:pPr>
        <w:tabs>
          <w:tab w:val="left" w:pos="851"/>
        </w:tabs>
        <w:ind w:left="851"/>
        <w:rPr>
          <w:sz w:val="24"/>
          <w:szCs w:val="24"/>
          <w:lang w:val="en-GB"/>
        </w:rPr>
      </w:pPr>
      <w:r w:rsidRPr="006559DA">
        <w:rPr>
          <w:sz w:val="24"/>
          <w:szCs w:val="24"/>
          <w:lang w:val="en-GB"/>
        </w:rPr>
        <w:t xml:space="preserve">Ivacaftor has minor influence on the ability to drive and use machines. Ivacaftor may cause dizziness (see section 4.8) and, therefore, patients experiencing dizziness should be advised not to drive or use machines until symptoms abate. </w:t>
      </w:r>
    </w:p>
    <w:p w14:paraId="2C11F198" w14:textId="77777777" w:rsidR="007C5D2A" w:rsidRPr="00303008" w:rsidRDefault="007C5D2A" w:rsidP="000B039D">
      <w:pPr>
        <w:tabs>
          <w:tab w:val="left" w:pos="851"/>
        </w:tabs>
        <w:ind w:left="851"/>
        <w:rPr>
          <w:sz w:val="24"/>
          <w:szCs w:val="24"/>
          <w:lang w:val="en-GB"/>
        </w:rPr>
      </w:pPr>
    </w:p>
    <w:p w14:paraId="476E2A50"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4.8</w:t>
      </w:r>
      <w:r w:rsidRPr="00303008">
        <w:rPr>
          <w:b/>
          <w:sz w:val="24"/>
          <w:szCs w:val="24"/>
          <w:lang w:val="en-GB"/>
        </w:rPr>
        <w:tab/>
        <w:t>Undesirable effects</w:t>
      </w:r>
    </w:p>
    <w:p w14:paraId="32749211" w14:textId="77777777" w:rsidR="006559DA" w:rsidRPr="006559DA" w:rsidRDefault="006559DA" w:rsidP="000B039D">
      <w:pPr>
        <w:tabs>
          <w:tab w:val="left" w:pos="851"/>
        </w:tabs>
        <w:ind w:left="851"/>
        <w:rPr>
          <w:sz w:val="24"/>
          <w:szCs w:val="24"/>
          <w:lang w:val="en-GB"/>
        </w:rPr>
      </w:pPr>
    </w:p>
    <w:p w14:paraId="3D146FB7"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Summary of the safety profile</w:t>
      </w:r>
      <w:r w:rsidRPr="006559DA">
        <w:rPr>
          <w:sz w:val="24"/>
          <w:szCs w:val="24"/>
          <w:lang w:val="en-GB"/>
        </w:rPr>
        <w:t xml:space="preserve"> </w:t>
      </w:r>
    </w:p>
    <w:p w14:paraId="4F75CC74" w14:textId="4EA705BC" w:rsidR="006559DA" w:rsidRPr="006559DA" w:rsidRDefault="006559DA" w:rsidP="000B039D">
      <w:pPr>
        <w:tabs>
          <w:tab w:val="left" w:pos="851"/>
        </w:tabs>
        <w:ind w:left="851"/>
        <w:rPr>
          <w:sz w:val="24"/>
          <w:szCs w:val="24"/>
          <w:lang w:val="en-GB"/>
        </w:rPr>
      </w:pPr>
      <w:r w:rsidRPr="006559DA">
        <w:rPr>
          <w:sz w:val="24"/>
          <w:szCs w:val="24"/>
          <w:lang w:val="en-GB"/>
        </w:rPr>
        <w:t xml:space="preserve">The most common adverse reactions experienced by patients aged 6 years and older who received ivacaftor are headache (23.9%), oropharyngeal pain (22.0%), upper respiratory tract infection (22.0%), nasal congestion (20.2%), abdominal pain (15.6%), nasopharyngitis (14.7%), diarrhoea (12.8%), dizziness (9.2%), rash (12.8%) and bacteria in sputum (12.8%). Transaminase elevations occurred in 12.8% of ivacaftor-treated patients versus 11.5% of placebo-treated patients. </w:t>
      </w:r>
    </w:p>
    <w:p w14:paraId="75314ADD"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7F12007C"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In patients aged 2 to less than 6 years the most common adverse reactions were nasal congestion (26.5%), upper respiratory tract infection (23.5%), transaminase elevations (14.7%), rash (11.8%), and bacteria in sputum (11.8%). </w:t>
      </w:r>
    </w:p>
    <w:p w14:paraId="70A98D27"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339917F7"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Serious adverse reactions included abdominal pain (0.9%) and transaminase elevations (1.8%) in patients who received ivacaftor, while serious adverse reactions of rash were reported in 1.5% patients aged 12 years and older treated with a combination regimen with ivacaftor/tezacaftor/elexacaftor (see section 4.4). </w:t>
      </w:r>
    </w:p>
    <w:p w14:paraId="13392FE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13EE99B7"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Tabulated list of adverse reactions</w:t>
      </w:r>
      <w:r w:rsidRPr="006559DA">
        <w:rPr>
          <w:sz w:val="24"/>
          <w:szCs w:val="24"/>
          <w:lang w:val="en-GB"/>
        </w:rPr>
        <w:t xml:space="preserve"> </w:t>
      </w:r>
    </w:p>
    <w:p w14:paraId="643F0EEE" w14:textId="594D737A" w:rsidR="006559DA" w:rsidRDefault="006559DA" w:rsidP="000B039D">
      <w:pPr>
        <w:tabs>
          <w:tab w:val="left" w:pos="851"/>
        </w:tabs>
        <w:ind w:left="851"/>
        <w:rPr>
          <w:sz w:val="24"/>
          <w:szCs w:val="24"/>
          <w:lang w:val="en-GB"/>
        </w:rPr>
      </w:pPr>
      <w:r w:rsidRPr="006559DA">
        <w:rPr>
          <w:sz w:val="24"/>
          <w:szCs w:val="24"/>
          <w:lang w:val="en-GB"/>
        </w:rPr>
        <w:t>Table 4 reflects the adverse reactions observed with ivacaftor monotherapy in clinical trials (placebocontrolled and uncontrolled studies) in which the length of exposure to ivacaftor ranged from 16 weeks to 144 weeks. Additional adverse reactions observed with ivacaftor in a combination regimen with tezacaftor/ivacaftor and/or in a combination regimen with ivacaftor/tezacaftor/elexacaftor are also provided in Table 4. The frequency of adverse reactions is defined as follows: very common (≥ 1/10); common (≥ 1/100 to &lt; 1/10); uncommon (≥ 1/1,000 to &lt; 1/100); rare (≥ 1/10,000 to &lt; 1/1,000); very rare (&lt; 1/10,000); not known (cannot be estimated from the available data). Within each frequency grouping, adverse reactions are presented in order of decreasing seriousness.</w:t>
      </w:r>
    </w:p>
    <w:p w14:paraId="30663610" w14:textId="6523F62A" w:rsidR="000B039D" w:rsidRDefault="000B039D">
      <w:pPr>
        <w:rPr>
          <w:sz w:val="24"/>
          <w:szCs w:val="24"/>
          <w:lang w:val="en-GB"/>
        </w:rPr>
      </w:pPr>
      <w:r>
        <w:rPr>
          <w:sz w:val="24"/>
          <w:szCs w:val="24"/>
          <w:lang w:val="en-GB"/>
        </w:rPr>
        <w:br w:type="page"/>
      </w:r>
    </w:p>
    <w:p w14:paraId="2FA7A2B8" w14:textId="77777777" w:rsidR="00AC6A04" w:rsidRDefault="00AC6A04" w:rsidP="000B039D">
      <w:pPr>
        <w:tabs>
          <w:tab w:val="left" w:pos="851"/>
        </w:tabs>
        <w:ind w:left="851"/>
        <w:rPr>
          <w:sz w:val="24"/>
          <w:szCs w:val="24"/>
          <w:lang w:val="en-GB"/>
        </w:rPr>
      </w:pPr>
    </w:p>
    <w:p w14:paraId="7236AC33" w14:textId="242E9369" w:rsidR="00AC6A04" w:rsidRPr="00AC6A04" w:rsidRDefault="00AC6A04" w:rsidP="000B039D">
      <w:pPr>
        <w:pStyle w:val="Overskrift1"/>
        <w:spacing w:line="240" w:lineRule="auto"/>
        <w:ind w:left="-2"/>
        <w:jc w:val="both"/>
      </w:pPr>
      <w:r w:rsidRPr="003A78AC">
        <w:t>Table 4: Adverse reactions</w:t>
      </w:r>
    </w:p>
    <w:p w14:paraId="61C81B1E" w14:textId="77777777" w:rsidR="007C5D2A" w:rsidRDefault="007C5D2A" w:rsidP="000B039D">
      <w:pPr>
        <w:tabs>
          <w:tab w:val="left" w:pos="851"/>
        </w:tabs>
        <w:ind w:left="851"/>
        <w:rPr>
          <w:sz w:val="24"/>
          <w:szCs w:val="24"/>
          <w:lang w:val="en-GB"/>
        </w:rPr>
      </w:pPr>
    </w:p>
    <w:tbl>
      <w:tblPr>
        <w:tblW w:w="5000" w:type="pct"/>
        <w:tblCellMar>
          <w:top w:w="54" w:type="dxa"/>
          <w:right w:w="100" w:type="dxa"/>
        </w:tblCellMar>
        <w:tblLook w:val="04A0" w:firstRow="1" w:lastRow="0" w:firstColumn="1" w:lastColumn="0" w:noHBand="0" w:noVBand="1"/>
      </w:tblPr>
      <w:tblGrid>
        <w:gridCol w:w="3280"/>
        <w:gridCol w:w="3460"/>
        <w:gridCol w:w="2888"/>
      </w:tblGrid>
      <w:tr w:rsidR="006559DA" w:rsidRPr="006559DA" w14:paraId="4FE6A665" w14:textId="77777777">
        <w:trPr>
          <w:trHeight w:val="113"/>
          <w:tblHeader/>
        </w:trPr>
        <w:tc>
          <w:tcPr>
            <w:tcW w:w="1703" w:type="pct"/>
            <w:tcBorders>
              <w:top w:val="single" w:sz="4" w:space="0" w:color="000000"/>
              <w:left w:val="single" w:sz="4" w:space="0" w:color="000000"/>
              <w:bottom w:val="single" w:sz="4" w:space="0" w:color="000000"/>
              <w:right w:val="single" w:sz="4" w:space="0" w:color="000000"/>
            </w:tcBorders>
            <w:hideMark/>
          </w:tcPr>
          <w:p w14:paraId="5E06D0DD" w14:textId="77777777" w:rsidR="006559DA" w:rsidRPr="006559DA" w:rsidRDefault="006559DA" w:rsidP="000B039D">
            <w:pPr>
              <w:rPr>
                <w:color w:val="000000"/>
                <w:kern w:val="2"/>
                <w:sz w:val="20"/>
                <w:lang w:val="en-GB" w:eastAsia="en-GB"/>
              </w:rPr>
            </w:pPr>
            <w:r w:rsidRPr="006559DA">
              <w:rPr>
                <w:b/>
                <w:color w:val="000000"/>
                <w:kern w:val="2"/>
                <w:sz w:val="20"/>
                <w:lang w:val="en-GB" w:eastAsia="en-GB"/>
              </w:rPr>
              <w:t>System organ class</w:t>
            </w:r>
            <w:r w:rsidRPr="006559DA">
              <w:rPr>
                <w:color w:val="000000"/>
                <w:kern w:val="2"/>
                <w:sz w:val="20"/>
                <w:lang w:val="en-GB" w:eastAsia="en-GB"/>
              </w:rPr>
              <w:t xml:space="preserve"> </w:t>
            </w:r>
          </w:p>
        </w:tc>
        <w:tc>
          <w:tcPr>
            <w:tcW w:w="1797" w:type="pct"/>
            <w:tcBorders>
              <w:top w:val="single" w:sz="4" w:space="0" w:color="000000"/>
              <w:left w:val="single" w:sz="4" w:space="0" w:color="000000"/>
              <w:bottom w:val="single" w:sz="4" w:space="0" w:color="000000"/>
              <w:right w:val="single" w:sz="4" w:space="0" w:color="000000"/>
            </w:tcBorders>
            <w:hideMark/>
          </w:tcPr>
          <w:p w14:paraId="46879430" w14:textId="77777777" w:rsidR="006559DA" w:rsidRPr="006559DA" w:rsidRDefault="006559DA" w:rsidP="000B039D">
            <w:pPr>
              <w:ind w:left="8"/>
              <w:jc w:val="both"/>
              <w:rPr>
                <w:color w:val="000000"/>
                <w:kern w:val="2"/>
                <w:sz w:val="20"/>
                <w:lang w:val="en-GB" w:eastAsia="en-GB"/>
              </w:rPr>
            </w:pPr>
            <w:r w:rsidRPr="006559DA">
              <w:rPr>
                <w:b/>
                <w:color w:val="000000"/>
                <w:kern w:val="2"/>
                <w:sz w:val="20"/>
                <w:lang w:val="en-GB" w:eastAsia="en-GB"/>
              </w:rPr>
              <w:t xml:space="preserve">Adverse reactions </w:t>
            </w:r>
          </w:p>
        </w:tc>
        <w:tc>
          <w:tcPr>
            <w:tcW w:w="1500" w:type="pct"/>
            <w:tcBorders>
              <w:top w:val="single" w:sz="4" w:space="0" w:color="000000"/>
              <w:left w:val="single" w:sz="4" w:space="0" w:color="000000"/>
              <w:bottom w:val="single" w:sz="4" w:space="0" w:color="000000"/>
              <w:right w:val="single" w:sz="4" w:space="0" w:color="000000"/>
            </w:tcBorders>
            <w:hideMark/>
          </w:tcPr>
          <w:p w14:paraId="5A4CD079" w14:textId="77777777" w:rsidR="006559DA" w:rsidRPr="006559DA" w:rsidRDefault="006559DA" w:rsidP="000B039D">
            <w:pPr>
              <w:ind w:left="5"/>
              <w:jc w:val="both"/>
              <w:rPr>
                <w:color w:val="000000"/>
                <w:kern w:val="2"/>
                <w:sz w:val="20"/>
                <w:lang w:val="en-GB" w:eastAsia="en-GB"/>
              </w:rPr>
            </w:pPr>
            <w:r w:rsidRPr="006559DA">
              <w:rPr>
                <w:b/>
                <w:color w:val="000000"/>
                <w:kern w:val="2"/>
                <w:sz w:val="20"/>
                <w:lang w:val="en-GB" w:eastAsia="en-GB"/>
              </w:rPr>
              <w:t xml:space="preserve">Frequency </w:t>
            </w:r>
          </w:p>
        </w:tc>
      </w:tr>
      <w:tr w:rsidR="006559DA" w:rsidRPr="006559DA" w14:paraId="4E562C50"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E8A54DE"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Infections and infestations </w:t>
            </w:r>
          </w:p>
        </w:tc>
        <w:tc>
          <w:tcPr>
            <w:tcW w:w="1797" w:type="pct"/>
            <w:tcBorders>
              <w:top w:val="single" w:sz="4" w:space="0" w:color="000000"/>
              <w:left w:val="single" w:sz="4" w:space="0" w:color="000000"/>
              <w:bottom w:val="single" w:sz="4" w:space="0" w:color="000000"/>
              <w:right w:val="single" w:sz="4" w:space="0" w:color="000000"/>
            </w:tcBorders>
            <w:hideMark/>
          </w:tcPr>
          <w:p w14:paraId="7BE6C33A"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Upper respiratory tract infection </w:t>
            </w:r>
          </w:p>
        </w:tc>
        <w:tc>
          <w:tcPr>
            <w:tcW w:w="1500" w:type="pct"/>
            <w:tcBorders>
              <w:top w:val="single" w:sz="4" w:space="0" w:color="000000"/>
              <w:left w:val="single" w:sz="4" w:space="0" w:color="000000"/>
              <w:bottom w:val="single" w:sz="4" w:space="0" w:color="000000"/>
              <w:right w:val="single" w:sz="4" w:space="0" w:color="000000"/>
            </w:tcBorders>
            <w:hideMark/>
          </w:tcPr>
          <w:p w14:paraId="5EDC8E9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515C515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EED885"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7F54FE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Nasopharyngitis </w:t>
            </w:r>
          </w:p>
        </w:tc>
        <w:tc>
          <w:tcPr>
            <w:tcW w:w="1500" w:type="pct"/>
            <w:tcBorders>
              <w:top w:val="single" w:sz="4" w:space="0" w:color="000000"/>
              <w:left w:val="single" w:sz="4" w:space="0" w:color="000000"/>
              <w:bottom w:val="single" w:sz="4" w:space="0" w:color="000000"/>
              <w:right w:val="single" w:sz="4" w:space="0" w:color="000000"/>
            </w:tcBorders>
            <w:hideMark/>
          </w:tcPr>
          <w:p w14:paraId="3906B50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72B46C9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A886F6"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4E72D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Influenza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D989C6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308C6A51"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B6A28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F865F4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Rhinitis </w:t>
            </w:r>
          </w:p>
        </w:tc>
        <w:tc>
          <w:tcPr>
            <w:tcW w:w="1500" w:type="pct"/>
            <w:tcBorders>
              <w:top w:val="single" w:sz="4" w:space="0" w:color="000000"/>
              <w:left w:val="single" w:sz="4" w:space="0" w:color="000000"/>
              <w:bottom w:val="single" w:sz="4" w:space="0" w:color="000000"/>
              <w:right w:val="single" w:sz="4" w:space="0" w:color="000000"/>
            </w:tcBorders>
            <w:hideMark/>
          </w:tcPr>
          <w:p w14:paraId="3101E3C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62FEE400" w14:textId="77777777">
        <w:trPr>
          <w:trHeight w:val="113"/>
        </w:trPr>
        <w:tc>
          <w:tcPr>
            <w:tcW w:w="1703" w:type="pct"/>
            <w:tcBorders>
              <w:top w:val="single" w:sz="4" w:space="0" w:color="000000"/>
              <w:left w:val="single" w:sz="4" w:space="0" w:color="000000"/>
              <w:bottom w:val="single" w:sz="4" w:space="0" w:color="000000"/>
              <w:right w:val="single" w:sz="4" w:space="0" w:color="000000"/>
            </w:tcBorders>
            <w:hideMark/>
          </w:tcPr>
          <w:p w14:paraId="15D7662B"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Metabolism and nutrition disorders </w:t>
            </w:r>
          </w:p>
        </w:tc>
        <w:tc>
          <w:tcPr>
            <w:tcW w:w="1797" w:type="pct"/>
            <w:tcBorders>
              <w:top w:val="single" w:sz="4" w:space="0" w:color="000000"/>
              <w:left w:val="single" w:sz="4" w:space="0" w:color="000000"/>
              <w:bottom w:val="single" w:sz="4" w:space="0" w:color="000000"/>
              <w:right w:val="single" w:sz="4" w:space="0" w:color="000000"/>
            </w:tcBorders>
            <w:hideMark/>
          </w:tcPr>
          <w:p w14:paraId="037730B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Hypoglycaemia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0E941BE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716050BE" w14:textId="77777777">
        <w:trPr>
          <w:trHeight w:val="113"/>
        </w:trPr>
        <w:tc>
          <w:tcPr>
            <w:tcW w:w="1703" w:type="pct"/>
            <w:tcBorders>
              <w:top w:val="single" w:sz="4" w:space="0" w:color="000000"/>
              <w:left w:val="single" w:sz="4" w:space="0" w:color="000000"/>
              <w:bottom w:val="single" w:sz="4" w:space="0" w:color="000000"/>
              <w:right w:val="single" w:sz="4" w:space="0" w:color="000000"/>
            </w:tcBorders>
            <w:hideMark/>
          </w:tcPr>
          <w:p w14:paraId="677DBC99"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Psychiatric disorders </w:t>
            </w:r>
          </w:p>
        </w:tc>
        <w:tc>
          <w:tcPr>
            <w:tcW w:w="1797" w:type="pct"/>
            <w:tcBorders>
              <w:top w:val="single" w:sz="4" w:space="0" w:color="000000"/>
              <w:left w:val="single" w:sz="4" w:space="0" w:color="000000"/>
              <w:bottom w:val="single" w:sz="4" w:space="0" w:color="000000"/>
              <w:right w:val="single" w:sz="4" w:space="0" w:color="000000"/>
            </w:tcBorders>
            <w:hideMark/>
          </w:tcPr>
          <w:p w14:paraId="5DB9294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Depression </w:t>
            </w:r>
          </w:p>
        </w:tc>
        <w:tc>
          <w:tcPr>
            <w:tcW w:w="1500" w:type="pct"/>
            <w:tcBorders>
              <w:top w:val="single" w:sz="4" w:space="0" w:color="000000"/>
              <w:left w:val="single" w:sz="4" w:space="0" w:color="000000"/>
              <w:bottom w:val="single" w:sz="4" w:space="0" w:color="000000"/>
              <w:right w:val="single" w:sz="4" w:space="0" w:color="000000"/>
            </w:tcBorders>
            <w:hideMark/>
          </w:tcPr>
          <w:p w14:paraId="2372422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3D74DB0B"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170677EC"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Nervous system disorders </w:t>
            </w:r>
          </w:p>
        </w:tc>
        <w:tc>
          <w:tcPr>
            <w:tcW w:w="1797" w:type="pct"/>
            <w:tcBorders>
              <w:top w:val="single" w:sz="4" w:space="0" w:color="000000"/>
              <w:left w:val="single" w:sz="4" w:space="0" w:color="000000"/>
              <w:bottom w:val="single" w:sz="4" w:space="0" w:color="000000"/>
              <w:right w:val="single" w:sz="4" w:space="0" w:color="000000"/>
            </w:tcBorders>
            <w:hideMark/>
          </w:tcPr>
          <w:p w14:paraId="6E33459D"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Headache </w:t>
            </w:r>
          </w:p>
        </w:tc>
        <w:tc>
          <w:tcPr>
            <w:tcW w:w="1500" w:type="pct"/>
            <w:tcBorders>
              <w:top w:val="single" w:sz="4" w:space="0" w:color="000000"/>
              <w:left w:val="single" w:sz="4" w:space="0" w:color="000000"/>
              <w:bottom w:val="single" w:sz="4" w:space="0" w:color="000000"/>
              <w:right w:val="single" w:sz="4" w:space="0" w:color="000000"/>
            </w:tcBorders>
            <w:hideMark/>
          </w:tcPr>
          <w:p w14:paraId="400290A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7AEEFAA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4168D"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2E20C1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Dizziness </w:t>
            </w:r>
          </w:p>
        </w:tc>
        <w:tc>
          <w:tcPr>
            <w:tcW w:w="1500" w:type="pct"/>
            <w:tcBorders>
              <w:top w:val="single" w:sz="4" w:space="0" w:color="000000"/>
              <w:left w:val="single" w:sz="4" w:space="0" w:color="000000"/>
              <w:bottom w:val="single" w:sz="4" w:space="0" w:color="000000"/>
              <w:right w:val="single" w:sz="4" w:space="0" w:color="000000"/>
            </w:tcBorders>
            <w:hideMark/>
          </w:tcPr>
          <w:p w14:paraId="34F6CBA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4F29A2E"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3D13436B"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Ear and labyrinth disorders </w:t>
            </w:r>
          </w:p>
        </w:tc>
        <w:tc>
          <w:tcPr>
            <w:tcW w:w="1797" w:type="pct"/>
            <w:tcBorders>
              <w:top w:val="single" w:sz="4" w:space="0" w:color="000000"/>
              <w:left w:val="single" w:sz="4" w:space="0" w:color="000000"/>
              <w:bottom w:val="single" w:sz="4" w:space="0" w:color="000000"/>
              <w:right w:val="single" w:sz="4" w:space="0" w:color="000000"/>
            </w:tcBorders>
            <w:hideMark/>
          </w:tcPr>
          <w:p w14:paraId="270E3CD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Ear pain </w:t>
            </w:r>
          </w:p>
        </w:tc>
        <w:tc>
          <w:tcPr>
            <w:tcW w:w="1500" w:type="pct"/>
            <w:tcBorders>
              <w:top w:val="single" w:sz="4" w:space="0" w:color="000000"/>
              <w:left w:val="single" w:sz="4" w:space="0" w:color="000000"/>
              <w:bottom w:val="single" w:sz="4" w:space="0" w:color="000000"/>
              <w:right w:val="single" w:sz="4" w:space="0" w:color="000000"/>
            </w:tcBorders>
            <w:hideMark/>
          </w:tcPr>
          <w:p w14:paraId="6841875B"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4010118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11B4A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44CFBC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Ear discomfort </w:t>
            </w:r>
          </w:p>
        </w:tc>
        <w:tc>
          <w:tcPr>
            <w:tcW w:w="1500" w:type="pct"/>
            <w:tcBorders>
              <w:top w:val="single" w:sz="4" w:space="0" w:color="000000"/>
              <w:left w:val="single" w:sz="4" w:space="0" w:color="000000"/>
              <w:bottom w:val="single" w:sz="4" w:space="0" w:color="000000"/>
              <w:right w:val="single" w:sz="4" w:space="0" w:color="000000"/>
            </w:tcBorders>
            <w:hideMark/>
          </w:tcPr>
          <w:p w14:paraId="4864049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EBD52B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7C721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832536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Tinnitus </w:t>
            </w:r>
          </w:p>
        </w:tc>
        <w:tc>
          <w:tcPr>
            <w:tcW w:w="1500" w:type="pct"/>
            <w:tcBorders>
              <w:top w:val="single" w:sz="4" w:space="0" w:color="000000"/>
              <w:left w:val="single" w:sz="4" w:space="0" w:color="000000"/>
              <w:bottom w:val="single" w:sz="4" w:space="0" w:color="000000"/>
              <w:right w:val="single" w:sz="4" w:space="0" w:color="000000"/>
            </w:tcBorders>
            <w:hideMark/>
          </w:tcPr>
          <w:p w14:paraId="5DB61E8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CBF372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1C23F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29D2FA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Tympanic membrane hyperaemia </w:t>
            </w:r>
          </w:p>
        </w:tc>
        <w:tc>
          <w:tcPr>
            <w:tcW w:w="1500" w:type="pct"/>
            <w:tcBorders>
              <w:top w:val="single" w:sz="4" w:space="0" w:color="000000"/>
              <w:left w:val="single" w:sz="4" w:space="0" w:color="000000"/>
              <w:bottom w:val="single" w:sz="4" w:space="0" w:color="000000"/>
              <w:right w:val="single" w:sz="4" w:space="0" w:color="000000"/>
            </w:tcBorders>
            <w:hideMark/>
          </w:tcPr>
          <w:p w14:paraId="233AAB0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77ACA1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4B62D"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BDCDB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Vestibular disorder </w:t>
            </w:r>
          </w:p>
        </w:tc>
        <w:tc>
          <w:tcPr>
            <w:tcW w:w="1500" w:type="pct"/>
            <w:tcBorders>
              <w:top w:val="single" w:sz="4" w:space="0" w:color="000000"/>
              <w:left w:val="single" w:sz="4" w:space="0" w:color="000000"/>
              <w:bottom w:val="single" w:sz="4" w:space="0" w:color="000000"/>
              <w:right w:val="single" w:sz="4" w:space="0" w:color="000000"/>
            </w:tcBorders>
            <w:hideMark/>
          </w:tcPr>
          <w:p w14:paraId="7D89B89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62AC657"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A81419"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717D5F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Ear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7877C76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20B98CEE"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207C95A"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Respiratory, thoracic and mediastinal disorders </w:t>
            </w:r>
          </w:p>
        </w:tc>
        <w:tc>
          <w:tcPr>
            <w:tcW w:w="1797" w:type="pct"/>
            <w:tcBorders>
              <w:top w:val="single" w:sz="4" w:space="0" w:color="000000"/>
              <w:left w:val="single" w:sz="4" w:space="0" w:color="000000"/>
              <w:bottom w:val="single" w:sz="4" w:space="0" w:color="000000"/>
              <w:right w:val="single" w:sz="4" w:space="0" w:color="000000"/>
            </w:tcBorders>
            <w:hideMark/>
          </w:tcPr>
          <w:p w14:paraId="0FC4620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Oropharyngeal pain </w:t>
            </w:r>
          </w:p>
        </w:tc>
        <w:tc>
          <w:tcPr>
            <w:tcW w:w="1500" w:type="pct"/>
            <w:tcBorders>
              <w:top w:val="single" w:sz="4" w:space="0" w:color="000000"/>
              <w:left w:val="single" w:sz="4" w:space="0" w:color="000000"/>
              <w:bottom w:val="single" w:sz="4" w:space="0" w:color="000000"/>
              <w:right w:val="single" w:sz="4" w:space="0" w:color="000000"/>
            </w:tcBorders>
            <w:hideMark/>
          </w:tcPr>
          <w:p w14:paraId="7BF27D3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4E99961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04EEC"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EC059A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Nasal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443C0BB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51E0E04E"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EBAF4"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36F705F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Abnormal breathing</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DADDC1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71479B1"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9DF89"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4D1646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Rhinorrhoea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004E6BB"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706AFB6B"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D2230"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3C656FB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Sinus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1A7AB47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68715B8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C3A2C"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8907F0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Pharyngeal erythema </w:t>
            </w:r>
          </w:p>
        </w:tc>
        <w:tc>
          <w:tcPr>
            <w:tcW w:w="1500" w:type="pct"/>
            <w:tcBorders>
              <w:top w:val="single" w:sz="4" w:space="0" w:color="000000"/>
              <w:left w:val="single" w:sz="4" w:space="0" w:color="000000"/>
              <w:bottom w:val="single" w:sz="4" w:space="0" w:color="000000"/>
              <w:right w:val="single" w:sz="4" w:space="0" w:color="000000"/>
            </w:tcBorders>
            <w:hideMark/>
          </w:tcPr>
          <w:p w14:paraId="6A660F9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87A4DF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199BE"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703FB5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Wheezing</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ECE395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1A7C64FD"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70DDFA2"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Gastrointestinal disorders </w:t>
            </w:r>
          </w:p>
        </w:tc>
        <w:tc>
          <w:tcPr>
            <w:tcW w:w="1797" w:type="pct"/>
            <w:tcBorders>
              <w:top w:val="single" w:sz="4" w:space="0" w:color="000000"/>
              <w:left w:val="single" w:sz="4" w:space="0" w:color="000000"/>
              <w:bottom w:val="single" w:sz="4" w:space="0" w:color="000000"/>
              <w:right w:val="single" w:sz="4" w:space="0" w:color="000000"/>
            </w:tcBorders>
            <w:hideMark/>
          </w:tcPr>
          <w:p w14:paraId="4A49411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Abdominal pain </w:t>
            </w:r>
          </w:p>
        </w:tc>
        <w:tc>
          <w:tcPr>
            <w:tcW w:w="1500" w:type="pct"/>
            <w:tcBorders>
              <w:top w:val="single" w:sz="4" w:space="0" w:color="000000"/>
              <w:left w:val="single" w:sz="4" w:space="0" w:color="000000"/>
              <w:bottom w:val="single" w:sz="4" w:space="0" w:color="000000"/>
              <w:right w:val="single" w:sz="4" w:space="0" w:color="000000"/>
            </w:tcBorders>
            <w:hideMark/>
          </w:tcPr>
          <w:p w14:paraId="7751DC4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BFEE147"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3B059E"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05351B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Diarrhoea </w:t>
            </w:r>
          </w:p>
        </w:tc>
        <w:tc>
          <w:tcPr>
            <w:tcW w:w="1500" w:type="pct"/>
            <w:tcBorders>
              <w:top w:val="single" w:sz="4" w:space="0" w:color="000000"/>
              <w:left w:val="single" w:sz="4" w:space="0" w:color="000000"/>
              <w:bottom w:val="single" w:sz="4" w:space="0" w:color="000000"/>
              <w:right w:val="single" w:sz="4" w:space="0" w:color="000000"/>
            </w:tcBorders>
            <w:hideMark/>
          </w:tcPr>
          <w:p w14:paraId="5772D91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99252A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55B27"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A56B27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Abdominal pain upper</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B09947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6BA33A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9C961"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42F599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Flatulence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278DD1E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50C3946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5D6CDC"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B25F4D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Nausea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A2D8E9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E0F9C99"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7A2084E2"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Hepatobiliary disorders </w:t>
            </w:r>
          </w:p>
        </w:tc>
        <w:tc>
          <w:tcPr>
            <w:tcW w:w="1797" w:type="pct"/>
            <w:tcBorders>
              <w:top w:val="single" w:sz="4" w:space="0" w:color="000000"/>
              <w:left w:val="single" w:sz="4" w:space="0" w:color="000000"/>
              <w:bottom w:val="single" w:sz="4" w:space="0" w:color="000000"/>
              <w:right w:val="single" w:sz="4" w:space="0" w:color="000000"/>
            </w:tcBorders>
            <w:hideMark/>
          </w:tcPr>
          <w:p w14:paraId="4C96DA0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Transaminase elevations </w:t>
            </w:r>
          </w:p>
        </w:tc>
        <w:tc>
          <w:tcPr>
            <w:tcW w:w="1500" w:type="pct"/>
            <w:tcBorders>
              <w:top w:val="single" w:sz="4" w:space="0" w:color="000000"/>
              <w:left w:val="single" w:sz="4" w:space="0" w:color="000000"/>
              <w:bottom w:val="single" w:sz="4" w:space="0" w:color="000000"/>
              <w:right w:val="single" w:sz="4" w:space="0" w:color="000000"/>
            </w:tcBorders>
            <w:hideMark/>
          </w:tcPr>
          <w:p w14:paraId="5236DED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218C79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75FCA"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822A9CA"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Alanine aminotransferase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4D8895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246E5F9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AD9357"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CFA663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Aspartate aminotransferase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D31394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1D9EC8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54CED6"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58FB21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Liver injury</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4AF3D9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56D2B88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5291B1"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AABE6B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Total bilirubin increase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FBE691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43119DAC"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6CFDE1B7"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Skin and subcutaneous tissue disorders </w:t>
            </w:r>
          </w:p>
        </w:tc>
        <w:tc>
          <w:tcPr>
            <w:tcW w:w="1797" w:type="pct"/>
            <w:tcBorders>
              <w:top w:val="single" w:sz="4" w:space="0" w:color="000000"/>
              <w:left w:val="single" w:sz="4" w:space="0" w:color="000000"/>
              <w:bottom w:val="single" w:sz="4" w:space="0" w:color="000000"/>
              <w:right w:val="single" w:sz="4" w:space="0" w:color="000000"/>
            </w:tcBorders>
            <w:hideMark/>
          </w:tcPr>
          <w:p w14:paraId="62C91F0B"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Rash </w:t>
            </w:r>
          </w:p>
        </w:tc>
        <w:tc>
          <w:tcPr>
            <w:tcW w:w="1500" w:type="pct"/>
            <w:tcBorders>
              <w:top w:val="single" w:sz="4" w:space="0" w:color="000000"/>
              <w:left w:val="single" w:sz="4" w:space="0" w:color="000000"/>
              <w:bottom w:val="single" w:sz="4" w:space="0" w:color="000000"/>
              <w:right w:val="single" w:sz="4" w:space="0" w:color="000000"/>
            </w:tcBorders>
            <w:hideMark/>
          </w:tcPr>
          <w:p w14:paraId="58B8C2A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224F74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AB11E"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1C9996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Acne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2E0DCAA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6831C7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085D7"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38B516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Pruritus</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52BF0DD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43998D9B"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6EE7EAE0"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Reproductive system and breast disorders </w:t>
            </w:r>
          </w:p>
        </w:tc>
        <w:tc>
          <w:tcPr>
            <w:tcW w:w="1797" w:type="pct"/>
            <w:tcBorders>
              <w:top w:val="single" w:sz="4" w:space="0" w:color="000000"/>
              <w:left w:val="single" w:sz="4" w:space="0" w:color="000000"/>
              <w:bottom w:val="single" w:sz="4" w:space="0" w:color="000000"/>
              <w:right w:val="single" w:sz="4" w:space="0" w:color="000000"/>
            </w:tcBorders>
            <w:hideMark/>
          </w:tcPr>
          <w:p w14:paraId="522A97E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Breast mass </w:t>
            </w:r>
          </w:p>
        </w:tc>
        <w:tc>
          <w:tcPr>
            <w:tcW w:w="1500" w:type="pct"/>
            <w:tcBorders>
              <w:top w:val="single" w:sz="4" w:space="0" w:color="000000"/>
              <w:left w:val="single" w:sz="4" w:space="0" w:color="000000"/>
              <w:bottom w:val="single" w:sz="4" w:space="0" w:color="000000"/>
              <w:right w:val="single" w:sz="4" w:space="0" w:color="000000"/>
            </w:tcBorders>
            <w:hideMark/>
          </w:tcPr>
          <w:p w14:paraId="47131F0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0E73D6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A5324"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6B4722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Breast inflammation </w:t>
            </w:r>
          </w:p>
        </w:tc>
        <w:tc>
          <w:tcPr>
            <w:tcW w:w="1500" w:type="pct"/>
            <w:tcBorders>
              <w:top w:val="single" w:sz="4" w:space="0" w:color="000000"/>
              <w:left w:val="single" w:sz="4" w:space="0" w:color="000000"/>
              <w:bottom w:val="single" w:sz="4" w:space="0" w:color="000000"/>
              <w:right w:val="single" w:sz="4" w:space="0" w:color="000000"/>
            </w:tcBorders>
            <w:hideMark/>
          </w:tcPr>
          <w:p w14:paraId="038B451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02FAA28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2A95E5"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6C53C0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Gynaecomastia </w:t>
            </w:r>
          </w:p>
        </w:tc>
        <w:tc>
          <w:tcPr>
            <w:tcW w:w="1500" w:type="pct"/>
            <w:tcBorders>
              <w:top w:val="single" w:sz="4" w:space="0" w:color="000000"/>
              <w:left w:val="single" w:sz="4" w:space="0" w:color="000000"/>
              <w:bottom w:val="single" w:sz="4" w:space="0" w:color="000000"/>
              <w:right w:val="single" w:sz="4" w:space="0" w:color="000000"/>
            </w:tcBorders>
            <w:hideMark/>
          </w:tcPr>
          <w:p w14:paraId="579B7C4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231FCC4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AEC5D"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38A904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Nipple disorder </w:t>
            </w:r>
          </w:p>
        </w:tc>
        <w:tc>
          <w:tcPr>
            <w:tcW w:w="1500" w:type="pct"/>
            <w:tcBorders>
              <w:top w:val="single" w:sz="4" w:space="0" w:color="000000"/>
              <w:left w:val="single" w:sz="4" w:space="0" w:color="000000"/>
              <w:bottom w:val="single" w:sz="4" w:space="0" w:color="000000"/>
              <w:right w:val="single" w:sz="4" w:space="0" w:color="000000"/>
            </w:tcBorders>
            <w:hideMark/>
          </w:tcPr>
          <w:p w14:paraId="35CD617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5530E714"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EC50F4"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EA6AF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Nipple pain </w:t>
            </w:r>
          </w:p>
        </w:tc>
        <w:tc>
          <w:tcPr>
            <w:tcW w:w="1500" w:type="pct"/>
            <w:tcBorders>
              <w:top w:val="single" w:sz="4" w:space="0" w:color="000000"/>
              <w:left w:val="single" w:sz="4" w:space="0" w:color="000000"/>
              <w:bottom w:val="single" w:sz="4" w:space="0" w:color="000000"/>
              <w:right w:val="single" w:sz="4" w:space="0" w:color="000000"/>
            </w:tcBorders>
            <w:hideMark/>
          </w:tcPr>
          <w:p w14:paraId="2D168D2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035C8E4A"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01DDE07"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Investigations </w:t>
            </w:r>
          </w:p>
        </w:tc>
        <w:tc>
          <w:tcPr>
            <w:tcW w:w="1797" w:type="pct"/>
            <w:tcBorders>
              <w:top w:val="single" w:sz="4" w:space="0" w:color="000000"/>
              <w:left w:val="single" w:sz="4" w:space="0" w:color="000000"/>
              <w:bottom w:val="single" w:sz="4" w:space="0" w:color="000000"/>
              <w:right w:val="single" w:sz="4" w:space="0" w:color="000000"/>
            </w:tcBorders>
            <w:hideMark/>
          </w:tcPr>
          <w:p w14:paraId="24DBA4B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Bacteria in sputum </w:t>
            </w:r>
          </w:p>
        </w:tc>
        <w:tc>
          <w:tcPr>
            <w:tcW w:w="1500" w:type="pct"/>
            <w:tcBorders>
              <w:top w:val="single" w:sz="4" w:space="0" w:color="000000"/>
              <w:left w:val="single" w:sz="4" w:space="0" w:color="000000"/>
              <w:bottom w:val="single" w:sz="4" w:space="0" w:color="000000"/>
              <w:right w:val="single" w:sz="4" w:space="0" w:color="000000"/>
            </w:tcBorders>
            <w:hideMark/>
          </w:tcPr>
          <w:p w14:paraId="194B933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F95500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CB5B6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647EC3A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Blood creatine phosphokinase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6E23D45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22FEE7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2B779A"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4983A2A"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Blood pressure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0EFC5AB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bl>
    <w:p w14:paraId="57D59D24" w14:textId="77777777" w:rsidR="006559DA" w:rsidRPr="006559DA" w:rsidRDefault="006559DA" w:rsidP="000B039D">
      <w:pPr>
        <w:tabs>
          <w:tab w:val="left" w:pos="851"/>
        </w:tabs>
        <w:ind w:left="851"/>
        <w:rPr>
          <w:sz w:val="20"/>
          <w:lang w:val="en-GB"/>
        </w:rPr>
      </w:pPr>
      <w:r w:rsidRPr="006559DA">
        <w:rPr>
          <w:sz w:val="20"/>
          <w:vertAlign w:val="superscript"/>
          <w:lang w:val="en-GB"/>
        </w:rPr>
        <w:t>*</w:t>
      </w:r>
      <w:r w:rsidRPr="006559DA">
        <w:rPr>
          <w:sz w:val="20"/>
          <w:lang w:val="en-GB"/>
        </w:rPr>
        <w:t xml:space="preserve"> Adverse reaction and frequency reported from clinical studies with ivacaftor in combination with tezacaftor/ivacaftor. </w:t>
      </w:r>
    </w:p>
    <w:p w14:paraId="38FA5435" w14:textId="77777777" w:rsidR="006559DA" w:rsidRPr="006559DA" w:rsidRDefault="006559DA" w:rsidP="000B039D">
      <w:pPr>
        <w:tabs>
          <w:tab w:val="left" w:pos="851"/>
        </w:tabs>
        <w:ind w:left="851"/>
        <w:rPr>
          <w:sz w:val="20"/>
          <w:lang w:val="en-GB"/>
        </w:rPr>
      </w:pPr>
      <w:r w:rsidRPr="006559DA">
        <w:rPr>
          <w:sz w:val="20"/>
          <w:vertAlign w:val="superscript"/>
          <w:lang w:val="en-GB"/>
        </w:rPr>
        <w:lastRenderedPageBreak/>
        <w:t>†</w:t>
      </w:r>
      <w:r w:rsidRPr="006559DA">
        <w:rPr>
          <w:sz w:val="20"/>
          <w:lang w:val="en-GB"/>
        </w:rPr>
        <w:t xml:space="preserve"> Adverse reaction and frequency reported from clinical studies with ivacaftor in combination with ivacaftor/tezacaftor/elexacaftor. </w:t>
      </w:r>
    </w:p>
    <w:p w14:paraId="767D3ED5" w14:textId="77777777" w:rsidR="006559DA" w:rsidRPr="006559DA" w:rsidRDefault="006559DA" w:rsidP="000B039D">
      <w:pPr>
        <w:tabs>
          <w:tab w:val="left" w:pos="851"/>
        </w:tabs>
        <w:ind w:left="851"/>
        <w:rPr>
          <w:sz w:val="20"/>
          <w:lang w:val="en-GB"/>
        </w:rPr>
      </w:pPr>
      <w:r w:rsidRPr="006559DA">
        <w:rPr>
          <w:sz w:val="20"/>
          <w:vertAlign w:val="superscript"/>
          <w:lang w:val="en-GB"/>
        </w:rPr>
        <w:t xml:space="preserve">^  </w:t>
      </w:r>
      <w:r w:rsidRPr="006559DA">
        <w:rPr>
          <w:sz w:val="20"/>
          <w:lang w:val="en-GB"/>
        </w:rPr>
        <w:t xml:space="preserve">Liver injury (ALT and AST and total bilirubin increase) reported from post-marketing data with ivacaftor in combination with ivacaftor/tezacaftor/elexacaftor. This also included liver failure leading to transplantation in a patient with pre-existing cirrhosis and portal hypertension. Frequency cannot be estimated from the available data. </w:t>
      </w:r>
    </w:p>
    <w:p w14:paraId="3DE05974"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2D49C84"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Description of selected adverse reactions</w:t>
      </w:r>
      <w:r w:rsidRPr="006559DA">
        <w:rPr>
          <w:sz w:val="24"/>
          <w:szCs w:val="24"/>
          <w:lang w:val="en-GB"/>
        </w:rPr>
        <w:t xml:space="preserve"> </w:t>
      </w:r>
    </w:p>
    <w:p w14:paraId="11856AF1" w14:textId="77777777" w:rsidR="006559DA" w:rsidRPr="006559DA" w:rsidRDefault="006559DA" w:rsidP="000B039D">
      <w:pPr>
        <w:tabs>
          <w:tab w:val="left" w:pos="851"/>
        </w:tabs>
        <w:ind w:left="851"/>
        <w:rPr>
          <w:sz w:val="24"/>
          <w:szCs w:val="24"/>
          <w:lang w:val="en-GB"/>
        </w:rPr>
      </w:pPr>
      <w:r w:rsidRPr="006559DA">
        <w:rPr>
          <w:i/>
          <w:sz w:val="24"/>
          <w:szCs w:val="24"/>
          <w:lang w:val="en-GB"/>
        </w:rPr>
        <w:t xml:space="preserve"> </w:t>
      </w:r>
    </w:p>
    <w:p w14:paraId="4664641C"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Transaminase elevations </w:t>
      </w:r>
    </w:p>
    <w:p w14:paraId="77D5377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the 48-week placebo-controlled studies 770-102 and 770-103 of ivacaftor as monotherapy in patients aged 6 years and older, the incidence of maximum transaminase (ALT or AST) &gt; 8, &gt; 5 or &gt; 3 × ULN was 3.7%, 3.7% and 8.3% in ivacaftor-treated patients and 1.0%, 1.9% and 8.7% in placebo-treated patients, respectively. Two patients, one on placebo and one on ivacaftor permanently discontinued treatment for elevated transaminases, each &gt; 8 × ULN. No ivacaftor-treated patients experienced a transaminase elevation &gt; 3 × ULN associated with elevated total bilirubin &gt; 1.5 × ULN. In ivacaftor-treated patients, most transaminase elevations up to 5 × ULN resolved without treatment interruption. Ivacaftor dosing was interrupted in most patients with transaminase elevations &gt; 5 × ULN. In all instances where dosing was interrupted for elevated transaminases and subsequently resumed, ivacaftor dosing was able to be resumed successfully (see section 4.4). </w:t>
      </w:r>
    </w:p>
    <w:p w14:paraId="49BCC0F8"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943B88B"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the placebo-controlled phase 3 studies (up to 24 weeks) of tezacaftor/ivacaftor, the incidence of maximum transaminase (ALT or AST) &gt; 8, &gt; 5, or &gt; 3 × ULN were 0.2%, 1.0%, and 3.4% in tezacaftor/ivacaftor-treated patients, and 0.4%, 1.0%, and 3.4% in placebo-treated patients. One patient (0.2%) on therapy and 2 patients (0.4%) on placebo permanently discontinued treatment for elevated transaminases. No patients treated with tezacaftor/ivacaftor experienced a transaminase elevation &gt; 3 × ULN associated with elevated total bilirubin &gt; 2 × ULN.  </w:t>
      </w:r>
    </w:p>
    <w:p w14:paraId="660B8D27"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432F725"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the 24-week, placebo-controlled, phase 3 study of ivacaftor/tezacaftor/elexacaftor, these figures were 1.5%, 2.5%, and 7.9% in ivacaftor/tezacaftor/elexacaftor-treated patients and 1.0%, 1.5%, and 5.5% in placebo-treated patients. The incidence of adverse reactions of transaminase elevations was 10.9% in ivacaftor in a combination regimen with ivacaftor/tezacaftor/elexacaftor-treated patients and 4.0% in placebo-treated patients.  </w:t>
      </w:r>
    </w:p>
    <w:p w14:paraId="12402873"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425C8DBB"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Post-marketing cases of treatment discontinuation due to elevated transaminases have been reported (see section 4.4). </w:t>
      </w:r>
    </w:p>
    <w:p w14:paraId="73B6237C"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D7C431C"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Rash events </w:t>
      </w:r>
    </w:p>
    <w:p w14:paraId="66EC1455" w14:textId="42A6F616" w:rsidR="006559DA" w:rsidRPr="006559DA" w:rsidRDefault="006559DA" w:rsidP="000B039D">
      <w:pPr>
        <w:tabs>
          <w:tab w:val="left" w:pos="851"/>
        </w:tabs>
        <w:ind w:left="851"/>
        <w:rPr>
          <w:sz w:val="24"/>
          <w:szCs w:val="24"/>
          <w:lang w:val="en-GB"/>
        </w:rPr>
      </w:pPr>
      <w:r w:rsidRPr="006559DA">
        <w:rPr>
          <w:sz w:val="24"/>
          <w:szCs w:val="24"/>
          <w:lang w:val="en-GB"/>
        </w:rPr>
        <w:t xml:space="preserve">In study 445-102, the incidence of rash events (e.g., rash, rash pruritic) was 10.9% in ivacaftor/tezacaftor/elexacaftor-treated patients and 6.5% in placebo-treated patients. The rash events were generally mild to moderate in severity. The incidence of rash events by patient sex was 5.8% in males and 16.3% in females in ivacaftor/tezacaftor/elexacaftor-treated patients and 4.8% in males and 8.3% in females in placebo-treated patients. In patients treated with ivacaftor/tezacaftor/elexacaftor, the incidence of rash events was 20.5% in females taking hormonal contraceptive and 13.6% in females not taking hormonal contraceptive (see section 4.4). </w:t>
      </w:r>
    </w:p>
    <w:p w14:paraId="09D4EA02" w14:textId="4C4588A8" w:rsidR="000B039D" w:rsidRDefault="006559DA" w:rsidP="000B039D">
      <w:pPr>
        <w:tabs>
          <w:tab w:val="left" w:pos="851"/>
        </w:tabs>
        <w:ind w:left="851"/>
        <w:rPr>
          <w:sz w:val="24"/>
          <w:szCs w:val="24"/>
          <w:lang w:val="en-GB"/>
        </w:rPr>
      </w:pPr>
      <w:r w:rsidRPr="006559DA">
        <w:rPr>
          <w:sz w:val="24"/>
          <w:szCs w:val="24"/>
          <w:lang w:val="en-GB"/>
        </w:rPr>
        <w:t xml:space="preserve"> </w:t>
      </w:r>
    </w:p>
    <w:p w14:paraId="22986AD4" w14:textId="77777777" w:rsidR="000B039D" w:rsidRDefault="000B039D">
      <w:pPr>
        <w:rPr>
          <w:sz w:val="24"/>
          <w:szCs w:val="24"/>
          <w:lang w:val="en-GB"/>
        </w:rPr>
      </w:pPr>
      <w:r>
        <w:rPr>
          <w:sz w:val="24"/>
          <w:szCs w:val="24"/>
          <w:lang w:val="en-GB"/>
        </w:rPr>
        <w:br w:type="page"/>
      </w:r>
    </w:p>
    <w:p w14:paraId="00DD7E5E" w14:textId="77777777" w:rsidR="006559DA" w:rsidRPr="006559DA" w:rsidRDefault="006559DA" w:rsidP="000B039D">
      <w:pPr>
        <w:tabs>
          <w:tab w:val="left" w:pos="851"/>
        </w:tabs>
        <w:ind w:left="851"/>
        <w:rPr>
          <w:sz w:val="24"/>
          <w:szCs w:val="24"/>
          <w:lang w:val="en-GB"/>
        </w:rPr>
      </w:pPr>
    </w:p>
    <w:p w14:paraId="4821FC22"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Increased creatine phosphokinase </w:t>
      </w:r>
    </w:p>
    <w:p w14:paraId="58AD2A8F" w14:textId="787F7113" w:rsidR="006559DA" w:rsidRPr="006559DA" w:rsidRDefault="006559DA" w:rsidP="000B039D">
      <w:pPr>
        <w:tabs>
          <w:tab w:val="left" w:pos="851"/>
        </w:tabs>
        <w:ind w:left="851"/>
        <w:rPr>
          <w:sz w:val="24"/>
          <w:szCs w:val="24"/>
          <w:lang w:val="en-GB"/>
        </w:rPr>
      </w:pPr>
      <w:r w:rsidRPr="006559DA">
        <w:rPr>
          <w:sz w:val="24"/>
          <w:szCs w:val="24"/>
          <w:lang w:val="en-GB"/>
        </w:rPr>
        <w:t xml:space="preserve">In study 445-102, the incidence of maximum creatine phosphokinase &gt; 5 x the ULN was 10.4% in ivacaftor/tezacaftor/elexacaftor-treated patients and 5.0% in placebo-treated patients. The observed creatine phosphokinase elevations were generally transient and asymptomatic and many were preceded by exercise. No ivacaftor/tezacaftor/elexacaftor-treated patients discontinued treatment for increased creatine phosphokinase. </w:t>
      </w:r>
    </w:p>
    <w:p w14:paraId="0646863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A96E243"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Increased blood pressure </w:t>
      </w:r>
    </w:p>
    <w:p w14:paraId="7C62B2CF" w14:textId="48BF6B6C" w:rsidR="006559DA" w:rsidRPr="006559DA" w:rsidRDefault="006559DA" w:rsidP="000B039D">
      <w:pPr>
        <w:tabs>
          <w:tab w:val="left" w:pos="851"/>
        </w:tabs>
        <w:ind w:left="851"/>
        <w:rPr>
          <w:sz w:val="24"/>
          <w:szCs w:val="24"/>
          <w:lang w:val="en-GB"/>
        </w:rPr>
      </w:pPr>
      <w:r w:rsidRPr="006559DA">
        <w:rPr>
          <w:sz w:val="24"/>
          <w:szCs w:val="24"/>
          <w:lang w:val="en-GB"/>
        </w:rPr>
        <w:t xml:space="preserve">In study 445-102, the maximum increase from baseline in mean systolic and diastolic blood pressure was 3.5 mmHg and 1.9 mmHg, respectively for ivacaftor/tezacaftor/elexacaftor-treated patients (baseline: 113 mmHg systolic and 69 mmHg diastolic) and 0.9 mmHg and 0.5 mmHg, respectively for placebo-treated patients (baseline: 114 mmHg systolic and 70 mmHg diastolic). </w:t>
      </w:r>
    </w:p>
    <w:p w14:paraId="7172B0E6"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12BB7582" w14:textId="7288FC14" w:rsidR="006559DA" w:rsidRPr="006559DA" w:rsidRDefault="006559DA" w:rsidP="000B039D">
      <w:pPr>
        <w:tabs>
          <w:tab w:val="left" w:pos="851"/>
        </w:tabs>
        <w:ind w:left="851"/>
        <w:rPr>
          <w:sz w:val="24"/>
          <w:szCs w:val="24"/>
          <w:lang w:val="en-GB"/>
        </w:rPr>
      </w:pPr>
      <w:r w:rsidRPr="006559DA">
        <w:rPr>
          <w:sz w:val="24"/>
          <w:szCs w:val="24"/>
          <w:lang w:val="en-GB"/>
        </w:rPr>
        <w:t xml:space="preserve">The proportion of patients who had systolic blood pressure &gt; 140 mmHg or diastolic blood pressure &gt; 90 mmHg on at least two occasions was 5.0% and 3.0%, respectively in ivacaftor/tezacaftor/elexacaftor-treated patients compared with 3.5% and 3.5%, respectively in placebo-treated patients. </w:t>
      </w:r>
    </w:p>
    <w:p w14:paraId="3C97AE6E"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20B8043"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Paediatric population</w:t>
      </w:r>
      <w:r w:rsidRPr="006559DA">
        <w:rPr>
          <w:sz w:val="24"/>
          <w:szCs w:val="24"/>
          <w:lang w:val="en-GB"/>
        </w:rPr>
        <w:t xml:space="preserve"> </w:t>
      </w:r>
    </w:p>
    <w:p w14:paraId="2E445D1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0FB2F6AC"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Ivacaftor as monotherapy </w:t>
      </w:r>
    </w:p>
    <w:p w14:paraId="2C5F5D3D" w14:textId="5F463BAC" w:rsidR="006559DA" w:rsidRPr="006559DA" w:rsidRDefault="006559DA" w:rsidP="000B039D">
      <w:pPr>
        <w:tabs>
          <w:tab w:val="left" w:pos="851"/>
        </w:tabs>
        <w:ind w:left="851"/>
        <w:rPr>
          <w:sz w:val="24"/>
          <w:szCs w:val="24"/>
          <w:lang w:val="en-GB"/>
        </w:rPr>
      </w:pPr>
      <w:r w:rsidRPr="006559DA">
        <w:rPr>
          <w:sz w:val="24"/>
          <w:szCs w:val="24"/>
          <w:lang w:val="en-GB"/>
        </w:rPr>
        <w:t xml:space="preserve">Safety of ivacaftor as monotherapy for 24 weeks was evaluated in 43 patients between 1 month to less than 24 months of age (with 7 of them less than 4 months old), 34 patients between 2 to less than 6 years of age, 61 patients between 6 to less than 12 years of age and 94 patients between 12 to less than 18 years of age.  </w:t>
      </w:r>
    </w:p>
    <w:p w14:paraId="6188AE3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38FA77A"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The safety profile of ivacaftor (as monotherapy or in a combination regimen) is generally consistent among paediatric patients and is also consistent with adult patients. </w:t>
      </w:r>
    </w:p>
    <w:p w14:paraId="4918E21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AA56B7C"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The incidence of transaminase elevations (ALT or AST) observed in studies770-103, 770-111 and 770-110 (patients aged 6 to less than 12 years), study 770-108 (patients aged 2 to less than 6 years), and study 770-124 (patients aged 1 to less than 24 months) are described in Table 5. In the placebo-controlled studies, the incidence of transaminase elevations were similar between treatment with ivacaftor (15.0%) and placebo (14.6%). Peak LFT elevations were generally higher in paediatric patients than in older patients. Across all populations, peak LFT elevations returned to baseline levels following interruption, and in almost all instances where dosing was interrupted for elevated transaminases and subsequently resumed, ivacaftor dosing was able to be resumed successfully (see section 4.4). Cases suggestive of positive rechallenge were observed.  </w:t>
      </w:r>
    </w:p>
    <w:p w14:paraId="17194E9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40E7ADF9"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In study 770-108 ivacaftor was permanently discontinued in one patient. In study 770-124, in the cohort of patients aged 1 month to less than 4 months, a 1-month old (14.3%) patient had transaminase values of ALT &gt; 8 × ULN and AST &gt; 3 to ≤ 5 × ULN, which led to discontinuation of ivacaftor treatment (see section 4.4 for management of elevated transaminases). </w:t>
      </w:r>
    </w:p>
    <w:p w14:paraId="130A0420" w14:textId="77777777" w:rsidR="006559DA" w:rsidRPr="006559DA" w:rsidRDefault="006559DA" w:rsidP="000B039D">
      <w:pPr>
        <w:tabs>
          <w:tab w:val="left" w:pos="851"/>
        </w:tabs>
        <w:ind w:left="851"/>
        <w:rPr>
          <w:sz w:val="24"/>
          <w:szCs w:val="24"/>
          <w:lang w:val="en-GB"/>
        </w:rPr>
      </w:pPr>
    </w:p>
    <w:p w14:paraId="2C2224D4" w14:textId="6067BEED" w:rsidR="006559DA" w:rsidRPr="006559DA" w:rsidRDefault="006559DA" w:rsidP="000B039D">
      <w:pPr>
        <w:keepNext/>
        <w:keepLines/>
        <w:ind w:left="851" w:hanging="863"/>
        <w:jc w:val="both"/>
        <w:outlineLvl w:val="0"/>
        <w:rPr>
          <w:b/>
          <w:color w:val="000000"/>
          <w:kern w:val="2"/>
          <w:sz w:val="22"/>
          <w:szCs w:val="24"/>
          <w:lang w:val="en-GB" w:eastAsia="en-GB"/>
        </w:rPr>
      </w:pPr>
      <w:r w:rsidRPr="006559DA">
        <w:rPr>
          <w:b/>
          <w:color w:val="000000"/>
          <w:kern w:val="2"/>
          <w:sz w:val="22"/>
          <w:szCs w:val="24"/>
          <w:lang w:val="en-GB" w:eastAsia="en-GB"/>
        </w:rPr>
        <w:lastRenderedPageBreak/>
        <w:t>Table 5:</w:t>
      </w:r>
      <w:r w:rsidR="000B039D">
        <w:rPr>
          <w:b/>
          <w:color w:val="000000"/>
          <w:kern w:val="2"/>
          <w:sz w:val="22"/>
          <w:szCs w:val="24"/>
          <w:lang w:val="en-GB" w:eastAsia="en-GB"/>
        </w:rPr>
        <w:tab/>
      </w:r>
      <w:r w:rsidRPr="006559DA">
        <w:rPr>
          <w:b/>
          <w:color w:val="000000"/>
          <w:kern w:val="2"/>
          <w:sz w:val="22"/>
          <w:szCs w:val="24"/>
          <w:lang w:val="en-GB" w:eastAsia="en-GB"/>
        </w:rPr>
        <w:t xml:space="preserve">Transaminase elevations in patients aged 1 month to &lt; 12 years treated with ivacaftor as monotherapy </w:t>
      </w:r>
    </w:p>
    <w:tbl>
      <w:tblPr>
        <w:tblW w:w="5000" w:type="pct"/>
        <w:tblCellMar>
          <w:top w:w="61" w:type="dxa"/>
          <w:right w:w="115" w:type="dxa"/>
        </w:tblCellMar>
        <w:tblLook w:val="04A0" w:firstRow="1" w:lastRow="0" w:firstColumn="1" w:lastColumn="0" w:noHBand="0" w:noVBand="1"/>
      </w:tblPr>
      <w:tblGrid>
        <w:gridCol w:w="2820"/>
        <w:gridCol w:w="1154"/>
        <w:gridCol w:w="1884"/>
        <w:gridCol w:w="1885"/>
        <w:gridCol w:w="1885"/>
      </w:tblGrid>
      <w:tr w:rsidR="006559DA" w:rsidRPr="006559DA" w14:paraId="02FEFBFC" w14:textId="77777777">
        <w:trPr>
          <w:trHeight w:val="588"/>
        </w:trPr>
        <w:tc>
          <w:tcPr>
            <w:tcW w:w="1464" w:type="pct"/>
            <w:tcBorders>
              <w:top w:val="single" w:sz="4" w:space="0" w:color="000000"/>
              <w:left w:val="single" w:sz="4" w:space="0" w:color="000000"/>
              <w:bottom w:val="single" w:sz="4" w:space="0" w:color="000000"/>
              <w:right w:val="single" w:sz="4" w:space="0" w:color="000000"/>
            </w:tcBorders>
            <w:hideMark/>
          </w:tcPr>
          <w:p w14:paraId="34EB92A3" w14:textId="77777777" w:rsidR="006559DA" w:rsidRPr="006559DA" w:rsidRDefault="006559DA" w:rsidP="000B039D">
            <w:pPr>
              <w:jc w:val="both"/>
              <w:rPr>
                <w:color w:val="000000"/>
                <w:kern w:val="2"/>
                <w:sz w:val="20"/>
                <w:lang w:val="en-GB" w:eastAsia="en-GB"/>
              </w:rPr>
            </w:pPr>
            <w:r w:rsidRPr="006559DA">
              <w:rPr>
                <w:b/>
                <w:color w:val="000000"/>
                <w:kern w:val="2"/>
                <w:sz w:val="20"/>
                <w:lang w:val="en-GB" w:eastAsia="en-GB"/>
              </w:rPr>
              <w:t xml:space="preserve">Age group </w:t>
            </w:r>
          </w:p>
        </w:tc>
        <w:tc>
          <w:tcPr>
            <w:tcW w:w="599" w:type="pct"/>
            <w:tcBorders>
              <w:top w:val="single" w:sz="4" w:space="0" w:color="000000"/>
              <w:left w:val="single" w:sz="4" w:space="0" w:color="000000"/>
              <w:bottom w:val="single" w:sz="4" w:space="0" w:color="000000"/>
              <w:right w:val="single" w:sz="4" w:space="0" w:color="000000"/>
            </w:tcBorders>
            <w:hideMark/>
          </w:tcPr>
          <w:p w14:paraId="4C6544D7" w14:textId="77777777" w:rsidR="006559DA" w:rsidRPr="006559DA" w:rsidRDefault="006559DA" w:rsidP="000B039D">
            <w:pPr>
              <w:ind w:left="6"/>
              <w:jc w:val="center"/>
              <w:rPr>
                <w:color w:val="000000"/>
                <w:kern w:val="2"/>
                <w:sz w:val="20"/>
                <w:lang w:val="en-GB" w:eastAsia="en-GB"/>
              </w:rPr>
            </w:pPr>
            <w:r w:rsidRPr="006559DA">
              <w:rPr>
                <w:b/>
                <w:color w:val="000000"/>
                <w:kern w:val="2"/>
                <w:sz w:val="20"/>
                <w:lang w:val="en-GB" w:eastAsia="en-GB"/>
              </w:rPr>
              <w:t>n</w:t>
            </w:r>
          </w:p>
        </w:tc>
        <w:tc>
          <w:tcPr>
            <w:tcW w:w="978" w:type="pct"/>
            <w:tcBorders>
              <w:top w:val="single" w:sz="4" w:space="0" w:color="000000"/>
              <w:left w:val="single" w:sz="4" w:space="0" w:color="000000"/>
              <w:bottom w:val="single" w:sz="4" w:space="0" w:color="000000"/>
              <w:right w:val="single" w:sz="4" w:space="0" w:color="000000"/>
            </w:tcBorders>
            <w:hideMark/>
          </w:tcPr>
          <w:p w14:paraId="640ECCD6" w14:textId="77777777" w:rsidR="006559DA" w:rsidRPr="006559DA" w:rsidRDefault="006559DA" w:rsidP="000B039D">
            <w:pPr>
              <w:ind w:left="3"/>
              <w:jc w:val="center"/>
              <w:rPr>
                <w:color w:val="000000"/>
                <w:kern w:val="2"/>
                <w:sz w:val="20"/>
                <w:lang w:val="en-GB" w:eastAsia="en-GB"/>
              </w:rPr>
            </w:pPr>
            <w:r w:rsidRPr="006559DA">
              <w:rPr>
                <w:b/>
                <w:color w:val="000000"/>
                <w:kern w:val="2"/>
                <w:sz w:val="20"/>
                <w:lang w:val="en-GB" w:eastAsia="en-GB"/>
              </w:rPr>
              <w:t xml:space="preserve">% of Patients &gt; 3 </w:t>
            </w:r>
            <w:r w:rsidRPr="006559DA">
              <w:rPr>
                <w:color w:val="000000"/>
                <w:kern w:val="2"/>
                <w:sz w:val="20"/>
                <w:lang w:val="en-GB" w:eastAsia="en-GB"/>
              </w:rPr>
              <w:t>×</w:t>
            </w:r>
            <w:r w:rsidRPr="006559DA">
              <w:rPr>
                <w:b/>
                <w:color w:val="000000"/>
                <w:kern w:val="2"/>
                <w:sz w:val="20"/>
                <w:lang w:val="en-GB" w:eastAsia="en-GB"/>
              </w:rPr>
              <w:t xml:space="preserve"> ULN</w:t>
            </w:r>
          </w:p>
        </w:tc>
        <w:tc>
          <w:tcPr>
            <w:tcW w:w="979" w:type="pct"/>
            <w:tcBorders>
              <w:top w:val="single" w:sz="4" w:space="0" w:color="000000"/>
              <w:left w:val="single" w:sz="4" w:space="0" w:color="000000"/>
              <w:bottom w:val="single" w:sz="4" w:space="0" w:color="000000"/>
              <w:right w:val="single" w:sz="4" w:space="0" w:color="000000"/>
            </w:tcBorders>
            <w:hideMark/>
          </w:tcPr>
          <w:p w14:paraId="26D51AB1" w14:textId="77777777" w:rsidR="006559DA" w:rsidRPr="006559DA" w:rsidRDefault="006559DA" w:rsidP="000B039D">
            <w:pPr>
              <w:ind w:left="3"/>
              <w:jc w:val="center"/>
              <w:rPr>
                <w:color w:val="000000"/>
                <w:kern w:val="2"/>
                <w:sz w:val="20"/>
                <w:lang w:val="en-GB" w:eastAsia="en-GB"/>
              </w:rPr>
            </w:pPr>
            <w:r w:rsidRPr="006559DA">
              <w:rPr>
                <w:b/>
                <w:color w:val="000000"/>
                <w:kern w:val="2"/>
                <w:sz w:val="20"/>
                <w:lang w:val="en-GB" w:eastAsia="en-GB"/>
              </w:rPr>
              <w:t xml:space="preserve">% of Patients &gt; 5 </w:t>
            </w:r>
            <w:r w:rsidRPr="006559DA">
              <w:rPr>
                <w:color w:val="000000"/>
                <w:kern w:val="2"/>
                <w:sz w:val="20"/>
                <w:lang w:val="en-GB" w:eastAsia="en-GB"/>
              </w:rPr>
              <w:t>×</w:t>
            </w:r>
            <w:r w:rsidRPr="006559DA">
              <w:rPr>
                <w:b/>
                <w:color w:val="000000"/>
                <w:kern w:val="2"/>
                <w:sz w:val="20"/>
                <w:lang w:val="en-GB" w:eastAsia="en-GB"/>
              </w:rPr>
              <w:t xml:space="preserve"> ULN</w:t>
            </w:r>
          </w:p>
        </w:tc>
        <w:tc>
          <w:tcPr>
            <w:tcW w:w="979" w:type="pct"/>
            <w:tcBorders>
              <w:top w:val="single" w:sz="4" w:space="0" w:color="000000"/>
              <w:left w:val="single" w:sz="4" w:space="0" w:color="000000"/>
              <w:bottom w:val="single" w:sz="4" w:space="0" w:color="000000"/>
              <w:right w:val="single" w:sz="4" w:space="0" w:color="000000"/>
            </w:tcBorders>
            <w:hideMark/>
          </w:tcPr>
          <w:p w14:paraId="586DAFD2" w14:textId="77777777" w:rsidR="006559DA" w:rsidRPr="006559DA" w:rsidRDefault="006559DA" w:rsidP="000B039D">
            <w:pPr>
              <w:ind w:left="3"/>
              <w:jc w:val="center"/>
              <w:rPr>
                <w:color w:val="000000"/>
                <w:kern w:val="2"/>
                <w:sz w:val="20"/>
                <w:lang w:val="en-GB" w:eastAsia="en-GB"/>
              </w:rPr>
            </w:pPr>
            <w:r w:rsidRPr="006559DA">
              <w:rPr>
                <w:b/>
                <w:color w:val="000000"/>
                <w:kern w:val="2"/>
                <w:sz w:val="20"/>
                <w:lang w:val="en-GB" w:eastAsia="en-GB"/>
              </w:rPr>
              <w:t xml:space="preserve">% of Patients &gt; 8 </w:t>
            </w:r>
            <w:r w:rsidRPr="006559DA">
              <w:rPr>
                <w:color w:val="000000"/>
                <w:kern w:val="2"/>
                <w:sz w:val="20"/>
                <w:lang w:val="en-GB" w:eastAsia="en-GB"/>
              </w:rPr>
              <w:t>×</w:t>
            </w:r>
            <w:r w:rsidRPr="006559DA">
              <w:rPr>
                <w:b/>
                <w:color w:val="000000"/>
                <w:kern w:val="2"/>
                <w:sz w:val="20"/>
                <w:lang w:val="en-GB" w:eastAsia="en-GB"/>
              </w:rPr>
              <w:t xml:space="preserve"> ULN</w:t>
            </w:r>
          </w:p>
        </w:tc>
      </w:tr>
      <w:tr w:rsidR="006559DA" w:rsidRPr="006559DA" w14:paraId="05806419"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0B15AD3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6 to &lt; 12 years </w:t>
            </w:r>
          </w:p>
        </w:tc>
        <w:tc>
          <w:tcPr>
            <w:tcW w:w="599" w:type="pct"/>
            <w:tcBorders>
              <w:top w:val="single" w:sz="4" w:space="0" w:color="000000"/>
              <w:left w:val="single" w:sz="4" w:space="0" w:color="000000"/>
              <w:bottom w:val="single" w:sz="4" w:space="0" w:color="000000"/>
              <w:right w:val="single" w:sz="4" w:space="0" w:color="000000"/>
            </w:tcBorders>
            <w:hideMark/>
          </w:tcPr>
          <w:p w14:paraId="59A2F970"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40</w:t>
            </w:r>
          </w:p>
        </w:tc>
        <w:tc>
          <w:tcPr>
            <w:tcW w:w="978" w:type="pct"/>
            <w:tcBorders>
              <w:top w:val="single" w:sz="4" w:space="0" w:color="000000"/>
              <w:left w:val="single" w:sz="4" w:space="0" w:color="000000"/>
              <w:bottom w:val="single" w:sz="4" w:space="0" w:color="000000"/>
              <w:right w:val="single" w:sz="4" w:space="0" w:color="000000"/>
            </w:tcBorders>
            <w:hideMark/>
          </w:tcPr>
          <w:p w14:paraId="5C482215"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15.0% (6)</w:t>
            </w:r>
          </w:p>
        </w:tc>
        <w:tc>
          <w:tcPr>
            <w:tcW w:w="979" w:type="pct"/>
            <w:tcBorders>
              <w:top w:val="single" w:sz="4" w:space="0" w:color="000000"/>
              <w:left w:val="single" w:sz="4" w:space="0" w:color="000000"/>
              <w:bottom w:val="single" w:sz="4" w:space="0" w:color="000000"/>
              <w:right w:val="single" w:sz="4" w:space="0" w:color="000000"/>
            </w:tcBorders>
            <w:hideMark/>
          </w:tcPr>
          <w:p w14:paraId="56505978"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2.5% (1)</w:t>
            </w:r>
          </w:p>
        </w:tc>
        <w:tc>
          <w:tcPr>
            <w:tcW w:w="979" w:type="pct"/>
            <w:tcBorders>
              <w:top w:val="single" w:sz="4" w:space="0" w:color="000000"/>
              <w:left w:val="single" w:sz="4" w:space="0" w:color="000000"/>
              <w:bottom w:val="single" w:sz="4" w:space="0" w:color="000000"/>
              <w:right w:val="single" w:sz="4" w:space="0" w:color="000000"/>
            </w:tcBorders>
            <w:hideMark/>
          </w:tcPr>
          <w:p w14:paraId="63852244"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2.5% (1)</w:t>
            </w:r>
          </w:p>
        </w:tc>
      </w:tr>
      <w:tr w:rsidR="006559DA" w:rsidRPr="006559DA" w14:paraId="24C848E5"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298CBAF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2 to &lt; 6 years </w:t>
            </w:r>
          </w:p>
        </w:tc>
        <w:tc>
          <w:tcPr>
            <w:tcW w:w="599" w:type="pct"/>
            <w:tcBorders>
              <w:top w:val="single" w:sz="4" w:space="0" w:color="000000"/>
              <w:left w:val="single" w:sz="4" w:space="0" w:color="000000"/>
              <w:bottom w:val="single" w:sz="4" w:space="0" w:color="000000"/>
              <w:right w:val="single" w:sz="4" w:space="0" w:color="000000"/>
            </w:tcBorders>
            <w:hideMark/>
          </w:tcPr>
          <w:p w14:paraId="16ECA1AB"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34</w:t>
            </w:r>
          </w:p>
        </w:tc>
        <w:tc>
          <w:tcPr>
            <w:tcW w:w="978" w:type="pct"/>
            <w:tcBorders>
              <w:top w:val="single" w:sz="4" w:space="0" w:color="000000"/>
              <w:left w:val="single" w:sz="4" w:space="0" w:color="000000"/>
              <w:bottom w:val="single" w:sz="4" w:space="0" w:color="000000"/>
              <w:right w:val="single" w:sz="4" w:space="0" w:color="000000"/>
            </w:tcBorders>
            <w:hideMark/>
          </w:tcPr>
          <w:p w14:paraId="0F02E91A"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14.7% (5)</w:t>
            </w:r>
          </w:p>
        </w:tc>
        <w:tc>
          <w:tcPr>
            <w:tcW w:w="979" w:type="pct"/>
            <w:tcBorders>
              <w:top w:val="single" w:sz="4" w:space="0" w:color="000000"/>
              <w:left w:val="single" w:sz="4" w:space="0" w:color="000000"/>
              <w:bottom w:val="single" w:sz="4" w:space="0" w:color="000000"/>
              <w:right w:val="single" w:sz="4" w:space="0" w:color="000000"/>
            </w:tcBorders>
            <w:hideMark/>
          </w:tcPr>
          <w:p w14:paraId="7DB544F6"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14.7% (5)</w:t>
            </w:r>
          </w:p>
        </w:tc>
        <w:tc>
          <w:tcPr>
            <w:tcW w:w="979" w:type="pct"/>
            <w:tcBorders>
              <w:top w:val="single" w:sz="4" w:space="0" w:color="000000"/>
              <w:left w:val="single" w:sz="4" w:space="0" w:color="000000"/>
              <w:bottom w:val="single" w:sz="4" w:space="0" w:color="000000"/>
              <w:right w:val="single" w:sz="4" w:space="0" w:color="000000"/>
            </w:tcBorders>
            <w:hideMark/>
          </w:tcPr>
          <w:p w14:paraId="2E238C40"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14.7% (5)</w:t>
            </w:r>
          </w:p>
        </w:tc>
      </w:tr>
      <w:tr w:rsidR="006559DA" w:rsidRPr="006559DA" w14:paraId="767116B6" w14:textId="77777777">
        <w:trPr>
          <w:trHeight w:val="296"/>
        </w:trPr>
        <w:tc>
          <w:tcPr>
            <w:tcW w:w="1464" w:type="pct"/>
            <w:tcBorders>
              <w:top w:val="single" w:sz="4" w:space="0" w:color="000000"/>
              <w:left w:val="single" w:sz="4" w:space="0" w:color="000000"/>
              <w:bottom w:val="single" w:sz="4" w:space="0" w:color="000000"/>
              <w:right w:val="single" w:sz="4" w:space="0" w:color="000000"/>
            </w:tcBorders>
            <w:hideMark/>
          </w:tcPr>
          <w:p w14:paraId="32A1444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12 to &lt;24 months </w:t>
            </w:r>
          </w:p>
        </w:tc>
        <w:tc>
          <w:tcPr>
            <w:tcW w:w="599" w:type="pct"/>
            <w:tcBorders>
              <w:top w:val="single" w:sz="4" w:space="0" w:color="000000"/>
              <w:left w:val="single" w:sz="4" w:space="0" w:color="000000"/>
              <w:bottom w:val="single" w:sz="4" w:space="0" w:color="000000"/>
              <w:right w:val="single" w:sz="4" w:space="0" w:color="000000"/>
            </w:tcBorders>
            <w:hideMark/>
          </w:tcPr>
          <w:p w14:paraId="6FC4E50D"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18</w:t>
            </w:r>
          </w:p>
        </w:tc>
        <w:tc>
          <w:tcPr>
            <w:tcW w:w="978" w:type="pct"/>
            <w:tcBorders>
              <w:top w:val="single" w:sz="4" w:space="0" w:color="000000"/>
              <w:left w:val="single" w:sz="4" w:space="0" w:color="000000"/>
              <w:bottom w:val="single" w:sz="4" w:space="0" w:color="000000"/>
              <w:right w:val="single" w:sz="4" w:space="0" w:color="000000"/>
            </w:tcBorders>
            <w:hideMark/>
          </w:tcPr>
          <w:p w14:paraId="6F9429B1"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27.8% (5)</w:t>
            </w:r>
          </w:p>
        </w:tc>
        <w:tc>
          <w:tcPr>
            <w:tcW w:w="979" w:type="pct"/>
            <w:tcBorders>
              <w:top w:val="single" w:sz="4" w:space="0" w:color="000000"/>
              <w:left w:val="single" w:sz="4" w:space="0" w:color="000000"/>
              <w:bottom w:val="single" w:sz="4" w:space="0" w:color="000000"/>
              <w:right w:val="single" w:sz="4" w:space="0" w:color="000000"/>
            </w:tcBorders>
            <w:hideMark/>
          </w:tcPr>
          <w:p w14:paraId="221062D0"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11.1% (2)</w:t>
            </w:r>
          </w:p>
        </w:tc>
        <w:tc>
          <w:tcPr>
            <w:tcW w:w="979" w:type="pct"/>
            <w:tcBorders>
              <w:top w:val="single" w:sz="4" w:space="0" w:color="000000"/>
              <w:left w:val="single" w:sz="4" w:space="0" w:color="000000"/>
              <w:bottom w:val="single" w:sz="4" w:space="0" w:color="000000"/>
              <w:right w:val="single" w:sz="4" w:space="0" w:color="000000"/>
            </w:tcBorders>
            <w:hideMark/>
          </w:tcPr>
          <w:p w14:paraId="69AB949C"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11.1% (2)</w:t>
            </w:r>
          </w:p>
        </w:tc>
      </w:tr>
      <w:tr w:rsidR="006559DA" w:rsidRPr="006559DA" w14:paraId="7ED0F81C"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6B812F7D"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1 to &lt; 12 months </w:t>
            </w:r>
          </w:p>
        </w:tc>
        <w:tc>
          <w:tcPr>
            <w:tcW w:w="599" w:type="pct"/>
            <w:tcBorders>
              <w:top w:val="single" w:sz="4" w:space="0" w:color="000000"/>
              <w:left w:val="single" w:sz="4" w:space="0" w:color="000000"/>
              <w:bottom w:val="single" w:sz="4" w:space="0" w:color="000000"/>
              <w:right w:val="single" w:sz="4" w:space="0" w:color="000000"/>
            </w:tcBorders>
            <w:hideMark/>
          </w:tcPr>
          <w:p w14:paraId="5607B37D"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24</w:t>
            </w:r>
          </w:p>
        </w:tc>
        <w:tc>
          <w:tcPr>
            <w:tcW w:w="978" w:type="pct"/>
            <w:tcBorders>
              <w:top w:val="single" w:sz="4" w:space="0" w:color="000000"/>
              <w:left w:val="single" w:sz="4" w:space="0" w:color="000000"/>
              <w:bottom w:val="single" w:sz="4" w:space="0" w:color="000000"/>
              <w:right w:val="single" w:sz="4" w:space="0" w:color="000000"/>
            </w:tcBorders>
            <w:hideMark/>
          </w:tcPr>
          <w:p w14:paraId="007D9D9A"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8.3% (2)</w:t>
            </w:r>
          </w:p>
        </w:tc>
        <w:tc>
          <w:tcPr>
            <w:tcW w:w="979" w:type="pct"/>
            <w:tcBorders>
              <w:top w:val="single" w:sz="4" w:space="0" w:color="000000"/>
              <w:left w:val="single" w:sz="4" w:space="0" w:color="000000"/>
              <w:bottom w:val="single" w:sz="4" w:space="0" w:color="000000"/>
              <w:right w:val="single" w:sz="4" w:space="0" w:color="000000"/>
            </w:tcBorders>
            <w:hideMark/>
          </w:tcPr>
          <w:p w14:paraId="6E13D297"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4.2% (1)</w:t>
            </w:r>
          </w:p>
        </w:tc>
        <w:tc>
          <w:tcPr>
            <w:tcW w:w="979" w:type="pct"/>
            <w:tcBorders>
              <w:top w:val="single" w:sz="4" w:space="0" w:color="000000"/>
              <w:left w:val="single" w:sz="4" w:space="0" w:color="000000"/>
              <w:bottom w:val="single" w:sz="4" w:space="0" w:color="000000"/>
              <w:right w:val="single" w:sz="4" w:space="0" w:color="000000"/>
            </w:tcBorders>
            <w:hideMark/>
          </w:tcPr>
          <w:p w14:paraId="0982ED29"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4.2% (1)</w:t>
            </w:r>
          </w:p>
        </w:tc>
      </w:tr>
    </w:tbl>
    <w:p w14:paraId="31CB4F8C" w14:textId="77777777" w:rsidR="006559DA" w:rsidRPr="006559DA" w:rsidRDefault="006559DA" w:rsidP="000B039D">
      <w:pPr>
        <w:ind w:left="3"/>
        <w:jc w:val="both"/>
        <w:rPr>
          <w:color w:val="000000"/>
          <w:kern w:val="2"/>
          <w:sz w:val="22"/>
          <w:szCs w:val="24"/>
          <w:lang w:val="en-GB" w:eastAsia="en-GB"/>
        </w:rPr>
      </w:pPr>
      <w:r w:rsidRPr="006559DA">
        <w:rPr>
          <w:color w:val="000000"/>
          <w:kern w:val="2"/>
          <w:sz w:val="22"/>
          <w:szCs w:val="24"/>
          <w:lang w:val="en-GB" w:eastAsia="en-GB"/>
        </w:rPr>
        <w:t xml:space="preserve"> </w:t>
      </w:r>
    </w:p>
    <w:p w14:paraId="10F69DE4" w14:textId="77777777" w:rsidR="006559DA" w:rsidRPr="006559DA" w:rsidRDefault="006559DA" w:rsidP="000B039D">
      <w:pPr>
        <w:tabs>
          <w:tab w:val="left" w:pos="851"/>
        </w:tabs>
        <w:ind w:left="851"/>
        <w:rPr>
          <w:sz w:val="24"/>
          <w:szCs w:val="24"/>
          <w:u w:val="single"/>
          <w:lang w:val="en-GB"/>
        </w:rPr>
      </w:pPr>
      <w:r w:rsidRPr="006559DA">
        <w:rPr>
          <w:i/>
          <w:sz w:val="24"/>
          <w:szCs w:val="24"/>
          <w:lang w:val="en-GB"/>
        </w:rPr>
        <w:t xml:space="preserve">Ivacaftor in a combination regimen with tezacaftor/ivacaftor </w:t>
      </w:r>
    </w:p>
    <w:p w14:paraId="77C29FD0" w14:textId="139477B0" w:rsidR="006559DA" w:rsidRPr="006559DA" w:rsidRDefault="006559DA" w:rsidP="000B039D">
      <w:pPr>
        <w:tabs>
          <w:tab w:val="left" w:pos="851"/>
        </w:tabs>
        <w:ind w:left="851"/>
        <w:rPr>
          <w:sz w:val="24"/>
          <w:szCs w:val="24"/>
          <w:lang w:val="en-GB"/>
        </w:rPr>
      </w:pPr>
      <w:r w:rsidRPr="006559DA">
        <w:rPr>
          <w:sz w:val="24"/>
          <w:szCs w:val="24"/>
          <w:lang w:val="en-GB"/>
        </w:rPr>
        <w:t xml:space="preserve">The safety of tezacaftor/ivacaftor in combination with ivacaftor was evaluated in 124 patients between 6 to less than 12 years of age. The tezacaftor 100 mg/ivacaftor 150 mg and ivacaftor 150 mg dose has not been investigated in clinical studies in children aged 6 to less than 12 years weighing 30 to &lt; 40 kg. </w:t>
      </w:r>
    </w:p>
    <w:p w14:paraId="0079EFF8"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0F7A4E1"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The safety profile is generally consistent among children and adolescents, and is also consistent with adult patients. </w:t>
      </w:r>
    </w:p>
    <w:p w14:paraId="177D36E4" w14:textId="77777777" w:rsidR="006559DA" w:rsidRPr="006559DA" w:rsidRDefault="006559DA" w:rsidP="000B039D">
      <w:pPr>
        <w:tabs>
          <w:tab w:val="left" w:pos="851"/>
        </w:tabs>
        <w:ind w:left="851"/>
        <w:rPr>
          <w:sz w:val="24"/>
          <w:szCs w:val="24"/>
          <w:lang w:val="en-GB"/>
        </w:rPr>
      </w:pPr>
      <w:r w:rsidRPr="006559DA">
        <w:rPr>
          <w:i/>
          <w:sz w:val="24"/>
          <w:szCs w:val="24"/>
          <w:lang w:val="en-GB"/>
        </w:rPr>
        <w:t xml:space="preserve"> </w:t>
      </w:r>
    </w:p>
    <w:p w14:paraId="1C82AB09" w14:textId="41C0698A" w:rsidR="006559DA" w:rsidRPr="006559DA" w:rsidRDefault="006559DA" w:rsidP="000B039D">
      <w:pPr>
        <w:tabs>
          <w:tab w:val="left" w:pos="851"/>
        </w:tabs>
        <w:ind w:left="851"/>
        <w:rPr>
          <w:sz w:val="24"/>
          <w:szCs w:val="24"/>
          <w:lang w:val="en-GB"/>
        </w:rPr>
      </w:pPr>
      <w:r w:rsidRPr="006559DA">
        <w:rPr>
          <w:sz w:val="24"/>
          <w:szCs w:val="24"/>
          <w:lang w:val="en-GB"/>
        </w:rPr>
        <w:t xml:space="preserve">During the 24-week, open-label phase 3 study in patients aged 6 to less than 12 years (study 661-113 part B, n = 70), the incidence of maximum transaminase (ALT or AST) &gt; 8, &gt; 5, and &gt; 3 × ULN were 1.4%, 4.3%, and 10.0%, respectively. No tezacaftor/ivacaftor treated patients experienced a transaminase elevation &gt; 3 × ULN associated with elevated total bilirubin &gt; 2 × ULN or discontinued tezacaftor/ivacaftor treatment due to transaminase elevations. One patient interrupted treatment due to elevated transaminases, and subsequently resumed tezacaftor/ivacaftor treatment successfully (see section 4.4 for management of elevated transaminases). </w:t>
      </w:r>
    </w:p>
    <w:p w14:paraId="5BE83F9A"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77DCCDC9" w14:textId="77777777" w:rsidR="006559DA" w:rsidRPr="006559DA" w:rsidRDefault="006559DA" w:rsidP="000B039D">
      <w:pPr>
        <w:tabs>
          <w:tab w:val="left" w:pos="851"/>
        </w:tabs>
        <w:ind w:left="851"/>
        <w:rPr>
          <w:sz w:val="24"/>
          <w:szCs w:val="24"/>
          <w:u w:val="single"/>
          <w:lang w:val="en-GB"/>
        </w:rPr>
      </w:pPr>
      <w:r w:rsidRPr="006559DA">
        <w:rPr>
          <w:i/>
          <w:sz w:val="24"/>
          <w:szCs w:val="24"/>
          <w:lang w:val="en-GB"/>
        </w:rPr>
        <w:t xml:space="preserve">Ivacaftor in a combination regimen with ivacaftor/tezacaftor/elexacaftor </w:t>
      </w:r>
    </w:p>
    <w:p w14:paraId="7CA9AEC2" w14:textId="74475C70" w:rsidR="006559DA" w:rsidRPr="006559DA" w:rsidRDefault="006559DA" w:rsidP="000B039D">
      <w:pPr>
        <w:tabs>
          <w:tab w:val="left" w:pos="851"/>
        </w:tabs>
        <w:ind w:left="851"/>
        <w:rPr>
          <w:sz w:val="24"/>
          <w:szCs w:val="24"/>
          <w:lang w:val="en-GB"/>
        </w:rPr>
      </w:pPr>
      <w:r w:rsidRPr="006559DA">
        <w:rPr>
          <w:sz w:val="24"/>
          <w:szCs w:val="24"/>
          <w:lang w:val="en-GB"/>
        </w:rPr>
        <w:t>The safety data of ivacaftor/tezacaftor/elexacaftor in combination with ivacaftor in studies 445-102,</w:t>
      </w:r>
      <w:r>
        <w:rPr>
          <w:sz w:val="24"/>
          <w:szCs w:val="24"/>
          <w:lang w:val="en-GB"/>
        </w:rPr>
        <w:t xml:space="preserve"> </w:t>
      </w:r>
      <w:r w:rsidRPr="006559DA">
        <w:rPr>
          <w:sz w:val="24"/>
          <w:szCs w:val="24"/>
          <w:lang w:val="en-GB"/>
        </w:rPr>
        <w:t>445-103, 445-104, 445-106, 445-111, and 445-124 was evaluated in 272 patients between 2 to less</w:t>
      </w:r>
      <w:r>
        <w:rPr>
          <w:sz w:val="24"/>
          <w:szCs w:val="24"/>
          <w:lang w:val="en-GB"/>
        </w:rPr>
        <w:t xml:space="preserve"> </w:t>
      </w:r>
      <w:r w:rsidRPr="006559DA">
        <w:rPr>
          <w:sz w:val="24"/>
          <w:szCs w:val="24"/>
          <w:lang w:val="en-GB"/>
        </w:rPr>
        <w:t>than 18 years of age. The safety profile is generally consistent among paediatric and adult patients.</w:t>
      </w:r>
    </w:p>
    <w:p w14:paraId="14A2510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4947BD19" w14:textId="70B23869" w:rsidR="006559DA" w:rsidRPr="006559DA" w:rsidRDefault="006559DA" w:rsidP="000B039D">
      <w:pPr>
        <w:tabs>
          <w:tab w:val="left" w:pos="851"/>
        </w:tabs>
        <w:ind w:left="851"/>
        <w:rPr>
          <w:sz w:val="24"/>
          <w:szCs w:val="24"/>
          <w:lang w:val="en-GB"/>
        </w:rPr>
      </w:pPr>
      <w:r w:rsidRPr="006559DA">
        <w:rPr>
          <w:sz w:val="24"/>
          <w:szCs w:val="24"/>
          <w:lang w:val="en-GB"/>
        </w:rPr>
        <w:t xml:space="preserve">During study 445-106 in patients aged 6 to less than 12 years, the incidence of maximum transaminase (ALT or AST) &gt; 8, &gt; 5, and &gt; 3 × ULN were 0.0%, 1.5%, and 10.6%, respectively. No ivacaftor/tezacaftor/elexacaftor-treated patients had transaminase elevation &gt; 3 × ULN associated with elevated total bilirubin &gt; 2 × ULN or discontinued treatment due to transaminase elevations (see section 4.4). </w:t>
      </w:r>
    </w:p>
    <w:p w14:paraId="602E3149"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AD5B772" w14:textId="002AFA93" w:rsidR="006559DA" w:rsidRPr="006559DA" w:rsidRDefault="006559DA" w:rsidP="000B039D">
      <w:pPr>
        <w:tabs>
          <w:tab w:val="left" w:pos="851"/>
        </w:tabs>
        <w:ind w:left="851"/>
        <w:rPr>
          <w:sz w:val="24"/>
          <w:szCs w:val="24"/>
          <w:lang w:val="en-GB"/>
        </w:rPr>
      </w:pPr>
      <w:r w:rsidRPr="006559DA">
        <w:rPr>
          <w:sz w:val="24"/>
          <w:szCs w:val="24"/>
          <w:lang w:val="en-GB"/>
        </w:rPr>
        <w:t xml:space="preserve">During study 445-111 in patients aged 2 to less than 6 years, the incidence of maximum transaminase (ALT or AST) &gt; 8, &gt; 5, and &gt; 3 × ULN were 1.3%, 2.7%, and 8.0%, respectively. No ivacaftor/tezacaftor/elexacaftor-treated patients had transaminase elevation &gt; 3 × ULN associated with elevated total bilirubin &gt; 2 × ULN or discontinued treatment due to transaminase elevations (see section 4.4). </w:t>
      </w:r>
    </w:p>
    <w:p w14:paraId="63EB583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6A35074" w14:textId="77777777" w:rsidR="006559DA" w:rsidRPr="006559DA" w:rsidRDefault="006559DA" w:rsidP="000B039D">
      <w:pPr>
        <w:tabs>
          <w:tab w:val="left" w:pos="851"/>
        </w:tabs>
        <w:ind w:left="851"/>
        <w:rPr>
          <w:sz w:val="24"/>
          <w:szCs w:val="24"/>
          <w:u w:val="single"/>
          <w:lang w:val="en-GB"/>
        </w:rPr>
      </w:pPr>
      <w:r w:rsidRPr="006559DA">
        <w:rPr>
          <w:i/>
          <w:sz w:val="24"/>
          <w:szCs w:val="24"/>
          <w:lang w:val="en-GB"/>
        </w:rPr>
        <w:t xml:space="preserve">Rash </w:t>
      </w:r>
    </w:p>
    <w:p w14:paraId="5252474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study 445-111 in patients aged 2 to less than 6 years, 15 (20.0%) subjects had at least 1 rash event, 4 (9.8%) females and 11 (32.4%) males. </w:t>
      </w:r>
    </w:p>
    <w:p w14:paraId="39849601"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E7B74D6" w14:textId="77777777" w:rsidR="006559DA" w:rsidRPr="006559DA" w:rsidRDefault="006559DA" w:rsidP="000B039D">
      <w:pPr>
        <w:tabs>
          <w:tab w:val="left" w:pos="851"/>
        </w:tabs>
        <w:ind w:left="851"/>
        <w:rPr>
          <w:sz w:val="24"/>
          <w:szCs w:val="24"/>
          <w:lang w:val="en-GB"/>
        </w:rPr>
      </w:pPr>
      <w:r w:rsidRPr="006559DA">
        <w:rPr>
          <w:i/>
          <w:sz w:val="24"/>
          <w:szCs w:val="24"/>
          <w:lang w:val="en-GB"/>
        </w:rPr>
        <w:lastRenderedPageBreak/>
        <w:t xml:space="preserve">Lenticular opacity </w:t>
      </w:r>
    </w:p>
    <w:p w14:paraId="513E12BA"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One patient had an adverse event of lenticular opacity.  </w:t>
      </w:r>
    </w:p>
    <w:p w14:paraId="5561535E"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11C82946"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Reporting of suspected adverse reactions</w:t>
      </w:r>
      <w:r w:rsidRPr="006559DA">
        <w:rPr>
          <w:sz w:val="24"/>
          <w:szCs w:val="24"/>
          <w:lang w:val="en-GB"/>
        </w:rPr>
        <w:t xml:space="preserve"> </w:t>
      </w:r>
    </w:p>
    <w:p w14:paraId="608D07D7" w14:textId="77777777" w:rsidR="001E3FD2" w:rsidRDefault="006559DA" w:rsidP="000B039D">
      <w:pPr>
        <w:tabs>
          <w:tab w:val="left" w:pos="851"/>
        </w:tabs>
        <w:ind w:left="851"/>
        <w:rPr>
          <w:sz w:val="24"/>
          <w:szCs w:val="24"/>
          <w:lang w:val="en-GB"/>
        </w:rPr>
      </w:pPr>
      <w:r w:rsidRPr="006559DA">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r w:rsidR="001E3FD2">
        <w:rPr>
          <w:sz w:val="24"/>
          <w:szCs w:val="24"/>
          <w:lang w:val="en-GB"/>
        </w:rPr>
        <w:t>:</w:t>
      </w:r>
    </w:p>
    <w:p w14:paraId="5611E700" w14:textId="77777777" w:rsidR="001E3FD2" w:rsidRDefault="001E3FD2" w:rsidP="000B039D">
      <w:pPr>
        <w:tabs>
          <w:tab w:val="left" w:pos="851"/>
        </w:tabs>
        <w:ind w:left="851"/>
        <w:rPr>
          <w:sz w:val="24"/>
          <w:szCs w:val="24"/>
          <w:lang w:val="en-GB"/>
        </w:rPr>
      </w:pPr>
    </w:p>
    <w:p w14:paraId="5BC04BF0" w14:textId="77777777" w:rsidR="001E3FD2" w:rsidRPr="001E3FD2" w:rsidRDefault="001E3FD2" w:rsidP="000B039D">
      <w:pPr>
        <w:tabs>
          <w:tab w:val="left" w:pos="851"/>
        </w:tabs>
        <w:ind w:left="851"/>
        <w:rPr>
          <w:sz w:val="24"/>
          <w:szCs w:val="24"/>
        </w:rPr>
      </w:pPr>
      <w:bookmarkStart w:id="1" w:name="_Hlk117501544"/>
      <w:bookmarkStart w:id="2" w:name="_Hlk112664459"/>
      <w:r w:rsidRPr="001E3FD2">
        <w:rPr>
          <w:sz w:val="24"/>
          <w:szCs w:val="24"/>
        </w:rPr>
        <w:t>Lægemiddelstyrelsen</w:t>
      </w:r>
    </w:p>
    <w:p w14:paraId="7B2E3005" w14:textId="77777777" w:rsidR="001E3FD2" w:rsidRPr="001E3FD2" w:rsidRDefault="001E3FD2" w:rsidP="000B039D">
      <w:pPr>
        <w:tabs>
          <w:tab w:val="left" w:pos="851"/>
        </w:tabs>
        <w:ind w:left="851"/>
        <w:rPr>
          <w:sz w:val="24"/>
          <w:szCs w:val="24"/>
        </w:rPr>
      </w:pPr>
      <w:bookmarkStart w:id="3" w:name="_Hlk117501524"/>
      <w:bookmarkEnd w:id="1"/>
      <w:r w:rsidRPr="001E3FD2">
        <w:rPr>
          <w:sz w:val="24"/>
          <w:szCs w:val="24"/>
        </w:rPr>
        <w:t>Axel Heides Gade 1</w:t>
      </w:r>
    </w:p>
    <w:p w14:paraId="35F516FE" w14:textId="77777777" w:rsidR="001E3FD2" w:rsidRPr="001E3FD2" w:rsidRDefault="001E3FD2" w:rsidP="000B039D">
      <w:pPr>
        <w:tabs>
          <w:tab w:val="left" w:pos="851"/>
        </w:tabs>
        <w:ind w:left="851"/>
        <w:rPr>
          <w:sz w:val="24"/>
          <w:szCs w:val="24"/>
        </w:rPr>
      </w:pPr>
      <w:r w:rsidRPr="001E3FD2">
        <w:rPr>
          <w:sz w:val="24"/>
          <w:szCs w:val="24"/>
        </w:rPr>
        <w:t>DK-2300 København S</w:t>
      </w:r>
    </w:p>
    <w:p w14:paraId="167FECC3" w14:textId="067FCA38" w:rsidR="001E3FD2" w:rsidRPr="00167ADF" w:rsidRDefault="001E3FD2" w:rsidP="000B039D">
      <w:pPr>
        <w:tabs>
          <w:tab w:val="left" w:pos="851"/>
        </w:tabs>
        <w:ind w:left="851"/>
        <w:rPr>
          <w:sz w:val="24"/>
          <w:szCs w:val="24"/>
          <w:lang w:val="en-US"/>
        </w:rPr>
      </w:pPr>
      <w:r w:rsidRPr="00167ADF">
        <w:rPr>
          <w:sz w:val="24"/>
          <w:szCs w:val="24"/>
          <w:lang w:val="en-US"/>
        </w:rPr>
        <w:t>Website: www.meldenbivirkning.dk</w:t>
      </w:r>
      <w:bookmarkEnd w:id="2"/>
      <w:bookmarkEnd w:id="3"/>
    </w:p>
    <w:p w14:paraId="7D87482D" w14:textId="77777777" w:rsidR="001E3FD2" w:rsidRDefault="001E3FD2" w:rsidP="000B039D">
      <w:pPr>
        <w:tabs>
          <w:tab w:val="left" w:pos="851"/>
        </w:tabs>
        <w:ind w:left="851"/>
        <w:rPr>
          <w:sz w:val="24"/>
          <w:szCs w:val="24"/>
          <w:lang w:val="en-GB"/>
        </w:rPr>
      </w:pPr>
    </w:p>
    <w:p w14:paraId="54C52FC1"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4.9</w:t>
      </w:r>
      <w:r w:rsidRPr="00303008">
        <w:rPr>
          <w:b/>
          <w:sz w:val="24"/>
          <w:szCs w:val="24"/>
          <w:lang w:val="en-GB"/>
        </w:rPr>
        <w:tab/>
        <w:t>Overdose</w:t>
      </w:r>
    </w:p>
    <w:p w14:paraId="6F843A5F" w14:textId="77777777" w:rsidR="00167ADF" w:rsidRPr="00167ADF" w:rsidRDefault="00167ADF" w:rsidP="000B039D">
      <w:pPr>
        <w:tabs>
          <w:tab w:val="left" w:pos="851"/>
        </w:tabs>
        <w:ind w:left="851"/>
        <w:rPr>
          <w:sz w:val="24"/>
          <w:szCs w:val="24"/>
          <w:lang w:val="en-GB"/>
        </w:rPr>
      </w:pPr>
      <w:r w:rsidRPr="00167ADF">
        <w:rPr>
          <w:sz w:val="24"/>
          <w:szCs w:val="24"/>
          <w:lang w:val="en-GB"/>
        </w:rPr>
        <w:t xml:space="preserve">No specific antidote is available for overdose with ivacaftor. Treatment of overdose consists of general supportive measures including monitoring of vital signs, liver function tests and observation of the clinical status of the patient. </w:t>
      </w:r>
    </w:p>
    <w:p w14:paraId="61688B91" w14:textId="77777777" w:rsidR="007C5D2A" w:rsidRPr="00303008" w:rsidRDefault="007C5D2A" w:rsidP="000B039D">
      <w:pPr>
        <w:tabs>
          <w:tab w:val="left" w:pos="851"/>
        </w:tabs>
        <w:ind w:left="851"/>
        <w:rPr>
          <w:sz w:val="24"/>
          <w:szCs w:val="24"/>
          <w:lang w:val="en-GB"/>
        </w:rPr>
      </w:pPr>
    </w:p>
    <w:p w14:paraId="02BF2FFE" w14:textId="77777777" w:rsidR="008F2F8C" w:rsidRPr="00AC6A04" w:rsidRDefault="0042292D" w:rsidP="000B039D">
      <w:pPr>
        <w:tabs>
          <w:tab w:val="left" w:pos="851"/>
        </w:tabs>
        <w:rPr>
          <w:b/>
          <w:sz w:val="24"/>
          <w:szCs w:val="24"/>
        </w:rPr>
      </w:pPr>
      <w:r w:rsidRPr="00AC6A04">
        <w:rPr>
          <w:b/>
          <w:sz w:val="24"/>
          <w:szCs w:val="24"/>
        </w:rPr>
        <w:t>4.10</w:t>
      </w:r>
      <w:r w:rsidRPr="00AC6A04">
        <w:rPr>
          <w:b/>
          <w:sz w:val="24"/>
          <w:szCs w:val="24"/>
        </w:rPr>
        <w:tab/>
        <w:t>Legal status</w:t>
      </w:r>
    </w:p>
    <w:p w14:paraId="7BA0CF7A" w14:textId="39EFE760" w:rsidR="00AD2E36" w:rsidRPr="00AC6A04" w:rsidRDefault="00167ADF" w:rsidP="000B039D">
      <w:pPr>
        <w:tabs>
          <w:tab w:val="left" w:pos="851"/>
        </w:tabs>
        <w:ind w:left="851"/>
        <w:rPr>
          <w:sz w:val="24"/>
          <w:szCs w:val="24"/>
        </w:rPr>
      </w:pPr>
      <w:r w:rsidRPr="00AC6A04">
        <w:rPr>
          <w:sz w:val="24"/>
          <w:szCs w:val="24"/>
        </w:rPr>
        <w:t>BEGR (kun til sygehuse)</w:t>
      </w:r>
    </w:p>
    <w:p w14:paraId="634481F8" w14:textId="77777777" w:rsidR="007C5D2A" w:rsidRPr="00AC6A04" w:rsidRDefault="007C5D2A" w:rsidP="000B039D">
      <w:pPr>
        <w:tabs>
          <w:tab w:val="left" w:pos="851"/>
        </w:tabs>
        <w:ind w:left="851"/>
        <w:rPr>
          <w:sz w:val="24"/>
          <w:szCs w:val="24"/>
        </w:rPr>
      </w:pPr>
    </w:p>
    <w:p w14:paraId="563AE13B" w14:textId="77777777" w:rsidR="00AD2E36" w:rsidRPr="00AC6A04" w:rsidRDefault="00AD2E36" w:rsidP="000B039D">
      <w:pPr>
        <w:tabs>
          <w:tab w:val="left" w:pos="851"/>
        </w:tabs>
        <w:ind w:left="851"/>
        <w:rPr>
          <w:sz w:val="24"/>
          <w:szCs w:val="24"/>
        </w:rPr>
      </w:pPr>
    </w:p>
    <w:p w14:paraId="2BDF81FB" w14:textId="77777777" w:rsidR="007C5D2A" w:rsidRPr="00303008" w:rsidRDefault="007C5D2A" w:rsidP="000B039D">
      <w:pPr>
        <w:tabs>
          <w:tab w:val="left" w:pos="851"/>
        </w:tabs>
        <w:rPr>
          <w:b/>
          <w:sz w:val="24"/>
          <w:szCs w:val="24"/>
          <w:lang w:val="en-GB"/>
        </w:rPr>
      </w:pPr>
      <w:r w:rsidRPr="00303008">
        <w:rPr>
          <w:b/>
          <w:sz w:val="24"/>
          <w:szCs w:val="24"/>
          <w:lang w:val="en-GB"/>
        </w:rPr>
        <w:t>5.</w:t>
      </w:r>
      <w:r w:rsidRPr="00303008">
        <w:rPr>
          <w:b/>
          <w:sz w:val="24"/>
          <w:szCs w:val="24"/>
          <w:lang w:val="en-GB"/>
        </w:rPr>
        <w:tab/>
        <w:t>PHARMACOLOGICAL PROPERTIES</w:t>
      </w:r>
    </w:p>
    <w:p w14:paraId="388A4317" w14:textId="77777777" w:rsidR="007C5D2A" w:rsidRDefault="007C5D2A" w:rsidP="000B039D">
      <w:pPr>
        <w:tabs>
          <w:tab w:val="left" w:pos="851"/>
        </w:tabs>
        <w:ind w:left="851"/>
        <w:rPr>
          <w:sz w:val="24"/>
          <w:szCs w:val="24"/>
          <w:lang w:val="en-GB"/>
        </w:rPr>
      </w:pPr>
    </w:p>
    <w:p w14:paraId="2B3C9915"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5.1</w:t>
      </w:r>
      <w:r w:rsidRPr="00303008">
        <w:rPr>
          <w:b/>
          <w:sz w:val="24"/>
          <w:szCs w:val="24"/>
          <w:lang w:val="en-GB"/>
        </w:rPr>
        <w:tab/>
        <w:t>Pharmacodynamic properties</w:t>
      </w:r>
      <w:r w:rsidRPr="00303008">
        <w:rPr>
          <w:b/>
          <w:sz w:val="24"/>
          <w:szCs w:val="24"/>
          <w:lang w:val="en-GB"/>
        </w:rPr>
        <w:tab/>
      </w:r>
    </w:p>
    <w:p w14:paraId="51D4FD24" w14:textId="1477BBF5" w:rsidR="00745723" w:rsidRPr="00745723" w:rsidRDefault="00745723" w:rsidP="000B039D">
      <w:pPr>
        <w:tabs>
          <w:tab w:val="left" w:pos="851"/>
        </w:tabs>
        <w:ind w:left="851"/>
        <w:rPr>
          <w:sz w:val="24"/>
          <w:szCs w:val="24"/>
          <w:lang w:val="en-GB"/>
        </w:rPr>
      </w:pPr>
      <w:r w:rsidRPr="00745723">
        <w:rPr>
          <w:sz w:val="24"/>
          <w:szCs w:val="24"/>
          <w:lang w:val="en-GB"/>
        </w:rPr>
        <w:t>Pharmacotherapeutic group: Other respiratory system products, ATC code: R07AX02</w:t>
      </w:r>
      <w:r>
        <w:rPr>
          <w:sz w:val="24"/>
          <w:szCs w:val="24"/>
          <w:lang w:val="en-GB"/>
        </w:rPr>
        <w:t>.</w:t>
      </w:r>
      <w:r w:rsidRPr="00745723">
        <w:rPr>
          <w:i/>
          <w:sz w:val="24"/>
          <w:szCs w:val="24"/>
          <w:lang w:val="en-GB"/>
        </w:rPr>
        <w:t xml:space="preserve"> </w:t>
      </w:r>
    </w:p>
    <w:p w14:paraId="73002418"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 </w:t>
      </w:r>
    </w:p>
    <w:p w14:paraId="67759AA3" w14:textId="77777777" w:rsidR="00745723" w:rsidRPr="00745723" w:rsidRDefault="00745723" w:rsidP="000B039D">
      <w:pPr>
        <w:tabs>
          <w:tab w:val="left" w:pos="851"/>
        </w:tabs>
        <w:ind w:left="851"/>
        <w:rPr>
          <w:sz w:val="24"/>
          <w:szCs w:val="24"/>
          <w:u w:val="single"/>
          <w:lang w:val="en-GB"/>
        </w:rPr>
      </w:pPr>
      <w:r w:rsidRPr="00745723">
        <w:rPr>
          <w:sz w:val="24"/>
          <w:szCs w:val="24"/>
          <w:u w:val="single"/>
          <w:lang w:val="en-GB"/>
        </w:rPr>
        <w:t>Mechanism of action</w:t>
      </w:r>
      <w:r w:rsidRPr="00745723">
        <w:rPr>
          <w:sz w:val="24"/>
          <w:szCs w:val="24"/>
          <w:lang w:val="en-GB"/>
        </w:rPr>
        <w:t xml:space="preserve"> </w:t>
      </w:r>
    </w:p>
    <w:p w14:paraId="25BA4B0A"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 </w:t>
      </w:r>
    </w:p>
    <w:p w14:paraId="76DD80B7" w14:textId="77777777" w:rsidR="00745723" w:rsidRPr="00745723" w:rsidRDefault="00745723" w:rsidP="000B039D">
      <w:pPr>
        <w:tabs>
          <w:tab w:val="left" w:pos="851"/>
        </w:tabs>
        <w:ind w:left="851"/>
        <w:rPr>
          <w:i/>
          <w:iCs/>
          <w:sz w:val="24"/>
          <w:szCs w:val="24"/>
          <w:lang w:val="en-GB"/>
        </w:rPr>
      </w:pPr>
      <w:r w:rsidRPr="00745723">
        <w:rPr>
          <w:i/>
          <w:iCs/>
          <w:sz w:val="24"/>
          <w:szCs w:val="24"/>
          <w:lang w:val="en-GB"/>
        </w:rPr>
        <w:t>Ivacaftor as monotherapy</w:t>
      </w:r>
    </w:p>
    <w:p w14:paraId="5578799D"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Ivacaftor is a potentiator of the CFTR protein, i.e., </w:t>
      </w:r>
      <w:r w:rsidRPr="00745723">
        <w:rPr>
          <w:i/>
          <w:sz w:val="24"/>
          <w:szCs w:val="24"/>
          <w:lang w:val="en-GB"/>
        </w:rPr>
        <w:t>in vitro</w:t>
      </w:r>
      <w:r w:rsidRPr="00745723">
        <w:rPr>
          <w:sz w:val="24"/>
          <w:szCs w:val="24"/>
          <w:lang w:val="en-GB"/>
        </w:rPr>
        <w:t xml:space="preserve"> ivacaftor increases CFTR channel gating to enhance chloride transport in specified gating mutations (as listed in section 4.1) with reduced channel-open probability compared to normal CFTR. Ivacaftor also potentiated the channel-open probability of </w:t>
      </w:r>
      <w:r w:rsidRPr="00745723">
        <w:rPr>
          <w:i/>
          <w:sz w:val="24"/>
          <w:szCs w:val="24"/>
          <w:lang w:val="en-GB"/>
        </w:rPr>
        <w:t>R117H-CFTR</w:t>
      </w:r>
      <w:r w:rsidRPr="00745723">
        <w:rPr>
          <w:sz w:val="24"/>
          <w:szCs w:val="24"/>
          <w:lang w:val="en-GB"/>
        </w:rPr>
        <w:t xml:space="preserve">, which has both low channel-open probability (gating) and reduced channel current amplitude (conductance). The </w:t>
      </w:r>
      <w:r w:rsidRPr="00745723">
        <w:rPr>
          <w:i/>
          <w:sz w:val="24"/>
          <w:szCs w:val="24"/>
          <w:lang w:val="en-GB"/>
        </w:rPr>
        <w:t xml:space="preserve">G970R </w:t>
      </w:r>
      <w:r w:rsidRPr="00745723">
        <w:rPr>
          <w:sz w:val="24"/>
          <w:szCs w:val="24"/>
          <w:lang w:val="en-GB"/>
        </w:rPr>
        <w:t xml:space="preserve">mutation causes a splicing defect resulting in little-to-no CFTR protein at the cell surface which may explain the results observed in subjects with this mutation in study 770-111 (see Pharmacodynamic effects and Clinical efficacy and safety). </w:t>
      </w:r>
    </w:p>
    <w:p w14:paraId="09DE4D90"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 </w:t>
      </w:r>
    </w:p>
    <w:p w14:paraId="30523267" w14:textId="77777777" w:rsidR="00745723" w:rsidRPr="00745723" w:rsidRDefault="00745723" w:rsidP="000B039D">
      <w:pPr>
        <w:tabs>
          <w:tab w:val="left" w:pos="851"/>
        </w:tabs>
        <w:ind w:left="851"/>
        <w:rPr>
          <w:sz w:val="24"/>
          <w:szCs w:val="24"/>
          <w:lang w:val="en-GB"/>
        </w:rPr>
      </w:pPr>
      <w:r w:rsidRPr="00745723">
        <w:rPr>
          <w:i/>
          <w:sz w:val="24"/>
          <w:szCs w:val="24"/>
          <w:lang w:val="en-GB"/>
        </w:rPr>
        <w:t>In vitro</w:t>
      </w:r>
      <w:r w:rsidRPr="00745723">
        <w:rPr>
          <w:sz w:val="24"/>
          <w:szCs w:val="24"/>
          <w:lang w:val="en-GB"/>
        </w:rPr>
        <w:t xml:space="preserve"> responses seen in single channel patch clamp experiments using membrane patches from rodent cells expressing mutant CFTR forms do not necessarily correspond to </w:t>
      </w:r>
      <w:r w:rsidRPr="00745723">
        <w:rPr>
          <w:i/>
          <w:sz w:val="24"/>
          <w:szCs w:val="24"/>
          <w:lang w:val="en-GB"/>
        </w:rPr>
        <w:t xml:space="preserve">in vivo </w:t>
      </w:r>
      <w:r w:rsidRPr="00745723">
        <w:rPr>
          <w:sz w:val="24"/>
          <w:szCs w:val="24"/>
          <w:lang w:val="en-GB"/>
        </w:rPr>
        <w:t xml:space="preserve">pharmacodynamic response (e.g., sweat chloride) or clinical benefit. The exact mechanism leading ivacaftor to potentiate the gating activity of normal and some mutant CFTR forms in this system has not been completely elucidated. </w:t>
      </w:r>
    </w:p>
    <w:p w14:paraId="5C646FE2" w14:textId="77777777" w:rsidR="00745723" w:rsidRPr="00AC6A04" w:rsidRDefault="00745723" w:rsidP="000B039D">
      <w:pPr>
        <w:tabs>
          <w:tab w:val="left" w:pos="851"/>
        </w:tabs>
        <w:ind w:left="851"/>
        <w:rPr>
          <w:sz w:val="24"/>
          <w:szCs w:val="24"/>
          <w:lang w:val="en-GB"/>
        </w:rPr>
      </w:pPr>
    </w:p>
    <w:p w14:paraId="0EDC5F23" w14:textId="77777777" w:rsidR="00AC6A04" w:rsidRPr="00AC6A04" w:rsidRDefault="00AC6A04" w:rsidP="000B039D">
      <w:pPr>
        <w:tabs>
          <w:tab w:val="left" w:pos="851"/>
        </w:tabs>
        <w:ind w:left="851"/>
        <w:rPr>
          <w:i/>
          <w:iCs/>
          <w:sz w:val="24"/>
          <w:szCs w:val="24"/>
          <w:lang w:val="en-US"/>
        </w:rPr>
      </w:pPr>
      <w:r w:rsidRPr="00AC6A04">
        <w:rPr>
          <w:i/>
          <w:iCs/>
          <w:sz w:val="24"/>
          <w:szCs w:val="24"/>
          <w:lang w:val="en-US"/>
        </w:rPr>
        <w:t>Ivacaftor in a combination regimen with ivacaftor/tezacaftor/elexacaftor</w:t>
      </w:r>
    </w:p>
    <w:p w14:paraId="753BEC66" w14:textId="1D080538" w:rsidR="00AC6A04" w:rsidRPr="00AC6A04" w:rsidRDefault="00AC6A04" w:rsidP="000B039D">
      <w:pPr>
        <w:tabs>
          <w:tab w:val="left" w:pos="851"/>
        </w:tabs>
        <w:ind w:left="851"/>
        <w:rPr>
          <w:sz w:val="24"/>
          <w:szCs w:val="24"/>
          <w:lang w:val="en-US"/>
        </w:rPr>
      </w:pPr>
      <w:r w:rsidRPr="00AC6A04">
        <w:rPr>
          <w:sz w:val="24"/>
          <w:szCs w:val="24"/>
          <w:lang w:val="en-US"/>
        </w:rPr>
        <w:t>Elexacaftor and tezacaftor are CFTR correctors that bind to different sites on the CFTR protein and</w:t>
      </w:r>
      <w:r>
        <w:rPr>
          <w:sz w:val="24"/>
          <w:szCs w:val="24"/>
          <w:lang w:val="en-US"/>
        </w:rPr>
        <w:t xml:space="preserve"> </w:t>
      </w:r>
      <w:r w:rsidRPr="00AC6A04">
        <w:rPr>
          <w:sz w:val="24"/>
          <w:szCs w:val="24"/>
          <w:lang w:val="en-US"/>
        </w:rPr>
        <w:t>have an additive effect in facilitating the cellular processing and trafficking of CFTR to increase the</w:t>
      </w:r>
      <w:r>
        <w:rPr>
          <w:sz w:val="24"/>
          <w:szCs w:val="24"/>
          <w:lang w:val="en-US"/>
        </w:rPr>
        <w:t xml:space="preserve"> </w:t>
      </w:r>
      <w:r w:rsidRPr="00AC6A04">
        <w:rPr>
          <w:sz w:val="24"/>
          <w:szCs w:val="24"/>
          <w:lang w:val="en-US"/>
        </w:rPr>
        <w:t>amount of CFTR protein delivered to the cell surface compared to either molecule alone. When</w:t>
      </w:r>
      <w:r>
        <w:rPr>
          <w:sz w:val="24"/>
          <w:szCs w:val="24"/>
          <w:lang w:val="en-US"/>
        </w:rPr>
        <w:t xml:space="preserve"> </w:t>
      </w:r>
      <w:r w:rsidRPr="00AC6A04">
        <w:rPr>
          <w:sz w:val="24"/>
          <w:szCs w:val="24"/>
          <w:lang w:val="en-US"/>
        </w:rPr>
        <w:t>ivacaftor is administered in combination with ivacaftor/tezacaftor/elexacaftor, the combined effect is</w:t>
      </w:r>
      <w:r>
        <w:rPr>
          <w:sz w:val="24"/>
          <w:szCs w:val="24"/>
          <w:lang w:val="en-US"/>
        </w:rPr>
        <w:t xml:space="preserve"> </w:t>
      </w:r>
      <w:r w:rsidRPr="00AC6A04">
        <w:rPr>
          <w:sz w:val="24"/>
          <w:szCs w:val="24"/>
          <w:lang w:val="en-US"/>
        </w:rPr>
        <w:t xml:space="preserve">increased quantity and function of </w:t>
      </w:r>
      <w:r w:rsidRPr="00AC6A04">
        <w:rPr>
          <w:sz w:val="24"/>
          <w:szCs w:val="24"/>
          <w:lang w:val="en-US"/>
        </w:rPr>
        <w:lastRenderedPageBreak/>
        <w:t>CFTR at the cell surface, resulting in increased CFTR activity as</w:t>
      </w:r>
      <w:r>
        <w:rPr>
          <w:sz w:val="24"/>
          <w:szCs w:val="24"/>
          <w:lang w:val="en-US"/>
        </w:rPr>
        <w:t xml:space="preserve"> </w:t>
      </w:r>
      <w:r w:rsidRPr="00AC6A04">
        <w:rPr>
          <w:sz w:val="24"/>
          <w:szCs w:val="24"/>
          <w:lang w:val="en-US"/>
        </w:rPr>
        <w:t>measured by CFTR mediated chloride transport.</w:t>
      </w:r>
    </w:p>
    <w:p w14:paraId="16E90D47" w14:textId="77777777" w:rsidR="00AC6A04" w:rsidRPr="00AC6A04" w:rsidRDefault="00AC6A04" w:rsidP="000B039D">
      <w:pPr>
        <w:tabs>
          <w:tab w:val="left" w:pos="851"/>
        </w:tabs>
        <w:ind w:left="851"/>
        <w:rPr>
          <w:sz w:val="24"/>
          <w:szCs w:val="24"/>
          <w:lang w:val="en-US"/>
        </w:rPr>
      </w:pPr>
    </w:p>
    <w:p w14:paraId="05AF18F7" w14:textId="77777777" w:rsidR="00AC6A04" w:rsidRPr="00AC6A04" w:rsidRDefault="00AC6A04" w:rsidP="000B039D">
      <w:pPr>
        <w:tabs>
          <w:tab w:val="left" w:pos="851"/>
        </w:tabs>
        <w:ind w:left="851"/>
        <w:rPr>
          <w:sz w:val="24"/>
          <w:szCs w:val="24"/>
          <w:u w:val="single"/>
          <w:lang w:val="en-US"/>
        </w:rPr>
      </w:pPr>
      <w:r w:rsidRPr="00AC6A04">
        <w:rPr>
          <w:sz w:val="24"/>
          <w:szCs w:val="24"/>
          <w:u w:val="single"/>
          <w:lang w:val="en-US"/>
        </w:rPr>
        <w:t>CFTR Chloride Transport Assay in Fischer Rat Thyroid (FRT) cells expressing mutant CFTR</w:t>
      </w:r>
    </w:p>
    <w:p w14:paraId="129D0209" w14:textId="7C125151" w:rsidR="00AC6A04" w:rsidRPr="00AC6A04" w:rsidRDefault="00AC6A04" w:rsidP="000B039D">
      <w:pPr>
        <w:tabs>
          <w:tab w:val="left" w:pos="851"/>
        </w:tabs>
        <w:ind w:left="851"/>
        <w:rPr>
          <w:sz w:val="24"/>
          <w:szCs w:val="24"/>
          <w:lang w:val="en-US"/>
        </w:rPr>
      </w:pPr>
      <w:r w:rsidRPr="00AC6A04">
        <w:rPr>
          <w:sz w:val="24"/>
          <w:szCs w:val="24"/>
          <w:lang w:val="en-US"/>
        </w:rPr>
        <w:t>The chloride transport response of mutant CFTR protein to ivacaftor/tezacaftor/elexacaftor was</w:t>
      </w:r>
      <w:r>
        <w:rPr>
          <w:sz w:val="24"/>
          <w:szCs w:val="24"/>
          <w:lang w:val="en-US"/>
        </w:rPr>
        <w:t xml:space="preserve"> </w:t>
      </w:r>
      <w:r w:rsidRPr="00AC6A04">
        <w:rPr>
          <w:sz w:val="24"/>
          <w:szCs w:val="24"/>
          <w:lang w:val="en-US"/>
        </w:rPr>
        <w:t>determined in Ussing chamber electrophysiology studies using a panel of FRT cell lines transfected</w:t>
      </w:r>
      <w:r>
        <w:rPr>
          <w:sz w:val="24"/>
          <w:szCs w:val="24"/>
          <w:lang w:val="en-US"/>
        </w:rPr>
        <w:t xml:space="preserve"> </w:t>
      </w:r>
      <w:r w:rsidRPr="00AC6A04">
        <w:rPr>
          <w:sz w:val="24"/>
          <w:szCs w:val="24"/>
          <w:lang w:val="en-US"/>
        </w:rPr>
        <w:t xml:space="preserve">with individual </w:t>
      </w:r>
      <w:r w:rsidRPr="00AC6A04">
        <w:rPr>
          <w:i/>
          <w:iCs/>
          <w:sz w:val="24"/>
          <w:szCs w:val="24"/>
          <w:lang w:val="en-US"/>
        </w:rPr>
        <w:t xml:space="preserve">CFTR </w:t>
      </w:r>
      <w:r w:rsidRPr="00AC6A04">
        <w:rPr>
          <w:sz w:val="24"/>
          <w:szCs w:val="24"/>
          <w:lang w:val="en-US"/>
        </w:rPr>
        <w:t>mutations. Ivacaftor/tezacaftor/elexacaftor increased chloride transport in FRT</w:t>
      </w:r>
      <w:r>
        <w:rPr>
          <w:sz w:val="24"/>
          <w:szCs w:val="24"/>
          <w:lang w:val="en-US"/>
        </w:rPr>
        <w:t xml:space="preserve"> </w:t>
      </w:r>
      <w:r w:rsidRPr="00AC6A04">
        <w:rPr>
          <w:sz w:val="24"/>
          <w:szCs w:val="24"/>
          <w:lang w:val="en-US"/>
        </w:rPr>
        <w:t xml:space="preserve">cells expressing select </w:t>
      </w:r>
      <w:r w:rsidRPr="00AC6A04">
        <w:rPr>
          <w:i/>
          <w:iCs/>
          <w:sz w:val="24"/>
          <w:szCs w:val="24"/>
          <w:lang w:val="en-US"/>
        </w:rPr>
        <w:t xml:space="preserve">CFTR </w:t>
      </w:r>
      <w:r w:rsidRPr="00AC6A04">
        <w:rPr>
          <w:sz w:val="24"/>
          <w:szCs w:val="24"/>
          <w:lang w:val="en-US"/>
        </w:rPr>
        <w:t>mutations.</w:t>
      </w:r>
    </w:p>
    <w:p w14:paraId="2C63C0E7" w14:textId="77777777" w:rsidR="00AC6A04" w:rsidRPr="00AC6A04" w:rsidRDefault="00AC6A04" w:rsidP="000B039D">
      <w:pPr>
        <w:tabs>
          <w:tab w:val="left" w:pos="851"/>
        </w:tabs>
        <w:ind w:left="851"/>
        <w:rPr>
          <w:sz w:val="24"/>
          <w:szCs w:val="24"/>
          <w:lang w:val="en-US"/>
        </w:rPr>
      </w:pPr>
    </w:p>
    <w:p w14:paraId="1D1ECADA" w14:textId="1705A577" w:rsidR="00AC6A04" w:rsidRPr="00AC6A04" w:rsidRDefault="00AC6A04" w:rsidP="000B039D">
      <w:pPr>
        <w:tabs>
          <w:tab w:val="left" w:pos="851"/>
        </w:tabs>
        <w:ind w:left="851"/>
        <w:rPr>
          <w:sz w:val="24"/>
          <w:szCs w:val="24"/>
          <w:lang w:val="en-US"/>
        </w:rPr>
      </w:pPr>
      <w:r w:rsidRPr="00AC6A04">
        <w:rPr>
          <w:sz w:val="24"/>
          <w:szCs w:val="24"/>
          <w:lang w:val="en-US"/>
        </w:rPr>
        <w:t xml:space="preserve">The </w:t>
      </w:r>
      <w:r w:rsidRPr="00AC6A04">
        <w:rPr>
          <w:i/>
          <w:iCs/>
          <w:sz w:val="24"/>
          <w:szCs w:val="24"/>
          <w:lang w:val="en-US"/>
        </w:rPr>
        <w:t xml:space="preserve">in vitro </w:t>
      </w:r>
      <w:r w:rsidRPr="00AC6A04">
        <w:rPr>
          <w:sz w:val="24"/>
          <w:szCs w:val="24"/>
          <w:lang w:val="en-US"/>
        </w:rPr>
        <w:t>CFTR chloride transport response threshold was designated as a net increase of at least</w:t>
      </w:r>
      <w:r>
        <w:rPr>
          <w:sz w:val="24"/>
          <w:szCs w:val="24"/>
          <w:lang w:val="en-US"/>
        </w:rPr>
        <w:t xml:space="preserve"> </w:t>
      </w:r>
      <w:r w:rsidRPr="00AC6A04">
        <w:rPr>
          <w:sz w:val="24"/>
          <w:szCs w:val="24"/>
          <w:lang w:val="en-US"/>
        </w:rPr>
        <w:t>10% of normal over baseline because it is predictive or reasonably expected to predict clinical</w:t>
      </w:r>
      <w:r>
        <w:rPr>
          <w:sz w:val="24"/>
          <w:szCs w:val="24"/>
          <w:lang w:val="en-US"/>
        </w:rPr>
        <w:t xml:space="preserve"> </w:t>
      </w:r>
      <w:r w:rsidRPr="00AC6A04">
        <w:rPr>
          <w:sz w:val="24"/>
          <w:szCs w:val="24"/>
          <w:lang w:val="en-US"/>
        </w:rPr>
        <w:t>response. For individual mutations, the magnitude of the net change over baseline in CFTR mediated</w:t>
      </w:r>
      <w:r>
        <w:rPr>
          <w:sz w:val="24"/>
          <w:szCs w:val="24"/>
          <w:lang w:val="en-US"/>
        </w:rPr>
        <w:t xml:space="preserve"> </w:t>
      </w:r>
      <w:r w:rsidRPr="00AC6A04">
        <w:rPr>
          <w:sz w:val="24"/>
          <w:szCs w:val="24"/>
          <w:lang w:val="en-US"/>
        </w:rPr>
        <w:t xml:space="preserve">chloride transport </w:t>
      </w:r>
      <w:r w:rsidRPr="00AC6A04">
        <w:rPr>
          <w:i/>
          <w:iCs/>
          <w:sz w:val="24"/>
          <w:szCs w:val="24"/>
          <w:lang w:val="en-US"/>
        </w:rPr>
        <w:t xml:space="preserve">in vitro </w:t>
      </w:r>
      <w:r w:rsidRPr="00AC6A04">
        <w:rPr>
          <w:sz w:val="24"/>
          <w:szCs w:val="24"/>
          <w:lang w:val="en-US"/>
        </w:rPr>
        <w:t>is not correlated with the magnitude of clinical response.</w:t>
      </w:r>
    </w:p>
    <w:p w14:paraId="4158D520" w14:textId="77777777" w:rsidR="00AC6A04" w:rsidRPr="00AC6A04" w:rsidRDefault="00AC6A04" w:rsidP="000B039D">
      <w:pPr>
        <w:tabs>
          <w:tab w:val="left" w:pos="851"/>
        </w:tabs>
        <w:ind w:left="851"/>
        <w:rPr>
          <w:sz w:val="24"/>
          <w:szCs w:val="24"/>
          <w:lang w:val="en-US"/>
        </w:rPr>
      </w:pPr>
    </w:p>
    <w:p w14:paraId="602DBC12" w14:textId="5B075460" w:rsidR="00AC6A04" w:rsidRPr="00AC6A04" w:rsidRDefault="00AC6A04" w:rsidP="000B039D">
      <w:pPr>
        <w:tabs>
          <w:tab w:val="left" w:pos="851"/>
        </w:tabs>
        <w:ind w:left="851"/>
        <w:rPr>
          <w:sz w:val="24"/>
          <w:szCs w:val="24"/>
          <w:lang w:val="en-US"/>
        </w:rPr>
      </w:pPr>
      <w:r w:rsidRPr="00AC6A04">
        <w:rPr>
          <w:sz w:val="24"/>
          <w:szCs w:val="24"/>
          <w:lang w:val="en-US"/>
        </w:rPr>
        <w:t xml:space="preserve">In CF, the presence of one </w:t>
      </w:r>
      <w:r w:rsidRPr="00AC6A04">
        <w:rPr>
          <w:i/>
          <w:iCs/>
          <w:sz w:val="24"/>
          <w:szCs w:val="24"/>
          <w:lang w:val="en-US"/>
        </w:rPr>
        <w:t xml:space="preserve">CFTR </w:t>
      </w:r>
      <w:r w:rsidRPr="00AC6A04">
        <w:rPr>
          <w:sz w:val="24"/>
          <w:szCs w:val="24"/>
          <w:lang w:val="en-US"/>
        </w:rPr>
        <w:t xml:space="preserve">mutation responsive to ivacaftor/tezacaftor/elexacaftor based on </w:t>
      </w:r>
      <w:r w:rsidRPr="00AC6A04">
        <w:rPr>
          <w:i/>
          <w:iCs/>
          <w:sz w:val="24"/>
          <w:szCs w:val="24"/>
          <w:lang w:val="en-US"/>
        </w:rPr>
        <w:t>in</w:t>
      </w:r>
      <w:r>
        <w:rPr>
          <w:i/>
          <w:iCs/>
          <w:sz w:val="24"/>
          <w:szCs w:val="24"/>
          <w:lang w:val="en-US"/>
        </w:rPr>
        <w:t xml:space="preserve"> </w:t>
      </w:r>
      <w:r w:rsidRPr="00AC6A04">
        <w:rPr>
          <w:i/>
          <w:iCs/>
          <w:sz w:val="24"/>
          <w:szCs w:val="24"/>
          <w:lang w:val="en-US"/>
        </w:rPr>
        <w:t xml:space="preserve">vitro </w:t>
      </w:r>
      <w:r w:rsidRPr="00AC6A04">
        <w:rPr>
          <w:sz w:val="24"/>
          <w:szCs w:val="24"/>
          <w:lang w:val="en-US"/>
        </w:rPr>
        <w:t>data in FRT cells, will likely result in a clinical response.</w:t>
      </w:r>
    </w:p>
    <w:p w14:paraId="5594E650" w14:textId="77777777" w:rsidR="00AC6A04" w:rsidRPr="00AC6A04" w:rsidRDefault="00AC6A04" w:rsidP="000B039D">
      <w:pPr>
        <w:tabs>
          <w:tab w:val="left" w:pos="851"/>
        </w:tabs>
        <w:ind w:left="851"/>
        <w:rPr>
          <w:sz w:val="24"/>
          <w:szCs w:val="24"/>
          <w:lang w:val="en-US"/>
        </w:rPr>
      </w:pPr>
    </w:p>
    <w:p w14:paraId="14868336" w14:textId="463FB25D" w:rsidR="00AC6A04" w:rsidRPr="000B039D" w:rsidRDefault="00AC6A04" w:rsidP="000B039D">
      <w:pPr>
        <w:tabs>
          <w:tab w:val="left" w:pos="851"/>
        </w:tabs>
        <w:ind w:left="851"/>
        <w:rPr>
          <w:sz w:val="24"/>
          <w:szCs w:val="24"/>
          <w:lang w:val="en-US"/>
        </w:rPr>
      </w:pPr>
      <w:r w:rsidRPr="00AC6A04">
        <w:rPr>
          <w:sz w:val="24"/>
          <w:szCs w:val="24"/>
          <w:lang w:val="en-US"/>
        </w:rPr>
        <w:t xml:space="preserve">Table 6 lists ivacaftor/tezacaftor/elexacaftor-responsive </w:t>
      </w:r>
      <w:r w:rsidRPr="00AC6A04">
        <w:rPr>
          <w:i/>
          <w:iCs/>
          <w:sz w:val="24"/>
          <w:szCs w:val="24"/>
          <w:lang w:val="en-US"/>
        </w:rPr>
        <w:t xml:space="preserve">CFTR </w:t>
      </w:r>
      <w:r w:rsidRPr="00AC6A04">
        <w:rPr>
          <w:sz w:val="24"/>
          <w:szCs w:val="24"/>
          <w:lang w:val="en-US"/>
        </w:rPr>
        <w:t xml:space="preserve">mutations. The occurrence of </w:t>
      </w:r>
      <w:r w:rsidRPr="00AC6A04">
        <w:rPr>
          <w:i/>
          <w:iCs/>
          <w:sz w:val="24"/>
          <w:szCs w:val="24"/>
          <w:lang w:val="en-US"/>
        </w:rPr>
        <w:t>CFTR</w:t>
      </w:r>
      <w:r>
        <w:rPr>
          <w:i/>
          <w:iCs/>
          <w:sz w:val="24"/>
          <w:szCs w:val="24"/>
          <w:lang w:val="en-US"/>
        </w:rPr>
        <w:t xml:space="preserve"> </w:t>
      </w:r>
      <w:r w:rsidRPr="00AC6A04">
        <w:rPr>
          <w:sz w:val="24"/>
          <w:szCs w:val="24"/>
          <w:lang w:val="en-US"/>
        </w:rPr>
        <w:t>mutations listed in this table should not be used in lieu of a diagnosis of cystic fibrosis, nor as a sole</w:t>
      </w:r>
      <w:r>
        <w:rPr>
          <w:sz w:val="24"/>
          <w:szCs w:val="24"/>
          <w:lang w:val="en-US"/>
        </w:rPr>
        <w:t xml:space="preserve"> </w:t>
      </w:r>
      <w:r w:rsidRPr="000B039D">
        <w:rPr>
          <w:sz w:val="24"/>
          <w:szCs w:val="24"/>
          <w:lang w:val="en-US"/>
        </w:rPr>
        <w:t>determinant for prescribing purposes.</w:t>
      </w:r>
    </w:p>
    <w:p w14:paraId="2218C1E5" w14:textId="77777777" w:rsidR="007C5D2A" w:rsidRPr="00AC6A04" w:rsidRDefault="007C5D2A" w:rsidP="000B039D">
      <w:pPr>
        <w:tabs>
          <w:tab w:val="left" w:pos="851"/>
        </w:tabs>
        <w:ind w:left="851"/>
        <w:rPr>
          <w:sz w:val="24"/>
          <w:szCs w:val="24"/>
          <w:lang w:val="en-GB"/>
        </w:rPr>
      </w:pPr>
    </w:p>
    <w:p w14:paraId="79F1B694" w14:textId="77777777" w:rsidR="001E198B" w:rsidRPr="001E198B" w:rsidRDefault="001E198B" w:rsidP="000B039D">
      <w:pPr>
        <w:keepNext/>
        <w:keepLines/>
        <w:ind w:left="-2" w:hanging="10"/>
        <w:outlineLvl w:val="0"/>
        <w:rPr>
          <w:b/>
          <w:color w:val="000000"/>
          <w:kern w:val="2"/>
          <w:sz w:val="22"/>
          <w:szCs w:val="24"/>
          <w:lang w:val="en-GB" w:eastAsia="en-GB"/>
        </w:rPr>
      </w:pPr>
      <w:r w:rsidRPr="001E198B">
        <w:rPr>
          <w:b/>
          <w:color w:val="000000"/>
          <w:kern w:val="2"/>
          <w:sz w:val="22"/>
          <w:szCs w:val="24"/>
          <w:lang w:val="en-GB" w:eastAsia="en-GB"/>
        </w:rPr>
        <w:t xml:space="preserve">Table 6: </w:t>
      </w:r>
      <w:r w:rsidRPr="001E198B">
        <w:rPr>
          <w:b/>
          <w:i/>
          <w:color w:val="000000"/>
          <w:kern w:val="2"/>
          <w:sz w:val="22"/>
          <w:szCs w:val="24"/>
          <w:lang w:val="en-GB" w:eastAsia="en-GB"/>
        </w:rPr>
        <w:t>CFTR</w:t>
      </w:r>
      <w:r w:rsidRPr="001E198B">
        <w:rPr>
          <w:b/>
          <w:color w:val="000000"/>
          <w:kern w:val="2"/>
          <w:sz w:val="22"/>
          <w:szCs w:val="24"/>
          <w:lang w:val="en-GB" w:eastAsia="en-GB"/>
        </w:rPr>
        <w:t xml:space="preserve"> mutations identified to be responsive to ivacaftor/tezacaftor/elexacaftor based on clinical and/or </w:t>
      </w:r>
      <w:r w:rsidRPr="001E198B">
        <w:rPr>
          <w:b/>
          <w:i/>
          <w:color w:val="000000"/>
          <w:kern w:val="2"/>
          <w:sz w:val="22"/>
          <w:szCs w:val="24"/>
          <w:lang w:val="en-GB" w:eastAsia="en-GB"/>
        </w:rPr>
        <w:t>in vitro</w:t>
      </w:r>
      <w:r w:rsidRPr="001E198B">
        <w:rPr>
          <w:b/>
          <w:color w:val="000000"/>
          <w:kern w:val="2"/>
          <w:sz w:val="22"/>
          <w:szCs w:val="24"/>
          <w:lang w:val="en-GB" w:eastAsia="en-GB"/>
        </w:rPr>
        <w:t xml:space="preserve"> data </w:t>
      </w:r>
    </w:p>
    <w:tbl>
      <w:tblPr>
        <w:tblW w:w="5121" w:type="pct"/>
        <w:tblInd w:w="-87" w:type="dxa"/>
        <w:tblCellMar>
          <w:top w:w="75" w:type="dxa"/>
          <w:left w:w="107" w:type="dxa"/>
          <w:right w:w="115" w:type="dxa"/>
        </w:tblCellMar>
        <w:tblLook w:val="04A0" w:firstRow="1" w:lastRow="0" w:firstColumn="1" w:lastColumn="0" w:noHBand="0" w:noVBand="1"/>
      </w:tblPr>
      <w:tblGrid>
        <w:gridCol w:w="2138"/>
        <w:gridCol w:w="2363"/>
        <w:gridCol w:w="1540"/>
        <w:gridCol w:w="2238"/>
        <w:gridCol w:w="1582"/>
      </w:tblGrid>
      <w:tr w:rsidR="001E198B" w:rsidRPr="00915489" w14:paraId="0D066585" w14:textId="77777777">
        <w:trPr>
          <w:trHeight w:val="113"/>
        </w:trPr>
        <w:tc>
          <w:tcPr>
            <w:tcW w:w="1084" w:type="pct"/>
            <w:tcBorders>
              <w:top w:val="single" w:sz="4" w:space="0" w:color="000000"/>
              <w:left w:val="single" w:sz="4" w:space="0" w:color="000000"/>
              <w:bottom w:val="nil"/>
              <w:right w:val="single" w:sz="4" w:space="0" w:color="000000"/>
            </w:tcBorders>
            <w:hideMark/>
          </w:tcPr>
          <w:p w14:paraId="48F641C7"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293A→G </w:t>
            </w:r>
          </w:p>
          <w:p w14:paraId="2A464C6E"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314del9 </w:t>
            </w:r>
          </w:p>
          <w:p w14:paraId="65EEE955"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546insCTA </w:t>
            </w:r>
          </w:p>
          <w:p w14:paraId="197A45C3"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548insTAC </w:t>
            </w:r>
          </w:p>
          <w:p w14:paraId="02D30231"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711+3A→G</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7407B5B0"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1140-1151dup </w:t>
            </w:r>
          </w:p>
          <w:p w14:paraId="66D2215D"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1336K </w:t>
            </w:r>
          </w:p>
          <w:p w14:paraId="2656EA71"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1461insGAT </w:t>
            </w:r>
          </w:p>
          <w:p w14:paraId="6F6CBBFA"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1507_1515del9 </w:t>
            </w:r>
          </w:p>
          <w:p w14:paraId="3974583D"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2055del9 </w:t>
            </w:r>
          </w:p>
          <w:p w14:paraId="3F69DDB9"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2183A→G </w:t>
            </w:r>
          </w:p>
          <w:p w14:paraId="5B6BD992"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2789+5G→A</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5386AE4C" w14:textId="77777777" w:rsidR="001E198B" w:rsidRPr="001E198B" w:rsidRDefault="001E198B" w:rsidP="000B039D">
            <w:pPr>
              <w:ind w:left="1" w:right="408"/>
              <w:rPr>
                <w:color w:val="000000"/>
                <w:kern w:val="2"/>
                <w:sz w:val="22"/>
                <w:szCs w:val="24"/>
                <w:lang w:val="it-IT" w:eastAsia="en-GB"/>
              </w:rPr>
            </w:pPr>
            <w:r w:rsidRPr="001E198B">
              <w:rPr>
                <w:color w:val="000000"/>
                <w:kern w:val="2"/>
                <w:sz w:val="20"/>
                <w:szCs w:val="24"/>
                <w:lang w:val="it-IT" w:eastAsia="en-GB"/>
              </w:rPr>
              <w:t xml:space="preserve">2851A/G 3007del6 </w:t>
            </w:r>
          </w:p>
          <w:p w14:paraId="70D987E7"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3132T→G </w:t>
            </w:r>
          </w:p>
          <w:p w14:paraId="643F9124" w14:textId="77777777" w:rsidR="001E198B" w:rsidRPr="001E198B" w:rsidRDefault="001E198B" w:rsidP="000B039D">
            <w:pPr>
              <w:spacing w:after="4"/>
              <w:ind w:left="1" w:right="459"/>
              <w:rPr>
                <w:color w:val="000000"/>
                <w:kern w:val="2"/>
                <w:sz w:val="20"/>
                <w:szCs w:val="24"/>
                <w:lang w:val="it-IT" w:eastAsia="en-GB"/>
              </w:rPr>
            </w:pPr>
            <w:r w:rsidRPr="001E198B">
              <w:rPr>
                <w:color w:val="000000"/>
                <w:kern w:val="2"/>
                <w:sz w:val="20"/>
                <w:szCs w:val="24"/>
                <w:lang w:val="it-IT" w:eastAsia="en-GB"/>
              </w:rPr>
              <w:t xml:space="preserve">3141del9 </w:t>
            </w:r>
          </w:p>
          <w:p w14:paraId="75B00564" w14:textId="77777777" w:rsidR="001E198B" w:rsidRPr="001E198B" w:rsidRDefault="001E198B" w:rsidP="000B039D">
            <w:pPr>
              <w:spacing w:after="4"/>
              <w:ind w:left="1" w:right="459"/>
              <w:rPr>
                <w:color w:val="000000"/>
                <w:kern w:val="2"/>
                <w:sz w:val="22"/>
                <w:szCs w:val="24"/>
                <w:lang w:val="it-IT" w:eastAsia="en-GB"/>
              </w:rPr>
            </w:pPr>
            <w:r w:rsidRPr="001E198B">
              <w:rPr>
                <w:color w:val="000000"/>
                <w:kern w:val="2"/>
                <w:sz w:val="20"/>
                <w:szCs w:val="24"/>
                <w:lang w:val="it-IT" w:eastAsia="en-GB"/>
              </w:rPr>
              <w:t xml:space="preserve">3143del9 </w:t>
            </w:r>
          </w:p>
          <w:p w14:paraId="7CCBBC12" w14:textId="77777777" w:rsidR="001E198B" w:rsidRPr="001E198B" w:rsidRDefault="001E198B" w:rsidP="000B039D">
            <w:pPr>
              <w:spacing w:after="31"/>
              <w:ind w:left="1"/>
              <w:rPr>
                <w:color w:val="000000"/>
                <w:kern w:val="2"/>
                <w:sz w:val="22"/>
                <w:szCs w:val="24"/>
                <w:lang w:val="it-IT" w:eastAsia="en-GB"/>
              </w:rPr>
            </w:pPr>
            <w:r w:rsidRPr="001E198B">
              <w:rPr>
                <w:color w:val="000000"/>
                <w:kern w:val="2"/>
                <w:sz w:val="20"/>
                <w:szCs w:val="24"/>
                <w:lang w:val="it-IT" w:eastAsia="en-GB"/>
              </w:rPr>
              <w:t>3272-26A→G</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EFAEA5D"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3331del6 </w:t>
            </w:r>
          </w:p>
          <w:p w14:paraId="6AFDB3F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3410T→C </w:t>
            </w:r>
          </w:p>
          <w:p w14:paraId="21ED33AA" w14:textId="77777777" w:rsidR="001E198B" w:rsidRPr="001E198B" w:rsidRDefault="001E198B" w:rsidP="000B039D">
            <w:pPr>
              <w:spacing w:after="1"/>
              <w:ind w:left="1" w:right="179"/>
              <w:rPr>
                <w:color w:val="000000"/>
                <w:kern w:val="2"/>
                <w:sz w:val="22"/>
                <w:szCs w:val="24"/>
                <w:lang w:val="it-IT" w:eastAsia="en-GB"/>
              </w:rPr>
            </w:pPr>
            <w:r w:rsidRPr="001E198B">
              <w:rPr>
                <w:color w:val="000000"/>
                <w:kern w:val="2"/>
                <w:sz w:val="20"/>
                <w:szCs w:val="24"/>
                <w:lang w:val="it-IT" w:eastAsia="en-GB"/>
              </w:rPr>
              <w:t xml:space="preserve">3523A→G 3601A→C </w:t>
            </w:r>
          </w:p>
          <w:p w14:paraId="23E3D833"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3761T→G </w:t>
            </w:r>
          </w:p>
          <w:p w14:paraId="76E9F564"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3791C/T </w:t>
            </w:r>
          </w:p>
          <w:p w14:paraId="0877E781" w14:textId="77777777" w:rsidR="001E198B" w:rsidRPr="001E198B" w:rsidRDefault="001E198B" w:rsidP="000B039D">
            <w:pPr>
              <w:spacing w:after="35"/>
              <w:ind w:left="1"/>
              <w:rPr>
                <w:color w:val="000000"/>
                <w:kern w:val="2"/>
                <w:sz w:val="22"/>
                <w:szCs w:val="24"/>
                <w:lang w:val="de-DE" w:eastAsia="en-GB"/>
              </w:rPr>
            </w:pPr>
            <w:r w:rsidRPr="001E198B">
              <w:rPr>
                <w:color w:val="000000"/>
                <w:kern w:val="2"/>
                <w:sz w:val="20"/>
                <w:szCs w:val="24"/>
                <w:lang w:val="de-DE" w:eastAsia="en-GB"/>
              </w:rPr>
              <w:t>3849+10kbC→T</w:t>
            </w:r>
            <w:r w:rsidRPr="001E198B">
              <w:rPr>
                <w:color w:val="000000"/>
                <w:kern w:val="2"/>
                <w:sz w:val="20"/>
                <w:szCs w:val="24"/>
                <w:vertAlign w:val="superscript"/>
                <w:lang w:val="de-DE" w:eastAsia="en-GB"/>
              </w:rPr>
              <w:t>*†</w:t>
            </w:r>
            <w:r w:rsidRPr="001E198B">
              <w:rPr>
                <w:color w:val="000000"/>
                <w:kern w:val="2"/>
                <w:sz w:val="20"/>
                <w:szCs w:val="24"/>
                <w:lang w:val="de-DE" w:eastAsia="en-GB"/>
              </w:rPr>
              <w:t xml:space="preserve"> </w:t>
            </w:r>
          </w:p>
          <w:p w14:paraId="7AF9022C"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3850G→A </w:t>
            </w:r>
          </w:p>
          <w:p w14:paraId="3DD548AC" w14:textId="77777777" w:rsidR="001E198B" w:rsidRPr="001E198B" w:rsidRDefault="001E198B" w:rsidP="000B039D">
            <w:pPr>
              <w:spacing w:after="8"/>
              <w:ind w:left="1"/>
              <w:rPr>
                <w:color w:val="000000"/>
                <w:kern w:val="2"/>
                <w:sz w:val="22"/>
                <w:szCs w:val="24"/>
                <w:lang w:val="de-DE" w:eastAsia="en-GB"/>
              </w:rPr>
            </w:pPr>
            <w:r w:rsidRPr="001E198B">
              <w:rPr>
                <w:color w:val="000000"/>
                <w:kern w:val="2"/>
                <w:sz w:val="20"/>
                <w:szCs w:val="24"/>
                <w:lang w:val="de-DE" w:eastAsia="en-GB"/>
              </w:rPr>
              <w:t xml:space="preserve">3978G→C </w:t>
            </w:r>
          </w:p>
          <w:p w14:paraId="3A51BD8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A46D </w:t>
            </w:r>
          </w:p>
          <w:p w14:paraId="6CE0FC7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A62P </w:t>
            </w:r>
          </w:p>
          <w:p w14:paraId="0E418CCA"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A107G </w:t>
            </w:r>
          </w:p>
          <w:p w14:paraId="03C2E01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lastRenderedPageBreak/>
              <w:t xml:space="preserve">A120T </w:t>
            </w:r>
          </w:p>
          <w:p w14:paraId="661BFA3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A141D </w:t>
            </w:r>
          </w:p>
          <w:p w14:paraId="5A5A2535"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A155P </w:t>
            </w:r>
          </w:p>
          <w:p w14:paraId="4F524250"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A234D </w:t>
            </w:r>
          </w:p>
          <w:p w14:paraId="21C6CBA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A234V </w:t>
            </w:r>
          </w:p>
          <w:p w14:paraId="627FC8A4"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A238V </w:t>
            </w:r>
          </w:p>
          <w:p w14:paraId="5B4128E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A309D </w:t>
            </w:r>
          </w:p>
          <w:p w14:paraId="6DCAD9E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A349V </w:t>
            </w:r>
          </w:p>
          <w:p w14:paraId="1A16E876" w14:textId="77777777" w:rsidR="001E198B" w:rsidRPr="001E198B" w:rsidRDefault="001E198B" w:rsidP="000B039D">
            <w:pPr>
              <w:spacing w:after="2"/>
              <w:ind w:left="1"/>
              <w:rPr>
                <w:color w:val="000000"/>
                <w:kern w:val="2"/>
                <w:sz w:val="22"/>
                <w:szCs w:val="24"/>
                <w:lang w:val="it-IT" w:eastAsia="en-GB"/>
              </w:rPr>
            </w:pPr>
            <w:r w:rsidRPr="001E198B">
              <w:rPr>
                <w:color w:val="000000"/>
                <w:kern w:val="2"/>
                <w:sz w:val="20"/>
                <w:szCs w:val="24"/>
                <w:lang w:val="it-IT" w:eastAsia="en-GB"/>
              </w:rPr>
              <w:t xml:space="preserve">A357T </w:t>
            </w:r>
          </w:p>
          <w:p w14:paraId="7BE0B37B" w14:textId="77777777" w:rsidR="001E198B" w:rsidRPr="001E198B" w:rsidRDefault="001E198B" w:rsidP="000B039D">
            <w:pPr>
              <w:spacing w:after="49"/>
              <w:ind w:left="1"/>
              <w:rPr>
                <w:color w:val="000000"/>
                <w:kern w:val="2"/>
                <w:sz w:val="22"/>
                <w:szCs w:val="24"/>
                <w:lang w:val="it-IT" w:eastAsia="en-GB"/>
              </w:rPr>
            </w:pPr>
            <w:r w:rsidRPr="001E198B">
              <w:rPr>
                <w:color w:val="000000"/>
                <w:kern w:val="2"/>
                <w:sz w:val="20"/>
                <w:szCs w:val="24"/>
                <w:lang w:val="it-IT" w:eastAsia="en-GB"/>
              </w:rPr>
              <w:t>A455E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765273D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A455V </w:t>
            </w:r>
          </w:p>
          <w:p w14:paraId="5433BAA1"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A457T </w:t>
            </w:r>
          </w:p>
          <w:p w14:paraId="5F8B882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A462P </w:t>
            </w:r>
          </w:p>
          <w:p w14:paraId="06F24B6F"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A534E </w:t>
            </w:r>
          </w:p>
          <w:p w14:paraId="184494F4"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A554E </w:t>
            </w:r>
          </w:p>
          <w:p w14:paraId="1A130DE3"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A566D </w:t>
            </w:r>
          </w:p>
          <w:p w14:paraId="68088E9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A872E </w:t>
            </w:r>
          </w:p>
          <w:p w14:paraId="2B53EC03"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A1006E </w:t>
            </w:r>
          </w:p>
          <w:p w14:paraId="4D91F3C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A1025D </w:t>
            </w:r>
          </w:p>
          <w:p w14:paraId="7342C89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A1067P </w:t>
            </w:r>
          </w:p>
          <w:p w14:paraId="6416A092"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A1067T </w:t>
            </w:r>
          </w:p>
          <w:p w14:paraId="531AFF24"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A1067V </w:t>
            </w:r>
          </w:p>
          <w:p w14:paraId="4DBAFCD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A1081V </w:t>
            </w:r>
          </w:p>
          <w:p w14:paraId="1981B79E"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A1087P </w:t>
            </w:r>
          </w:p>
          <w:p w14:paraId="206DEC23"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A1319E </w:t>
            </w:r>
          </w:p>
          <w:p w14:paraId="3408B5FC" w14:textId="77777777" w:rsidR="001E198B" w:rsidRPr="001E198B" w:rsidRDefault="001E198B" w:rsidP="000B039D">
            <w:pPr>
              <w:ind w:left="1" w:right="602"/>
              <w:rPr>
                <w:color w:val="000000"/>
                <w:kern w:val="2"/>
                <w:sz w:val="22"/>
                <w:szCs w:val="24"/>
                <w:lang w:val="it-IT" w:eastAsia="en-GB"/>
              </w:rPr>
            </w:pPr>
            <w:r w:rsidRPr="001E198B">
              <w:rPr>
                <w:color w:val="000000"/>
                <w:kern w:val="2"/>
                <w:sz w:val="20"/>
                <w:szCs w:val="24"/>
                <w:lang w:val="it-IT" w:eastAsia="en-GB"/>
              </w:rPr>
              <w:t xml:space="preserve">A1374D A1466S </w:t>
            </w:r>
          </w:p>
          <w:p w14:paraId="4D3A520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C225R </w:t>
            </w:r>
          </w:p>
          <w:p w14:paraId="516982F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C491R </w:t>
            </w:r>
          </w:p>
          <w:p w14:paraId="57D27FA5" w14:textId="77777777" w:rsidR="001E198B" w:rsidRPr="001E198B" w:rsidRDefault="001E198B" w:rsidP="000B039D">
            <w:pPr>
              <w:spacing w:after="1"/>
              <w:ind w:left="1" w:right="790"/>
              <w:rPr>
                <w:color w:val="000000"/>
                <w:kern w:val="2"/>
                <w:sz w:val="22"/>
                <w:szCs w:val="24"/>
                <w:lang w:val="it-IT" w:eastAsia="en-GB"/>
              </w:rPr>
            </w:pPr>
            <w:r w:rsidRPr="001E198B">
              <w:rPr>
                <w:color w:val="000000"/>
                <w:kern w:val="2"/>
                <w:sz w:val="20"/>
                <w:szCs w:val="24"/>
                <w:lang w:val="it-IT" w:eastAsia="en-GB"/>
              </w:rPr>
              <w:t xml:space="preserve">C590Y C866Y </w:t>
            </w:r>
          </w:p>
          <w:p w14:paraId="4177BA14"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c.1367_1369dupTTG </w:t>
            </w:r>
          </w:p>
          <w:p w14:paraId="292A62A4"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D58H </w:t>
            </w:r>
          </w:p>
          <w:p w14:paraId="5A16EB1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D58V </w:t>
            </w:r>
          </w:p>
          <w:p w14:paraId="3C45D66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D110E </w:t>
            </w:r>
          </w:p>
          <w:p w14:paraId="5E400437"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D110H </w:t>
            </w:r>
          </w:p>
          <w:p w14:paraId="58EE8C0B"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D110N </w:t>
            </w:r>
          </w:p>
          <w:p w14:paraId="527F689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D192G </w:t>
            </w:r>
          </w:p>
          <w:p w14:paraId="7CDB9C6D" w14:textId="77777777" w:rsidR="001E198B" w:rsidRPr="001E198B" w:rsidRDefault="001E198B" w:rsidP="000B039D">
            <w:pPr>
              <w:spacing w:after="11"/>
              <w:ind w:left="1"/>
              <w:rPr>
                <w:color w:val="000000"/>
                <w:kern w:val="2"/>
                <w:sz w:val="22"/>
                <w:szCs w:val="24"/>
                <w:lang w:val="it-IT" w:eastAsia="en-GB"/>
              </w:rPr>
            </w:pPr>
            <w:r w:rsidRPr="001E198B">
              <w:rPr>
                <w:color w:val="000000"/>
                <w:kern w:val="2"/>
                <w:sz w:val="20"/>
                <w:szCs w:val="24"/>
                <w:lang w:val="it-IT" w:eastAsia="en-GB"/>
              </w:rPr>
              <w:t xml:space="preserve">D192N </w:t>
            </w:r>
          </w:p>
          <w:p w14:paraId="100CF750" w14:textId="77777777" w:rsidR="001E198B" w:rsidRPr="001E198B" w:rsidRDefault="001E198B" w:rsidP="000B039D">
            <w:pPr>
              <w:ind w:left="1" w:hanging="8"/>
              <w:rPr>
                <w:color w:val="000000"/>
                <w:kern w:val="2"/>
                <w:sz w:val="22"/>
                <w:szCs w:val="24"/>
                <w:lang w:val="it-IT" w:eastAsia="en-GB"/>
              </w:rPr>
            </w:pPr>
            <w:r w:rsidRPr="001E198B">
              <w:rPr>
                <w:color w:val="000000"/>
                <w:kern w:val="2"/>
                <w:sz w:val="20"/>
                <w:szCs w:val="24"/>
                <w:lang w:val="it-IT" w:eastAsia="en-GB"/>
              </w:rPr>
              <w:t xml:space="preserve">D373N </w:t>
            </w:r>
          </w:p>
          <w:p w14:paraId="5C787953" w14:textId="77777777" w:rsidR="001E198B" w:rsidRPr="001E198B" w:rsidRDefault="001E198B" w:rsidP="000B039D">
            <w:pPr>
              <w:ind w:left="1" w:right="741"/>
              <w:rPr>
                <w:color w:val="000000"/>
                <w:kern w:val="2"/>
                <w:sz w:val="22"/>
                <w:szCs w:val="24"/>
                <w:lang w:val="it-IT" w:eastAsia="en-GB"/>
              </w:rPr>
            </w:pPr>
            <w:r w:rsidRPr="001E198B">
              <w:rPr>
                <w:color w:val="000000"/>
                <w:kern w:val="2"/>
                <w:sz w:val="20"/>
                <w:szCs w:val="24"/>
                <w:lang w:val="it-IT" w:eastAsia="en-GB"/>
              </w:rPr>
              <w:t xml:space="preserve">D426N D443Y </w:t>
            </w:r>
          </w:p>
          <w:p w14:paraId="14D34703" w14:textId="77777777" w:rsidR="001E198B" w:rsidRPr="001E198B" w:rsidRDefault="001E198B" w:rsidP="000B039D">
            <w:pPr>
              <w:spacing w:after="34"/>
              <w:ind w:left="1"/>
              <w:rPr>
                <w:color w:val="000000"/>
                <w:kern w:val="2"/>
                <w:sz w:val="22"/>
                <w:szCs w:val="24"/>
                <w:lang w:val="fr-FR" w:eastAsia="en-GB"/>
              </w:rPr>
            </w:pPr>
            <w:r w:rsidRPr="001E198B">
              <w:rPr>
                <w:color w:val="000000"/>
                <w:kern w:val="2"/>
                <w:sz w:val="20"/>
                <w:szCs w:val="24"/>
                <w:lang w:val="fr-FR" w:eastAsia="en-GB"/>
              </w:rPr>
              <w:t>D443Y;G576A;R668C</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0857FA1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D529G </w:t>
            </w:r>
          </w:p>
          <w:p w14:paraId="3222CA9B"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D565G </w:t>
            </w:r>
          </w:p>
          <w:p w14:paraId="7BC36C41"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D567N </w:t>
            </w:r>
          </w:p>
          <w:p w14:paraId="131CF28D"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D579G </w:t>
            </w:r>
          </w:p>
          <w:p w14:paraId="5891C54A"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D614G </w:t>
            </w:r>
          </w:p>
          <w:p w14:paraId="6B4A9F51"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D651H </w:t>
            </w:r>
          </w:p>
          <w:p w14:paraId="28CED4CC"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D651N </w:t>
            </w:r>
          </w:p>
          <w:p w14:paraId="21C65F04"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D806G </w:t>
            </w:r>
          </w:p>
          <w:p w14:paraId="5237EC2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D924N </w:t>
            </w:r>
          </w:p>
          <w:p w14:paraId="466C5E6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D979A </w:t>
            </w:r>
          </w:p>
          <w:p w14:paraId="466D7585"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D979V </w:t>
            </w:r>
          </w:p>
          <w:p w14:paraId="704257B0"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D985H </w:t>
            </w:r>
          </w:p>
          <w:p w14:paraId="3C2AFC1D"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D985Y </w:t>
            </w:r>
          </w:p>
          <w:p w14:paraId="5816C411"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D993A </w:t>
            </w:r>
          </w:p>
          <w:p w14:paraId="7C6CB0B7"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D993G </w:t>
            </w:r>
          </w:p>
          <w:p w14:paraId="70C455F0"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D993Y </w:t>
            </w:r>
          </w:p>
          <w:p w14:paraId="3721C2F6" w14:textId="77777777" w:rsidR="001E198B" w:rsidRPr="001E198B" w:rsidRDefault="001E198B" w:rsidP="000B039D">
            <w:pPr>
              <w:spacing w:after="4"/>
              <w:ind w:left="1"/>
              <w:rPr>
                <w:color w:val="000000"/>
                <w:kern w:val="2"/>
                <w:sz w:val="22"/>
                <w:szCs w:val="24"/>
                <w:lang w:val="fr-FR" w:eastAsia="en-GB"/>
              </w:rPr>
            </w:pPr>
            <w:r w:rsidRPr="001E198B">
              <w:rPr>
                <w:color w:val="000000"/>
                <w:kern w:val="2"/>
                <w:sz w:val="20"/>
                <w:szCs w:val="24"/>
                <w:lang w:val="fr-FR" w:eastAsia="en-GB"/>
              </w:rPr>
              <w:t xml:space="preserve">D1152A </w:t>
            </w:r>
          </w:p>
          <w:p w14:paraId="25412B10" w14:textId="77777777" w:rsidR="001E198B" w:rsidRPr="001E198B" w:rsidRDefault="001E198B" w:rsidP="000B039D">
            <w:pPr>
              <w:spacing w:after="41"/>
              <w:ind w:left="1"/>
              <w:rPr>
                <w:color w:val="000000"/>
                <w:kern w:val="2"/>
                <w:sz w:val="22"/>
                <w:szCs w:val="24"/>
                <w:lang w:val="fr-FR" w:eastAsia="en-GB"/>
              </w:rPr>
            </w:pPr>
            <w:r w:rsidRPr="001E198B">
              <w:rPr>
                <w:color w:val="000000"/>
                <w:kern w:val="2"/>
                <w:sz w:val="20"/>
                <w:szCs w:val="24"/>
                <w:lang w:val="fr-FR" w:eastAsia="en-GB"/>
              </w:rPr>
              <w:t>D1152H</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01DDA88" w14:textId="77777777" w:rsidR="001E198B" w:rsidRPr="001E198B" w:rsidRDefault="001E198B" w:rsidP="000B039D">
            <w:pPr>
              <w:spacing w:after="40"/>
              <w:ind w:left="1"/>
              <w:rPr>
                <w:color w:val="000000"/>
                <w:kern w:val="2"/>
                <w:sz w:val="22"/>
                <w:szCs w:val="24"/>
                <w:lang w:val="fr-FR" w:eastAsia="en-GB"/>
              </w:rPr>
            </w:pPr>
            <w:r w:rsidRPr="001E198B">
              <w:rPr>
                <w:color w:val="000000"/>
                <w:kern w:val="2"/>
                <w:sz w:val="20"/>
                <w:szCs w:val="24"/>
                <w:lang w:val="fr-FR" w:eastAsia="en-GB"/>
              </w:rPr>
              <w:t>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24556574"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D1270Y </w:t>
            </w:r>
          </w:p>
          <w:p w14:paraId="7B21E901"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D1312G </w:t>
            </w:r>
          </w:p>
          <w:p w14:paraId="5EF4D1B5"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D1377H </w:t>
            </w:r>
          </w:p>
          <w:p w14:paraId="711E00D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D1445N </w:t>
            </w:r>
          </w:p>
          <w:p w14:paraId="271239A1"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E56K </w:t>
            </w:r>
          </w:p>
          <w:p w14:paraId="013997F4"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E60K </w:t>
            </w:r>
          </w:p>
          <w:p w14:paraId="1987238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E92K </w:t>
            </w:r>
          </w:p>
          <w:p w14:paraId="706B2BF0"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E116K </w:t>
            </w:r>
          </w:p>
          <w:p w14:paraId="5A81947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E116Q </w:t>
            </w:r>
          </w:p>
          <w:p w14:paraId="3829FF56" w14:textId="77777777" w:rsidR="001E198B" w:rsidRPr="001E198B" w:rsidRDefault="001E198B" w:rsidP="000B039D">
            <w:pPr>
              <w:spacing w:after="4"/>
              <w:ind w:left="1" w:right="459" w:hanging="8"/>
              <w:rPr>
                <w:color w:val="000000"/>
                <w:kern w:val="2"/>
                <w:sz w:val="22"/>
                <w:szCs w:val="24"/>
                <w:lang w:val="it-IT" w:eastAsia="en-GB"/>
              </w:rPr>
            </w:pPr>
            <w:r w:rsidRPr="001E198B">
              <w:rPr>
                <w:color w:val="000000"/>
                <w:kern w:val="2"/>
                <w:sz w:val="20"/>
                <w:szCs w:val="24"/>
                <w:lang w:val="it-IT" w:eastAsia="en-GB"/>
              </w:rPr>
              <w:t>E193K</w:t>
            </w:r>
          </w:p>
        </w:tc>
        <w:tc>
          <w:tcPr>
            <w:tcW w:w="1198" w:type="pct"/>
            <w:tcBorders>
              <w:top w:val="single" w:sz="4" w:space="0" w:color="000000"/>
              <w:left w:val="single" w:sz="4" w:space="0" w:color="000000"/>
              <w:bottom w:val="nil"/>
              <w:right w:val="single" w:sz="4" w:space="0" w:color="000000"/>
            </w:tcBorders>
            <w:hideMark/>
          </w:tcPr>
          <w:p w14:paraId="3E35591D" w14:textId="77777777" w:rsidR="001E198B" w:rsidRPr="001E198B" w:rsidRDefault="001E198B" w:rsidP="000B039D">
            <w:pPr>
              <w:ind w:right="763"/>
              <w:rPr>
                <w:color w:val="000000"/>
                <w:kern w:val="2"/>
                <w:sz w:val="20"/>
                <w:szCs w:val="24"/>
                <w:lang w:val="it-IT" w:eastAsia="en-GB"/>
              </w:rPr>
            </w:pPr>
            <w:r w:rsidRPr="001E198B">
              <w:rPr>
                <w:color w:val="000000"/>
                <w:kern w:val="2"/>
                <w:sz w:val="20"/>
                <w:szCs w:val="24"/>
                <w:lang w:val="it-IT" w:eastAsia="en-GB"/>
              </w:rPr>
              <w:lastRenderedPageBreak/>
              <w:t xml:space="preserve">E217G </w:t>
            </w:r>
          </w:p>
          <w:p w14:paraId="1FA88355" w14:textId="77777777" w:rsidR="001E198B" w:rsidRPr="001E198B" w:rsidRDefault="001E198B" w:rsidP="000B039D">
            <w:pPr>
              <w:ind w:right="763"/>
              <w:rPr>
                <w:color w:val="000000"/>
                <w:kern w:val="2"/>
                <w:sz w:val="22"/>
                <w:szCs w:val="24"/>
                <w:lang w:val="it-IT" w:eastAsia="en-GB"/>
              </w:rPr>
            </w:pPr>
            <w:r w:rsidRPr="001E198B">
              <w:rPr>
                <w:color w:val="000000"/>
                <w:kern w:val="2"/>
                <w:sz w:val="20"/>
                <w:szCs w:val="24"/>
                <w:lang w:val="it-IT" w:eastAsia="en-GB"/>
              </w:rPr>
              <w:t xml:space="preserve">E264V </w:t>
            </w:r>
          </w:p>
          <w:p w14:paraId="1EC30688"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E282D </w:t>
            </w:r>
          </w:p>
          <w:p w14:paraId="3ADE6127"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E292K </w:t>
            </w:r>
          </w:p>
          <w:p w14:paraId="0041F588"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E384K </w:t>
            </w:r>
          </w:p>
          <w:p w14:paraId="7D750625"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E403D </w:t>
            </w:r>
          </w:p>
          <w:p w14:paraId="0D79ABF0"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E474K </w:t>
            </w:r>
          </w:p>
          <w:p w14:paraId="0FC5C6AB"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E527G </w:t>
            </w:r>
          </w:p>
          <w:p w14:paraId="3163559B"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E588V </w:t>
            </w:r>
          </w:p>
          <w:p w14:paraId="4AD7D9B9"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E822K </w:t>
            </w:r>
          </w:p>
          <w:p w14:paraId="55C873CF"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E831X </w:t>
            </w:r>
          </w:p>
          <w:p w14:paraId="060FB1BB"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E1104K </w:t>
            </w:r>
          </w:p>
          <w:p w14:paraId="23220B22"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E1104V </w:t>
            </w:r>
          </w:p>
          <w:p w14:paraId="6C11D3AB" w14:textId="77777777" w:rsidR="001E198B" w:rsidRPr="001E198B" w:rsidRDefault="001E198B" w:rsidP="000B039D">
            <w:pPr>
              <w:ind w:right="564"/>
              <w:rPr>
                <w:color w:val="000000"/>
                <w:kern w:val="2"/>
                <w:sz w:val="20"/>
                <w:szCs w:val="24"/>
                <w:lang w:val="it-IT" w:eastAsia="en-GB"/>
              </w:rPr>
            </w:pPr>
            <w:r w:rsidRPr="001E198B">
              <w:rPr>
                <w:color w:val="000000"/>
                <w:kern w:val="2"/>
                <w:sz w:val="20"/>
                <w:szCs w:val="24"/>
                <w:lang w:val="it-IT" w:eastAsia="en-GB"/>
              </w:rPr>
              <w:t xml:space="preserve">E1126K </w:t>
            </w:r>
          </w:p>
          <w:p w14:paraId="02F2296E" w14:textId="77777777" w:rsidR="001E198B" w:rsidRPr="001E198B" w:rsidRDefault="001E198B" w:rsidP="000B039D">
            <w:pPr>
              <w:ind w:right="564"/>
              <w:rPr>
                <w:color w:val="000000"/>
                <w:kern w:val="2"/>
                <w:sz w:val="22"/>
                <w:szCs w:val="24"/>
                <w:lang w:val="it-IT" w:eastAsia="en-GB"/>
              </w:rPr>
            </w:pPr>
            <w:r w:rsidRPr="001E198B">
              <w:rPr>
                <w:color w:val="000000"/>
                <w:kern w:val="2"/>
                <w:sz w:val="20"/>
                <w:szCs w:val="24"/>
                <w:lang w:val="it-IT" w:eastAsia="en-GB"/>
              </w:rPr>
              <w:t xml:space="preserve">E1221V </w:t>
            </w:r>
          </w:p>
          <w:p w14:paraId="1F2C206D" w14:textId="77777777" w:rsidR="001E198B" w:rsidRPr="001E198B" w:rsidRDefault="001E198B" w:rsidP="000B039D">
            <w:pPr>
              <w:ind w:right="615"/>
              <w:rPr>
                <w:color w:val="000000"/>
                <w:kern w:val="2"/>
                <w:sz w:val="20"/>
                <w:szCs w:val="24"/>
                <w:lang w:val="it-IT" w:eastAsia="en-GB"/>
              </w:rPr>
            </w:pPr>
            <w:r w:rsidRPr="001E198B">
              <w:rPr>
                <w:color w:val="000000"/>
                <w:kern w:val="2"/>
                <w:sz w:val="20"/>
                <w:szCs w:val="24"/>
                <w:lang w:val="it-IT" w:eastAsia="en-GB"/>
              </w:rPr>
              <w:t xml:space="preserve">E1228K </w:t>
            </w:r>
          </w:p>
          <w:p w14:paraId="7AE4C9AB" w14:textId="77777777" w:rsidR="001E198B" w:rsidRPr="001E198B" w:rsidRDefault="001E198B" w:rsidP="000B039D">
            <w:pPr>
              <w:ind w:right="615"/>
              <w:rPr>
                <w:color w:val="000000"/>
                <w:kern w:val="2"/>
                <w:sz w:val="22"/>
                <w:szCs w:val="24"/>
                <w:lang w:val="it-IT" w:eastAsia="en-GB"/>
              </w:rPr>
            </w:pPr>
            <w:r w:rsidRPr="001E198B">
              <w:rPr>
                <w:color w:val="000000"/>
                <w:kern w:val="2"/>
                <w:sz w:val="20"/>
                <w:szCs w:val="24"/>
                <w:lang w:val="it-IT" w:eastAsia="en-GB"/>
              </w:rPr>
              <w:t xml:space="preserve">E1409K </w:t>
            </w:r>
          </w:p>
          <w:p w14:paraId="36198E52"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E1433K </w:t>
            </w:r>
          </w:p>
          <w:p w14:paraId="0D75BA88"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F87L </w:t>
            </w:r>
          </w:p>
          <w:p w14:paraId="7881A59B"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F191V </w:t>
            </w:r>
          </w:p>
          <w:p w14:paraId="20BB1FF9"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F200I </w:t>
            </w:r>
          </w:p>
          <w:p w14:paraId="45C66641" w14:textId="77777777" w:rsidR="001E198B" w:rsidRPr="001E198B" w:rsidRDefault="001E198B" w:rsidP="000B039D">
            <w:pPr>
              <w:ind w:right="758"/>
              <w:rPr>
                <w:color w:val="000000"/>
                <w:kern w:val="2"/>
                <w:sz w:val="20"/>
                <w:szCs w:val="24"/>
                <w:lang w:val="it-IT" w:eastAsia="en-GB"/>
              </w:rPr>
            </w:pPr>
            <w:r w:rsidRPr="001E198B">
              <w:rPr>
                <w:color w:val="000000"/>
                <w:kern w:val="2"/>
                <w:sz w:val="20"/>
                <w:szCs w:val="24"/>
                <w:lang w:val="it-IT" w:eastAsia="en-GB"/>
              </w:rPr>
              <w:t xml:space="preserve">F311del </w:t>
            </w:r>
          </w:p>
          <w:p w14:paraId="674D9A70" w14:textId="77777777" w:rsidR="001E198B" w:rsidRPr="001E198B" w:rsidRDefault="001E198B" w:rsidP="000B039D">
            <w:pPr>
              <w:ind w:right="758"/>
              <w:rPr>
                <w:color w:val="000000"/>
                <w:kern w:val="2"/>
                <w:sz w:val="22"/>
                <w:szCs w:val="24"/>
                <w:lang w:val="it-IT" w:eastAsia="en-GB"/>
              </w:rPr>
            </w:pPr>
            <w:r w:rsidRPr="001E198B">
              <w:rPr>
                <w:color w:val="000000"/>
                <w:kern w:val="2"/>
                <w:sz w:val="20"/>
                <w:szCs w:val="24"/>
                <w:lang w:val="it-IT" w:eastAsia="en-GB"/>
              </w:rPr>
              <w:t xml:space="preserve">F311L </w:t>
            </w:r>
          </w:p>
          <w:p w14:paraId="272A97D3"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F312del </w:t>
            </w:r>
          </w:p>
          <w:p w14:paraId="280F4B07" w14:textId="77777777" w:rsidR="001E198B" w:rsidRPr="001E198B" w:rsidRDefault="001E198B" w:rsidP="000B039D">
            <w:pPr>
              <w:spacing w:after="6"/>
              <w:rPr>
                <w:color w:val="000000"/>
                <w:kern w:val="2"/>
                <w:sz w:val="22"/>
                <w:szCs w:val="24"/>
                <w:lang w:val="it-IT" w:eastAsia="en-GB"/>
              </w:rPr>
            </w:pPr>
            <w:r w:rsidRPr="001E198B">
              <w:rPr>
                <w:color w:val="000000"/>
                <w:kern w:val="2"/>
                <w:sz w:val="20"/>
                <w:szCs w:val="24"/>
                <w:lang w:val="it-IT" w:eastAsia="en-GB"/>
              </w:rPr>
              <w:t xml:space="preserve">F433L </w:t>
            </w:r>
          </w:p>
          <w:p w14:paraId="6DBE090E" w14:textId="77777777" w:rsidR="001E198B" w:rsidRPr="001E198B" w:rsidRDefault="001E198B" w:rsidP="000B039D">
            <w:pPr>
              <w:spacing w:after="33"/>
              <w:rPr>
                <w:color w:val="000000"/>
                <w:kern w:val="2"/>
                <w:sz w:val="22"/>
                <w:szCs w:val="24"/>
                <w:lang w:val="it-IT" w:eastAsia="en-GB"/>
              </w:rPr>
            </w:pPr>
            <w:r w:rsidRPr="001E198B">
              <w:rPr>
                <w:color w:val="000000"/>
                <w:kern w:val="2"/>
                <w:sz w:val="20"/>
                <w:szCs w:val="24"/>
                <w:lang w:val="it-IT" w:eastAsia="en-GB"/>
              </w:rPr>
              <w:t>F508C;S1251 N</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E6E6329" w14:textId="77777777" w:rsidR="001E198B" w:rsidRPr="001E198B" w:rsidRDefault="001E198B" w:rsidP="000B039D">
            <w:pPr>
              <w:spacing w:after="35"/>
              <w:rPr>
                <w:color w:val="000000"/>
                <w:kern w:val="2"/>
                <w:sz w:val="22"/>
                <w:szCs w:val="24"/>
                <w:lang w:val="it-IT" w:eastAsia="en-GB"/>
              </w:rPr>
            </w:pPr>
            <w:r w:rsidRPr="001E198B">
              <w:rPr>
                <w:color w:val="000000"/>
                <w:kern w:val="2"/>
                <w:sz w:val="20"/>
                <w:szCs w:val="24"/>
                <w:lang w:val="it-IT" w:eastAsia="en-GB"/>
              </w:rPr>
              <w:t>F508del</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5BDEE626" w14:textId="77777777" w:rsidR="001E198B" w:rsidRPr="001E198B" w:rsidRDefault="001E198B" w:rsidP="000B039D">
            <w:pPr>
              <w:spacing w:after="36"/>
              <w:rPr>
                <w:color w:val="000000"/>
                <w:kern w:val="2"/>
                <w:sz w:val="22"/>
                <w:szCs w:val="24"/>
                <w:lang w:val="it-IT" w:eastAsia="en-GB"/>
              </w:rPr>
            </w:pPr>
            <w:r w:rsidRPr="001E198B">
              <w:rPr>
                <w:color w:val="000000"/>
                <w:kern w:val="2"/>
                <w:sz w:val="20"/>
                <w:szCs w:val="24"/>
                <w:lang w:val="it-IT" w:eastAsia="en-GB"/>
              </w:rPr>
              <w:t>F508del;R1438W</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113019DF"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F575Y </w:t>
            </w:r>
          </w:p>
          <w:p w14:paraId="7D5D4039"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F587I </w:t>
            </w:r>
          </w:p>
          <w:p w14:paraId="7D75BE18"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lastRenderedPageBreak/>
              <w:t xml:space="preserve">F587L </w:t>
            </w:r>
          </w:p>
          <w:p w14:paraId="290A946F"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F693L(TTG) </w:t>
            </w:r>
          </w:p>
          <w:p w14:paraId="15ED2797"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F932S </w:t>
            </w:r>
          </w:p>
          <w:p w14:paraId="46148759"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F1016S </w:t>
            </w:r>
          </w:p>
          <w:p w14:paraId="1C9943B7"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F1052V </w:t>
            </w:r>
          </w:p>
          <w:p w14:paraId="3EC789EA"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F1074L </w:t>
            </w:r>
          </w:p>
          <w:p w14:paraId="0802A5F6"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F1078S </w:t>
            </w:r>
          </w:p>
          <w:p w14:paraId="68A57A93"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F1099L </w:t>
            </w:r>
          </w:p>
          <w:p w14:paraId="2F5C39B0"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F1107L </w:t>
            </w:r>
          </w:p>
          <w:p w14:paraId="001DD814"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G27E </w:t>
            </w:r>
          </w:p>
          <w:p w14:paraId="13F72127"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G27R </w:t>
            </w:r>
          </w:p>
          <w:p w14:paraId="0ABF9D41"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G126D </w:t>
            </w:r>
          </w:p>
          <w:p w14:paraId="74007E6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G178E </w:t>
            </w:r>
          </w:p>
          <w:p w14:paraId="51FE968F"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G178R </w:t>
            </w:r>
          </w:p>
          <w:p w14:paraId="2EE2C723"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G194R </w:t>
            </w:r>
          </w:p>
          <w:p w14:paraId="4CFE65B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G194V </w:t>
            </w:r>
          </w:p>
          <w:p w14:paraId="56916C82" w14:textId="77777777" w:rsidR="001E198B" w:rsidRPr="001E198B" w:rsidRDefault="001E198B" w:rsidP="000B039D">
            <w:pPr>
              <w:spacing w:after="5"/>
              <w:rPr>
                <w:color w:val="000000"/>
                <w:kern w:val="2"/>
                <w:sz w:val="22"/>
                <w:szCs w:val="24"/>
                <w:lang w:val="it-IT" w:eastAsia="en-GB"/>
              </w:rPr>
            </w:pPr>
            <w:r w:rsidRPr="001E198B">
              <w:rPr>
                <w:color w:val="000000"/>
                <w:kern w:val="2"/>
                <w:sz w:val="20"/>
                <w:szCs w:val="24"/>
                <w:lang w:val="it-IT" w:eastAsia="en-GB"/>
              </w:rPr>
              <w:t xml:space="preserve">G213E </w:t>
            </w:r>
          </w:p>
          <w:p w14:paraId="23FC8C33" w14:textId="77777777" w:rsidR="001E198B" w:rsidRPr="001E198B" w:rsidRDefault="001E198B" w:rsidP="000B039D">
            <w:pPr>
              <w:spacing w:after="38"/>
              <w:rPr>
                <w:color w:val="000000"/>
                <w:kern w:val="2"/>
                <w:sz w:val="22"/>
                <w:szCs w:val="24"/>
                <w:lang w:val="it-IT" w:eastAsia="en-GB"/>
              </w:rPr>
            </w:pPr>
            <w:r w:rsidRPr="001E198B">
              <w:rPr>
                <w:color w:val="000000"/>
                <w:kern w:val="2"/>
                <w:sz w:val="20"/>
                <w:szCs w:val="24"/>
                <w:lang w:val="it-IT" w:eastAsia="en-GB"/>
              </w:rPr>
              <w:t>G213E;R668C</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A9B3341"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G213V </w:t>
            </w:r>
          </w:p>
          <w:p w14:paraId="1F0A1D55"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G226R </w:t>
            </w:r>
          </w:p>
          <w:p w14:paraId="6213FBC0"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G239R </w:t>
            </w:r>
          </w:p>
          <w:p w14:paraId="33ADE598"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G253R </w:t>
            </w:r>
          </w:p>
          <w:p w14:paraId="314DC0D3"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G314E </w:t>
            </w:r>
          </w:p>
          <w:p w14:paraId="0EEB38DF"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G314R </w:t>
            </w:r>
          </w:p>
          <w:p w14:paraId="70F16ACC"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G424S </w:t>
            </w:r>
          </w:p>
          <w:p w14:paraId="789AFF41"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G437D </w:t>
            </w:r>
          </w:p>
          <w:p w14:paraId="6D3F5739"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G461R </w:t>
            </w:r>
          </w:p>
          <w:p w14:paraId="3202143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G461V </w:t>
            </w:r>
          </w:p>
          <w:p w14:paraId="14CECBE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G463V </w:t>
            </w:r>
          </w:p>
          <w:p w14:paraId="5C71977D"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G480C </w:t>
            </w:r>
          </w:p>
          <w:p w14:paraId="0CCD7B31"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G480D </w:t>
            </w:r>
          </w:p>
          <w:p w14:paraId="41FBC60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G480S </w:t>
            </w:r>
          </w:p>
          <w:p w14:paraId="72E95328"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G500D </w:t>
            </w:r>
          </w:p>
          <w:p w14:paraId="7C282A73"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G545R </w:t>
            </w:r>
          </w:p>
          <w:p w14:paraId="2BF186F9" w14:textId="77777777" w:rsidR="001E198B" w:rsidRPr="001E198B" w:rsidRDefault="001E198B" w:rsidP="000B039D">
            <w:pPr>
              <w:spacing w:after="5"/>
              <w:rPr>
                <w:color w:val="000000"/>
                <w:kern w:val="2"/>
                <w:sz w:val="22"/>
                <w:szCs w:val="24"/>
                <w:lang w:val="it-IT" w:eastAsia="en-GB"/>
              </w:rPr>
            </w:pPr>
            <w:r w:rsidRPr="001E198B">
              <w:rPr>
                <w:color w:val="000000"/>
                <w:kern w:val="2"/>
                <w:sz w:val="20"/>
                <w:szCs w:val="24"/>
                <w:lang w:val="it-IT" w:eastAsia="en-GB"/>
              </w:rPr>
              <w:t xml:space="preserve">G551A </w:t>
            </w:r>
          </w:p>
          <w:p w14:paraId="6BD3C869" w14:textId="77777777" w:rsidR="001E198B" w:rsidRPr="001E198B" w:rsidRDefault="001E198B" w:rsidP="000B039D">
            <w:pPr>
              <w:spacing w:after="41"/>
              <w:rPr>
                <w:color w:val="000000"/>
                <w:kern w:val="2"/>
                <w:sz w:val="22"/>
                <w:szCs w:val="24"/>
                <w:lang w:val="en-GB" w:eastAsia="en-GB"/>
              </w:rPr>
            </w:pPr>
            <w:r w:rsidRPr="001E198B">
              <w:rPr>
                <w:color w:val="000000"/>
                <w:kern w:val="2"/>
                <w:sz w:val="20"/>
                <w:szCs w:val="24"/>
                <w:lang w:val="en-GB" w:eastAsia="en-GB"/>
              </w:rPr>
              <w:t>G551D</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36BC48B3"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G551R </w:t>
            </w:r>
          </w:p>
          <w:p w14:paraId="703DCBDF" w14:textId="77777777" w:rsidR="001E198B" w:rsidRPr="001E198B" w:rsidRDefault="001E198B" w:rsidP="000B039D">
            <w:pPr>
              <w:spacing w:after="6"/>
              <w:rPr>
                <w:color w:val="000000"/>
                <w:kern w:val="2"/>
                <w:sz w:val="22"/>
                <w:szCs w:val="24"/>
                <w:lang w:val="en-GB" w:eastAsia="en-GB"/>
              </w:rPr>
            </w:pPr>
            <w:r w:rsidRPr="001E198B">
              <w:rPr>
                <w:color w:val="000000"/>
                <w:kern w:val="2"/>
                <w:sz w:val="20"/>
                <w:szCs w:val="24"/>
                <w:lang w:val="en-GB" w:eastAsia="en-GB"/>
              </w:rPr>
              <w:t xml:space="preserve">G551S </w:t>
            </w:r>
          </w:p>
          <w:p w14:paraId="0DC329D8" w14:textId="77777777" w:rsidR="001E198B" w:rsidRPr="001E198B" w:rsidRDefault="001E198B" w:rsidP="000B039D">
            <w:pPr>
              <w:spacing w:after="32"/>
              <w:rPr>
                <w:color w:val="000000"/>
                <w:kern w:val="2"/>
                <w:sz w:val="22"/>
                <w:szCs w:val="24"/>
                <w:lang w:val="en-GB" w:eastAsia="en-GB"/>
              </w:rPr>
            </w:pPr>
            <w:r w:rsidRPr="001E198B">
              <w:rPr>
                <w:color w:val="000000"/>
                <w:kern w:val="2"/>
                <w:sz w:val="20"/>
                <w:szCs w:val="24"/>
                <w:lang w:val="en-GB" w:eastAsia="en-GB"/>
              </w:rPr>
              <w:t>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328F274" w14:textId="77777777" w:rsidR="001E198B" w:rsidRPr="001E198B" w:rsidRDefault="001E198B" w:rsidP="000B039D">
            <w:pPr>
              <w:ind w:right="763" w:hanging="8"/>
              <w:rPr>
                <w:color w:val="000000"/>
                <w:kern w:val="2"/>
                <w:sz w:val="22"/>
                <w:szCs w:val="24"/>
                <w:lang w:val="en-GB" w:eastAsia="en-GB"/>
              </w:rPr>
            </w:pPr>
            <w:r w:rsidRPr="001E198B">
              <w:rPr>
                <w:color w:val="000000"/>
                <w:kern w:val="2"/>
                <w:sz w:val="20"/>
                <w:szCs w:val="24"/>
                <w:lang w:val="en-GB" w:eastAsia="en-GB"/>
              </w:rPr>
              <w:t>G576A;S1359Y</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4E9FB59" w14:textId="77777777" w:rsidR="001E198B" w:rsidRPr="001E198B" w:rsidRDefault="001E198B" w:rsidP="000B039D">
            <w:pPr>
              <w:ind w:right="741"/>
              <w:rPr>
                <w:color w:val="000000"/>
                <w:kern w:val="2"/>
                <w:sz w:val="22"/>
                <w:szCs w:val="24"/>
                <w:lang w:val="en-GB" w:eastAsia="en-GB"/>
              </w:rPr>
            </w:pPr>
            <w:r w:rsidRPr="001E198B">
              <w:rPr>
                <w:color w:val="000000"/>
                <w:kern w:val="2"/>
                <w:sz w:val="20"/>
                <w:szCs w:val="24"/>
                <w:lang w:val="en-GB" w:eastAsia="en-GB"/>
              </w:rPr>
              <w:t xml:space="preserve">G622D G622V </w:t>
            </w:r>
          </w:p>
          <w:p w14:paraId="3F5C4971"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G628A </w:t>
            </w:r>
          </w:p>
          <w:p w14:paraId="527A5229" w14:textId="77777777" w:rsidR="001E198B" w:rsidRPr="001E198B" w:rsidRDefault="001E198B" w:rsidP="000B039D">
            <w:pPr>
              <w:spacing w:after="3"/>
              <w:rPr>
                <w:color w:val="000000"/>
                <w:kern w:val="2"/>
                <w:sz w:val="22"/>
                <w:szCs w:val="24"/>
                <w:lang w:val="en-GB" w:eastAsia="en-GB"/>
              </w:rPr>
            </w:pPr>
            <w:r w:rsidRPr="001E198B">
              <w:rPr>
                <w:color w:val="000000"/>
                <w:kern w:val="2"/>
                <w:sz w:val="20"/>
                <w:szCs w:val="24"/>
                <w:lang w:val="en-GB" w:eastAsia="en-GB"/>
              </w:rPr>
              <w:t xml:space="preserve">G628R </w:t>
            </w:r>
          </w:p>
          <w:p w14:paraId="39AECE21" w14:textId="77777777" w:rsidR="001E198B" w:rsidRPr="001E198B" w:rsidRDefault="001E198B" w:rsidP="000B039D">
            <w:pPr>
              <w:ind w:right="756"/>
              <w:rPr>
                <w:color w:val="000000"/>
                <w:kern w:val="2"/>
                <w:sz w:val="22"/>
                <w:szCs w:val="24"/>
                <w:lang w:val="it-IT" w:eastAsia="en-GB"/>
              </w:rPr>
            </w:pPr>
            <w:r w:rsidRPr="001E198B">
              <w:rPr>
                <w:color w:val="000000"/>
                <w:kern w:val="2"/>
                <w:sz w:val="20"/>
                <w:szCs w:val="24"/>
                <w:lang w:val="it-IT" w:eastAsia="en-GB"/>
              </w:rPr>
              <w:t>G85E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G930E </w:t>
            </w:r>
          </w:p>
          <w:p w14:paraId="02269CA9"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G970D </w:t>
            </w:r>
          </w:p>
          <w:p w14:paraId="1E54BC9D"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G970S </w:t>
            </w:r>
          </w:p>
          <w:p w14:paraId="33D495E0"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G970V </w:t>
            </w:r>
          </w:p>
          <w:p w14:paraId="7D867DC0"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G1047D </w:t>
            </w:r>
          </w:p>
          <w:p w14:paraId="2B93249D"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G1047R </w:t>
            </w:r>
          </w:p>
          <w:p w14:paraId="46F06A3C"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G1061R </w:t>
            </w:r>
          </w:p>
          <w:p w14:paraId="1028596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G1069R </w:t>
            </w:r>
          </w:p>
          <w:p w14:paraId="76FAF446"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G1123R </w:t>
            </w:r>
          </w:p>
          <w:p w14:paraId="147A072F"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G1173S </w:t>
            </w:r>
          </w:p>
          <w:p w14:paraId="28726354"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G1237V </w:t>
            </w:r>
          </w:p>
          <w:p w14:paraId="47594B68"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G1244E </w:t>
            </w:r>
          </w:p>
          <w:p w14:paraId="47AEAFF8"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G1244R </w:t>
            </w:r>
          </w:p>
          <w:p w14:paraId="13A1991C"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G1247R </w:t>
            </w:r>
          </w:p>
          <w:p w14:paraId="397B7CBF"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G1249E </w:t>
            </w:r>
          </w:p>
          <w:p w14:paraId="516D805B"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lastRenderedPageBreak/>
              <w:t xml:space="preserve">G1249R </w:t>
            </w:r>
          </w:p>
          <w:p w14:paraId="70E1FC25"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G1265V </w:t>
            </w:r>
          </w:p>
          <w:p w14:paraId="28931686"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G1298V </w:t>
            </w:r>
          </w:p>
          <w:p w14:paraId="2DD3C88E" w14:textId="77777777" w:rsidR="001E198B" w:rsidRPr="001E198B" w:rsidRDefault="001E198B" w:rsidP="000B039D">
            <w:pPr>
              <w:spacing w:after="5"/>
              <w:rPr>
                <w:color w:val="000000"/>
                <w:kern w:val="2"/>
                <w:sz w:val="22"/>
                <w:szCs w:val="24"/>
                <w:lang w:val="en-GB" w:eastAsia="en-GB"/>
              </w:rPr>
            </w:pPr>
            <w:r w:rsidRPr="001E198B">
              <w:rPr>
                <w:color w:val="000000"/>
                <w:kern w:val="2"/>
                <w:sz w:val="20"/>
                <w:szCs w:val="24"/>
                <w:lang w:val="en-GB" w:eastAsia="en-GB"/>
              </w:rPr>
              <w:t xml:space="preserve">G1349D </w:t>
            </w:r>
          </w:p>
          <w:p w14:paraId="30C1BA11" w14:textId="77777777" w:rsidR="001E198B" w:rsidRPr="001E198B" w:rsidRDefault="001E198B" w:rsidP="000B039D">
            <w:pPr>
              <w:spacing w:after="38"/>
              <w:rPr>
                <w:color w:val="000000"/>
                <w:kern w:val="2"/>
                <w:sz w:val="22"/>
                <w:szCs w:val="24"/>
                <w:lang w:val="en-GB" w:eastAsia="en-GB"/>
              </w:rPr>
            </w:pPr>
            <w:r w:rsidRPr="001E198B">
              <w:rPr>
                <w:color w:val="000000"/>
                <w:kern w:val="2"/>
                <w:sz w:val="20"/>
                <w:szCs w:val="24"/>
                <w:lang w:val="en-GB" w:eastAsia="en-GB"/>
              </w:rPr>
              <w:t>G149R;G576A;R668C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30BE6C9"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H139L </w:t>
            </w:r>
          </w:p>
          <w:p w14:paraId="4AA160DF"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H139R </w:t>
            </w:r>
          </w:p>
          <w:p w14:paraId="2C0E192A"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H146R </w:t>
            </w:r>
          </w:p>
          <w:p w14:paraId="33E8250B"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H199Q </w:t>
            </w:r>
          </w:p>
          <w:p w14:paraId="6BE1E718"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H199Y </w:t>
            </w:r>
          </w:p>
          <w:p w14:paraId="546B643A"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H609L </w:t>
            </w:r>
          </w:p>
          <w:p w14:paraId="36F0DD1D" w14:textId="77777777" w:rsidR="001E198B" w:rsidRPr="001E198B" w:rsidRDefault="001E198B" w:rsidP="000B039D">
            <w:pPr>
              <w:ind w:right="615" w:hanging="8"/>
              <w:rPr>
                <w:color w:val="000000"/>
                <w:kern w:val="2"/>
                <w:sz w:val="22"/>
                <w:szCs w:val="24"/>
                <w:lang w:val="en-GB" w:eastAsia="en-GB"/>
              </w:rPr>
            </w:pPr>
            <w:r w:rsidRPr="001E198B">
              <w:rPr>
                <w:color w:val="000000"/>
                <w:kern w:val="2"/>
                <w:sz w:val="20"/>
                <w:szCs w:val="24"/>
                <w:lang w:val="en-GB" w:eastAsia="en-GB"/>
              </w:rPr>
              <w:t>H620P</w:t>
            </w:r>
          </w:p>
        </w:tc>
        <w:tc>
          <w:tcPr>
            <w:tcW w:w="781" w:type="pct"/>
            <w:tcBorders>
              <w:top w:val="single" w:sz="4" w:space="0" w:color="000000"/>
              <w:left w:val="single" w:sz="4" w:space="0" w:color="000000"/>
              <w:bottom w:val="nil"/>
              <w:right w:val="single" w:sz="4" w:space="0" w:color="000000"/>
            </w:tcBorders>
            <w:hideMark/>
          </w:tcPr>
          <w:p w14:paraId="515F656B"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lastRenderedPageBreak/>
              <w:t xml:space="preserve">H620Q </w:t>
            </w:r>
          </w:p>
          <w:p w14:paraId="53C2A97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H939R </w:t>
            </w:r>
          </w:p>
          <w:p w14:paraId="6DEB1948"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H939R;H949L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F35D91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H954P </w:t>
            </w:r>
          </w:p>
          <w:p w14:paraId="7FD52907"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H1054D </w:t>
            </w:r>
          </w:p>
          <w:p w14:paraId="2F93F93D"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H1079P </w:t>
            </w:r>
          </w:p>
          <w:p w14:paraId="5ACD7133"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H1085P </w:t>
            </w:r>
          </w:p>
          <w:p w14:paraId="167C9BC7"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H1085R </w:t>
            </w:r>
          </w:p>
          <w:p w14:paraId="4570EA7F"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H1375N </w:t>
            </w:r>
          </w:p>
          <w:p w14:paraId="17E0F5BD"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H1375P </w:t>
            </w:r>
          </w:p>
          <w:p w14:paraId="2C4000D8"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I86M </w:t>
            </w:r>
          </w:p>
          <w:p w14:paraId="2E6D2640"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I105N </w:t>
            </w:r>
          </w:p>
          <w:p w14:paraId="2C613F8A"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I125T </w:t>
            </w:r>
          </w:p>
          <w:p w14:paraId="29CF6641"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I148L </w:t>
            </w:r>
          </w:p>
          <w:p w14:paraId="14928C48"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I148N </w:t>
            </w:r>
          </w:p>
          <w:p w14:paraId="551C5044" w14:textId="77777777" w:rsidR="001E198B" w:rsidRPr="001E198B" w:rsidRDefault="001E198B" w:rsidP="000B039D">
            <w:pPr>
              <w:ind w:left="1" w:right="406"/>
              <w:rPr>
                <w:color w:val="000000"/>
                <w:kern w:val="2"/>
                <w:sz w:val="22"/>
                <w:szCs w:val="24"/>
                <w:lang w:val="sv-SE" w:eastAsia="en-GB"/>
              </w:rPr>
            </w:pPr>
            <w:r w:rsidRPr="001E198B">
              <w:rPr>
                <w:color w:val="000000"/>
                <w:kern w:val="2"/>
                <w:sz w:val="20"/>
                <w:szCs w:val="24"/>
                <w:lang w:val="sv-SE" w:eastAsia="en-GB"/>
              </w:rPr>
              <w:t xml:space="preserve">I175V I331N </w:t>
            </w:r>
          </w:p>
          <w:p w14:paraId="3A401DB1"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I336L </w:t>
            </w:r>
          </w:p>
          <w:p w14:paraId="48BFD2BC"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I444S </w:t>
            </w:r>
          </w:p>
          <w:p w14:paraId="0204626C"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I497S </w:t>
            </w:r>
          </w:p>
          <w:p w14:paraId="7D4080D4"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I502T </w:t>
            </w:r>
          </w:p>
          <w:p w14:paraId="2E9B3CAE"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I506L </w:t>
            </w:r>
          </w:p>
          <w:p w14:paraId="1473ACC4" w14:textId="77777777" w:rsidR="001E198B" w:rsidRPr="001E198B" w:rsidRDefault="001E198B" w:rsidP="000B039D">
            <w:pPr>
              <w:spacing w:after="6"/>
              <w:ind w:left="1"/>
              <w:rPr>
                <w:color w:val="000000"/>
                <w:kern w:val="2"/>
                <w:sz w:val="22"/>
                <w:szCs w:val="24"/>
                <w:lang w:val="sv-SE" w:eastAsia="en-GB"/>
              </w:rPr>
            </w:pPr>
            <w:r w:rsidRPr="001E198B">
              <w:rPr>
                <w:color w:val="000000"/>
                <w:kern w:val="2"/>
                <w:sz w:val="20"/>
                <w:szCs w:val="24"/>
                <w:lang w:val="sv-SE" w:eastAsia="en-GB"/>
              </w:rPr>
              <w:t xml:space="preserve">I506V </w:t>
            </w:r>
          </w:p>
          <w:p w14:paraId="34B78E9B" w14:textId="77777777" w:rsidR="001E198B" w:rsidRPr="001E198B" w:rsidRDefault="001E198B" w:rsidP="000B039D">
            <w:pPr>
              <w:spacing w:after="36"/>
              <w:ind w:left="1"/>
              <w:rPr>
                <w:color w:val="000000"/>
                <w:kern w:val="2"/>
                <w:sz w:val="22"/>
                <w:szCs w:val="24"/>
                <w:lang w:val="sv-SE" w:eastAsia="en-GB"/>
              </w:rPr>
            </w:pPr>
            <w:r w:rsidRPr="001E198B">
              <w:rPr>
                <w:color w:val="000000"/>
                <w:kern w:val="2"/>
                <w:sz w:val="20"/>
                <w:szCs w:val="24"/>
                <w:lang w:val="sv-SE" w:eastAsia="en-GB"/>
              </w:rPr>
              <w:t>I506V;D1168G</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00E69B04"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I521S </w:t>
            </w:r>
          </w:p>
          <w:p w14:paraId="29D59F9A"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I530N </w:t>
            </w:r>
          </w:p>
          <w:p w14:paraId="0358A4CD"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I556V </w:t>
            </w:r>
          </w:p>
          <w:p w14:paraId="7AB700E2"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I586V </w:t>
            </w:r>
          </w:p>
          <w:p w14:paraId="59A9CD55"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I601F </w:t>
            </w:r>
          </w:p>
          <w:p w14:paraId="62371569"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I618N </w:t>
            </w:r>
          </w:p>
          <w:p w14:paraId="763D4DAF"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lastRenderedPageBreak/>
              <w:t xml:space="preserve">I618T </w:t>
            </w:r>
          </w:p>
          <w:p w14:paraId="28DA2C09"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I980K </w:t>
            </w:r>
          </w:p>
          <w:p w14:paraId="54D819AE"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I1023R </w:t>
            </w:r>
          </w:p>
          <w:p w14:paraId="015DFBD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I1139V </w:t>
            </w:r>
          </w:p>
          <w:p w14:paraId="0D92E92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I1203V </w:t>
            </w:r>
          </w:p>
          <w:p w14:paraId="58066D28"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I1234L </w:t>
            </w:r>
          </w:p>
          <w:p w14:paraId="0996788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I1234V </w:t>
            </w:r>
          </w:p>
          <w:p w14:paraId="6C9A9ED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I1269N </w:t>
            </w:r>
          </w:p>
          <w:p w14:paraId="02CDA3F6"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I1366N </w:t>
            </w:r>
          </w:p>
          <w:p w14:paraId="2617CAD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I1366T </w:t>
            </w:r>
          </w:p>
          <w:p w14:paraId="79CD75F7"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K162E </w:t>
            </w:r>
          </w:p>
          <w:p w14:paraId="5A339019"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K464E </w:t>
            </w:r>
          </w:p>
          <w:p w14:paraId="072BE33B"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K464N </w:t>
            </w:r>
          </w:p>
          <w:p w14:paraId="39B9013C"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K522E </w:t>
            </w:r>
          </w:p>
          <w:p w14:paraId="09713A7C" w14:textId="77777777" w:rsidR="001E198B" w:rsidRPr="001E198B" w:rsidRDefault="001E198B" w:rsidP="000B039D">
            <w:pPr>
              <w:spacing w:after="8"/>
              <w:ind w:left="1"/>
              <w:rPr>
                <w:color w:val="000000"/>
                <w:kern w:val="2"/>
                <w:sz w:val="22"/>
                <w:szCs w:val="24"/>
                <w:lang w:val="de-DE" w:eastAsia="en-GB"/>
              </w:rPr>
            </w:pPr>
            <w:r w:rsidRPr="001E198B">
              <w:rPr>
                <w:color w:val="000000"/>
                <w:kern w:val="2"/>
                <w:sz w:val="20"/>
                <w:szCs w:val="24"/>
                <w:lang w:val="de-DE" w:eastAsia="en-GB"/>
              </w:rPr>
              <w:t xml:space="preserve">K522Q </w:t>
            </w:r>
          </w:p>
          <w:p w14:paraId="57DD58CC"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K951E </w:t>
            </w:r>
          </w:p>
          <w:p w14:paraId="61A47B53"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K1060T </w:t>
            </w:r>
          </w:p>
          <w:p w14:paraId="7E1C0A99" w14:textId="77777777" w:rsidR="001E198B" w:rsidRPr="001E198B" w:rsidRDefault="001E198B" w:rsidP="000B039D">
            <w:pPr>
              <w:spacing w:after="4"/>
              <w:ind w:left="1"/>
              <w:rPr>
                <w:color w:val="000000"/>
                <w:kern w:val="2"/>
                <w:sz w:val="22"/>
                <w:szCs w:val="24"/>
                <w:lang w:val="de-DE" w:eastAsia="en-GB"/>
              </w:rPr>
            </w:pPr>
            <w:r w:rsidRPr="001E198B">
              <w:rPr>
                <w:color w:val="000000"/>
                <w:kern w:val="2"/>
                <w:sz w:val="20"/>
                <w:szCs w:val="24"/>
                <w:lang w:val="de-DE" w:eastAsia="en-GB"/>
              </w:rPr>
              <w:t xml:space="preserve">L15P </w:t>
            </w:r>
          </w:p>
          <w:p w14:paraId="14CF7B8F" w14:textId="77777777" w:rsidR="001E198B" w:rsidRPr="001E198B" w:rsidRDefault="001E198B" w:rsidP="000B039D">
            <w:pPr>
              <w:spacing w:after="40"/>
              <w:ind w:left="1"/>
              <w:rPr>
                <w:color w:val="000000"/>
                <w:kern w:val="2"/>
                <w:sz w:val="22"/>
                <w:szCs w:val="24"/>
                <w:lang w:val="en-GB" w:eastAsia="en-GB"/>
              </w:rPr>
            </w:pPr>
            <w:r w:rsidRPr="001E198B">
              <w:rPr>
                <w:color w:val="000000"/>
                <w:kern w:val="2"/>
                <w:sz w:val="20"/>
                <w:szCs w:val="24"/>
                <w:lang w:val="en-GB" w:eastAsia="en-GB"/>
              </w:rPr>
              <w:t>L15P;L1253F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6C3C6A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L32P </w:t>
            </w:r>
          </w:p>
          <w:p w14:paraId="4FAA0815" w14:textId="77777777" w:rsidR="001E198B" w:rsidRPr="001E198B" w:rsidRDefault="001E198B" w:rsidP="000B039D">
            <w:pPr>
              <w:spacing w:after="5"/>
              <w:ind w:left="1"/>
              <w:rPr>
                <w:color w:val="000000"/>
                <w:kern w:val="2"/>
                <w:sz w:val="22"/>
                <w:szCs w:val="24"/>
                <w:lang w:val="en-GB" w:eastAsia="en-GB"/>
              </w:rPr>
            </w:pPr>
            <w:r w:rsidRPr="001E198B">
              <w:rPr>
                <w:color w:val="000000"/>
                <w:kern w:val="2"/>
                <w:sz w:val="20"/>
                <w:szCs w:val="24"/>
                <w:lang w:val="en-GB" w:eastAsia="en-GB"/>
              </w:rPr>
              <w:t xml:space="preserve">L88S </w:t>
            </w:r>
          </w:p>
          <w:p w14:paraId="4904E5AB" w14:textId="77777777" w:rsidR="001E198B" w:rsidRPr="001E198B" w:rsidRDefault="001E198B" w:rsidP="000B039D">
            <w:pPr>
              <w:spacing w:after="37"/>
              <w:ind w:left="1"/>
              <w:rPr>
                <w:color w:val="000000"/>
                <w:kern w:val="2"/>
                <w:sz w:val="22"/>
                <w:szCs w:val="24"/>
                <w:lang w:val="en-GB" w:eastAsia="en-GB"/>
              </w:rPr>
            </w:pPr>
            <w:r w:rsidRPr="001E198B">
              <w:rPr>
                <w:color w:val="000000"/>
                <w:kern w:val="2"/>
                <w:sz w:val="20"/>
                <w:szCs w:val="24"/>
                <w:lang w:val="en-GB" w:eastAsia="en-GB"/>
              </w:rPr>
              <w:t>L102R;F1016S</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5BEBBB5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L137P </w:t>
            </w:r>
          </w:p>
          <w:p w14:paraId="7D7FF4B7"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L159S </w:t>
            </w:r>
          </w:p>
          <w:p w14:paraId="30DBFC14"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L165S </w:t>
            </w:r>
          </w:p>
          <w:p w14:paraId="02625ED1" w14:textId="77777777" w:rsidR="001E198B" w:rsidRPr="001E198B" w:rsidRDefault="001E198B" w:rsidP="000B039D">
            <w:pPr>
              <w:spacing w:after="3"/>
              <w:ind w:left="1"/>
              <w:rPr>
                <w:color w:val="000000"/>
                <w:kern w:val="2"/>
                <w:sz w:val="22"/>
                <w:szCs w:val="24"/>
                <w:lang w:val="en-GB" w:eastAsia="en-GB"/>
              </w:rPr>
            </w:pPr>
            <w:r w:rsidRPr="001E198B">
              <w:rPr>
                <w:color w:val="000000"/>
                <w:kern w:val="2"/>
                <w:sz w:val="20"/>
                <w:szCs w:val="24"/>
                <w:lang w:val="en-GB" w:eastAsia="en-GB"/>
              </w:rPr>
              <w:t xml:space="preserve">L167R </w:t>
            </w:r>
          </w:p>
          <w:p w14:paraId="12DC1959" w14:textId="77777777" w:rsidR="001E198B" w:rsidRPr="001E198B" w:rsidRDefault="001E198B" w:rsidP="000B039D">
            <w:pPr>
              <w:spacing w:after="46"/>
              <w:ind w:left="1"/>
              <w:rPr>
                <w:color w:val="000000"/>
                <w:kern w:val="2"/>
                <w:sz w:val="22"/>
                <w:szCs w:val="24"/>
                <w:lang w:val="en-GB" w:eastAsia="en-GB"/>
              </w:rPr>
            </w:pPr>
            <w:r w:rsidRPr="001E198B">
              <w:rPr>
                <w:color w:val="000000"/>
                <w:kern w:val="2"/>
                <w:sz w:val="20"/>
                <w:szCs w:val="24"/>
                <w:lang w:val="en-GB" w:eastAsia="en-GB"/>
              </w:rPr>
              <w:t>L206W</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0C51F4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L210P </w:t>
            </w:r>
          </w:p>
          <w:p w14:paraId="454D131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L293P </w:t>
            </w:r>
          </w:p>
          <w:p w14:paraId="38E2840B"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L327P </w:t>
            </w:r>
          </w:p>
          <w:p w14:paraId="64F06B4B"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L333F </w:t>
            </w:r>
          </w:p>
          <w:p w14:paraId="7650F92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L333H </w:t>
            </w:r>
          </w:p>
          <w:p w14:paraId="1B73565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L346P </w:t>
            </w:r>
          </w:p>
          <w:p w14:paraId="32C4F7B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L441P </w:t>
            </w:r>
          </w:p>
          <w:p w14:paraId="4960F23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L453S </w:t>
            </w:r>
          </w:p>
          <w:p w14:paraId="2738F8AE"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L467F </w:t>
            </w:r>
          </w:p>
          <w:p w14:paraId="4FA8F6B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L558F </w:t>
            </w:r>
          </w:p>
          <w:p w14:paraId="200E8E1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L619S </w:t>
            </w:r>
          </w:p>
          <w:p w14:paraId="696E1BF6" w14:textId="77777777" w:rsidR="001E198B" w:rsidRPr="001E198B" w:rsidRDefault="001E198B" w:rsidP="000B039D">
            <w:pPr>
              <w:ind w:left="1" w:hanging="8"/>
              <w:rPr>
                <w:color w:val="000000"/>
                <w:kern w:val="2"/>
                <w:sz w:val="20"/>
                <w:szCs w:val="24"/>
                <w:lang w:val="en-GB" w:eastAsia="en-GB"/>
              </w:rPr>
            </w:pPr>
            <w:r w:rsidRPr="001E198B">
              <w:rPr>
                <w:color w:val="000000"/>
                <w:kern w:val="2"/>
                <w:sz w:val="20"/>
                <w:szCs w:val="24"/>
                <w:lang w:val="en-GB" w:eastAsia="en-GB"/>
              </w:rPr>
              <w:t>L633P</w:t>
            </w:r>
          </w:p>
          <w:p w14:paraId="4033A620" w14:textId="77777777" w:rsidR="001E198B" w:rsidRPr="001E198B" w:rsidRDefault="001E198B" w:rsidP="000B039D">
            <w:pPr>
              <w:ind w:left="1" w:hanging="8"/>
              <w:rPr>
                <w:color w:val="000000"/>
                <w:kern w:val="2"/>
                <w:sz w:val="22"/>
                <w:szCs w:val="24"/>
                <w:lang w:val="en-GB" w:eastAsia="en-GB"/>
              </w:rPr>
            </w:pPr>
            <w:r w:rsidRPr="001E198B">
              <w:rPr>
                <w:color w:val="000000"/>
                <w:kern w:val="2"/>
                <w:sz w:val="20"/>
                <w:szCs w:val="24"/>
                <w:lang w:val="en-GB" w:eastAsia="en-GB"/>
              </w:rPr>
              <w:t xml:space="preserve">L636P </w:t>
            </w:r>
          </w:p>
          <w:p w14:paraId="1878F9D6" w14:textId="77777777" w:rsidR="001E198B" w:rsidRPr="001E198B" w:rsidRDefault="001E198B" w:rsidP="000B039D">
            <w:pPr>
              <w:spacing w:after="6"/>
              <w:ind w:left="1"/>
              <w:rPr>
                <w:color w:val="000000"/>
                <w:kern w:val="2"/>
                <w:sz w:val="22"/>
                <w:szCs w:val="24"/>
                <w:lang w:val="en-GB" w:eastAsia="en-GB"/>
              </w:rPr>
            </w:pPr>
            <w:r w:rsidRPr="001E198B">
              <w:rPr>
                <w:color w:val="000000"/>
                <w:kern w:val="2"/>
                <w:sz w:val="20"/>
                <w:szCs w:val="24"/>
                <w:lang w:val="en-GB" w:eastAsia="en-GB"/>
              </w:rPr>
              <w:t xml:space="preserve">L927P </w:t>
            </w:r>
          </w:p>
          <w:p w14:paraId="741542E8" w14:textId="77777777" w:rsidR="001E198B" w:rsidRPr="001E198B" w:rsidRDefault="001E198B" w:rsidP="000B039D">
            <w:pPr>
              <w:spacing w:after="37"/>
              <w:ind w:left="1"/>
              <w:rPr>
                <w:color w:val="000000"/>
                <w:kern w:val="2"/>
                <w:sz w:val="22"/>
                <w:szCs w:val="24"/>
                <w:lang w:val="en-GB" w:eastAsia="en-GB"/>
              </w:rPr>
            </w:pPr>
            <w:r w:rsidRPr="001E198B">
              <w:rPr>
                <w:color w:val="000000"/>
                <w:kern w:val="2"/>
                <w:sz w:val="20"/>
                <w:szCs w:val="24"/>
                <w:lang w:val="en-GB" w:eastAsia="en-GB"/>
              </w:rPr>
              <w:t>L967F;L1096R</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EB4B903"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L973F </w:t>
            </w:r>
          </w:p>
          <w:p w14:paraId="262A965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L1011S </w:t>
            </w:r>
          </w:p>
          <w:p w14:paraId="4AD53608" w14:textId="77777777" w:rsidR="001E198B" w:rsidRPr="001E198B" w:rsidRDefault="001E198B" w:rsidP="000B039D">
            <w:pPr>
              <w:spacing w:after="4"/>
              <w:ind w:left="1"/>
              <w:rPr>
                <w:color w:val="000000"/>
                <w:kern w:val="2"/>
                <w:sz w:val="22"/>
                <w:szCs w:val="24"/>
                <w:lang w:val="en-GB" w:eastAsia="en-GB"/>
              </w:rPr>
            </w:pPr>
            <w:r w:rsidRPr="001E198B">
              <w:rPr>
                <w:color w:val="000000"/>
                <w:kern w:val="2"/>
                <w:sz w:val="20"/>
                <w:szCs w:val="24"/>
                <w:lang w:val="en-GB" w:eastAsia="en-GB"/>
              </w:rPr>
              <w:t xml:space="preserve">L1065R </w:t>
            </w:r>
          </w:p>
          <w:p w14:paraId="7086A8DF" w14:textId="77777777" w:rsidR="001E198B" w:rsidRPr="001E198B" w:rsidRDefault="001E198B" w:rsidP="000B039D">
            <w:pPr>
              <w:spacing w:after="45"/>
              <w:ind w:left="1"/>
              <w:rPr>
                <w:color w:val="000000"/>
                <w:kern w:val="2"/>
                <w:sz w:val="22"/>
                <w:szCs w:val="24"/>
                <w:lang w:val="en-GB" w:eastAsia="en-GB"/>
              </w:rPr>
            </w:pPr>
            <w:r w:rsidRPr="001E198B">
              <w:rPr>
                <w:color w:val="000000"/>
                <w:kern w:val="2"/>
                <w:sz w:val="20"/>
                <w:szCs w:val="24"/>
                <w:lang w:val="en-GB" w:eastAsia="en-GB"/>
              </w:rPr>
              <w:t>L1077P</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909564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L1227S </w:t>
            </w:r>
          </w:p>
          <w:p w14:paraId="764048A5"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L1324P </w:t>
            </w:r>
          </w:p>
          <w:p w14:paraId="1B2FD436"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L1335P </w:t>
            </w:r>
          </w:p>
          <w:p w14:paraId="14ECCF3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L1388P </w:t>
            </w:r>
          </w:p>
          <w:p w14:paraId="5BD75D21"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L1480P </w:t>
            </w:r>
          </w:p>
          <w:p w14:paraId="701CB27F"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M150K </w:t>
            </w:r>
          </w:p>
          <w:p w14:paraId="17F8A77A"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M150R </w:t>
            </w:r>
          </w:p>
          <w:p w14:paraId="393DB82E"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M152L </w:t>
            </w:r>
          </w:p>
          <w:p w14:paraId="0FCF93C8"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M152V </w:t>
            </w:r>
          </w:p>
          <w:p w14:paraId="296515AE"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M265R </w:t>
            </w:r>
          </w:p>
          <w:p w14:paraId="25FD8CA1"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M348K </w:t>
            </w:r>
          </w:p>
          <w:p w14:paraId="0B08BCDB"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M394L </w:t>
            </w:r>
          </w:p>
          <w:p w14:paraId="6941D228"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lastRenderedPageBreak/>
              <w:t xml:space="preserve">M469V </w:t>
            </w:r>
          </w:p>
          <w:p w14:paraId="1D283601"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M498I </w:t>
            </w:r>
          </w:p>
          <w:p w14:paraId="2AAC864D"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M952I </w:t>
            </w:r>
          </w:p>
          <w:p w14:paraId="37A90BD1"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M952T </w:t>
            </w:r>
          </w:p>
          <w:p w14:paraId="6B373494" w14:textId="77777777" w:rsidR="001E198B" w:rsidRPr="001E198B" w:rsidRDefault="001E198B" w:rsidP="000B039D">
            <w:pPr>
              <w:spacing w:after="4"/>
              <w:ind w:left="1"/>
              <w:rPr>
                <w:color w:val="000000"/>
                <w:kern w:val="2"/>
                <w:sz w:val="22"/>
                <w:szCs w:val="24"/>
                <w:lang w:val="sv-SE" w:eastAsia="en-GB"/>
              </w:rPr>
            </w:pPr>
            <w:r w:rsidRPr="001E198B">
              <w:rPr>
                <w:color w:val="000000"/>
                <w:kern w:val="2"/>
                <w:sz w:val="20"/>
                <w:szCs w:val="24"/>
                <w:lang w:val="sv-SE" w:eastAsia="en-GB"/>
              </w:rPr>
              <w:t xml:space="preserve">M961L </w:t>
            </w:r>
          </w:p>
          <w:p w14:paraId="3FE901EF" w14:textId="77777777" w:rsidR="001E198B" w:rsidRPr="001E198B" w:rsidRDefault="001E198B" w:rsidP="000B039D">
            <w:pPr>
              <w:spacing w:after="45"/>
              <w:ind w:left="1"/>
              <w:rPr>
                <w:color w:val="000000"/>
                <w:kern w:val="2"/>
                <w:sz w:val="22"/>
                <w:szCs w:val="24"/>
                <w:lang w:val="sv-SE" w:eastAsia="en-GB"/>
              </w:rPr>
            </w:pPr>
            <w:r w:rsidRPr="001E198B">
              <w:rPr>
                <w:color w:val="000000"/>
                <w:kern w:val="2"/>
                <w:sz w:val="20"/>
                <w:szCs w:val="24"/>
                <w:lang w:val="sv-SE" w:eastAsia="en-GB"/>
              </w:rPr>
              <w:t>M1101K</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68FC0484"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M1137R </w:t>
            </w:r>
          </w:p>
          <w:p w14:paraId="27461BDD"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M1137V </w:t>
            </w:r>
          </w:p>
          <w:p w14:paraId="47A7B3F1"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M1210K </w:t>
            </w:r>
          </w:p>
          <w:p w14:paraId="07AF0968"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N186K </w:t>
            </w:r>
          </w:p>
          <w:p w14:paraId="6108A0F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N187K </w:t>
            </w:r>
          </w:p>
          <w:p w14:paraId="2314EB52"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N396Y </w:t>
            </w:r>
          </w:p>
          <w:p w14:paraId="7494615B" w14:textId="77777777" w:rsidR="001E198B" w:rsidRPr="001E198B" w:rsidRDefault="001E198B" w:rsidP="000B039D">
            <w:pPr>
              <w:ind w:left="1" w:right="406" w:hanging="8"/>
              <w:rPr>
                <w:color w:val="000000"/>
                <w:kern w:val="2"/>
                <w:sz w:val="22"/>
                <w:szCs w:val="24"/>
                <w:lang w:val="en-GB" w:eastAsia="en-GB"/>
              </w:rPr>
            </w:pPr>
            <w:r w:rsidRPr="001E198B">
              <w:rPr>
                <w:color w:val="000000"/>
                <w:kern w:val="2"/>
                <w:sz w:val="20"/>
                <w:szCs w:val="24"/>
                <w:lang w:val="en-GB" w:eastAsia="en-GB"/>
              </w:rPr>
              <w:t>N418S</w:t>
            </w:r>
          </w:p>
        </w:tc>
        <w:tc>
          <w:tcPr>
            <w:tcW w:w="1135" w:type="pct"/>
            <w:tcBorders>
              <w:top w:val="single" w:sz="4" w:space="0" w:color="000000"/>
              <w:left w:val="single" w:sz="4" w:space="0" w:color="000000"/>
              <w:bottom w:val="nil"/>
              <w:right w:val="single" w:sz="4" w:space="0" w:color="000000"/>
            </w:tcBorders>
            <w:hideMark/>
          </w:tcPr>
          <w:p w14:paraId="7B67E594"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lastRenderedPageBreak/>
              <w:t xml:space="preserve">N900K </w:t>
            </w:r>
          </w:p>
          <w:p w14:paraId="5BDF52FA" w14:textId="77777777" w:rsidR="001E198B" w:rsidRPr="001E198B" w:rsidRDefault="001E198B" w:rsidP="000B039D">
            <w:pPr>
              <w:ind w:left="1" w:right="627"/>
              <w:rPr>
                <w:color w:val="000000"/>
                <w:kern w:val="2"/>
                <w:sz w:val="22"/>
                <w:szCs w:val="24"/>
                <w:lang w:val="sv-SE" w:eastAsia="en-GB"/>
              </w:rPr>
            </w:pPr>
            <w:r w:rsidRPr="001E198B">
              <w:rPr>
                <w:color w:val="000000"/>
                <w:kern w:val="2"/>
                <w:sz w:val="20"/>
                <w:szCs w:val="24"/>
                <w:lang w:val="sv-SE" w:eastAsia="en-GB"/>
              </w:rPr>
              <w:t xml:space="preserve">N1088D N1195T </w:t>
            </w:r>
          </w:p>
          <w:p w14:paraId="217F3689"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N1303I </w:t>
            </w:r>
          </w:p>
          <w:p w14:paraId="285BE6F5"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N1303K</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68B81FE4"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P5L</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7AAC545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P67L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402C06F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P111L </w:t>
            </w:r>
          </w:p>
          <w:p w14:paraId="7412F8BB"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P140S </w:t>
            </w:r>
          </w:p>
          <w:p w14:paraId="16DD0C15"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P205S </w:t>
            </w:r>
          </w:p>
          <w:p w14:paraId="392535B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P439S </w:t>
            </w:r>
          </w:p>
          <w:p w14:paraId="638A1D72"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P499A </w:t>
            </w:r>
          </w:p>
          <w:p w14:paraId="44987D33" w14:textId="77777777" w:rsidR="001E198B" w:rsidRPr="001E198B" w:rsidRDefault="001E198B" w:rsidP="000B039D">
            <w:pPr>
              <w:ind w:left="1" w:right="927"/>
              <w:rPr>
                <w:color w:val="000000"/>
                <w:kern w:val="2"/>
                <w:sz w:val="22"/>
                <w:szCs w:val="24"/>
                <w:lang w:val="en-GB" w:eastAsia="en-GB"/>
              </w:rPr>
            </w:pPr>
            <w:r w:rsidRPr="001E198B">
              <w:rPr>
                <w:color w:val="000000"/>
                <w:kern w:val="2"/>
                <w:sz w:val="20"/>
                <w:szCs w:val="24"/>
                <w:lang w:val="en-GB" w:eastAsia="en-GB"/>
              </w:rPr>
              <w:t xml:space="preserve">P574H P750L P798S </w:t>
            </w:r>
          </w:p>
          <w:p w14:paraId="2907DEC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P988R </w:t>
            </w:r>
          </w:p>
          <w:p w14:paraId="2DF941B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P1013H </w:t>
            </w:r>
          </w:p>
          <w:p w14:paraId="4E5A0A40"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P1013L </w:t>
            </w:r>
          </w:p>
          <w:p w14:paraId="6F48291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P1021L </w:t>
            </w:r>
          </w:p>
          <w:p w14:paraId="3E5E450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P1021T </w:t>
            </w:r>
          </w:p>
          <w:p w14:paraId="418A20CA"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P1372T </w:t>
            </w:r>
          </w:p>
          <w:p w14:paraId="6B18AEA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Q30P </w:t>
            </w:r>
          </w:p>
          <w:p w14:paraId="2CF17BF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Q98P </w:t>
            </w:r>
          </w:p>
          <w:p w14:paraId="472D5BDE"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Q98R </w:t>
            </w:r>
          </w:p>
          <w:p w14:paraId="322A22C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Q151K </w:t>
            </w:r>
          </w:p>
          <w:p w14:paraId="1584D894"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Q179K </w:t>
            </w:r>
          </w:p>
          <w:p w14:paraId="247566A8"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Q237E </w:t>
            </w:r>
          </w:p>
          <w:p w14:paraId="46EFFA0C"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Q237H </w:t>
            </w:r>
          </w:p>
          <w:p w14:paraId="7F586EFB"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Q237P </w:t>
            </w:r>
          </w:p>
          <w:p w14:paraId="7EA67E1A" w14:textId="77777777" w:rsidR="001E198B" w:rsidRPr="001E198B" w:rsidRDefault="001E198B" w:rsidP="000B039D">
            <w:pPr>
              <w:spacing w:after="37"/>
              <w:ind w:left="1"/>
              <w:rPr>
                <w:color w:val="000000"/>
                <w:kern w:val="2"/>
                <w:sz w:val="22"/>
                <w:szCs w:val="24"/>
                <w:lang w:val="fr-FR" w:eastAsia="en-GB"/>
              </w:rPr>
            </w:pPr>
            <w:r w:rsidRPr="001E198B">
              <w:rPr>
                <w:color w:val="000000"/>
                <w:kern w:val="2"/>
                <w:sz w:val="20"/>
                <w:szCs w:val="24"/>
                <w:lang w:val="fr-FR" w:eastAsia="en-GB"/>
              </w:rPr>
              <w:t>Q359K;T360K</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440B370"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Q359R </w:t>
            </w:r>
          </w:p>
          <w:p w14:paraId="5130C39A"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Q372H </w:t>
            </w:r>
          </w:p>
          <w:p w14:paraId="56CCC4B5"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Q493L </w:t>
            </w:r>
          </w:p>
          <w:p w14:paraId="08A344D3"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Q493R </w:t>
            </w:r>
          </w:p>
          <w:p w14:paraId="7A9409C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Q552P </w:t>
            </w:r>
          </w:p>
          <w:p w14:paraId="1C48CB53"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Q1012P </w:t>
            </w:r>
          </w:p>
          <w:p w14:paraId="2FACFE81"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Q1209P </w:t>
            </w:r>
          </w:p>
          <w:p w14:paraId="1AAC5C0E"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Q1291H </w:t>
            </w:r>
          </w:p>
          <w:p w14:paraId="6154399C"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Q1291R </w:t>
            </w:r>
          </w:p>
          <w:p w14:paraId="7732FC2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Q1313K </w:t>
            </w:r>
          </w:p>
          <w:p w14:paraId="7A01106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Q1352H </w:t>
            </w:r>
          </w:p>
          <w:p w14:paraId="15DF3954"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R31L </w:t>
            </w:r>
          </w:p>
          <w:p w14:paraId="2FA71360"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R74Q </w:t>
            </w:r>
          </w:p>
          <w:p w14:paraId="379F04C5" w14:textId="77777777" w:rsidR="001E198B" w:rsidRPr="001E198B" w:rsidRDefault="001E198B" w:rsidP="000B039D">
            <w:pPr>
              <w:spacing w:after="35"/>
              <w:ind w:left="1"/>
              <w:rPr>
                <w:color w:val="000000"/>
                <w:kern w:val="2"/>
                <w:sz w:val="22"/>
                <w:szCs w:val="24"/>
                <w:lang w:val="fr-FR" w:eastAsia="en-GB"/>
              </w:rPr>
            </w:pPr>
            <w:r w:rsidRPr="001E198B">
              <w:rPr>
                <w:color w:val="000000"/>
                <w:kern w:val="2"/>
                <w:sz w:val="20"/>
                <w:szCs w:val="24"/>
                <w:lang w:val="fr-FR" w:eastAsia="en-GB"/>
              </w:rPr>
              <w:t>R74Q;R297Q</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6A86CA90" w14:textId="77777777" w:rsidR="001E198B" w:rsidRPr="001E198B" w:rsidRDefault="001E198B" w:rsidP="000B039D">
            <w:pPr>
              <w:spacing w:after="34"/>
              <w:ind w:left="1"/>
              <w:rPr>
                <w:color w:val="000000"/>
                <w:kern w:val="2"/>
                <w:sz w:val="22"/>
                <w:szCs w:val="24"/>
                <w:lang w:val="fr-FR" w:eastAsia="en-GB"/>
              </w:rPr>
            </w:pPr>
            <w:r w:rsidRPr="001E198B">
              <w:rPr>
                <w:color w:val="000000"/>
                <w:kern w:val="2"/>
                <w:sz w:val="20"/>
                <w:szCs w:val="24"/>
                <w:lang w:val="fr-FR" w:eastAsia="en-GB"/>
              </w:rPr>
              <w:t>R74Q;V201M;D1270N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015DDB6"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R74W </w:t>
            </w:r>
          </w:p>
          <w:p w14:paraId="71E7826E" w14:textId="77777777" w:rsidR="001E198B" w:rsidRPr="001E198B" w:rsidRDefault="001E198B" w:rsidP="000B039D">
            <w:pPr>
              <w:spacing w:after="37"/>
              <w:ind w:left="1"/>
              <w:rPr>
                <w:color w:val="000000"/>
                <w:kern w:val="2"/>
                <w:sz w:val="22"/>
                <w:szCs w:val="24"/>
                <w:lang w:val="fr-FR" w:eastAsia="en-GB"/>
              </w:rPr>
            </w:pPr>
            <w:r w:rsidRPr="001E198B">
              <w:rPr>
                <w:color w:val="000000"/>
                <w:kern w:val="2"/>
                <w:sz w:val="20"/>
                <w:szCs w:val="24"/>
                <w:lang w:val="fr-FR" w:eastAsia="en-GB"/>
              </w:rPr>
              <w:t>R74W;D1270N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983A4B4" w14:textId="77777777" w:rsidR="001E198B" w:rsidRPr="001E198B" w:rsidRDefault="001E198B" w:rsidP="000B039D">
            <w:pPr>
              <w:spacing w:after="1"/>
              <w:ind w:left="1"/>
              <w:rPr>
                <w:color w:val="000000"/>
                <w:kern w:val="2"/>
                <w:sz w:val="22"/>
                <w:szCs w:val="24"/>
                <w:lang w:val="en-GB" w:eastAsia="en-GB"/>
              </w:rPr>
            </w:pPr>
            <w:r w:rsidRPr="001E198B">
              <w:rPr>
                <w:color w:val="000000"/>
                <w:kern w:val="2"/>
                <w:sz w:val="20"/>
                <w:szCs w:val="24"/>
                <w:lang w:val="en-GB" w:eastAsia="en-GB"/>
              </w:rPr>
              <w:t>R74W;R1070W;D1270</w:t>
            </w:r>
          </w:p>
          <w:p w14:paraId="2A527937" w14:textId="77777777" w:rsidR="001E198B" w:rsidRPr="001E198B" w:rsidRDefault="001E198B" w:rsidP="000B039D">
            <w:pPr>
              <w:spacing w:after="50"/>
              <w:ind w:left="1"/>
              <w:rPr>
                <w:color w:val="000000"/>
                <w:kern w:val="2"/>
                <w:sz w:val="22"/>
                <w:szCs w:val="24"/>
                <w:lang w:val="en-GB" w:eastAsia="en-GB"/>
              </w:rPr>
            </w:pPr>
            <w:r w:rsidRPr="001E198B">
              <w:rPr>
                <w:color w:val="000000"/>
                <w:kern w:val="2"/>
                <w:sz w:val="20"/>
                <w:szCs w:val="24"/>
                <w:lang w:val="en-GB" w:eastAsia="en-GB"/>
              </w:rPr>
              <w:t>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3900F511" w14:textId="77777777" w:rsidR="001E198B" w:rsidRPr="001E198B" w:rsidRDefault="001E198B" w:rsidP="000B039D">
            <w:pPr>
              <w:spacing w:after="34"/>
              <w:ind w:left="1"/>
              <w:rPr>
                <w:color w:val="000000"/>
                <w:kern w:val="2"/>
                <w:sz w:val="22"/>
                <w:szCs w:val="24"/>
                <w:lang w:val="en-GB" w:eastAsia="en-GB"/>
              </w:rPr>
            </w:pPr>
            <w:r w:rsidRPr="001E198B">
              <w:rPr>
                <w:color w:val="000000"/>
                <w:kern w:val="2"/>
                <w:sz w:val="20"/>
                <w:szCs w:val="24"/>
                <w:lang w:val="en-GB" w:eastAsia="en-GB"/>
              </w:rPr>
              <w:t>R74W;S945L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4C66EF4" w14:textId="77777777" w:rsidR="001E198B" w:rsidRPr="001E198B" w:rsidRDefault="001E198B" w:rsidP="000B039D">
            <w:pPr>
              <w:spacing w:after="32"/>
              <w:ind w:left="1"/>
              <w:rPr>
                <w:color w:val="000000"/>
                <w:kern w:val="2"/>
                <w:sz w:val="22"/>
                <w:szCs w:val="24"/>
                <w:lang w:val="en-GB" w:eastAsia="en-GB"/>
              </w:rPr>
            </w:pPr>
            <w:r w:rsidRPr="001E198B">
              <w:rPr>
                <w:color w:val="000000"/>
                <w:kern w:val="2"/>
                <w:sz w:val="20"/>
                <w:szCs w:val="24"/>
                <w:lang w:val="en-GB" w:eastAsia="en-GB"/>
              </w:rPr>
              <w:t>R74W;V201M</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B9B886A" w14:textId="77777777" w:rsidR="001E198B" w:rsidRPr="001E198B" w:rsidRDefault="001E198B" w:rsidP="000B039D">
            <w:pPr>
              <w:spacing w:after="32"/>
              <w:ind w:left="1"/>
              <w:jc w:val="both"/>
              <w:rPr>
                <w:color w:val="000000"/>
                <w:kern w:val="2"/>
                <w:sz w:val="22"/>
                <w:szCs w:val="24"/>
                <w:lang w:val="en-GB" w:eastAsia="en-GB"/>
              </w:rPr>
            </w:pPr>
            <w:r w:rsidRPr="001E198B">
              <w:rPr>
                <w:color w:val="000000"/>
                <w:kern w:val="2"/>
                <w:sz w:val="20"/>
                <w:szCs w:val="24"/>
                <w:lang w:val="en-GB" w:eastAsia="en-GB"/>
              </w:rPr>
              <w:t>R74W;V201M;D1270N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8CD3B6D"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R74W;V201M;L997F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46D9440" w14:textId="77777777" w:rsidR="001E198B" w:rsidRPr="001E198B" w:rsidRDefault="001E198B" w:rsidP="000B039D">
            <w:pPr>
              <w:spacing w:after="5"/>
              <w:ind w:left="1"/>
              <w:rPr>
                <w:color w:val="000000"/>
                <w:kern w:val="2"/>
                <w:sz w:val="22"/>
                <w:szCs w:val="24"/>
                <w:lang w:val="en-GB" w:eastAsia="en-GB"/>
              </w:rPr>
            </w:pPr>
            <w:r w:rsidRPr="001E198B">
              <w:rPr>
                <w:color w:val="000000"/>
                <w:kern w:val="2"/>
                <w:sz w:val="20"/>
                <w:szCs w:val="24"/>
                <w:lang w:val="en-GB" w:eastAsia="en-GB"/>
              </w:rPr>
              <w:t xml:space="preserve">R75L </w:t>
            </w:r>
          </w:p>
          <w:p w14:paraId="4ADD11F3" w14:textId="77777777" w:rsidR="001E198B" w:rsidRPr="001E198B" w:rsidRDefault="001E198B" w:rsidP="000B039D">
            <w:pPr>
              <w:spacing w:after="34"/>
              <w:ind w:left="1"/>
              <w:rPr>
                <w:color w:val="000000"/>
                <w:kern w:val="2"/>
                <w:sz w:val="22"/>
                <w:szCs w:val="24"/>
                <w:lang w:val="en-GB" w:eastAsia="en-GB"/>
              </w:rPr>
            </w:pPr>
            <w:r w:rsidRPr="001E198B">
              <w:rPr>
                <w:color w:val="000000"/>
                <w:kern w:val="2"/>
                <w:sz w:val="20"/>
                <w:szCs w:val="24"/>
                <w:lang w:val="en-GB" w:eastAsia="en-GB"/>
              </w:rPr>
              <w:t>R75Q;L1065P</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E0661AF" w14:textId="77777777" w:rsidR="001E198B" w:rsidRPr="001E198B" w:rsidRDefault="001E198B" w:rsidP="000B039D">
            <w:pPr>
              <w:spacing w:after="33"/>
              <w:ind w:left="1"/>
              <w:rPr>
                <w:color w:val="000000"/>
                <w:kern w:val="2"/>
                <w:sz w:val="22"/>
                <w:szCs w:val="24"/>
                <w:lang w:val="en-GB" w:eastAsia="en-GB"/>
              </w:rPr>
            </w:pPr>
            <w:r w:rsidRPr="001E198B">
              <w:rPr>
                <w:color w:val="000000"/>
                <w:kern w:val="2"/>
                <w:sz w:val="20"/>
                <w:szCs w:val="24"/>
                <w:lang w:val="en-GB" w:eastAsia="en-GB"/>
              </w:rPr>
              <w:t>R75Q;N1088D</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5DE3835" w14:textId="77777777" w:rsidR="001E198B" w:rsidRPr="001E198B" w:rsidRDefault="001E198B" w:rsidP="000B039D">
            <w:pPr>
              <w:spacing w:after="32"/>
              <w:ind w:left="1"/>
              <w:rPr>
                <w:color w:val="000000"/>
                <w:kern w:val="2"/>
                <w:sz w:val="22"/>
                <w:szCs w:val="24"/>
                <w:lang w:val="en-GB" w:eastAsia="en-GB"/>
              </w:rPr>
            </w:pPr>
            <w:r w:rsidRPr="001E198B">
              <w:rPr>
                <w:color w:val="000000"/>
                <w:kern w:val="2"/>
                <w:sz w:val="20"/>
                <w:szCs w:val="24"/>
                <w:lang w:val="en-GB" w:eastAsia="en-GB"/>
              </w:rPr>
              <w:t>R75Q;S549N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91F4DF3" w14:textId="77777777" w:rsidR="001E198B" w:rsidRPr="001E198B" w:rsidRDefault="001E198B" w:rsidP="000B039D">
            <w:pPr>
              <w:spacing w:after="38"/>
              <w:ind w:left="1"/>
              <w:rPr>
                <w:color w:val="000000"/>
                <w:kern w:val="2"/>
                <w:sz w:val="22"/>
                <w:szCs w:val="24"/>
                <w:lang w:val="en-GB" w:eastAsia="en-GB"/>
              </w:rPr>
            </w:pPr>
            <w:r w:rsidRPr="001E198B">
              <w:rPr>
                <w:color w:val="000000"/>
                <w:kern w:val="2"/>
                <w:sz w:val="20"/>
                <w:szCs w:val="24"/>
                <w:lang w:val="en-GB" w:eastAsia="en-GB"/>
              </w:rPr>
              <w:t>R117C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0FE577D"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R117C;G576A;R668C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86F4C0C" w14:textId="77777777" w:rsidR="001E198B" w:rsidRPr="001E198B" w:rsidRDefault="001E198B" w:rsidP="000B039D">
            <w:pPr>
              <w:spacing w:after="4"/>
              <w:ind w:left="1"/>
              <w:rPr>
                <w:color w:val="000000"/>
                <w:kern w:val="2"/>
                <w:sz w:val="22"/>
                <w:szCs w:val="24"/>
                <w:lang w:val="en-GB" w:eastAsia="en-GB"/>
              </w:rPr>
            </w:pPr>
            <w:r w:rsidRPr="001E198B">
              <w:rPr>
                <w:color w:val="000000"/>
                <w:kern w:val="2"/>
                <w:sz w:val="20"/>
                <w:szCs w:val="24"/>
                <w:lang w:val="en-GB" w:eastAsia="en-GB"/>
              </w:rPr>
              <w:t xml:space="preserve">R117G </w:t>
            </w:r>
          </w:p>
          <w:p w14:paraId="10C54918" w14:textId="77777777" w:rsidR="001E198B" w:rsidRPr="001E198B" w:rsidRDefault="001E198B" w:rsidP="000B039D">
            <w:pPr>
              <w:spacing w:after="41"/>
              <w:ind w:left="1"/>
              <w:rPr>
                <w:color w:val="000000"/>
                <w:kern w:val="2"/>
                <w:sz w:val="22"/>
                <w:szCs w:val="24"/>
                <w:lang w:val="en-GB" w:eastAsia="en-GB"/>
              </w:rPr>
            </w:pPr>
            <w:r w:rsidRPr="001E198B">
              <w:rPr>
                <w:color w:val="000000"/>
                <w:kern w:val="2"/>
                <w:sz w:val="20"/>
                <w:szCs w:val="24"/>
                <w:lang w:val="en-GB" w:eastAsia="en-GB"/>
              </w:rPr>
              <w:t>R117H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B91E44C" w14:textId="77777777" w:rsidR="001E198B" w:rsidRPr="001E198B" w:rsidRDefault="001E198B" w:rsidP="000B039D">
            <w:pPr>
              <w:spacing w:after="6"/>
              <w:ind w:left="1"/>
              <w:rPr>
                <w:color w:val="000000"/>
                <w:kern w:val="2"/>
                <w:sz w:val="22"/>
                <w:szCs w:val="24"/>
                <w:lang w:val="en-GB" w:eastAsia="en-GB"/>
              </w:rPr>
            </w:pPr>
            <w:r w:rsidRPr="001E198B">
              <w:rPr>
                <w:color w:val="000000"/>
                <w:kern w:val="2"/>
                <w:sz w:val="20"/>
                <w:szCs w:val="24"/>
                <w:lang w:val="en-GB" w:eastAsia="en-GB"/>
              </w:rPr>
              <w:t xml:space="preserve">R117L </w:t>
            </w:r>
          </w:p>
          <w:p w14:paraId="26F03BDC"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R117L;L997F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935315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R117P </w:t>
            </w:r>
          </w:p>
          <w:p w14:paraId="38B2252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R248K </w:t>
            </w:r>
          </w:p>
          <w:p w14:paraId="25482781"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R258G </w:t>
            </w:r>
          </w:p>
          <w:p w14:paraId="5C204DA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R297Q </w:t>
            </w:r>
          </w:p>
          <w:p w14:paraId="5E4F54E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R334L </w:t>
            </w:r>
          </w:p>
          <w:p w14:paraId="247846CF" w14:textId="77777777" w:rsidR="001E198B" w:rsidRPr="001E198B" w:rsidRDefault="001E198B" w:rsidP="000B039D">
            <w:pPr>
              <w:spacing w:after="9"/>
              <w:ind w:left="1"/>
              <w:rPr>
                <w:color w:val="000000"/>
                <w:kern w:val="2"/>
                <w:sz w:val="20"/>
                <w:szCs w:val="24"/>
                <w:lang w:val="en-GB" w:eastAsia="en-GB"/>
              </w:rPr>
            </w:pPr>
            <w:r w:rsidRPr="001E198B">
              <w:rPr>
                <w:color w:val="000000"/>
                <w:kern w:val="2"/>
                <w:sz w:val="20"/>
                <w:szCs w:val="24"/>
                <w:lang w:val="en-GB" w:eastAsia="en-GB"/>
              </w:rPr>
              <w:t xml:space="preserve">R334Q </w:t>
            </w:r>
          </w:p>
          <w:p w14:paraId="35412B79" w14:textId="77777777" w:rsidR="001E198B" w:rsidRPr="001E198B" w:rsidRDefault="001E198B" w:rsidP="000B039D">
            <w:pPr>
              <w:ind w:left="1" w:hanging="8"/>
              <w:rPr>
                <w:color w:val="000000"/>
                <w:kern w:val="2"/>
                <w:sz w:val="22"/>
                <w:szCs w:val="24"/>
                <w:lang w:val="en-GB" w:eastAsia="en-GB"/>
              </w:rPr>
            </w:pPr>
            <w:r w:rsidRPr="001E198B">
              <w:rPr>
                <w:color w:val="000000"/>
                <w:kern w:val="2"/>
                <w:sz w:val="20"/>
                <w:szCs w:val="24"/>
                <w:lang w:val="en-GB" w:eastAsia="en-GB"/>
              </w:rPr>
              <w:t xml:space="preserve">R334W </w:t>
            </w:r>
          </w:p>
          <w:p w14:paraId="202D843F" w14:textId="77777777" w:rsidR="001E198B" w:rsidRPr="001E198B" w:rsidRDefault="001E198B" w:rsidP="000B039D">
            <w:pPr>
              <w:spacing w:after="41"/>
              <w:ind w:left="1"/>
              <w:rPr>
                <w:color w:val="000000"/>
                <w:kern w:val="2"/>
                <w:sz w:val="22"/>
                <w:szCs w:val="24"/>
                <w:lang w:val="en-GB" w:eastAsia="en-GB"/>
              </w:rPr>
            </w:pPr>
            <w:r w:rsidRPr="001E198B">
              <w:rPr>
                <w:color w:val="000000"/>
                <w:kern w:val="2"/>
                <w:sz w:val="20"/>
                <w:szCs w:val="24"/>
                <w:lang w:val="en-GB" w:eastAsia="en-GB"/>
              </w:rPr>
              <w:t>R347H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0D371CB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R347L </w:t>
            </w:r>
          </w:p>
          <w:p w14:paraId="165531F5"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R347P </w:t>
            </w:r>
          </w:p>
          <w:p w14:paraId="5D6A548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R352Q </w:t>
            </w:r>
          </w:p>
          <w:p w14:paraId="533A892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R352W </w:t>
            </w:r>
          </w:p>
          <w:p w14:paraId="07AD6907"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R516S </w:t>
            </w:r>
          </w:p>
          <w:p w14:paraId="22A2F7A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R553Q </w:t>
            </w:r>
          </w:p>
          <w:p w14:paraId="6104824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R555G </w:t>
            </w:r>
          </w:p>
          <w:p w14:paraId="05070D94"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R600S </w:t>
            </w:r>
          </w:p>
          <w:p w14:paraId="7AA09F2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R709Q </w:t>
            </w:r>
          </w:p>
          <w:p w14:paraId="7F07C5A8"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R751L </w:t>
            </w:r>
          </w:p>
          <w:p w14:paraId="6836BA56"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R792G </w:t>
            </w:r>
          </w:p>
          <w:p w14:paraId="16975C45"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R792Q </w:t>
            </w:r>
          </w:p>
          <w:p w14:paraId="47BB938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R810G </w:t>
            </w:r>
          </w:p>
          <w:p w14:paraId="0217F21F"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R851L </w:t>
            </w:r>
          </w:p>
          <w:p w14:paraId="6BB052B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R933G </w:t>
            </w:r>
          </w:p>
          <w:p w14:paraId="666162C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R1048G </w:t>
            </w:r>
          </w:p>
          <w:p w14:paraId="4117ADFC"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lastRenderedPageBreak/>
              <w:t xml:space="preserve">R1066C </w:t>
            </w:r>
          </w:p>
          <w:p w14:paraId="447A64C7" w14:textId="77777777" w:rsidR="001E198B" w:rsidRPr="001E198B" w:rsidRDefault="001E198B" w:rsidP="000B039D">
            <w:pPr>
              <w:spacing w:after="4"/>
              <w:ind w:left="1"/>
              <w:rPr>
                <w:color w:val="000000"/>
                <w:kern w:val="2"/>
                <w:sz w:val="22"/>
                <w:szCs w:val="24"/>
                <w:lang w:val="en-GB" w:eastAsia="en-GB"/>
              </w:rPr>
            </w:pPr>
            <w:r w:rsidRPr="001E198B">
              <w:rPr>
                <w:color w:val="000000"/>
                <w:kern w:val="2"/>
                <w:sz w:val="20"/>
                <w:szCs w:val="24"/>
                <w:lang w:val="en-GB" w:eastAsia="en-GB"/>
              </w:rPr>
              <w:t xml:space="preserve">R1066G </w:t>
            </w:r>
          </w:p>
          <w:p w14:paraId="26790408" w14:textId="77777777" w:rsidR="001E198B" w:rsidRPr="001E198B" w:rsidRDefault="001E198B" w:rsidP="000B039D">
            <w:pPr>
              <w:spacing w:after="47"/>
              <w:ind w:left="1"/>
              <w:rPr>
                <w:color w:val="000000"/>
                <w:kern w:val="2"/>
                <w:sz w:val="22"/>
                <w:szCs w:val="24"/>
                <w:lang w:val="en-GB" w:eastAsia="en-GB"/>
              </w:rPr>
            </w:pPr>
            <w:r w:rsidRPr="001E198B">
              <w:rPr>
                <w:color w:val="000000"/>
                <w:kern w:val="2"/>
                <w:sz w:val="20"/>
                <w:szCs w:val="24"/>
                <w:lang w:val="en-GB" w:eastAsia="en-GB"/>
              </w:rPr>
              <w:t>R1066H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0B9C634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R1070P </w:t>
            </w:r>
          </w:p>
          <w:p w14:paraId="099A43E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R1070Q </w:t>
            </w:r>
          </w:p>
          <w:p w14:paraId="7E2B16C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R1070W </w:t>
            </w:r>
          </w:p>
          <w:p w14:paraId="5616D7A4"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R1162Q </w:t>
            </w:r>
          </w:p>
          <w:p w14:paraId="455BA3B1"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R1239S </w:t>
            </w:r>
          </w:p>
          <w:p w14:paraId="67A3937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R1283G </w:t>
            </w:r>
          </w:p>
          <w:p w14:paraId="095D3817"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R1283M </w:t>
            </w:r>
          </w:p>
          <w:p w14:paraId="583D877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R1283S </w:t>
            </w:r>
          </w:p>
          <w:p w14:paraId="4B83F55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R1438W </w:t>
            </w:r>
          </w:p>
          <w:p w14:paraId="2068F603"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S13F </w:t>
            </w:r>
          </w:p>
          <w:p w14:paraId="75B282E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S13P </w:t>
            </w:r>
          </w:p>
          <w:p w14:paraId="5C554331" w14:textId="77777777" w:rsidR="001E198B" w:rsidRPr="001E198B" w:rsidRDefault="001E198B" w:rsidP="000B039D">
            <w:pPr>
              <w:spacing w:after="11"/>
              <w:ind w:left="1"/>
              <w:rPr>
                <w:color w:val="000000"/>
                <w:kern w:val="2"/>
                <w:sz w:val="22"/>
                <w:szCs w:val="24"/>
                <w:lang w:val="en-GB" w:eastAsia="en-GB"/>
              </w:rPr>
            </w:pPr>
            <w:r w:rsidRPr="001E198B">
              <w:rPr>
                <w:color w:val="000000"/>
                <w:kern w:val="2"/>
                <w:sz w:val="20"/>
                <w:szCs w:val="24"/>
                <w:lang w:val="en-GB" w:eastAsia="en-GB"/>
              </w:rPr>
              <w:t xml:space="preserve">S18I </w:t>
            </w:r>
          </w:p>
          <w:p w14:paraId="4DFF9620" w14:textId="77777777" w:rsidR="001E198B" w:rsidRPr="001E198B" w:rsidRDefault="001E198B" w:rsidP="000B039D">
            <w:pPr>
              <w:spacing w:after="10"/>
              <w:ind w:left="1" w:hanging="8"/>
              <w:rPr>
                <w:color w:val="000000"/>
                <w:kern w:val="2"/>
                <w:sz w:val="22"/>
                <w:szCs w:val="24"/>
                <w:lang w:val="en-GB" w:eastAsia="en-GB"/>
              </w:rPr>
            </w:pPr>
            <w:r w:rsidRPr="001E198B">
              <w:rPr>
                <w:color w:val="000000"/>
                <w:kern w:val="2"/>
                <w:sz w:val="20"/>
                <w:szCs w:val="24"/>
                <w:lang w:val="en-GB" w:eastAsia="en-GB"/>
              </w:rPr>
              <w:t>S18N</w:t>
            </w:r>
          </w:p>
        </w:tc>
        <w:tc>
          <w:tcPr>
            <w:tcW w:w="802" w:type="pct"/>
            <w:tcBorders>
              <w:top w:val="single" w:sz="4" w:space="0" w:color="000000"/>
              <w:left w:val="single" w:sz="4" w:space="0" w:color="000000"/>
              <w:bottom w:val="nil"/>
              <w:right w:val="single" w:sz="4" w:space="0" w:color="000000"/>
            </w:tcBorders>
            <w:hideMark/>
          </w:tcPr>
          <w:p w14:paraId="612F35F8"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lastRenderedPageBreak/>
              <w:t xml:space="preserve">S50P </w:t>
            </w:r>
          </w:p>
          <w:p w14:paraId="6B365DF5"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S108F </w:t>
            </w:r>
          </w:p>
          <w:p w14:paraId="1FBF6B4E" w14:textId="77777777" w:rsidR="001E198B" w:rsidRPr="001E198B" w:rsidRDefault="001E198B" w:rsidP="000B039D">
            <w:pPr>
              <w:ind w:left="1" w:right="189"/>
              <w:rPr>
                <w:color w:val="000000"/>
                <w:kern w:val="2"/>
                <w:sz w:val="20"/>
                <w:szCs w:val="24"/>
                <w:lang w:val="en-GB" w:eastAsia="en-GB"/>
              </w:rPr>
            </w:pPr>
            <w:r w:rsidRPr="001E198B">
              <w:rPr>
                <w:color w:val="000000"/>
                <w:kern w:val="2"/>
                <w:sz w:val="20"/>
                <w:szCs w:val="24"/>
                <w:lang w:val="en-GB" w:eastAsia="en-GB"/>
              </w:rPr>
              <w:t xml:space="preserve">S158N </w:t>
            </w:r>
          </w:p>
          <w:p w14:paraId="0D844703" w14:textId="77777777" w:rsidR="001E198B" w:rsidRPr="001E198B" w:rsidRDefault="001E198B" w:rsidP="000B039D">
            <w:pPr>
              <w:ind w:left="1" w:right="189"/>
              <w:rPr>
                <w:color w:val="000000"/>
                <w:kern w:val="2"/>
                <w:sz w:val="22"/>
                <w:szCs w:val="24"/>
                <w:lang w:val="en-GB" w:eastAsia="en-GB"/>
              </w:rPr>
            </w:pPr>
            <w:r w:rsidRPr="001E198B">
              <w:rPr>
                <w:color w:val="000000"/>
                <w:kern w:val="2"/>
                <w:sz w:val="20"/>
                <w:szCs w:val="24"/>
                <w:lang w:val="en-GB" w:eastAsia="en-GB"/>
              </w:rPr>
              <w:t xml:space="preserve">S182R </w:t>
            </w:r>
          </w:p>
          <w:p w14:paraId="26A4EFFE"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S308P </w:t>
            </w:r>
          </w:p>
          <w:p w14:paraId="2097BC11"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S341P </w:t>
            </w:r>
          </w:p>
          <w:p w14:paraId="7816950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S364P </w:t>
            </w:r>
          </w:p>
          <w:p w14:paraId="155FA72D"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S434P </w:t>
            </w:r>
          </w:p>
          <w:p w14:paraId="119D3268"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S492F </w:t>
            </w:r>
          </w:p>
          <w:p w14:paraId="56A3771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S519G </w:t>
            </w:r>
          </w:p>
          <w:p w14:paraId="581C160D"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S531P </w:t>
            </w:r>
          </w:p>
          <w:p w14:paraId="4886DE1E"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S549I </w:t>
            </w:r>
          </w:p>
          <w:p w14:paraId="7904063A"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S549N </w:t>
            </w:r>
          </w:p>
          <w:p w14:paraId="2A6FDD67"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S549R</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08D757D" w14:textId="77777777" w:rsidR="001E198B" w:rsidRPr="001E198B" w:rsidRDefault="001E198B" w:rsidP="000B039D">
            <w:pPr>
              <w:ind w:left="1"/>
              <w:rPr>
                <w:color w:val="000000"/>
                <w:kern w:val="2"/>
                <w:sz w:val="20"/>
                <w:szCs w:val="24"/>
                <w:lang w:val="en-GB" w:eastAsia="en-GB"/>
              </w:rPr>
            </w:pPr>
            <w:r w:rsidRPr="001E198B">
              <w:rPr>
                <w:color w:val="000000"/>
                <w:kern w:val="2"/>
                <w:sz w:val="20"/>
                <w:szCs w:val="24"/>
                <w:lang w:val="en-GB" w:eastAsia="en-GB"/>
              </w:rPr>
              <w:t xml:space="preserve">S557F </w:t>
            </w:r>
          </w:p>
          <w:p w14:paraId="6DE0F14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S589I </w:t>
            </w:r>
          </w:p>
          <w:p w14:paraId="699646A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S589N </w:t>
            </w:r>
          </w:p>
          <w:p w14:paraId="4522591A"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S624R </w:t>
            </w:r>
          </w:p>
          <w:p w14:paraId="51C116C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S686Y </w:t>
            </w:r>
          </w:p>
          <w:p w14:paraId="7792E1EC"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S737F </w:t>
            </w:r>
          </w:p>
          <w:p w14:paraId="58F20595"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S821G </w:t>
            </w:r>
          </w:p>
          <w:p w14:paraId="57CCFFD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S898R </w:t>
            </w:r>
          </w:p>
          <w:p w14:paraId="6E80C036" w14:textId="77777777" w:rsidR="001E198B" w:rsidRPr="001E198B" w:rsidRDefault="001E198B" w:rsidP="000B039D">
            <w:pPr>
              <w:spacing w:after="6"/>
              <w:ind w:left="1"/>
              <w:rPr>
                <w:color w:val="000000"/>
                <w:kern w:val="2"/>
                <w:sz w:val="22"/>
                <w:szCs w:val="24"/>
                <w:lang w:val="en-GB" w:eastAsia="en-GB"/>
              </w:rPr>
            </w:pPr>
            <w:r w:rsidRPr="001E198B">
              <w:rPr>
                <w:color w:val="000000"/>
                <w:kern w:val="2"/>
                <w:sz w:val="20"/>
                <w:szCs w:val="24"/>
                <w:lang w:val="en-GB" w:eastAsia="en-GB"/>
              </w:rPr>
              <w:t xml:space="preserve">S912L </w:t>
            </w:r>
          </w:p>
          <w:p w14:paraId="5C5ACC47"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S912L;G1244V</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25BB8F4" w14:textId="77777777" w:rsidR="001E198B" w:rsidRPr="001E198B" w:rsidRDefault="001E198B" w:rsidP="000B039D">
            <w:pPr>
              <w:spacing w:after="3"/>
              <w:ind w:left="1"/>
              <w:rPr>
                <w:color w:val="000000"/>
                <w:kern w:val="2"/>
                <w:sz w:val="22"/>
                <w:szCs w:val="24"/>
                <w:lang w:val="en-GB" w:eastAsia="en-GB"/>
              </w:rPr>
            </w:pPr>
            <w:r w:rsidRPr="001E198B">
              <w:rPr>
                <w:color w:val="000000"/>
                <w:kern w:val="2"/>
                <w:sz w:val="20"/>
                <w:szCs w:val="24"/>
                <w:lang w:val="en-GB" w:eastAsia="en-GB"/>
              </w:rPr>
              <w:t xml:space="preserve">S912T </w:t>
            </w:r>
          </w:p>
          <w:p w14:paraId="33D33777" w14:textId="77777777" w:rsidR="001E198B" w:rsidRPr="001E198B" w:rsidRDefault="001E198B" w:rsidP="000B039D">
            <w:pPr>
              <w:spacing w:after="48"/>
              <w:ind w:left="1"/>
              <w:rPr>
                <w:color w:val="000000"/>
                <w:kern w:val="2"/>
                <w:sz w:val="22"/>
                <w:szCs w:val="24"/>
                <w:lang w:val="en-GB" w:eastAsia="en-GB"/>
              </w:rPr>
            </w:pPr>
            <w:r w:rsidRPr="001E198B">
              <w:rPr>
                <w:color w:val="000000"/>
                <w:kern w:val="2"/>
                <w:sz w:val="20"/>
                <w:szCs w:val="24"/>
                <w:lang w:val="en-GB" w:eastAsia="en-GB"/>
              </w:rPr>
              <w:t>S945L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4903AD5E"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S955P </w:t>
            </w:r>
          </w:p>
          <w:p w14:paraId="2D1EC08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S977F </w:t>
            </w:r>
          </w:p>
          <w:p w14:paraId="0FCC9233"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S977F;R1438W</w:t>
            </w:r>
          </w:p>
          <w:p w14:paraId="361166E0" w14:textId="77777777" w:rsidR="001E198B" w:rsidRPr="001E198B" w:rsidRDefault="001E198B" w:rsidP="000B039D">
            <w:pPr>
              <w:spacing w:after="91"/>
              <w:ind w:left="1"/>
              <w:rPr>
                <w:color w:val="000000"/>
                <w:kern w:val="2"/>
                <w:sz w:val="22"/>
                <w:szCs w:val="24"/>
                <w:lang w:val="en-GB" w:eastAsia="en-GB"/>
              </w:rPr>
            </w:pPr>
            <w:r w:rsidRPr="001E198B">
              <w:rPr>
                <w:color w:val="000000"/>
                <w:kern w:val="2"/>
                <w:sz w:val="13"/>
                <w:szCs w:val="24"/>
                <w:lang w:val="en-GB" w:eastAsia="en-GB"/>
              </w:rPr>
              <w:t>‡</w:t>
            </w:r>
            <w:r w:rsidRPr="001E198B">
              <w:rPr>
                <w:color w:val="000000"/>
                <w:kern w:val="2"/>
                <w:sz w:val="20"/>
                <w:szCs w:val="24"/>
                <w:lang w:val="en-GB" w:eastAsia="en-GB"/>
              </w:rPr>
              <w:t xml:space="preserve"> </w:t>
            </w:r>
          </w:p>
          <w:p w14:paraId="54A469A1"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lastRenderedPageBreak/>
              <w:t xml:space="preserve">S1045Y </w:t>
            </w:r>
          </w:p>
          <w:p w14:paraId="42751F8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S1118F </w:t>
            </w:r>
          </w:p>
          <w:p w14:paraId="22484AC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S1159F </w:t>
            </w:r>
          </w:p>
          <w:p w14:paraId="4A6A678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S1159P </w:t>
            </w:r>
          </w:p>
          <w:p w14:paraId="6F1168D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S1188L </w:t>
            </w:r>
          </w:p>
          <w:p w14:paraId="09F03463"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S1251N </w:t>
            </w:r>
          </w:p>
          <w:p w14:paraId="5F166EA3"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S1255P </w:t>
            </w:r>
          </w:p>
          <w:p w14:paraId="7A9F57A6"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T338I </w:t>
            </w:r>
          </w:p>
          <w:p w14:paraId="4DF285D9"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T351I </w:t>
            </w:r>
          </w:p>
          <w:p w14:paraId="6C05AA20"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T351S </w:t>
            </w:r>
          </w:p>
          <w:p w14:paraId="305C74BA" w14:textId="77777777" w:rsidR="001E198B" w:rsidRPr="001E198B" w:rsidRDefault="001E198B" w:rsidP="000B039D">
            <w:pPr>
              <w:spacing w:after="38"/>
              <w:ind w:left="1"/>
              <w:rPr>
                <w:color w:val="000000"/>
                <w:kern w:val="2"/>
                <w:sz w:val="22"/>
                <w:szCs w:val="24"/>
                <w:lang w:val="fr-FR" w:eastAsia="en-GB"/>
              </w:rPr>
            </w:pPr>
            <w:r w:rsidRPr="001E198B">
              <w:rPr>
                <w:color w:val="000000"/>
                <w:kern w:val="2"/>
                <w:sz w:val="20"/>
                <w:szCs w:val="24"/>
                <w:lang w:val="fr-FR" w:eastAsia="en-GB"/>
              </w:rPr>
              <w:t>T351S;R851L</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65F6DB02"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T388M </w:t>
            </w:r>
          </w:p>
          <w:p w14:paraId="4A3CDAF4"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T465I </w:t>
            </w:r>
          </w:p>
          <w:p w14:paraId="1BA8ACD1"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T501A </w:t>
            </w:r>
          </w:p>
          <w:p w14:paraId="30FA902A"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T582S </w:t>
            </w:r>
          </w:p>
          <w:p w14:paraId="1779649E"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T908N </w:t>
            </w:r>
          </w:p>
          <w:p w14:paraId="2715AE35" w14:textId="77777777" w:rsidR="001E198B" w:rsidRPr="001E198B" w:rsidRDefault="001E198B" w:rsidP="000B039D">
            <w:pPr>
              <w:spacing w:after="5"/>
              <w:ind w:left="1"/>
              <w:rPr>
                <w:color w:val="000000"/>
                <w:kern w:val="2"/>
                <w:sz w:val="22"/>
                <w:szCs w:val="24"/>
                <w:lang w:val="fr-FR" w:eastAsia="en-GB"/>
              </w:rPr>
            </w:pPr>
            <w:r w:rsidRPr="001E198B">
              <w:rPr>
                <w:color w:val="000000"/>
                <w:kern w:val="2"/>
                <w:sz w:val="20"/>
                <w:szCs w:val="24"/>
                <w:lang w:val="fr-FR" w:eastAsia="en-GB"/>
              </w:rPr>
              <w:t xml:space="preserve">T990I </w:t>
            </w:r>
          </w:p>
          <w:p w14:paraId="05C8F290" w14:textId="77777777" w:rsidR="001E198B" w:rsidRPr="001E198B" w:rsidRDefault="001E198B" w:rsidP="000B039D">
            <w:pPr>
              <w:spacing w:after="39"/>
              <w:ind w:left="1"/>
              <w:rPr>
                <w:color w:val="000000"/>
                <w:kern w:val="2"/>
                <w:sz w:val="22"/>
                <w:szCs w:val="24"/>
                <w:lang w:val="fr-FR" w:eastAsia="en-GB"/>
              </w:rPr>
            </w:pPr>
            <w:r w:rsidRPr="001E198B">
              <w:rPr>
                <w:color w:val="000000"/>
                <w:kern w:val="2"/>
                <w:sz w:val="20"/>
                <w:szCs w:val="24"/>
                <w:lang w:val="fr-FR" w:eastAsia="en-GB"/>
              </w:rPr>
              <w:t>T1036N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090E207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T1057R </w:t>
            </w:r>
          </w:p>
          <w:p w14:paraId="7E00E1ED"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T1086A </w:t>
            </w:r>
          </w:p>
          <w:p w14:paraId="02E839BC"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T1086I </w:t>
            </w:r>
          </w:p>
          <w:p w14:paraId="21FBA5D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T1246I </w:t>
            </w:r>
          </w:p>
          <w:p w14:paraId="4E16A41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T1299I </w:t>
            </w:r>
          </w:p>
          <w:p w14:paraId="55A2F068"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T1299K </w:t>
            </w:r>
          </w:p>
          <w:p w14:paraId="66EDB9F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V11I </w:t>
            </w:r>
          </w:p>
          <w:p w14:paraId="49053AE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V93D </w:t>
            </w:r>
          </w:p>
          <w:p w14:paraId="68B1DD3A"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V201M </w:t>
            </w:r>
          </w:p>
          <w:p w14:paraId="0A80D915"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V232A </w:t>
            </w:r>
          </w:p>
          <w:p w14:paraId="0C14BA65"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V232D </w:t>
            </w:r>
          </w:p>
          <w:p w14:paraId="123F7E46"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V317A </w:t>
            </w:r>
          </w:p>
          <w:p w14:paraId="28DC0525"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V322M </w:t>
            </w:r>
          </w:p>
          <w:p w14:paraId="1BBE1B6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V392G </w:t>
            </w:r>
          </w:p>
          <w:p w14:paraId="672D4841"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V456A </w:t>
            </w:r>
          </w:p>
          <w:p w14:paraId="4F39D4A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V456F </w:t>
            </w:r>
          </w:p>
          <w:p w14:paraId="78A01236" w14:textId="77777777" w:rsidR="001E198B" w:rsidRPr="001E198B" w:rsidRDefault="001E198B" w:rsidP="000B039D">
            <w:pPr>
              <w:spacing w:after="6"/>
              <w:ind w:left="1"/>
              <w:rPr>
                <w:color w:val="000000"/>
                <w:kern w:val="2"/>
                <w:sz w:val="22"/>
                <w:szCs w:val="24"/>
                <w:lang w:val="it-IT" w:eastAsia="en-GB"/>
              </w:rPr>
            </w:pPr>
            <w:r w:rsidRPr="001E198B">
              <w:rPr>
                <w:color w:val="000000"/>
                <w:kern w:val="2"/>
                <w:sz w:val="20"/>
                <w:szCs w:val="24"/>
                <w:lang w:val="it-IT" w:eastAsia="en-GB"/>
              </w:rPr>
              <w:t xml:space="preserve">V520I </w:t>
            </w:r>
          </w:p>
          <w:p w14:paraId="2FE79203" w14:textId="77777777" w:rsidR="001E198B" w:rsidRPr="001E198B" w:rsidRDefault="001E198B" w:rsidP="000B039D">
            <w:pPr>
              <w:spacing w:after="37"/>
              <w:ind w:left="1"/>
              <w:rPr>
                <w:color w:val="000000"/>
                <w:kern w:val="2"/>
                <w:sz w:val="22"/>
                <w:szCs w:val="24"/>
                <w:lang w:val="it-IT" w:eastAsia="en-GB"/>
              </w:rPr>
            </w:pPr>
            <w:r w:rsidRPr="001E198B">
              <w:rPr>
                <w:color w:val="000000"/>
                <w:kern w:val="2"/>
                <w:sz w:val="20"/>
                <w:szCs w:val="24"/>
                <w:lang w:val="it-IT" w:eastAsia="en-GB"/>
              </w:rPr>
              <w:t>V562I;A1006E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61D9423F"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V562L </w:t>
            </w:r>
          </w:p>
          <w:p w14:paraId="66CF5DD3" w14:textId="77777777" w:rsidR="001E198B" w:rsidRPr="001E198B" w:rsidRDefault="001E198B" w:rsidP="000B039D">
            <w:pPr>
              <w:ind w:left="1" w:right="197"/>
              <w:rPr>
                <w:color w:val="000000"/>
                <w:kern w:val="2"/>
                <w:sz w:val="22"/>
                <w:szCs w:val="24"/>
                <w:lang w:val="it-IT" w:eastAsia="en-GB"/>
              </w:rPr>
            </w:pPr>
            <w:r w:rsidRPr="001E198B">
              <w:rPr>
                <w:color w:val="000000"/>
                <w:kern w:val="2"/>
                <w:sz w:val="20"/>
                <w:szCs w:val="24"/>
                <w:lang w:val="it-IT" w:eastAsia="en-GB"/>
              </w:rPr>
              <w:t xml:space="preserve">V591A V603F </w:t>
            </w:r>
          </w:p>
          <w:p w14:paraId="3C4F59EB" w14:textId="77777777" w:rsidR="001E198B" w:rsidRPr="001E198B" w:rsidRDefault="001E198B" w:rsidP="000B039D">
            <w:pPr>
              <w:ind w:left="1"/>
              <w:rPr>
                <w:color w:val="000000"/>
                <w:kern w:val="2"/>
                <w:sz w:val="20"/>
                <w:szCs w:val="24"/>
                <w:lang w:val="it-IT" w:eastAsia="en-GB"/>
              </w:rPr>
            </w:pPr>
            <w:r w:rsidRPr="001E198B">
              <w:rPr>
                <w:color w:val="000000"/>
                <w:kern w:val="2"/>
                <w:sz w:val="20"/>
                <w:szCs w:val="24"/>
                <w:lang w:val="it-IT" w:eastAsia="en-GB"/>
              </w:rPr>
              <w:t>V920L</w:t>
            </w:r>
          </w:p>
          <w:p w14:paraId="4B39664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V920M </w:t>
            </w:r>
          </w:p>
          <w:p w14:paraId="7415D72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V1008D </w:t>
            </w:r>
          </w:p>
          <w:p w14:paraId="04EC152B"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V1010D </w:t>
            </w:r>
          </w:p>
          <w:p w14:paraId="6FF4BB0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V1153E </w:t>
            </w:r>
          </w:p>
          <w:p w14:paraId="1AB711E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V1240G </w:t>
            </w:r>
          </w:p>
          <w:p w14:paraId="7C3653D5"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V1293G </w:t>
            </w:r>
          </w:p>
          <w:p w14:paraId="4B3B03D2"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V1293I </w:t>
            </w:r>
          </w:p>
          <w:p w14:paraId="320E696E"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V1415F </w:t>
            </w:r>
          </w:p>
          <w:p w14:paraId="6DEF6824"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W202C </w:t>
            </w:r>
          </w:p>
          <w:p w14:paraId="147B1C5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W361R </w:t>
            </w:r>
          </w:p>
          <w:p w14:paraId="51FB5221"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W496R </w:t>
            </w:r>
          </w:p>
          <w:p w14:paraId="318AA6F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W1098C </w:t>
            </w:r>
          </w:p>
          <w:p w14:paraId="2F34FA13"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W1282G </w:t>
            </w:r>
          </w:p>
          <w:p w14:paraId="1E6A6D4B"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W1282R </w:t>
            </w:r>
          </w:p>
          <w:p w14:paraId="73EF872C"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Y89C </w:t>
            </w:r>
          </w:p>
          <w:p w14:paraId="4721944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Y109H </w:t>
            </w:r>
          </w:p>
          <w:p w14:paraId="6E4233D8"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Y109N </w:t>
            </w:r>
          </w:p>
          <w:p w14:paraId="7CCBCD51"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Y122C </w:t>
            </w:r>
          </w:p>
          <w:p w14:paraId="3190935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Y161C </w:t>
            </w:r>
          </w:p>
          <w:p w14:paraId="12712E46"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Y161D </w:t>
            </w:r>
          </w:p>
          <w:p w14:paraId="1B08F9B7"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Y161S </w:t>
            </w:r>
          </w:p>
          <w:p w14:paraId="4260A37E"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Y301C </w:t>
            </w:r>
          </w:p>
          <w:p w14:paraId="106CF39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Y563N </w:t>
            </w:r>
          </w:p>
          <w:p w14:paraId="3EC9A107"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Y913S </w:t>
            </w:r>
          </w:p>
          <w:p w14:paraId="583353B9"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Y919C </w:t>
            </w:r>
          </w:p>
          <w:p w14:paraId="441FB34D"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Y1014C </w:t>
            </w:r>
          </w:p>
          <w:p w14:paraId="0F2E7BAD"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Y1032C </w:t>
            </w:r>
          </w:p>
          <w:p w14:paraId="054B4224"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Y1032N </w:t>
            </w:r>
          </w:p>
          <w:p w14:paraId="33350B96"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Y1073C </w:t>
            </w:r>
          </w:p>
          <w:p w14:paraId="150A4F4A"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Y1092H </w:t>
            </w:r>
          </w:p>
          <w:p w14:paraId="47907C8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Y1381H</w:t>
            </w:r>
          </w:p>
        </w:tc>
      </w:tr>
      <w:tr w:rsidR="001E198B" w:rsidRPr="00915489" w14:paraId="06AD5B83"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tcMar>
              <w:top w:w="73" w:type="dxa"/>
              <w:left w:w="107" w:type="dxa"/>
              <w:bottom w:w="0" w:type="dxa"/>
              <w:right w:w="64" w:type="dxa"/>
            </w:tcMar>
            <w:hideMark/>
          </w:tcPr>
          <w:p w14:paraId="4971595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lastRenderedPageBreak/>
              <w:t>There are people with CF harbouring two, rare non-</w:t>
            </w:r>
            <w:r w:rsidRPr="001E198B">
              <w:rPr>
                <w:i/>
                <w:color w:val="000000"/>
                <w:kern w:val="2"/>
                <w:sz w:val="20"/>
                <w:szCs w:val="24"/>
                <w:lang w:val="en-GB" w:eastAsia="en-GB"/>
              </w:rPr>
              <w:t>F508del CFTR</w:t>
            </w:r>
            <w:r w:rsidRPr="001E198B">
              <w:rPr>
                <w:color w:val="000000"/>
                <w:kern w:val="2"/>
                <w:sz w:val="20"/>
                <w:szCs w:val="24"/>
                <w:lang w:val="en-GB" w:eastAsia="en-GB"/>
              </w:rPr>
              <w:t xml:space="preserve"> mutations not listed in Table 6. Provided that they do not harbour two class I (null) mutations (mutations that are known not to produce CFTR protein) (see section 4.1), they may respond to treatment. In these cases, Kaftrio can be considered when the physician deems the potential benefits outweigh the potential risks and under close medical supervision.  </w:t>
            </w:r>
          </w:p>
          <w:p w14:paraId="1C7C1C2B"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The individual diagnosis of CF should be based on diagnostic guidelines and clinical judgement as considerable variability exists in phenotype for patients harbouring the same genotype.  </w:t>
            </w:r>
          </w:p>
          <w:p w14:paraId="605169BF" w14:textId="77777777" w:rsidR="001E198B" w:rsidRPr="001E198B" w:rsidRDefault="001E198B" w:rsidP="000B039D">
            <w:pPr>
              <w:spacing w:after="48"/>
              <w:ind w:left="112" w:hanging="111"/>
              <w:rPr>
                <w:color w:val="000000"/>
                <w:kern w:val="2"/>
                <w:sz w:val="22"/>
                <w:szCs w:val="24"/>
                <w:lang w:val="en-GB" w:eastAsia="en-GB"/>
              </w:rPr>
            </w:pP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Mutations supported by clinical data.</w:t>
            </w:r>
          </w:p>
          <w:p w14:paraId="2E52B335" w14:textId="77777777" w:rsidR="001E198B" w:rsidRPr="001E198B" w:rsidRDefault="001E198B" w:rsidP="000B039D">
            <w:pPr>
              <w:numPr>
                <w:ilvl w:val="0"/>
                <w:numId w:val="15"/>
              </w:numPr>
              <w:tabs>
                <w:tab w:val="left" w:pos="125"/>
              </w:tabs>
              <w:spacing w:after="31"/>
              <w:ind w:left="112" w:right="6" w:hanging="111"/>
              <w:rPr>
                <w:color w:val="000000"/>
                <w:kern w:val="2"/>
                <w:sz w:val="22"/>
                <w:szCs w:val="24"/>
                <w:lang w:val="en-GB" w:eastAsia="en-GB"/>
              </w:rPr>
            </w:pPr>
            <w:r w:rsidRPr="001E198B">
              <w:rPr>
                <w:color w:val="000000"/>
                <w:kern w:val="2"/>
                <w:sz w:val="20"/>
                <w:szCs w:val="24"/>
                <w:lang w:val="en-GB" w:eastAsia="en-GB"/>
              </w:rPr>
              <w:t xml:space="preserve">Mutations supported by Real-World data in ≥ 5 patients. </w:t>
            </w:r>
          </w:p>
          <w:p w14:paraId="35B1C488" w14:textId="77777777" w:rsidR="001E198B" w:rsidRPr="001E198B" w:rsidRDefault="001E198B" w:rsidP="000B039D">
            <w:pPr>
              <w:numPr>
                <w:ilvl w:val="0"/>
                <w:numId w:val="15"/>
              </w:numPr>
              <w:tabs>
                <w:tab w:val="left" w:pos="125"/>
              </w:tabs>
              <w:spacing w:after="31"/>
              <w:ind w:left="112" w:right="6" w:hanging="111"/>
              <w:rPr>
                <w:color w:val="000000"/>
                <w:kern w:val="2"/>
                <w:sz w:val="22"/>
                <w:szCs w:val="24"/>
                <w:lang w:val="en-GB" w:eastAsia="en-GB"/>
              </w:rPr>
            </w:pPr>
            <w:r w:rsidRPr="001E198B">
              <w:rPr>
                <w:color w:val="000000"/>
                <w:kern w:val="2"/>
                <w:sz w:val="20"/>
                <w:szCs w:val="24"/>
                <w:lang w:val="en-GB" w:eastAsia="en-GB"/>
              </w:rPr>
              <w:t xml:space="preserve">Complex/compound mutations where a single allele of the </w:t>
            </w:r>
            <w:r w:rsidRPr="001E198B">
              <w:rPr>
                <w:i/>
                <w:color w:val="000000"/>
                <w:kern w:val="2"/>
                <w:sz w:val="20"/>
                <w:szCs w:val="24"/>
                <w:lang w:val="en-GB" w:eastAsia="en-GB"/>
              </w:rPr>
              <w:t>CFTR</w:t>
            </w:r>
            <w:r w:rsidRPr="001E198B">
              <w:rPr>
                <w:color w:val="000000"/>
                <w:kern w:val="2"/>
                <w:sz w:val="20"/>
                <w:szCs w:val="24"/>
                <w:lang w:val="en-GB" w:eastAsia="en-GB"/>
              </w:rPr>
              <w:t xml:space="preserve"> gene has multiple mutations; these exist independent of the presence of mutations on the other allele. </w:t>
            </w:r>
          </w:p>
          <w:p w14:paraId="7FCD6BCC" w14:textId="77777777" w:rsidR="001E198B" w:rsidRPr="001E198B" w:rsidRDefault="001E198B" w:rsidP="000B039D">
            <w:pPr>
              <w:ind w:left="1"/>
              <w:jc w:val="both"/>
              <w:rPr>
                <w:color w:val="000000"/>
                <w:kern w:val="2"/>
                <w:sz w:val="22"/>
                <w:szCs w:val="24"/>
                <w:lang w:val="en-GB" w:eastAsia="en-GB"/>
              </w:rPr>
            </w:pPr>
            <w:r w:rsidRPr="001E198B">
              <w:rPr>
                <w:color w:val="000000"/>
                <w:kern w:val="2"/>
                <w:sz w:val="20"/>
                <w:szCs w:val="24"/>
                <w:lang w:val="en-GB" w:eastAsia="en-GB"/>
              </w:rPr>
              <w:t xml:space="preserve">Non-annotated mutations are included based on the FRT assay in which a positive response is indicative of a clinical response. </w:t>
            </w:r>
          </w:p>
        </w:tc>
      </w:tr>
    </w:tbl>
    <w:p w14:paraId="107438FA" w14:textId="77777777" w:rsidR="001E198B" w:rsidRPr="001E198B" w:rsidRDefault="001E198B" w:rsidP="000B039D">
      <w:pPr>
        <w:ind w:left="851"/>
        <w:rPr>
          <w:color w:val="000000"/>
          <w:kern w:val="2"/>
          <w:sz w:val="24"/>
          <w:szCs w:val="24"/>
          <w:lang w:val="en-GB" w:eastAsia="en-GB"/>
        </w:rPr>
      </w:pPr>
    </w:p>
    <w:p w14:paraId="55BA9A32" w14:textId="77777777" w:rsidR="001E198B" w:rsidRPr="001E198B" w:rsidRDefault="001E198B" w:rsidP="000B039D">
      <w:pPr>
        <w:ind w:left="851"/>
        <w:rPr>
          <w:color w:val="000000"/>
          <w:kern w:val="2"/>
          <w:sz w:val="24"/>
          <w:szCs w:val="24"/>
          <w:u w:val="single"/>
          <w:lang w:val="en-GB" w:eastAsia="en-GB"/>
        </w:rPr>
      </w:pPr>
      <w:r w:rsidRPr="001E198B">
        <w:rPr>
          <w:color w:val="000000"/>
          <w:kern w:val="2"/>
          <w:sz w:val="24"/>
          <w:szCs w:val="24"/>
          <w:u w:val="single"/>
          <w:lang w:val="en-GB" w:eastAsia="en-GB"/>
        </w:rPr>
        <w:t>Pharmacodynamic effects</w:t>
      </w:r>
      <w:r w:rsidRPr="001E198B">
        <w:rPr>
          <w:color w:val="000000"/>
          <w:kern w:val="2"/>
          <w:sz w:val="24"/>
          <w:szCs w:val="24"/>
          <w:lang w:val="en-GB" w:eastAsia="en-GB"/>
        </w:rPr>
        <w:t xml:space="preserve"> </w:t>
      </w:r>
    </w:p>
    <w:p w14:paraId="72BA6606"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3E8E9AA"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as monotherapy </w:t>
      </w:r>
    </w:p>
    <w:p w14:paraId="79F1A187"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studies 770-102 and 770-103 in patients with the </w:t>
      </w:r>
      <w:r w:rsidRPr="001E198B">
        <w:rPr>
          <w:i/>
          <w:color w:val="000000"/>
          <w:kern w:val="2"/>
          <w:sz w:val="24"/>
          <w:szCs w:val="24"/>
          <w:lang w:val="en-GB" w:eastAsia="en-GB"/>
        </w:rPr>
        <w:t xml:space="preserve">G551D </w:t>
      </w:r>
      <w:r w:rsidRPr="001E198B">
        <w:rPr>
          <w:color w:val="000000"/>
          <w:kern w:val="2"/>
          <w:sz w:val="24"/>
          <w:szCs w:val="24"/>
          <w:lang w:val="en-GB" w:eastAsia="en-GB"/>
        </w:rPr>
        <w:t xml:space="preserve">mutation in one allele of the </w:t>
      </w:r>
      <w:r w:rsidRPr="001E198B">
        <w:rPr>
          <w:i/>
          <w:color w:val="000000"/>
          <w:kern w:val="2"/>
          <w:sz w:val="24"/>
          <w:szCs w:val="24"/>
          <w:lang w:val="en-GB" w:eastAsia="en-GB"/>
        </w:rPr>
        <w:t>CFTR</w:t>
      </w:r>
      <w:r w:rsidRPr="001E198B">
        <w:rPr>
          <w:color w:val="000000"/>
          <w:kern w:val="2"/>
          <w:sz w:val="24"/>
          <w:szCs w:val="24"/>
          <w:lang w:val="en-GB" w:eastAsia="en-GB"/>
        </w:rPr>
        <w:t xml:space="preserve"> gene, ivacaftor led to rapid (15 days), substantial (the mean change in sweat chloride from baseline through week 24 was -48 mmol/L [95% CI: -51, -45] and -54 mmol/L [95% CI: -62, -47], respectively) and sustained (through 48 weeks) reductions in sweat chloride concentration. </w:t>
      </w:r>
    </w:p>
    <w:p w14:paraId="45CEA46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23855CFB"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In study 770-111, part 1 in patients who had a non-</w:t>
      </w:r>
      <w:r w:rsidRPr="001E198B">
        <w:rPr>
          <w:i/>
          <w:color w:val="000000"/>
          <w:kern w:val="2"/>
          <w:sz w:val="24"/>
          <w:szCs w:val="24"/>
          <w:lang w:val="en-GB" w:eastAsia="en-GB"/>
        </w:rPr>
        <w:t>G551D</w:t>
      </w:r>
      <w:r w:rsidRPr="001E198B">
        <w:rPr>
          <w:color w:val="000000"/>
          <w:kern w:val="2"/>
          <w:sz w:val="24"/>
          <w:szCs w:val="24"/>
          <w:lang w:val="en-GB" w:eastAsia="en-GB"/>
        </w:rPr>
        <w:t xml:space="preserve"> gating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treatment with ivacaftor led to a rapid (15 days) and substantial mean change from baseline in sweat chloride of -49 mmol/L (95% CI: -57, -41) through 8 weeks of treatment. However, in patients with the </w:t>
      </w:r>
      <w:r w:rsidRPr="001E198B">
        <w:rPr>
          <w:i/>
          <w:color w:val="000000"/>
          <w:kern w:val="2"/>
          <w:sz w:val="24"/>
          <w:szCs w:val="24"/>
          <w:lang w:val="en-GB" w:eastAsia="en-GB"/>
        </w:rPr>
        <w:t>G970R</w:t>
      </w:r>
      <w:r w:rsidRPr="001E198B">
        <w:rPr>
          <w:color w:val="000000"/>
          <w:kern w:val="2"/>
          <w:sz w:val="24"/>
          <w:szCs w:val="24"/>
          <w:lang w:val="en-GB" w:eastAsia="en-GB"/>
        </w:rPr>
        <w:t>-</w:t>
      </w:r>
      <w:r w:rsidRPr="001E198B">
        <w:rPr>
          <w:i/>
          <w:color w:val="000000"/>
          <w:kern w:val="2"/>
          <w:sz w:val="24"/>
          <w:szCs w:val="24"/>
          <w:lang w:val="en-GB" w:eastAsia="en-GB"/>
        </w:rPr>
        <w:t>CFTR</w:t>
      </w:r>
      <w:r w:rsidRPr="001E198B">
        <w:rPr>
          <w:color w:val="000000"/>
          <w:kern w:val="2"/>
          <w:sz w:val="24"/>
          <w:szCs w:val="24"/>
          <w:lang w:val="en-GB" w:eastAsia="en-GB"/>
        </w:rPr>
        <w:t xml:space="preserve"> mutation, the mean (SD) absolute change in sweat chloride at week 8 was -6.25 (6.55) mmol/L. Similar results to part 1 were seen in part 2 of the study. At the 4-week follow-up visit (4 weeks after dosing with ivacaftor ended), mean sweat chloride values for each group were trending to pre-treatment levels. </w:t>
      </w:r>
    </w:p>
    <w:p w14:paraId="4E4CDC0E"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5A2DAE0"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770-110 in patients aged 6 years or older with CF who had an </w:t>
      </w:r>
      <w:r w:rsidRPr="001E198B">
        <w:rPr>
          <w:i/>
          <w:color w:val="000000"/>
          <w:kern w:val="2"/>
          <w:sz w:val="24"/>
          <w:szCs w:val="24"/>
          <w:lang w:val="en-GB" w:eastAsia="en-GB"/>
        </w:rPr>
        <w:t>R117H</w:t>
      </w:r>
      <w:r w:rsidRPr="001E198B">
        <w:rPr>
          <w:color w:val="000000"/>
          <w:kern w:val="2"/>
          <w:sz w:val="24"/>
          <w:szCs w:val="24"/>
          <w:lang w:val="en-GB" w:eastAsia="en-GB"/>
        </w:rPr>
        <w:t xml:space="preserve">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the treatment difference in mean change in sweat chloride from baseline through 24 weeks of treatment was -24 mmol/L (95% CI: -28, -20). In subgroup analyses by age, the treatment difference was -21.87 mmol/L (95% CI: -26.46, -17.28) in patients aged 18 years or older, and -27.63 mmol/L (95% CI: -37.16, -18.10) in patients aged 6 to 11 years. Two patients 12 to 17 years of age were enrolled in this study. </w:t>
      </w:r>
    </w:p>
    <w:p w14:paraId="03B3C2C2" w14:textId="10E03AC0" w:rsidR="000B039D"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053A9845" w14:textId="77777777" w:rsidR="000B039D" w:rsidRDefault="000B039D">
      <w:pPr>
        <w:rPr>
          <w:color w:val="000000"/>
          <w:kern w:val="2"/>
          <w:sz w:val="24"/>
          <w:szCs w:val="24"/>
          <w:lang w:val="en-GB" w:eastAsia="en-GB"/>
        </w:rPr>
      </w:pPr>
      <w:r>
        <w:rPr>
          <w:color w:val="000000"/>
          <w:kern w:val="2"/>
          <w:sz w:val="24"/>
          <w:szCs w:val="24"/>
          <w:lang w:val="en-GB" w:eastAsia="en-GB"/>
        </w:rPr>
        <w:br w:type="page"/>
      </w:r>
    </w:p>
    <w:p w14:paraId="01395E38" w14:textId="77777777" w:rsidR="001E198B" w:rsidRPr="001E198B" w:rsidRDefault="001E198B" w:rsidP="000B039D">
      <w:pPr>
        <w:ind w:left="851"/>
        <w:rPr>
          <w:color w:val="000000"/>
          <w:kern w:val="2"/>
          <w:sz w:val="24"/>
          <w:szCs w:val="24"/>
          <w:lang w:val="en-GB" w:eastAsia="en-GB"/>
        </w:rPr>
      </w:pPr>
    </w:p>
    <w:p w14:paraId="224337DD"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in a combination regimen with tezacaftor/ivacaftor </w:t>
      </w:r>
    </w:p>
    <w:p w14:paraId="58303B42" w14:textId="78CE98B2"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661-106 (patients homozygous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 xml:space="preserve">mutation), the treatment difference between ivacaftor in combination with tezacaftor/ivacaftor and placebo in mean absolute change from baseline in sweat chloride through week 24, was -10.1 mmol/L (95% CI: -11.4, -8.8). </w:t>
      </w:r>
    </w:p>
    <w:p w14:paraId="4D5E4577"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349BD50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661-108 (patients heterozygous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mutation and a second mutation associated with residual CFTR</w:t>
      </w:r>
      <w:r w:rsidRPr="001E198B">
        <w:rPr>
          <w:i/>
          <w:color w:val="000000"/>
          <w:kern w:val="2"/>
          <w:sz w:val="24"/>
          <w:szCs w:val="24"/>
          <w:lang w:val="en-GB" w:eastAsia="en-GB"/>
        </w:rPr>
        <w:t xml:space="preserve"> </w:t>
      </w:r>
      <w:r w:rsidRPr="001E198B">
        <w:rPr>
          <w:color w:val="000000"/>
          <w:kern w:val="2"/>
          <w:sz w:val="24"/>
          <w:szCs w:val="24"/>
          <w:lang w:val="en-GB" w:eastAsia="en-GB"/>
        </w:rPr>
        <w:t xml:space="preserve">activity), the treatment difference in mean absolute change from baseline in sweat chloride through week 8 was -9.5 mmol/L (95% CI: -11.7, -7.3) between tezacaftor/ivacaftor in combination with ivacaftor and placebo, and -4.5 mmol/L (95% CI: -6.7, -2.3) between ivacaftor and placebo. </w:t>
      </w:r>
    </w:p>
    <w:p w14:paraId="59492000"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655D766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661-115 (patients aged 6 to less than 12 years who were homozygous or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second mutation associated with residual CFTR activity), the within treatment mean absolute change in sweat chloride from baseline at week 8 was -12.3 mmol/L (95% CI: -15.3, 9.3) in the tezacaftor/ivacaftor group. </w:t>
      </w:r>
    </w:p>
    <w:p w14:paraId="4D93C4BA"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lang w:val="en-GB" w:eastAsia="en-GB"/>
        </w:rPr>
        <w:t xml:space="preserve"> </w:t>
      </w:r>
    </w:p>
    <w:p w14:paraId="38EEEAB6"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in a combination regimen with ivacaftor/tezacaftor/elexacaftor </w:t>
      </w:r>
    </w:p>
    <w:p w14:paraId="1B239541"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445-102 (patients with an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on one allele and a mutation on the second allele that predicts either no production of a CFTR protein or a CFTR protein that does not transport chloride and is not responsive to ivacaftor and tezacaftor/ivacaftor (minimal function mutation) </w:t>
      </w:r>
      <w:r w:rsidRPr="001E198B">
        <w:rPr>
          <w:i/>
          <w:color w:val="000000"/>
          <w:kern w:val="2"/>
          <w:sz w:val="24"/>
          <w:szCs w:val="24"/>
          <w:lang w:val="en-GB" w:eastAsia="en-GB"/>
        </w:rPr>
        <w:t>in vitro</w:t>
      </w:r>
      <w:r w:rsidRPr="001E198B">
        <w:rPr>
          <w:color w:val="000000"/>
          <w:kern w:val="2"/>
          <w:sz w:val="24"/>
          <w:szCs w:val="24"/>
          <w:lang w:val="en-GB" w:eastAsia="en-GB"/>
        </w:rPr>
        <w:t xml:space="preserve">), the treatment difference of ivacaftor/tezacaftor/elexacaftor compared to placebo for mean absolute change in sweat chloride from baseline through week 24 was -41.8 mmol/L (95% CI: -44.4, -39.3). </w:t>
      </w:r>
    </w:p>
    <w:p w14:paraId="3F219F5A"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07EB172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445-103 (patients homozygous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 xml:space="preserve">mutation), the treatment difference of ivacaftor/tezacaftor/elexacaftor compared to tezacaftor/ivacaftor for mean absolute change in sweat chloride from baseline at week 4 was -45.1 mmol/L (95% CI: -50.1, -40.1). </w:t>
      </w:r>
    </w:p>
    <w:p w14:paraId="60E3729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10AF81F1"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445-104 (patients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mutation on the second allele with a gating defect or residual CFTR activity), the treatment difference of </w:t>
      </w:r>
    </w:p>
    <w:p w14:paraId="3818BCCA"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ivacaftor/tezacaftor/elexacaftor compared to the control group (ivacaftor monotherapy group or tezacaftor/ivacaftor in combination with ivacaftor group) for mean absolute change in sweat chloride from baseline through week 8 was -23.1 mmol/L (95% CI: -26.1, -20.1). </w:t>
      </w:r>
    </w:p>
    <w:p w14:paraId="280F5AB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018D7D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445-106 (patients aged 6 to less than 12 years, homozygous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or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minimal function mutation), the mean absolute change in sweat chloride from baseline (n=62) through week 24 (n=60) was -60.9 mmol/L (95% CI: -63.7, 58.2)</w:t>
      </w:r>
      <w:r w:rsidRPr="001E198B">
        <w:rPr>
          <w:color w:val="000000"/>
          <w:kern w:val="2"/>
          <w:sz w:val="24"/>
          <w:szCs w:val="24"/>
          <w:vertAlign w:val="superscript"/>
          <w:lang w:val="en-GB" w:eastAsia="en-GB"/>
        </w:rPr>
        <w:t>*</w:t>
      </w:r>
      <w:r w:rsidRPr="001E198B">
        <w:rPr>
          <w:color w:val="000000"/>
          <w:kern w:val="2"/>
          <w:sz w:val="24"/>
          <w:szCs w:val="24"/>
          <w:lang w:val="en-GB" w:eastAsia="en-GB"/>
        </w:rPr>
        <w:t xml:space="preserve">. The mean absolute change in sweat chloride from baseline through week 12 (n=59) was -58.6 mmol/L (95% CI: -61.1, -56.1). </w:t>
      </w:r>
    </w:p>
    <w:p w14:paraId="041CD1B0" w14:textId="77777777" w:rsidR="001E198B" w:rsidRPr="001E198B" w:rsidRDefault="001E198B" w:rsidP="000B039D">
      <w:pPr>
        <w:ind w:left="851"/>
        <w:rPr>
          <w:color w:val="000000"/>
          <w:kern w:val="2"/>
          <w:sz w:val="24"/>
          <w:szCs w:val="24"/>
          <w:lang w:val="en-GB" w:eastAsia="en-GB"/>
        </w:rPr>
      </w:pPr>
    </w:p>
    <w:p w14:paraId="60A4EF2E" w14:textId="77777777" w:rsidR="001E198B" w:rsidRPr="00E9130E" w:rsidRDefault="001E198B" w:rsidP="000B039D">
      <w:pPr>
        <w:ind w:left="851"/>
        <w:rPr>
          <w:color w:val="000000"/>
          <w:kern w:val="2"/>
          <w:sz w:val="22"/>
          <w:szCs w:val="22"/>
          <w:lang w:val="en-GB" w:eastAsia="en-GB"/>
        </w:rPr>
      </w:pPr>
      <w:r w:rsidRPr="00E9130E">
        <w:rPr>
          <w:color w:val="000000"/>
          <w:kern w:val="2"/>
          <w:sz w:val="22"/>
          <w:szCs w:val="22"/>
          <w:lang w:val="en-GB" w:eastAsia="en-GB"/>
        </w:rPr>
        <w:t xml:space="preserve">*  Not all participants included in the analyses had data available for all follow-up visits, especially from week 16 onwards. The ability to collect data at week 24 was hampered by the COVID-19 pandemic. Week 12 data were less impacted by the pandemic. </w:t>
      </w:r>
    </w:p>
    <w:p w14:paraId="327891E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5682FF3F"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445-116 (patients aged 6 to less than 12 years who are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minimal function mutation), the mean treatment difference for the ivacaftor/tezacaftor/elexacaftor in combination with ivacaftor group versus placebo for the </w:t>
      </w:r>
      <w:r w:rsidRPr="001E198B">
        <w:rPr>
          <w:color w:val="000000"/>
          <w:kern w:val="2"/>
          <w:sz w:val="24"/>
          <w:szCs w:val="24"/>
          <w:lang w:val="en-GB" w:eastAsia="en-GB"/>
        </w:rPr>
        <w:lastRenderedPageBreak/>
        <w:t xml:space="preserve">absolute change in sweat chloride from baseline through week 24 was -51.2 mmol/L (95% CI: -55.3, -47.1). </w:t>
      </w:r>
    </w:p>
    <w:p w14:paraId="7A86FF08"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27F2CC5F"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In study 445-124 (patients aged 6 years and older with a qualifying non-</w:t>
      </w:r>
      <w:r w:rsidRPr="001E198B">
        <w:rPr>
          <w:i/>
          <w:iCs/>
          <w:color w:val="000000"/>
          <w:kern w:val="2"/>
          <w:sz w:val="24"/>
          <w:szCs w:val="24"/>
          <w:lang w:val="en-GB" w:eastAsia="en-GB"/>
        </w:rPr>
        <w:t>F508del</w:t>
      </w:r>
      <w:r w:rsidRPr="001E198B">
        <w:rPr>
          <w:color w:val="000000"/>
          <w:kern w:val="2"/>
          <w:sz w:val="24"/>
          <w:szCs w:val="24"/>
          <w:lang w:val="en-GB" w:eastAsia="en-GB"/>
        </w:rPr>
        <w:t>,</w:t>
      </w:r>
    </w:p>
    <w:p w14:paraId="46B66EF1" w14:textId="4F8E5A85"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ivacaftor/tezacaftor/elexacaftor-responsive </w:t>
      </w:r>
      <w:r w:rsidRPr="001E198B">
        <w:rPr>
          <w:i/>
          <w:iCs/>
          <w:color w:val="000000"/>
          <w:kern w:val="2"/>
          <w:sz w:val="24"/>
          <w:szCs w:val="24"/>
          <w:lang w:val="en-GB" w:eastAsia="en-GB"/>
        </w:rPr>
        <w:t xml:space="preserve">CFTR </w:t>
      </w:r>
      <w:r w:rsidRPr="001E198B">
        <w:rPr>
          <w:color w:val="000000"/>
          <w:kern w:val="2"/>
          <w:sz w:val="24"/>
          <w:szCs w:val="24"/>
          <w:lang w:val="en-GB" w:eastAsia="en-GB"/>
        </w:rPr>
        <w:t>mutation), the mean absolute change in sweat</w:t>
      </w:r>
      <w:r>
        <w:rPr>
          <w:color w:val="000000"/>
          <w:kern w:val="2"/>
          <w:sz w:val="24"/>
          <w:szCs w:val="24"/>
          <w:lang w:val="en-GB" w:eastAsia="en-GB"/>
        </w:rPr>
        <w:t xml:space="preserve"> </w:t>
      </w:r>
      <w:r w:rsidRPr="001E198B">
        <w:rPr>
          <w:color w:val="000000"/>
          <w:kern w:val="2"/>
          <w:sz w:val="24"/>
          <w:szCs w:val="24"/>
          <w:lang w:val="en-GB" w:eastAsia="en-GB"/>
        </w:rPr>
        <w:t>chloride from baseline through week 24 compared to placebo was -28.3 mmol/L</w:t>
      </w:r>
    </w:p>
    <w:p w14:paraId="5FCAF9A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(95% CI: -32.1, -24.5 mmol/L; </w:t>
      </w:r>
      <w:r w:rsidRPr="001E198B">
        <w:rPr>
          <w:i/>
          <w:iCs/>
          <w:color w:val="000000"/>
          <w:kern w:val="2"/>
          <w:sz w:val="24"/>
          <w:szCs w:val="24"/>
          <w:lang w:val="en-GB" w:eastAsia="en-GB"/>
        </w:rPr>
        <w:t xml:space="preserve">P </w:t>
      </w:r>
      <w:r w:rsidRPr="001E198B">
        <w:rPr>
          <w:color w:val="000000"/>
          <w:kern w:val="2"/>
          <w:sz w:val="24"/>
          <w:szCs w:val="24"/>
          <w:lang w:val="en-GB" w:eastAsia="en-GB"/>
        </w:rPr>
        <w:t>&lt; 0.0001).</w:t>
      </w:r>
    </w:p>
    <w:p w14:paraId="08D951CB" w14:textId="77777777" w:rsidR="001E198B" w:rsidRPr="001E198B" w:rsidRDefault="001E198B" w:rsidP="000B039D">
      <w:pPr>
        <w:ind w:left="851"/>
        <w:rPr>
          <w:color w:val="000000"/>
          <w:kern w:val="2"/>
          <w:sz w:val="24"/>
          <w:szCs w:val="24"/>
          <w:lang w:val="en-GB" w:eastAsia="en-GB"/>
        </w:rPr>
      </w:pPr>
    </w:p>
    <w:p w14:paraId="14239A76" w14:textId="77777777" w:rsidR="001E198B" w:rsidRPr="001E198B" w:rsidRDefault="001E198B" w:rsidP="000B039D">
      <w:pPr>
        <w:ind w:left="851"/>
        <w:rPr>
          <w:color w:val="000000"/>
          <w:kern w:val="2"/>
          <w:sz w:val="24"/>
          <w:szCs w:val="24"/>
          <w:u w:val="single"/>
          <w:lang w:val="en-GB" w:eastAsia="en-GB"/>
        </w:rPr>
      </w:pPr>
      <w:r w:rsidRPr="001E198B">
        <w:rPr>
          <w:color w:val="000000"/>
          <w:kern w:val="2"/>
          <w:sz w:val="24"/>
          <w:szCs w:val="24"/>
          <w:u w:val="single"/>
          <w:lang w:val="en-GB" w:eastAsia="en-GB"/>
        </w:rPr>
        <w:t>Clinical efficacy and safety</w:t>
      </w:r>
      <w:r w:rsidRPr="001E198B">
        <w:rPr>
          <w:color w:val="000000"/>
          <w:kern w:val="2"/>
          <w:sz w:val="24"/>
          <w:szCs w:val="24"/>
          <w:lang w:val="en-GB" w:eastAsia="en-GB"/>
        </w:rPr>
        <w:t xml:space="preserve"> </w:t>
      </w:r>
    </w:p>
    <w:p w14:paraId="34E95FCF"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lang w:val="en-GB" w:eastAsia="en-GB"/>
        </w:rPr>
        <w:t xml:space="preserve"> </w:t>
      </w:r>
    </w:p>
    <w:p w14:paraId="780D51DA"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as monotherapy </w:t>
      </w:r>
    </w:p>
    <w:p w14:paraId="320A073D"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lang w:val="en-GB" w:eastAsia="en-GB"/>
        </w:rPr>
        <w:t xml:space="preserve"> </w:t>
      </w:r>
    </w:p>
    <w:p w14:paraId="45C4907E"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u w:val="single"/>
          <w:lang w:val="en-GB" w:eastAsia="en-GB"/>
        </w:rPr>
        <w:t>Studies 770-102 and 770-103: studies in patients with CF with G551D gating mutations</w:t>
      </w:r>
      <w:r w:rsidRPr="001E198B">
        <w:rPr>
          <w:i/>
          <w:color w:val="000000"/>
          <w:kern w:val="2"/>
          <w:sz w:val="24"/>
          <w:szCs w:val="24"/>
          <w:lang w:val="en-GB" w:eastAsia="en-GB"/>
        </w:rPr>
        <w:t xml:space="preserve"> </w:t>
      </w:r>
    </w:p>
    <w:p w14:paraId="00CA7AF2" w14:textId="06EDF8B6"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The efficacy of ivacaftor has been evaluated in two phase 3 randomised, double-blind, placebo-controlled, multi-centre studies of clinically stable patients with CF who had the </w:t>
      </w:r>
      <w:r w:rsidRPr="001E198B">
        <w:rPr>
          <w:i/>
          <w:color w:val="000000"/>
          <w:kern w:val="2"/>
          <w:sz w:val="24"/>
          <w:szCs w:val="24"/>
          <w:lang w:val="en-GB" w:eastAsia="en-GB"/>
        </w:rPr>
        <w:t>G551D</w:t>
      </w:r>
      <w:r w:rsidRPr="001E198B">
        <w:rPr>
          <w:color w:val="000000"/>
          <w:kern w:val="2"/>
          <w:sz w:val="24"/>
          <w:szCs w:val="24"/>
          <w:lang w:val="en-GB" w:eastAsia="en-GB"/>
        </w:rPr>
        <w:t xml:space="preserve">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on at least one allele and had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 40% predicted. </w:t>
      </w:r>
    </w:p>
    <w:p w14:paraId="72DB3CE0"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5FBB4899"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Patients in both studies were randomised 1:1 to receive either 150 mg of ivacaftor or placebo every 12 hours with food containing fat for 48 weeks in addition to their prescribed CF therapies (e.g., tobramycin, dornase alfa). The use of inhaled hypertonic sodium chloride was not permitted. </w:t>
      </w:r>
    </w:p>
    <w:p w14:paraId="2EDCF84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6E2D04A5"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Study 770-102 evaluated 161 patients who were 12 years of age or older; 122 (75.8%) patients had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in the second allele. At the start of the study, patients in the placebo group used some medicinal products at a higher frequency than the ivacaftor group. These medicinal products included dornase alfa (73.1% versus 65.1%), salbutamol (53.8% versus 42.2%), tobramycin (44.9% versus 33.7%) and salmeterol/fluticasone (41.0% versus 27.7%). At baseline, mean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was 63.6% (range: 31.6% to 98.2%) and mean age was 26 years (range: 12 to 53 years). </w:t>
      </w:r>
    </w:p>
    <w:p w14:paraId="501813C5"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46BB40B6"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Study 770-103 evaluated 52 patients who were 6 to 11 years of age at screening; mean (SD) body weight was 30.9 (8.63) kg; 42 (80.8%) patients had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in the second allele. At baseline, mean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was 84.2% (range: 44.0% to 133.8%) and mean age was 9 years (range: 6 to 12 years); 8 (30.8%) patients in the placebo group and 4 (15.4%) patients in the ivacaftor group had an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less than 70% predicted at baseline. </w:t>
      </w:r>
    </w:p>
    <w:p w14:paraId="18AE5F49"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48A2CD6"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The primary efficacy endpoint in both studies was the mean absolute change from baseline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through 24 weeks of treatment. </w:t>
      </w:r>
    </w:p>
    <w:p w14:paraId="73E70C38"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01CCB191"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was 10.6 percentage points (8.6, 12.6) in study 770-102 and 12.5 percentage points (6.6, 18.3) in study 770-103. The treatment difference between ivacaftor and placebo for the mean relative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was 17.1% (13.9, 20.2) in study 770-102 and 15.8% (8.4, 23.2) in study 770-103. The mean change from baseline through week 24 in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(L) was 0.37 L in the ivacaftor group and 0.01 L in the placebo group in study 770-102 and 0.30 L in the ivacaftor group and 0.07 L in the placebo group in study 770-103. In both studies, improvements in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were rapid in onset (day 15) and durable through 48 weeks. </w:t>
      </w:r>
    </w:p>
    <w:p w14:paraId="24C4A679"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27333C8A"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lastRenderedPageBreak/>
        <w:t>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in patients 12 to 17 years of age in study 770102 was 11.9 percentage points (5.9, 17.9). 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in patients with baseline predicted FEV</w:t>
      </w:r>
      <w:r w:rsidRPr="001E198B">
        <w:rPr>
          <w:color w:val="000000"/>
          <w:kern w:val="2"/>
          <w:sz w:val="24"/>
          <w:szCs w:val="24"/>
          <w:vertAlign w:val="subscript"/>
          <w:lang w:val="en-GB" w:eastAsia="en-GB"/>
        </w:rPr>
        <w:t xml:space="preserve">1 </w:t>
      </w:r>
      <w:r w:rsidRPr="001E198B">
        <w:rPr>
          <w:color w:val="000000"/>
          <w:kern w:val="2"/>
          <w:sz w:val="24"/>
          <w:szCs w:val="24"/>
          <w:lang w:val="en-GB" w:eastAsia="en-GB"/>
        </w:rPr>
        <w:t xml:space="preserve">greater than 90% in study 770-103 was 6.9 percentage points (-3.8, 17.6). </w:t>
      </w:r>
    </w:p>
    <w:p w14:paraId="73A636AC"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4A8C5BB2"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The results for clinically relevant secondary endpoints are shown in Table 7. </w:t>
      </w:r>
    </w:p>
    <w:p w14:paraId="439C615E" w14:textId="50768556" w:rsidR="001E198B" w:rsidRPr="001E198B" w:rsidRDefault="001E198B" w:rsidP="000B039D">
      <w:pPr>
        <w:ind w:left="3"/>
        <w:rPr>
          <w:color w:val="000000"/>
          <w:kern w:val="2"/>
          <w:sz w:val="22"/>
          <w:szCs w:val="24"/>
          <w:lang w:val="en-GB" w:eastAsia="en-GB"/>
        </w:rPr>
      </w:pPr>
      <w:r w:rsidRPr="001E198B">
        <w:rPr>
          <w:color w:val="000000"/>
          <w:kern w:val="2"/>
          <w:sz w:val="22"/>
          <w:szCs w:val="24"/>
          <w:lang w:val="en-GB" w:eastAsia="en-GB"/>
        </w:rPr>
        <w:t xml:space="preserve"> </w:t>
      </w:r>
    </w:p>
    <w:p w14:paraId="2ABB64CD" w14:textId="77777777" w:rsidR="001E198B" w:rsidRPr="001E198B" w:rsidRDefault="001E198B" w:rsidP="000B039D">
      <w:pPr>
        <w:keepNext/>
        <w:keepLines/>
        <w:ind w:left="-2" w:hanging="10"/>
        <w:jc w:val="both"/>
        <w:outlineLvl w:val="0"/>
        <w:rPr>
          <w:b/>
          <w:color w:val="000000"/>
          <w:kern w:val="2"/>
          <w:sz w:val="22"/>
          <w:szCs w:val="24"/>
          <w:lang w:val="en-GB" w:eastAsia="en-GB"/>
        </w:rPr>
      </w:pPr>
      <w:r w:rsidRPr="001E198B">
        <w:rPr>
          <w:b/>
          <w:color w:val="000000"/>
          <w:kern w:val="2"/>
          <w:sz w:val="22"/>
          <w:szCs w:val="24"/>
          <w:lang w:val="en-GB" w:eastAsia="en-GB"/>
        </w:rPr>
        <w:t xml:space="preserve">Table 7: Effect of ivacaftor on other efficacy endpoints in studies 770-102 and 770-103 </w:t>
      </w:r>
    </w:p>
    <w:tbl>
      <w:tblPr>
        <w:tblW w:w="9076" w:type="dxa"/>
        <w:tblInd w:w="3" w:type="dxa"/>
        <w:tblCellMar>
          <w:top w:w="53" w:type="dxa"/>
          <w:bottom w:w="5" w:type="dxa"/>
          <w:right w:w="115" w:type="dxa"/>
        </w:tblCellMar>
        <w:tblLook w:val="04A0" w:firstRow="1" w:lastRow="0" w:firstColumn="1" w:lastColumn="0" w:noHBand="0" w:noVBand="1"/>
      </w:tblPr>
      <w:tblGrid>
        <w:gridCol w:w="2544"/>
        <w:gridCol w:w="1808"/>
        <w:gridCol w:w="1312"/>
        <w:gridCol w:w="1808"/>
        <w:gridCol w:w="1604"/>
      </w:tblGrid>
      <w:tr w:rsidR="001E198B" w:rsidRPr="001E198B" w14:paraId="39B2E771" w14:textId="77777777">
        <w:trPr>
          <w:trHeight w:val="113"/>
        </w:trPr>
        <w:tc>
          <w:tcPr>
            <w:tcW w:w="2544" w:type="dxa"/>
            <w:vMerge w:val="restart"/>
            <w:tcBorders>
              <w:top w:val="single" w:sz="4" w:space="0" w:color="000000"/>
              <w:left w:val="single" w:sz="4" w:space="0" w:color="000000"/>
              <w:bottom w:val="single" w:sz="4" w:space="0" w:color="000000"/>
              <w:right w:val="single" w:sz="4" w:space="0" w:color="000000"/>
            </w:tcBorders>
            <w:vAlign w:val="bottom"/>
            <w:hideMark/>
          </w:tcPr>
          <w:p w14:paraId="7216C770" w14:textId="77777777" w:rsidR="001E198B" w:rsidRPr="001E198B" w:rsidRDefault="001E198B" w:rsidP="000B039D">
            <w:pPr>
              <w:ind w:left="1100"/>
              <w:jc w:val="both"/>
              <w:rPr>
                <w:color w:val="000000"/>
                <w:kern w:val="2"/>
                <w:sz w:val="20"/>
                <w:lang w:val="en-GB" w:eastAsia="en-GB"/>
              </w:rPr>
            </w:pPr>
            <w:r w:rsidRPr="001E198B">
              <w:rPr>
                <w:b/>
                <w:color w:val="000000"/>
                <w:kern w:val="2"/>
                <w:sz w:val="20"/>
                <w:lang w:val="en-GB" w:eastAsia="en-GB"/>
              </w:rPr>
              <w:t xml:space="preserve">Endpoint </w:t>
            </w:r>
          </w:p>
        </w:tc>
        <w:tc>
          <w:tcPr>
            <w:tcW w:w="3120" w:type="dxa"/>
            <w:gridSpan w:val="2"/>
            <w:tcBorders>
              <w:top w:val="single" w:sz="4" w:space="0" w:color="000000"/>
              <w:left w:val="single" w:sz="4" w:space="0" w:color="000000"/>
              <w:bottom w:val="single" w:sz="4" w:space="0" w:color="000000"/>
              <w:right w:val="single" w:sz="4" w:space="0" w:color="000000"/>
            </w:tcBorders>
            <w:hideMark/>
          </w:tcPr>
          <w:p w14:paraId="6EEE1204" w14:textId="77777777" w:rsidR="001E198B" w:rsidRPr="001E198B" w:rsidRDefault="001E198B" w:rsidP="000B039D">
            <w:pPr>
              <w:ind w:left="7"/>
              <w:jc w:val="both"/>
              <w:rPr>
                <w:color w:val="000000"/>
                <w:kern w:val="2"/>
                <w:sz w:val="20"/>
                <w:lang w:val="en-GB" w:eastAsia="en-GB"/>
              </w:rPr>
            </w:pPr>
            <w:r w:rsidRPr="001E198B">
              <w:rPr>
                <w:b/>
                <w:color w:val="000000"/>
                <w:kern w:val="2"/>
                <w:sz w:val="20"/>
                <w:lang w:val="en-GB" w:eastAsia="en-GB"/>
              </w:rPr>
              <w:t xml:space="preserve">Study 770-102 </w:t>
            </w:r>
          </w:p>
        </w:tc>
        <w:tc>
          <w:tcPr>
            <w:tcW w:w="3412" w:type="dxa"/>
            <w:gridSpan w:val="2"/>
            <w:tcBorders>
              <w:top w:val="single" w:sz="4" w:space="0" w:color="000000"/>
              <w:left w:val="single" w:sz="4" w:space="0" w:color="000000"/>
              <w:bottom w:val="single" w:sz="4" w:space="0" w:color="000000"/>
              <w:right w:val="single" w:sz="4" w:space="0" w:color="000000"/>
            </w:tcBorders>
            <w:hideMark/>
          </w:tcPr>
          <w:p w14:paraId="3E3606E2" w14:textId="77777777" w:rsidR="001E198B" w:rsidRPr="001E198B" w:rsidRDefault="001E198B" w:rsidP="000B039D">
            <w:pPr>
              <w:ind w:left="8"/>
              <w:jc w:val="both"/>
              <w:rPr>
                <w:color w:val="000000"/>
                <w:kern w:val="2"/>
                <w:sz w:val="20"/>
                <w:lang w:val="en-GB" w:eastAsia="en-GB"/>
              </w:rPr>
            </w:pPr>
            <w:r w:rsidRPr="001E198B">
              <w:rPr>
                <w:b/>
                <w:color w:val="000000"/>
                <w:kern w:val="2"/>
                <w:sz w:val="20"/>
                <w:lang w:val="en-GB" w:eastAsia="en-GB"/>
              </w:rPr>
              <w:t xml:space="preserve">Study 770-103 </w:t>
            </w:r>
          </w:p>
        </w:tc>
      </w:tr>
      <w:tr w:rsidR="001E198B" w:rsidRPr="001E198B" w14:paraId="309BACF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59DA3" w14:textId="77777777" w:rsidR="001E198B" w:rsidRPr="001E198B" w:rsidRDefault="001E198B" w:rsidP="000B039D">
            <w:pPr>
              <w:jc w:val="both"/>
              <w:rPr>
                <w:color w:val="000000"/>
                <w:kern w:val="2"/>
                <w:sz w:val="20"/>
                <w:lang w:val="en-GB" w:eastAsia="en-GB"/>
              </w:rPr>
            </w:pPr>
          </w:p>
        </w:tc>
        <w:tc>
          <w:tcPr>
            <w:tcW w:w="1808" w:type="dxa"/>
            <w:tcBorders>
              <w:top w:val="single" w:sz="4" w:space="0" w:color="000000"/>
              <w:left w:val="single" w:sz="4" w:space="0" w:color="000000"/>
              <w:bottom w:val="single" w:sz="4" w:space="0" w:color="000000"/>
              <w:right w:val="single" w:sz="4" w:space="0" w:color="000000"/>
            </w:tcBorders>
            <w:hideMark/>
          </w:tcPr>
          <w:p w14:paraId="185D49EA" w14:textId="77777777" w:rsidR="001E198B" w:rsidRPr="001E198B" w:rsidRDefault="001E198B" w:rsidP="000B039D">
            <w:pPr>
              <w:spacing w:after="35"/>
              <w:jc w:val="center"/>
              <w:rPr>
                <w:color w:val="000000"/>
                <w:kern w:val="2"/>
                <w:sz w:val="20"/>
                <w:lang w:val="en-GB" w:eastAsia="en-GB"/>
              </w:rPr>
            </w:pPr>
            <w:r w:rsidRPr="001E198B">
              <w:rPr>
                <w:b/>
                <w:color w:val="000000"/>
                <w:kern w:val="2"/>
                <w:sz w:val="20"/>
                <w:lang w:val="en-GB" w:eastAsia="en-GB"/>
              </w:rPr>
              <w:t>Treatment difference</w:t>
            </w:r>
            <w:r w:rsidRPr="001E198B">
              <w:rPr>
                <w:b/>
                <w:color w:val="000000"/>
                <w:kern w:val="2"/>
                <w:sz w:val="20"/>
                <w:vertAlign w:val="superscript"/>
                <w:lang w:val="en-GB" w:eastAsia="en-GB"/>
              </w:rPr>
              <w:t>a</w:t>
            </w:r>
          </w:p>
          <w:p w14:paraId="4DE9455D" w14:textId="77777777" w:rsidR="001E198B" w:rsidRPr="001E198B" w:rsidRDefault="001E198B" w:rsidP="000B039D">
            <w:pPr>
              <w:ind w:left="6"/>
              <w:jc w:val="center"/>
              <w:rPr>
                <w:color w:val="000000"/>
                <w:kern w:val="2"/>
                <w:sz w:val="20"/>
                <w:lang w:val="en-GB" w:eastAsia="en-GB"/>
              </w:rPr>
            </w:pPr>
            <w:r w:rsidRPr="001E198B">
              <w:rPr>
                <w:b/>
                <w:color w:val="000000"/>
                <w:kern w:val="2"/>
                <w:sz w:val="20"/>
                <w:lang w:val="en-GB" w:eastAsia="en-GB"/>
              </w:rPr>
              <w:t>(95% CI)</w:t>
            </w:r>
          </w:p>
        </w:tc>
        <w:tc>
          <w:tcPr>
            <w:tcW w:w="1312" w:type="dxa"/>
            <w:tcBorders>
              <w:top w:val="single" w:sz="4" w:space="0" w:color="000000"/>
              <w:left w:val="single" w:sz="4" w:space="0" w:color="000000"/>
              <w:bottom w:val="single" w:sz="4" w:space="0" w:color="000000"/>
              <w:right w:val="single" w:sz="4" w:space="0" w:color="000000"/>
            </w:tcBorders>
            <w:vAlign w:val="bottom"/>
            <w:hideMark/>
          </w:tcPr>
          <w:p w14:paraId="0916D2D6" w14:textId="77777777" w:rsidR="001E198B" w:rsidRPr="001E198B" w:rsidRDefault="001E198B" w:rsidP="000B039D">
            <w:pPr>
              <w:ind w:left="7"/>
              <w:jc w:val="center"/>
              <w:rPr>
                <w:color w:val="000000"/>
                <w:kern w:val="2"/>
                <w:sz w:val="20"/>
                <w:lang w:val="en-GB" w:eastAsia="en-GB"/>
              </w:rPr>
            </w:pPr>
            <w:r w:rsidRPr="001E198B">
              <w:rPr>
                <w:b/>
                <w:i/>
                <w:color w:val="000000"/>
                <w:kern w:val="2"/>
                <w:sz w:val="20"/>
                <w:lang w:val="en-GB" w:eastAsia="en-GB"/>
              </w:rPr>
              <w:t>P-</w:t>
            </w:r>
            <w:r w:rsidRPr="001E198B">
              <w:rPr>
                <w:b/>
                <w:color w:val="000000"/>
                <w:kern w:val="2"/>
                <w:sz w:val="20"/>
                <w:lang w:val="en-GB" w:eastAsia="en-GB"/>
              </w:rPr>
              <w:t>value</w:t>
            </w:r>
          </w:p>
        </w:tc>
        <w:tc>
          <w:tcPr>
            <w:tcW w:w="1808" w:type="dxa"/>
            <w:tcBorders>
              <w:top w:val="single" w:sz="4" w:space="0" w:color="000000"/>
              <w:left w:val="single" w:sz="4" w:space="0" w:color="000000"/>
              <w:bottom w:val="single" w:sz="4" w:space="0" w:color="000000"/>
              <w:right w:val="single" w:sz="4" w:space="0" w:color="000000"/>
            </w:tcBorders>
            <w:hideMark/>
          </w:tcPr>
          <w:p w14:paraId="4BA30B3F" w14:textId="77777777" w:rsidR="001E198B" w:rsidRPr="001E198B" w:rsidRDefault="001E198B" w:rsidP="000B039D">
            <w:pPr>
              <w:spacing w:after="35"/>
              <w:jc w:val="center"/>
              <w:rPr>
                <w:color w:val="000000"/>
                <w:kern w:val="2"/>
                <w:sz w:val="20"/>
                <w:lang w:val="en-GB" w:eastAsia="en-GB"/>
              </w:rPr>
            </w:pPr>
            <w:r w:rsidRPr="001E198B">
              <w:rPr>
                <w:b/>
                <w:color w:val="000000"/>
                <w:kern w:val="2"/>
                <w:sz w:val="20"/>
                <w:lang w:val="en-GB" w:eastAsia="en-GB"/>
              </w:rPr>
              <w:t>Treatment difference</w:t>
            </w:r>
            <w:r w:rsidRPr="001E198B">
              <w:rPr>
                <w:b/>
                <w:color w:val="000000"/>
                <w:kern w:val="2"/>
                <w:sz w:val="20"/>
                <w:vertAlign w:val="superscript"/>
                <w:lang w:val="en-GB" w:eastAsia="en-GB"/>
              </w:rPr>
              <w:t>a</w:t>
            </w:r>
          </w:p>
          <w:p w14:paraId="48F34FDF" w14:textId="77777777" w:rsidR="001E198B" w:rsidRPr="001E198B" w:rsidRDefault="001E198B" w:rsidP="000B039D">
            <w:pPr>
              <w:ind w:left="6"/>
              <w:jc w:val="center"/>
              <w:rPr>
                <w:color w:val="000000"/>
                <w:kern w:val="2"/>
                <w:sz w:val="20"/>
                <w:lang w:val="en-GB" w:eastAsia="en-GB"/>
              </w:rPr>
            </w:pPr>
            <w:r w:rsidRPr="001E198B">
              <w:rPr>
                <w:b/>
                <w:color w:val="000000"/>
                <w:kern w:val="2"/>
                <w:sz w:val="20"/>
                <w:lang w:val="en-GB" w:eastAsia="en-GB"/>
              </w:rPr>
              <w:t>(95% CI)</w:t>
            </w:r>
          </w:p>
        </w:tc>
        <w:tc>
          <w:tcPr>
            <w:tcW w:w="1603" w:type="dxa"/>
            <w:tcBorders>
              <w:top w:val="single" w:sz="4" w:space="0" w:color="000000"/>
              <w:left w:val="single" w:sz="4" w:space="0" w:color="000000"/>
              <w:bottom w:val="single" w:sz="4" w:space="0" w:color="000000"/>
              <w:right w:val="single" w:sz="4" w:space="0" w:color="000000"/>
            </w:tcBorders>
            <w:vAlign w:val="bottom"/>
            <w:hideMark/>
          </w:tcPr>
          <w:p w14:paraId="394BEBA3" w14:textId="77777777" w:rsidR="001E198B" w:rsidRPr="001E198B" w:rsidRDefault="001E198B" w:rsidP="000B039D">
            <w:pPr>
              <w:ind w:left="6"/>
              <w:jc w:val="center"/>
              <w:rPr>
                <w:color w:val="000000"/>
                <w:kern w:val="2"/>
                <w:sz w:val="20"/>
                <w:lang w:val="en-GB" w:eastAsia="en-GB"/>
              </w:rPr>
            </w:pPr>
            <w:r w:rsidRPr="001E198B">
              <w:rPr>
                <w:b/>
                <w:i/>
                <w:color w:val="000000"/>
                <w:kern w:val="2"/>
                <w:sz w:val="20"/>
                <w:lang w:val="en-GB" w:eastAsia="en-GB"/>
              </w:rPr>
              <w:t>P-</w:t>
            </w:r>
            <w:r w:rsidRPr="001E198B">
              <w:rPr>
                <w:b/>
                <w:color w:val="000000"/>
                <w:kern w:val="2"/>
                <w:sz w:val="20"/>
                <w:lang w:val="en-GB" w:eastAsia="en-GB"/>
              </w:rPr>
              <w:t>value</w:t>
            </w:r>
          </w:p>
        </w:tc>
      </w:tr>
      <w:tr w:rsidR="001E198B" w:rsidRPr="00915489" w14:paraId="356251CF"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5F46ACDC"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Mean absolute change from baseline in CFQ-R</w:t>
            </w:r>
            <w:r w:rsidRPr="001E198B">
              <w:rPr>
                <w:color w:val="000000"/>
                <w:kern w:val="2"/>
                <w:sz w:val="20"/>
                <w:vertAlign w:val="superscript"/>
                <w:lang w:val="en-GB" w:eastAsia="en-GB"/>
              </w:rPr>
              <w:t>b</w:t>
            </w:r>
            <w:r w:rsidRPr="001E198B">
              <w:rPr>
                <w:b/>
                <w:color w:val="000000"/>
                <w:kern w:val="2"/>
                <w:sz w:val="20"/>
                <w:lang w:val="en-GB" w:eastAsia="en-GB"/>
              </w:rPr>
              <w:t xml:space="preserve"> respiratory domain score (points)</w:t>
            </w:r>
            <w:r w:rsidRPr="001E198B">
              <w:rPr>
                <w:color w:val="000000"/>
                <w:kern w:val="2"/>
                <w:sz w:val="20"/>
                <w:vertAlign w:val="superscript"/>
                <w:lang w:val="en-GB" w:eastAsia="en-GB"/>
              </w:rPr>
              <w:t>c</w:t>
            </w:r>
            <w:r w:rsidRPr="001E198B">
              <w:rPr>
                <w:b/>
                <w:i/>
                <w:color w:val="000000"/>
                <w:kern w:val="2"/>
                <w:sz w:val="20"/>
                <w:lang w:val="en-GB" w:eastAsia="en-GB"/>
              </w:rPr>
              <w:t xml:space="preserve"> </w:t>
            </w:r>
          </w:p>
        </w:tc>
      </w:tr>
      <w:tr w:rsidR="001E198B" w:rsidRPr="001E198B" w14:paraId="3BDDAD26"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7E93C88"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24 </w:t>
            </w:r>
          </w:p>
        </w:tc>
        <w:tc>
          <w:tcPr>
            <w:tcW w:w="1808" w:type="dxa"/>
            <w:tcBorders>
              <w:top w:val="single" w:sz="4" w:space="0" w:color="000000"/>
              <w:left w:val="single" w:sz="4" w:space="0" w:color="000000"/>
              <w:bottom w:val="single" w:sz="4" w:space="0" w:color="000000"/>
              <w:right w:val="single" w:sz="4" w:space="0" w:color="000000"/>
            </w:tcBorders>
            <w:hideMark/>
          </w:tcPr>
          <w:p w14:paraId="69C3E81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8.1</w:t>
            </w:r>
          </w:p>
          <w:p w14:paraId="1BAB035C"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(4.7, 11.4)</w:t>
            </w:r>
          </w:p>
        </w:tc>
        <w:tc>
          <w:tcPr>
            <w:tcW w:w="1312" w:type="dxa"/>
            <w:tcBorders>
              <w:top w:val="single" w:sz="4" w:space="0" w:color="000000"/>
              <w:left w:val="single" w:sz="4" w:space="0" w:color="000000"/>
              <w:bottom w:val="single" w:sz="4" w:space="0" w:color="000000"/>
              <w:right w:val="single" w:sz="4" w:space="0" w:color="000000"/>
            </w:tcBorders>
            <w:hideMark/>
          </w:tcPr>
          <w:p w14:paraId="0AACADD4"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1D95437B"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6.1</w:t>
            </w:r>
          </w:p>
          <w:p w14:paraId="024A98A2"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(-1.4, 13.5)</w:t>
            </w:r>
          </w:p>
        </w:tc>
        <w:tc>
          <w:tcPr>
            <w:tcW w:w="1603" w:type="dxa"/>
            <w:tcBorders>
              <w:top w:val="single" w:sz="4" w:space="0" w:color="000000"/>
              <w:left w:val="single" w:sz="4" w:space="0" w:color="000000"/>
              <w:bottom w:val="single" w:sz="4" w:space="0" w:color="000000"/>
              <w:right w:val="single" w:sz="4" w:space="0" w:color="000000"/>
            </w:tcBorders>
            <w:hideMark/>
          </w:tcPr>
          <w:p w14:paraId="02CE3541"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0.1092</w:t>
            </w:r>
          </w:p>
        </w:tc>
      </w:tr>
      <w:tr w:rsidR="001E198B" w:rsidRPr="001E198B" w14:paraId="56020040"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2484D90"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48 </w:t>
            </w:r>
          </w:p>
        </w:tc>
        <w:tc>
          <w:tcPr>
            <w:tcW w:w="1808" w:type="dxa"/>
            <w:tcBorders>
              <w:top w:val="single" w:sz="4" w:space="0" w:color="000000"/>
              <w:left w:val="single" w:sz="4" w:space="0" w:color="000000"/>
              <w:bottom w:val="single" w:sz="4" w:space="0" w:color="000000"/>
              <w:right w:val="single" w:sz="4" w:space="0" w:color="000000"/>
            </w:tcBorders>
            <w:hideMark/>
          </w:tcPr>
          <w:p w14:paraId="6AD45970"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8.6</w:t>
            </w:r>
          </w:p>
          <w:p w14:paraId="6F780C81"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(5.3, 11.9)</w:t>
            </w:r>
          </w:p>
        </w:tc>
        <w:tc>
          <w:tcPr>
            <w:tcW w:w="1312" w:type="dxa"/>
            <w:tcBorders>
              <w:top w:val="single" w:sz="4" w:space="0" w:color="000000"/>
              <w:left w:val="single" w:sz="4" w:space="0" w:color="000000"/>
              <w:bottom w:val="single" w:sz="4" w:space="0" w:color="000000"/>
              <w:right w:val="single" w:sz="4" w:space="0" w:color="000000"/>
            </w:tcBorders>
            <w:hideMark/>
          </w:tcPr>
          <w:p w14:paraId="6B84A39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5A84423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5.1</w:t>
            </w:r>
          </w:p>
          <w:p w14:paraId="1EEC8BDA"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(-1.6, 11.8)</w:t>
            </w:r>
          </w:p>
        </w:tc>
        <w:tc>
          <w:tcPr>
            <w:tcW w:w="1603" w:type="dxa"/>
            <w:tcBorders>
              <w:top w:val="single" w:sz="4" w:space="0" w:color="000000"/>
              <w:left w:val="single" w:sz="4" w:space="0" w:color="000000"/>
              <w:bottom w:val="single" w:sz="4" w:space="0" w:color="000000"/>
              <w:right w:val="single" w:sz="4" w:space="0" w:color="000000"/>
            </w:tcBorders>
            <w:hideMark/>
          </w:tcPr>
          <w:p w14:paraId="73BDDE31"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0.1354</w:t>
            </w:r>
          </w:p>
        </w:tc>
      </w:tr>
      <w:tr w:rsidR="001E198B" w:rsidRPr="00915489" w14:paraId="49EE0140"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25D07A3B"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 xml:space="preserve">Relative risk of pulmonary exacerbation </w:t>
            </w:r>
          </w:p>
        </w:tc>
      </w:tr>
      <w:tr w:rsidR="001E198B" w:rsidRPr="001E198B" w14:paraId="46E7F5E9"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AB2C998"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24 </w:t>
            </w:r>
          </w:p>
        </w:tc>
        <w:tc>
          <w:tcPr>
            <w:tcW w:w="1808" w:type="dxa"/>
            <w:tcBorders>
              <w:top w:val="single" w:sz="4" w:space="0" w:color="000000"/>
              <w:left w:val="single" w:sz="4" w:space="0" w:color="000000"/>
              <w:bottom w:val="single" w:sz="4" w:space="0" w:color="000000"/>
              <w:right w:val="single" w:sz="4" w:space="0" w:color="000000"/>
            </w:tcBorders>
            <w:hideMark/>
          </w:tcPr>
          <w:p w14:paraId="47ECA1C9"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0.40</w:t>
            </w:r>
            <w:r w:rsidRPr="001E198B">
              <w:rPr>
                <w:color w:val="000000"/>
                <w:kern w:val="2"/>
                <w:sz w:val="20"/>
                <w:vertAlign w:val="superscript"/>
                <w:lang w:val="en-GB" w:eastAsia="en-GB"/>
              </w:rPr>
              <w:t>d</w:t>
            </w:r>
          </w:p>
        </w:tc>
        <w:tc>
          <w:tcPr>
            <w:tcW w:w="1312" w:type="dxa"/>
            <w:tcBorders>
              <w:top w:val="single" w:sz="4" w:space="0" w:color="000000"/>
              <w:left w:val="single" w:sz="4" w:space="0" w:color="000000"/>
              <w:bottom w:val="single" w:sz="4" w:space="0" w:color="000000"/>
              <w:right w:val="single" w:sz="4" w:space="0" w:color="000000"/>
            </w:tcBorders>
            <w:hideMark/>
          </w:tcPr>
          <w:p w14:paraId="5C07867E"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0.0016</w:t>
            </w:r>
          </w:p>
        </w:tc>
        <w:tc>
          <w:tcPr>
            <w:tcW w:w="1808" w:type="dxa"/>
            <w:tcBorders>
              <w:top w:val="single" w:sz="4" w:space="0" w:color="000000"/>
              <w:left w:val="single" w:sz="4" w:space="0" w:color="000000"/>
              <w:bottom w:val="single" w:sz="4" w:space="0" w:color="000000"/>
              <w:right w:val="single" w:sz="4" w:space="0" w:color="000000"/>
            </w:tcBorders>
            <w:hideMark/>
          </w:tcPr>
          <w:p w14:paraId="27BF6DE3" w14:textId="77777777" w:rsidR="001E198B" w:rsidRPr="001E198B" w:rsidRDefault="001E198B" w:rsidP="000B039D">
            <w:pPr>
              <w:ind w:left="6"/>
              <w:jc w:val="center"/>
              <w:rPr>
                <w:color w:val="000000"/>
                <w:kern w:val="2"/>
                <w:sz w:val="20"/>
                <w:lang w:val="en-GB" w:eastAsia="en-GB"/>
              </w:rPr>
            </w:pPr>
            <w:r w:rsidRPr="001E198B">
              <w:rPr>
                <w:color w:val="000000"/>
                <w:kern w:val="2"/>
                <w:sz w:val="20"/>
                <w:lang w:val="en-GB" w:eastAsia="en-GB"/>
              </w:rPr>
              <w:t>NA</w:t>
            </w:r>
          </w:p>
        </w:tc>
        <w:tc>
          <w:tcPr>
            <w:tcW w:w="1603" w:type="dxa"/>
            <w:tcBorders>
              <w:top w:val="single" w:sz="4" w:space="0" w:color="000000"/>
              <w:left w:val="single" w:sz="4" w:space="0" w:color="000000"/>
              <w:bottom w:val="single" w:sz="4" w:space="0" w:color="000000"/>
              <w:right w:val="single" w:sz="4" w:space="0" w:color="000000"/>
            </w:tcBorders>
            <w:hideMark/>
          </w:tcPr>
          <w:p w14:paraId="75E75655" w14:textId="77777777" w:rsidR="001E198B" w:rsidRPr="001E198B" w:rsidRDefault="001E198B" w:rsidP="000B039D">
            <w:pPr>
              <w:ind w:left="5"/>
              <w:jc w:val="center"/>
              <w:rPr>
                <w:color w:val="000000"/>
                <w:kern w:val="2"/>
                <w:sz w:val="20"/>
                <w:lang w:val="en-GB" w:eastAsia="en-GB"/>
              </w:rPr>
            </w:pPr>
            <w:r w:rsidRPr="001E198B">
              <w:rPr>
                <w:color w:val="000000"/>
                <w:kern w:val="2"/>
                <w:sz w:val="20"/>
                <w:lang w:val="en-GB" w:eastAsia="en-GB"/>
              </w:rPr>
              <w:t>NA</w:t>
            </w:r>
          </w:p>
        </w:tc>
      </w:tr>
      <w:tr w:rsidR="001E198B" w:rsidRPr="001E198B" w14:paraId="26995887"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BD1CF60"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48 </w:t>
            </w:r>
          </w:p>
        </w:tc>
        <w:tc>
          <w:tcPr>
            <w:tcW w:w="1808" w:type="dxa"/>
            <w:tcBorders>
              <w:top w:val="single" w:sz="4" w:space="0" w:color="000000"/>
              <w:left w:val="single" w:sz="4" w:space="0" w:color="000000"/>
              <w:bottom w:val="single" w:sz="4" w:space="0" w:color="000000"/>
              <w:right w:val="single" w:sz="4" w:space="0" w:color="000000"/>
            </w:tcBorders>
            <w:hideMark/>
          </w:tcPr>
          <w:p w14:paraId="4B0D66A6"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0.46</w:t>
            </w:r>
            <w:r w:rsidRPr="001E198B">
              <w:rPr>
                <w:color w:val="000000"/>
                <w:kern w:val="2"/>
                <w:sz w:val="20"/>
                <w:vertAlign w:val="superscript"/>
                <w:lang w:val="en-GB" w:eastAsia="en-GB"/>
              </w:rPr>
              <w:t>d</w:t>
            </w:r>
          </w:p>
        </w:tc>
        <w:tc>
          <w:tcPr>
            <w:tcW w:w="1312" w:type="dxa"/>
            <w:tcBorders>
              <w:top w:val="single" w:sz="4" w:space="0" w:color="000000"/>
              <w:left w:val="single" w:sz="4" w:space="0" w:color="000000"/>
              <w:bottom w:val="single" w:sz="4" w:space="0" w:color="000000"/>
              <w:right w:val="single" w:sz="4" w:space="0" w:color="000000"/>
            </w:tcBorders>
            <w:hideMark/>
          </w:tcPr>
          <w:p w14:paraId="5C27C0CD"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0.0012</w:t>
            </w:r>
          </w:p>
        </w:tc>
        <w:tc>
          <w:tcPr>
            <w:tcW w:w="1808" w:type="dxa"/>
            <w:tcBorders>
              <w:top w:val="single" w:sz="4" w:space="0" w:color="000000"/>
              <w:left w:val="single" w:sz="4" w:space="0" w:color="000000"/>
              <w:bottom w:val="single" w:sz="4" w:space="0" w:color="000000"/>
              <w:right w:val="single" w:sz="4" w:space="0" w:color="000000"/>
            </w:tcBorders>
            <w:hideMark/>
          </w:tcPr>
          <w:p w14:paraId="7C1C51C9" w14:textId="77777777" w:rsidR="001E198B" w:rsidRPr="001E198B" w:rsidRDefault="001E198B" w:rsidP="000B039D">
            <w:pPr>
              <w:ind w:left="6"/>
              <w:jc w:val="center"/>
              <w:rPr>
                <w:color w:val="000000"/>
                <w:kern w:val="2"/>
                <w:sz w:val="20"/>
                <w:lang w:val="en-GB" w:eastAsia="en-GB"/>
              </w:rPr>
            </w:pPr>
            <w:r w:rsidRPr="001E198B">
              <w:rPr>
                <w:color w:val="000000"/>
                <w:kern w:val="2"/>
                <w:sz w:val="20"/>
                <w:lang w:val="en-GB" w:eastAsia="en-GB"/>
              </w:rPr>
              <w:t>NA</w:t>
            </w:r>
          </w:p>
        </w:tc>
        <w:tc>
          <w:tcPr>
            <w:tcW w:w="1603" w:type="dxa"/>
            <w:tcBorders>
              <w:top w:val="single" w:sz="4" w:space="0" w:color="000000"/>
              <w:left w:val="single" w:sz="4" w:space="0" w:color="000000"/>
              <w:bottom w:val="single" w:sz="4" w:space="0" w:color="000000"/>
              <w:right w:val="single" w:sz="4" w:space="0" w:color="000000"/>
            </w:tcBorders>
            <w:hideMark/>
          </w:tcPr>
          <w:p w14:paraId="657A79A3" w14:textId="77777777" w:rsidR="001E198B" w:rsidRPr="001E198B" w:rsidRDefault="001E198B" w:rsidP="000B039D">
            <w:pPr>
              <w:ind w:left="5"/>
              <w:jc w:val="center"/>
              <w:rPr>
                <w:color w:val="000000"/>
                <w:kern w:val="2"/>
                <w:sz w:val="20"/>
                <w:lang w:val="en-GB" w:eastAsia="en-GB"/>
              </w:rPr>
            </w:pPr>
            <w:r w:rsidRPr="001E198B">
              <w:rPr>
                <w:color w:val="000000"/>
                <w:kern w:val="2"/>
                <w:sz w:val="20"/>
                <w:lang w:val="en-GB" w:eastAsia="en-GB"/>
              </w:rPr>
              <w:t>NA</w:t>
            </w:r>
          </w:p>
        </w:tc>
      </w:tr>
      <w:tr w:rsidR="001E198B" w:rsidRPr="00915489" w14:paraId="0A723852"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63E6059D"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 xml:space="preserve">Mean absolute change from baseline in body weight (kg) </w:t>
            </w:r>
          </w:p>
        </w:tc>
      </w:tr>
      <w:tr w:rsidR="001E198B" w:rsidRPr="001E198B" w14:paraId="7EDD9D9C"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5AE764EC"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24 </w:t>
            </w:r>
          </w:p>
        </w:tc>
        <w:tc>
          <w:tcPr>
            <w:tcW w:w="1808" w:type="dxa"/>
            <w:tcBorders>
              <w:top w:val="single" w:sz="4" w:space="0" w:color="000000"/>
              <w:left w:val="single" w:sz="4" w:space="0" w:color="000000"/>
              <w:bottom w:val="single" w:sz="4" w:space="0" w:color="000000"/>
              <w:right w:val="single" w:sz="4" w:space="0" w:color="000000"/>
            </w:tcBorders>
            <w:hideMark/>
          </w:tcPr>
          <w:p w14:paraId="7A17A858"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2.8</w:t>
            </w:r>
          </w:p>
          <w:p w14:paraId="78A22669"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(1.8, 3.7)</w:t>
            </w:r>
          </w:p>
        </w:tc>
        <w:tc>
          <w:tcPr>
            <w:tcW w:w="1312" w:type="dxa"/>
            <w:tcBorders>
              <w:top w:val="single" w:sz="4" w:space="0" w:color="000000"/>
              <w:left w:val="single" w:sz="4" w:space="0" w:color="000000"/>
              <w:bottom w:val="single" w:sz="4" w:space="0" w:color="000000"/>
              <w:right w:val="single" w:sz="4" w:space="0" w:color="000000"/>
            </w:tcBorders>
            <w:hideMark/>
          </w:tcPr>
          <w:p w14:paraId="7FA88074"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7E54DB25"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1.9</w:t>
            </w:r>
          </w:p>
          <w:p w14:paraId="18682822"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(0.9, 2.9)</w:t>
            </w:r>
          </w:p>
        </w:tc>
        <w:tc>
          <w:tcPr>
            <w:tcW w:w="1603" w:type="dxa"/>
            <w:tcBorders>
              <w:top w:val="single" w:sz="4" w:space="0" w:color="000000"/>
              <w:left w:val="single" w:sz="4" w:space="0" w:color="000000"/>
              <w:bottom w:val="single" w:sz="4" w:space="0" w:color="000000"/>
              <w:right w:val="single" w:sz="4" w:space="0" w:color="000000"/>
            </w:tcBorders>
            <w:hideMark/>
          </w:tcPr>
          <w:p w14:paraId="6ED86668"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0.0004</w:t>
            </w:r>
          </w:p>
        </w:tc>
      </w:tr>
      <w:tr w:rsidR="001E198B" w:rsidRPr="001E198B" w14:paraId="3AC35318"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6F4775D"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48 </w:t>
            </w:r>
          </w:p>
        </w:tc>
        <w:tc>
          <w:tcPr>
            <w:tcW w:w="1808" w:type="dxa"/>
            <w:tcBorders>
              <w:top w:val="single" w:sz="4" w:space="0" w:color="000000"/>
              <w:left w:val="single" w:sz="4" w:space="0" w:color="000000"/>
              <w:bottom w:val="single" w:sz="4" w:space="0" w:color="000000"/>
              <w:right w:val="single" w:sz="4" w:space="0" w:color="000000"/>
            </w:tcBorders>
            <w:hideMark/>
          </w:tcPr>
          <w:p w14:paraId="3B93F0D8"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2.7</w:t>
            </w:r>
          </w:p>
          <w:p w14:paraId="358B61F1"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(1.3, 4.1)</w:t>
            </w:r>
          </w:p>
        </w:tc>
        <w:tc>
          <w:tcPr>
            <w:tcW w:w="1312" w:type="dxa"/>
            <w:tcBorders>
              <w:top w:val="single" w:sz="4" w:space="0" w:color="000000"/>
              <w:left w:val="single" w:sz="4" w:space="0" w:color="000000"/>
              <w:bottom w:val="single" w:sz="4" w:space="0" w:color="000000"/>
              <w:right w:val="single" w:sz="4" w:space="0" w:color="000000"/>
            </w:tcBorders>
            <w:hideMark/>
          </w:tcPr>
          <w:p w14:paraId="3F391B5D"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0.0001</w:t>
            </w:r>
          </w:p>
        </w:tc>
        <w:tc>
          <w:tcPr>
            <w:tcW w:w="1808" w:type="dxa"/>
            <w:tcBorders>
              <w:top w:val="single" w:sz="4" w:space="0" w:color="000000"/>
              <w:left w:val="single" w:sz="4" w:space="0" w:color="000000"/>
              <w:bottom w:val="single" w:sz="4" w:space="0" w:color="000000"/>
              <w:right w:val="single" w:sz="4" w:space="0" w:color="000000"/>
            </w:tcBorders>
            <w:hideMark/>
          </w:tcPr>
          <w:p w14:paraId="0CDB9D3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2.8</w:t>
            </w:r>
          </w:p>
          <w:p w14:paraId="602A5BE8"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(1.3, 4.2)</w:t>
            </w:r>
          </w:p>
        </w:tc>
        <w:tc>
          <w:tcPr>
            <w:tcW w:w="1603" w:type="dxa"/>
            <w:tcBorders>
              <w:top w:val="single" w:sz="4" w:space="0" w:color="000000"/>
              <w:left w:val="single" w:sz="4" w:space="0" w:color="000000"/>
              <w:bottom w:val="single" w:sz="4" w:space="0" w:color="000000"/>
              <w:right w:val="single" w:sz="4" w:space="0" w:color="000000"/>
            </w:tcBorders>
            <w:hideMark/>
          </w:tcPr>
          <w:p w14:paraId="5414BDD4"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0.0002</w:t>
            </w:r>
          </w:p>
        </w:tc>
      </w:tr>
      <w:tr w:rsidR="001E198B" w:rsidRPr="00915489" w14:paraId="25DBB26D"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72579AD4"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Mean absolute change from baseline in BMI (kg/m</w:t>
            </w:r>
            <w:r w:rsidRPr="001E198B">
              <w:rPr>
                <w:b/>
                <w:color w:val="000000"/>
                <w:kern w:val="2"/>
                <w:sz w:val="20"/>
                <w:vertAlign w:val="superscript"/>
                <w:lang w:val="en-GB" w:eastAsia="en-GB"/>
              </w:rPr>
              <w:t>2</w:t>
            </w:r>
            <w:r w:rsidRPr="001E198B">
              <w:rPr>
                <w:b/>
                <w:color w:val="000000"/>
                <w:kern w:val="2"/>
                <w:sz w:val="20"/>
                <w:lang w:val="en-GB" w:eastAsia="en-GB"/>
              </w:rPr>
              <w:t xml:space="preserve">) </w:t>
            </w:r>
          </w:p>
        </w:tc>
      </w:tr>
      <w:tr w:rsidR="001E198B" w:rsidRPr="001E198B" w14:paraId="68D825E3"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7858B95D"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24 </w:t>
            </w:r>
          </w:p>
        </w:tc>
        <w:tc>
          <w:tcPr>
            <w:tcW w:w="1808" w:type="dxa"/>
            <w:tcBorders>
              <w:top w:val="single" w:sz="4" w:space="0" w:color="000000"/>
              <w:left w:val="single" w:sz="4" w:space="0" w:color="000000"/>
              <w:bottom w:val="single" w:sz="4" w:space="0" w:color="000000"/>
              <w:right w:val="single" w:sz="4" w:space="0" w:color="000000"/>
            </w:tcBorders>
            <w:hideMark/>
          </w:tcPr>
          <w:p w14:paraId="7ECC26B5"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0.94</w:t>
            </w:r>
          </w:p>
          <w:p w14:paraId="78F5ECC1"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(0.62, 1.26)</w:t>
            </w:r>
          </w:p>
        </w:tc>
        <w:tc>
          <w:tcPr>
            <w:tcW w:w="1312" w:type="dxa"/>
            <w:tcBorders>
              <w:top w:val="single" w:sz="4" w:space="0" w:color="000000"/>
              <w:left w:val="single" w:sz="4" w:space="0" w:color="000000"/>
              <w:bottom w:val="single" w:sz="4" w:space="0" w:color="000000"/>
              <w:right w:val="single" w:sz="4" w:space="0" w:color="000000"/>
            </w:tcBorders>
            <w:hideMark/>
          </w:tcPr>
          <w:p w14:paraId="0D88A3D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4E0184EE"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0.81</w:t>
            </w:r>
          </w:p>
          <w:p w14:paraId="2B558FE7"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(0.34, 1.28)</w:t>
            </w:r>
          </w:p>
        </w:tc>
        <w:tc>
          <w:tcPr>
            <w:tcW w:w="1603" w:type="dxa"/>
            <w:tcBorders>
              <w:top w:val="single" w:sz="4" w:space="0" w:color="000000"/>
              <w:left w:val="single" w:sz="4" w:space="0" w:color="000000"/>
              <w:bottom w:val="single" w:sz="4" w:space="0" w:color="000000"/>
              <w:right w:val="single" w:sz="4" w:space="0" w:color="000000"/>
            </w:tcBorders>
            <w:hideMark/>
          </w:tcPr>
          <w:p w14:paraId="0C7E6AE9"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0.0008</w:t>
            </w:r>
          </w:p>
        </w:tc>
      </w:tr>
      <w:tr w:rsidR="001E198B" w:rsidRPr="001E198B" w14:paraId="7F6A15B8"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7326CFA"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48 </w:t>
            </w:r>
          </w:p>
        </w:tc>
        <w:tc>
          <w:tcPr>
            <w:tcW w:w="1808" w:type="dxa"/>
            <w:tcBorders>
              <w:top w:val="single" w:sz="4" w:space="0" w:color="000000"/>
              <w:left w:val="single" w:sz="4" w:space="0" w:color="000000"/>
              <w:bottom w:val="single" w:sz="4" w:space="0" w:color="000000"/>
              <w:right w:val="single" w:sz="4" w:space="0" w:color="000000"/>
            </w:tcBorders>
            <w:hideMark/>
          </w:tcPr>
          <w:p w14:paraId="748B81CB"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0.93</w:t>
            </w:r>
          </w:p>
          <w:p w14:paraId="26FF33D2"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(0.48, 1.38)</w:t>
            </w:r>
          </w:p>
        </w:tc>
        <w:tc>
          <w:tcPr>
            <w:tcW w:w="1312" w:type="dxa"/>
            <w:tcBorders>
              <w:top w:val="single" w:sz="4" w:space="0" w:color="000000"/>
              <w:left w:val="single" w:sz="4" w:space="0" w:color="000000"/>
              <w:bottom w:val="single" w:sz="4" w:space="0" w:color="000000"/>
              <w:right w:val="single" w:sz="4" w:space="0" w:color="000000"/>
            </w:tcBorders>
            <w:hideMark/>
          </w:tcPr>
          <w:p w14:paraId="2773C87F"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1FDF755F"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1.09</w:t>
            </w:r>
          </w:p>
          <w:p w14:paraId="5AA6910E"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(0.51, 1.67)</w:t>
            </w:r>
          </w:p>
        </w:tc>
        <w:tc>
          <w:tcPr>
            <w:tcW w:w="1603" w:type="dxa"/>
            <w:tcBorders>
              <w:top w:val="single" w:sz="4" w:space="0" w:color="000000"/>
              <w:left w:val="single" w:sz="4" w:space="0" w:color="000000"/>
              <w:bottom w:val="single" w:sz="4" w:space="0" w:color="000000"/>
              <w:right w:val="single" w:sz="4" w:space="0" w:color="000000"/>
            </w:tcBorders>
            <w:hideMark/>
          </w:tcPr>
          <w:p w14:paraId="4317B43B"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0.0003</w:t>
            </w:r>
          </w:p>
        </w:tc>
      </w:tr>
      <w:tr w:rsidR="001E198B" w:rsidRPr="00915489" w14:paraId="04B46A2F"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23D02F54"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Mean change from baseline in z-scores</w:t>
            </w:r>
            <w:r w:rsidRPr="001E198B">
              <w:rPr>
                <w:color w:val="000000"/>
                <w:kern w:val="2"/>
                <w:sz w:val="20"/>
                <w:lang w:val="en-GB" w:eastAsia="en-GB"/>
              </w:rPr>
              <w:t xml:space="preserve"> </w:t>
            </w:r>
          </w:p>
        </w:tc>
      </w:tr>
      <w:tr w:rsidR="001E198B" w:rsidRPr="001E198B" w14:paraId="681B8C96"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85A3730"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Weight-for-age z-score at week 48</w:t>
            </w:r>
            <w:r w:rsidRPr="001E198B">
              <w:rPr>
                <w:color w:val="000000"/>
                <w:kern w:val="2"/>
                <w:sz w:val="20"/>
                <w:vertAlign w:val="superscript"/>
                <w:lang w:val="en-GB" w:eastAsia="en-GB"/>
              </w:rPr>
              <w:t>e</w:t>
            </w:r>
            <w:r w:rsidRPr="001E198B">
              <w:rPr>
                <w:color w:val="000000"/>
                <w:kern w:val="2"/>
                <w:sz w:val="20"/>
                <w:lang w:val="en-GB" w:eastAsia="en-GB"/>
              </w:rPr>
              <w:t xml:space="preserve"> </w:t>
            </w:r>
          </w:p>
        </w:tc>
        <w:tc>
          <w:tcPr>
            <w:tcW w:w="1808" w:type="dxa"/>
            <w:tcBorders>
              <w:top w:val="single" w:sz="4" w:space="0" w:color="000000"/>
              <w:left w:val="single" w:sz="4" w:space="0" w:color="000000"/>
              <w:bottom w:val="single" w:sz="4" w:space="0" w:color="000000"/>
              <w:right w:val="single" w:sz="4" w:space="0" w:color="000000"/>
            </w:tcBorders>
            <w:hideMark/>
          </w:tcPr>
          <w:p w14:paraId="5803E30F"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0.33</w:t>
            </w:r>
          </w:p>
          <w:p w14:paraId="282AA040"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(0.04, 0.62)</w:t>
            </w:r>
          </w:p>
        </w:tc>
        <w:tc>
          <w:tcPr>
            <w:tcW w:w="1312" w:type="dxa"/>
            <w:tcBorders>
              <w:top w:val="single" w:sz="4" w:space="0" w:color="000000"/>
              <w:left w:val="single" w:sz="4" w:space="0" w:color="000000"/>
              <w:bottom w:val="single" w:sz="4" w:space="0" w:color="000000"/>
              <w:right w:val="single" w:sz="4" w:space="0" w:color="000000"/>
            </w:tcBorders>
            <w:hideMark/>
          </w:tcPr>
          <w:p w14:paraId="06527D03"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0.0260</w:t>
            </w:r>
          </w:p>
        </w:tc>
        <w:tc>
          <w:tcPr>
            <w:tcW w:w="1808" w:type="dxa"/>
            <w:tcBorders>
              <w:top w:val="single" w:sz="4" w:space="0" w:color="000000"/>
              <w:left w:val="single" w:sz="4" w:space="0" w:color="000000"/>
              <w:bottom w:val="single" w:sz="4" w:space="0" w:color="000000"/>
              <w:right w:val="single" w:sz="4" w:space="0" w:color="000000"/>
            </w:tcBorders>
            <w:hideMark/>
          </w:tcPr>
          <w:p w14:paraId="259293B0"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0.39</w:t>
            </w:r>
          </w:p>
          <w:p w14:paraId="0338983D"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(0.24, 0.53)</w:t>
            </w:r>
          </w:p>
        </w:tc>
        <w:tc>
          <w:tcPr>
            <w:tcW w:w="1603" w:type="dxa"/>
            <w:tcBorders>
              <w:top w:val="single" w:sz="4" w:space="0" w:color="000000"/>
              <w:left w:val="single" w:sz="4" w:space="0" w:color="000000"/>
              <w:bottom w:val="single" w:sz="4" w:space="0" w:color="000000"/>
              <w:right w:val="single" w:sz="4" w:space="0" w:color="000000"/>
            </w:tcBorders>
            <w:hideMark/>
          </w:tcPr>
          <w:p w14:paraId="2D3512B6"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&lt; 0.0001</w:t>
            </w:r>
          </w:p>
        </w:tc>
      </w:tr>
      <w:tr w:rsidR="001E198B" w:rsidRPr="001E198B" w14:paraId="3590DE27"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03ED3761"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BMI-for-age z-score at week 48</w:t>
            </w:r>
            <w:r w:rsidRPr="001E198B">
              <w:rPr>
                <w:color w:val="000000"/>
                <w:kern w:val="2"/>
                <w:sz w:val="20"/>
                <w:vertAlign w:val="superscript"/>
                <w:lang w:val="en-GB" w:eastAsia="en-GB"/>
              </w:rPr>
              <w:t>e</w:t>
            </w:r>
            <w:r w:rsidRPr="001E198B">
              <w:rPr>
                <w:color w:val="000000"/>
                <w:kern w:val="2"/>
                <w:sz w:val="20"/>
                <w:lang w:val="en-GB" w:eastAsia="en-GB"/>
              </w:rPr>
              <w:t xml:space="preserve"> </w:t>
            </w:r>
          </w:p>
        </w:tc>
        <w:tc>
          <w:tcPr>
            <w:tcW w:w="1808" w:type="dxa"/>
            <w:tcBorders>
              <w:top w:val="single" w:sz="4" w:space="0" w:color="000000"/>
              <w:left w:val="single" w:sz="4" w:space="0" w:color="000000"/>
              <w:bottom w:val="single" w:sz="4" w:space="0" w:color="000000"/>
              <w:right w:val="single" w:sz="4" w:space="0" w:color="000000"/>
            </w:tcBorders>
            <w:hideMark/>
          </w:tcPr>
          <w:p w14:paraId="3E723265"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0.33</w:t>
            </w:r>
          </w:p>
          <w:p w14:paraId="3E042256"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(0.002, 0.65)</w:t>
            </w:r>
          </w:p>
        </w:tc>
        <w:tc>
          <w:tcPr>
            <w:tcW w:w="1312" w:type="dxa"/>
            <w:tcBorders>
              <w:top w:val="single" w:sz="4" w:space="0" w:color="000000"/>
              <w:left w:val="single" w:sz="4" w:space="0" w:color="000000"/>
              <w:bottom w:val="single" w:sz="4" w:space="0" w:color="000000"/>
              <w:right w:val="single" w:sz="4" w:space="0" w:color="000000"/>
            </w:tcBorders>
            <w:hideMark/>
          </w:tcPr>
          <w:p w14:paraId="3FA60852"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0.0490</w:t>
            </w:r>
          </w:p>
        </w:tc>
        <w:tc>
          <w:tcPr>
            <w:tcW w:w="1808" w:type="dxa"/>
            <w:tcBorders>
              <w:top w:val="single" w:sz="4" w:space="0" w:color="000000"/>
              <w:left w:val="single" w:sz="4" w:space="0" w:color="000000"/>
              <w:bottom w:val="single" w:sz="4" w:space="0" w:color="000000"/>
              <w:right w:val="single" w:sz="4" w:space="0" w:color="000000"/>
            </w:tcBorders>
            <w:hideMark/>
          </w:tcPr>
          <w:p w14:paraId="5F9A0BC7"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0.45</w:t>
            </w:r>
          </w:p>
          <w:p w14:paraId="33C2B0E7"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(0.26, 0.65)</w:t>
            </w:r>
          </w:p>
        </w:tc>
        <w:tc>
          <w:tcPr>
            <w:tcW w:w="1603" w:type="dxa"/>
            <w:tcBorders>
              <w:top w:val="single" w:sz="4" w:space="0" w:color="000000"/>
              <w:left w:val="single" w:sz="4" w:space="0" w:color="000000"/>
              <w:bottom w:val="single" w:sz="4" w:space="0" w:color="000000"/>
              <w:right w:val="single" w:sz="4" w:space="0" w:color="000000"/>
            </w:tcBorders>
            <w:hideMark/>
          </w:tcPr>
          <w:p w14:paraId="4F095F11"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&lt; 0.0001</w:t>
            </w:r>
          </w:p>
        </w:tc>
      </w:tr>
    </w:tbl>
    <w:p w14:paraId="11A742E1" w14:textId="77777777" w:rsidR="001E198B" w:rsidRPr="001E198B" w:rsidRDefault="001E198B" w:rsidP="000B039D">
      <w:pPr>
        <w:spacing w:after="5"/>
        <w:ind w:left="-2" w:right="3085" w:hanging="10"/>
        <w:jc w:val="both"/>
        <w:rPr>
          <w:color w:val="000000"/>
          <w:kern w:val="2"/>
          <w:sz w:val="20"/>
          <w:szCs w:val="24"/>
          <w:lang w:val="en-GB" w:eastAsia="en-GB"/>
        </w:rPr>
      </w:pPr>
      <w:r w:rsidRPr="001E198B">
        <w:rPr>
          <w:color w:val="000000"/>
          <w:kern w:val="2"/>
          <w:sz w:val="20"/>
          <w:szCs w:val="24"/>
          <w:lang w:val="en-GB" w:eastAsia="en-GB"/>
        </w:rPr>
        <w:t>CI: Confidence Interval; NA: not analysed due to low incidence of events</w:t>
      </w:r>
    </w:p>
    <w:p w14:paraId="58BD7ADE" w14:textId="77777777" w:rsidR="001E198B" w:rsidRPr="001E198B" w:rsidRDefault="001E198B" w:rsidP="000B039D">
      <w:pPr>
        <w:numPr>
          <w:ilvl w:val="0"/>
          <w:numId w:val="16"/>
        </w:numPr>
        <w:spacing w:after="5"/>
        <w:ind w:left="294" w:right="3085" w:hanging="294"/>
        <w:jc w:val="both"/>
        <w:rPr>
          <w:color w:val="000000"/>
          <w:kern w:val="2"/>
          <w:sz w:val="22"/>
          <w:szCs w:val="24"/>
          <w:lang w:val="en-GB" w:eastAsia="en-GB"/>
        </w:rPr>
      </w:pPr>
      <w:r w:rsidRPr="001E198B">
        <w:rPr>
          <w:color w:val="000000"/>
          <w:kern w:val="2"/>
          <w:sz w:val="20"/>
          <w:szCs w:val="24"/>
          <w:lang w:val="en-GB" w:eastAsia="en-GB"/>
        </w:rPr>
        <w:t xml:space="preserve">Treatment difference = effect of ivacaftor – effect of placebo </w:t>
      </w:r>
    </w:p>
    <w:p w14:paraId="781F7B46" w14:textId="77777777" w:rsidR="001E198B" w:rsidRPr="001E198B" w:rsidRDefault="001E198B" w:rsidP="000B039D">
      <w:pPr>
        <w:numPr>
          <w:ilvl w:val="0"/>
          <w:numId w:val="16"/>
        </w:numPr>
        <w:spacing w:after="5"/>
        <w:ind w:left="294" w:hanging="294"/>
        <w:jc w:val="both"/>
        <w:rPr>
          <w:color w:val="000000"/>
          <w:kern w:val="2"/>
          <w:sz w:val="20"/>
          <w:szCs w:val="24"/>
          <w:lang w:val="en-GB" w:eastAsia="en-GB"/>
        </w:rPr>
      </w:pPr>
      <w:r w:rsidRPr="001E198B">
        <w:rPr>
          <w:color w:val="000000"/>
          <w:kern w:val="2"/>
          <w:sz w:val="20"/>
          <w:szCs w:val="24"/>
          <w:lang w:val="en-GB" w:eastAsia="en-GB"/>
        </w:rPr>
        <w:t xml:space="preserve">CFQ-R: Cystic Fibrosis Questionnaire-Revised is a disease-specific, health-related quality-of-life measure for CF. </w:t>
      </w:r>
    </w:p>
    <w:p w14:paraId="6AC92A75" w14:textId="77777777" w:rsidR="001E198B" w:rsidRPr="001E198B" w:rsidRDefault="001E198B" w:rsidP="000B039D">
      <w:pPr>
        <w:numPr>
          <w:ilvl w:val="0"/>
          <w:numId w:val="16"/>
        </w:numPr>
        <w:spacing w:after="5"/>
        <w:ind w:left="294" w:hanging="294"/>
        <w:jc w:val="both"/>
        <w:rPr>
          <w:color w:val="000000"/>
          <w:kern w:val="2"/>
          <w:sz w:val="22"/>
          <w:szCs w:val="24"/>
          <w:lang w:val="en-GB" w:eastAsia="en-GB"/>
        </w:rPr>
      </w:pPr>
      <w:r w:rsidRPr="001E198B">
        <w:rPr>
          <w:color w:val="000000"/>
          <w:kern w:val="2"/>
          <w:sz w:val="20"/>
          <w:szCs w:val="24"/>
          <w:lang w:val="en-GB" w:eastAsia="en-GB"/>
        </w:rPr>
        <w:t xml:space="preserve">Study 770-102 data were pooled from CFQ-R for adults/adolescents and CFQ-R for children 12 to 13 years of age; study 770-103 data were obtained from CFQ-R for children 6 to 11 years of age. </w:t>
      </w:r>
    </w:p>
    <w:p w14:paraId="426EB86D" w14:textId="77777777" w:rsidR="001E198B" w:rsidRPr="001E198B" w:rsidRDefault="001E198B" w:rsidP="000B039D">
      <w:pPr>
        <w:numPr>
          <w:ilvl w:val="0"/>
          <w:numId w:val="16"/>
        </w:numPr>
        <w:spacing w:after="5"/>
        <w:ind w:left="294" w:right="4430" w:hanging="294"/>
        <w:jc w:val="both"/>
        <w:rPr>
          <w:color w:val="000000"/>
          <w:kern w:val="2"/>
          <w:sz w:val="20"/>
          <w:szCs w:val="24"/>
          <w:lang w:val="en-GB" w:eastAsia="en-GB"/>
        </w:rPr>
      </w:pPr>
      <w:r w:rsidRPr="001E198B">
        <w:rPr>
          <w:color w:val="000000"/>
          <w:kern w:val="2"/>
          <w:sz w:val="20"/>
          <w:szCs w:val="24"/>
          <w:lang w:val="en-GB" w:eastAsia="en-GB"/>
        </w:rPr>
        <w:t>Hazard ratio for time to first pulmonary exacerbation</w:t>
      </w:r>
    </w:p>
    <w:p w14:paraId="2CA5F30F" w14:textId="77777777" w:rsidR="001E198B" w:rsidRPr="001E198B" w:rsidRDefault="001E198B" w:rsidP="000B039D">
      <w:pPr>
        <w:numPr>
          <w:ilvl w:val="0"/>
          <w:numId w:val="16"/>
        </w:numPr>
        <w:spacing w:after="5"/>
        <w:ind w:left="294" w:right="17" w:hanging="294"/>
        <w:jc w:val="both"/>
        <w:rPr>
          <w:color w:val="000000"/>
          <w:kern w:val="2"/>
          <w:sz w:val="22"/>
          <w:szCs w:val="24"/>
          <w:lang w:val="en-GB" w:eastAsia="en-GB"/>
        </w:rPr>
      </w:pPr>
      <w:r w:rsidRPr="001E198B">
        <w:rPr>
          <w:color w:val="000000"/>
          <w:kern w:val="2"/>
          <w:sz w:val="20"/>
          <w:szCs w:val="24"/>
          <w:lang w:val="en-GB" w:eastAsia="en-GB"/>
        </w:rPr>
        <w:t xml:space="preserve">In subjects under 20 years of age (CDC growth charts) </w:t>
      </w:r>
    </w:p>
    <w:p w14:paraId="002D01EC" w14:textId="77777777" w:rsidR="001E198B" w:rsidRDefault="001E198B" w:rsidP="000B039D">
      <w:pPr>
        <w:tabs>
          <w:tab w:val="left" w:pos="851"/>
        </w:tabs>
        <w:ind w:left="851"/>
        <w:rPr>
          <w:sz w:val="24"/>
          <w:szCs w:val="24"/>
          <w:lang w:val="en-GB"/>
        </w:rPr>
      </w:pPr>
    </w:p>
    <w:p w14:paraId="7329445F" w14:textId="77777777" w:rsidR="001E198B" w:rsidRPr="001E198B" w:rsidRDefault="001E198B" w:rsidP="000B039D">
      <w:pPr>
        <w:tabs>
          <w:tab w:val="left" w:pos="851"/>
        </w:tabs>
        <w:ind w:left="851"/>
        <w:rPr>
          <w:sz w:val="24"/>
          <w:szCs w:val="24"/>
          <w:lang w:val="en-GB"/>
        </w:rPr>
      </w:pPr>
      <w:r w:rsidRPr="001E198B">
        <w:rPr>
          <w:i/>
          <w:sz w:val="24"/>
          <w:szCs w:val="24"/>
          <w:u w:val="single"/>
          <w:lang w:val="en-GB"/>
        </w:rPr>
        <w:t>Study 770-111: study in patients with CF with non-G551D gating mutations</w:t>
      </w:r>
      <w:r w:rsidRPr="001E198B">
        <w:rPr>
          <w:i/>
          <w:sz w:val="24"/>
          <w:szCs w:val="24"/>
          <w:lang w:val="en-GB"/>
        </w:rPr>
        <w:t xml:space="preserve"> </w:t>
      </w:r>
    </w:p>
    <w:p w14:paraId="1CD77682" w14:textId="57929A7C" w:rsidR="001E198B" w:rsidRPr="001E198B" w:rsidRDefault="001E198B" w:rsidP="000B039D">
      <w:pPr>
        <w:tabs>
          <w:tab w:val="left" w:pos="851"/>
        </w:tabs>
        <w:ind w:left="851"/>
        <w:rPr>
          <w:sz w:val="24"/>
          <w:szCs w:val="24"/>
          <w:lang w:val="en-GB"/>
        </w:rPr>
      </w:pPr>
      <w:r w:rsidRPr="001E198B">
        <w:rPr>
          <w:sz w:val="24"/>
          <w:szCs w:val="24"/>
          <w:lang w:val="en-GB"/>
        </w:rPr>
        <w:t xml:space="preserve">Study 770-111 was a phase 3, two-part, randomised, double-blind, placebo-controlled, crossover study (part 1) followed by a 16-week open-label extension period (part 2) to evaluate the efficacy and safety of ivacaftor in patients with CF aged 6 years and older who have a </w:t>
      </w:r>
      <w:r w:rsidRPr="001E198B">
        <w:rPr>
          <w:i/>
          <w:sz w:val="24"/>
          <w:szCs w:val="24"/>
          <w:lang w:val="en-GB"/>
        </w:rPr>
        <w:t>G970R</w:t>
      </w:r>
      <w:r w:rsidRPr="001E198B">
        <w:rPr>
          <w:sz w:val="24"/>
          <w:szCs w:val="24"/>
          <w:lang w:val="en-GB"/>
        </w:rPr>
        <w:t xml:space="preserve"> or non-</w:t>
      </w:r>
      <w:r w:rsidRPr="001E198B">
        <w:rPr>
          <w:i/>
          <w:sz w:val="24"/>
          <w:szCs w:val="24"/>
          <w:lang w:val="en-GB"/>
        </w:rPr>
        <w:t>G551D</w:t>
      </w:r>
      <w:r w:rsidRPr="001E198B">
        <w:rPr>
          <w:sz w:val="24"/>
          <w:szCs w:val="24"/>
          <w:lang w:val="en-GB"/>
        </w:rPr>
        <w:t xml:space="preserve"> gating mutation in the </w:t>
      </w:r>
      <w:r w:rsidRPr="001E198B">
        <w:rPr>
          <w:i/>
          <w:sz w:val="24"/>
          <w:szCs w:val="24"/>
          <w:lang w:val="en-GB"/>
        </w:rPr>
        <w:t>CFTR</w:t>
      </w:r>
      <w:r w:rsidRPr="001E198B">
        <w:rPr>
          <w:sz w:val="24"/>
          <w:szCs w:val="24"/>
          <w:lang w:val="en-GB"/>
        </w:rPr>
        <w:t xml:space="preserve"> gene (</w:t>
      </w:r>
      <w:r w:rsidRPr="001E198B">
        <w:rPr>
          <w:i/>
          <w:sz w:val="24"/>
          <w:szCs w:val="24"/>
          <w:lang w:val="en-GB"/>
        </w:rPr>
        <w:t>G178R</w:t>
      </w:r>
      <w:r w:rsidRPr="001E198B">
        <w:rPr>
          <w:sz w:val="24"/>
          <w:szCs w:val="24"/>
          <w:lang w:val="en-GB"/>
        </w:rPr>
        <w:t xml:space="preserve">, </w:t>
      </w:r>
      <w:r w:rsidRPr="001E198B">
        <w:rPr>
          <w:i/>
          <w:sz w:val="24"/>
          <w:szCs w:val="24"/>
          <w:lang w:val="en-GB"/>
        </w:rPr>
        <w:t>S549N</w:t>
      </w:r>
      <w:r w:rsidRPr="001E198B">
        <w:rPr>
          <w:sz w:val="24"/>
          <w:szCs w:val="24"/>
          <w:lang w:val="en-GB"/>
        </w:rPr>
        <w:t xml:space="preserve">, </w:t>
      </w:r>
      <w:r w:rsidRPr="001E198B">
        <w:rPr>
          <w:i/>
          <w:sz w:val="24"/>
          <w:szCs w:val="24"/>
          <w:lang w:val="en-GB"/>
        </w:rPr>
        <w:t>S549R</w:t>
      </w:r>
      <w:r w:rsidRPr="001E198B">
        <w:rPr>
          <w:sz w:val="24"/>
          <w:szCs w:val="24"/>
          <w:lang w:val="en-GB"/>
        </w:rPr>
        <w:t xml:space="preserve">, </w:t>
      </w:r>
      <w:r w:rsidRPr="001E198B">
        <w:rPr>
          <w:i/>
          <w:sz w:val="24"/>
          <w:szCs w:val="24"/>
          <w:lang w:val="en-GB"/>
        </w:rPr>
        <w:t>G551S</w:t>
      </w:r>
      <w:r w:rsidRPr="001E198B">
        <w:rPr>
          <w:sz w:val="24"/>
          <w:szCs w:val="24"/>
          <w:lang w:val="en-GB"/>
        </w:rPr>
        <w:t xml:space="preserve">, </w:t>
      </w:r>
      <w:r w:rsidRPr="001E198B">
        <w:rPr>
          <w:i/>
          <w:sz w:val="24"/>
          <w:szCs w:val="24"/>
          <w:lang w:val="en-GB"/>
        </w:rPr>
        <w:t>G1244E</w:t>
      </w:r>
      <w:r w:rsidRPr="001E198B">
        <w:rPr>
          <w:sz w:val="24"/>
          <w:szCs w:val="24"/>
          <w:lang w:val="en-GB"/>
        </w:rPr>
        <w:t xml:space="preserve">, </w:t>
      </w:r>
      <w:r w:rsidRPr="001E198B">
        <w:rPr>
          <w:i/>
          <w:sz w:val="24"/>
          <w:szCs w:val="24"/>
          <w:lang w:val="en-GB"/>
        </w:rPr>
        <w:t>S1251N</w:t>
      </w:r>
      <w:r w:rsidRPr="001E198B">
        <w:rPr>
          <w:sz w:val="24"/>
          <w:szCs w:val="24"/>
          <w:lang w:val="en-GB"/>
        </w:rPr>
        <w:t xml:space="preserve">, </w:t>
      </w:r>
      <w:r w:rsidRPr="001E198B">
        <w:rPr>
          <w:i/>
          <w:sz w:val="24"/>
          <w:szCs w:val="24"/>
          <w:lang w:val="en-GB"/>
        </w:rPr>
        <w:t>S1255P</w:t>
      </w:r>
      <w:r w:rsidRPr="001E198B">
        <w:rPr>
          <w:sz w:val="24"/>
          <w:szCs w:val="24"/>
          <w:lang w:val="en-GB"/>
        </w:rPr>
        <w:t xml:space="preserve"> or </w:t>
      </w:r>
      <w:r w:rsidRPr="001E198B">
        <w:rPr>
          <w:i/>
          <w:sz w:val="24"/>
          <w:szCs w:val="24"/>
          <w:lang w:val="en-GB"/>
        </w:rPr>
        <w:t>G1349D</w:t>
      </w:r>
      <w:r w:rsidRPr="001E198B">
        <w:rPr>
          <w:sz w:val="24"/>
          <w:szCs w:val="24"/>
          <w:lang w:val="en-GB"/>
        </w:rPr>
        <w:t xml:space="preserve">). </w:t>
      </w:r>
    </w:p>
    <w:p w14:paraId="10EA0E6E"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7E384416" w14:textId="77777777" w:rsidR="001E198B" w:rsidRPr="001E198B" w:rsidRDefault="001E198B" w:rsidP="000B039D">
      <w:pPr>
        <w:tabs>
          <w:tab w:val="left" w:pos="851"/>
        </w:tabs>
        <w:ind w:left="851"/>
        <w:rPr>
          <w:sz w:val="24"/>
          <w:szCs w:val="24"/>
          <w:lang w:val="en-GB"/>
        </w:rPr>
      </w:pPr>
      <w:r w:rsidRPr="001E198B">
        <w:rPr>
          <w:sz w:val="24"/>
          <w:szCs w:val="24"/>
          <w:lang w:val="en-GB"/>
        </w:rPr>
        <w:lastRenderedPageBreak/>
        <w:t xml:space="preserve">In part 1, patients were randomised 1:1 to receive either 150 mg of ivacaftor or placebo every 12 hours with fat-containing food for 8 weeks in addition to their prescribed CF therapies and crossed over to the other treatment for the second 8 weeks after a 4- to 8-week washout period. The use of inhaled hypertonic saline was not permitted. In part 2, all patients received ivacaftor as indicated in part 1 for 16 additional weeks. The duration of continuous ivacaftor treatment was 24 weeks for patients randomised to part 1 placebo/ivacaftor treatment sequence and 16 weeks for patients randomised to part 1 ivacaftor/placebo treatment sequence. </w:t>
      </w:r>
    </w:p>
    <w:p w14:paraId="4F98EDB0"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38E34FC8" w14:textId="77777777" w:rsidR="001E198B" w:rsidRPr="001E198B" w:rsidRDefault="001E198B" w:rsidP="000B039D">
      <w:pPr>
        <w:tabs>
          <w:tab w:val="left" w:pos="851"/>
        </w:tabs>
        <w:ind w:left="851"/>
        <w:rPr>
          <w:sz w:val="24"/>
          <w:szCs w:val="24"/>
          <w:lang w:val="en-GB"/>
        </w:rPr>
      </w:pPr>
      <w:r w:rsidRPr="001E198B">
        <w:rPr>
          <w:sz w:val="24"/>
          <w:szCs w:val="24"/>
          <w:lang w:val="en-GB"/>
        </w:rPr>
        <w:t>Thirty-nine patients (mean age 23 years) with baseline FEV</w:t>
      </w:r>
      <w:r w:rsidRPr="001E198B">
        <w:rPr>
          <w:sz w:val="24"/>
          <w:szCs w:val="24"/>
          <w:vertAlign w:val="subscript"/>
          <w:lang w:val="en-GB"/>
        </w:rPr>
        <w:t>1</w:t>
      </w:r>
      <w:r w:rsidRPr="001E198B">
        <w:rPr>
          <w:sz w:val="24"/>
          <w:szCs w:val="24"/>
          <w:lang w:val="en-GB"/>
        </w:rPr>
        <w:t xml:space="preserve"> ≥ 40% predicted (mean FEV</w:t>
      </w:r>
      <w:r w:rsidRPr="001E198B">
        <w:rPr>
          <w:sz w:val="24"/>
          <w:szCs w:val="24"/>
          <w:vertAlign w:val="subscript"/>
          <w:lang w:val="en-GB"/>
        </w:rPr>
        <w:t>1</w:t>
      </w:r>
      <w:r w:rsidRPr="001E198B">
        <w:rPr>
          <w:sz w:val="24"/>
          <w:szCs w:val="24"/>
          <w:lang w:val="en-GB"/>
        </w:rPr>
        <w:t xml:space="preserve"> 78% predicted [range: 43% to 119%]) were enrolled. Sixty-two percent (24/39) of them carried the </w:t>
      </w:r>
      <w:r w:rsidRPr="001E198B">
        <w:rPr>
          <w:i/>
          <w:sz w:val="24"/>
          <w:szCs w:val="24"/>
          <w:lang w:val="en-GB"/>
        </w:rPr>
        <w:t>F508del</w:t>
      </w:r>
      <w:r w:rsidRPr="001E198B">
        <w:rPr>
          <w:sz w:val="24"/>
          <w:szCs w:val="24"/>
          <w:lang w:val="en-GB"/>
        </w:rPr>
        <w:t>-</w:t>
      </w:r>
      <w:r w:rsidRPr="001E198B">
        <w:rPr>
          <w:i/>
          <w:sz w:val="24"/>
          <w:szCs w:val="24"/>
          <w:lang w:val="en-GB"/>
        </w:rPr>
        <w:t>CFTR</w:t>
      </w:r>
      <w:r w:rsidRPr="001E198B">
        <w:rPr>
          <w:sz w:val="24"/>
          <w:szCs w:val="24"/>
          <w:lang w:val="en-GB"/>
        </w:rPr>
        <w:t xml:space="preserve"> mutation in the second allele. A total of 36 patients continued into part 2 (18 per treatment sequence). </w:t>
      </w:r>
    </w:p>
    <w:p w14:paraId="03787324"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3EE5EA7E" w14:textId="77777777" w:rsidR="001E198B" w:rsidRPr="001E198B" w:rsidRDefault="001E198B" w:rsidP="000B039D">
      <w:pPr>
        <w:tabs>
          <w:tab w:val="left" w:pos="851"/>
        </w:tabs>
        <w:ind w:left="851"/>
        <w:rPr>
          <w:sz w:val="24"/>
          <w:szCs w:val="24"/>
          <w:lang w:val="en-GB"/>
        </w:rPr>
      </w:pPr>
      <w:r w:rsidRPr="001E198B">
        <w:rPr>
          <w:sz w:val="24"/>
          <w:szCs w:val="24"/>
          <w:lang w:val="en-GB"/>
        </w:rPr>
        <w:t>In part 1 of study 770-111, the mean FEV</w:t>
      </w:r>
      <w:r w:rsidRPr="001E198B">
        <w:rPr>
          <w:sz w:val="24"/>
          <w:szCs w:val="24"/>
          <w:vertAlign w:val="subscript"/>
          <w:lang w:val="en-GB"/>
        </w:rPr>
        <w:t>1</w:t>
      </w:r>
      <w:r w:rsidRPr="001E198B">
        <w:rPr>
          <w:sz w:val="24"/>
          <w:szCs w:val="24"/>
          <w:lang w:val="en-GB"/>
        </w:rPr>
        <w:t xml:space="preserve"> percent predicted at baseline in placebo-treated patients was 79.3% while in ivacaftor-treated patients this value was 76.4%. The mean overall post-baseline value was 76.0% and 83.7%, respectively. The mean absolute change from baseline through week 8 in percent predicted FEV</w:t>
      </w:r>
      <w:r w:rsidRPr="001E198B">
        <w:rPr>
          <w:sz w:val="24"/>
          <w:szCs w:val="24"/>
          <w:vertAlign w:val="subscript"/>
          <w:lang w:val="en-GB"/>
        </w:rPr>
        <w:t>1</w:t>
      </w:r>
      <w:r w:rsidRPr="001E198B">
        <w:rPr>
          <w:sz w:val="24"/>
          <w:szCs w:val="24"/>
          <w:lang w:val="en-GB"/>
        </w:rPr>
        <w:t xml:space="preserve"> (primary efficacy endpoint) was 7.5% in the ivacaftor period and -3.2% in the placebo period. The observed treatment difference (95% CI) between ivacaftor and placebo was 10.7% (7.3, 14.1) (</w:t>
      </w:r>
      <w:r w:rsidRPr="001E198B">
        <w:rPr>
          <w:i/>
          <w:sz w:val="24"/>
          <w:szCs w:val="24"/>
          <w:lang w:val="en-GB"/>
        </w:rPr>
        <w:t>P</w:t>
      </w:r>
      <w:r w:rsidRPr="001E198B">
        <w:rPr>
          <w:sz w:val="24"/>
          <w:szCs w:val="24"/>
          <w:lang w:val="en-GB"/>
        </w:rPr>
        <w:t xml:space="preserve"> &lt; 0.0001). </w:t>
      </w:r>
    </w:p>
    <w:p w14:paraId="1561C961"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63774D67" w14:textId="77777777" w:rsidR="001E198B" w:rsidRPr="001E198B" w:rsidRDefault="001E198B" w:rsidP="000B039D">
      <w:pPr>
        <w:tabs>
          <w:tab w:val="left" w:pos="851"/>
        </w:tabs>
        <w:ind w:left="851"/>
        <w:rPr>
          <w:sz w:val="24"/>
          <w:szCs w:val="24"/>
          <w:lang w:val="en-GB"/>
        </w:rPr>
      </w:pPr>
      <w:r w:rsidRPr="001E198B">
        <w:rPr>
          <w:sz w:val="24"/>
          <w:szCs w:val="24"/>
          <w:lang w:val="en-GB"/>
        </w:rPr>
        <w:t>The effect of ivacaftor in the overall population of study 770-111 (including the secondary endpoints absolute change in BMI at 8 weeks of treatment and absolute change in the respiratory domain score of the CFQ-R through 8 weeks of treatment) and by individual mutation (absolute change in sweat chloride and in percent predicted FEV</w:t>
      </w:r>
      <w:r w:rsidRPr="001E198B">
        <w:rPr>
          <w:sz w:val="24"/>
          <w:szCs w:val="24"/>
          <w:vertAlign w:val="subscript"/>
          <w:lang w:val="en-GB"/>
        </w:rPr>
        <w:t>1</w:t>
      </w:r>
      <w:r w:rsidRPr="001E198B">
        <w:rPr>
          <w:sz w:val="24"/>
          <w:szCs w:val="24"/>
          <w:lang w:val="en-GB"/>
        </w:rPr>
        <w:t xml:space="preserve"> at week 8) is shown in Table 8. Based on clinical (percent predicted FEV</w:t>
      </w:r>
      <w:r w:rsidRPr="001E198B">
        <w:rPr>
          <w:sz w:val="24"/>
          <w:szCs w:val="24"/>
          <w:vertAlign w:val="subscript"/>
          <w:lang w:val="en-GB"/>
        </w:rPr>
        <w:t>1</w:t>
      </w:r>
      <w:r w:rsidRPr="001E198B">
        <w:rPr>
          <w:sz w:val="24"/>
          <w:szCs w:val="24"/>
          <w:lang w:val="en-GB"/>
        </w:rPr>
        <w:t xml:space="preserve">) and pharmacodynamic (sweat chloride) responses to ivacaftor, efficacy in patients with the </w:t>
      </w:r>
      <w:r w:rsidRPr="001E198B">
        <w:rPr>
          <w:i/>
          <w:sz w:val="24"/>
          <w:szCs w:val="24"/>
          <w:lang w:val="en-GB"/>
        </w:rPr>
        <w:t>G970R</w:t>
      </w:r>
      <w:r w:rsidRPr="001E198B">
        <w:rPr>
          <w:sz w:val="24"/>
          <w:szCs w:val="24"/>
          <w:lang w:val="en-GB"/>
        </w:rPr>
        <w:t xml:space="preserve"> mutation could not be established. </w:t>
      </w:r>
    </w:p>
    <w:p w14:paraId="7A019BF6" w14:textId="77777777" w:rsidR="001E198B" w:rsidRDefault="001E198B" w:rsidP="000B039D">
      <w:pPr>
        <w:tabs>
          <w:tab w:val="left" w:pos="851"/>
        </w:tabs>
        <w:ind w:left="851"/>
        <w:rPr>
          <w:sz w:val="24"/>
          <w:szCs w:val="24"/>
          <w:lang w:val="en-GB"/>
        </w:rPr>
      </w:pPr>
    </w:p>
    <w:p w14:paraId="6C718D05" w14:textId="0E6AAE70" w:rsidR="00530789" w:rsidRPr="00530789" w:rsidRDefault="00530789" w:rsidP="000B039D">
      <w:pPr>
        <w:spacing w:after="97"/>
        <w:ind w:left="993" w:hanging="990"/>
        <w:jc w:val="both"/>
        <w:rPr>
          <w:color w:val="000000"/>
          <w:kern w:val="2"/>
          <w:sz w:val="22"/>
          <w:szCs w:val="24"/>
          <w:lang w:val="en-GB" w:eastAsia="en-GB"/>
        </w:rPr>
      </w:pPr>
      <w:r w:rsidRPr="00530789">
        <w:rPr>
          <w:b/>
          <w:color w:val="000000"/>
          <w:kern w:val="2"/>
          <w:sz w:val="22"/>
          <w:szCs w:val="24"/>
          <w:lang w:val="en-GB" w:eastAsia="en-GB"/>
        </w:rPr>
        <w:t>Table 8:</w:t>
      </w:r>
      <w:r>
        <w:rPr>
          <w:b/>
          <w:color w:val="000000"/>
          <w:kern w:val="2"/>
          <w:sz w:val="22"/>
          <w:szCs w:val="24"/>
          <w:lang w:val="en-GB" w:eastAsia="en-GB"/>
        </w:rPr>
        <w:tab/>
      </w:r>
      <w:r w:rsidRPr="00530789">
        <w:rPr>
          <w:b/>
          <w:color w:val="000000"/>
          <w:kern w:val="2"/>
          <w:sz w:val="22"/>
          <w:szCs w:val="24"/>
          <w:lang w:val="en-GB" w:eastAsia="en-GB"/>
        </w:rPr>
        <w:t xml:space="preserve">Effect of ivacaftor for efficacy variables in the overall population and for specific </w:t>
      </w:r>
      <w:r w:rsidRPr="00530789">
        <w:rPr>
          <w:b/>
          <w:i/>
          <w:color w:val="000000"/>
          <w:kern w:val="2"/>
          <w:sz w:val="22"/>
          <w:szCs w:val="24"/>
          <w:lang w:val="en-GB" w:eastAsia="en-GB"/>
        </w:rPr>
        <w:t>CFTR</w:t>
      </w:r>
      <w:r w:rsidRPr="00530789">
        <w:rPr>
          <w:b/>
          <w:color w:val="000000"/>
          <w:kern w:val="2"/>
          <w:sz w:val="22"/>
          <w:szCs w:val="24"/>
          <w:lang w:val="en-GB" w:eastAsia="en-GB"/>
        </w:rPr>
        <w:t xml:space="preserve"> mutations</w:t>
      </w:r>
    </w:p>
    <w:tbl>
      <w:tblPr>
        <w:tblW w:w="5000" w:type="pct"/>
        <w:tblCellMar>
          <w:top w:w="58" w:type="dxa"/>
          <w:left w:w="107" w:type="dxa"/>
          <w:right w:w="97" w:type="dxa"/>
        </w:tblCellMar>
        <w:tblLook w:val="04A0" w:firstRow="1" w:lastRow="0" w:firstColumn="1" w:lastColumn="0" w:noHBand="0" w:noVBand="1"/>
      </w:tblPr>
      <w:tblGrid>
        <w:gridCol w:w="1649"/>
        <w:gridCol w:w="1577"/>
        <w:gridCol w:w="2409"/>
        <w:gridCol w:w="793"/>
        <w:gridCol w:w="3200"/>
      </w:tblGrid>
      <w:tr w:rsidR="00530789" w:rsidRPr="00915489" w14:paraId="0F318EAE"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22663943"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Absolute change in percent predicted FEV</w:t>
            </w:r>
            <w:r w:rsidRPr="00530789">
              <w:rPr>
                <w:b/>
                <w:color w:val="000000"/>
                <w:kern w:val="2"/>
                <w:sz w:val="20"/>
                <w:vertAlign w:val="subscript"/>
                <w:lang w:val="en-GB" w:eastAsia="en-GB"/>
              </w:rPr>
              <w:t>1</w:t>
            </w:r>
            <w:r w:rsidRPr="00530789">
              <w:rPr>
                <w:color w:val="000000"/>
                <w:kern w:val="2"/>
                <w:sz w:val="20"/>
                <w:lang w:val="en-GB" w:eastAsia="en-GB"/>
              </w:rPr>
              <w:t xml:space="preserve">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46AF7D88" w14:textId="77777777" w:rsidR="00530789" w:rsidRPr="00530789" w:rsidRDefault="00530789" w:rsidP="000B039D">
            <w:pPr>
              <w:jc w:val="both"/>
              <w:rPr>
                <w:color w:val="000000"/>
                <w:kern w:val="2"/>
                <w:sz w:val="20"/>
                <w:lang w:val="en-GB" w:eastAsia="en-GB"/>
              </w:rPr>
            </w:pPr>
            <w:r w:rsidRPr="00530789">
              <w:rPr>
                <w:b/>
                <w:color w:val="000000"/>
                <w:kern w:val="2"/>
                <w:sz w:val="20"/>
                <w:lang w:val="en-GB" w:eastAsia="en-GB"/>
              </w:rPr>
              <w:t xml:space="preserve">BMI </w:t>
            </w:r>
          </w:p>
          <w:p w14:paraId="556F9B1A" w14:textId="77777777" w:rsidR="00530789" w:rsidRPr="00530789" w:rsidRDefault="00530789" w:rsidP="000B039D">
            <w:pPr>
              <w:jc w:val="both"/>
              <w:rPr>
                <w:color w:val="000000"/>
                <w:kern w:val="2"/>
                <w:sz w:val="20"/>
                <w:lang w:val="en-GB" w:eastAsia="en-GB"/>
              </w:rPr>
            </w:pPr>
            <w:r w:rsidRPr="00530789">
              <w:rPr>
                <w:b/>
                <w:color w:val="000000"/>
                <w:kern w:val="2"/>
                <w:sz w:val="20"/>
                <w:lang w:val="en-GB" w:eastAsia="en-GB"/>
              </w:rPr>
              <w:t>(kg/m</w:t>
            </w:r>
            <w:r w:rsidRPr="00530789">
              <w:rPr>
                <w:b/>
                <w:color w:val="000000"/>
                <w:kern w:val="2"/>
                <w:sz w:val="20"/>
                <w:vertAlign w:val="superscript"/>
                <w:lang w:val="en-GB" w:eastAsia="en-GB"/>
              </w:rPr>
              <w:t>2</w:t>
            </w:r>
            <w:r w:rsidRPr="00530789">
              <w:rPr>
                <w:b/>
                <w:color w:val="000000"/>
                <w:kern w:val="2"/>
                <w:sz w:val="20"/>
                <w:lang w:val="en-GB" w:eastAsia="en-GB"/>
              </w:rPr>
              <w:t xml:space="preserve">) </w:t>
            </w:r>
          </w:p>
        </w:tc>
        <w:tc>
          <w:tcPr>
            <w:tcW w:w="1662" w:type="pct"/>
            <w:tcBorders>
              <w:top w:val="single" w:sz="4" w:space="0" w:color="000000"/>
              <w:left w:val="single" w:sz="4" w:space="0" w:color="000000"/>
              <w:bottom w:val="single" w:sz="4" w:space="0" w:color="000000"/>
              <w:right w:val="single" w:sz="4" w:space="0" w:color="000000"/>
            </w:tcBorders>
            <w:hideMark/>
          </w:tcPr>
          <w:p w14:paraId="359E2656" w14:textId="77777777" w:rsidR="00530789" w:rsidRPr="00530789" w:rsidRDefault="00530789" w:rsidP="000B039D">
            <w:pPr>
              <w:rPr>
                <w:color w:val="000000"/>
                <w:kern w:val="2"/>
                <w:sz w:val="20"/>
                <w:lang w:val="en-GB" w:eastAsia="en-GB"/>
              </w:rPr>
            </w:pPr>
            <w:r w:rsidRPr="00530789">
              <w:rPr>
                <w:b/>
                <w:color w:val="000000"/>
                <w:kern w:val="2"/>
                <w:sz w:val="20"/>
                <w:lang w:val="en-GB" w:eastAsia="en-GB"/>
              </w:rPr>
              <w:t>CFQ-R respiratory domain score (points)</w:t>
            </w:r>
            <w:r w:rsidRPr="00530789">
              <w:rPr>
                <w:color w:val="000000"/>
                <w:kern w:val="2"/>
                <w:sz w:val="20"/>
                <w:lang w:val="en-GB" w:eastAsia="en-GB"/>
              </w:rPr>
              <w:t xml:space="preserve"> </w:t>
            </w:r>
          </w:p>
        </w:tc>
      </w:tr>
      <w:tr w:rsidR="00530789" w:rsidRPr="00530789" w14:paraId="1A078F6D"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7B3B7017"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Through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32481C1D" w14:textId="77777777" w:rsidR="00530789" w:rsidRPr="00530789" w:rsidRDefault="00530789" w:rsidP="000B039D">
            <w:pPr>
              <w:jc w:val="both"/>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c>
          <w:tcPr>
            <w:tcW w:w="1662" w:type="pct"/>
            <w:tcBorders>
              <w:top w:val="single" w:sz="4" w:space="0" w:color="000000"/>
              <w:left w:val="single" w:sz="4" w:space="0" w:color="000000"/>
              <w:bottom w:val="single" w:sz="4" w:space="0" w:color="000000"/>
              <w:right w:val="single" w:sz="4" w:space="0" w:color="000000"/>
            </w:tcBorders>
            <w:hideMark/>
          </w:tcPr>
          <w:p w14:paraId="136B64D2" w14:textId="77777777" w:rsidR="00530789" w:rsidRPr="00530789" w:rsidRDefault="00530789" w:rsidP="000B039D">
            <w:pPr>
              <w:rPr>
                <w:color w:val="000000"/>
                <w:kern w:val="2"/>
                <w:sz w:val="20"/>
                <w:lang w:val="en-GB" w:eastAsia="en-GB"/>
              </w:rPr>
            </w:pPr>
            <w:r w:rsidRPr="00530789">
              <w:rPr>
                <w:b/>
                <w:color w:val="000000"/>
                <w:kern w:val="2"/>
                <w:sz w:val="20"/>
                <w:lang w:val="en-GB" w:eastAsia="en-GB"/>
              </w:rPr>
              <w:t>Through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r>
      <w:tr w:rsidR="00530789" w:rsidRPr="00915489" w14:paraId="63FD54CE"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1618D9"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 xml:space="preserve">All patients (N = 39) </w:t>
            </w:r>
          </w:p>
          <w:p w14:paraId="7DC404E9"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 xml:space="preserve">Results shown as mean (95% CI) change from baseline ivacaftor vs. placebo-treated patients: </w:t>
            </w:r>
          </w:p>
        </w:tc>
      </w:tr>
      <w:tr w:rsidR="00530789" w:rsidRPr="00530789" w14:paraId="5E13A19D"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08AB4DEA"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 xml:space="preserve">10.7 (7.3, 14.1)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2ED8ACC7" w14:textId="77777777" w:rsidR="00530789" w:rsidRPr="00530789" w:rsidRDefault="00530789" w:rsidP="000B039D">
            <w:pPr>
              <w:jc w:val="both"/>
              <w:rPr>
                <w:color w:val="000000"/>
                <w:kern w:val="2"/>
                <w:sz w:val="20"/>
                <w:lang w:val="en-GB" w:eastAsia="en-GB"/>
              </w:rPr>
            </w:pPr>
            <w:r w:rsidRPr="00530789">
              <w:rPr>
                <w:color w:val="000000"/>
                <w:kern w:val="2"/>
                <w:sz w:val="20"/>
                <w:lang w:val="en-GB" w:eastAsia="en-GB"/>
              </w:rPr>
              <w:t xml:space="preserve">0.66 (0.34, 0.99) </w:t>
            </w:r>
          </w:p>
        </w:tc>
        <w:tc>
          <w:tcPr>
            <w:tcW w:w="1662" w:type="pct"/>
            <w:tcBorders>
              <w:top w:val="single" w:sz="4" w:space="0" w:color="000000"/>
              <w:left w:val="single" w:sz="4" w:space="0" w:color="000000"/>
              <w:bottom w:val="single" w:sz="4" w:space="0" w:color="000000"/>
              <w:right w:val="single" w:sz="4" w:space="0" w:color="000000"/>
            </w:tcBorders>
            <w:hideMark/>
          </w:tcPr>
          <w:p w14:paraId="49690C8F" w14:textId="77777777" w:rsidR="00530789" w:rsidRPr="00530789" w:rsidRDefault="00530789" w:rsidP="000B039D">
            <w:pPr>
              <w:rPr>
                <w:color w:val="000000"/>
                <w:kern w:val="2"/>
                <w:sz w:val="20"/>
                <w:lang w:val="en-GB" w:eastAsia="en-GB"/>
              </w:rPr>
            </w:pPr>
            <w:r w:rsidRPr="00530789">
              <w:rPr>
                <w:color w:val="000000"/>
                <w:kern w:val="2"/>
                <w:sz w:val="20"/>
                <w:lang w:val="en-GB" w:eastAsia="en-GB"/>
              </w:rPr>
              <w:t xml:space="preserve">9.6 (4.5, 14.7) </w:t>
            </w:r>
          </w:p>
        </w:tc>
      </w:tr>
      <w:tr w:rsidR="00530789" w:rsidRPr="00915489" w14:paraId="1C5E28AB"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322BF1CE"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Patients grouped under mutation types (n) </w:t>
            </w:r>
          </w:p>
          <w:p w14:paraId="5AE849A5"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Results shown as mean (minimum, maximum) change from baseline for ivacaftor-treated patients at week 8</w:t>
            </w:r>
            <w:r w:rsidRPr="00530789">
              <w:rPr>
                <w:color w:val="000000"/>
                <w:kern w:val="2"/>
                <w:sz w:val="20"/>
                <w:vertAlign w:val="superscript"/>
                <w:lang w:val="en-GB" w:eastAsia="en-GB"/>
              </w:rPr>
              <w:t>*</w:t>
            </w:r>
            <w:r w:rsidRPr="00530789">
              <w:rPr>
                <w:color w:val="000000"/>
                <w:kern w:val="2"/>
                <w:sz w:val="20"/>
                <w:lang w:val="en-GB" w:eastAsia="en-GB"/>
              </w:rPr>
              <w:t xml:space="preserve">: </w:t>
            </w:r>
          </w:p>
        </w:tc>
      </w:tr>
      <w:tr w:rsidR="00530789" w:rsidRPr="00915489" w14:paraId="3A8F8B67" w14:textId="77777777">
        <w:trPr>
          <w:trHeight w:val="113"/>
        </w:trPr>
        <w:tc>
          <w:tcPr>
            <w:tcW w:w="856" w:type="pct"/>
            <w:vMerge w:val="restart"/>
            <w:tcBorders>
              <w:top w:val="single" w:sz="4" w:space="0" w:color="000000"/>
              <w:left w:val="single" w:sz="4" w:space="0" w:color="000000"/>
              <w:bottom w:val="single" w:sz="4" w:space="0" w:color="000000"/>
              <w:right w:val="single" w:sz="4" w:space="0" w:color="000000"/>
            </w:tcBorders>
            <w:hideMark/>
          </w:tcPr>
          <w:p w14:paraId="634AE6E9"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Mutation (n) </w:t>
            </w:r>
          </w:p>
          <w:p w14:paraId="4B895ABA"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 </w:t>
            </w: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6F6A627E"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Absolute change in sweat chloride </w:t>
            </w:r>
          </w:p>
          <w:p w14:paraId="5F515C34" w14:textId="77777777" w:rsidR="00530789" w:rsidRPr="00530789" w:rsidRDefault="00530789" w:rsidP="000B039D">
            <w:pPr>
              <w:ind w:left="11" w:hanging="8"/>
              <w:rPr>
                <w:color w:val="000000"/>
                <w:kern w:val="2"/>
                <w:sz w:val="20"/>
                <w:lang w:val="en-GB" w:eastAsia="en-GB"/>
              </w:rPr>
            </w:pPr>
            <w:r w:rsidRPr="00530789">
              <w:rPr>
                <w:b/>
                <w:color w:val="000000"/>
                <w:kern w:val="2"/>
                <w:sz w:val="20"/>
                <w:lang w:val="en-GB" w:eastAsia="en-GB"/>
              </w:rPr>
              <w:t xml:space="preserve">(mmol/L) </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4F4B2E67"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Absolute change in percent predicted </w:t>
            </w:r>
          </w:p>
          <w:p w14:paraId="123FF465"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FEV</w:t>
            </w:r>
            <w:r w:rsidRPr="00530789">
              <w:rPr>
                <w:b/>
                <w:color w:val="000000"/>
                <w:kern w:val="2"/>
                <w:sz w:val="20"/>
                <w:vertAlign w:val="subscript"/>
                <w:lang w:val="en-GB" w:eastAsia="en-GB"/>
              </w:rPr>
              <w:t xml:space="preserve">1 </w:t>
            </w:r>
            <w:r w:rsidRPr="00530789">
              <w:rPr>
                <w:b/>
                <w:color w:val="000000"/>
                <w:kern w:val="2"/>
                <w:sz w:val="20"/>
                <w:lang w:val="en-GB" w:eastAsia="en-GB"/>
              </w:rPr>
              <w:t xml:space="preserve">(percentage points) </w:t>
            </w:r>
          </w:p>
        </w:tc>
      </w:tr>
      <w:tr w:rsidR="00530789" w:rsidRPr="00530789" w14:paraId="00FFD7AD"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E3B78D" w14:textId="77777777" w:rsidR="00530789" w:rsidRPr="00530789" w:rsidRDefault="00530789" w:rsidP="000B039D">
            <w:pPr>
              <w:rPr>
                <w:color w:val="000000"/>
                <w:kern w:val="2"/>
                <w:sz w:val="20"/>
                <w:lang w:val="en-GB" w:eastAsia="en-GB"/>
              </w:rPr>
            </w:pP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4E055A7D" w14:textId="77777777" w:rsidR="00530789" w:rsidRPr="00530789" w:rsidRDefault="00530789" w:rsidP="000B039D">
            <w:pPr>
              <w:ind w:right="11"/>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3E6D4514" w14:textId="77777777" w:rsidR="00530789" w:rsidRPr="00530789" w:rsidRDefault="00530789" w:rsidP="000B039D">
            <w:pPr>
              <w:ind w:right="13"/>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p>
        </w:tc>
      </w:tr>
      <w:tr w:rsidR="00530789" w:rsidRPr="00530789" w14:paraId="615EAF8B" w14:textId="77777777">
        <w:trPr>
          <w:trHeight w:val="113"/>
        </w:trPr>
        <w:tc>
          <w:tcPr>
            <w:tcW w:w="856" w:type="pct"/>
            <w:tcBorders>
              <w:top w:val="single" w:sz="4" w:space="0" w:color="000000"/>
              <w:left w:val="single" w:sz="4" w:space="0" w:color="000000"/>
              <w:bottom w:val="single" w:sz="4" w:space="0" w:color="000000"/>
              <w:right w:val="single" w:sz="4" w:space="0" w:color="000000"/>
            </w:tcBorders>
            <w:hideMark/>
          </w:tcPr>
          <w:p w14:paraId="7201BF4B" w14:textId="77777777" w:rsidR="00530789" w:rsidRPr="00530789" w:rsidRDefault="00530789" w:rsidP="000B039D">
            <w:pPr>
              <w:ind w:right="10"/>
              <w:rPr>
                <w:color w:val="000000"/>
                <w:kern w:val="2"/>
                <w:sz w:val="20"/>
                <w:lang w:val="en-GB" w:eastAsia="en-GB"/>
              </w:rPr>
            </w:pPr>
            <w:r w:rsidRPr="00530789">
              <w:rPr>
                <w:i/>
                <w:color w:val="000000"/>
                <w:kern w:val="2"/>
                <w:sz w:val="20"/>
                <w:lang w:val="en-GB" w:eastAsia="en-GB"/>
              </w:rPr>
              <w:t>G1244E</w:t>
            </w:r>
            <w:r w:rsidRPr="00530789">
              <w:rPr>
                <w:color w:val="000000"/>
                <w:kern w:val="2"/>
                <w:sz w:val="20"/>
                <w:lang w:val="en-GB" w:eastAsia="en-GB"/>
              </w:rPr>
              <w:t xml:space="preserve"> (5) </w:t>
            </w:r>
          </w:p>
          <w:p w14:paraId="481489F9" w14:textId="77777777" w:rsidR="00530789" w:rsidRPr="00530789" w:rsidRDefault="00530789" w:rsidP="000B039D">
            <w:pPr>
              <w:ind w:right="10"/>
              <w:rPr>
                <w:color w:val="000000"/>
                <w:kern w:val="2"/>
                <w:sz w:val="20"/>
                <w:lang w:val="en-GB" w:eastAsia="en-GB"/>
              </w:rPr>
            </w:pPr>
            <w:r w:rsidRPr="00530789">
              <w:rPr>
                <w:i/>
                <w:color w:val="000000"/>
                <w:kern w:val="2"/>
                <w:sz w:val="20"/>
                <w:lang w:val="en-GB" w:eastAsia="en-GB"/>
              </w:rPr>
              <w:t>G1349D</w:t>
            </w:r>
            <w:r w:rsidRPr="00530789">
              <w:rPr>
                <w:color w:val="000000"/>
                <w:kern w:val="2"/>
                <w:sz w:val="20"/>
                <w:lang w:val="en-GB" w:eastAsia="en-GB"/>
              </w:rPr>
              <w:t xml:space="preserve"> (2) </w:t>
            </w:r>
          </w:p>
          <w:p w14:paraId="56FDDFDC" w14:textId="77777777" w:rsidR="00530789" w:rsidRPr="00530789" w:rsidRDefault="00530789" w:rsidP="000B039D">
            <w:pPr>
              <w:ind w:left="202"/>
              <w:rPr>
                <w:color w:val="000000"/>
                <w:kern w:val="2"/>
                <w:sz w:val="20"/>
                <w:lang w:val="en-GB" w:eastAsia="en-GB"/>
              </w:rPr>
            </w:pPr>
            <w:r w:rsidRPr="00530789">
              <w:rPr>
                <w:i/>
                <w:color w:val="000000"/>
                <w:kern w:val="2"/>
                <w:sz w:val="20"/>
                <w:lang w:val="en-GB" w:eastAsia="en-GB"/>
              </w:rPr>
              <w:t>G178R</w:t>
            </w:r>
            <w:r w:rsidRPr="00530789">
              <w:rPr>
                <w:color w:val="000000"/>
                <w:kern w:val="2"/>
                <w:sz w:val="20"/>
                <w:lang w:val="en-GB" w:eastAsia="en-GB"/>
              </w:rPr>
              <w:t xml:space="preserve"> (5) </w:t>
            </w:r>
          </w:p>
          <w:p w14:paraId="6481E2EC" w14:textId="77777777" w:rsidR="00530789" w:rsidRPr="00530789" w:rsidRDefault="00530789" w:rsidP="000B039D">
            <w:pPr>
              <w:ind w:left="214"/>
              <w:rPr>
                <w:color w:val="000000"/>
                <w:kern w:val="2"/>
                <w:sz w:val="20"/>
                <w:lang w:val="en-GB" w:eastAsia="en-GB"/>
              </w:rPr>
            </w:pPr>
            <w:r w:rsidRPr="00530789">
              <w:rPr>
                <w:i/>
                <w:color w:val="000000"/>
                <w:kern w:val="2"/>
                <w:sz w:val="20"/>
                <w:lang w:val="en-GB" w:eastAsia="en-GB"/>
              </w:rPr>
              <w:t>G551S</w:t>
            </w:r>
            <w:r w:rsidRPr="00530789">
              <w:rPr>
                <w:color w:val="000000"/>
                <w:kern w:val="2"/>
                <w:sz w:val="20"/>
                <w:lang w:val="en-GB" w:eastAsia="en-GB"/>
              </w:rPr>
              <w:t xml:space="preserve"> (2) </w:t>
            </w:r>
          </w:p>
          <w:p w14:paraId="65EB5611" w14:textId="77777777" w:rsidR="00530789" w:rsidRPr="00530789" w:rsidRDefault="00530789" w:rsidP="000B039D">
            <w:pPr>
              <w:spacing w:after="25"/>
              <w:ind w:left="177"/>
              <w:rPr>
                <w:color w:val="000000"/>
                <w:kern w:val="2"/>
                <w:sz w:val="20"/>
                <w:lang w:val="en-GB" w:eastAsia="en-GB"/>
              </w:rPr>
            </w:pPr>
            <w:r w:rsidRPr="00530789">
              <w:rPr>
                <w:i/>
                <w:color w:val="000000"/>
                <w:kern w:val="2"/>
                <w:sz w:val="20"/>
                <w:lang w:val="en-GB" w:eastAsia="en-GB"/>
              </w:rPr>
              <w:t>G970R</w:t>
            </w:r>
            <w:r w:rsidRPr="00530789">
              <w:rPr>
                <w:i/>
                <w:color w:val="000000"/>
                <w:kern w:val="2"/>
                <w:sz w:val="20"/>
                <w:vertAlign w:val="superscript"/>
                <w:lang w:val="en-GB" w:eastAsia="en-GB"/>
              </w:rPr>
              <w:t>#</w:t>
            </w:r>
            <w:r w:rsidRPr="00530789">
              <w:rPr>
                <w:color w:val="000000"/>
                <w:kern w:val="2"/>
                <w:sz w:val="20"/>
                <w:vertAlign w:val="superscript"/>
                <w:lang w:val="en-GB" w:eastAsia="en-GB"/>
              </w:rPr>
              <w:t xml:space="preserve"> </w:t>
            </w:r>
            <w:r w:rsidRPr="00530789">
              <w:rPr>
                <w:color w:val="000000"/>
                <w:kern w:val="2"/>
                <w:sz w:val="20"/>
                <w:lang w:val="en-GB" w:eastAsia="en-GB"/>
              </w:rPr>
              <w:t xml:space="preserve">(4) </w:t>
            </w:r>
          </w:p>
          <w:p w14:paraId="1051BE51" w14:textId="77777777" w:rsidR="00530789" w:rsidRPr="00530789" w:rsidRDefault="00530789" w:rsidP="000B039D">
            <w:pPr>
              <w:rPr>
                <w:color w:val="000000"/>
                <w:kern w:val="2"/>
                <w:sz w:val="20"/>
                <w:lang w:val="en-GB" w:eastAsia="en-GB"/>
              </w:rPr>
            </w:pPr>
            <w:r w:rsidRPr="00530789">
              <w:rPr>
                <w:i/>
                <w:color w:val="000000"/>
                <w:kern w:val="2"/>
                <w:sz w:val="20"/>
                <w:lang w:val="en-GB" w:eastAsia="en-GB"/>
              </w:rPr>
              <w:t xml:space="preserve">S1251N </w:t>
            </w:r>
            <w:r w:rsidRPr="00530789">
              <w:rPr>
                <w:color w:val="000000"/>
                <w:kern w:val="2"/>
                <w:sz w:val="20"/>
                <w:lang w:val="en-GB" w:eastAsia="en-GB"/>
              </w:rPr>
              <w:t xml:space="preserve">(8) </w:t>
            </w:r>
            <w:r w:rsidRPr="00530789">
              <w:rPr>
                <w:i/>
                <w:color w:val="000000"/>
                <w:kern w:val="2"/>
                <w:sz w:val="20"/>
                <w:lang w:val="en-GB" w:eastAsia="en-GB"/>
              </w:rPr>
              <w:t>S1255P</w:t>
            </w:r>
            <w:r w:rsidRPr="00530789">
              <w:rPr>
                <w:color w:val="000000"/>
                <w:kern w:val="2"/>
                <w:sz w:val="20"/>
                <w:lang w:val="en-GB" w:eastAsia="en-GB"/>
              </w:rPr>
              <w:t xml:space="preserve"> (2) </w:t>
            </w:r>
          </w:p>
          <w:p w14:paraId="2AFEF1BC" w14:textId="77777777" w:rsidR="00530789" w:rsidRPr="00530789" w:rsidRDefault="00530789" w:rsidP="000B039D">
            <w:pPr>
              <w:rPr>
                <w:color w:val="000000"/>
                <w:kern w:val="2"/>
                <w:sz w:val="20"/>
                <w:lang w:val="en-GB" w:eastAsia="en-GB"/>
              </w:rPr>
            </w:pPr>
            <w:r w:rsidRPr="00530789">
              <w:rPr>
                <w:i/>
                <w:color w:val="000000"/>
                <w:kern w:val="2"/>
                <w:sz w:val="20"/>
                <w:lang w:val="en-GB" w:eastAsia="en-GB"/>
              </w:rPr>
              <w:t>S549N</w:t>
            </w:r>
            <w:r w:rsidRPr="00530789">
              <w:rPr>
                <w:color w:val="000000"/>
                <w:kern w:val="2"/>
                <w:sz w:val="20"/>
                <w:lang w:val="en-GB" w:eastAsia="en-GB"/>
              </w:rPr>
              <w:t xml:space="preserve"> (6) </w:t>
            </w:r>
            <w:r w:rsidRPr="00530789">
              <w:rPr>
                <w:i/>
                <w:color w:val="000000"/>
                <w:kern w:val="2"/>
                <w:sz w:val="20"/>
                <w:lang w:val="en-GB" w:eastAsia="en-GB"/>
              </w:rPr>
              <w:t>S549R</w:t>
            </w:r>
            <w:r w:rsidRPr="00530789">
              <w:rPr>
                <w:color w:val="000000"/>
                <w:kern w:val="2"/>
                <w:sz w:val="20"/>
                <w:lang w:val="en-GB" w:eastAsia="en-GB"/>
              </w:rPr>
              <w:t xml:space="preserve"> (4)</w:t>
            </w:r>
            <w:r w:rsidRPr="00530789">
              <w:rPr>
                <w:b/>
                <w:color w:val="000000"/>
                <w:kern w:val="2"/>
                <w:sz w:val="20"/>
                <w:lang w:val="en-GB" w:eastAsia="en-GB"/>
              </w:rPr>
              <w:t xml:space="preserve"> </w:t>
            </w: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118C77A4"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noBreakHyphen/>
              <w:t>55 (-75, -34)</w:t>
            </w:r>
          </w:p>
          <w:p w14:paraId="54D686D9"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-80 (-82, -79)</w:t>
            </w:r>
          </w:p>
          <w:p w14:paraId="45001C7B"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-53 (-65, -35)</w:t>
            </w:r>
          </w:p>
          <w:p w14:paraId="305178DF" w14:textId="77777777" w:rsidR="00530789" w:rsidRPr="00530789" w:rsidRDefault="00530789" w:rsidP="000B039D">
            <w:pPr>
              <w:ind w:left="11" w:hanging="8"/>
              <w:rPr>
                <w:color w:val="000000"/>
                <w:kern w:val="2"/>
                <w:sz w:val="20"/>
                <w:vertAlign w:val="superscript"/>
                <w:lang w:val="en-GB" w:eastAsia="en-GB"/>
              </w:rPr>
            </w:pPr>
            <w:r w:rsidRPr="00530789">
              <w:rPr>
                <w:color w:val="000000"/>
                <w:kern w:val="2"/>
                <w:sz w:val="20"/>
                <w:lang w:val="en-GB" w:eastAsia="en-GB"/>
              </w:rPr>
              <w:t>-68</w:t>
            </w:r>
            <w:r w:rsidRPr="00530789">
              <w:rPr>
                <w:color w:val="000000"/>
                <w:kern w:val="2"/>
                <w:sz w:val="20"/>
                <w:vertAlign w:val="superscript"/>
                <w:lang w:val="en-GB" w:eastAsia="en-GB"/>
              </w:rPr>
              <w:t>†</w:t>
            </w:r>
          </w:p>
          <w:p w14:paraId="4096C2DA"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-6 (-16, -2)</w:t>
            </w:r>
          </w:p>
          <w:p w14:paraId="72BDF5BE"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-54 (-84, -7)</w:t>
            </w:r>
          </w:p>
          <w:p w14:paraId="7C895DF9"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-78 (-82, -74)</w:t>
            </w:r>
          </w:p>
          <w:p w14:paraId="3CE725A6"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-74 (-93, -53)</w:t>
            </w:r>
          </w:p>
          <w:p w14:paraId="0A9C2574"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-61</w:t>
            </w:r>
            <w:r w:rsidRPr="00530789">
              <w:rPr>
                <w:color w:val="000000"/>
                <w:kern w:val="2"/>
                <w:sz w:val="20"/>
                <w:vertAlign w:val="superscript"/>
                <w:lang w:val="en-GB" w:eastAsia="en-GB"/>
              </w:rPr>
              <w:t>††</w:t>
            </w:r>
            <w:r w:rsidRPr="00530789">
              <w:rPr>
                <w:color w:val="000000"/>
                <w:kern w:val="2"/>
                <w:sz w:val="20"/>
                <w:lang w:val="en-GB" w:eastAsia="en-GB"/>
              </w:rPr>
              <w:t xml:space="preserve"> (-71, -54)</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235585F2"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8 (-1, 18)</w:t>
            </w:r>
          </w:p>
          <w:p w14:paraId="23004E3C"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20 (3, 36)</w:t>
            </w:r>
          </w:p>
          <w:p w14:paraId="5DC62BE9"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8 (-1, 18)</w:t>
            </w:r>
          </w:p>
          <w:p w14:paraId="168F7ADD"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3</w:t>
            </w:r>
            <w:r w:rsidRPr="00530789">
              <w:rPr>
                <w:color w:val="000000"/>
                <w:kern w:val="2"/>
                <w:sz w:val="20"/>
                <w:vertAlign w:val="superscript"/>
                <w:lang w:val="en-GB" w:eastAsia="en-GB"/>
              </w:rPr>
              <w:t>†</w:t>
            </w:r>
          </w:p>
          <w:p w14:paraId="1969355F"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3 (-1, 5)</w:t>
            </w:r>
          </w:p>
          <w:p w14:paraId="7431431E"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9 (-20, 21)</w:t>
            </w:r>
          </w:p>
          <w:p w14:paraId="20E8CC4A"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3 (-1, 8)</w:t>
            </w:r>
          </w:p>
          <w:p w14:paraId="1DF1E610"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11 (-2, 20)</w:t>
            </w:r>
          </w:p>
          <w:p w14:paraId="6413A99C"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5 (-3, 13)</w:t>
            </w:r>
          </w:p>
        </w:tc>
      </w:tr>
    </w:tbl>
    <w:p w14:paraId="08815A97" w14:textId="77777777" w:rsidR="00530789" w:rsidRPr="00530789" w:rsidRDefault="00530789" w:rsidP="000B039D">
      <w:pPr>
        <w:tabs>
          <w:tab w:val="center" w:pos="3652"/>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Statistical testing was not performed due to small numbers for individual mutations. </w:t>
      </w:r>
    </w:p>
    <w:p w14:paraId="657D0654" w14:textId="77777777" w:rsidR="00530789" w:rsidRPr="00530789" w:rsidRDefault="00530789" w:rsidP="000B039D">
      <w:pPr>
        <w:tabs>
          <w:tab w:val="center" w:pos="4182"/>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lastRenderedPageBreak/>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Reflects results from the one patient with the </w:t>
      </w:r>
      <w:r w:rsidRPr="00530789">
        <w:rPr>
          <w:i/>
          <w:color w:val="000000"/>
          <w:kern w:val="2"/>
          <w:sz w:val="20"/>
          <w:szCs w:val="24"/>
          <w:lang w:val="en-GB" w:eastAsia="en-GB"/>
        </w:rPr>
        <w:t>G551S</w:t>
      </w:r>
      <w:r w:rsidRPr="00530789">
        <w:rPr>
          <w:color w:val="000000"/>
          <w:kern w:val="2"/>
          <w:sz w:val="20"/>
          <w:szCs w:val="24"/>
          <w:lang w:val="en-GB" w:eastAsia="en-GB"/>
        </w:rPr>
        <w:t xml:space="preserve"> mutation with data at the 8-week time point. </w:t>
      </w:r>
    </w:p>
    <w:p w14:paraId="0868BC8E" w14:textId="77777777" w:rsidR="00530789" w:rsidRPr="00530789" w:rsidRDefault="00530789" w:rsidP="000B039D">
      <w:pPr>
        <w:spacing w:after="5"/>
        <w:ind w:left="-2" w:hanging="10"/>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n = 3 for the analysis of absolute change in sweat chloride. </w:t>
      </w:r>
    </w:p>
    <w:p w14:paraId="3516469D" w14:textId="77777777" w:rsidR="00530789" w:rsidRPr="00530789" w:rsidRDefault="00530789" w:rsidP="000B039D">
      <w:pPr>
        <w:tabs>
          <w:tab w:val="center" w:pos="3521"/>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Causes a splicing defect resulting in little-to-no CFTR protein at the cell surface. </w:t>
      </w:r>
    </w:p>
    <w:p w14:paraId="329FC343" w14:textId="77777777" w:rsidR="00530789" w:rsidRPr="00530789" w:rsidRDefault="00530789" w:rsidP="000B039D">
      <w:pPr>
        <w:ind w:left="3"/>
        <w:jc w:val="both"/>
        <w:rPr>
          <w:color w:val="000000"/>
          <w:kern w:val="2"/>
          <w:sz w:val="22"/>
          <w:szCs w:val="24"/>
          <w:lang w:val="en-GB" w:eastAsia="en-GB"/>
        </w:rPr>
      </w:pPr>
      <w:r w:rsidRPr="00530789">
        <w:rPr>
          <w:color w:val="000000"/>
          <w:kern w:val="2"/>
          <w:sz w:val="22"/>
          <w:szCs w:val="24"/>
          <w:lang w:val="en-GB" w:eastAsia="en-GB"/>
        </w:rPr>
        <w:t xml:space="preserve"> </w:t>
      </w:r>
    </w:p>
    <w:p w14:paraId="292D7BE8" w14:textId="77777777" w:rsidR="00C272C4" w:rsidRPr="00C272C4" w:rsidRDefault="00C272C4" w:rsidP="000B039D">
      <w:pPr>
        <w:tabs>
          <w:tab w:val="left" w:pos="851"/>
        </w:tabs>
        <w:ind w:left="851"/>
        <w:rPr>
          <w:sz w:val="24"/>
          <w:szCs w:val="24"/>
          <w:lang w:val="en-GB"/>
        </w:rPr>
      </w:pPr>
      <w:r w:rsidRPr="00C272C4">
        <w:rPr>
          <w:sz w:val="24"/>
          <w:szCs w:val="24"/>
          <w:lang w:val="en-GB"/>
        </w:rPr>
        <w:t>In part 2 of study 770-111, the mean (SD) absolute change in percent predicted FEV</w:t>
      </w:r>
      <w:r w:rsidRPr="00C272C4">
        <w:rPr>
          <w:sz w:val="24"/>
          <w:szCs w:val="24"/>
          <w:vertAlign w:val="subscript"/>
          <w:lang w:val="en-GB"/>
        </w:rPr>
        <w:t>1</w:t>
      </w:r>
      <w:r w:rsidRPr="00C272C4">
        <w:rPr>
          <w:sz w:val="24"/>
          <w:szCs w:val="24"/>
          <w:lang w:val="en-GB"/>
        </w:rPr>
        <w:t xml:space="preserve"> following 16 weeks (patients randomised to the ivacaftor/placebo treatment sequence in part 1) of continuous ivacaftor treatment was 10.4% (13.2%). At the follow-up visit, 4 weeks after ivacaftor dosing had ended, the mean (SD) absolute change in percent predicted FEV</w:t>
      </w:r>
      <w:r w:rsidRPr="00C272C4">
        <w:rPr>
          <w:sz w:val="24"/>
          <w:szCs w:val="24"/>
          <w:vertAlign w:val="subscript"/>
          <w:lang w:val="en-GB"/>
        </w:rPr>
        <w:t xml:space="preserve">1 </w:t>
      </w:r>
      <w:r w:rsidRPr="00C272C4">
        <w:rPr>
          <w:sz w:val="24"/>
          <w:szCs w:val="24"/>
          <w:lang w:val="en-GB"/>
        </w:rPr>
        <w:t>from</w:t>
      </w:r>
      <w:r w:rsidRPr="00C272C4">
        <w:rPr>
          <w:sz w:val="24"/>
          <w:szCs w:val="24"/>
          <w:vertAlign w:val="subscript"/>
          <w:lang w:val="en-GB"/>
        </w:rPr>
        <w:t xml:space="preserve"> </w:t>
      </w:r>
      <w:r w:rsidRPr="00C272C4">
        <w:rPr>
          <w:sz w:val="24"/>
          <w:szCs w:val="24"/>
          <w:lang w:val="en-GB"/>
        </w:rPr>
        <w:t>part 2 week 16 was -5.9% (9.4%). For patients randomised to the placebo/ivacaftor treatment sequence in part 1 there was a further mean (SD) change of 3.3% (9.3%) in percent predicted FEV</w:t>
      </w:r>
      <w:r w:rsidRPr="00C272C4">
        <w:rPr>
          <w:sz w:val="24"/>
          <w:szCs w:val="24"/>
          <w:vertAlign w:val="subscript"/>
          <w:lang w:val="en-GB"/>
        </w:rPr>
        <w:t>1</w:t>
      </w:r>
      <w:r w:rsidRPr="00C272C4">
        <w:rPr>
          <w:sz w:val="24"/>
          <w:szCs w:val="24"/>
          <w:lang w:val="en-GB"/>
        </w:rPr>
        <w:t xml:space="preserve"> after the additional 16 weeks of treatment with ivacaftor. At the follow-up visit, 4 weeks after ivacaftor dosing had ended, the mean (SD) absolute change in percent predicted FEV</w:t>
      </w:r>
      <w:r w:rsidRPr="00C272C4">
        <w:rPr>
          <w:sz w:val="24"/>
          <w:szCs w:val="24"/>
          <w:vertAlign w:val="subscript"/>
          <w:lang w:val="en-GB"/>
        </w:rPr>
        <w:t>1</w:t>
      </w:r>
      <w:r w:rsidRPr="00C272C4">
        <w:rPr>
          <w:sz w:val="24"/>
          <w:szCs w:val="24"/>
          <w:lang w:val="en-GB"/>
        </w:rPr>
        <w:t xml:space="preserve"> from part 2 week 16 was -7.4% (5.5%). </w:t>
      </w:r>
    </w:p>
    <w:p w14:paraId="50F74B06"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3A05F38E" w14:textId="77777777" w:rsidR="00C272C4" w:rsidRPr="00C272C4" w:rsidRDefault="00C272C4" w:rsidP="000B039D">
      <w:pPr>
        <w:tabs>
          <w:tab w:val="left" w:pos="851"/>
        </w:tabs>
        <w:ind w:left="851"/>
        <w:rPr>
          <w:sz w:val="24"/>
          <w:szCs w:val="24"/>
          <w:lang w:val="en-GB"/>
        </w:rPr>
      </w:pPr>
      <w:r w:rsidRPr="00C272C4">
        <w:rPr>
          <w:i/>
          <w:sz w:val="24"/>
          <w:szCs w:val="24"/>
          <w:u w:val="single"/>
          <w:lang w:val="en-GB"/>
        </w:rPr>
        <w:t>Study 770-104: study in patients with CF with the F508del mutation in the CFTR gene</w:t>
      </w:r>
      <w:r w:rsidRPr="00C272C4">
        <w:rPr>
          <w:i/>
          <w:sz w:val="24"/>
          <w:szCs w:val="24"/>
          <w:lang w:val="en-GB"/>
        </w:rPr>
        <w:t xml:space="preserve"> </w:t>
      </w:r>
    </w:p>
    <w:p w14:paraId="47762F87"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Study 770-104 (part A) was a 16-week, 4:1 randomised, double-blind, placebo-controlled, parallel-group phase 2 study of ivacaftor (150 mg every 12 hours) in 140 patients with CF aged 12 years and older who were homozygous for the </w:t>
      </w:r>
      <w:r w:rsidRPr="00C272C4">
        <w:rPr>
          <w:i/>
          <w:sz w:val="24"/>
          <w:szCs w:val="24"/>
          <w:lang w:val="en-GB"/>
        </w:rPr>
        <w:t>F508del</w:t>
      </w:r>
      <w:r w:rsidRPr="00C272C4">
        <w:rPr>
          <w:sz w:val="24"/>
          <w:szCs w:val="24"/>
          <w:lang w:val="en-GB"/>
        </w:rPr>
        <w:t xml:space="preserve"> mutation in the </w:t>
      </w:r>
      <w:r w:rsidRPr="00C272C4">
        <w:rPr>
          <w:i/>
          <w:sz w:val="24"/>
          <w:szCs w:val="24"/>
          <w:lang w:val="en-GB"/>
        </w:rPr>
        <w:t>CFTR</w:t>
      </w:r>
      <w:r w:rsidRPr="00C272C4">
        <w:rPr>
          <w:sz w:val="24"/>
          <w:szCs w:val="24"/>
          <w:lang w:val="en-GB"/>
        </w:rPr>
        <w:t xml:space="preserve"> gene and who had FEV</w:t>
      </w:r>
      <w:r w:rsidRPr="00C272C4">
        <w:rPr>
          <w:sz w:val="24"/>
          <w:szCs w:val="24"/>
          <w:vertAlign w:val="subscript"/>
          <w:lang w:val="en-GB"/>
        </w:rPr>
        <w:t>1</w:t>
      </w:r>
      <w:r w:rsidRPr="00C272C4">
        <w:rPr>
          <w:sz w:val="24"/>
          <w:szCs w:val="24"/>
          <w:lang w:val="en-GB"/>
        </w:rPr>
        <w:t xml:space="preserve"> ≥ 40% predicted. </w:t>
      </w:r>
    </w:p>
    <w:p w14:paraId="1C0A2FAD"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4DD3CD53" w14:textId="77777777" w:rsidR="00C272C4" w:rsidRPr="00C272C4" w:rsidRDefault="00C272C4" w:rsidP="000B039D">
      <w:pPr>
        <w:tabs>
          <w:tab w:val="left" w:pos="851"/>
        </w:tabs>
        <w:ind w:left="851"/>
        <w:rPr>
          <w:sz w:val="24"/>
          <w:szCs w:val="24"/>
          <w:lang w:val="en-GB"/>
        </w:rPr>
      </w:pPr>
      <w:r w:rsidRPr="00C272C4">
        <w:rPr>
          <w:sz w:val="24"/>
          <w:szCs w:val="24"/>
          <w:lang w:val="en-GB"/>
        </w:rPr>
        <w:t>The mean absolute change from baseline through week 16 in percent predicted FEV</w:t>
      </w:r>
      <w:r w:rsidRPr="00C272C4">
        <w:rPr>
          <w:sz w:val="24"/>
          <w:szCs w:val="24"/>
          <w:vertAlign w:val="subscript"/>
          <w:lang w:val="en-GB"/>
        </w:rPr>
        <w:t>1</w:t>
      </w:r>
      <w:r w:rsidRPr="00C272C4">
        <w:rPr>
          <w:sz w:val="24"/>
          <w:szCs w:val="24"/>
          <w:lang w:val="en-GB"/>
        </w:rPr>
        <w:t xml:space="preserve"> (primary efficacy endpoint) was 1.5 percentage points in the ivacaftor group and -0.2 percentage points in the placebo group. The estimated treatment difference for ivacaftor versus placebo was 1.7 percentage points (95% CI: -0.6, 4.1); this difference was not statistically significant (</w:t>
      </w:r>
      <w:r w:rsidRPr="00C272C4">
        <w:rPr>
          <w:i/>
          <w:sz w:val="24"/>
          <w:szCs w:val="24"/>
          <w:lang w:val="en-GB"/>
        </w:rPr>
        <w:t>P</w:t>
      </w:r>
      <w:r w:rsidRPr="00C272C4">
        <w:rPr>
          <w:sz w:val="24"/>
          <w:szCs w:val="24"/>
          <w:lang w:val="en-GB"/>
        </w:rPr>
        <w:t xml:space="preserve"> = 0.15). </w:t>
      </w:r>
    </w:p>
    <w:p w14:paraId="7D4443F8" w14:textId="77777777" w:rsidR="00C272C4" w:rsidRPr="00C272C4" w:rsidRDefault="00C272C4" w:rsidP="000B039D">
      <w:pPr>
        <w:tabs>
          <w:tab w:val="left" w:pos="851"/>
        </w:tabs>
        <w:ind w:left="851"/>
        <w:rPr>
          <w:sz w:val="24"/>
          <w:szCs w:val="24"/>
          <w:lang w:val="en-GB"/>
        </w:rPr>
      </w:pPr>
    </w:p>
    <w:p w14:paraId="1FCF281B" w14:textId="77777777" w:rsidR="00C272C4" w:rsidRPr="00C272C4" w:rsidRDefault="00C272C4" w:rsidP="000B039D">
      <w:pPr>
        <w:tabs>
          <w:tab w:val="left" w:pos="851"/>
        </w:tabs>
        <w:ind w:left="851"/>
        <w:rPr>
          <w:sz w:val="24"/>
          <w:szCs w:val="24"/>
          <w:lang w:val="en-GB"/>
        </w:rPr>
      </w:pPr>
      <w:r w:rsidRPr="00C272C4">
        <w:rPr>
          <w:i/>
          <w:sz w:val="24"/>
          <w:szCs w:val="24"/>
          <w:u w:val="single"/>
          <w:lang w:val="en-GB"/>
        </w:rPr>
        <w:t>Study 770-105: open-label extension study</w:t>
      </w:r>
      <w:r w:rsidRPr="00C272C4">
        <w:rPr>
          <w:i/>
          <w:sz w:val="24"/>
          <w:szCs w:val="24"/>
          <w:lang w:val="en-GB"/>
        </w:rPr>
        <w:t xml:space="preserve"> </w:t>
      </w:r>
    </w:p>
    <w:p w14:paraId="2F340781" w14:textId="2A2A431E" w:rsidR="00C272C4" w:rsidRPr="00C272C4" w:rsidRDefault="00C272C4" w:rsidP="000B039D">
      <w:pPr>
        <w:tabs>
          <w:tab w:val="left" w:pos="851"/>
        </w:tabs>
        <w:ind w:left="851"/>
        <w:rPr>
          <w:sz w:val="24"/>
          <w:szCs w:val="24"/>
          <w:lang w:val="en-GB"/>
        </w:rPr>
      </w:pPr>
      <w:r w:rsidRPr="00C272C4">
        <w:rPr>
          <w:sz w:val="24"/>
          <w:szCs w:val="24"/>
          <w:lang w:val="en-GB"/>
        </w:rPr>
        <w:t xml:space="preserve">In study 770-105 patients who completed treatment in studies 770-102 and 770-103 with placebo were switched to ivacaftor while patients on ivacaftor continued to receive it for a minimum of 96 weeks, i.e., the length of treatment with ivacaftor was at least 96 weeks for patients in the placebo/ivacaftor group and at least 144 weeks for patients in the ivacaftor/ivacaftor group. </w:t>
      </w:r>
    </w:p>
    <w:p w14:paraId="7A109D60"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6A7270F2"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One hundred and forty-four (144) patients from study 770-102 were rolled over in study 770-105, 67 in the placebo/ivacaftor group and 77 in the ivacaftor/ivacaftor group. Forty-eight (48) patients from study 770-103 were rolled over in study 770-105, 22 in the placebo/ivacaftor group and 26 in the ivacaftor/ivacaftor group. </w:t>
      </w:r>
    </w:p>
    <w:p w14:paraId="4363E488"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6A430F78" w14:textId="77777777" w:rsidR="00C272C4" w:rsidRPr="00C272C4" w:rsidRDefault="00C272C4" w:rsidP="000B039D">
      <w:pPr>
        <w:tabs>
          <w:tab w:val="left" w:pos="851"/>
        </w:tabs>
        <w:ind w:left="851"/>
        <w:rPr>
          <w:sz w:val="24"/>
          <w:szCs w:val="24"/>
          <w:lang w:val="en-GB"/>
        </w:rPr>
      </w:pPr>
      <w:r w:rsidRPr="00C272C4">
        <w:rPr>
          <w:sz w:val="24"/>
          <w:szCs w:val="24"/>
          <w:lang w:val="en-GB"/>
        </w:rPr>
        <w:t>Table 9 shows the results of the mean (SD) absolute change in percent predicted FEV</w:t>
      </w:r>
      <w:r w:rsidRPr="00C272C4">
        <w:rPr>
          <w:sz w:val="24"/>
          <w:szCs w:val="24"/>
          <w:vertAlign w:val="subscript"/>
          <w:lang w:val="en-GB"/>
        </w:rPr>
        <w:t>1</w:t>
      </w:r>
      <w:r w:rsidRPr="00C272C4">
        <w:rPr>
          <w:sz w:val="24"/>
          <w:szCs w:val="24"/>
          <w:lang w:val="en-GB"/>
        </w:rPr>
        <w:t xml:space="preserve"> for both groups of patients. For patients in the placebo/ivacaftor group baseline percent predicted FEV</w:t>
      </w:r>
      <w:r w:rsidRPr="00C272C4">
        <w:rPr>
          <w:sz w:val="24"/>
          <w:szCs w:val="24"/>
          <w:vertAlign w:val="subscript"/>
          <w:lang w:val="en-GB"/>
        </w:rPr>
        <w:t>1</w:t>
      </w:r>
      <w:r w:rsidRPr="00C272C4">
        <w:rPr>
          <w:sz w:val="24"/>
          <w:szCs w:val="24"/>
          <w:lang w:val="en-GB"/>
        </w:rPr>
        <w:t xml:space="preserve"> is that of study 770-105 while for patients in the ivacaftor/ivacaftor group the baseline value is that of studies 770-102 and 770-103. </w:t>
      </w:r>
    </w:p>
    <w:p w14:paraId="53D1EA70" w14:textId="77777777" w:rsidR="00561A29" w:rsidRPr="00561A29" w:rsidRDefault="00561A29" w:rsidP="000B039D">
      <w:pPr>
        <w:spacing w:after="102"/>
        <w:ind w:left="3"/>
        <w:jc w:val="both"/>
        <w:rPr>
          <w:color w:val="000000"/>
          <w:kern w:val="2"/>
          <w:sz w:val="22"/>
          <w:szCs w:val="24"/>
          <w:lang w:val="en-GB" w:eastAsia="en-GB"/>
        </w:rPr>
      </w:pPr>
    </w:p>
    <w:p w14:paraId="371BB6F6" w14:textId="77777777" w:rsidR="00561A29" w:rsidRPr="00561A29" w:rsidRDefault="00561A29" w:rsidP="000B039D">
      <w:pPr>
        <w:keepNext/>
        <w:keepLines/>
        <w:ind w:left="-2" w:hanging="10"/>
        <w:jc w:val="both"/>
        <w:outlineLvl w:val="0"/>
        <w:rPr>
          <w:b/>
          <w:color w:val="000000"/>
          <w:kern w:val="2"/>
          <w:sz w:val="22"/>
          <w:szCs w:val="24"/>
          <w:lang w:val="en-GB" w:eastAsia="en-GB"/>
        </w:rPr>
      </w:pPr>
      <w:r w:rsidRPr="00561A29">
        <w:rPr>
          <w:b/>
          <w:color w:val="000000"/>
          <w:kern w:val="2"/>
          <w:sz w:val="22"/>
          <w:szCs w:val="24"/>
          <w:lang w:val="en-GB" w:eastAsia="en-GB"/>
        </w:rPr>
        <w:t>Table 9: Effect of ivacaftor on percent predicted FEV</w:t>
      </w:r>
      <w:r w:rsidRPr="00561A29">
        <w:rPr>
          <w:b/>
          <w:color w:val="000000"/>
          <w:kern w:val="2"/>
          <w:sz w:val="20"/>
          <w:szCs w:val="24"/>
          <w:vertAlign w:val="subscript"/>
          <w:lang w:val="en-GB" w:eastAsia="en-GB"/>
        </w:rPr>
        <w:t>1</w:t>
      </w:r>
      <w:r w:rsidRPr="00561A29">
        <w:rPr>
          <w:b/>
          <w:color w:val="000000"/>
          <w:kern w:val="2"/>
          <w:sz w:val="22"/>
          <w:szCs w:val="24"/>
          <w:lang w:val="en-GB" w:eastAsia="en-GB"/>
        </w:rPr>
        <w:t xml:space="preserve"> in study 770-105 </w:t>
      </w:r>
    </w:p>
    <w:tbl>
      <w:tblPr>
        <w:tblW w:w="9002" w:type="dxa"/>
        <w:tblInd w:w="80" w:type="dxa"/>
        <w:tblCellMar>
          <w:top w:w="23" w:type="dxa"/>
          <w:right w:w="98" w:type="dxa"/>
        </w:tblCellMar>
        <w:tblLook w:val="04A0" w:firstRow="1" w:lastRow="0" w:firstColumn="1" w:lastColumn="0" w:noHBand="0" w:noVBand="1"/>
      </w:tblPr>
      <w:tblGrid>
        <w:gridCol w:w="2332"/>
        <w:gridCol w:w="2489"/>
        <w:gridCol w:w="1336"/>
        <w:gridCol w:w="2845"/>
      </w:tblGrid>
      <w:tr w:rsidR="00561A29" w:rsidRPr="00915489" w14:paraId="1806E6B0"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D46C0E7"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Original study and treatment group</w:t>
            </w:r>
            <w:r w:rsidRPr="00561A29">
              <w:rPr>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5E6326F9"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Duration of ivacaftor treatment (weeks)</w:t>
            </w:r>
            <w:r w:rsidRPr="00561A29">
              <w:rPr>
                <w:color w:val="000000"/>
                <w:kern w:val="2"/>
                <w:sz w:val="20"/>
                <w:lang w:val="en-GB" w:eastAsia="en-GB"/>
              </w:rPr>
              <w:t xml:space="preserve"> </w:t>
            </w:r>
          </w:p>
        </w:tc>
        <w:tc>
          <w:tcPr>
            <w:tcW w:w="4181" w:type="dxa"/>
            <w:gridSpan w:val="2"/>
            <w:tcBorders>
              <w:top w:val="single" w:sz="4" w:space="0" w:color="000000"/>
              <w:left w:val="single" w:sz="4" w:space="0" w:color="000000"/>
              <w:bottom w:val="single" w:sz="4" w:space="0" w:color="000000"/>
              <w:right w:val="single" w:sz="4" w:space="0" w:color="000000"/>
            </w:tcBorders>
            <w:hideMark/>
          </w:tcPr>
          <w:p w14:paraId="1CDAFC1F"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Absolute change from baseline in percent predicted FEV</w:t>
            </w:r>
            <w:r w:rsidRPr="00561A29">
              <w:rPr>
                <w:b/>
                <w:color w:val="000000"/>
                <w:kern w:val="2"/>
                <w:sz w:val="20"/>
                <w:vertAlign w:val="subscript"/>
                <w:lang w:val="en-GB" w:eastAsia="en-GB"/>
              </w:rPr>
              <w:t xml:space="preserve">1 </w:t>
            </w:r>
            <w:r w:rsidRPr="00561A29">
              <w:rPr>
                <w:b/>
                <w:color w:val="000000"/>
                <w:kern w:val="2"/>
                <w:sz w:val="20"/>
                <w:lang w:val="en-GB" w:eastAsia="en-GB"/>
              </w:rPr>
              <w:t>(percentage points)</w:t>
            </w:r>
            <w:r w:rsidRPr="00561A29">
              <w:rPr>
                <w:color w:val="000000"/>
                <w:kern w:val="2"/>
                <w:sz w:val="20"/>
                <w:lang w:val="en-GB" w:eastAsia="en-GB"/>
              </w:rPr>
              <w:t xml:space="preserve"> </w:t>
            </w:r>
          </w:p>
        </w:tc>
      </w:tr>
      <w:tr w:rsidR="00561A29" w:rsidRPr="00561A29" w14:paraId="7B914F8B"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5BCCB4F8"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57476F6D" w14:textId="77777777" w:rsidR="00561A29" w:rsidRPr="00561A29" w:rsidRDefault="00561A29" w:rsidP="000B039D">
            <w:pPr>
              <w:ind w:left="43"/>
              <w:jc w:val="both"/>
              <w:rPr>
                <w:color w:val="000000"/>
                <w:kern w:val="2"/>
                <w:sz w:val="20"/>
                <w:lang w:val="en-GB" w:eastAsia="en-GB"/>
              </w:rPr>
            </w:pPr>
            <w:r w:rsidRPr="00561A29">
              <w:rPr>
                <w:b/>
                <w:color w:val="000000"/>
                <w:kern w:val="2"/>
                <w:sz w:val="20"/>
                <w:lang w:val="en-GB" w:eastAsia="en-GB"/>
              </w:rPr>
              <w:t xml:space="preserve"> </w:t>
            </w:r>
          </w:p>
        </w:tc>
        <w:tc>
          <w:tcPr>
            <w:tcW w:w="1336" w:type="dxa"/>
            <w:tcBorders>
              <w:top w:val="single" w:sz="4" w:space="0" w:color="000000"/>
              <w:left w:val="single" w:sz="4" w:space="0" w:color="000000"/>
              <w:bottom w:val="single" w:sz="4" w:space="0" w:color="000000"/>
              <w:right w:val="single" w:sz="4" w:space="0" w:color="000000"/>
            </w:tcBorders>
            <w:hideMark/>
          </w:tcPr>
          <w:p w14:paraId="6A8A8090" w14:textId="77777777" w:rsidR="00561A29" w:rsidRPr="00561A29" w:rsidRDefault="00561A29" w:rsidP="000B039D">
            <w:pPr>
              <w:ind w:right="13"/>
              <w:jc w:val="center"/>
              <w:rPr>
                <w:color w:val="000000"/>
                <w:kern w:val="2"/>
                <w:sz w:val="20"/>
                <w:lang w:val="en-GB" w:eastAsia="en-GB"/>
              </w:rPr>
            </w:pPr>
            <w:r w:rsidRPr="00561A29">
              <w:rPr>
                <w:b/>
                <w:color w:val="000000"/>
                <w:kern w:val="2"/>
                <w:sz w:val="20"/>
                <w:lang w:val="en-GB" w:eastAsia="en-GB"/>
              </w:rPr>
              <w:t>N</w:t>
            </w:r>
          </w:p>
        </w:tc>
        <w:tc>
          <w:tcPr>
            <w:tcW w:w="2845" w:type="dxa"/>
            <w:tcBorders>
              <w:top w:val="single" w:sz="4" w:space="0" w:color="000000"/>
              <w:left w:val="single" w:sz="4" w:space="0" w:color="000000"/>
              <w:bottom w:val="single" w:sz="4" w:space="0" w:color="000000"/>
              <w:right w:val="single" w:sz="4" w:space="0" w:color="000000"/>
            </w:tcBorders>
            <w:hideMark/>
          </w:tcPr>
          <w:p w14:paraId="5E72F797" w14:textId="77777777" w:rsidR="00561A29" w:rsidRPr="00561A29" w:rsidRDefault="00561A29" w:rsidP="000B039D">
            <w:pPr>
              <w:ind w:right="11"/>
              <w:jc w:val="center"/>
              <w:rPr>
                <w:color w:val="000000"/>
                <w:kern w:val="2"/>
                <w:sz w:val="20"/>
                <w:lang w:val="en-GB" w:eastAsia="en-GB"/>
              </w:rPr>
            </w:pPr>
            <w:r w:rsidRPr="00561A29">
              <w:rPr>
                <w:b/>
                <w:color w:val="000000"/>
                <w:kern w:val="2"/>
                <w:sz w:val="20"/>
                <w:lang w:val="en-GB" w:eastAsia="en-GB"/>
              </w:rPr>
              <w:t>Mean (SD)</w:t>
            </w:r>
          </w:p>
        </w:tc>
      </w:tr>
      <w:tr w:rsidR="00561A29" w:rsidRPr="00561A29" w14:paraId="0AC46B37" w14:textId="77777777">
        <w:trPr>
          <w:trHeight w:val="113"/>
        </w:trPr>
        <w:tc>
          <w:tcPr>
            <w:tcW w:w="2333" w:type="dxa"/>
            <w:tcBorders>
              <w:top w:val="single" w:sz="4" w:space="0" w:color="000000"/>
              <w:left w:val="single" w:sz="4" w:space="0" w:color="000000"/>
              <w:bottom w:val="single" w:sz="4" w:space="0" w:color="000000"/>
              <w:right w:val="nil"/>
            </w:tcBorders>
            <w:hideMark/>
          </w:tcPr>
          <w:p w14:paraId="10A572B9"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Study 770-102 </w:t>
            </w:r>
          </w:p>
        </w:tc>
        <w:tc>
          <w:tcPr>
            <w:tcW w:w="2489" w:type="dxa"/>
            <w:tcBorders>
              <w:top w:val="single" w:sz="4" w:space="0" w:color="000000"/>
              <w:left w:val="nil"/>
              <w:bottom w:val="single" w:sz="4" w:space="0" w:color="000000"/>
              <w:right w:val="nil"/>
            </w:tcBorders>
          </w:tcPr>
          <w:p w14:paraId="362ED3FC" w14:textId="77777777" w:rsidR="00561A29" w:rsidRPr="00561A29" w:rsidRDefault="00561A29" w:rsidP="000B039D">
            <w:pPr>
              <w:spacing w:after="160"/>
              <w:jc w:val="both"/>
              <w:rPr>
                <w:color w:val="000000"/>
                <w:kern w:val="2"/>
                <w:sz w:val="20"/>
                <w:lang w:val="en-GB" w:eastAsia="en-GB"/>
              </w:rPr>
            </w:pPr>
          </w:p>
        </w:tc>
        <w:tc>
          <w:tcPr>
            <w:tcW w:w="4181" w:type="dxa"/>
            <w:gridSpan w:val="2"/>
            <w:tcBorders>
              <w:top w:val="single" w:sz="4" w:space="0" w:color="000000"/>
              <w:left w:val="nil"/>
              <w:bottom w:val="single" w:sz="4" w:space="0" w:color="000000"/>
              <w:right w:val="single" w:sz="4" w:space="0" w:color="000000"/>
            </w:tcBorders>
          </w:tcPr>
          <w:p w14:paraId="3D874DE7" w14:textId="77777777" w:rsidR="00561A29" w:rsidRPr="00561A29" w:rsidRDefault="00561A29" w:rsidP="000B039D">
            <w:pPr>
              <w:spacing w:after="160"/>
              <w:jc w:val="both"/>
              <w:rPr>
                <w:color w:val="000000"/>
                <w:kern w:val="2"/>
                <w:sz w:val="20"/>
                <w:lang w:val="en-GB" w:eastAsia="en-GB"/>
              </w:rPr>
            </w:pPr>
          </w:p>
        </w:tc>
      </w:tr>
      <w:tr w:rsidR="00561A29" w:rsidRPr="00561A29" w14:paraId="10537988"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2C51DDB8" w14:textId="77777777" w:rsidR="00561A29" w:rsidRPr="00561A29" w:rsidRDefault="00561A29" w:rsidP="000B039D">
            <w:pPr>
              <w:ind w:right="123"/>
              <w:jc w:val="both"/>
              <w:rPr>
                <w:color w:val="000000"/>
                <w:kern w:val="2"/>
                <w:sz w:val="20"/>
                <w:lang w:val="en-GB" w:eastAsia="en-GB"/>
              </w:rPr>
            </w:pPr>
            <w:r w:rsidRPr="00561A29">
              <w:rPr>
                <w:b/>
                <w:color w:val="000000"/>
                <w:kern w:val="2"/>
                <w:sz w:val="20"/>
                <w:lang w:val="en-GB" w:eastAsia="en-GB"/>
              </w:rPr>
              <w:t xml:space="preserve">            Ivacaftor </w:t>
            </w:r>
          </w:p>
        </w:tc>
        <w:tc>
          <w:tcPr>
            <w:tcW w:w="2489" w:type="dxa"/>
            <w:tcBorders>
              <w:top w:val="single" w:sz="4" w:space="0" w:color="000000"/>
              <w:left w:val="single" w:sz="4" w:space="0" w:color="000000"/>
              <w:bottom w:val="single" w:sz="4" w:space="0" w:color="000000"/>
              <w:right w:val="single" w:sz="4" w:space="0" w:color="000000"/>
            </w:tcBorders>
            <w:hideMark/>
          </w:tcPr>
          <w:p w14:paraId="5BB3B349"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48</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17F1D063"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77</w:t>
            </w:r>
          </w:p>
        </w:tc>
        <w:tc>
          <w:tcPr>
            <w:tcW w:w="2845" w:type="dxa"/>
            <w:tcBorders>
              <w:top w:val="single" w:sz="4" w:space="0" w:color="000000"/>
              <w:left w:val="single" w:sz="4" w:space="0" w:color="000000"/>
              <w:bottom w:val="single" w:sz="4" w:space="0" w:color="000000"/>
              <w:right w:val="single" w:sz="4" w:space="0" w:color="000000"/>
            </w:tcBorders>
            <w:hideMark/>
          </w:tcPr>
          <w:p w14:paraId="32D429C7"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9.4 (8.3)</w:t>
            </w:r>
          </w:p>
        </w:tc>
      </w:tr>
      <w:tr w:rsidR="00561A29" w:rsidRPr="00561A29" w14:paraId="6722C9BB"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6D6A1FC2"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1B514F03"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144</w:t>
            </w:r>
          </w:p>
        </w:tc>
        <w:tc>
          <w:tcPr>
            <w:tcW w:w="1336" w:type="dxa"/>
            <w:tcBorders>
              <w:top w:val="single" w:sz="4" w:space="0" w:color="000000"/>
              <w:left w:val="single" w:sz="4" w:space="0" w:color="000000"/>
              <w:bottom w:val="single" w:sz="4" w:space="0" w:color="000000"/>
              <w:right w:val="single" w:sz="4" w:space="0" w:color="000000"/>
            </w:tcBorders>
            <w:hideMark/>
          </w:tcPr>
          <w:p w14:paraId="1950F18C"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72</w:t>
            </w:r>
          </w:p>
        </w:tc>
        <w:tc>
          <w:tcPr>
            <w:tcW w:w="2845" w:type="dxa"/>
            <w:tcBorders>
              <w:top w:val="single" w:sz="4" w:space="0" w:color="000000"/>
              <w:left w:val="single" w:sz="4" w:space="0" w:color="000000"/>
              <w:bottom w:val="single" w:sz="4" w:space="0" w:color="000000"/>
              <w:right w:val="single" w:sz="4" w:space="0" w:color="000000"/>
            </w:tcBorders>
            <w:hideMark/>
          </w:tcPr>
          <w:p w14:paraId="514F37F6"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9.4 (10.8)</w:t>
            </w:r>
          </w:p>
        </w:tc>
      </w:tr>
      <w:tr w:rsidR="00561A29" w:rsidRPr="00561A29" w14:paraId="35CDECB2"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CA20451" w14:textId="77777777" w:rsidR="00561A29" w:rsidRPr="00561A29" w:rsidRDefault="00561A29" w:rsidP="000B039D">
            <w:pPr>
              <w:ind w:right="259"/>
              <w:jc w:val="both"/>
              <w:rPr>
                <w:color w:val="000000"/>
                <w:kern w:val="2"/>
                <w:sz w:val="20"/>
                <w:lang w:val="en-GB" w:eastAsia="en-GB"/>
              </w:rPr>
            </w:pPr>
            <w:r w:rsidRPr="00561A29">
              <w:rPr>
                <w:b/>
                <w:color w:val="000000"/>
                <w:kern w:val="2"/>
                <w:sz w:val="20"/>
                <w:lang w:val="en-GB" w:eastAsia="en-GB"/>
              </w:rPr>
              <w:t xml:space="preserve">            Placebo </w:t>
            </w:r>
          </w:p>
        </w:tc>
        <w:tc>
          <w:tcPr>
            <w:tcW w:w="2489" w:type="dxa"/>
            <w:tcBorders>
              <w:top w:val="single" w:sz="4" w:space="0" w:color="000000"/>
              <w:left w:val="single" w:sz="4" w:space="0" w:color="000000"/>
              <w:bottom w:val="single" w:sz="4" w:space="0" w:color="000000"/>
              <w:right w:val="single" w:sz="4" w:space="0" w:color="000000"/>
            </w:tcBorders>
            <w:hideMark/>
          </w:tcPr>
          <w:p w14:paraId="2E8C7B28"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0</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5E5D7E4D"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67</w:t>
            </w:r>
          </w:p>
        </w:tc>
        <w:tc>
          <w:tcPr>
            <w:tcW w:w="2845" w:type="dxa"/>
            <w:tcBorders>
              <w:top w:val="single" w:sz="4" w:space="0" w:color="000000"/>
              <w:left w:val="single" w:sz="4" w:space="0" w:color="000000"/>
              <w:bottom w:val="single" w:sz="4" w:space="0" w:color="000000"/>
              <w:right w:val="single" w:sz="4" w:space="0" w:color="000000"/>
            </w:tcBorders>
            <w:hideMark/>
          </w:tcPr>
          <w:p w14:paraId="43C348D5"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-1.2 (7.8)</w:t>
            </w:r>
            <w:r w:rsidRPr="00561A29">
              <w:rPr>
                <w:color w:val="000000"/>
                <w:kern w:val="2"/>
                <w:sz w:val="20"/>
                <w:vertAlign w:val="superscript"/>
                <w:lang w:val="en-GB" w:eastAsia="en-GB"/>
              </w:rPr>
              <w:t>†</w:t>
            </w:r>
          </w:p>
        </w:tc>
      </w:tr>
      <w:tr w:rsidR="00561A29" w:rsidRPr="00561A29" w14:paraId="6079DD80"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7FE2FEC"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lastRenderedPageBreak/>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2D81409C"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96</w:t>
            </w:r>
          </w:p>
        </w:tc>
        <w:tc>
          <w:tcPr>
            <w:tcW w:w="1336" w:type="dxa"/>
            <w:tcBorders>
              <w:top w:val="single" w:sz="4" w:space="0" w:color="000000"/>
              <w:left w:val="single" w:sz="4" w:space="0" w:color="000000"/>
              <w:bottom w:val="single" w:sz="4" w:space="0" w:color="000000"/>
              <w:right w:val="single" w:sz="4" w:space="0" w:color="000000"/>
            </w:tcBorders>
            <w:hideMark/>
          </w:tcPr>
          <w:p w14:paraId="52986C46"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55</w:t>
            </w:r>
          </w:p>
        </w:tc>
        <w:tc>
          <w:tcPr>
            <w:tcW w:w="2845" w:type="dxa"/>
            <w:tcBorders>
              <w:top w:val="single" w:sz="4" w:space="0" w:color="000000"/>
              <w:left w:val="single" w:sz="4" w:space="0" w:color="000000"/>
              <w:bottom w:val="single" w:sz="4" w:space="0" w:color="000000"/>
              <w:right w:val="single" w:sz="4" w:space="0" w:color="000000"/>
            </w:tcBorders>
            <w:hideMark/>
          </w:tcPr>
          <w:p w14:paraId="3C7E9DD6"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9.5 (11.2)</w:t>
            </w:r>
          </w:p>
        </w:tc>
      </w:tr>
      <w:tr w:rsidR="00561A29" w:rsidRPr="00561A29" w14:paraId="50E9D1B1" w14:textId="77777777">
        <w:trPr>
          <w:trHeight w:val="113"/>
        </w:trPr>
        <w:tc>
          <w:tcPr>
            <w:tcW w:w="2333" w:type="dxa"/>
            <w:tcBorders>
              <w:top w:val="single" w:sz="4" w:space="0" w:color="000000"/>
              <w:left w:val="single" w:sz="4" w:space="0" w:color="000000"/>
              <w:bottom w:val="single" w:sz="4" w:space="0" w:color="000000"/>
              <w:right w:val="nil"/>
            </w:tcBorders>
            <w:hideMark/>
          </w:tcPr>
          <w:p w14:paraId="3E3371A2"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Study 770-103 </w:t>
            </w:r>
          </w:p>
        </w:tc>
        <w:tc>
          <w:tcPr>
            <w:tcW w:w="2489" w:type="dxa"/>
            <w:tcBorders>
              <w:top w:val="single" w:sz="4" w:space="0" w:color="000000"/>
              <w:left w:val="nil"/>
              <w:bottom w:val="single" w:sz="4" w:space="0" w:color="000000"/>
              <w:right w:val="nil"/>
            </w:tcBorders>
          </w:tcPr>
          <w:p w14:paraId="569B3089" w14:textId="77777777" w:rsidR="00561A29" w:rsidRPr="00561A29" w:rsidRDefault="00561A29" w:rsidP="000B039D">
            <w:pPr>
              <w:spacing w:after="160"/>
              <w:jc w:val="both"/>
              <w:rPr>
                <w:color w:val="000000"/>
                <w:kern w:val="2"/>
                <w:sz w:val="20"/>
                <w:lang w:val="en-GB" w:eastAsia="en-GB"/>
              </w:rPr>
            </w:pPr>
          </w:p>
        </w:tc>
        <w:tc>
          <w:tcPr>
            <w:tcW w:w="4181" w:type="dxa"/>
            <w:gridSpan w:val="2"/>
            <w:tcBorders>
              <w:top w:val="single" w:sz="4" w:space="0" w:color="000000"/>
              <w:left w:val="nil"/>
              <w:bottom w:val="single" w:sz="4" w:space="0" w:color="000000"/>
              <w:right w:val="single" w:sz="4" w:space="0" w:color="000000"/>
            </w:tcBorders>
          </w:tcPr>
          <w:p w14:paraId="1AA1EC10" w14:textId="77777777" w:rsidR="00561A29" w:rsidRPr="00561A29" w:rsidRDefault="00561A29" w:rsidP="000B039D">
            <w:pPr>
              <w:spacing w:after="160"/>
              <w:jc w:val="both"/>
              <w:rPr>
                <w:color w:val="000000"/>
                <w:kern w:val="2"/>
                <w:sz w:val="20"/>
                <w:lang w:val="en-GB" w:eastAsia="en-GB"/>
              </w:rPr>
            </w:pPr>
          </w:p>
        </w:tc>
      </w:tr>
      <w:tr w:rsidR="00561A29" w:rsidRPr="00561A29" w14:paraId="2D983701"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51E4FC3" w14:textId="77777777" w:rsidR="00561A29" w:rsidRPr="00561A29" w:rsidRDefault="00561A29" w:rsidP="000B039D">
            <w:pPr>
              <w:ind w:right="259"/>
              <w:jc w:val="both"/>
              <w:rPr>
                <w:color w:val="000000"/>
                <w:kern w:val="2"/>
                <w:sz w:val="20"/>
                <w:lang w:val="en-GB" w:eastAsia="en-GB"/>
              </w:rPr>
            </w:pPr>
            <w:r w:rsidRPr="00561A29">
              <w:rPr>
                <w:b/>
                <w:color w:val="000000"/>
                <w:kern w:val="2"/>
                <w:sz w:val="20"/>
                <w:lang w:val="en-GB" w:eastAsia="en-GB"/>
              </w:rPr>
              <w:t xml:space="preserve">           Ivacaftor </w:t>
            </w:r>
          </w:p>
        </w:tc>
        <w:tc>
          <w:tcPr>
            <w:tcW w:w="2489" w:type="dxa"/>
            <w:tcBorders>
              <w:top w:val="single" w:sz="4" w:space="0" w:color="000000"/>
              <w:left w:val="single" w:sz="4" w:space="0" w:color="000000"/>
              <w:bottom w:val="single" w:sz="4" w:space="0" w:color="000000"/>
              <w:right w:val="single" w:sz="4" w:space="0" w:color="000000"/>
            </w:tcBorders>
            <w:hideMark/>
          </w:tcPr>
          <w:p w14:paraId="66E6CB39" w14:textId="77777777" w:rsidR="00561A29" w:rsidRPr="00561A29" w:rsidRDefault="00561A29" w:rsidP="000B039D">
            <w:pPr>
              <w:ind w:right="11"/>
              <w:jc w:val="center"/>
              <w:rPr>
                <w:color w:val="000000"/>
                <w:kern w:val="2"/>
                <w:sz w:val="20"/>
                <w:lang w:val="en-GB" w:eastAsia="en-GB"/>
              </w:rPr>
            </w:pPr>
            <w:r w:rsidRPr="00561A29">
              <w:rPr>
                <w:color w:val="000000"/>
                <w:kern w:val="2"/>
                <w:sz w:val="20"/>
                <w:lang w:val="en-GB" w:eastAsia="en-GB"/>
              </w:rPr>
              <w:t>48</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3F0F2C50"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26</w:t>
            </w:r>
          </w:p>
        </w:tc>
        <w:tc>
          <w:tcPr>
            <w:tcW w:w="2845" w:type="dxa"/>
            <w:tcBorders>
              <w:top w:val="single" w:sz="4" w:space="0" w:color="000000"/>
              <w:left w:val="single" w:sz="4" w:space="0" w:color="000000"/>
              <w:bottom w:val="single" w:sz="4" w:space="0" w:color="000000"/>
              <w:right w:val="single" w:sz="4" w:space="0" w:color="000000"/>
            </w:tcBorders>
            <w:hideMark/>
          </w:tcPr>
          <w:p w14:paraId="4423D466"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10.2 (15.7)</w:t>
            </w:r>
          </w:p>
        </w:tc>
      </w:tr>
      <w:tr w:rsidR="00561A29" w:rsidRPr="00561A29" w14:paraId="325053E5"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4382F50F"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1200162C" w14:textId="77777777" w:rsidR="00561A29" w:rsidRPr="00561A29" w:rsidRDefault="00561A29" w:rsidP="000B039D">
            <w:pPr>
              <w:ind w:right="10"/>
              <w:jc w:val="center"/>
              <w:rPr>
                <w:color w:val="000000"/>
                <w:kern w:val="2"/>
                <w:sz w:val="20"/>
                <w:lang w:val="en-GB" w:eastAsia="en-GB"/>
              </w:rPr>
            </w:pPr>
            <w:r w:rsidRPr="00561A29">
              <w:rPr>
                <w:color w:val="000000"/>
                <w:kern w:val="2"/>
                <w:sz w:val="20"/>
                <w:lang w:val="en-GB" w:eastAsia="en-GB"/>
              </w:rPr>
              <w:t>144</w:t>
            </w:r>
          </w:p>
        </w:tc>
        <w:tc>
          <w:tcPr>
            <w:tcW w:w="1336" w:type="dxa"/>
            <w:tcBorders>
              <w:top w:val="single" w:sz="4" w:space="0" w:color="000000"/>
              <w:left w:val="single" w:sz="4" w:space="0" w:color="000000"/>
              <w:bottom w:val="single" w:sz="4" w:space="0" w:color="000000"/>
              <w:right w:val="single" w:sz="4" w:space="0" w:color="000000"/>
            </w:tcBorders>
            <w:hideMark/>
          </w:tcPr>
          <w:p w14:paraId="285F41AB"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25</w:t>
            </w:r>
          </w:p>
        </w:tc>
        <w:tc>
          <w:tcPr>
            <w:tcW w:w="2845" w:type="dxa"/>
            <w:tcBorders>
              <w:top w:val="single" w:sz="4" w:space="0" w:color="000000"/>
              <w:left w:val="single" w:sz="4" w:space="0" w:color="000000"/>
              <w:bottom w:val="single" w:sz="4" w:space="0" w:color="000000"/>
              <w:right w:val="single" w:sz="4" w:space="0" w:color="000000"/>
            </w:tcBorders>
            <w:hideMark/>
          </w:tcPr>
          <w:p w14:paraId="696712FD"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10.3 (12.4)</w:t>
            </w:r>
          </w:p>
        </w:tc>
      </w:tr>
      <w:tr w:rsidR="00561A29" w:rsidRPr="00561A29" w14:paraId="340E5E15"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4EAF45D1" w14:textId="77777777" w:rsidR="00561A29" w:rsidRPr="00561A29" w:rsidRDefault="00561A29" w:rsidP="000B039D">
            <w:pPr>
              <w:ind w:right="259"/>
              <w:jc w:val="both"/>
              <w:rPr>
                <w:color w:val="000000"/>
                <w:kern w:val="2"/>
                <w:sz w:val="20"/>
                <w:lang w:val="en-GB" w:eastAsia="en-GB"/>
              </w:rPr>
            </w:pPr>
            <w:r w:rsidRPr="00561A29">
              <w:rPr>
                <w:b/>
                <w:color w:val="000000"/>
                <w:kern w:val="2"/>
                <w:sz w:val="20"/>
                <w:lang w:val="en-GB" w:eastAsia="en-GB"/>
              </w:rPr>
              <w:t xml:space="preserve">           Placebo </w:t>
            </w:r>
          </w:p>
        </w:tc>
        <w:tc>
          <w:tcPr>
            <w:tcW w:w="2489" w:type="dxa"/>
            <w:tcBorders>
              <w:top w:val="single" w:sz="4" w:space="0" w:color="000000"/>
              <w:left w:val="single" w:sz="4" w:space="0" w:color="000000"/>
              <w:bottom w:val="single" w:sz="4" w:space="0" w:color="000000"/>
              <w:right w:val="single" w:sz="4" w:space="0" w:color="000000"/>
            </w:tcBorders>
            <w:hideMark/>
          </w:tcPr>
          <w:p w14:paraId="351643A9" w14:textId="77777777" w:rsidR="00561A29" w:rsidRPr="00561A29" w:rsidRDefault="00561A29" w:rsidP="000B039D">
            <w:pPr>
              <w:ind w:right="11"/>
              <w:jc w:val="center"/>
              <w:rPr>
                <w:color w:val="000000"/>
                <w:kern w:val="2"/>
                <w:sz w:val="20"/>
                <w:lang w:val="en-GB" w:eastAsia="en-GB"/>
              </w:rPr>
            </w:pPr>
            <w:r w:rsidRPr="00561A29">
              <w:rPr>
                <w:color w:val="000000"/>
                <w:kern w:val="2"/>
                <w:sz w:val="20"/>
                <w:lang w:val="en-GB" w:eastAsia="en-GB"/>
              </w:rPr>
              <w:t>0</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322E70FA"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22</w:t>
            </w:r>
          </w:p>
        </w:tc>
        <w:tc>
          <w:tcPr>
            <w:tcW w:w="2845" w:type="dxa"/>
            <w:tcBorders>
              <w:top w:val="single" w:sz="4" w:space="0" w:color="000000"/>
              <w:left w:val="single" w:sz="4" w:space="0" w:color="000000"/>
              <w:bottom w:val="single" w:sz="4" w:space="0" w:color="000000"/>
              <w:right w:val="single" w:sz="4" w:space="0" w:color="000000"/>
            </w:tcBorders>
            <w:hideMark/>
          </w:tcPr>
          <w:p w14:paraId="3AB104B5"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-0.6 (10.1)</w:t>
            </w:r>
            <w:r w:rsidRPr="00561A29">
              <w:rPr>
                <w:color w:val="000000"/>
                <w:kern w:val="2"/>
                <w:sz w:val="20"/>
                <w:vertAlign w:val="superscript"/>
                <w:lang w:val="en-GB" w:eastAsia="en-GB"/>
              </w:rPr>
              <w:t>†</w:t>
            </w:r>
          </w:p>
        </w:tc>
      </w:tr>
      <w:tr w:rsidR="00561A29" w:rsidRPr="00561A29" w14:paraId="31D5D0F6"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263C2CAA"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6D8A31D9" w14:textId="77777777" w:rsidR="00561A29" w:rsidRPr="00561A29" w:rsidRDefault="00561A29" w:rsidP="000B039D">
            <w:pPr>
              <w:ind w:right="10"/>
              <w:jc w:val="center"/>
              <w:rPr>
                <w:color w:val="000000"/>
                <w:kern w:val="2"/>
                <w:sz w:val="20"/>
                <w:lang w:val="en-GB" w:eastAsia="en-GB"/>
              </w:rPr>
            </w:pPr>
            <w:r w:rsidRPr="00561A29">
              <w:rPr>
                <w:color w:val="000000"/>
                <w:kern w:val="2"/>
                <w:sz w:val="20"/>
                <w:lang w:val="en-GB" w:eastAsia="en-GB"/>
              </w:rPr>
              <w:t>96</w:t>
            </w:r>
          </w:p>
        </w:tc>
        <w:tc>
          <w:tcPr>
            <w:tcW w:w="1336" w:type="dxa"/>
            <w:tcBorders>
              <w:top w:val="single" w:sz="4" w:space="0" w:color="000000"/>
              <w:left w:val="single" w:sz="4" w:space="0" w:color="000000"/>
              <w:bottom w:val="single" w:sz="4" w:space="0" w:color="000000"/>
              <w:right w:val="single" w:sz="4" w:space="0" w:color="000000"/>
            </w:tcBorders>
            <w:hideMark/>
          </w:tcPr>
          <w:p w14:paraId="69A74598"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21</w:t>
            </w:r>
          </w:p>
        </w:tc>
        <w:tc>
          <w:tcPr>
            <w:tcW w:w="2845" w:type="dxa"/>
            <w:tcBorders>
              <w:top w:val="single" w:sz="4" w:space="0" w:color="000000"/>
              <w:left w:val="single" w:sz="4" w:space="0" w:color="000000"/>
              <w:bottom w:val="single" w:sz="4" w:space="0" w:color="000000"/>
              <w:right w:val="single" w:sz="4" w:space="0" w:color="000000"/>
            </w:tcBorders>
            <w:hideMark/>
          </w:tcPr>
          <w:p w14:paraId="5125CA7C"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10.5 (11.5)</w:t>
            </w:r>
          </w:p>
        </w:tc>
      </w:tr>
    </w:tbl>
    <w:p w14:paraId="72BE4601" w14:textId="77777777" w:rsidR="00561A29" w:rsidRPr="00561A29" w:rsidRDefault="00561A29" w:rsidP="000B039D">
      <w:pPr>
        <w:tabs>
          <w:tab w:val="center" w:pos="3132"/>
        </w:tabs>
        <w:spacing w:after="89"/>
        <w:ind w:left="-12"/>
        <w:jc w:val="both"/>
        <w:rPr>
          <w:color w:val="000000"/>
          <w:kern w:val="2"/>
          <w:sz w:val="22"/>
          <w:szCs w:val="24"/>
          <w:lang w:val="en-GB" w:eastAsia="en-GB"/>
        </w:rPr>
      </w:pPr>
      <w:r w:rsidRPr="00561A29">
        <w:rPr>
          <w:color w:val="000000"/>
          <w:kern w:val="2"/>
          <w:sz w:val="20"/>
          <w:szCs w:val="24"/>
          <w:vertAlign w:val="superscript"/>
          <w:lang w:val="en-GB" w:eastAsia="en-GB"/>
        </w:rPr>
        <w:t>*</w:t>
      </w:r>
      <w:r w:rsidRPr="00561A29">
        <w:rPr>
          <w:color w:val="000000"/>
          <w:kern w:val="2"/>
          <w:sz w:val="20"/>
          <w:szCs w:val="24"/>
          <w:lang w:val="en-GB" w:eastAsia="en-GB"/>
        </w:rPr>
        <w:t xml:space="preserve"> </w:t>
      </w:r>
      <w:r w:rsidRPr="00561A29">
        <w:rPr>
          <w:color w:val="000000"/>
          <w:kern w:val="2"/>
          <w:sz w:val="20"/>
          <w:szCs w:val="24"/>
          <w:lang w:val="en-GB" w:eastAsia="en-GB"/>
        </w:rPr>
        <w:tab/>
        <w:t xml:space="preserve">Treatment occurred during blinded, controlled, 48-week phase 3 study. </w:t>
      </w:r>
    </w:p>
    <w:p w14:paraId="08909000" w14:textId="77777777" w:rsidR="00561A29" w:rsidRPr="00561A29" w:rsidRDefault="00561A29" w:rsidP="000B039D">
      <w:pPr>
        <w:tabs>
          <w:tab w:val="center" w:pos="3109"/>
        </w:tabs>
        <w:spacing w:after="5"/>
        <w:ind w:left="-12"/>
        <w:jc w:val="both"/>
        <w:rPr>
          <w:color w:val="000000"/>
          <w:kern w:val="2"/>
          <w:sz w:val="22"/>
          <w:szCs w:val="24"/>
          <w:lang w:val="en-GB" w:eastAsia="en-GB"/>
        </w:rPr>
      </w:pPr>
      <w:r w:rsidRPr="00561A29">
        <w:rPr>
          <w:color w:val="000000"/>
          <w:kern w:val="2"/>
          <w:sz w:val="20"/>
          <w:szCs w:val="24"/>
          <w:vertAlign w:val="superscript"/>
          <w:lang w:val="en-GB" w:eastAsia="en-GB"/>
        </w:rPr>
        <w:t>†</w:t>
      </w:r>
      <w:r w:rsidRPr="00561A29">
        <w:rPr>
          <w:color w:val="000000"/>
          <w:kern w:val="2"/>
          <w:sz w:val="31"/>
          <w:szCs w:val="24"/>
          <w:vertAlign w:val="superscript"/>
          <w:lang w:val="en-GB" w:eastAsia="en-GB"/>
        </w:rPr>
        <w:t xml:space="preserve"> </w:t>
      </w:r>
      <w:r w:rsidRPr="00561A29">
        <w:rPr>
          <w:color w:val="000000"/>
          <w:kern w:val="2"/>
          <w:sz w:val="31"/>
          <w:szCs w:val="24"/>
          <w:vertAlign w:val="superscript"/>
          <w:lang w:val="en-GB" w:eastAsia="en-GB"/>
        </w:rPr>
        <w:tab/>
      </w:r>
      <w:r w:rsidRPr="00561A29">
        <w:rPr>
          <w:color w:val="000000"/>
          <w:kern w:val="2"/>
          <w:sz w:val="20"/>
          <w:szCs w:val="24"/>
          <w:lang w:val="en-GB" w:eastAsia="en-GB"/>
        </w:rPr>
        <w:t xml:space="preserve">Change from prior study baseline after 48 weeks of placebo treatment. </w:t>
      </w:r>
    </w:p>
    <w:p w14:paraId="39B8F751" w14:textId="77777777" w:rsidR="001E198B" w:rsidRDefault="001E198B" w:rsidP="000B039D">
      <w:pPr>
        <w:tabs>
          <w:tab w:val="left" w:pos="851"/>
        </w:tabs>
        <w:ind w:left="851"/>
        <w:rPr>
          <w:sz w:val="24"/>
          <w:szCs w:val="24"/>
          <w:lang w:val="en-GB"/>
        </w:rPr>
      </w:pPr>
    </w:p>
    <w:p w14:paraId="5D924294" w14:textId="77777777" w:rsidR="00561A29" w:rsidRPr="00561A29" w:rsidRDefault="00561A29" w:rsidP="000B039D">
      <w:pPr>
        <w:tabs>
          <w:tab w:val="left" w:pos="851"/>
        </w:tabs>
        <w:ind w:left="851"/>
        <w:rPr>
          <w:sz w:val="24"/>
          <w:szCs w:val="24"/>
          <w:lang w:val="en-GB"/>
        </w:rPr>
      </w:pPr>
      <w:r w:rsidRPr="00561A29">
        <w:rPr>
          <w:sz w:val="24"/>
          <w:szCs w:val="24"/>
          <w:lang w:val="en-GB"/>
        </w:rPr>
        <w:t>When the mean (SD) absolute change in percent predicted FEV</w:t>
      </w:r>
      <w:r w:rsidRPr="00561A29">
        <w:rPr>
          <w:sz w:val="24"/>
          <w:szCs w:val="24"/>
          <w:vertAlign w:val="subscript"/>
          <w:lang w:val="en-GB"/>
        </w:rPr>
        <w:t>1</w:t>
      </w:r>
      <w:r w:rsidRPr="00561A29">
        <w:rPr>
          <w:sz w:val="24"/>
          <w:szCs w:val="24"/>
          <w:lang w:val="en-GB"/>
        </w:rPr>
        <w:t xml:space="preserve"> is compared from study 770-105 baseline for patients in the ivacaftor/ivacaftor group (n = 72) who rolled over from study 770-102, the mean (SD) absolute change in percent predicted FEV</w:t>
      </w:r>
      <w:r w:rsidRPr="00561A29">
        <w:rPr>
          <w:sz w:val="24"/>
          <w:szCs w:val="24"/>
          <w:vertAlign w:val="subscript"/>
          <w:lang w:val="en-GB"/>
        </w:rPr>
        <w:t>1</w:t>
      </w:r>
      <w:r w:rsidRPr="00561A29">
        <w:rPr>
          <w:sz w:val="24"/>
          <w:szCs w:val="24"/>
          <w:lang w:val="en-GB"/>
        </w:rPr>
        <w:t xml:space="preserve"> was 0.0% (9.05), while for patients in the ivacaftor/ivacaftor group (n = 25) who rolled over from study 770-103 this figure was 0.6% (9.1). This shows that patients in the ivacaftor/ivacaftor group maintained the improvement seen at week 48 of the initial study (day 0 through week 48) in percent predicted FEV</w:t>
      </w:r>
      <w:r w:rsidRPr="00561A29">
        <w:rPr>
          <w:sz w:val="24"/>
          <w:szCs w:val="24"/>
          <w:vertAlign w:val="subscript"/>
          <w:lang w:val="en-GB"/>
        </w:rPr>
        <w:t>1</w:t>
      </w:r>
      <w:r w:rsidRPr="00561A29">
        <w:rPr>
          <w:sz w:val="24"/>
          <w:szCs w:val="24"/>
          <w:lang w:val="en-GB"/>
        </w:rPr>
        <w:t xml:space="preserve"> through week 144. There were no additional improvements in study 770-105 (week 48 through week 144). </w:t>
      </w:r>
    </w:p>
    <w:p w14:paraId="4F110D98"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5C435449"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For patients in the placebo/ivacaftor group from study 770-102, the annualised rate of pulmonary exacerbations was higher in the initial study when patients were on placebo (1.34 events/year) than during the subsequent study 770-105 when patients rolled over to ivacaftor (0.48 events/year across day 1 to week 48, and 0.67 events/year across weeks 48 to 96). For patients in the ivacaftor/ivacaftor group from study 770-102, the annualised rate of pulmonary exacerbations was 0.57 events/year across day 1 to week 48 when patients were on ivacaftor. When they rolled over into study 770-105, the rate of annualised pulmonary exacerbations was 0.91 events/year across day 1 to week 48 and 0.77 events/year across weeks 48 to 96. </w:t>
      </w:r>
    </w:p>
    <w:p w14:paraId="1E056D15"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51367C12"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For patients who rolled over from study 770-103 the number of events was overall low. </w:t>
      </w:r>
    </w:p>
    <w:p w14:paraId="32429648"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F8C1688" w14:textId="77777777" w:rsidR="00561A29" w:rsidRPr="00561A29" w:rsidRDefault="00561A29" w:rsidP="000B039D">
      <w:pPr>
        <w:tabs>
          <w:tab w:val="left" w:pos="851"/>
        </w:tabs>
        <w:ind w:left="851"/>
        <w:rPr>
          <w:sz w:val="24"/>
          <w:szCs w:val="24"/>
          <w:lang w:val="en-GB"/>
        </w:rPr>
      </w:pPr>
      <w:r w:rsidRPr="00561A29">
        <w:rPr>
          <w:i/>
          <w:sz w:val="24"/>
          <w:szCs w:val="24"/>
          <w:u w:val="single"/>
          <w:lang w:val="en-GB"/>
        </w:rPr>
        <w:t>Study 770-110: study in patients with CF with an R117H mutation in the CFTR gene</w:t>
      </w:r>
      <w:r w:rsidRPr="00561A29">
        <w:rPr>
          <w:i/>
          <w:sz w:val="24"/>
          <w:szCs w:val="24"/>
          <w:lang w:val="en-GB"/>
        </w:rPr>
        <w:t xml:space="preserve"> </w:t>
      </w:r>
    </w:p>
    <w:p w14:paraId="0F0A2E90" w14:textId="28815B26" w:rsidR="00561A29" w:rsidRPr="00561A29" w:rsidRDefault="00561A29" w:rsidP="000B039D">
      <w:pPr>
        <w:tabs>
          <w:tab w:val="left" w:pos="851"/>
        </w:tabs>
        <w:ind w:left="851"/>
        <w:rPr>
          <w:sz w:val="24"/>
          <w:szCs w:val="24"/>
          <w:lang w:val="en-GB"/>
        </w:rPr>
      </w:pPr>
      <w:r w:rsidRPr="00561A29">
        <w:rPr>
          <w:sz w:val="24"/>
          <w:szCs w:val="24"/>
          <w:lang w:val="en-GB"/>
        </w:rPr>
        <w:t xml:space="preserve">Study 770-110 evaluated 69 patients who were 6 years of age or older; 53 (76.8%) patients had the </w:t>
      </w:r>
      <w:r w:rsidRPr="00561A29">
        <w:rPr>
          <w:i/>
          <w:sz w:val="24"/>
          <w:szCs w:val="24"/>
          <w:lang w:val="en-GB"/>
        </w:rPr>
        <w:t>F508del</w:t>
      </w:r>
      <w:r w:rsidRPr="00561A29">
        <w:rPr>
          <w:sz w:val="24"/>
          <w:szCs w:val="24"/>
          <w:lang w:val="en-GB"/>
        </w:rPr>
        <w:t xml:space="preserve"> mutation in the second allele. The confirmed </w:t>
      </w:r>
      <w:r w:rsidRPr="00561A29">
        <w:rPr>
          <w:i/>
          <w:sz w:val="24"/>
          <w:szCs w:val="24"/>
          <w:lang w:val="en-GB"/>
        </w:rPr>
        <w:t xml:space="preserve">R117H </w:t>
      </w:r>
      <w:r w:rsidRPr="00561A29">
        <w:rPr>
          <w:sz w:val="24"/>
          <w:szCs w:val="24"/>
          <w:lang w:val="en-GB"/>
        </w:rPr>
        <w:t xml:space="preserve">poly-T variant was </w:t>
      </w:r>
      <w:r w:rsidRPr="00561A29">
        <w:rPr>
          <w:i/>
          <w:sz w:val="24"/>
          <w:szCs w:val="24"/>
          <w:lang w:val="en-GB"/>
        </w:rPr>
        <w:t xml:space="preserve">5T </w:t>
      </w:r>
      <w:r w:rsidRPr="00561A29">
        <w:rPr>
          <w:sz w:val="24"/>
          <w:szCs w:val="24"/>
          <w:lang w:val="en-GB"/>
        </w:rPr>
        <w:t>in 38 patients</w:t>
      </w:r>
      <w:r w:rsidRPr="00561A29">
        <w:rPr>
          <w:i/>
          <w:sz w:val="24"/>
          <w:szCs w:val="24"/>
          <w:lang w:val="en-GB"/>
        </w:rPr>
        <w:t xml:space="preserve"> </w:t>
      </w:r>
      <w:r w:rsidRPr="00561A29">
        <w:rPr>
          <w:sz w:val="24"/>
          <w:szCs w:val="24"/>
          <w:lang w:val="en-GB"/>
        </w:rPr>
        <w:t xml:space="preserve">and </w:t>
      </w:r>
      <w:r w:rsidRPr="00561A29">
        <w:rPr>
          <w:i/>
          <w:sz w:val="24"/>
          <w:szCs w:val="24"/>
          <w:lang w:val="en-GB"/>
        </w:rPr>
        <w:t xml:space="preserve">7T </w:t>
      </w:r>
      <w:r w:rsidRPr="00561A29">
        <w:rPr>
          <w:sz w:val="24"/>
          <w:szCs w:val="24"/>
          <w:lang w:val="en-GB"/>
        </w:rPr>
        <w:t>in 16 patients. At baseline, mean predicted FEV</w:t>
      </w:r>
      <w:r w:rsidRPr="00561A29">
        <w:rPr>
          <w:sz w:val="24"/>
          <w:szCs w:val="24"/>
          <w:vertAlign w:val="subscript"/>
          <w:lang w:val="en-GB"/>
        </w:rPr>
        <w:t>1</w:t>
      </w:r>
      <w:r w:rsidRPr="00561A29">
        <w:rPr>
          <w:sz w:val="24"/>
          <w:szCs w:val="24"/>
          <w:lang w:val="en-GB"/>
        </w:rPr>
        <w:t xml:space="preserve"> was 73% (range: 32.5% to 105.5%) and mean age was 31 years (range: 6 to 68 years). The mean absolute change from baseline through week 24 in percent predicted FEV</w:t>
      </w:r>
      <w:r w:rsidRPr="00561A29">
        <w:rPr>
          <w:sz w:val="24"/>
          <w:szCs w:val="24"/>
          <w:vertAlign w:val="subscript"/>
          <w:lang w:val="en-GB"/>
        </w:rPr>
        <w:t>1</w:t>
      </w:r>
      <w:r w:rsidRPr="00561A29">
        <w:rPr>
          <w:sz w:val="24"/>
          <w:szCs w:val="24"/>
          <w:lang w:val="en-GB"/>
        </w:rPr>
        <w:t xml:space="preserve"> (primary efficacy endpoint) was 2.57 percentage points in the ivacaftor group and 0.46 percentage points in the placebo group. The estimated treatment difference for ivacaftor versus placebo was 2.1 percentage points (95% CI: -1.1, 5.4). </w:t>
      </w:r>
    </w:p>
    <w:p w14:paraId="14A8F16E"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042B565" w14:textId="77777777" w:rsidR="00561A29" w:rsidRPr="00561A29" w:rsidRDefault="00561A29" w:rsidP="000B039D">
      <w:pPr>
        <w:tabs>
          <w:tab w:val="left" w:pos="851"/>
        </w:tabs>
        <w:ind w:left="851"/>
        <w:rPr>
          <w:sz w:val="24"/>
          <w:szCs w:val="24"/>
          <w:lang w:val="en-GB"/>
        </w:rPr>
      </w:pPr>
      <w:r w:rsidRPr="00561A29">
        <w:rPr>
          <w:sz w:val="24"/>
          <w:szCs w:val="24"/>
          <w:lang w:val="en-GB"/>
        </w:rPr>
        <w:t>A pre-planned subgroup analysis was conducted in patients aged 18 years and older (26 patients on placebo and 24 patients on ivacaftor). Treatment with ivacaftor resulted in a mean absolute change in percent predicted FEV</w:t>
      </w:r>
      <w:r w:rsidRPr="00561A29">
        <w:rPr>
          <w:sz w:val="24"/>
          <w:szCs w:val="24"/>
          <w:vertAlign w:val="subscript"/>
          <w:lang w:val="en-GB"/>
        </w:rPr>
        <w:t>1</w:t>
      </w:r>
      <w:r w:rsidRPr="00561A29">
        <w:rPr>
          <w:sz w:val="24"/>
          <w:szCs w:val="24"/>
          <w:lang w:val="en-GB"/>
        </w:rPr>
        <w:t xml:space="preserve"> through week 24 of 4.5 percentage points in the ivacaftor group versus -0.46 percentage points in the placebo group. The estimated treatment difference for ivacaftor versus placebo was 5.0 percentage points (95% CI: 1.1, 8.8). </w:t>
      </w:r>
    </w:p>
    <w:p w14:paraId="0A35B285"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490E4F17"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In a subgroup analysis in patients with a confirmed </w:t>
      </w:r>
      <w:r w:rsidRPr="00561A29">
        <w:rPr>
          <w:i/>
          <w:sz w:val="24"/>
          <w:szCs w:val="24"/>
          <w:lang w:val="en-GB"/>
        </w:rPr>
        <w:t xml:space="preserve">R117H-5T </w:t>
      </w:r>
      <w:r w:rsidRPr="00561A29">
        <w:rPr>
          <w:sz w:val="24"/>
          <w:szCs w:val="24"/>
          <w:lang w:val="en-GB"/>
        </w:rPr>
        <w:t>genetic variant, the difference in the mean absolute change from baseline through week 24 in percent predicted FEV</w:t>
      </w:r>
      <w:r w:rsidRPr="00561A29">
        <w:rPr>
          <w:sz w:val="24"/>
          <w:szCs w:val="24"/>
          <w:vertAlign w:val="subscript"/>
          <w:lang w:val="en-GB"/>
        </w:rPr>
        <w:t>1</w:t>
      </w:r>
      <w:r w:rsidRPr="00561A29">
        <w:rPr>
          <w:sz w:val="24"/>
          <w:szCs w:val="24"/>
          <w:lang w:val="en-GB"/>
        </w:rPr>
        <w:t xml:space="preserve"> between ivacaftor and placebo was 5.3% (95% CI: 1.3, 9.3). In patients with a </w:t>
      </w:r>
      <w:r w:rsidRPr="00561A29">
        <w:rPr>
          <w:sz w:val="24"/>
          <w:szCs w:val="24"/>
          <w:lang w:val="en-GB"/>
        </w:rPr>
        <w:lastRenderedPageBreak/>
        <w:t xml:space="preserve">confirmed </w:t>
      </w:r>
      <w:r w:rsidRPr="00561A29">
        <w:rPr>
          <w:i/>
          <w:sz w:val="24"/>
          <w:szCs w:val="24"/>
          <w:lang w:val="en-GB"/>
        </w:rPr>
        <w:t xml:space="preserve">R117H-7T </w:t>
      </w:r>
      <w:r w:rsidRPr="00561A29">
        <w:rPr>
          <w:sz w:val="24"/>
          <w:szCs w:val="24"/>
          <w:lang w:val="en-GB"/>
        </w:rPr>
        <w:t xml:space="preserve">genetic variant, the treatment difference between ivacaftor and placebo was 0.2% (95% CI: -8.1, 8.5). </w:t>
      </w:r>
    </w:p>
    <w:p w14:paraId="44FCF6BA"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7922173"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For secondary efficacy variables, no treatment differences were observed for ivacaftor versus placebo in absolute change from baseline in BMI at week 24 or time to first pulmonary exacerbation. Treatment differences were observed in absolute change in CFQ-R respiratory domain score through week 24 (treatment difference of ivacaftor versus placebo was 8.4 [95% CI: 2.2, 14.6] points) and for the mean change from baseline in sweat chloride (see Pharmacodynamic effects). </w:t>
      </w:r>
    </w:p>
    <w:p w14:paraId="7C1A177C"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1003E0AB" w14:textId="77777777" w:rsidR="00561A29" w:rsidRPr="00561A29" w:rsidRDefault="00561A29" w:rsidP="000B039D">
      <w:pPr>
        <w:tabs>
          <w:tab w:val="left" w:pos="851"/>
        </w:tabs>
        <w:ind w:left="851"/>
        <w:rPr>
          <w:sz w:val="24"/>
          <w:szCs w:val="24"/>
          <w:u w:val="single"/>
          <w:lang w:val="en-GB"/>
        </w:rPr>
      </w:pPr>
      <w:r w:rsidRPr="00561A29">
        <w:rPr>
          <w:i/>
          <w:sz w:val="24"/>
          <w:szCs w:val="24"/>
          <w:lang w:val="en-GB"/>
        </w:rPr>
        <w:t>Ivacaftor in a combination regimen with tezacaftor/ivacaftor or with ivacaftor/tezacaftor/elexacaftor</w:t>
      </w:r>
    </w:p>
    <w:p w14:paraId="37D845BD" w14:textId="622CD5AB" w:rsidR="00561A29" w:rsidRPr="00561A29" w:rsidRDefault="00561A29" w:rsidP="000B039D">
      <w:pPr>
        <w:tabs>
          <w:tab w:val="left" w:pos="851"/>
        </w:tabs>
        <w:ind w:left="851"/>
        <w:rPr>
          <w:sz w:val="24"/>
          <w:szCs w:val="24"/>
          <w:lang w:val="en-GB"/>
        </w:rPr>
      </w:pPr>
      <w:r w:rsidRPr="00561A29">
        <w:rPr>
          <w:sz w:val="24"/>
          <w:szCs w:val="24"/>
          <w:lang w:val="en-GB"/>
        </w:rPr>
        <w:t xml:space="preserve">The efficacy and safety of ivacaftor in a combination regimen with tezacaftor/ivacaftor in patients with CF aged 12 years and older was assessed in two clinical studies; a 24-week, randomised, double-blind, placebo-controlled study with 504 patients who were homozygous for the </w:t>
      </w:r>
      <w:r w:rsidRPr="00561A29">
        <w:rPr>
          <w:i/>
          <w:sz w:val="24"/>
          <w:szCs w:val="24"/>
          <w:lang w:val="en-GB"/>
        </w:rPr>
        <w:t xml:space="preserve">F508del </w:t>
      </w:r>
      <w:r w:rsidRPr="00561A29">
        <w:rPr>
          <w:sz w:val="24"/>
          <w:szCs w:val="24"/>
          <w:lang w:val="en-GB"/>
        </w:rPr>
        <w:t xml:space="preserve">mutation (study 661-106); and a randomised, double-blind, placebo-controlled and ivacaftor-controlled, 2 period, 3 treatment, 8-week crossover study with 244 patients who were heterozygous for the </w:t>
      </w:r>
      <w:r w:rsidRPr="00561A29">
        <w:rPr>
          <w:i/>
          <w:sz w:val="24"/>
          <w:szCs w:val="24"/>
          <w:lang w:val="en-GB"/>
        </w:rPr>
        <w:t>F508del</w:t>
      </w:r>
      <w:r w:rsidRPr="00561A29">
        <w:rPr>
          <w:sz w:val="24"/>
          <w:szCs w:val="24"/>
          <w:lang w:val="en-GB"/>
        </w:rPr>
        <w:t xml:space="preserve"> mutation and a second mutation associated with residual CFTR</w:t>
      </w:r>
      <w:r w:rsidRPr="00561A29">
        <w:rPr>
          <w:i/>
          <w:sz w:val="24"/>
          <w:szCs w:val="24"/>
          <w:lang w:val="en-GB"/>
        </w:rPr>
        <w:t xml:space="preserve"> </w:t>
      </w:r>
      <w:r w:rsidRPr="00561A29">
        <w:rPr>
          <w:sz w:val="24"/>
          <w:szCs w:val="24"/>
          <w:lang w:val="en-GB"/>
        </w:rPr>
        <w:t xml:space="preserve">activity (study 661-108). The longterm safety and efficacy of the combination regimen was also assessed in both patient populations in a </w:t>
      </w:r>
    </w:p>
    <w:p w14:paraId="7EF82CB6"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96-week open-label, rollover, long-term extension study (study 661-110). Refer to the Summary of Product Characteristics of tezacaftor/ivacaftor for additional data. </w:t>
      </w:r>
    </w:p>
    <w:p w14:paraId="11D84625"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107AF04"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The efficacy and safety of ivacaftor in a combination regimen with ivacaftor/tezacaftor/elexacaftor tablets in patients aged 12 years and older was demonstrated in three, phase 3, randomised, double-blind, placebo-controlled studies (patients were heterozygous for the </w:t>
      </w:r>
      <w:r w:rsidRPr="00561A29">
        <w:rPr>
          <w:i/>
          <w:sz w:val="24"/>
          <w:szCs w:val="24"/>
          <w:lang w:val="en-GB"/>
        </w:rPr>
        <w:t>F508del</w:t>
      </w:r>
      <w:r w:rsidRPr="00561A29">
        <w:rPr>
          <w:sz w:val="24"/>
          <w:szCs w:val="24"/>
          <w:lang w:val="en-GB"/>
        </w:rPr>
        <w:t xml:space="preserve"> mutation and a mutation with minimal function on the second allele, n = 403) and active-controlled (patients were homozygous for the </w:t>
      </w:r>
      <w:r w:rsidRPr="00561A29">
        <w:rPr>
          <w:i/>
          <w:sz w:val="24"/>
          <w:szCs w:val="24"/>
          <w:lang w:val="en-GB"/>
        </w:rPr>
        <w:t xml:space="preserve">F508del </w:t>
      </w:r>
      <w:r w:rsidRPr="00561A29">
        <w:rPr>
          <w:sz w:val="24"/>
          <w:szCs w:val="24"/>
          <w:lang w:val="en-GB"/>
        </w:rPr>
        <w:t xml:space="preserve">mutation, n = 107, or heterozygous for the </w:t>
      </w:r>
      <w:r w:rsidRPr="00561A29">
        <w:rPr>
          <w:i/>
          <w:sz w:val="24"/>
          <w:szCs w:val="24"/>
          <w:lang w:val="en-GB"/>
        </w:rPr>
        <w:t>F508del</w:t>
      </w:r>
      <w:r w:rsidRPr="00561A29">
        <w:rPr>
          <w:sz w:val="24"/>
          <w:szCs w:val="24"/>
          <w:lang w:val="en-GB"/>
        </w:rPr>
        <w:t xml:space="preserve"> mutation and a gating or residual CFTR activity mutation on the second allele, n = 258) studies of 24 (study 445-102), 4 (study 445-103), and 8 weeks (study 445-104) of duration respectively. Patients from all studies were eligible to enter open-label, rollover, long-term extension studies (study 445-105 or study 445-110). </w:t>
      </w:r>
    </w:p>
    <w:p w14:paraId="0ED2016D" w14:textId="77777777" w:rsidR="00561A29" w:rsidRPr="00561A29" w:rsidRDefault="00561A29" w:rsidP="000B039D">
      <w:pPr>
        <w:tabs>
          <w:tab w:val="left" w:pos="851"/>
        </w:tabs>
        <w:ind w:left="851"/>
        <w:rPr>
          <w:sz w:val="24"/>
          <w:szCs w:val="24"/>
          <w:lang w:val="en-GB"/>
        </w:rPr>
      </w:pPr>
    </w:p>
    <w:p w14:paraId="426DDF85" w14:textId="5A0F6508" w:rsidR="00561A29" w:rsidRPr="00561A29" w:rsidRDefault="00561A29" w:rsidP="000B039D">
      <w:pPr>
        <w:tabs>
          <w:tab w:val="left" w:pos="851"/>
        </w:tabs>
        <w:ind w:left="851"/>
        <w:rPr>
          <w:sz w:val="24"/>
          <w:szCs w:val="24"/>
          <w:lang w:val="en-GB"/>
        </w:rPr>
      </w:pPr>
      <w:r w:rsidRPr="00561A29">
        <w:rPr>
          <w:sz w:val="24"/>
          <w:szCs w:val="24"/>
          <w:lang w:val="en-GB"/>
        </w:rPr>
        <w:t>The efficacy and safety of ivacaftor in a combination regimen with ivacaftor/tezacaftor/elexacaftor</w:t>
      </w:r>
      <w:r>
        <w:rPr>
          <w:sz w:val="24"/>
          <w:szCs w:val="24"/>
          <w:lang w:val="en-GB"/>
        </w:rPr>
        <w:t xml:space="preserve"> </w:t>
      </w:r>
      <w:r w:rsidRPr="00561A29">
        <w:rPr>
          <w:sz w:val="24"/>
          <w:szCs w:val="24"/>
          <w:lang w:val="en-GB"/>
        </w:rPr>
        <w:t>tablets in patients aged 6 years and older with non-</w:t>
      </w:r>
      <w:r w:rsidRPr="00561A29">
        <w:rPr>
          <w:i/>
          <w:iCs/>
          <w:sz w:val="24"/>
          <w:szCs w:val="24"/>
          <w:lang w:val="en-GB"/>
        </w:rPr>
        <w:t>F508del</w:t>
      </w:r>
      <w:r w:rsidRPr="00561A29">
        <w:rPr>
          <w:sz w:val="24"/>
          <w:szCs w:val="24"/>
          <w:lang w:val="en-GB"/>
        </w:rPr>
        <w:t>, ivacaftor/tezacaftor/elexacaftor-responsive</w:t>
      </w:r>
      <w:r>
        <w:rPr>
          <w:sz w:val="24"/>
          <w:szCs w:val="24"/>
          <w:lang w:val="en-GB"/>
        </w:rPr>
        <w:t xml:space="preserve"> </w:t>
      </w:r>
      <w:r w:rsidRPr="00561A29">
        <w:rPr>
          <w:i/>
          <w:iCs/>
          <w:sz w:val="24"/>
          <w:szCs w:val="24"/>
          <w:lang w:val="en-GB"/>
        </w:rPr>
        <w:t xml:space="preserve">CFTR </w:t>
      </w:r>
      <w:r w:rsidRPr="00561A29">
        <w:rPr>
          <w:sz w:val="24"/>
          <w:szCs w:val="24"/>
          <w:lang w:val="en-GB"/>
        </w:rPr>
        <w:t>mutations was demonstrated in a phase 3, randomised, double-blind, placebo-controlled study</w:t>
      </w:r>
      <w:r>
        <w:rPr>
          <w:sz w:val="24"/>
          <w:szCs w:val="24"/>
          <w:lang w:val="en-GB"/>
        </w:rPr>
        <w:t xml:space="preserve"> </w:t>
      </w:r>
      <w:r w:rsidRPr="00561A29">
        <w:rPr>
          <w:sz w:val="24"/>
          <w:szCs w:val="24"/>
          <w:lang w:val="en-GB"/>
        </w:rPr>
        <w:t>(n = 307) and an observational retrospective study (CFD-016; n = 422) of Real-World clinical</w:t>
      </w:r>
      <w:r>
        <w:rPr>
          <w:sz w:val="24"/>
          <w:szCs w:val="24"/>
          <w:lang w:val="en-GB"/>
        </w:rPr>
        <w:t xml:space="preserve"> </w:t>
      </w:r>
      <w:r w:rsidRPr="00561A29">
        <w:rPr>
          <w:sz w:val="24"/>
          <w:szCs w:val="24"/>
          <w:lang w:val="en-GB"/>
        </w:rPr>
        <w:t>outcomes.</w:t>
      </w:r>
    </w:p>
    <w:p w14:paraId="0C24CB89" w14:textId="77777777" w:rsidR="00561A29" w:rsidRPr="00561A29" w:rsidRDefault="00561A29" w:rsidP="000B039D">
      <w:pPr>
        <w:tabs>
          <w:tab w:val="left" w:pos="851"/>
        </w:tabs>
        <w:ind w:left="851"/>
        <w:rPr>
          <w:sz w:val="24"/>
          <w:szCs w:val="24"/>
          <w:lang w:val="en-GB"/>
        </w:rPr>
      </w:pPr>
    </w:p>
    <w:p w14:paraId="7AA1058E"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Refer to the Summary of Product Characteristics of ivacaftor/tezacaftor/elexacaftor for additional data. </w:t>
      </w:r>
    </w:p>
    <w:p w14:paraId="0E5F2109" w14:textId="77777777" w:rsidR="00561A29" w:rsidRPr="00561A29" w:rsidRDefault="00561A29" w:rsidP="000B039D">
      <w:pPr>
        <w:tabs>
          <w:tab w:val="left" w:pos="851"/>
        </w:tabs>
        <w:ind w:left="851"/>
        <w:rPr>
          <w:sz w:val="24"/>
          <w:szCs w:val="24"/>
          <w:lang w:val="en-GB"/>
        </w:rPr>
      </w:pPr>
    </w:p>
    <w:p w14:paraId="728300E7" w14:textId="77777777" w:rsidR="00561A29" w:rsidRPr="00561A29" w:rsidRDefault="00561A29" w:rsidP="000B039D">
      <w:pPr>
        <w:tabs>
          <w:tab w:val="left" w:pos="851"/>
        </w:tabs>
        <w:ind w:left="851"/>
        <w:rPr>
          <w:sz w:val="24"/>
          <w:szCs w:val="24"/>
          <w:u w:val="single"/>
          <w:lang w:val="en-GB"/>
        </w:rPr>
      </w:pPr>
      <w:r w:rsidRPr="00561A29">
        <w:rPr>
          <w:sz w:val="24"/>
          <w:szCs w:val="24"/>
          <w:u w:val="single"/>
          <w:lang w:val="en-GB"/>
        </w:rPr>
        <w:t>Paediatric population</w:t>
      </w:r>
      <w:r w:rsidRPr="00561A29">
        <w:rPr>
          <w:sz w:val="24"/>
          <w:szCs w:val="24"/>
          <w:lang w:val="en-GB"/>
        </w:rPr>
        <w:t xml:space="preserve"> </w:t>
      </w:r>
    </w:p>
    <w:p w14:paraId="26C68552" w14:textId="1BA3DB6B" w:rsidR="00561A29" w:rsidRPr="00561A29" w:rsidRDefault="00561A29" w:rsidP="000B039D">
      <w:pPr>
        <w:tabs>
          <w:tab w:val="left" w:pos="851"/>
        </w:tabs>
        <w:ind w:left="851"/>
        <w:rPr>
          <w:sz w:val="24"/>
          <w:szCs w:val="24"/>
          <w:lang w:val="en-GB"/>
        </w:rPr>
      </w:pPr>
    </w:p>
    <w:p w14:paraId="28F567BE" w14:textId="77777777" w:rsidR="00561A29" w:rsidRPr="00561A29" w:rsidRDefault="00561A29" w:rsidP="000B039D">
      <w:pPr>
        <w:tabs>
          <w:tab w:val="left" w:pos="851"/>
        </w:tabs>
        <w:ind w:left="851"/>
        <w:rPr>
          <w:i/>
          <w:sz w:val="24"/>
          <w:szCs w:val="24"/>
          <w:lang w:val="en-GB"/>
        </w:rPr>
      </w:pPr>
      <w:r w:rsidRPr="00561A29">
        <w:rPr>
          <w:i/>
          <w:sz w:val="24"/>
          <w:szCs w:val="24"/>
          <w:lang w:val="en-GB"/>
        </w:rPr>
        <w:t xml:space="preserve">Ivacaftor in a combination regimen with tezacaftor/ivacaftor </w:t>
      </w:r>
    </w:p>
    <w:p w14:paraId="4777D717"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The efficacy and safety in patients aged 6 to less than 12 years (mean age 8.6 years) were assessed in an 8-week, double-blind, phase 3 trial (study 661-115) with 67 patients who were randomised 4:1 to either ivacaftor in a combination regimen with tezacaftor/ivacaftor or a blinding group. Forty-two patients were homozygous for the </w:t>
      </w:r>
      <w:r w:rsidRPr="00561A29">
        <w:rPr>
          <w:i/>
          <w:sz w:val="24"/>
          <w:szCs w:val="24"/>
          <w:lang w:val="en-GB"/>
        </w:rPr>
        <w:t>F508del</w:t>
      </w:r>
      <w:r w:rsidRPr="00561A29">
        <w:rPr>
          <w:sz w:val="24"/>
          <w:szCs w:val="24"/>
          <w:lang w:val="en-GB"/>
        </w:rPr>
        <w:t xml:space="preserve"> mutation (F/F) and 12 were heterozygous for the </w:t>
      </w:r>
      <w:r w:rsidRPr="00561A29">
        <w:rPr>
          <w:i/>
          <w:sz w:val="24"/>
          <w:szCs w:val="24"/>
          <w:lang w:val="en-GB"/>
        </w:rPr>
        <w:t>F508del</w:t>
      </w:r>
      <w:r w:rsidRPr="00561A29">
        <w:rPr>
          <w:sz w:val="24"/>
          <w:szCs w:val="24"/>
          <w:lang w:val="en-GB"/>
        </w:rPr>
        <w:t xml:space="preserve"> mutation and a second mutation associated with </w:t>
      </w:r>
      <w:r w:rsidRPr="00561A29">
        <w:rPr>
          <w:sz w:val="24"/>
          <w:szCs w:val="24"/>
          <w:lang w:val="en-GB"/>
        </w:rPr>
        <w:lastRenderedPageBreak/>
        <w:t xml:space="preserve">residual CFTR activity (F/RF). Patients were eligible to enter an open-label, rollover, 96-week study (study 661-116 part A). Refer to the Summary of Product Characteristics of tezacaftor/ivacaftor for additional data. </w:t>
      </w:r>
    </w:p>
    <w:p w14:paraId="5B8367DE"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5B3499AC" w14:textId="77777777" w:rsidR="00561A29" w:rsidRPr="00561A29" w:rsidRDefault="00561A29" w:rsidP="000B039D">
      <w:pPr>
        <w:tabs>
          <w:tab w:val="left" w:pos="851"/>
        </w:tabs>
        <w:ind w:left="851"/>
        <w:rPr>
          <w:i/>
          <w:sz w:val="24"/>
          <w:szCs w:val="24"/>
          <w:lang w:val="en-GB"/>
        </w:rPr>
      </w:pPr>
      <w:r w:rsidRPr="00561A29">
        <w:rPr>
          <w:i/>
          <w:sz w:val="24"/>
          <w:szCs w:val="24"/>
          <w:lang w:val="en-GB"/>
        </w:rPr>
        <w:t xml:space="preserve">Ivacaftor in a combination regimen with ivacaftor/tezacaftor/elexacaftor </w:t>
      </w:r>
    </w:p>
    <w:p w14:paraId="20083ED7" w14:textId="189C4D45" w:rsidR="00561A29" w:rsidRPr="00561A29" w:rsidRDefault="00561A29" w:rsidP="000B039D">
      <w:pPr>
        <w:tabs>
          <w:tab w:val="left" w:pos="851"/>
        </w:tabs>
        <w:ind w:left="851"/>
        <w:rPr>
          <w:sz w:val="24"/>
          <w:szCs w:val="24"/>
          <w:lang w:val="en-GB"/>
        </w:rPr>
      </w:pPr>
      <w:r w:rsidRPr="00561A29">
        <w:rPr>
          <w:sz w:val="24"/>
          <w:szCs w:val="24"/>
          <w:lang w:val="en-GB"/>
        </w:rPr>
        <w:t xml:space="preserve">The pharmacokinetics and safety in patients aged 6 to less than 12 years (n = 66) and in those from 2 to less than 6 years (n = 75) who have at least one </w:t>
      </w:r>
      <w:r w:rsidRPr="00561A29">
        <w:rPr>
          <w:i/>
          <w:sz w:val="24"/>
          <w:szCs w:val="24"/>
          <w:lang w:val="en-GB"/>
        </w:rPr>
        <w:t>F508del</w:t>
      </w:r>
      <w:r w:rsidRPr="00561A29">
        <w:rPr>
          <w:sz w:val="24"/>
          <w:szCs w:val="24"/>
          <w:lang w:val="en-GB"/>
        </w:rPr>
        <w:t xml:space="preserve"> mutation were assessed in two 24-week open-label studies (study 445-106 and study 445-116). Refer to the Summary of Product Characteristics of ivacaftor/tezacaftor/elexacaftor for additional data. </w:t>
      </w:r>
    </w:p>
    <w:p w14:paraId="775F9073" w14:textId="77777777" w:rsidR="00561A29" w:rsidRPr="00561A29" w:rsidRDefault="00561A29" w:rsidP="000B039D">
      <w:pPr>
        <w:tabs>
          <w:tab w:val="left" w:pos="851"/>
        </w:tabs>
        <w:ind w:left="851"/>
        <w:rPr>
          <w:sz w:val="24"/>
          <w:szCs w:val="24"/>
          <w:lang w:val="en-GB"/>
        </w:rPr>
      </w:pPr>
    </w:p>
    <w:p w14:paraId="28357D85" w14:textId="77777777" w:rsidR="00561A29" w:rsidRPr="00561A29" w:rsidRDefault="00561A29" w:rsidP="000B039D">
      <w:pPr>
        <w:tabs>
          <w:tab w:val="left" w:pos="851"/>
        </w:tabs>
        <w:ind w:left="851"/>
        <w:rPr>
          <w:sz w:val="24"/>
          <w:szCs w:val="24"/>
          <w:lang w:val="en-GB"/>
        </w:rPr>
      </w:pPr>
      <w:r w:rsidRPr="00561A29">
        <w:rPr>
          <w:sz w:val="24"/>
          <w:szCs w:val="24"/>
          <w:lang w:val="en-GB"/>
        </w:rPr>
        <w:t>The European Medicines Agency has deferred the obligation to submit the results of studies with Ivacaftor in one or more subsets of the paediatric population in cystic fibrosis (see section 4.2 for information on paediatric use).</w:t>
      </w:r>
    </w:p>
    <w:p w14:paraId="271D26F8" w14:textId="77777777" w:rsidR="00561A29" w:rsidRPr="00561A29" w:rsidRDefault="00561A29" w:rsidP="000B039D">
      <w:pPr>
        <w:tabs>
          <w:tab w:val="left" w:pos="851"/>
        </w:tabs>
        <w:ind w:left="851"/>
        <w:rPr>
          <w:sz w:val="24"/>
          <w:szCs w:val="24"/>
          <w:lang w:val="en-GB"/>
        </w:rPr>
      </w:pPr>
    </w:p>
    <w:p w14:paraId="2AD33034"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5.2</w:t>
      </w:r>
      <w:r w:rsidRPr="00303008">
        <w:rPr>
          <w:b/>
          <w:sz w:val="24"/>
          <w:szCs w:val="24"/>
          <w:lang w:val="en-GB"/>
        </w:rPr>
        <w:tab/>
        <w:t>Pharmacokinetic properties</w:t>
      </w:r>
      <w:r w:rsidRPr="00303008">
        <w:rPr>
          <w:b/>
          <w:sz w:val="24"/>
          <w:szCs w:val="24"/>
          <w:lang w:val="en-GB"/>
        </w:rPr>
        <w:tab/>
      </w:r>
    </w:p>
    <w:p w14:paraId="7F0D940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pharmacokinetics of ivacaftor are similar between healthy adult volunteers and patients with CF. </w:t>
      </w:r>
    </w:p>
    <w:p w14:paraId="46F60F0A"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68ABDBC1" w14:textId="77777777" w:rsidR="003A4ED8" w:rsidRPr="003A4ED8" w:rsidRDefault="003A4ED8" w:rsidP="000B039D">
      <w:pPr>
        <w:tabs>
          <w:tab w:val="left" w:pos="851"/>
        </w:tabs>
        <w:ind w:left="851"/>
        <w:rPr>
          <w:sz w:val="24"/>
          <w:szCs w:val="24"/>
          <w:lang w:val="en-GB"/>
        </w:rPr>
      </w:pPr>
      <w:r w:rsidRPr="003A4ED8">
        <w:rPr>
          <w:sz w:val="24"/>
          <w:szCs w:val="24"/>
          <w:lang w:val="en-GB"/>
        </w:rPr>
        <w:t>After oral administration of a single 150 mg dose to healthy volunteers in a fed state, the mean (± SD) for AUC and C</w:t>
      </w:r>
      <w:r w:rsidRPr="003A4ED8">
        <w:rPr>
          <w:sz w:val="24"/>
          <w:szCs w:val="24"/>
          <w:vertAlign w:val="subscript"/>
          <w:lang w:val="en-GB"/>
        </w:rPr>
        <w:t>max</w:t>
      </w:r>
      <w:r w:rsidRPr="003A4ED8">
        <w:rPr>
          <w:sz w:val="24"/>
          <w:szCs w:val="24"/>
          <w:lang w:val="en-GB"/>
        </w:rPr>
        <w:t xml:space="preserve"> were 10.60 (5.26) µg∙h/mL and 0.768 (0.233) µg/mL, respectively. After every 12-hour dosing, steady-state plasma concentrations of ivacaftor were reached by days 3 to 5, with an accumulation ratio ranging from 2.2 to 2.9. </w:t>
      </w:r>
    </w:p>
    <w:p w14:paraId="241A7540"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610CE93"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Absorption</w:t>
      </w:r>
      <w:r w:rsidRPr="003A4ED8">
        <w:rPr>
          <w:sz w:val="24"/>
          <w:szCs w:val="24"/>
          <w:lang w:val="en-GB"/>
        </w:rPr>
        <w:t xml:space="preserve"> </w:t>
      </w:r>
    </w:p>
    <w:p w14:paraId="1FA68BC3" w14:textId="2309330D" w:rsidR="003A4ED8" w:rsidRPr="003A4ED8" w:rsidRDefault="003A4ED8" w:rsidP="000B039D">
      <w:pPr>
        <w:tabs>
          <w:tab w:val="left" w:pos="851"/>
        </w:tabs>
        <w:ind w:left="851"/>
        <w:rPr>
          <w:sz w:val="24"/>
          <w:szCs w:val="24"/>
          <w:lang w:val="en-GB"/>
        </w:rPr>
      </w:pPr>
      <w:r w:rsidRPr="003A4ED8">
        <w:rPr>
          <w:sz w:val="24"/>
          <w:szCs w:val="24"/>
          <w:lang w:val="en-GB"/>
        </w:rPr>
        <w:t>Following multiple oral dose administrations of ivacaftor, the exposure of ivacaftor generally increased with dose from 25 mg every 12 hours to 450 mg every 12 hours. When given with fat containing food, the exposure of ivacaftor increased approximately 2.5- to 4-fold. When coadministered with tezacaftor and elexacaftor, the increase in AUC was similar (approximately 3-fold and 2.5- to 4-fold respectively). Therefore, ivacaftor, administered as monotherapy or in a combination regimen with tezacaftor/ivacaftor or ivacaftor/tezacaftor/elexacaftor, should be administered with fat-containing food. The median (range) t</w:t>
      </w:r>
      <w:r w:rsidRPr="003A4ED8">
        <w:rPr>
          <w:sz w:val="24"/>
          <w:szCs w:val="24"/>
          <w:vertAlign w:val="subscript"/>
          <w:lang w:val="en-GB"/>
        </w:rPr>
        <w:t>max</w:t>
      </w:r>
      <w:r w:rsidRPr="003A4ED8">
        <w:rPr>
          <w:sz w:val="24"/>
          <w:szCs w:val="24"/>
          <w:lang w:val="en-GB"/>
        </w:rPr>
        <w:t xml:space="preserve"> is approximately 4.0 (3.0; 6.0) hours in the fed state. </w:t>
      </w:r>
    </w:p>
    <w:p w14:paraId="534C6E0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36254F71" w14:textId="77777777" w:rsidR="003A4ED8" w:rsidRPr="003A4ED8" w:rsidRDefault="003A4ED8" w:rsidP="000B039D">
      <w:pPr>
        <w:tabs>
          <w:tab w:val="left" w:pos="851"/>
        </w:tabs>
        <w:ind w:left="851"/>
        <w:rPr>
          <w:sz w:val="24"/>
          <w:szCs w:val="24"/>
          <w:lang w:val="en-GB"/>
        </w:rPr>
      </w:pPr>
      <w:r w:rsidRPr="003A4ED8">
        <w:rPr>
          <w:sz w:val="24"/>
          <w:szCs w:val="24"/>
          <w:lang w:val="en-GB"/>
        </w:rPr>
        <w:t>Ivacaftor granules (2 × 75 mg sachets) had similar bioavailability as the 150 mg tablet when given with fat-containing food to healthy adult subjects. The geometric least squares mean ratio (90% CI) for the granules relative to tablets was 0.951 (0.839, 1.08) for AUC</w:t>
      </w:r>
      <w:r w:rsidRPr="003A4ED8">
        <w:rPr>
          <w:sz w:val="24"/>
          <w:szCs w:val="24"/>
          <w:vertAlign w:val="subscript"/>
          <w:lang w:val="en-GB"/>
        </w:rPr>
        <w:t>0-∞</w:t>
      </w:r>
      <w:r w:rsidRPr="003A4ED8">
        <w:rPr>
          <w:sz w:val="24"/>
          <w:szCs w:val="24"/>
          <w:lang w:val="en-GB"/>
        </w:rPr>
        <w:t xml:space="preserve"> and 0.918 (0.750, 1.12) for C</w:t>
      </w:r>
      <w:r w:rsidRPr="003A4ED8">
        <w:rPr>
          <w:sz w:val="24"/>
          <w:szCs w:val="24"/>
          <w:vertAlign w:val="subscript"/>
          <w:lang w:val="en-GB"/>
        </w:rPr>
        <w:t>max</w:t>
      </w:r>
      <w:r w:rsidRPr="003A4ED8">
        <w:rPr>
          <w:sz w:val="24"/>
          <w:szCs w:val="24"/>
          <w:lang w:val="en-GB"/>
        </w:rPr>
        <w:t xml:space="preserve">. The effect of food on ivacaftor absorption is similar for both formulations, i.e., tablets and granules. </w:t>
      </w:r>
    </w:p>
    <w:p w14:paraId="50658089"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6100E37B"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Distribution</w:t>
      </w:r>
      <w:r w:rsidRPr="003A4ED8">
        <w:rPr>
          <w:sz w:val="24"/>
          <w:szCs w:val="24"/>
          <w:lang w:val="en-GB"/>
        </w:rPr>
        <w:t xml:space="preserve"> </w:t>
      </w:r>
    </w:p>
    <w:p w14:paraId="4A5A33A0"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Ivacaftor is approximately 99% bound to plasma proteins, primarily to alpha 1-acid glycoprotein and albumin. Ivacaftor does not bind to human red blood cells. After oral administration of ivacaftor 150 mg every 12 hours for 7 days in healthy volunteers in a fed state, the mean (± SD) apparent volume of distribution was 353 L (122). </w:t>
      </w:r>
    </w:p>
    <w:p w14:paraId="017B58DF" w14:textId="77777777" w:rsidR="003A4ED8" w:rsidRPr="003A4ED8" w:rsidRDefault="003A4ED8" w:rsidP="000B039D">
      <w:pPr>
        <w:tabs>
          <w:tab w:val="left" w:pos="851"/>
        </w:tabs>
        <w:ind w:left="851"/>
        <w:rPr>
          <w:sz w:val="24"/>
          <w:szCs w:val="24"/>
          <w:lang w:val="en-GB"/>
        </w:rPr>
      </w:pPr>
      <w:r w:rsidRPr="003A4ED8">
        <w:rPr>
          <w:i/>
          <w:sz w:val="24"/>
          <w:szCs w:val="24"/>
          <w:lang w:val="en-GB"/>
        </w:rPr>
        <w:t xml:space="preserve"> </w:t>
      </w:r>
    </w:p>
    <w:p w14:paraId="740D0B05"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Biotransformation</w:t>
      </w:r>
      <w:r w:rsidRPr="003A4ED8">
        <w:rPr>
          <w:sz w:val="24"/>
          <w:szCs w:val="24"/>
          <w:lang w:val="en-GB"/>
        </w:rPr>
        <w:t xml:space="preserve"> </w:t>
      </w:r>
    </w:p>
    <w:p w14:paraId="6DE3405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Ivacaftor is extensively metabolised in humans. </w:t>
      </w:r>
      <w:r w:rsidRPr="003A4ED8">
        <w:rPr>
          <w:i/>
          <w:sz w:val="24"/>
          <w:szCs w:val="24"/>
          <w:lang w:val="en-GB"/>
        </w:rPr>
        <w:t>In vitro</w:t>
      </w:r>
      <w:r w:rsidRPr="003A4ED8">
        <w:rPr>
          <w:sz w:val="24"/>
          <w:szCs w:val="24"/>
          <w:lang w:val="en-GB"/>
        </w:rPr>
        <w:t xml:space="preserve"> and </w:t>
      </w:r>
      <w:r w:rsidRPr="003A4ED8">
        <w:rPr>
          <w:i/>
          <w:sz w:val="24"/>
          <w:szCs w:val="24"/>
          <w:lang w:val="en-GB"/>
        </w:rPr>
        <w:t>in vivo</w:t>
      </w:r>
      <w:r w:rsidRPr="003A4ED8">
        <w:rPr>
          <w:sz w:val="24"/>
          <w:szCs w:val="24"/>
          <w:lang w:val="en-GB"/>
        </w:rPr>
        <w:t xml:space="preserve"> data indicate that ivacaftor is primarily metabolised by CYP3A. M1 and M6 are the two major metabolites of ivacaftor in humans. </w:t>
      </w:r>
    </w:p>
    <w:p w14:paraId="4228F0F9" w14:textId="77777777" w:rsidR="003A4ED8" w:rsidRPr="003A4ED8" w:rsidRDefault="003A4ED8" w:rsidP="000B039D">
      <w:pPr>
        <w:tabs>
          <w:tab w:val="left" w:pos="851"/>
        </w:tabs>
        <w:ind w:left="851"/>
        <w:rPr>
          <w:sz w:val="24"/>
          <w:szCs w:val="24"/>
          <w:lang w:val="en-GB"/>
        </w:rPr>
      </w:pPr>
      <w:r w:rsidRPr="003A4ED8">
        <w:rPr>
          <w:sz w:val="24"/>
          <w:szCs w:val="24"/>
          <w:lang w:val="en-GB"/>
        </w:rPr>
        <w:lastRenderedPageBreak/>
        <w:t>M1 has approximately one-sixth the potency of ivacaftor and is considered pharmacologically active. M6 has less than one-fiftieth the potency of ivacaftor and is not considered pharmacologically active.</w:t>
      </w:r>
      <w:r w:rsidRPr="003A4ED8">
        <w:rPr>
          <w:i/>
          <w:sz w:val="24"/>
          <w:szCs w:val="24"/>
          <w:lang w:val="en-GB"/>
        </w:rPr>
        <w:t xml:space="preserve"> </w:t>
      </w:r>
    </w:p>
    <w:p w14:paraId="37B15B7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A0FE537"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effect of the CYP3A4*22 heterozygous genotype on ivacaftor, tezacaftor, and elexacaftor exposure is consistent with the effect of co-administration of a weak CYP3A4 inhibitor, which is not clinically relevant. No dose-adjustment of ivacaftor, tezacaftor, or elexacaftor is considered necessary. The effect in CYP3A4*22 homozygous genotype patients is expected to be stronger. However, no data are available for such patients. </w:t>
      </w:r>
    </w:p>
    <w:p w14:paraId="3ED92CC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C986255"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Elimination</w:t>
      </w:r>
      <w:r w:rsidRPr="003A4ED8">
        <w:rPr>
          <w:sz w:val="24"/>
          <w:szCs w:val="24"/>
          <w:lang w:val="en-GB"/>
        </w:rPr>
        <w:t xml:space="preserve"> </w:t>
      </w:r>
    </w:p>
    <w:p w14:paraId="5CE88BDE"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Following oral administration in healthy volunteers, the majority of ivacaftor (87.8%) was eliminated in the faeces after metabolic conversion. The major metabolites M1 and M6 accounted for approximately 65% of the total dose eliminated with 22% as M1 and 43% as M6. There was negligible urinary excretion of ivacaftor as unchanged parent. The apparent terminal half-life was approximately 12 hours following a single dose in the fed state. The apparent clearance (CL/F) of ivacaftor was similar for healthy subjects and patients with CF. The mean (± SD) CL/F for a single 150 mg dose was 17.3 (8.4) L/hr in healthy subjects. </w:t>
      </w:r>
    </w:p>
    <w:p w14:paraId="604A9C49"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95A9827"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Linearity/non-linearity</w:t>
      </w:r>
      <w:r w:rsidRPr="003A4ED8">
        <w:rPr>
          <w:sz w:val="24"/>
          <w:szCs w:val="24"/>
          <w:lang w:val="en-GB"/>
        </w:rPr>
        <w:t xml:space="preserve"> </w:t>
      </w:r>
    </w:p>
    <w:p w14:paraId="77EDF3CB" w14:textId="4EDFD503"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pharmacokinetics of ivacaftor are generally linear with respect to time or dose ranging from 25 mg to 250 mg. </w:t>
      </w:r>
    </w:p>
    <w:p w14:paraId="7EAEB6D7"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0FA95F4D"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Special populations</w:t>
      </w:r>
      <w:r w:rsidRPr="003A4ED8">
        <w:rPr>
          <w:sz w:val="24"/>
          <w:szCs w:val="24"/>
          <w:lang w:val="en-GB"/>
        </w:rPr>
        <w:t xml:space="preserve"> </w:t>
      </w:r>
    </w:p>
    <w:p w14:paraId="6FB9D6ED"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77726A7"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Hepatic impairment </w:t>
      </w:r>
    </w:p>
    <w:p w14:paraId="4451E811" w14:textId="59AB289D" w:rsidR="003A4ED8" w:rsidRPr="003A4ED8" w:rsidRDefault="003A4ED8" w:rsidP="000B039D">
      <w:pPr>
        <w:tabs>
          <w:tab w:val="left" w:pos="851"/>
        </w:tabs>
        <w:ind w:left="851"/>
        <w:rPr>
          <w:sz w:val="24"/>
          <w:szCs w:val="24"/>
          <w:lang w:val="en-GB"/>
        </w:rPr>
      </w:pPr>
      <w:r w:rsidRPr="003A4ED8">
        <w:rPr>
          <w:sz w:val="24"/>
          <w:szCs w:val="24"/>
          <w:lang w:val="en-GB"/>
        </w:rPr>
        <w:t>Following a single dose of 150 mg of ivacaftor, adult subjects with moderately impaired hepatic function (Child-Pugh Class B, score 7 to 9) had similar ivacaftor C</w:t>
      </w:r>
      <w:r w:rsidRPr="003A4ED8">
        <w:rPr>
          <w:sz w:val="24"/>
          <w:szCs w:val="24"/>
          <w:vertAlign w:val="subscript"/>
          <w:lang w:val="en-GB"/>
        </w:rPr>
        <w:t>max</w:t>
      </w:r>
      <w:r w:rsidRPr="003A4ED8">
        <w:rPr>
          <w:sz w:val="24"/>
          <w:szCs w:val="24"/>
          <w:lang w:val="en-GB"/>
        </w:rPr>
        <w:t xml:space="preserve"> (mean [± SD] of 0.735 [0.331] µg/mL) but an approximately 2-fold increase in ivacaftor AUC</w:t>
      </w:r>
      <w:r w:rsidRPr="003A4ED8">
        <w:rPr>
          <w:sz w:val="24"/>
          <w:szCs w:val="24"/>
          <w:vertAlign w:val="subscript"/>
          <w:lang w:val="en-GB"/>
        </w:rPr>
        <w:t>0-∞</w:t>
      </w:r>
      <w:r w:rsidRPr="003A4ED8">
        <w:rPr>
          <w:sz w:val="24"/>
          <w:szCs w:val="24"/>
          <w:lang w:val="en-GB"/>
        </w:rPr>
        <w:t xml:space="preserve"> (mean [± SD] of 16.80 [6.14] µg∙h/mL) compared with healthy subjects matched for demographics. Simulations for predicting the steady-state exposure of ivacaftor showed that by reducing the dose from 150 mg q12h to 150 mg once daily, adults with moderate hepatic impairment would have comparable steady-state C</w:t>
      </w:r>
      <w:r w:rsidRPr="003A4ED8">
        <w:rPr>
          <w:sz w:val="24"/>
          <w:szCs w:val="24"/>
          <w:vertAlign w:val="subscript"/>
          <w:lang w:val="en-GB"/>
        </w:rPr>
        <w:t>min</w:t>
      </w:r>
      <w:r w:rsidRPr="003A4ED8">
        <w:rPr>
          <w:sz w:val="24"/>
          <w:szCs w:val="24"/>
          <w:lang w:val="en-GB"/>
        </w:rPr>
        <w:t xml:space="preserve"> values as those obtained with a dose of 150 mg q12h in adults without hepatic impairment. </w:t>
      </w:r>
    </w:p>
    <w:p w14:paraId="15409BC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6AA6208D"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In subjects with moderately impaired hepatic function (Child-Pugh Class B, score 7 to 9), ivacaftor AUC increased approximately by 50% following multiple doses for 10 days of either tezacaftor and ivacaftor or of ivacaftor, tezacaftor and elexacaftor. </w:t>
      </w:r>
    </w:p>
    <w:p w14:paraId="023B9E96"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43FA068"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impact of severe hepatic impairment (Child-Pugh Class C, score 10 to15) on the pharmacokinetics of ivacaftor has not been studied. The magnitude of increase in exposure in these patients is unknown but is expected to be higher than that observed in patients with moderate hepatic impairment. </w:t>
      </w:r>
    </w:p>
    <w:p w14:paraId="57F98D4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For guidance on appropriate use and dose modification see Table 3 in section 4.2. </w:t>
      </w:r>
    </w:p>
    <w:p w14:paraId="1BAE937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135B5967"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Renal impairment </w:t>
      </w:r>
    </w:p>
    <w:p w14:paraId="2E45A251" w14:textId="30335558" w:rsidR="003A4ED8" w:rsidRPr="003A4ED8" w:rsidRDefault="003A4ED8" w:rsidP="000B039D">
      <w:pPr>
        <w:tabs>
          <w:tab w:val="left" w:pos="851"/>
        </w:tabs>
        <w:ind w:left="851"/>
        <w:rPr>
          <w:sz w:val="24"/>
          <w:szCs w:val="24"/>
          <w:lang w:val="en-GB"/>
        </w:rPr>
      </w:pPr>
      <w:r w:rsidRPr="003A4ED8">
        <w:rPr>
          <w:sz w:val="24"/>
          <w:szCs w:val="24"/>
          <w:lang w:val="en-GB"/>
        </w:rPr>
        <w:t xml:space="preserve">Pharmacokinetic studies have not been performed with ivacaftor in patients with renal impairment. In a human pharmacokinetic study with ivacaftor monotherapy, there was minimal elimination of ivacaftor and its metabolites in urine (only 6.6% of total </w:t>
      </w:r>
      <w:r w:rsidRPr="003A4ED8">
        <w:rPr>
          <w:sz w:val="24"/>
          <w:szCs w:val="24"/>
          <w:lang w:val="en-GB"/>
        </w:rPr>
        <w:lastRenderedPageBreak/>
        <w:t xml:space="preserve">radioactivity was recovered in the urine). There was negligible urinary excretion of ivacaftor as unchanged parent (less than 0.01% following a single oral dose of 500 mg). </w:t>
      </w:r>
    </w:p>
    <w:p w14:paraId="4070DB6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49D364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No dose adjustments are recommended for mild and moderate renal impairment. Caution is recommended when administering ivacaftor to patients with severe renal impairment (creatinine clearance less than or equal to 30 mL/min) or end-stage renal disease (see sections 4.2 and 4.4). </w:t>
      </w:r>
    </w:p>
    <w:p w14:paraId="5E378540" w14:textId="77777777" w:rsidR="003A4ED8" w:rsidRPr="003A4ED8" w:rsidRDefault="003A4ED8" w:rsidP="000B039D">
      <w:pPr>
        <w:tabs>
          <w:tab w:val="left" w:pos="851"/>
        </w:tabs>
        <w:ind w:left="851"/>
        <w:rPr>
          <w:i/>
          <w:sz w:val="24"/>
          <w:szCs w:val="24"/>
          <w:lang w:val="en-GB"/>
        </w:rPr>
      </w:pPr>
    </w:p>
    <w:p w14:paraId="12FFCB15"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Race </w:t>
      </w:r>
    </w:p>
    <w:p w14:paraId="06198ED1" w14:textId="7967BFFB" w:rsidR="003A4ED8" w:rsidRPr="003A4ED8" w:rsidRDefault="003A4ED8" w:rsidP="000B039D">
      <w:pPr>
        <w:tabs>
          <w:tab w:val="left" w:pos="851"/>
        </w:tabs>
        <w:ind w:left="851"/>
        <w:rPr>
          <w:sz w:val="24"/>
          <w:szCs w:val="24"/>
          <w:lang w:val="en-GB"/>
        </w:rPr>
      </w:pPr>
      <w:r w:rsidRPr="003A4ED8">
        <w:rPr>
          <w:sz w:val="24"/>
          <w:szCs w:val="24"/>
          <w:lang w:val="en-GB"/>
        </w:rPr>
        <w:t xml:space="preserve">Race had no clinically meaningful effect on the PK of ivacaftor in white (n = 379) and non-white (n = 29) patients based on a population PK analysis. </w:t>
      </w:r>
    </w:p>
    <w:p w14:paraId="1D889675"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1C00D8A1" w14:textId="77777777" w:rsidR="003A4ED8" w:rsidRPr="003A4ED8" w:rsidRDefault="003A4ED8" w:rsidP="000B039D">
      <w:pPr>
        <w:tabs>
          <w:tab w:val="left" w:pos="851"/>
        </w:tabs>
        <w:ind w:left="851"/>
        <w:rPr>
          <w:sz w:val="24"/>
          <w:szCs w:val="24"/>
          <w:lang w:val="en-GB"/>
        </w:rPr>
      </w:pPr>
      <w:r w:rsidRPr="003A4ED8">
        <w:rPr>
          <w:i/>
          <w:sz w:val="24"/>
          <w:szCs w:val="24"/>
          <w:lang w:val="en-GB"/>
        </w:rPr>
        <w:t xml:space="preserve">Gender </w:t>
      </w:r>
    </w:p>
    <w:p w14:paraId="33790F3B" w14:textId="6AAC4EA3"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 parameters of ivacaftor are similar in males and females. </w:t>
      </w:r>
    </w:p>
    <w:p w14:paraId="464A186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3983789"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Elderly </w:t>
      </w:r>
    </w:p>
    <w:p w14:paraId="468F20EE" w14:textId="2F04CE92" w:rsidR="003A4ED8" w:rsidRPr="003A4ED8" w:rsidRDefault="003A4ED8" w:rsidP="000B039D">
      <w:pPr>
        <w:tabs>
          <w:tab w:val="left" w:pos="851"/>
        </w:tabs>
        <w:ind w:left="851"/>
        <w:rPr>
          <w:sz w:val="24"/>
          <w:szCs w:val="24"/>
          <w:lang w:val="en-GB"/>
        </w:rPr>
      </w:pPr>
      <w:r w:rsidRPr="003A4ED8">
        <w:rPr>
          <w:sz w:val="24"/>
          <w:szCs w:val="24"/>
          <w:lang w:val="en-GB"/>
        </w:rPr>
        <w:t xml:space="preserve">Clinical studies of ivacaftor did not include sufficient numbers of patients aged 65 years and older to determine whether pharmacokinetic parameters are similar or not to those in younger adults. </w:t>
      </w:r>
    </w:p>
    <w:p w14:paraId="7BEF298B"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119A698"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 parameters of ivacaftor in combination with tezacaftor in the elderly patients (65-72 years) are comparable to those in younger adults. </w:t>
      </w:r>
    </w:p>
    <w:p w14:paraId="7018DAAD" w14:textId="194EA96F" w:rsidR="003A4ED8" w:rsidRDefault="003A4ED8" w:rsidP="000B039D">
      <w:pPr>
        <w:tabs>
          <w:tab w:val="left" w:pos="851"/>
        </w:tabs>
        <w:ind w:left="851"/>
        <w:rPr>
          <w:sz w:val="24"/>
          <w:szCs w:val="24"/>
          <w:lang w:val="en-GB"/>
        </w:rPr>
      </w:pPr>
      <w:r w:rsidRPr="003A4ED8">
        <w:rPr>
          <w:sz w:val="24"/>
          <w:szCs w:val="24"/>
          <w:lang w:val="en-GB"/>
        </w:rPr>
        <w:t xml:space="preserve"> </w:t>
      </w:r>
    </w:p>
    <w:p w14:paraId="048A074D"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Paediatric population</w:t>
      </w:r>
      <w:r w:rsidRPr="003A4ED8">
        <w:rPr>
          <w:sz w:val="24"/>
          <w:szCs w:val="24"/>
          <w:lang w:val="en-GB"/>
        </w:rPr>
        <w:t xml:space="preserve"> </w:t>
      </w:r>
    </w:p>
    <w:p w14:paraId="3DBB277C" w14:textId="7DFC3817" w:rsidR="003A4ED8" w:rsidRPr="003A4ED8" w:rsidRDefault="003A4ED8" w:rsidP="000B039D">
      <w:pPr>
        <w:tabs>
          <w:tab w:val="left" w:pos="851"/>
        </w:tabs>
        <w:ind w:left="851"/>
        <w:rPr>
          <w:sz w:val="24"/>
          <w:szCs w:val="24"/>
          <w:lang w:val="en-GB"/>
        </w:rPr>
      </w:pPr>
      <w:r w:rsidRPr="003A4ED8">
        <w:rPr>
          <w:sz w:val="24"/>
          <w:szCs w:val="24"/>
          <w:lang w:val="en-GB"/>
        </w:rPr>
        <w:t xml:space="preserve">Predicted ivacaftor exposure based on observed ivacaftor concentrations in phase 2 and 3 studies as determined using compartmental analysis is presented by age group in Table 10. </w:t>
      </w:r>
    </w:p>
    <w:p w14:paraId="28324E70" w14:textId="77777777" w:rsidR="003A4ED8" w:rsidRPr="003A4ED8" w:rsidRDefault="003A4ED8" w:rsidP="000B039D">
      <w:pPr>
        <w:spacing w:after="98"/>
        <w:ind w:left="3"/>
        <w:jc w:val="both"/>
        <w:rPr>
          <w:color w:val="000000"/>
          <w:kern w:val="2"/>
          <w:sz w:val="22"/>
          <w:szCs w:val="24"/>
          <w:lang w:val="en-GB" w:eastAsia="en-GB"/>
        </w:rPr>
      </w:pPr>
    </w:p>
    <w:p w14:paraId="2CF7D529" w14:textId="77777777" w:rsidR="003A4ED8" w:rsidRPr="003A4ED8" w:rsidRDefault="003A4ED8" w:rsidP="000B039D">
      <w:pPr>
        <w:keepNext/>
        <w:keepLines/>
        <w:ind w:left="-2" w:hanging="10"/>
        <w:jc w:val="both"/>
        <w:outlineLvl w:val="0"/>
        <w:rPr>
          <w:b/>
          <w:color w:val="000000"/>
          <w:kern w:val="2"/>
          <w:sz w:val="22"/>
          <w:szCs w:val="24"/>
          <w:lang w:val="en-GB" w:eastAsia="en-GB"/>
        </w:rPr>
      </w:pPr>
      <w:r w:rsidRPr="003A4ED8">
        <w:rPr>
          <w:b/>
          <w:color w:val="000000"/>
          <w:kern w:val="2"/>
          <w:sz w:val="22"/>
          <w:szCs w:val="24"/>
          <w:lang w:val="en-GB" w:eastAsia="en-GB"/>
        </w:rPr>
        <w:t xml:space="preserve">Table 10: Mean (SD) ivacaftor exposure by age group </w:t>
      </w:r>
    </w:p>
    <w:tbl>
      <w:tblPr>
        <w:tblW w:w="5000" w:type="pct"/>
        <w:tblCellMar>
          <w:top w:w="57" w:type="dxa"/>
          <w:right w:w="106" w:type="dxa"/>
        </w:tblCellMar>
        <w:tblLook w:val="04A0" w:firstRow="1" w:lastRow="0" w:firstColumn="1" w:lastColumn="0" w:noHBand="0" w:noVBand="1"/>
      </w:tblPr>
      <w:tblGrid>
        <w:gridCol w:w="3774"/>
        <w:gridCol w:w="1983"/>
        <w:gridCol w:w="1687"/>
        <w:gridCol w:w="2184"/>
      </w:tblGrid>
      <w:tr w:rsidR="003A4ED8" w:rsidRPr="00915489" w14:paraId="0D9265C7" w14:textId="77777777">
        <w:trPr>
          <w:trHeight w:val="113"/>
          <w:tblHeader/>
        </w:trPr>
        <w:tc>
          <w:tcPr>
            <w:tcW w:w="1960" w:type="pct"/>
            <w:tcBorders>
              <w:top w:val="single" w:sz="4" w:space="0" w:color="000000"/>
              <w:left w:val="single" w:sz="4" w:space="0" w:color="000000"/>
              <w:bottom w:val="single" w:sz="4" w:space="0" w:color="000000"/>
              <w:right w:val="single" w:sz="4" w:space="0" w:color="000000"/>
            </w:tcBorders>
            <w:vAlign w:val="center"/>
            <w:hideMark/>
          </w:tcPr>
          <w:p w14:paraId="3AB961C2" w14:textId="77777777" w:rsidR="003A4ED8" w:rsidRPr="003A4ED8" w:rsidRDefault="003A4ED8" w:rsidP="000B039D">
            <w:pPr>
              <w:ind w:right="4"/>
              <w:jc w:val="both"/>
              <w:rPr>
                <w:color w:val="000000"/>
                <w:kern w:val="2"/>
                <w:sz w:val="20"/>
                <w:lang w:val="en-GB" w:eastAsia="en-GB"/>
              </w:rPr>
            </w:pPr>
            <w:r w:rsidRPr="003A4ED8">
              <w:rPr>
                <w:b/>
                <w:color w:val="000000"/>
                <w:kern w:val="2"/>
                <w:sz w:val="20"/>
                <w:lang w:val="en-GB" w:eastAsia="en-GB"/>
              </w:rPr>
              <w:t xml:space="preserve">Age group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74E81D79" w14:textId="77777777" w:rsidR="003A4ED8" w:rsidRPr="003A4ED8" w:rsidRDefault="003A4ED8" w:rsidP="000B039D">
            <w:pPr>
              <w:ind w:right="4"/>
              <w:jc w:val="center"/>
              <w:rPr>
                <w:color w:val="000000"/>
                <w:kern w:val="2"/>
                <w:sz w:val="20"/>
                <w:lang w:val="en-GB" w:eastAsia="en-GB"/>
              </w:rPr>
            </w:pPr>
            <w:r w:rsidRPr="003A4ED8">
              <w:rPr>
                <w:b/>
                <w:color w:val="000000"/>
                <w:kern w:val="2"/>
                <w:sz w:val="20"/>
                <w:lang w:val="en-GB" w:eastAsia="en-GB"/>
              </w:rPr>
              <w:t>Dose</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07BFAE89" w14:textId="77777777" w:rsidR="003A4ED8" w:rsidRPr="003A4ED8" w:rsidRDefault="003A4ED8" w:rsidP="000B039D">
            <w:pPr>
              <w:ind w:right="3"/>
              <w:jc w:val="center"/>
              <w:rPr>
                <w:color w:val="000000"/>
                <w:kern w:val="2"/>
                <w:sz w:val="14"/>
                <w:szCs w:val="14"/>
                <w:lang w:val="en-GB" w:eastAsia="en-GB"/>
              </w:rPr>
            </w:pPr>
            <w:r w:rsidRPr="003A4ED8">
              <w:rPr>
                <w:b/>
                <w:color w:val="000000"/>
                <w:kern w:val="2"/>
                <w:sz w:val="20"/>
                <w:lang w:val="en-GB" w:eastAsia="en-GB"/>
              </w:rPr>
              <w:t>C</w:t>
            </w:r>
            <w:r w:rsidRPr="003A4ED8">
              <w:rPr>
                <w:b/>
                <w:color w:val="000000"/>
                <w:kern w:val="2"/>
                <w:sz w:val="14"/>
                <w:szCs w:val="14"/>
                <w:lang w:val="en-GB" w:eastAsia="en-GB"/>
              </w:rPr>
              <w:t>min, ss</w:t>
            </w:r>
          </w:p>
          <w:p w14:paraId="5F976FBF" w14:textId="77777777" w:rsidR="003A4ED8" w:rsidRPr="003A4ED8" w:rsidRDefault="003A4ED8" w:rsidP="000B039D">
            <w:pPr>
              <w:ind w:right="3"/>
              <w:jc w:val="center"/>
              <w:rPr>
                <w:color w:val="000000"/>
                <w:kern w:val="2"/>
                <w:sz w:val="20"/>
                <w:lang w:val="en-GB" w:eastAsia="en-GB"/>
              </w:rPr>
            </w:pPr>
            <w:r w:rsidRPr="003A4ED8">
              <w:rPr>
                <w:b/>
                <w:color w:val="000000"/>
                <w:kern w:val="2"/>
                <w:sz w:val="20"/>
                <w:lang w:val="en-GB" w:eastAsia="en-GB"/>
              </w:rPr>
              <w:t>(µg/mL)</w:t>
            </w:r>
          </w:p>
        </w:tc>
        <w:tc>
          <w:tcPr>
            <w:tcW w:w="1134" w:type="pct"/>
            <w:tcBorders>
              <w:top w:val="single" w:sz="4" w:space="0" w:color="000000"/>
              <w:left w:val="single" w:sz="4" w:space="0" w:color="000000"/>
              <w:bottom w:val="single" w:sz="4" w:space="0" w:color="000000"/>
              <w:right w:val="single" w:sz="4" w:space="0" w:color="000000"/>
            </w:tcBorders>
            <w:hideMark/>
          </w:tcPr>
          <w:p w14:paraId="4FA6D225" w14:textId="77777777" w:rsidR="003A4ED8" w:rsidRPr="003A4ED8" w:rsidRDefault="003A4ED8" w:rsidP="000B039D">
            <w:pPr>
              <w:jc w:val="center"/>
              <w:rPr>
                <w:b/>
                <w:color w:val="000000"/>
                <w:kern w:val="2"/>
                <w:sz w:val="14"/>
                <w:szCs w:val="14"/>
                <w:lang w:val="en-GB" w:eastAsia="en-GB"/>
              </w:rPr>
            </w:pPr>
            <w:r w:rsidRPr="003A4ED8">
              <w:rPr>
                <w:b/>
                <w:color w:val="000000"/>
                <w:kern w:val="2"/>
                <w:sz w:val="20"/>
                <w:lang w:val="en-GB" w:eastAsia="en-GB"/>
              </w:rPr>
              <w:t>AUC</w:t>
            </w:r>
            <w:r w:rsidRPr="003A4ED8">
              <w:rPr>
                <w:b/>
                <w:color w:val="000000"/>
                <w:kern w:val="2"/>
                <w:sz w:val="14"/>
                <w:szCs w:val="14"/>
                <w:lang w:val="en-GB" w:eastAsia="en-GB"/>
              </w:rPr>
              <w:t xml:space="preserve">0-12h, ss </w:t>
            </w:r>
          </w:p>
          <w:p w14:paraId="4DD8B486" w14:textId="77777777" w:rsidR="003A4ED8" w:rsidRPr="003A4ED8" w:rsidRDefault="003A4ED8" w:rsidP="000B039D">
            <w:pPr>
              <w:jc w:val="center"/>
              <w:rPr>
                <w:color w:val="000000"/>
                <w:kern w:val="2"/>
                <w:sz w:val="20"/>
                <w:lang w:val="en-GB" w:eastAsia="en-GB"/>
              </w:rPr>
            </w:pPr>
            <w:r w:rsidRPr="003A4ED8">
              <w:rPr>
                <w:b/>
                <w:color w:val="000000"/>
                <w:kern w:val="2"/>
                <w:sz w:val="20"/>
                <w:lang w:val="en-GB" w:eastAsia="en-GB"/>
              </w:rPr>
              <w:t>(µg∙h/mL)</w:t>
            </w:r>
          </w:p>
        </w:tc>
      </w:tr>
      <w:tr w:rsidR="003A4ED8" w:rsidRPr="003A4ED8" w14:paraId="6C7B3116"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45748C0"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1 month to less than 2 months (≥ 3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638ED63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13.4 mg q24h</w:t>
            </w:r>
          </w:p>
        </w:tc>
        <w:tc>
          <w:tcPr>
            <w:tcW w:w="876" w:type="pct"/>
            <w:tcBorders>
              <w:top w:val="single" w:sz="4" w:space="0" w:color="000000"/>
              <w:left w:val="single" w:sz="4" w:space="0" w:color="000000"/>
              <w:bottom w:val="single" w:sz="4" w:space="0" w:color="000000"/>
              <w:right w:val="single" w:sz="4" w:space="0" w:color="000000"/>
            </w:tcBorders>
            <w:hideMark/>
          </w:tcPr>
          <w:p w14:paraId="79BC444E"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0.300 (0.221)</w:t>
            </w:r>
            <w:r w:rsidRPr="003A4ED8">
              <w:rPr>
                <w:color w:val="000000"/>
                <w:kern w:val="2"/>
                <w:sz w:val="20"/>
                <w:vertAlign w:val="superscript"/>
                <w:lang w:val="en-GB" w:eastAsia="en-GB"/>
              </w:rPr>
              <w:t>†</w:t>
            </w:r>
          </w:p>
        </w:tc>
        <w:tc>
          <w:tcPr>
            <w:tcW w:w="1134" w:type="pct"/>
            <w:tcBorders>
              <w:top w:val="single" w:sz="4" w:space="0" w:color="000000"/>
              <w:left w:val="single" w:sz="4" w:space="0" w:color="000000"/>
              <w:bottom w:val="single" w:sz="4" w:space="0" w:color="000000"/>
              <w:right w:val="single" w:sz="4" w:space="0" w:color="000000"/>
            </w:tcBorders>
            <w:hideMark/>
          </w:tcPr>
          <w:p w14:paraId="4695661D"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5.84 (2.98)</w:t>
            </w:r>
            <w:r w:rsidRPr="003A4ED8">
              <w:rPr>
                <w:color w:val="000000"/>
                <w:kern w:val="2"/>
                <w:sz w:val="20"/>
                <w:vertAlign w:val="superscript"/>
                <w:lang w:val="en-GB" w:eastAsia="en-GB"/>
              </w:rPr>
              <w:t>†</w:t>
            </w:r>
          </w:p>
        </w:tc>
      </w:tr>
      <w:tr w:rsidR="003A4ED8" w:rsidRPr="003A4ED8" w14:paraId="45185D5F"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D170EEE"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2 months to less than 4 months (≥ 3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08A496B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13.4 mg q12h</w:t>
            </w:r>
          </w:p>
        </w:tc>
        <w:tc>
          <w:tcPr>
            <w:tcW w:w="876" w:type="pct"/>
            <w:tcBorders>
              <w:top w:val="single" w:sz="4" w:space="0" w:color="000000"/>
              <w:left w:val="single" w:sz="4" w:space="0" w:color="000000"/>
              <w:bottom w:val="single" w:sz="4" w:space="0" w:color="000000"/>
              <w:right w:val="single" w:sz="4" w:space="0" w:color="000000"/>
            </w:tcBorders>
            <w:hideMark/>
          </w:tcPr>
          <w:p w14:paraId="2D3653DB"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0.406 (0.266)</w:t>
            </w:r>
            <w:r w:rsidRPr="003A4ED8">
              <w:rPr>
                <w:color w:val="000000"/>
                <w:kern w:val="2"/>
                <w:sz w:val="20"/>
                <w:vertAlign w:val="superscript"/>
                <w:lang w:val="en-GB" w:eastAsia="en-GB"/>
              </w:rPr>
              <w:t>†</w:t>
            </w:r>
          </w:p>
        </w:tc>
        <w:tc>
          <w:tcPr>
            <w:tcW w:w="1134" w:type="pct"/>
            <w:tcBorders>
              <w:top w:val="single" w:sz="4" w:space="0" w:color="000000"/>
              <w:left w:val="single" w:sz="4" w:space="0" w:color="000000"/>
              <w:bottom w:val="single" w:sz="4" w:space="0" w:color="000000"/>
              <w:right w:val="single" w:sz="4" w:space="0" w:color="000000"/>
            </w:tcBorders>
            <w:hideMark/>
          </w:tcPr>
          <w:p w14:paraId="183BB19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6.45 (3.43)</w:t>
            </w:r>
            <w:r w:rsidRPr="003A4ED8">
              <w:rPr>
                <w:color w:val="000000"/>
                <w:kern w:val="2"/>
                <w:sz w:val="20"/>
                <w:vertAlign w:val="superscript"/>
                <w:lang w:val="en-GB" w:eastAsia="en-GB"/>
              </w:rPr>
              <w:t>†</w:t>
            </w:r>
          </w:p>
        </w:tc>
      </w:tr>
      <w:tr w:rsidR="003A4ED8" w:rsidRPr="003A4ED8" w14:paraId="261AB08E"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52C2E0D9"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4 months to less than 6 months (≥ 5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1938CEC9"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25 mg q12h</w:t>
            </w:r>
          </w:p>
        </w:tc>
        <w:tc>
          <w:tcPr>
            <w:tcW w:w="876" w:type="pct"/>
            <w:tcBorders>
              <w:top w:val="single" w:sz="4" w:space="0" w:color="000000"/>
              <w:left w:val="single" w:sz="4" w:space="0" w:color="000000"/>
              <w:bottom w:val="single" w:sz="4" w:space="0" w:color="000000"/>
              <w:right w:val="single" w:sz="4" w:space="0" w:color="000000"/>
            </w:tcBorders>
            <w:hideMark/>
          </w:tcPr>
          <w:p w14:paraId="3361A25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0.371 (0.183)</w:t>
            </w:r>
          </w:p>
        </w:tc>
        <w:tc>
          <w:tcPr>
            <w:tcW w:w="1134" w:type="pct"/>
            <w:tcBorders>
              <w:top w:val="single" w:sz="4" w:space="0" w:color="000000"/>
              <w:left w:val="single" w:sz="4" w:space="0" w:color="000000"/>
              <w:bottom w:val="single" w:sz="4" w:space="0" w:color="000000"/>
              <w:right w:val="single" w:sz="4" w:space="0" w:color="000000"/>
            </w:tcBorders>
            <w:hideMark/>
          </w:tcPr>
          <w:p w14:paraId="439E2C6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6.48 (2.52)</w:t>
            </w:r>
          </w:p>
        </w:tc>
      </w:tr>
      <w:tr w:rsidR="003A4ED8" w:rsidRPr="003A4ED8" w14:paraId="4C0648DF"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68F40D74" w14:textId="77777777" w:rsidR="003A4ED8" w:rsidRPr="003A4ED8" w:rsidRDefault="003A4ED8" w:rsidP="000B039D">
            <w:pPr>
              <w:spacing w:after="6"/>
              <w:jc w:val="both"/>
              <w:rPr>
                <w:color w:val="000000"/>
                <w:kern w:val="2"/>
                <w:sz w:val="20"/>
                <w:lang w:val="en-GB" w:eastAsia="en-GB"/>
              </w:rPr>
            </w:pPr>
            <w:r w:rsidRPr="003A4ED8">
              <w:rPr>
                <w:color w:val="000000"/>
                <w:kern w:val="2"/>
                <w:sz w:val="20"/>
                <w:lang w:val="en-GB" w:eastAsia="en-GB"/>
              </w:rPr>
              <w:t xml:space="preserve">6 months to less than 12 months </w:t>
            </w:r>
          </w:p>
          <w:p w14:paraId="75B4FB1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(≥5 kg to &lt; 7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3B12C840"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25 mg q12h</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5A991FFB"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0.336</w:t>
            </w:r>
          </w:p>
        </w:tc>
        <w:tc>
          <w:tcPr>
            <w:tcW w:w="1134" w:type="pct"/>
            <w:tcBorders>
              <w:top w:val="single" w:sz="4" w:space="0" w:color="000000"/>
              <w:left w:val="single" w:sz="4" w:space="0" w:color="000000"/>
              <w:bottom w:val="single" w:sz="4" w:space="0" w:color="000000"/>
              <w:right w:val="single" w:sz="4" w:space="0" w:color="000000"/>
            </w:tcBorders>
            <w:vAlign w:val="center"/>
            <w:hideMark/>
          </w:tcPr>
          <w:p w14:paraId="3F6CCD21"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5.41</w:t>
            </w:r>
          </w:p>
        </w:tc>
      </w:tr>
      <w:tr w:rsidR="003A4ED8" w:rsidRPr="003A4ED8" w14:paraId="58E0894A"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282683B5"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6 months to less than 12 months </w:t>
            </w:r>
          </w:p>
          <w:p w14:paraId="6897716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(7 kg to &lt; 14 kg)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14E71EB1"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019139B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0.508 (0.252)</w:t>
            </w:r>
          </w:p>
        </w:tc>
        <w:tc>
          <w:tcPr>
            <w:tcW w:w="1134" w:type="pct"/>
            <w:tcBorders>
              <w:top w:val="single" w:sz="4" w:space="0" w:color="000000"/>
              <w:left w:val="single" w:sz="4" w:space="0" w:color="000000"/>
              <w:bottom w:val="single" w:sz="4" w:space="0" w:color="000000"/>
              <w:right w:val="single" w:sz="4" w:space="0" w:color="000000"/>
            </w:tcBorders>
            <w:vAlign w:val="center"/>
            <w:hideMark/>
          </w:tcPr>
          <w:p w14:paraId="3B5F7A38"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9.14 (4.20)</w:t>
            </w:r>
          </w:p>
        </w:tc>
      </w:tr>
      <w:tr w:rsidR="003A4ED8" w:rsidRPr="003A4ED8" w14:paraId="34FB3B50"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38FFC41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12 months to less than 24 months </w:t>
            </w:r>
          </w:p>
          <w:p w14:paraId="4713330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(7 kg to &lt; 14 kg) </w:t>
            </w:r>
          </w:p>
        </w:tc>
        <w:tc>
          <w:tcPr>
            <w:tcW w:w="1030" w:type="pct"/>
            <w:tcBorders>
              <w:top w:val="single" w:sz="4" w:space="0" w:color="000000"/>
              <w:left w:val="single" w:sz="4" w:space="0" w:color="000000"/>
              <w:bottom w:val="single" w:sz="4" w:space="0" w:color="000000"/>
              <w:right w:val="single" w:sz="4" w:space="0" w:color="000000"/>
            </w:tcBorders>
            <w:hideMark/>
          </w:tcPr>
          <w:p w14:paraId="469A3B2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hideMark/>
          </w:tcPr>
          <w:p w14:paraId="25DB7726"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0.440 (0.212)</w:t>
            </w:r>
          </w:p>
        </w:tc>
        <w:tc>
          <w:tcPr>
            <w:tcW w:w="1134" w:type="pct"/>
            <w:tcBorders>
              <w:top w:val="single" w:sz="4" w:space="0" w:color="000000"/>
              <w:left w:val="single" w:sz="4" w:space="0" w:color="000000"/>
              <w:bottom w:val="single" w:sz="4" w:space="0" w:color="000000"/>
              <w:right w:val="single" w:sz="4" w:space="0" w:color="000000"/>
            </w:tcBorders>
            <w:hideMark/>
          </w:tcPr>
          <w:p w14:paraId="6F76A094"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9.05 (3.05)</w:t>
            </w:r>
          </w:p>
        </w:tc>
      </w:tr>
      <w:tr w:rsidR="003A4ED8" w:rsidRPr="003A4ED8" w14:paraId="032CC4D2"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251F351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12 months to less than 24 months </w:t>
            </w:r>
          </w:p>
          <w:p w14:paraId="39459D8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3EBA52BD"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0D04E3B2"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0.451 (0.125)</w:t>
            </w:r>
          </w:p>
        </w:tc>
        <w:tc>
          <w:tcPr>
            <w:tcW w:w="1134" w:type="pct"/>
            <w:tcBorders>
              <w:top w:val="single" w:sz="4" w:space="0" w:color="000000"/>
              <w:left w:val="single" w:sz="4" w:space="0" w:color="000000"/>
              <w:bottom w:val="single" w:sz="4" w:space="0" w:color="000000"/>
              <w:right w:val="single" w:sz="4" w:space="0" w:color="000000"/>
            </w:tcBorders>
            <w:hideMark/>
          </w:tcPr>
          <w:p w14:paraId="0F9FDEA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9.60 (1.80)</w:t>
            </w:r>
          </w:p>
        </w:tc>
      </w:tr>
      <w:tr w:rsidR="003A4ED8" w:rsidRPr="003A4ED8" w14:paraId="597C56A4"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67876934"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2- to 5-year-olds (&lt; 14 kg) </w:t>
            </w:r>
          </w:p>
        </w:tc>
        <w:tc>
          <w:tcPr>
            <w:tcW w:w="1030" w:type="pct"/>
            <w:tcBorders>
              <w:top w:val="single" w:sz="4" w:space="0" w:color="000000"/>
              <w:left w:val="single" w:sz="4" w:space="0" w:color="000000"/>
              <w:bottom w:val="single" w:sz="4" w:space="0" w:color="000000"/>
              <w:right w:val="single" w:sz="4" w:space="0" w:color="000000"/>
            </w:tcBorders>
            <w:hideMark/>
          </w:tcPr>
          <w:p w14:paraId="50DBE39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hideMark/>
          </w:tcPr>
          <w:p w14:paraId="1EB6A6FE"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0.577 (0.317)</w:t>
            </w:r>
          </w:p>
        </w:tc>
        <w:tc>
          <w:tcPr>
            <w:tcW w:w="1134" w:type="pct"/>
            <w:tcBorders>
              <w:top w:val="single" w:sz="4" w:space="0" w:color="000000"/>
              <w:left w:val="single" w:sz="4" w:space="0" w:color="000000"/>
              <w:bottom w:val="single" w:sz="4" w:space="0" w:color="000000"/>
              <w:right w:val="single" w:sz="4" w:space="0" w:color="000000"/>
            </w:tcBorders>
            <w:hideMark/>
          </w:tcPr>
          <w:p w14:paraId="60312C46"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10.50 (4.26)</w:t>
            </w:r>
          </w:p>
        </w:tc>
      </w:tr>
      <w:tr w:rsidR="003A4ED8" w:rsidRPr="003A4ED8" w14:paraId="5A7B7AAC"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1214A9E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2- to 5-year-olds (≥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3DC77C21"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28F1DD1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0.629 (0.296)</w:t>
            </w:r>
          </w:p>
        </w:tc>
        <w:tc>
          <w:tcPr>
            <w:tcW w:w="1134" w:type="pct"/>
            <w:tcBorders>
              <w:top w:val="single" w:sz="4" w:space="0" w:color="000000"/>
              <w:left w:val="single" w:sz="4" w:space="0" w:color="000000"/>
              <w:bottom w:val="single" w:sz="4" w:space="0" w:color="000000"/>
              <w:right w:val="single" w:sz="4" w:space="0" w:color="000000"/>
            </w:tcBorders>
            <w:hideMark/>
          </w:tcPr>
          <w:p w14:paraId="61BAE8A2"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11.30 (3.82)</w:t>
            </w:r>
          </w:p>
        </w:tc>
      </w:tr>
      <w:tr w:rsidR="003A4ED8" w:rsidRPr="003A4ED8" w14:paraId="3BAA966A"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E1E00E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6- to 11-year-olds</w:t>
            </w:r>
            <w:r w:rsidRPr="003A4ED8">
              <w:rPr>
                <w:color w:val="000000"/>
                <w:kern w:val="2"/>
                <w:sz w:val="20"/>
                <w:vertAlign w:val="superscript"/>
                <w:lang w:val="en-GB" w:eastAsia="en-GB"/>
              </w:rPr>
              <w:t>§</w:t>
            </w:r>
            <w:r w:rsidRPr="003A4ED8">
              <w:rPr>
                <w:color w:val="000000"/>
                <w:kern w:val="2"/>
                <w:sz w:val="20"/>
                <w:lang w:val="en-GB" w:eastAsia="en-GB"/>
              </w:rPr>
              <w:t xml:space="preserve"> (≥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7016B29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31CEBFB9"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0.641 (0.329)</w:t>
            </w:r>
          </w:p>
        </w:tc>
        <w:tc>
          <w:tcPr>
            <w:tcW w:w="1134" w:type="pct"/>
            <w:tcBorders>
              <w:top w:val="single" w:sz="4" w:space="0" w:color="000000"/>
              <w:left w:val="single" w:sz="4" w:space="0" w:color="000000"/>
              <w:bottom w:val="single" w:sz="4" w:space="0" w:color="000000"/>
              <w:right w:val="single" w:sz="4" w:space="0" w:color="000000"/>
            </w:tcBorders>
            <w:hideMark/>
          </w:tcPr>
          <w:p w14:paraId="639DE6C2"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10.76 (4.47)</w:t>
            </w:r>
          </w:p>
        </w:tc>
      </w:tr>
      <w:tr w:rsidR="003A4ED8" w:rsidRPr="003A4ED8" w14:paraId="0DDF8FC8"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1A59369A"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6- to 11-year-olds</w:t>
            </w:r>
            <w:r w:rsidRPr="003A4ED8">
              <w:rPr>
                <w:color w:val="000000"/>
                <w:kern w:val="2"/>
                <w:sz w:val="20"/>
                <w:vertAlign w:val="superscript"/>
                <w:lang w:val="en-GB" w:eastAsia="en-GB"/>
              </w:rPr>
              <w:t>§</w:t>
            </w:r>
            <w:r w:rsidRPr="003A4ED8">
              <w:rPr>
                <w:color w:val="000000"/>
                <w:kern w:val="2"/>
                <w:sz w:val="20"/>
                <w:lang w:val="en-GB" w:eastAsia="en-GB"/>
              </w:rPr>
              <w:t xml:space="preserve"> (≥ 25 kg) </w:t>
            </w:r>
          </w:p>
        </w:tc>
        <w:tc>
          <w:tcPr>
            <w:tcW w:w="1030" w:type="pct"/>
            <w:tcBorders>
              <w:top w:val="single" w:sz="4" w:space="0" w:color="000000"/>
              <w:left w:val="single" w:sz="4" w:space="0" w:color="000000"/>
              <w:bottom w:val="single" w:sz="4" w:space="0" w:color="000000"/>
              <w:right w:val="single" w:sz="4" w:space="0" w:color="000000"/>
            </w:tcBorders>
            <w:hideMark/>
          </w:tcPr>
          <w:p w14:paraId="6B908078"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150 mg q12h</w:t>
            </w:r>
          </w:p>
        </w:tc>
        <w:tc>
          <w:tcPr>
            <w:tcW w:w="876" w:type="pct"/>
            <w:tcBorders>
              <w:top w:val="single" w:sz="4" w:space="0" w:color="000000"/>
              <w:left w:val="single" w:sz="4" w:space="0" w:color="000000"/>
              <w:bottom w:val="single" w:sz="4" w:space="0" w:color="000000"/>
              <w:right w:val="single" w:sz="4" w:space="0" w:color="000000"/>
            </w:tcBorders>
            <w:hideMark/>
          </w:tcPr>
          <w:p w14:paraId="219D6339"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0.958 (0.546)</w:t>
            </w:r>
          </w:p>
        </w:tc>
        <w:tc>
          <w:tcPr>
            <w:tcW w:w="1134" w:type="pct"/>
            <w:tcBorders>
              <w:top w:val="single" w:sz="4" w:space="0" w:color="000000"/>
              <w:left w:val="single" w:sz="4" w:space="0" w:color="000000"/>
              <w:bottom w:val="single" w:sz="4" w:space="0" w:color="000000"/>
              <w:right w:val="single" w:sz="4" w:space="0" w:color="000000"/>
            </w:tcBorders>
            <w:hideMark/>
          </w:tcPr>
          <w:p w14:paraId="2DF43D47"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15.30 (7.34)</w:t>
            </w:r>
          </w:p>
        </w:tc>
      </w:tr>
      <w:tr w:rsidR="003A4ED8" w:rsidRPr="003A4ED8" w14:paraId="16115A64"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549BADF8"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12- to 17-year-olds </w:t>
            </w:r>
          </w:p>
        </w:tc>
        <w:tc>
          <w:tcPr>
            <w:tcW w:w="1030" w:type="pct"/>
            <w:tcBorders>
              <w:top w:val="single" w:sz="4" w:space="0" w:color="000000"/>
              <w:left w:val="single" w:sz="4" w:space="0" w:color="000000"/>
              <w:bottom w:val="single" w:sz="4" w:space="0" w:color="000000"/>
              <w:right w:val="single" w:sz="4" w:space="0" w:color="000000"/>
            </w:tcBorders>
            <w:hideMark/>
          </w:tcPr>
          <w:p w14:paraId="736DD36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150 mg q12h</w:t>
            </w:r>
          </w:p>
        </w:tc>
        <w:tc>
          <w:tcPr>
            <w:tcW w:w="876" w:type="pct"/>
            <w:tcBorders>
              <w:top w:val="single" w:sz="4" w:space="0" w:color="000000"/>
              <w:left w:val="single" w:sz="4" w:space="0" w:color="000000"/>
              <w:bottom w:val="single" w:sz="4" w:space="0" w:color="000000"/>
              <w:right w:val="single" w:sz="4" w:space="0" w:color="000000"/>
            </w:tcBorders>
            <w:hideMark/>
          </w:tcPr>
          <w:p w14:paraId="57547EEB"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0.564 (0.242)</w:t>
            </w:r>
          </w:p>
        </w:tc>
        <w:tc>
          <w:tcPr>
            <w:tcW w:w="1134" w:type="pct"/>
            <w:tcBorders>
              <w:top w:val="single" w:sz="4" w:space="0" w:color="000000"/>
              <w:left w:val="single" w:sz="4" w:space="0" w:color="000000"/>
              <w:bottom w:val="single" w:sz="4" w:space="0" w:color="000000"/>
              <w:right w:val="single" w:sz="4" w:space="0" w:color="000000"/>
            </w:tcBorders>
            <w:hideMark/>
          </w:tcPr>
          <w:p w14:paraId="5F95EF7C"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9.24 (3.42)</w:t>
            </w:r>
          </w:p>
        </w:tc>
      </w:tr>
      <w:tr w:rsidR="003A4ED8" w:rsidRPr="003A4ED8" w14:paraId="5DA21E90"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32C568D9"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Adults (≥ 18 years old)  </w:t>
            </w:r>
          </w:p>
        </w:tc>
        <w:tc>
          <w:tcPr>
            <w:tcW w:w="1030" w:type="pct"/>
            <w:tcBorders>
              <w:top w:val="single" w:sz="4" w:space="0" w:color="000000"/>
              <w:left w:val="single" w:sz="4" w:space="0" w:color="000000"/>
              <w:bottom w:val="single" w:sz="4" w:space="0" w:color="000000"/>
              <w:right w:val="single" w:sz="4" w:space="0" w:color="000000"/>
            </w:tcBorders>
            <w:hideMark/>
          </w:tcPr>
          <w:p w14:paraId="5A54215A"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150 mg q12h </w:t>
            </w:r>
          </w:p>
        </w:tc>
        <w:tc>
          <w:tcPr>
            <w:tcW w:w="876" w:type="pct"/>
            <w:tcBorders>
              <w:top w:val="single" w:sz="4" w:space="0" w:color="000000"/>
              <w:left w:val="single" w:sz="4" w:space="0" w:color="000000"/>
              <w:bottom w:val="single" w:sz="4" w:space="0" w:color="000000"/>
              <w:right w:val="single" w:sz="4" w:space="0" w:color="000000"/>
            </w:tcBorders>
            <w:hideMark/>
          </w:tcPr>
          <w:p w14:paraId="68904F56"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0.701 (0.317) </w:t>
            </w:r>
          </w:p>
        </w:tc>
        <w:tc>
          <w:tcPr>
            <w:tcW w:w="1134" w:type="pct"/>
            <w:tcBorders>
              <w:top w:val="single" w:sz="4" w:space="0" w:color="000000"/>
              <w:left w:val="single" w:sz="4" w:space="0" w:color="000000"/>
              <w:bottom w:val="single" w:sz="4" w:space="0" w:color="000000"/>
              <w:right w:val="single" w:sz="4" w:space="0" w:color="000000"/>
            </w:tcBorders>
            <w:hideMark/>
          </w:tcPr>
          <w:p w14:paraId="034087B0"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10.70 (4.10) </w:t>
            </w:r>
          </w:p>
        </w:tc>
      </w:tr>
    </w:tbl>
    <w:p w14:paraId="2F7B59ED"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lang w:val="en-GB" w:eastAsia="en-GB"/>
        </w:rPr>
        <w:t xml:space="preserve"> </w:t>
      </w:r>
      <w:r w:rsidRPr="003A4ED8">
        <w:rPr>
          <w:color w:val="000000"/>
          <w:kern w:val="2"/>
          <w:sz w:val="20"/>
          <w:szCs w:val="24"/>
          <w:lang w:val="en-GB" w:eastAsia="en-GB"/>
        </w:rPr>
        <w:tab/>
        <w:t xml:space="preserve">Patients 1 month to less than 6 months of age were ≥37 weeks gestational age. </w:t>
      </w:r>
    </w:p>
    <w:p w14:paraId="2A359AE3"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vertAlign w:val="superscript"/>
          <w:lang w:val="en-GB" w:eastAsia="en-GB"/>
        </w:rPr>
        <w:t xml:space="preserve"> </w:t>
      </w:r>
      <w:r w:rsidRPr="003A4ED8">
        <w:rPr>
          <w:color w:val="000000"/>
          <w:kern w:val="2"/>
          <w:sz w:val="20"/>
          <w:szCs w:val="24"/>
          <w:lang w:val="en-GB" w:eastAsia="en-GB"/>
        </w:rPr>
        <w:tab/>
        <w:t xml:space="preserve">Exposures for 1 month to less than 4 months of age are predictions based on simulations from the physiologically based PK model incorporating data from the given age group.  </w:t>
      </w:r>
    </w:p>
    <w:p w14:paraId="6583BC5F"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lang w:val="en-GB" w:eastAsia="en-GB"/>
        </w:rPr>
        <w:t xml:space="preserve"> </w:t>
      </w:r>
      <w:r w:rsidRPr="003A4ED8">
        <w:rPr>
          <w:color w:val="000000"/>
          <w:kern w:val="2"/>
          <w:sz w:val="20"/>
          <w:szCs w:val="24"/>
          <w:lang w:val="en-GB" w:eastAsia="en-GB"/>
        </w:rPr>
        <w:tab/>
        <w:t xml:space="preserve">Values based on data from a single patient; standard deviation not reported. </w:t>
      </w:r>
    </w:p>
    <w:p w14:paraId="09DE7469"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lastRenderedPageBreak/>
        <w:t xml:space="preserve">§ </w:t>
      </w:r>
      <w:r w:rsidRPr="003A4ED8">
        <w:rPr>
          <w:color w:val="000000"/>
          <w:kern w:val="2"/>
          <w:sz w:val="20"/>
          <w:szCs w:val="24"/>
          <w:lang w:val="en-GB" w:eastAsia="en-GB"/>
        </w:rPr>
        <w:tab/>
        <w:t xml:space="preserve">Exposures in 6- to 11-year-olds are predictions based on simulations from the population PK model using data obtained for this age group. </w:t>
      </w:r>
    </w:p>
    <w:p w14:paraId="638F7D84" w14:textId="77777777" w:rsidR="003A4ED8" w:rsidRPr="00303008" w:rsidRDefault="003A4ED8" w:rsidP="000B039D">
      <w:pPr>
        <w:tabs>
          <w:tab w:val="left" w:pos="851"/>
        </w:tabs>
        <w:ind w:left="851"/>
        <w:rPr>
          <w:sz w:val="24"/>
          <w:szCs w:val="24"/>
          <w:lang w:val="en-GB"/>
        </w:rPr>
      </w:pPr>
    </w:p>
    <w:p w14:paraId="62604347" w14:textId="77777777" w:rsidR="007C5D2A" w:rsidRPr="00303008" w:rsidRDefault="00180A12" w:rsidP="000B039D">
      <w:pPr>
        <w:tabs>
          <w:tab w:val="left" w:pos="851"/>
        </w:tabs>
        <w:ind w:left="851" w:hanging="851"/>
        <w:rPr>
          <w:b/>
          <w:sz w:val="24"/>
          <w:szCs w:val="24"/>
          <w:lang w:val="en-GB"/>
        </w:rPr>
      </w:pPr>
      <w:r w:rsidRPr="00303008">
        <w:rPr>
          <w:b/>
          <w:sz w:val="24"/>
          <w:szCs w:val="24"/>
          <w:lang w:val="en-GB"/>
        </w:rPr>
        <w:t>5.3</w:t>
      </w:r>
      <w:r w:rsidRPr="00303008">
        <w:rPr>
          <w:b/>
          <w:sz w:val="24"/>
          <w:szCs w:val="24"/>
          <w:lang w:val="en-GB"/>
        </w:rPr>
        <w:tab/>
        <w:t>Preclinical safety data</w:t>
      </w:r>
    </w:p>
    <w:p w14:paraId="2CE91E78"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Non-clinical data reveal no special hazard for humans based on conventional studies of safety pharmacology, repeated dose toxicity, genotoxicity, and carcinogenic potential. </w:t>
      </w:r>
    </w:p>
    <w:p w14:paraId="06429B84"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454DA17"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Pregnancy and fertility</w:t>
      </w:r>
      <w:r w:rsidRPr="003A4ED8">
        <w:rPr>
          <w:sz w:val="24"/>
          <w:szCs w:val="24"/>
          <w:lang w:val="en-GB"/>
        </w:rPr>
        <w:t xml:space="preserve"> </w:t>
      </w:r>
    </w:p>
    <w:p w14:paraId="1BF29A21" w14:textId="7568657E" w:rsidR="003A4ED8" w:rsidRPr="003A4ED8" w:rsidRDefault="003A4ED8" w:rsidP="000B039D">
      <w:pPr>
        <w:tabs>
          <w:tab w:val="left" w:pos="851"/>
        </w:tabs>
        <w:ind w:left="851"/>
        <w:rPr>
          <w:sz w:val="24"/>
          <w:szCs w:val="24"/>
          <w:lang w:val="en-GB"/>
        </w:rPr>
      </w:pPr>
      <w:r w:rsidRPr="003A4ED8">
        <w:rPr>
          <w:sz w:val="24"/>
          <w:szCs w:val="24"/>
          <w:lang w:val="en-GB"/>
        </w:rPr>
        <w:t xml:space="preserve">Ivacaftor was associated with slight decreases of the seminal vesicle weights, a decrease of overall fertility index and number of pregnancies in females mated with treated males and significant reductions in number of corpora lutea and implantation sites with subsequent reductions in the average litter size and average number of viable embryos per litter in treated females. The No-Observed-Adverse-Effect-Level (NOAEL) for fertility findings provides an exposure level of approximately 4 times the systemic exposure of ivacaftor and its metabolites when administered as ivacaftor monotherapy in adult humans at the maximum recommended human dose (MRHD). Placental transfer of ivacaftor was observed in pregnant rats and rabbits. </w:t>
      </w:r>
    </w:p>
    <w:p w14:paraId="450FA89F" w14:textId="49B499C9" w:rsidR="003A4ED8" w:rsidRDefault="003A4ED8" w:rsidP="000B039D">
      <w:pPr>
        <w:tabs>
          <w:tab w:val="left" w:pos="851"/>
        </w:tabs>
        <w:ind w:left="851"/>
        <w:rPr>
          <w:sz w:val="24"/>
          <w:szCs w:val="24"/>
          <w:lang w:val="en-GB"/>
        </w:rPr>
      </w:pPr>
      <w:r w:rsidRPr="003A4ED8">
        <w:rPr>
          <w:sz w:val="24"/>
          <w:szCs w:val="24"/>
          <w:lang w:val="en-GB"/>
        </w:rPr>
        <w:t xml:space="preserve"> </w:t>
      </w:r>
    </w:p>
    <w:p w14:paraId="04C4C44A"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Peri- and post-natal development</w:t>
      </w:r>
      <w:r w:rsidRPr="003A4ED8">
        <w:rPr>
          <w:sz w:val="24"/>
          <w:szCs w:val="24"/>
          <w:lang w:val="en-GB"/>
        </w:rPr>
        <w:t xml:space="preserve"> </w:t>
      </w:r>
    </w:p>
    <w:p w14:paraId="3C28E75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Ivacaftor decreased survival and lactation indices and caused a reduction in pup body weights. The NOAEL for viability and growth in the offspring provides an exposure level of approximately 3 times the systemic exposure of ivacaftor and its metabolites when administered as ivacaftor monotherapy in adult humans at the MRHD.  </w:t>
      </w:r>
    </w:p>
    <w:p w14:paraId="08407F5B"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D626BC0"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Juvenile animal studies</w:t>
      </w:r>
      <w:r w:rsidRPr="003A4ED8">
        <w:rPr>
          <w:sz w:val="24"/>
          <w:szCs w:val="24"/>
          <w:lang w:val="en-GB"/>
        </w:rPr>
        <w:t xml:space="preserve"> </w:t>
      </w:r>
    </w:p>
    <w:p w14:paraId="437B028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Findings of cataracts were observed in juvenile rats dosed from postnatal day 7 through 35 at ivacaftor exposure levels of 0.22 times the MRHD based on systemic exposure of ivacaftor and its metabolites when administered as ivacaftor monotherapy. This finding has not been observed in foetuses derived from rat dams treated with ivacaftor on gestation days 7 to 17, in rat pups exposed to ivacaftor through milk ingestion up to postnatal day 20, in 7-week old rats, nor in 3.5 to 5-month old dogs treated with ivacaftor. The potential relevance of these findings in humans is unknown. </w:t>
      </w:r>
    </w:p>
    <w:p w14:paraId="3DB6E076" w14:textId="77777777" w:rsidR="007C5D2A" w:rsidRPr="00303008" w:rsidRDefault="007C5D2A" w:rsidP="000B039D">
      <w:pPr>
        <w:tabs>
          <w:tab w:val="left" w:pos="851"/>
        </w:tabs>
        <w:ind w:left="851"/>
        <w:rPr>
          <w:sz w:val="24"/>
          <w:szCs w:val="24"/>
          <w:lang w:val="en-GB"/>
        </w:rPr>
      </w:pPr>
    </w:p>
    <w:p w14:paraId="2BCDDC58" w14:textId="77777777" w:rsidR="007C5D2A" w:rsidRPr="00303008" w:rsidRDefault="007C5D2A" w:rsidP="000B039D">
      <w:pPr>
        <w:tabs>
          <w:tab w:val="left" w:pos="851"/>
        </w:tabs>
        <w:ind w:left="851"/>
        <w:rPr>
          <w:sz w:val="24"/>
          <w:szCs w:val="24"/>
          <w:lang w:val="en-GB"/>
        </w:rPr>
      </w:pPr>
    </w:p>
    <w:p w14:paraId="138AEEC4" w14:textId="77777777" w:rsidR="007C5D2A" w:rsidRPr="00303008" w:rsidRDefault="009925C9" w:rsidP="000B039D">
      <w:pPr>
        <w:ind w:left="851" w:hanging="851"/>
        <w:rPr>
          <w:b/>
          <w:sz w:val="24"/>
          <w:szCs w:val="24"/>
          <w:lang w:val="en-GB"/>
        </w:rPr>
      </w:pPr>
      <w:r w:rsidRPr="00303008">
        <w:rPr>
          <w:b/>
          <w:sz w:val="24"/>
          <w:szCs w:val="24"/>
          <w:lang w:val="en-GB"/>
        </w:rPr>
        <w:t>6.</w:t>
      </w:r>
      <w:r w:rsidR="007C5D2A" w:rsidRPr="00303008">
        <w:rPr>
          <w:b/>
          <w:sz w:val="24"/>
          <w:szCs w:val="24"/>
          <w:lang w:val="en-GB"/>
        </w:rPr>
        <w:tab/>
        <w:t>PHARMACEUTICAL PARTICULARS</w:t>
      </w:r>
    </w:p>
    <w:p w14:paraId="53F6A407" w14:textId="77777777" w:rsidR="007C5D2A" w:rsidRPr="00303008" w:rsidRDefault="007C5D2A" w:rsidP="000B039D">
      <w:pPr>
        <w:tabs>
          <w:tab w:val="left" w:pos="851"/>
        </w:tabs>
        <w:ind w:left="851"/>
        <w:rPr>
          <w:sz w:val="24"/>
          <w:szCs w:val="24"/>
          <w:lang w:val="en-GB"/>
        </w:rPr>
      </w:pPr>
    </w:p>
    <w:p w14:paraId="37FF7DAE" w14:textId="77777777" w:rsidR="007C5D2A" w:rsidRPr="00303008" w:rsidRDefault="007C5D2A" w:rsidP="000B039D">
      <w:pPr>
        <w:ind w:left="851" w:hanging="851"/>
        <w:rPr>
          <w:b/>
          <w:sz w:val="24"/>
          <w:szCs w:val="24"/>
          <w:lang w:val="en-GB"/>
        </w:rPr>
      </w:pPr>
      <w:r w:rsidRPr="00303008">
        <w:rPr>
          <w:b/>
          <w:sz w:val="24"/>
          <w:szCs w:val="24"/>
          <w:lang w:val="en-GB"/>
        </w:rPr>
        <w:t>6.1</w:t>
      </w:r>
      <w:r w:rsidRPr="00303008">
        <w:rPr>
          <w:b/>
          <w:sz w:val="24"/>
          <w:szCs w:val="24"/>
          <w:lang w:val="en-GB"/>
        </w:rPr>
        <w:tab/>
        <w:t>List of excipients</w:t>
      </w:r>
    </w:p>
    <w:p w14:paraId="49969CE2" w14:textId="77777777" w:rsidR="004D14A8" w:rsidRPr="004D14A8" w:rsidRDefault="004D14A8" w:rsidP="000B039D">
      <w:pPr>
        <w:tabs>
          <w:tab w:val="left" w:pos="851"/>
        </w:tabs>
        <w:ind w:left="851"/>
        <w:rPr>
          <w:sz w:val="24"/>
          <w:szCs w:val="24"/>
          <w:lang w:val="en-GB"/>
        </w:rPr>
      </w:pPr>
    </w:p>
    <w:p w14:paraId="320D709B" w14:textId="77777777" w:rsidR="004D14A8" w:rsidRPr="004D14A8" w:rsidRDefault="004D14A8" w:rsidP="000B039D">
      <w:pPr>
        <w:tabs>
          <w:tab w:val="left" w:pos="851"/>
        </w:tabs>
        <w:ind w:left="851"/>
        <w:rPr>
          <w:sz w:val="24"/>
          <w:szCs w:val="24"/>
          <w:lang w:val="en-GB"/>
        </w:rPr>
      </w:pPr>
      <w:r w:rsidRPr="004D14A8">
        <w:rPr>
          <w:sz w:val="24"/>
          <w:szCs w:val="24"/>
          <w:u w:val="single"/>
          <w:lang w:val="en-GB"/>
        </w:rPr>
        <w:t>Tablet core</w:t>
      </w:r>
      <w:r w:rsidRPr="004D14A8">
        <w:rPr>
          <w:sz w:val="24"/>
          <w:szCs w:val="24"/>
          <w:lang w:val="en-GB"/>
        </w:rPr>
        <w:t> </w:t>
      </w:r>
    </w:p>
    <w:p w14:paraId="48A5B05E" w14:textId="77777777" w:rsidR="004D14A8" w:rsidRPr="004D14A8" w:rsidRDefault="004D14A8" w:rsidP="000B039D">
      <w:pPr>
        <w:tabs>
          <w:tab w:val="left" w:pos="851"/>
        </w:tabs>
        <w:ind w:left="851"/>
        <w:rPr>
          <w:sz w:val="24"/>
          <w:szCs w:val="24"/>
          <w:lang w:val="en-GB"/>
        </w:rPr>
      </w:pPr>
      <w:r w:rsidRPr="004D14A8">
        <w:rPr>
          <w:sz w:val="24"/>
          <w:szCs w:val="24"/>
          <w:lang w:val="en-GB"/>
        </w:rPr>
        <w:t>Silica, colloidal anhydrous</w:t>
      </w:r>
    </w:p>
    <w:p w14:paraId="176BD99F" w14:textId="77777777" w:rsidR="004D14A8" w:rsidRPr="004D14A8" w:rsidRDefault="004D14A8" w:rsidP="000B039D">
      <w:pPr>
        <w:tabs>
          <w:tab w:val="left" w:pos="851"/>
        </w:tabs>
        <w:ind w:left="851"/>
        <w:rPr>
          <w:sz w:val="24"/>
          <w:szCs w:val="24"/>
          <w:lang w:val="it-IT"/>
        </w:rPr>
      </w:pPr>
      <w:r w:rsidRPr="004D14A8">
        <w:rPr>
          <w:sz w:val="24"/>
          <w:szCs w:val="24"/>
          <w:lang w:val="it-IT"/>
        </w:rPr>
        <w:t>Croscarmellose sodium   </w:t>
      </w:r>
    </w:p>
    <w:p w14:paraId="1F886994" w14:textId="77777777" w:rsidR="004D14A8" w:rsidRPr="004D14A8" w:rsidRDefault="004D14A8" w:rsidP="000B039D">
      <w:pPr>
        <w:tabs>
          <w:tab w:val="left" w:pos="851"/>
        </w:tabs>
        <w:ind w:left="851"/>
        <w:rPr>
          <w:sz w:val="24"/>
          <w:szCs w:val="24"/>
          <w:lang w:val="it-IT"/>
        </w:rPr>
      </w:pPr>
      <w:r w:rsidRPr="004D14A8">
        <w:rPr>
          <w:sz w:val="24"/>
          <w:szCs w:val="24"/>
          <w:lang w:val="it-IT"/>
        </w:rPr>
        <w:t>Crospovidone </w:t>
      </w:r>
    </w:p>
    <w:p w14:paraId="4F470AD0" w14:textId="77777777" w:rsidR="004D14A8" w:rsidRPr="004D14A8" w:rsidRDefault="004D14A8" w:rsidP="000B039D">
      <w:pPr>
        <w:tabs>
          <w:tab w:val="left" w:pos="851"/>
        </w:tabs>
        <w:ind w:left="851"/>
        <w:rPr>
          <w:sz w:val="24"/>
          <w:szCs w:val="24"/>
          <w:lang w:val="it-IT"/>
        </w:rPr>
      </w:pPr>
      <w:r w:rsidRPr="004D14A8">
        <w:rPr>
          <w:sz w:val="24"/>
          <w:szCs w:val="24"/>
          <w:lang w:val="it-IT"/>
        </w:rPr>
        <w:t>Hypromellose acetate succinate  </w:t>
      </w:r>
    </w:p>
    <w:p w14:paraId="7376A24E" w14:textId="77777777" w:rsidR="004D14A8" w:rsidRPr="004D14A8" w:rsidRDefault="004D14A8" w:rsidP="000B039D">
      <w:pPr>
        <w:tabs>
          <w:tab w:val="left" w:pos="851"/>
        </w:tabs>
        <w:ind w:left="851"/>
        <w:rPr>
          <w:sz w:val="24"/>
          <w:szCs w:val="24"/>
          <w:lang w:val="it-IT"/>
        </w:rPr>
      </w:pPr>
      <w:r w:rsidRPr="004D14A8">
        <w:rPr>
          <w:sz w:val="24"/>
          <w:szCs w:val="24"/>
          <w:lang w:val="it-IT"/>
        </w:rPr>
        <w:t>Lactose monohydrate  </w:t>
      </w:r>
    </w:p>
    <w:p w14:paraId="293D74E3" w14:textId="77777777" w:rsidR="004D14A8" w:rsidRPr="004D14A8" w:rsidRDefault="004D14A8" w:rsidP="000B039D">
      <w:pPr>
        <w:tabs>
          <w:tab w:val="left" w:pos="851"/>
        </w:tabs>
        <w:ind w:left="851"/>
        <w:rPr>
          <w:sz w:val="24"/>
          <w:szCs w:val="24"/>
          <w:lang w:val="it-IT"/>
        </w:rPr>
      </w:pPr>
      <w:r w:rsidRPr="004D14A8">
        <w:rPr>
          <w:sz w:val="24"/>
          <w:szCs w:val="24"/>
          <w:lang w:val="it-IT"/>
        </w:rPr>
        <w:t>Magnesium stearate   </w:t>
      </w:r>
    </w:p>
    <w:p w14:paraId="35B9E755" w14:textId="77777777" w:rsidR="004D14A8" w:rsidRPr="004D14A8" w:rsidRDefault="004D14A8" w:rsidP="000B039D">
      <w:pPr>
        <w:tabs>
          <w:tab w:val="left" w:pos="851"/>
        </w:tabs>
        <w:ind w:left="851"/>
        <w:rPr>
          <w:sz w:val="24"/>
          <w:szCs w:val="24"/>
          <w:lang w:val="it-IT"/>
        </w:rPr>
      </w:pPr>
      <w:r w:rsidRPr="004D14A8">
        <w:rPr>
          <w:sz w:val="24"/>
          <w:szCs w:val="24"/>
          <w:lang w:val="it-IT"/>
        </w:rPr>
        <w:t>Microcrystalline cellulose </w:t>
      </w:r>
    </w:p>
    <w:p w14:paraId="37EC6A91" w14:textId="77777777" w:rsidR="004D14A8" w:rsidRPr="004D14A8" w:rsidRDefault="004D14A8" w:rsidP="000B039D">
      <w:pPr>
        <w:tabs>
          <w:tab w:val="left" w:pos="851"/>
        </w:tabs>
        <w:ind w:left="851"/>
        <w:rPr>
          <w:sz w:val="24"/>
          <w:szCs w:val="24"/>
          <w:lang w:val="it-IT"/>
        </w:rPr>
      </w:pPr>
      <w:r w:rsidRPr="004D14A8">
        <w:rPr>
          <w:sz w:val="24"/>
          <w:szCs w:val="24"/>
          <w:lang w:val="it-IT"/>
        </w:rPr>
        <w:t>Sodium laurylsulphate </w:t>
      </w:r>
    </w:p>
    <w:p w14:paraId="03C1097B" w14:textId="77777777" w:rsidR="004D14A8" w:rsidRPr="004D14A8" w:rsidRDefault="004D14A8" w:rsidP="000B039D">
      <w:pPr>
        <w:tabs>
          <w:tab w:val="left" w:pos="851"/>
        </w:tabs>
        <w:ind w:left="851"/>
        <w:rPr>
          <w:sz w:val="24"/>
          <w:szCs w:val="24"/>
          <w:lang w:val="it-IT"/>
        </w:rPr>
      </w:pPr>
      <w:r w:rsidRPr="004D14A8">
        <w:rPr>
          <w:sz w:val="24"/>
          <w:szCs w:val="24"/>
          <w:lang w:val="it-IT"/>
        </w:rPr>
        <w:t> </w:t>
      </w:r>
    </w:p>
    <w:p w14:paraId="1F956E21" w14:textId="62AED454" w:rsidR="004D14A8" w:rsidRPr="004D14A8" w:rsidRDefault="004D14A8" w:rsidP="000B039D">
      <w:pPr>
        <w:tabs>
          <w:tab w:val="left" w:pos="851"/>
        </w:tabs>
        <w:ind w:left="851"/>
        <w:rPr>
          <w:sz w:val="24"/>
          <w:szCs w:val="24"/>
          <w:lang w:val="it-IT"/>
        </w:rPr>
      </w:pPr>
      <w:r w:rsidRPr="004D14A8">
        <w:rPr>
          <w:sz w:val="24"/>
          <w:szCs w:val="24"/>
          <w:u w:val="single"/>
          <w:lang w:val="it-IT"/>
        </w:rPr>
        <w:t>Tablet film</w:t>
      </w:r>
      <w:r>
        <w:rPr>
          <w:sz w:val="24"/>
          <w:szCs w:val="24"/>
          <w:u w:val="single"/>
          <w:lang w:val="it-IT"/>
        </w:rPr>
        <w:t>-</w:t>
      </w:r>
      <w:r w:rsidRPr="004D14A8">
        <w:rPr>
          <w:sz w:val="24"/>
          <w:szCs w:val="24"/>
          <w:u w:val="single"/>
          <w:lang w:val="it-IT"/>
        </w:rPr>
        <w:t>coat</w:t>
      </w:r>
      <w:r w:rsidRPr="004D14A8">
        <w:rPr>
          <w:sz w:val="24"/>
          <w:szCs w:val="24"/>
          <w:lang w:val="it-IT"/>
        </w:rPr>
        <w:t> </w:t>
      </w:r>
    </w:p>
    <w:p w14:paraId="42AEB58A" w14:textId="77777777" w:rsidR="004D14A8" w:rsidRPr="004D14A8" w:rsidRDefault="004D14A8" w:rsidP="000B039D">
      <w:pPr>
        <w:tabs>
          <w:tab w:val="left" w:pos="851"/>
        </w:tabs>
        <w:ind w:left="851"/>
        <w:rPr>
          <w:sz w:val="24"/>
          <w:szCs w:val="24"/>
          <w:lang w:val="it-IT"/>
        </w:rPr>
      </w:pPr>
      <w:r w:rsidRPr="004D14A8">
        <w:rPr>
          <w:sz w:val="24"/>
          <w:szCs w:val="24"/>
          <w:lang w:val="it-IT"/>
        </w:rPr>
        <w:t>Poly(vinyl alcohol) part. hydrolyzed</w:t>
      </w:r>
    </w:p>
    <w:p w14:paraId="437748E6" w14:textId="1E35915E" w:rsidR="004D14A8" w:rsidRPr="004D14A8" w:rsidRDefault="004D14A8" w:rsidP="000B039D">
      <w:pPr>
        <w:tabs>
          <w:tab w:val="left" w:pos="851"/>
        </w:tabs>
        <w:ind w:left="851"/>
        <w:rPr>
          <w:sz w:val="24"/>
          <w:szCs w:val="24"/>
          <w:lang w:val="it-IT"/>
        </w:rPr>
      </w:pPr>
      <w:r w:rsidRPr="004D14A8">
        <w:rPr>
          <w:sz w:val="24"/>
          <w:szCs w:val="24"/>
          <w:lang w:val="it-IT"/>
        </w:rPr>
        <w:t>Titanium dioxide (E171)</w:t>
      </w:r>
    </w:p>
    <w:p w14:paraId="52346A42" w14:textId="77777777" w:rsidR="004D14A8" w:rsidRPr="004D14A8" w:rsidRDefault="004D14A8" w:rsidP="000B039D">
      <w:pPr>
        <w:tabs>
          <w:tab w:val="left" w:pos="851"/>
        </w:tabs>
        <w:ind w:left="851"/>
        <w:rPr>
          <w:sz w:val="24"/>
          <w:szCs w:val="24"/>
          <w:lang w:val="it-IT"/>
        </w:rPr>
      </w:pPr>
      <w:r w:rsidRPr="004D14A8">
        <w:rPr>
          <w:sz w:val="24"/>
          <w:szCs w:val="24"/>
          <w:lang w:val="it-IT"/>
        </w:rPr>
        <w:lastRenderedPageBreak/>
        <w:t>Macrogol (PEG 3350, 4000) </w:t>
      </w:r>
    </w:p>
    <w:p w14:paraId="3FDD437D" w14:textId="77777777" w:rsidR="004D14A8" w:rsidRPr="004D14A8" w:rsidRDefault="004D14A8" w:rsidP="000B039D">
      <w:pPr>
        <w:tabs>
          <w:tab w:val="left" w:pos="851"/>
        </w:tabs>
        <w:ind w:left="851"/>
        <w:rPr>
          <w:sz w:val="24"/>
          <w:szCs w:val="24"/>
          <w:lang w:val="it-IT"/>
        </w:rPr>
      </w:pPr>
      <w:r w:rsidRPr="004D14A8">
        <w:rPr>
          <w:sz w:val="24"/>
          <w:szCs w:val="24"/>
          <w:lang w:val="it-IT"/>
        </w:rPr>
        <w:t>Talc </w:t>
      </w:r>
    </w:p>
    <w:p w14:paraId="2672E043" w14:textId="5F1D4E85" w:rsidR="004D14A8" w:rsidRPr="004D14A8" w:rsidRDefault="004D14A8" w:rsidP="000B039D">
      <w:pPr>
        <w:tabs>
          <w:tab w:val="left" w:pos="851"/>
        </w:tabs>
        <w:ind w:left="851"/>
        <w:rPr>
          <w:sz w:val="24"/>
          <w:szCs w:val="24"/>
          <w:lang w:val="en-GB"/>
        </w:rPr>
      </w:pPr>
      <w:r w:rsidRPr="004D14A8">
        <w:rPr>
          <w:sz w:val="24"/>
          <w:szCs w:val="24"/>
          <w:lang w:val="en-GB"/>
        </w:rPr>
        <w:t>Indigo carmine aluminium lake (E132) (</w:t>
      </w:r>
      <w:r w:rsidR="00CA3C12">
        <w:rPr>
          <w:sz w:val="24"/>
          <w:szCs w:val="24"/>
          <w:lang w:val="en-GB"/>
        </w:rPr>
        <w:t>Ivacaftor "Hormosan Pharma GmbH"</w:t>
      </w:r>
      <w:r w:rsidRPr="004D14A8">
        <w:rPr>
          <w:sz w:val="24"/>
          <w:szCs w:val="24"/>
          <w:lang w:val="en-GB"/>
        </w:rPr>
        <w:t>150 mg film-coated tablets)</w:t>
      </w:r>
    </w:p>
    <w:p w14:paraId="2012399E" w14:textId="5B17BE97" w:rsidR="004D14A8" w:rsidRPr="004D14A8" w:rsidRDefault="004D14A8" w:rsidP="000B039D">
      <w:pPr>
        <w:tabs>
          <w:tab w:val="left" w:pos="851"/>
        </w:tabs>
        <w:ind w:left="851"/>
        <w:rPr>
          <w:sz w:val="24"/>
          <w:szCs w:val="24"/>
          <w:lang w:val="en-GB"/>
        </w:rPr>
      </w:pPr>
      <w:r w:rsidRPr="004D14A8">
        <w:rPr>
          <w:sz w:val="24"/>
          <w:szCs w:val="24"/>
          <w:lang w:val="en-GB"/>
        </w:rPr>
        <w:t>Carnauba wax (</w:t>
      </w:r>
      <w:r w:rsidR="00CA3C12">
        <w:rPr>
          <w:sz w:val="24"/>
          <w:szCs w:val="24"/>
          <w:lang w:val="en-GB"/>
        </w:rPr>
        <w:t>Ivacaftor "Hormosan Pharma GmbH"</w:t>
      </w:r>
      <w:r w:rsidRPr="004D14A8">
        <w:rPr>
          <w:sz w:val="24"/>
          <w:szCs w:val="24"/>
          <w:lang w:val="en-GB"/>
        </w:rPr>
        <w:t>150 mg film-coated tablets)</w:t>
      </w:r>
    </w:p>
    <w:p w14:paraId="17FE3103" w14:textId="77777777" w:rsidR="007C5D2A" w:rsidRPr="00303008" w:rsidRDefault="007C5D2A" w:rsidP="000B039D">
      <w:pPr>
        <w:tabs>
          <w:tab w:val="left" w:pos="851"/>
        </w:tabs>
        <w:ind w:left="851"/>
        <w:rPr>
          <w:sz w:val="24"/>
          <w:szCs w:val="24"/>
          <w:lang w:val="en-GB"/>
        </w:rPr>
      </w:pPr>
    </w:p>
    <w:p w14:paraId="0DAAF870" w14:textId="77777777" w:rsidR="007C5D2A" w:rsidRPr="00303008" w:rsidRDefault="007C5D2A" w:rsidP="000B039D">
      <w:pPr>
        <w:ind w:left="851" w:hanging="851"/>
        <w:rPr>
          <w:b/>
          <w:sz w:val="24"/>
          <w:szCs w:val="24"/>
          <w:lang w:val="en-GB"/>
        </w:rPr>
      </w:pPr>
      <w:r w:rsidRPr="00303008">
        <w:rPr>
          <w:b/>
          <w:sz w:val="24"/>
          <w:szCs w:val="24"/>
          <w:lang w:val="en-GB"/>
        </w:rPr>
        <w:t>6.2</w:t>
      </w:r>
      <w:r w:rsidRPr="00303008">
        <w:rPr>
          <w:b/>
          <w:sz w:val="24"/>
          <w:szCs w:val="24"/>
          <w:lang w:val="en-GB"/>
        </w:rPr>
        <w:tab/>
        <w:t>Incompatibilities</w:t>
      </w:r>
    </w:p>
    <w:p w14:paraId="38A63581"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Not applicable. </w:t>
      </w:r>
    </w:p>
    <w:p w14:paraId="54EFB99D" w14:textId="77777777" w:rsidR="007C5D2A" w:rsidRPr="00303008" w:rsidRDefault="007C5D2A" w:rsidP="000B039D">
      <w:pPr>
        <w:tabs>
          <w:tab w:val="left" w:pos="851"/>
        </w:tabs>
        <w:ind w:left="851"/>
        <w:rPr>
          <w:sz w:val="24"/>
          <w:szCs w:val="24"/>
          <w:lang w:val="en-GB"/>
        </w:rPr>
      </w:pPr>
    </w:p>
    <w:p w14:paraId="0BB0A2C4" w14:textId="77777777" w:rsidR="007C5D2A" w:rsidRPr="00303008" w:rsidRDefault="007C5D2A" w:rsidP="000B039D">
      <w:pPr>
        <w:ind w:left="851" w:hanging="851"/>
        <w:rPr>
          <w:b/>
          <w:sz w:val="24"/>
          <w:szCs w:val="24"/>
          <w:lang w:val="en-GB"/>
        </w:rPr>
      </w:pPr>
      <w:r w:rsidRPr="00303008">
        <w:rPr>
          <w:b/>
          <w:sz w:val="24"/>
          <w:szCs w:val="24"/>
          <w:lang w:val="en-GB"/>
        </w:rPr>
        <w:t>6.3</w:t>
      </w:r>
      <w:r w:rsidRPr="00303008">
        <w:rPr>
          <w:b/>
          <w:sz w:val="24"/>
          <w:szCs w:val="24"/>
          <w:lang w:val="en-GB"/>
        </w:rPr>
        <w:tab/>
        <w:t>Shelf</w:t>
      </w:r>
      <w:r w:rsidR="00B45DC5">
        <w:rPr>
          <w:b/>
          <w:sz w:val="24"/>
          <w:szCs w:val="24"/>
          <w:lang w:val="en-GB"/>
        </w:rPr>
        <w:t xml:space="preserve"> </w:t>
      </w:r>
      <w:r w:rsidRPr="00303008">
        <w:rPr>
          <w:b/>
          <w:sz w:val="24"/>
          <w:szCs w:val="24"/>
          <w:lang w:val="en-GB"/>
        </w:rPr>
        <w:t>life</w:t>
      </w:r>
    </w:p>
    <w:p w14:paraId="3D1A0A35"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2 years. </w:t>
      </w:r>
    </w:p>
    <w:p w14:paraId="2B8FBEF2" w14:textId="77777777" w:rsidR="007C5D2A" w:rsidRPr="00303008" w:rsidRDefault="007C5D2A" w:rsidP="000B039D">
      <w:pPr>
        <w:tabs>
          <w:tab w:val="left" w:pos="851"/>
        </w:tabs>
        <w:ind w:left="851"/>
        <w:rPr>
          <w:sz w:val="24"/>
          <w:szCs w:val="24"/>
          <w:lang w:val="en-GB"/>
        </w:rPr>
      </w:pPr>
    </w:p>
    <w:p w14:paraId="449D0BDA" w14:textId="77777777" w:rsidR="007C5D2A" w:rsidRPr="00303008" w:rsidRDefault="007C5D2A" w:rsidP="000B039D">
      <w:pPr>
        <w:ind w:left="851" w:hanging="851"/>
        <w:rPr>
          <w:b/>
          <w:sz w:val="24"/>
          <w:szCs w:val="24"/>
          <w:lang w:val="en-GB"/>
        </w:rPr>
      </w:pPr>
      <w:r w:rsidRPr="00303008">
        <w:rPr>
          <w:b/>
          <w:sz w:val="24"/>
          <w:szCs w:val="24"/>
          <w:lang w:val="en-GB"/>
        </w:rPr>
        <w:t>6.4</w:t>
      </w:r>
      <w:r w:rsidRPr="00303008">
        <w:rPr>
          <w:b/>
          <w:sz w:val="24"/>
          <w:szCs w:val="24"/>
          <w:lang w:val="en-GB"/>
        </w:rPr>
        <w:tab/>
        <w:t>Special precautions for storage</w:t>
      </w:r>
    </w:p>
    <w:p w14:paraId="6A882C78"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This medicinal product does not require any special storage conditions. </w:t>
      </w:r>
    </w:p>
    <w:p w14:paraId="71BC751F" w14:textId="77777777" w:rsidR="007C5D2A" w:rsidRPr="00303008" w:rsidRDefault="007C5D2A" w:rsidP="000B039D">
      <w:pPr>
        <w:tabs>
          <w:tab w:val="left" w:pos="851"/>
        </w:tabs>
        <w:ind w:left="851"/>
        <w:rPr>
          <w:sz w:val="24"/>
          <w:szCs w:val="24"/>
          <w:lang w:val="en-GB"/>
        </w:rPr>
      </w:pPr>
    </w:p>
    <w:p w14:paraId="5928C5B0" w14:textId="77777777" w:rsidR="007C5D2A" w:rsidRPr="00303008" w:rsidRDefault="007C5D2A" w:rsidP="000B039D">
      <w:pPr>
        <w:ind w:left="851" w:hanging="851"/>
        <w:rPr>
          <w:b/>
          <w:sz w:val="24"/>
          <w:szCs w:val="24"/>
          <w:lang w:val="en-GB"/>
        </w:rPr>
      </w:pPr>
      <w:r w:rsidRPr="00303008">
        <w:rPr>
          <w:b/>
          <w:sz w:val="24"/>
          <w:szCs w:val="24"/>
          <w:lang w:val="en-GB"/>
        </w:rPr>
        <w:t>6.5</w:t>
      </w:r>
      <w:r w:rsidRPr="00303008">
        <w:rPr>
          <w:b/>
          <w:sz w:val="24"/>
          <w:szCs w:val="24"/>
          <w:lang w:val="en-GB"/>
        </w:rPr>
        <w:tab/>
        <w:t>Nature and contents of container</w:t>
      </w:r>
    </w:p>
    <w:p w14:paraId="4ADC830C" w14:textId="0968DFD6" w:rsidR="004D14A8" w:rsidRDefault="004D14A8" w:rsidP="000B039D">
      <w:pPr>
        <w:tabs>
          <w:tab w:val="left" w:pos="851"/>
        </w:tabs>
        <w:ind w:left="851"/>
        <w:rPr>
          <w:sz w:val="24"/>
          <w:szCs w:val="24"/>
          <w:lang w:val="en-GB"/>
        </w:rPr>
      </w:pPr>
      <w:r>
        <w:rPr>
          <w:sz w:val="24"/>
          <w:szCs w:val="24"/>
          <w:lang w:val="en-GB"/>
        </w:rPr>
        <w:t>C</w:t>
      </w:r>
      <w:r w:rsidRPr="004D14A8">
        <w:rPr>
          <w:sz w:val="24"/>
          <w:szCs w:val="24"/>
          <w:lang w:val="en-GB"/>
        </w:rPr>
        <w:t>lear PVC/Aclar/Al blisters containing blister foil of 14 tablets</w:t>
      </w:r>
      <w:r>
        <w:rPr>
          <w:sz w:val="24"/>
          <w:szCs w:val="24"/>
          <w:lang w:val="en-GB"/>
        </w:rPr>
        <w:t>.</w:t>
      </w:r>
    </w:p>
    <w:p w14:paraId="6EEA07EB" w14:textId="77777777" w:rsidR="004D14A8" w:rsidRDefault="004D14A8" w:rsidP="000B039D">
      <w:pPr>
        <w:tabs>
          <w:tab w:val="left" w:pos="851"/>
        </w:tabs>
        <w:ind w:left="851"/>
        <w:rPr>
          <w:sz w:val="24"/>
          <w:szCs w:val="24"/>
          <w:lang w:val="en-GB"/>
        </w:rPr>
      </w:pPr>
    </w:p>
    <w:p w14:paraId="3EE4D58F" w14:textId="57CA5D44" w:rsidR="004D14A8" w:rsidRPr="004D14A8" w:rsidRDefault="004D14A8" w:rsidP="000B039D">
      <w:pPr>
        <w:tabs>
          <w:tab w:val="left" w:pos="851"/>
        </w:tabs>
        <w:ind w:left="851"/>
        <w:rPr>
          <w:sz w:val="24"/>
          <w:szCs w:val="24"/>
          <w:lang w:val="en-GB"/>
        </w:rPr>
      </w:pPr>
      <w:r w:rsidRPr="004D14A8">
        <w:rPr>
          <w:sz w:val="24"/>
          <w:szCs w:val="24"/>
          <w:lang w:val="en-GB"/>
        </w:rPr>
        <w:t>High-DensityPolyEthylene (HDPE) bottle with a polypropylene child-resistant closure and desiccant sachet.</w:t>
      </w:r>
    </w:p>
    <w:p w14:paraId="6BE19395" w14:textId="77777777" w:rsidR="004D14A8" w:rsidRPr="004D14A8" w:rsidRDefault="004D14A8" w:rsidP="000B039D">
      <w:pPr>
        <w:tabs>
          <w:tab w:val="left" w:pos="851"/>
        </w:tabs>
        <w:ind w:left="851"/>
        <w:rPr>
          <w:sz w:val="24"/>
          <w:szCs w:val="24"/>
          <w:lang w:val="en-GB"/>
        </w:rPr>
      </w:pPr>
    </w:p>
    <w:p w14:paraId="47E7A3A7" w14:textId="0EA5E094" w:rsidR="004D14A8" w:rsidRPr="004D14A8" w:rsidRDefault="00CA3C12" w:rsidP="000B039D">
      <w:pPr>
        <w:tabs>
          <w:tab w:val="left" w:pos="851"/>
        </w:tabs>
        <w:ind w:left="851"/>
        <w:rPr>
          <w:sz w:val="24"/>
          <w:szCs w:val="24"/>
          <w:u w:val="single"/>
          <w:lang w:val="en-GB"/>
        </w:rPr>
      </w:pPr>
      <w:r>
        <w:rPr>
          <w:sz w:val="24"/>
          <w:szCs w:val="24"/>
          <w:u w:val="single"/>
          <w:lang w:val="en-GB"/>
        </w:rPr>
        <w:t>Ivacaftor "Hormosan Pharma GmbH"</w:t>
      </w:r>
      <w:r w:rsidR="004D14A8" w:rsidRPr="004D14A8">
        <w:rPr>
          <w:sz w:val="24"/>
          <w:szCs w:val="24"/>
          <w:u w:val="single"/>
          <w:lang w:val="en-GB"/>
        </w:rPr>
        <w:t xml:space="preserve"> 75 mg film-coated tablets</w:t>
      </w:r>
      <w:r w:rsidR="004D14A8" w:rsidRPr="004D14A8">
        <w:rPr>
          <w:sz w:val="24"/>
          <w:szCs w:val="24"/>
          <w:lang w:val="en-GB"/>
        </w:rPr>
        <w:t xml:space="preserve"> </w:t>
      </w:r>
    </w:p>
    <w:p w14:paraId="1C7E267F"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 </w:t>
      </w:r>
    </w:p>
    <w:p w14:paraId="6F374B73" w14:textId="77777777" w:rsidR="004D14A8" w:rsidRPr="00A11F83" w:rsidRDefault="004D14A8" w:rsidP="000B039D">
      <w:pPr>
        <w:tabs>
          <w:tab w:val="left" w:pos="851"/>
        </w:tabs>
        <w:ind w:left="851"/>
        <w:rPr>
          <w:i/>
          <w:iCs/>
          <w:sz w:val="24"/>
          <w:szCs w:val="24"/>
          <w:lang w:val="en-GB"/>
        </w:rPr>
      </w:pPr>
      <w:r w:rsidRPr="00A11F83">
        <w:rPr>
          <w:i/>
          <w:iCs/>
          <w:sz w:val="24"/>
          <w:szCs w:val="24"/>
          <w:lang w:val="en-GB"/>
        </w:rPr>
        <w:t>Pack sizes</w:t>
      </w:r>
    </w:p>
    <w:p w14:paraId="0730B615" w14:textId="04969E27" w:rsidR="004D14A8" w:rsidRPr="004D14A8" w:rsidRDefault="004D14A8" w:rsidP="000B039D">
      <w:pPr>
        <w:tabs>
          <w:tab w:val="left" w:pos="851"/>
        </w:tabs>
        <w:ind w:left="851"/>
        <w:rPr>
          <w:sz w:val="24"/>
          <w:szCs w:val="24"/>
          <w:lang w:val="en-GB"/>
        </w:rPr>
      </w:pPr>
      <w:r w:rsidRPr="004D14A8">
        <w:rPr>
          <w:sz w:val="24"/>
          <w:szCs w:val="24"/>
          <w:lang w:val="en-GB"/>
        </w:rPr>
        <w:t>Blister pack containing 28 film-coated tablets</w:t>
      </w:r>
      <w:r w:rsidR="00A11F83">
        <w:rPr>
          <w:sz w:val="24"/>
          <w:szCs w:val="24"/>
          <w:lang w:val="en-GB"/>
        </w:rPr>
        <w:t>.</w:t>
      </w:r>
    </w:p>
    <w:p w14:paraId="72C5E9B1"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 </w:t>
      </w:r>
    </w:p>
    <w:p w14:paraId="2DA30FA2" w14:textId="3A549E3D" w:rsidR="004D14A8" w:rsidRPr="004D14A8" w:rsidRDefault="00CA3C12" w:rsidP="000B039D">
      <w:pPr>
        <w:tabs>
          <w:tab w:val="left" w:pos="851"/>
        </w:tabs>
        <w:ind w:left="851"/>
        <w:rPr>
          <w:sz w:val="24"/>
          <w:szCs w:val="24"/>
          <w:u w:val="single"/>
          <w:lang w:val="en-GB"/>
        </w:rPr>
      </w:pPr>
      <w:r>
        <w:rPr>
          <w:sz w:val="24"/>
          <w:szCs w:val="24"/>
          <w:u w:val="single"/>
          <w:lang w:val="en-GB"/>
        </w:rPr>
        <w:t>Ivacaftor "Hormosan Pharma GmbH"</w:t>
      </w:r>
      <w:r w:rsidR="004D14A8" w:rsidRPr="004D14A8">
        <w:rPr>
          <w:sz w:val="24"/>
          <w:szCs w:val="24"/>
          <w:u w:val="single"/>
          <w:lang w:val="en-GB"/>
        </w:rPr>
        <w:t xml:space="preserve"> 150 mg film-coated tablets</w:t>
      </w:r>
      <w:r w:rsidR="004D14A8" w:rsidRPr="004D14A8">
        <w:rPr>
          <w:sz w:val="24"/>
          <w:szCs w:val="24"/>
          <w:lang w:val="en-GB"/>
        </w:rPr>
        <w:t xml:space="preserve"> </w:t>
      </w:r>
    </w:p>
    <w:p w14:paraId="639B75B8" w14:textId="19965F40" w:rsidR="004D14A8" w:rsidRDefault="004D14A8" w:rsidP="000B039D">
      <w:pPr>
        <w:tabs>
          <w:tab w:val="left" w:pos="851"/>
        </w:tabs>
        <w:ind w:left="851"/>
        <w:rPr>
          <w:sz w:val="24"/>
          <w:szCs w:val="24"/>
          <w:lang w:val="en-GB"/>
        </w:rPr>
      </w:pPr>
    </w:p>
    <w:p w14:paraId="2F0FD37D" w14:textId="77777777" w:rsidR="00A11F83" w:rsidRPr="00A11F83" w:rsidRDefault="00A11F83" w:rsidP="000B039D">
      <w:pPr>
        <w:tabs>
          <w:tab w:val="left" w:pos="851"/>
        </w:tabs>
        <w:ind w:left="851"/>
        <w:rPr>
          <w:i/>
          <w:iCs/>
          <w:sz w:val="24"/>
          <w:szCs w:val="24"/>
          <w:lang w:val="en-GB"/>
        </w:rPr>
      </w:pPr>
      <w:r w:rsidRPr="00A11F83">
        <w:rPr>
          <w:i/>
          <w:iCs/>
          <w:sz w:val="24"/>
          <w:szCs w:val="24"/>
          <w:lang w:val="en-GB"/>
        </w:rPr>
        <w:t>Pack sizes</w:t>
      </w:r>
    </w:p>
    <w:p w14:paraId="3F0EBB95" w14:textId="60F34987" w:rsidR="004D14A8" w:rsidRPr="004D14A8" w:rsidRDefault="004D14A8" w:rsidP="000B039D">
      <w:pPr>
        <w:tabs>
          <w:tab w:val="left" w:pos="851"/>
        </w:tabs>
        <w:ind w:left="851"/>
        <w:rPr>
          <w:sz w:val="24"/>
          <w:szCs w:val="24"/>
          <w:lang w:val="en-GB"/>
        </w:rPr>
      </w:pPr>
      <w:r w:rsidRPr="004D14A8">
        <w:rPr>
          <w:sz w:val="24"/>
          <w:szCs w:val="24"/>
          <w:lang w:val="en-GB"/>
        </w:rPr>
        <w:t xml:space="preserve">Blister pack containing 28 </w:t>
      </w:r>
      <w:r w:rsidR="00A11F83">
        <w:rPr>
          <w:sz w:val="24"/>
          <w:szCs w:val="24"/>
          <w:lang w:val="en-GB"/>
        </w:rPr>
        <w:t xml:space="preserve">and 56 </w:t>
      </w:r>
      <w:r w:rsidRPr="004D14A8">
        <w:rPr>
          <w:sz w:val="24"/>
          <w:szCs w:val="24"/>
          <w:lang w:val="en-GB"/>
        </w:rPr>
        <w:t>film-coated tablets</w:t>
      </w:r>
      <w:r w:rsidR="00A11F83">
        <w:rPr>
          <w:sz w:val="24"/>
          <w:szCs w:val="24"/>
          <w:lang w:val="en-GB"/>
        </w:rPr>
        <w:t>.</w:t>
      </w:r>
    </w:p>
    <w:p w14:paraId="1613959B" w14:textId="13D62080" w:rsidR="004D14A8" w:rsidRPr="004D14A8" w:rsidRDefault="004D14A8" w:rsidP="000B039D">
      <w:pPr>
        <w:tabs>
          <w:tab w:val="left" w:pos="851"/>
        </w:tabs>
        <w:ind w:left="851"/>
        <w:rPr>
          <w:sz w:val="24"/>
          <w:szCs w:val="24"/>
          <w:lang w:val="en-GB"/>
        </w:rPr>
      </w:pPr>
      <w:r w:rsidRPr="004D14A8">
        <w:rPr>
          <w:sz w:val="24"/>
          <w:szCs w:val="24"/>
          <w:lang w:val="en-GB"/>
        </w:rPr>
        <w:t>Bottle containing 56 film-coated tablets</w:t>
      </w:r>
      <w:r w:rsidR="00A11F83">
        <w:rPr>
          <w:sz w:val="24"/>
          <w:szCs w:val="24"/>
          <w:lang w:val="en-GB"/>
        </w:rPr>
        <w:t>.</w:t>
      </w:r>
    </w:p>
    <w:p w14:paraId="085F214C"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 </w:t>
      </w:r>
    </w:p>
    <w:p w14:paraId="448D06BF"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Not all pack sizes may be marketed. </w:t>
      </w:r>
    </w:p>
    <w:p w14:paraId="5FD86B86" w14:textId="77777777" w:rsidR="007C5D2A" w:rsidRPr="00303008" w:rsidRDefault="007C5D2A" w:rsidP="000B039D">
      <w:pPr>
        <w:tabs>
          <w:tab w:val="left" w:pos="851"/>
        </w:tabs>
        <w:ind w:left="851"/>
        <w:rPr>
          <w:sz w:val="24"/>
          <w:szCs w:val="24"/>
          <w:lang w:val="en-GB"/>
        </w:rPr>
      </w:pPr>
    </w:p>
    <w:p w14:paraId="0CA1E4D3" w14:textId="77777777" w:rsidR="007C5D2A" w:rsidRPr="00303008" w:rsidRDefault="007C5D2A" w:rsidP="000B039D">
      <w:pPr>
        <w:ind w:left="851" w:hanging="851"/>
        <w:rPr>
          <w:b/>
          <w:sz w:val="24"/>
          <w:szCs w:val="24"/>
          <w:lang w:val="en-GB"/>
        </w:rPr>
      </w:pPr>
      <w:r w:rsidRPr="00303008">
        <w:rPr>
          <w:b/>
          <w:sz w:val="24"/>
          <w:szCs w:val="24"/>
          <w:lang w:val="en-GB"/>
        </w:rPr>
        <w:t>6.6</w:t>
      </w:r>
      <w:r w:rsidRPr="00303008">
        <w:rPr>
          <w:b/>
          <w:sz w:val="24"/>
          <w:szCs w:val="24"/>
          <w:lang w:val="en-GB"/>
        </w:rPr>
        <w:tab/>
        <w:t>Special precautions for disposal and other handling</w:t>
      </w:r>
    </w:p>
    <w:p w14:paraId="2837DBA3" w14:textId="77777777" w:rsidR="00A11F83" w:rsidRPr="00A11F83" w:rsidRDefault="00A11F83" w:rsidP="000B039D">
      <w:pPr>
        <w:tabs>
          <w:tab w:val="left" w:pos="851"/>
        </w:tabs>
        <w:ind w:left="851"/>
        <w:rPr>
          <w:sz w:val="24"/>
          <w:szCs w:val="24"/>
          <w:lang w:val="en-GB"/>
        </w:rPr>
      </w:pPr>
      <w:r w:rsidRPr="00A11F83">
        <w:rPr>
          <w:sz w:val="24"/>
          <w:szCs w:val="24"/>
          <w:lang w:val="en-GB"/>
        </w:rPr>
        <w:t xml:space="preserve">Any unused medicinal product or waste material should be disposed of in accordance with local requirements. </w:t>
      </w:r>
    </w:p>
    <w:p w14:paraId="1C5FBF4C" w14:textId="77777777" w:rsidR="007C5D2A" w:rsidRPr="00303008" w:rsidRDefault="007C5D2A" w:rsidP="000B039D">
      <w:pPr>
        <w:tabs>
          <w:tab w:val="left" w:pos="851"/>
        </w:tabs>
        <w:ind w:left="851"/>
        <w:rPr>
          <w:sz w:val="24"/>
          <w:szCs w:val="24"/>
          <w:lang w:val="en-GB"/>
        </w:rPr>
      </w:pPr>
    </w:p>
    <w:p w14:paraId="203A9643" w14:textId="77777777" w:rsidR="007C5D2A" w:rsidRPr="00303008" w:rsidRDefault="007C5D2A" w:rsidP="000B039D">
      <w:pPr>
        <w:tabs>
          <w:tab w:val="left" w:pos="851"/>
        </w:tabs>
        <w:ind w:left="851" w:hanging="851"/>
        <w:jc w:val="both"/>
        <w:rPr>
          <w:b/>
          <w:sz w:val="24"/>
          <w:szCs w:val="24"/>
          <w:lang w:val="en-GB"/>
        </w:rPr>
      </w:pPr>
      <w:r w:rsidRPr="00303008">
        <w:rPr>
          <w:b/>
          <w:sz w:val="24"/>
          <w:szCs w:val="24"/>
          <w:lang w:val="en-GB"/>
        </w:rPr>
        <w:t>7.</w:t>
      </w:r>
      <w:r w:rsidRPr="00303008">
        <w:rPr>
          <w:b/>
          <w:sz w:val="24"/>
          <w:szCs w:val="24"/>
          <w:lang w:val="en-GB"/>
        </w:rPr>
        <w:tab/>
        <w:t>MARKETING AUTHORISATION HOLDER</w:t>
      </w:r>
    </w:p>
    <w:p w14:paraId="17CE36BC" w14:textId="77777777" w:rsidR="00915489" w:rsidRPr="00915489" w:rsidRDefault="00915489" w:rsidP="00915489">
      <w:pPr>
        <w:tabs>
          <w:tab w:val="left" w:pos="851"/>
        </w:tabs>
        <w:ind w:left="851"/>
        <w:jc w:val="both"/>
        <w:rPr>
          <w:sz w:val="24"/>
          <w:szCs w:val="24"/>
          <w:lang w:val="en-US"/>
        </w:rPr>
      </w:pPr>
      <w:r w:rsidRPr="00915489">
        <w:rPr>
          <w:sz w:val="24"/>
          <w:szCs w:val="24"/>
          <w:lang w:val="en-US"/>
        </w:rPr>
        <w:t>Hormosan Pharma GmbH</w:t>
      </w:r>
    </w:p>
    <w:p w14:paraId="7373CE1E" w14:textId="77777777" w:rsidR="00A11F83" w:rsidRPr="00A11F83" w:rsidRDefault="00A11F83" w:rsidP="000B039D">
      <w:pPr>
        <w:tabs>
          <w:tab w:val="left" w:pos="851"/>
        </w:tabs>
        <w:ind w:left="851"/>
        <w:jc w:val="both"/>
        <w:rPr>
          <w:sz w:val="24"/>
          <w:szCs w:val="24"/>
          <w:lang w:val="en-US"/>
        </w:rPr>
      </w:pPr>
      <w:r w:rsidRPr="00A11F83">
        <w:rPr>
          <w:sz w:val="24"/>
          <w:szCs w:val="24"/>
          <w:lang w:val="en-US"/>
        </w:rPr>
        <w:t>Hanauer Landstrasse 139-143</w:t>
      </w:r>
    </w:p>
    <w:p w14:paraId="3CB73D0D" w14:textId="77777777" w:rsidR="00A11F83" w:rsidRPr="00A11F83" w:rsidRDefault="00A11F83" w:rsidP="000B039D">
      <w:pPr>
        <w:tabs>
          <w:tab w:val="left" w:pos="851"/>
        </w:tabs>
        <w:ind w:left="851"/>
        <w:jc w:val="both"/>
        <w:rPr>
          <w:sz w:val="24"/>
          <w:szCs w:val="24"/>
          <w:lang w:val="en-US"/>
        </w:rPr>
      </w:pPr>
      <w:r w:rsidRPr="00A11F83">
        <w:rPr>
          <w:sz w:val="24"/>
          <w:szCs w:val="24"/>
          <w:lang w:val="en-US"/>
        </w:rPr>
        <w:t>Ostend</w:t>
      </w:r>
    </w:p>
    <w:p w14:paraId="5CADE1C7" w14:textId="77777777" w:rsidR="00A11F83" w:rsidRPr="00A11F83" w:rsidRDefault="00A11F83" w:rsidP="000B039D">
      <w:pPr>
        <w:tabs>
          <w:tab w:val="left" w:pos="851"/>
        </w:tabs>
        <w:ind w:left="851"/>
        <w:jc w:val="both"/>
        <w:rPr>
          <w:sz w:val="24"/>
          <w:szCs w:val="24"/>
          <w:lang w:val="en-US"/>
        </w:rPr>
      </w:pPr>
      <w:r w:rsidRPr="00A11F83">
        <w:rPr>
          <w:sz w:val="24"/>
          <w:szCs w:val="24"/>
          <w:lang w:val="en-US"/>
        </w:rPr>
        <w:t>60314 Frankfurt Am Main</w:t>
      </w:r>
    </w:p>
    <w:p w14:paraId="15BB8921" w14:textId="53656B90" w:rsidR="00A11F83" w:rsidRPr="00A11F83" w:rsidRDefault="00A11F83" w:rsidP="000B039D">
      <w:pPr>
        <w:tabs>
          <w:tab w:val="left" w:pos="851"/>
        </w:tabs>
        <w:ind w:left="851"/>
        <w:jc w:val="both"/>
        <w:rPr>
          <w:sz w:val="24"/>
          <w:szCs w:val="24"/>
          <w:lang w:val="en-US"/>
        </w:rPr>
      </w:pPr>
      <w:r>
        <w:rPr>
          <w:sz w:val="24"/>
          <w:szCs w:val="24"/>
          <w:lang w:val="en-US"/>
        </w:rPr>
        <w:t>Tyskland</w:t>
      </w:r>
    </w:p>
    <w:p w14:paraId="0FBFE07E" w14:textId="77777777" w:rsidR="008A24F6" w:rsidRPr="00303008" w:rsidRDefault="008A24F6" w:rsidP="000B039D">
      <w:pPr>
        <w:tabs>
          <w:tab w:val="left" w:pos="851"/>
        </w:tabs>
        <w:ind w:left="851"/>
        <w:jc w:val="both"/>
        <w:rPr>
          <w:sz w:val="24"/>
          <w:szCs w:val="24"/>
          <w:lang w:val="en-GB"/>
        </w:rPr>
      </w:pPr>
    </w:p>
    <w:p w14:paraId="4F140AE7" w14:textId="77777777" w:rsidR="007C5D2A" w:rsidRPr="00303008" w:rsidRDefault="007C5D2A" w:rsidP="000B039D">
      <w:pPr>
        <w:ind w:left="851" w:hanging="851"/>
        <w:jc w:val="both"/>
        <w:rPr>
          <w:b/>
          <w:sz w:val="24"/>
          <w:szCs w:val="24"/>
          <w:lang w:val="en-GB"/>
        </w:rPr>
      </w:pPr>
      <w:r w:rsidRPr="00303008">
        <w:rPr>
          <w:b/>
          <w:sz w:val="24"/>
          <w:szCs w:val="24"/>
          <w:lang w:val="en-GB"/>
        </w:rPr>
        <w:t>8.</w:t>
      </w:r>
      <w:r w:rsidRPr="00303008">
        <w:rPr>
          <w:b/>
          <w:sz w:val="24"/>
          <w:szCs w:val="24"/>
          <w:lang w:val="en-GB"/>
        </w:rPr>
        <w:tab/>
        <w:t>MARKETING AUTHORISATION NUMBER(S)</w:t>
      </w:r>
    </w:p>
    <w:p w14:paraId="4EF3248C" w14:textId="74E0C232" w:rsidR="007C5D2A" w:rsidRDefault="00A11F83" w:rsidP="000B039D">
      <w:pPr>
        <w:tabs>
          <w:tab w:val="left" w:pos="851"/>
          <w:tab w:val="left" w:pos="1701"/>
        </w:tabs>
        <w:ind w:left="851"/>
        <w:jc w:val="both"/>
        <w:rPr>
          <w:sz w:val="24"/>
          <w:szCs w:val="24"/>
          <w:lang w:val="en-GB"/>
        </w:rPr>
      </w:pPr>
      <w:r>
        <w:rPr>
          <w:sz w:val="24"/>
          <w:szCs w:val="24"/>
          <w:lang w:val="en-GB"/>
        </w:rPr>
        <w:t>75 mg:</w:t>
      </w:r>
      <w:r>
        <w:rPr>
          <w:sz w:val="24"/>
          <w:szCs w:val="24"/>
          <w:lang w:val="en-GB"/>
        </w:rPr>
        <w:tab/>
        <w:t>732</w:t>
      </w:r>
      <w:r w:rsidR="00B23AF0">
        <w:rPr>
          <w:sz w:val="24"/>
          <w:szCs w:val="24"/>
          <w:lang w:val="en-GB"/>
        </w:rPr>
        <w:t>33</w:t>
      </w:r>
    </w:p>
    <w:p w14:paraId="500F534F" w14:textId="6D5D869E" w:rsidR="00A11F83" w:rsidRPr="00303008" w:rsidRDefault="00A11F83" w:rsidP="000B039D">
      <w:pPr>
        <w:tabs>
          <w:tab w:val="left" w:pos="851"/>
          <w:tab w:val="left" w:pos="1701"/>
        </w:tabs>
        <w:ind w:left="851"/>
        <w:jc w:val="both"/>
        <w:rPr>
          <w:sz w:val="24"/>
          <w:szCs w:val="24"/>
          <w:lang w:val="en-GB"/>
        </w:rPr>
      </w:pPr>
      <w:r>
        <w:rPr>
          <w:sz w:val="24"/>
          <w:szCs w:val="24"/>
          <w:lang w:val="en-GB"/>
        </w:rPr>
        <w:t>150 mg:</w:t>
      </w:r>
      <w:r>
        <w:rPr>
          <w:sz w:val="24"/>
          <w:szCs w:val="24"/>
          <w:lang w:val="en-GB"/>
        </w:rPr>
        <w:tab/>
        <w:t>7323</w:t>
      </w:r>
      <w:r w:rsidR="00B23AF0">
        <w:rPr>
          <w:sz w:val="24"/>
          <w:szCs w:val="24"/>
          <w:lang w:val="en-GB"/>
        </w:rPr>
        <w:t>4</w:t>
      </w:r>
    </w:p>
    <w:p w14:paraId="60CDE686" w14:textId="77777777" w:rsidR="007C5D2A" w:rsidRPr="00303008" w:rsidRDefault="007C5D2A" w:rsidP="000B039D">
      <w:pPr>
        <w:tabs>
          <w:tab w:val="left" w:pos="851"/>
        </w:tabs>
        <w:ind w:left="851"/>
        <w:jc w:val="both"/>
        <w:rPr>
          <w:sz w:val="24"/>
          <w:szCs w:val="24"/>
          <w:lang w:val="en-GB"/>
        </w:rPr>
      </w:pPr>
    </w:p>
    <w:p w14:paraId="56119073" w14:textId="77777777" w:rsidR="007C5D2A" w:rsidRPr="00303008" w:rsidRDefault="007C5D2A" w:rsidP="000B039D">
      <w:pPr>
        <w:tabs>
          <w:tab w:val="left" w:pos="851"/>
        </w:tabs>
        <w:jc w:val="both"/>
        <w:rPr>
          <w:sz w:val="24"/>
          <w:szCs w:val="24"/>
          <w:lang w:val="en-GB"/>
        </w:rPr>
      </w:pPr>
      <w:r w:rsidRPr="00303008">
        <w:rPr>
          <w:b/>
          <w:sz w:val="24"/>
          <w:szCs w:val="24"/>
          <w:lang w:val="en-GB"/>
        </w:rPr>
        <w:t>9.</w:t>
      </w:r>
      <w:r w:rsidRPr="00303008">
        <w:rPr>
          <w:b/>
          <w:sz w:val="24"/>
          <w:szCs w:val="24"/>
          <w:lang w:val="en-GB"/>
        </w:rPr>
        <w:tab/>
        <w:t>DATE OF FIRST AUTHORISATION</w:t>
      </w:r>
    </w:p>
    <w:p w14:paraId="7ADF6996" w14:textId="6689C051" w:rsidR="007C5D2A" w:rsidRPr="00303008" w:rsidRDefault="00915489" w:rsidP="000B039D">
      <w:pPr>
        <w:ind w:left="851"/>
        <w:jc w:val="both"/>
        <w:rPr>
          <w:sz w:val="24"/>
          <w:szCs w:val="24"/>
          <w:lang w:val="en-GB"/>
        </w:rPr>
      </w:pPr>
      <w:r>
        <w:rPr>
          <w:sz w:val="24"/>
          <w:szCs w:val="24"/>
          <w:lang w:val="en-GB"/>
        </w:rPr>
        <w:t>24 September 2026</w:t>
      </w:r>
    </w:p>
    <w:p w14:paraId="67E28937" w14:textId="77777777" w:rsidR="007C5D2A" w:rsidRPr="00303008" w:rsidRDefault="007C5D2A" w:rsidP="000B039D">
      <w:pPr>
        <w:tabs>
          <w:tab w:val="left" w:pos="851"/>
        </w:tabs>
        <w:ind w:left="851"/>
        <w:jc w:val="both"/>
        <w:rPr>
          <w:sz w:val="24"/>
          <w:szCs w:val="24"/>
          <w:lang w:val="en-GB"/>
        </w:rPr>
      </w:pPr>
    </w:p>
    <w:p w14:paraId="78B6E835" w14:textId="77777777" w:rsidR="007C5D2A" w:rsidRPr="00303008" w:rsidRDefault="007C5D2A" w:rsidP="000B039D">
      <w:pPr>
        <w:tabs>
          <w:tab w:val="left" w:pos="851"/>
        </w:tabs>
        <w:jc w:val="both"/>
        <w:rPr>
          <w:sz w:val="24"/>
          <w:szCs w:val="24"/>
          <w:lang w:val="en-GB"/>
        </w:rPr>
      </w:pPr>
      <w:r w:rsidRPr="00303008">
        <w:rPr>
          <w:b/>
          <w:sz w:val="24"/>
          <w:szCs w:val="24"/>
          <w:lang w:val="en-GB"/>
        </w:rPr>
        <w:t>10.</w:t>
      </w:r>
      <w:r w:rsidRPr="00303008">
        <w:rPr>
          <w:b/>
          <w:sz w:val="24"/>
          <w:szCs w:val="24"/>
          <w:lang w:val="en-GB"/>
        </w:rPr>
        <w:tab/>
        <w:t>DATE OF REVISION OF THE TEXT</w:t>
      </w:r>
    </w:p>
    <w:p w14:paraId="1BF7224E" w14:textId="18FED720" w:rsidR="007C5D2A" w:rsidRPr="00303008" w:rsidRDefault="00A11F83" w:rsidP="000B039D">
      <w:pPr>
        <w:tabs>
          <w:tab w:val="left" w:pos="851"/>
        </w:tabs>
        <w:ind w:left="851"/>
        <w:jc w:val="both"/>
        <w:rPr>
          <w:sz w:val="24"/>
          <w:szCs w:val="24"/>
          <w:lang w:val="en-GB"/>
        </w:rPr>
      </w:pPr>
      <w:r>
        <w:rPr>
          <w:sz w:val="24"/>
          <w:szCs w:val="24"/>
          <w:lang w:val="en-GB"/>
        </w:rPr>
        <w:t>-</w:t>
      </w:r>
    </w:p>
    <w:sectPr w:rsidR="007C5D2A" w:rsidRPr="00303008"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C90A" w14:textId="77777777" w:rsidR="007E7406" w:rsidRDefault="007E7406">
      <w:r>
        <w:separator/>
      </w:r>
    </w:p>
  </w:endnote>
  <w:endnote w:type="continuationSeparator" w:id="0">
    <w:p w14:paraId="3318590B" w14:textId="77777777" w:rsidR="007E7406" w:rsidRDefault="007E7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714F"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1323" w14:textId="77777777" w:rsidR="00864538" w:rsidRDefault="00864538">
    <w:pPr>
      <w:pStyle w:val="Sidefod"/>
      <w:pBdr>
        <w:bottom w:val="single" w:sz="6" w:space="1" w:color="auto"/>
      </w:pBdr>
    </w:pPr>
  </w:p>
  <w:p w14:paraId="51DFE8DA" w14:textId="77777777" w:rsidR="00864538" w:rsidRDefault="00864538">
    <w:pPr>
      <w:pStyle w:val="Sidefod"/>
      <w:tabs>
        <w:tab w:val="clear" w:pos="4819"/>
        <w:tab w:val="left" w:pos="8647"/>
      </w:tabs>
      <w:rPr>
        <w:i/>
        <w:snapToGrid w:val="0"/>
        <w:sz w:val="18"/>
      </w:rPr>
    </w:pPr>
  </w:p>
  <w:p w14:paraId="15F4C372" w14:textId="6B14A542"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6F4E45">
      <w:rPr>
        <w:i/>
        <w:noProof/>
        <w:snapToGrid w:val="0"/>
        <w:sz w:val="18"/>
      </w:rPr>
      <w:t>Ivacaftor Lupin, filmovertrukne tabletter 75 mg og 150 mg</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A2D1" w14:textId="77777777" w:rsidR="00864538" w:rsidRDefault="00864538">
    <w:pPr>
      <w:pStyle w:val="Sidefod"/>
      <w:pBdr>
        <w:bottom w:val="single" w:sz="6" w:space="1" w:color="auto"/>
      </w:pBdr>
      <w:tabs>
        <w:tab w:val="clear" w:pos="4819"/>
        <w:tab w:val="left" w:pos="8789"/>
      </w:tabs>
      <w:rPr>
        <w:i/>
        <w:snapToGrid w:val="0"/>
        <w:sz w:val="18"/>
      </w:rPr>
    </w:pPr>
  </w:p>
  <w:p w14:paraId="698CEE4F" w14:textId="77777777" w:rsidR="00864538" w:rsidRDefault="00864538">
    <w:pPr>
      <w:pStyle w:val="Sidefod"/>
      <w:tabs>
        <w:tab w:val="clear" w:pos="4819"/>
        <w:tab w:val="left" w:pos="8789"/>
      </w:tabs>
      <w:rPr>
        <w:i/>
        <w:snapToGrid w:val="0"/>
        <w:sz w:val="18"/>
      </w:rPr>
    </w:pPr>
  </w:p>
  <w:p w14:paraId="5E9F4A5A" w14:textId="437420C5"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6F4E45">
      <w:rPr>
        <w:i/>
        <w:noProof/>
        <w:snapToGrid w:val="0"/>
        <w:sz w:val="18"/>
      </w:rPr>
      <w:t>Ivacaftor Lupin, filmovertrukne tabletter 75 mg og 150 mg</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DE1C7" w14:textId="77777777" w:rsidR="007E7406" w:rsidRDefault="007E7406">
      <w:r>
        <w:separator/>
      </w:r>
    </w:p>
  </w:footnote>
  <w:footnote w:type="continuationSeparator" w:id="0">
    <w:p w14:paraId="19B7195F" w14:textId="77777777" w:rsidR="007E7406" w:rsidRDefault="007E7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3A38"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45B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3BEF"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EA3"/>
    <w:multiLevelType w:val="hybridMultilevel"/>
    <w:tmpl w:val="06985B2E"/>
    <w:lvl w:ilvl="0" w:tplc="5FF258E6">
      <w:start w:val="1"/>
      <w:numFmt w:val="bullet"/>
      <w:lvlText w:val="•"/>
      <w:lvlJc w:val="left"/>
      <w:pPr>
        <w:ind w:left="88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93409DC">
      <w:start w:val="1"/>
      <w:numFmt w:val="bullet"/>
      <w:lvlText w:val="o"/>
      <w:lvlJc w:val="left"/>
      <w:pPr>
        <w:ind w:left="171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5A20044">
      <w:start w:val="1"/>
      <w:numFmt w:val="bullet"/>
      <w:lvlText w:val="▪"/>
      <w:lvlJc w:val="left"/>
      <w:pPr>
        <w:ind w:left="24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9723BB6">
      <w:start w:val="1"/>
      <w:numFmt w:val="bullet"/>
      <w:lvlText w:val="•"/>
      <w:lvlJc w:val="left"/>
      <w:pPr>
        <w:ind w:left="315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10270E0">
      <w:start w:val="1"/>
      <w:numFmt w:val="bullet"/>
      <w:lvlText w:val="o"/>
      <w:lvlJc w:val="left"/>
      <w:pPr>
        <w:ind w:left="387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A1EA299A">
      <w:start w:val="1"/>
      <w:numFmt w:val="bullet"/>
      <w:lvlText w:val="▪"/>
      <w:lvlJc w:val="left"/>
      <w:pPr>
        <w:ind w:left="459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5358C7D8">
      <w:start w:val="1"/>
      <w:numFmt w:val="bullet"/>
      <w:lvlText w:val="•"/>
      <w:lvlJc w:val="left"/>
      <w:pPr>
        <w:ind w:left="531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E341A18">
      <w:start w:val="1"/>
      <w:numFmt w:val="bullet"/>
      <w:lvlText w:val="o"/>
      <w:lvlJc w:val="left"/>
      <w:pPr>
        <w:ind w:left="60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02E4B22">
      <w:start w:val="1"/>
      <w:numFmt w:val="bullet"/>
      <w:lvlText w:val="▪"/>
      <w:lvlJc w:val="left"/>
      <w:pPr>
        <w:ind w:left="675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076D0E18"/>
    <w:multiLevelType w:val="hybridMultilevel"/>
    <w:tmpl w:val="C208594E"/>
    <w:lvl w:ilvl="0" w:tplc="79147D3A">
      <w:start w:val="2"/>
      <w:numFmt w:val="chicago"/>
      <w:lvlText w:val="%1"/>
      <w:lvlJc w:val="left"/>
      <w:pPr>
        <w:ind w:left="11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1" w:tplc="81B6B696">
      <w:start w:val="1"/>
      <w:numFmt w:val="lowerLetter"/>
      <w:lvlText w:val="%2"/>
      <w:lvlJc w:val="left"/>
      <w:pPr>
        <w:ind w:left="11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2" w:tplc="064E3068">
      <w:start w:val="1"/>
      <w:numFmt w:val="lowerRoman"/>
      <w:lvlText w:val="%3"/>
      <w:lvlJc w:val="left"/>
      <w:pPr>
        <w:ind w:left="19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3" w:tplc="5B6A71A8">
      <w:start w:val="1"/>
      <w:numFmt w:val="decimal"/>
      <w:lvlText w:val="%4"/>
      <w:lvlJc w:val="left"/>
      <w:pPr>
        <w:ind w:left="26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4" w:tplc="C9E021AA">
      <w:start w:val="1"/>
      <w:numFmt w:val="lowerLetter"/>
      <w:lvlText w:val="%5"/>
      <w:lvlJc w:val="left"/>
      <w:pPr>
        <w:ind w:left="334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5" w:tplc="C4E4E6F4">
      <w:start w:val="1"/>
      <w:numFmt w:val="lowerRoman"/>
      <w:lvlText w:val="%6"/>
      <w:lvlJc w:val="left"/>
      <w:pPr>
        <w:ind w:left="40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6" w:tplc="C65C2D5C">
      <w:start w:val="1"/>
      <w:numFmt w:val="decimal"/>
      <w:lvlText w:val="%7"/>
      <w:lvlJc w:val="left"/>
      <w:pPr>
        <w:ind w:left="47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7" w:tplc="8A94C94C">
      <w:start w:val="1"/>
      <w:numFmt w:val="lowerLetter"/>
      <w:lvlText w:val="%8"/>
      <w:lvlJc w:val="left"/>
      <w:pPr>
        <w:ind w:left="55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8" w:tplc="266A1FBA">
      <w:start w:val="1"/>
      <w:numFmt w:val="lowerRoman"/>
      <w:lvlText w:val="%9"/>
      <w:lvlJc w:val="left"/>
      <w:pPr>
        <w:ind w:left="62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abstractNum>
  <w:abstractNum w:abstractNumId="4" w15:restartNumberingAfterBreak="0">
    <w:nsid w:val="11A93445"/>
    <w:multiLevelType w:val="hybridMultilevel"/>
    <w:tmpl w:val="031495EE"/>
    <w:lvl w:ilvl="0" w:tplc="6E6CA39A">
      <w:start w:val="1"/>
      <w:numFmt w:val="bullet"/>
      <w:lvlText w:val="-"/>
      <w:lvlJc w:val="left"/>
      <w:pPr>
        <w:ind w:left="41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B8A9A58">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AD4E0A1A">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D66C8A34">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948088CE">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C6CAC340">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1D03FEA">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3A6867C">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0D8636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06C0603"/>
    <w:multiLevelType w:val="hybridMultilevel"/>
    <w:tmpl w:val="AB2C24F4"/>
    <w:lvl w:ilvl="0" w:tplc="122C9D00">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A8A426C2">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8164402">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8B8E5EC6">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2D6626DE">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7B1EAD06">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66B0E20E">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D6180692">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91D2A65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B910A53"/>
    <w:multiLevelType w:val="hybridMultilevel"/>
    <w:tmpl w:val="8BF82998"/>
    <w:lvl w:ilvl="0" w:tplc="FD2898D0">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076A50A">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F2124420">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BC00294">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4545D34">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36454C6">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A210B3A4">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69A24F0">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7027B2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3DBD43A1"/>
    <w:multiLevelType w:val="hybridMultilevel"/>
    <w:tmpl w:val="96A49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4780171"/>
    <w:multiLevelType w:val="hybridMultilevel"/>
    <w:tmpl w:val="5FCEF7A8"/>
    <w:lvl w:ilvl="0" w:tplc="08090001">
      <w:start w:val="1"/>
      <w:numFmt w:val="bullet"/>
      <w:lvlText w:val=""/>
      <w:lvlJc w:val="left"/>
      <w:pPr>
        <w:ind w:left="56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18A868EA">
      <w:start w:val="1"/>
      <w:numFmt w:val="bullet"/>
      <w:lvlText w:val="o"/>
      <w:lvlJc w:val="left"/>
      <w:pPr>
        <w:ind w:left="12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B9298C0">
      <w:start w:val="1"/>
      <w:numFmt w:val="bullet"/>
      <w:lvlText w:val="▪"/>
      <w:lvlJc w:val="left"/>
      <w:pPr>
        <w:ind w:left="20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E3A8762">
      <w:start w:val="1"/>
      <w:numFmt w:val="bullet"/>
      <w:lvlText w:val="•"/>
      <w:lvlJc w:val="left"/>
      <w:pPr>
        <w:ind w:left="27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2A8CE3C">
      <w:start w:val="1"/>
      <w:numFmt w:val="bullet"/>
      <w:lvlText w:val="o"/>
      <w:lvlJc w:val="left"/>
      <w:pPr>
        <w:ind w:left="34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7A36D9D4">
      <w:start w:val="1"/>
      <w:numFmt w:val="bullet"/>
      <w:lvlText w:val="▪"/>
      <w:lvlJc w:val="left"/>
      <w:pPr>
        <w:ind w:left="41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3B48B24C">
      <w:start w:val="1"/>
      <w:numFmt w:val="bullet"/>
      <w:lvlText w:val="•"/>
      <w:lvlJc w:val="left"/>
      <w:pPr>
        <w:ind w:left="48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D5E5C80">
      <w:start w:val="1"/>
      <w:numFmt w:val="bullet"/>
      <w:lvlText w:val="o"/>
      <w:lvlJc w:val="left"/>
      <w:pPr>
        <w:ind w:left="56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47083D6">
      <w:start w:val="1"/>
      <w:numFmt w:val="bullet"/>
      <w:lvlText w:val="▪"/>
      <w:lvlJc w:val="left"/>
      <w:pPr>
        <w:ind w:left="63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59655091"/>
    <w:multiLevelType w:val="hybridMultilevel"/>
    <w:tmpl w:val="0CBCC37E"/>
    <w:lvl w:ilvl="0" w:tplc="383E07B0">
      <w:start w:val="1"/>
      <w:numFmt w:val="bullet"/>
      <w:lvlText w:val="-"/>
      <w:lvlJc w:val="left"/>
      <w:pPr>
        <w:ind w:left="5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3C70E5B0">
      <w:start w:val="1"/>
      <w:numFmt w:val="bullet"/>
      <w:lvlText w:val="o"/>
      <w:lvlJc w:val="left"/>
      <w:pPr>
        <w:ind w:left="15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C169056">
      <w:start w:val="1"/>
      <w:numFmt w:val="bullet"/>
      <w:lvlText w:val="▪"/>
      <w:lvlJc w:val="left"/>
      <w:pPr>
        <w:ind w:left="22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D6C3784">
      <w:start w:val="1"/>
      <w:numFmt w:val="bullet"/>
      <w:lvlText w:val="•"/>
      <w:lvlJc w:val="left"/>
      <w:pPr>
        <w:ind w:left="29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0AD4D4D8">
      <w:start w:val="1"/>
      <w:numFmt w:val="bullet"/>
      <w:lvlText w:val="o"/>
      <w:lvlJc w:val="left"/>
      <w:pPr>
        <w:ind w:left="37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C8EBC04">
      <w:start w:val="1"/>
      <w:numFmt w:val="bullet"/>
      <w:lvlText w:val="▪"/>
      <w:lvlJc w:val="left"/>
      <w:pPr>
        <w:ind w:left="44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39A51B6">
      <w:start w:val="1"/>
      <w:numFmt w:val="bullet"/>
      <w:lvlText w:val="•"/>
      <w:lvlJc w:val="left"/>
      <w:pPr>
        <w:ind w:left="51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7AE75BE">
      <w:start w:val="1"/>
      <w:numFmt w:val="bullet"/>
      <w:lvlText w:val="o"/>
      <w:lvlJc w:val="left"/>
      <w:pPr>
        <w:ind w:left="58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6FCA1616">
      <w:start w:val="1"/>
      <w:numFmt w:val="bullet"/>
      <w:lvlText w:val="▪"/>
      <w:lvlJc w:val="left"/>
      <w:pPr>
        <w:ind w:left="65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B1F1077"/>
    <w:multiLevelType w:val="hybridMultilevel"/>
    <w:tmpl w:val="A16C1BB4"/>
    <w:lvl w:ilvl="0" w:tplc="0AD877E2">
      <w:start w:val="1"/>
      <w:numFmt w:val="bullet"/>
      <w:lvlText w:val="•"/>
      <w:lvlJc w:val="left"/>
      <w:pPr>
        <w:ind w:left="53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3421926">
      <w:start w:val="1"/>
      <w:numFmt w:val="bullet"/>
      <w:lvlText w:val="o"/>
      <w:lvlJc w:val="left"/>
      <w:pPr>
        <w:ind w:left="136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3710D70E">
      <w:start w:val="1"/>
      <w:numFmt w:val="bullet"/>
      <w:lvlText w:val="▪"/>
      <w:lvlJc w:val="left"/>
      <w:pPr>
        <w:ind w:left="20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C2AD704">
      <w:start w:val="1"/>
      <w:numFmt w:val="bullet"/>
      <w:lvlText w:val="•"/>
      <w:lvlJc w:val="left"/>
      <w:pPr>
        <w:ind w:left="28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C481260">
      <w:start w:val="1"/>
      <w:numFmt w:val="bullet"/>
      <w:lvlText w:val="o"/>
      <w:lvlJc w:val="left"/>
      <w:pPr>
        <w:ind w:left="35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4192E370">
      <w:start w:val="1"/>
      <w:numFmt w:val="bullet"/>
      <w:lvlText w:val="▪"/>
      <w:lvlJc w:val="left"/>
      <w:pPr>
        <w:ind w:left="424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65E33EE">
      <w:start w:val="1"/>
      <w:numFmt w:val="bullet"/>
      <w:lvlText w:val="•"/>
      <w:lvlJc w:val="left"/>
      <w:pPr>
        <w:ind w:left="49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130ED6A">
      <w:start w:val="1"/>
      <w:numFmt w:val="bullet"/>
      <w:lvlText w:val="o"/>
      <w:lvlJc w:val="left"/>
      <w:pPr>
        <w:ind w:left="56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826E1FC2">
      <w:start w:val="1"/>
      <w:numFmt w:val="bullet"/>
      <w:lvlText w:val="▪"/>
      <w:lvlJc w:val="left"/>
      <w:pPr>
        <w:ind w:left="640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681D6BE3"/>
    <w:multiLevelType w:val="hybridMultilevel"/>
    <w:tmpl w:val="81FADBA0"/>
    <w:lvl w:ilvl="0" w:tplc="0CEE5BB2">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2E444F7A">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7061436">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9FAAEC6E">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8E8ACBA">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1DAEFB2">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46E40E7E">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B763834">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80E65D60">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4" w15:restartNumberingAfterBreak="0">
    <w:nsid w:val="719C3DBA"/>
    <w:multiLevelType w:val="hybridMultilevel"/>
    <w:tmpl w:val="A60A5560"/>
    <w:lvl w:ilvl="0" w:tplc="A3161BD2">
      <w:start w:val="1"/>
      <w:numFmt w:val="lowerLetter"/>
      <w:lvlText w:val="%1."/>
      <w:lvlJc w:val="left"/>
      <w:pPr>
        <w:ind w:left="708" w:hanging="360"/>
      </w:pPr>
      <w:rPr>
        <w:vertAlign w:val="superscript"/>
      </w:rPr>
    </w:lvl>
    <w:lvl w:ilvl="1" w:tplc="08090019">
      <w:start w:val="1"/>
      <w:numFmt w:val="lowerLetter"/>
      <w:lvlText w:val="%2."/>
      <w:lvlJc w:val="left"/>
      <w:pPr>
        <w:ind w:left="1428" w:hanging="360"/>
      </w:pPr>
    </w:lvl>
    <w:lvl w:ilvl="2" w:tplc="0809001B">
      <w:start w:val="1"/>
      <w:numFmt w:val="lowerRoman"/>
      <w:lvlText w:val="%3."/>
      <w:lvlJc w:val="right"/>
      <w:pPr>
        <w:ind w:left="2148" w:hanging="180"/>
      </w:pPr>
    </w:lvl>
    <w:lvl w:ilvl="3" w:tplc="0809000F">
      <w:start w:val="1"/>
      <w:numFmt w:val="decimal"/>
      <w:lvlText w:val="%4."/>
      <w:lvlJc w:val="left"/>
      <w:pPr>
        <w:ind w:left="2868" w:hanging="360"/>
      </w:pPr>
    </w:lvl>
    <w:lvl w:ilvl="4" w:tplc="08090019">
      <w:start w:val="1"/>
      <w:numFmt w:val="lowerLetter"/>
      <w:lvlText w:val="%5."/>
      <w:lvlJc w:val="left"/>
      <w:pPr>
        <w:ind w:left="3588" w:hanging="360"/>
      </w:pPr>
    </w:lvl>
    <w:lvl w:ilvl="5" w:tplc="0809001B">
      <w:start w:val="1"/>
      <w:numFmt w:val="lowerRoman"/>
      <w:lvlText w:val="%6."/>
      <w:lvlJc w:val="right"/>
      <w:pPr>
        <w:ind w:left="4308" w:hanging="180"/>
      </w:pPr>
    </w:lvl>
    <w:lvl w:ilvl="6" w:tplc="0809000F">
      <w:start w:val="1"/>
      <w:numFmt w:val="decimal"/>
      <w:lvlText w:val="%7."/>
      <w:lvlJc w:val="left"/>
      <w:pPr>
        <w:ind w:left="5028" w:hanging="360"/>
      </w:pPr>
    </w:lvl>
    <w:lvl w:ilvl="7" w:tplc="08090019">
      <w:start w:val="1"/>
      <w:numFmt w:val="lowerLetter"/>
      <w:lvlText w:val="%8."/>
      <w:lvlJc w:val="left"/>
      <w:pPr>
        <w:ind w:left="5748" w:hanging="360"/>
      </w:pPr>
    </w:lvl>
    <w:lvl w:ilvl="8" w:tplc="0809001B">
      <w:start w:val="1"/>
      <w:numFmt w:val="lowerRoman"/>
      <w:lvlText w:val="%9."/>
      <w:lvlJc w:val="right"/>
      <w:pPr>
        <w:ind w:left="6468" w:hanging="180"/>
      </w:pPr>
    </w:lvl>
  </w:abstractNum>
  <w:abstractNum w:abstractNumId="15" w15:restartNumberingAfterBreak="0">
    <w:nsid w:val="79C3119D"/>
    <w:multiLevelType w:val="hybridMultilevel"/>
    <w:tmpl w:val="B808AE72"/>
    <w:lvl w:ilvl="0" w:tplc="C338AC50">
      <w:start w:val="1"/>
      <w:numFmt w:val="bullet"/>
      <w:lvlText w:val="•"/>
      <w:lvlJc w:val="left"/>
      <w:pPr>
        <w:ind w:left="568"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1" w:tplc="08C497F6">
      <w:start w:val="1"/>
      <w:numFmt w:val="bullet"/>
      <w:lvlText w:val="o"/>
      <w:lvlJc w:val="left"/>
      <w:pPr>
        <w:ind w:left="108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2" w:tplc="2D98A0DE">
      <w:start w:val="1"/>
      <w:numFmt w:val="bullet"/>
      <w:lvlText w:val="▪"/>
      <w:lvlJc w:val="left"/>
      <w:pPr>
        <w:ind w:left="180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3" w:tplc="DF4E4934">
      <w:start w:val="1"/>
      <w:numFmt w:val="bullet"/>
      <w:lvlText w:val="•"/>
      <w:lvlJc w:val="left"/>
      <w:pPr>
        <w:ind w:left="2520"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4" w:tplc="B3FC8342">
      <w:start w:val="1"/>
      <w:numFmt w:val="bullet"/>
      <w:lvlText w:val="o"/>
      <w:lvlJc w:val="left"/>
      <w:pPr>
        <w:ind w:left="324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5" w:tplc="103AD672">
      <w:start w:val="1"/>
      <w:numFmt w:val="bullet"/>
      <w:lvlText w:val="▪"/>
      <w:lvlJc w:val="left"/>
      <w:pPr>
        <w:ind w:left="396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6" w:tplc="6A5A8D08">
      <w:start w:val="1"/>
      <w:numFmt w:val="bullet"/>
      <w:lvlText w:val="•"/>
      <w:lvlJc w:val="left"/>
      <w:pPr>
        <w:ind w:left="4680"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7" w:tplc="E84C3934">
      <w:start w:val="1"/>
      <w:numFmt w:val="bullet"/>
      <w:lvlText w:val="o"/>
      <w:lvlJc w:val="left"/>
      <w:pPr>
        <w:ind w:left="540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8" w:tplc="01EC291A">
      <w:start w:val="1"/>
      <w:numFmt w:val="bullet"/>
      <w:lvlText w:val="▪"/>
      <w:lvlJc w:val="left"/>
      <w:pPr>
        <w:ind w:left="612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abstractNum>
  <w:abstractNum w:abstractNumId="16" w15:restartNumberingAfterBreak="0">
    <w:nsid w:val="79F915A1"/>
    <w:multiLevelType w:val="hybridMultilevel"/>
    <w:tmpl w:val="C8A4EABA"/>
    <w:lvl w:ilvl="0" w:tplc="9AA2A636">
      <w:start w:val="1"/>
      <w:numFmt w:val="bullet"/>
      <w:lvlText w:val="-"/>
      <w:lvlJc w:val="left"/>
      <w:pPr>
        <w:ind w:left="5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FC6A28C4">
      <w:start w:val="1"/>
      <w:numFmt w:val="bullet"/>
      <w:lvlText w:val="o"/>
      <w:lvlJc w:val="left"/>
      <w:pPr>
        <w:ind w:left="15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601CA24C">
      <w:start w:val="1"/>
      <w:numFmt w:val="bullet"/>
      <w:lvlText w:val="▪"/>
      <w:lvlJc w:val="left"/>
      <w:pPr>
        <w:ind w:left="22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83AEAA8">
      <w:start w:val="1"/>
      <w:numFmt w:val="bullet"/>
      <w:lvlText w:val="•"/>
      <w:lvlJc w:val="left"/>
      <w:pPr>
        <w:ind w:left="29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0E26DF6">
      <w:start w:val="1"/>
      <w:numFmt w:val="bullet"/>
      <w:lvlText w:val="o"/>
      <w:lvlJc w:val="left"/>
      <w:pPr>
        <w:ind w:left="37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7E83172">
      <w:start w:val="1"/>
      <w:numFmt w:val="bullet"/>
      <w:lvlText w:val="▪"/>
      <w:lvlJc w:val="left"/>
      <w:pPr>
        <w:ind w:left="44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0FE92C0">
      <w:start w:val="1"/>
      <w:numFmt w:val="bullet"/>
      <w:lvlText w:val="•"/>
      <w:lvlJc w:val="left"/>
      <w:pPr>
        <w:ind w:left="51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208BAA2">
      <w:start w:val="1"/>
      <w:numFmt w:val="bullet"/>
      <w:lvlText w:val="o"/>
      <w:lvlJc w:val="left"/>
      <w:pPr>
        <w:ind w:left="58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4C4EB004">
      <w:start w:val="1"/>
      <w:numFmt w:val="bullet"/>
      <w:lvlText w:val="▪"/>
      <w:lvlJc w:val="left"/>
      <w:pPr>
        <w:ind w:left="65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num w:numId="1" w16cid:durableId="1025250569">
    <w:abstractNumId w:val="5"/>
  </w:num>
  <w:num w:numId="2" w16cid:durableId="779690672">
    <w:abstractNumId w:val="1"/>
  </w:num>
  <w:num w:numId="3" w16cid:durableId="1670399862">
    <w:abstractNumId w:val="13"/>
  </w:num>
  <w:num w:numId="4" w16cid:durableId="1415711950">
    <w:abstractNumId w:val="2"/>
  </w:num>
  <w:num w:numId="5" w16cid:durableId="1621493335">
    <w:abstractNumId w:val="9"/>
  </w:num>
  <w:num w:numId="6" w16cid:durableId="1409890029">
    <w:abstractNumId w:val="16"/>
  </w:num>
  <w:num w:numId="7" w16cid:durableId="1212034548">
    <w:abstractNumId w:val="10"/>
  </w:num>
  <w:num w:numId="8" w16cid:durableId="2124181252">
    <w:abstractNumId w:val="12"/>
  </w:num>
  <w:num w:numId="9" w16cid:durableId="179008425">
    <w:abstractNumId w:val="4"/>
  </w:num>
  <w:num w:numId="10" w16cid:durableId="156387760">
    <w:abstractNumId w:val="6"/>
  </w:num>
  <w:num w:numId="11" w16cid:durableId="2031447725">
    <w:abstractNumId w:val="7"/>
  </w:num>
  <w:num w:numId="12" w16cid:durableId="1886402347">
    <w:abstractNumId w:val="8"/>
  </w:num>
  <w:num w:numId="13" w16cid:durableId="2074307708">
    <w:abstractNumId w:val="11"/>
  </w:num>
  <w:num w:numId="14" w16cid:durableId="1898390437">
    <w:abstractNumId w:val="0"/>
  </w:num>
  <w:num w:numId="15" w16cid:durableId="23173982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9132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0931119">
    <w:abstractNumId w:val="15"/>
  </w:num>
  <w:num w:numId="18" w16cid:durableId="9959622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C0"/>
    <w:rsid w:val="00056601"/>
    <w:rsid w:val="00064613"/>
    <w:rsid w:val="000B039D"/>
    <w:rsid w:val="000C3846"/>
    <w:rsid w:val="000C6218"/>
    <w:rsid w:val="000D3C9D"/>
    <w:rsid w:val="000F0D47"/>
    <w:rsid w:val="001242DE"/>
    <w:rsid w:val="00135230"/>
    <w:rsid w:val="00167ADF"/>
    <w:rsid w:val="00180A12"/>
    <w:rsid w:val="00184513"/>
    <w:rsid w:val="001E198B"/>
    <w:rsid w:val="001E3FD2"/>
    <w:rsid w:val="00214331"/>
    <w:rsid w:val="00214CF4"/>
    <w:rsid w:val="002172BE"/>
    <w:rsid w:val="002819B4"/>
    <w:rsid w:val="00281F03"/>
    <w:rsid w:val="00282C75"/>
    <w:rsid w:val="00282C98"/>
    <w:rsid w:val="0029458A"/>
    <w:rsid w:val="002A1587"/>
    <w:rsid w:val="002B27C5"/>
    <w:rsid w:val="002F6D9C"/>
    <w:rsid w:val="00303008"/>
    <w:rsid w:val="00356CC0"/>
    <w:rsid w:val="00373B55"/>
    <w:rsid w:val="003875E4"/>
    <w:rsid w:val="003A4ED8"/>
    <w:rsid w:val="003D727E"/>
    <w:rsid w:val="003E0341"/>
    <w:rsid w:val="003E3402"/>
    <w:rsid w:val="003F4736"/>
    <w:rsid w:val="00401B49"/>
    <w:rsid w:val="0042292D"/>
    <w:rsid w:val="00437D5B"/>
    <w:rsid w:val="00440254"/>
    <w:rsid w:val="004860D3"/>
    <w:rsid w:val="004A3BF4"/>
    <w:rsid w:val="004A5DB3"/>
    <w:rsid w:val="004B19A3"/>
    <w:rsid w:val="004D14A8"/>
    <w:rsid w:val="004D1648"/>
    <w:rsid w:val="005152D9"/>
    <w:rsid w:val="00530789"/>
    <w:rsid w:val="00533AD4"/>
    <w:rsid w:val="00534849"/>
    <w:rsid w:val="00560102"/>
    <w:rsid w:val="00561A29"/>
    <w:rsid w:val="00562EA1"/>
    <w:rsid w:val="005A498B"/>
    <w:rsid w:val="00617BB8"/>
    <w:rsid w:val="006207FF"/>
    <w:rsid w:val="006559DA"/>
    <w:rsid w:val="00680052"/>
    <w:rsid w:val="00683267"/>
    <w:rsid w:val="006844E9"/>
    <w:rsid w:val="006B3847"/>
    <w:rsid w:val="006D3CDF"/>
    <w:rsid w:val="006F4E45"/>
    <w:rsid w:val="00745723"/>
    <w:rsid w:val="0075453D"/>
    <w:rsid w:val="007A4CC6"/>
    <w:rsid w:val="007C3623"/>
    <w:rsid w:val="007C5D2A"/>
    <w:rsid w:val="007E7406"/>
    <w:rsid w:val="007F1E00"/>
    <w:rsid w:val="008066A8"/>
    <w:rsid w:val="00827444"/>
    <w:rsid w:val="008400E3"/>
    <w:rsid w:val="00864538"/>
    <w:rsid w:val="00873B4F"/>
    <w:rsid w:val="008A24F6"/>
    <w:rsid w:val="008D0489"/>
    <w:rsid w:val="008E51AE"/>
    <w:rsid w:val="008F2F8C"/>
    <w:rsid w:val="00915489"/>
    <w:rsid w:val="009925C9"/>
    <w:rsid w:val="00A11F83"/>
    <w:rsid w:val="00A179D0"/>
    <w:rsid w:val="00A358A3"/>
    <w:rsid w:val="00A46747"/>
    <w:rsid w:val="00A80446"/>
    <w:rsid w:val="00A85D26"/>
    <w:rsid w:val="00A9153A"/>
    <w:rsid w:val="00AB4376"/>
    <w:rsid w:val="00AC033C"/>
    <w:rsid w:val="00AC6A04"/>
    <w:rsid w:val="00AD2E36"/>
    <w:rsid w:val="00B23AF0"/>
    <w:rsid w:val="00B27757"/>
    <w:rsid w:val="00B45DC5"/>
    <w:rsid w:val="00BD3490"/>
    <w:rsid w:val="00BE772B"/>
    <w:rsid w:val="00C26226"/>
    <w:rsid w:val="00C272C4"/>
    <w:rsid w:val="00C3571D"/>
    <w:rsid w:val="00C54F0B"/>
    <w:rsid w:val="00C82621"/>
    <w:rsid w:val="00CA3C12"/>
    <w:rsid w:val="00CB1423"/>
    <w:rsid w:val="00D02508"/>
    <w:rsid w:val="00D778CC"/>
    <w:rsid w:val="00D82FE9"/>
    <w:rsid w:val="00D97B77"/>
    <w:rsid w:val="00DB6A85"/>
    <w:rsid w:val="00E06B32"/>
    <w:rsid w:val="00E1290F"/>
    <w:rsid w:val="00E36A80"/>
    <w:rsid w:val="00E9130E"/>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B8955"/>
  <w15:chartTrackingRefBased/>
  <w15:docId w15:val="{030514E2-F4FA-413B-A2D2-8BFEEF25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next w:val="Normal"/>
    <w:link w:val="Overskrift1Tegn"/>
    <w:uiPriority w:val="9"/>
    <w:qFormat/>
    <w:rsid w:val="00AC6A04"/>
    <w:pPr>
      <w:keepNext/>
      <w:keepLines/>
      <w:spacing w:line="259" w:lineRule="auto"/>
      <w:ind w:left="13" w:hanging="10"/>
      <w:outlineLvl w:val="0"/>
    </w:pPr>
    <w:rPr>
      <w:b/>
      <w:color w:val="000000"/>
      <w:kern w:val="2"/>
      <w:sz w:val="22"/>
      <w:szCs w:val="24"/>
      <w:lang w:val="en-GB" w:eastAsia="en-GB"/>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customStyle="1" w:styleId="Overskrift1Tegn">
    <w:name w:val="Overskrift 1 Tegn"/>
    <w:basedOn w:val="Standardskrifttypeiafsnit"/>
    <w:link w:val="Overskrift1"/>
    <w:uiPriority w:val="9"/>
    <w:rsid w:val="00AC6A04"/>
    <w:rPr>
      <w:b/>
      <w:color w:val="000000"/>
      <w:kern w:val="2"/>
      <w:sz w:val="22"/>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Template>
  <TotalTime>5</TotalTime>
  <Pages>33</Pages>
  <Words>12072</Words>
  <Characters>73643</Characters>
  <Application>Microsoft Office Word</Application>
  <DocSecurity>0</DocSecurity>
  <Lines>613</Lines>
  <Paragraphs>171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2025020240 mt</dc:description>
  <cp:lastModifiedBy>Hanne Thy Iversen</cp:lastModifiedBy>
  <cp:revision>5</cp:revision>
  <cp:lastPrinted>2006-02-24T09:31:00Z</cp:lastPrinted>
  <dcterms:created xsi:type="dcterms:W3CDTF">2026-09-22T08:10:00Z</dcterms:created>
  <dcterms:modified xsi:type="dcterms:W3CDTF">2026-09-24T09:09:00Z</dcterms:modified>
</cp:coreProperties>
</file>