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1D5D" w14:textId="25F7AAA4" w:rsidR="009260DE" w:rsidRPr="00286CAA" w:rsidRDefault="0021526C" w:rsidP="00A956DD">
      <w:pPr>
        <w:rPr>
          <w:b/>
          <w:sz w:val="24"/>
          <w:szCs w:val="24"/>
        </w:rPr>
      </w:pPr>
      <w:r w:rsidRPr="00286CAA">
        <w:rPr>
          <w:noProof/>
          <w:sz w:val="24"/>
          <w:szCs w:val="24"/>
          <w:lang w:eastAsia="da-DK"/>
        </w:rPr>
        <w:drawing>
          <wp:anchor distT="0" distB="0" distL="114300" distR="114300" simplePos="0" relativeHeight="251658240" behindDoc="0" locked="0" layoutInCell="1" allowOverlap="1" wp14:anchorId="5ADCCC4A" wp14:editId="6396239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286CAA">
        <w:rPr>
          <w:sz w:val="24"/>
          <w:szCs w:val="24"/>
        </w:rPr>
        <w:br w:type="textWrapping" w:clear="all"/>
      </w:r>
    </w:p>
    <w:p w14:paraId="57BC6834" w14:textId="1BB7D610" w:rsidR="009260DE" w:rsidRPr="00286CAA" w:rsidRDefault="009260DE" w:rsidP="009260DE">
      <w:pPr>
        <w:pStyle w:val="Titel"/>
        <w:tabs>
          <w:tab w:val="right" w:pos="9356"/>
        </w:tabs>
        <w:jc w:val="left"/>
        <w:rPr>
          <w:b w:val="0"/>
          <w:szCs w:val="24"/>
          <w:lang w:eastAsia="en-US"/>
        </w:rPr>
      </w:pPr>
      <w:r w:rsidRPr="00286CAA">
        <w:rPr>
          <w:b w:val="0"/>
          <w:szCs w:val="24"/>
          <w:lang w:eastAsia="en-US"/>
        </w:rPr>
        <w:tab/>
      </w:r>
      <w:r w:rsidR="00C52CC5">
        <w:rPr>
          <w:szCs w:val="24"/>
        </w:rPr>
        <w:t>16. juni 2026</w:t>
      </w:r>
    </w:p>
    <w:p w14:paraId="71F6708C" w14:textId="77777777" w:rsidR="009260DE" w:rsidRPr="00286CAA" w:rsidRDefault="009260DE" w:rsidP="009260DE">
      <w:pPr>
        <w:pStyle w:val="Titel"/>
        <w:tabs>
          <w:tab w:val="left" w:pos="8222"/>
        </w:tabs>
        <w:jc w:val="left"/>
        <w:rPr>
          <w:b w:val="0"/>
          <w:szCs w:val="24"/>
        </w:rPr>
      </w:pPr>
    </w:p>
    <w:p w14:paraId="1648AD03" w14:textId="77777777" w:rsidR="009260DE" w:rsidRPr="00286CAA" w:rsidRDefault="009260DE" w:rsidP="009260DE">
      <w:pPr>
        <w:pStyle w:val="Titel"/>
        <w:jc w:val="left"/>
        <w:rPr>
          <w:b w:val="0"/>
          <w:szCs w:val="24"/>
        </w:rPr>
      </w:pPr>
    </w:p>
    <w:p w14:paraId="7D221332" w14:textId="77777777" w:rsidR="009260DE" w:rsidRPr="00286CAA" w:rsidRDefault="009260DE" w:rsidP="009260DE">
      <w:pPr>
        <w:pStyle w:val="Titel"/>
        <w:jc w:val="left"/>
        <w:rPr>
          <w:b w:val="0"/>
          <w:szCs w:val="24"/>
        </w:rPr>
      </w:pPr>
    </w:p>
    <w:p w14:paraId="1F474D77" w14:textId="77777777" w:rsidR="009260DE" w:rsidRPr="00286CAA" w:rsidRDefault="009260DE" w:rsidP="009260DE">
      <w:pPr>
        <w:jc w:val="center"/>
        <w:rPr>
          <w:b/>
          <w:sz w:val="24"/>
          <w:szCs w:val="24"/>
        </w:rPr>
      </w:pPr>
      <w:r w:rsidRPr="00286CAA">
        <w:rPr>
          <w:b/>
          <w:sz w:val="24"/>
          <w:szCs w:val="24"/>
        </w:rPr>
        <w:t>PRODUKTRESUMÉ</w:t>
      </w:r>
    </w:p>
    <w:p w14:paraId="0D73A214" w14:textId="77777777" w:rsidR="009260DE" w:rsidRPr="00286CAA" w:rsidRDefault="009260DE" w:rsidP="009260DE">
      <w:pPr>
        <w:jc w:val="center"/>
        <w:rPr>
          <w:b/>
          <w:sz w:val="24"/>
          <w:szCs w:val="24"/>
        </w:rPr>
      </w:pPr>
    </w:p>
    <w:p w14:paraId="281D968F" w14:textId="77777777" w:rsidR="009260DE" w:rsidRPr="00286CAA" w:rsidRDefault="009260DE" w:rsidP="009260DE">
      <w:pPr>
        <w:jc w:val="center"/>
        <w:rPr>
          <w:b/>
          <w:sz w:val="24"/>
          <w:szCs w:val="24"/>
        </w:rPr>
      </w:pPr>
      <w:r w:rsidRPr="00286CAA">
        <w:rPr>
          <w:b/>
          <w:sz w:val="24"/>
          <w:szCs w:val="24"/>
        </w:rPr>
        <w:t>for</w:t>
      </w:r>
    </w:p>
    <w:p w14:paraId="1225B5C2" w14:textId="77777777" w:rsidR="000B058C" w:rsidRPr="00286CAA" w:rsidRDefault="000B058C" w:rsidP="009260DE">
      <w:pPr>
        <w:jc w:val="center"/>
        <w:rPr>
          <w:b/>
          <w:sz w:val="24"/>
          <w:szCs w:val="24"/>
        </w:rPr>
      </w:pPr>
    </w:p>
    <w:p w14:paraId="4BBA83BB" w14:textId="5A087BD6" w:rsidR="009260DE" w:rsidRPr="00286CAA" w:rsidRDefault="005C19C3" w:rsidP="009260DE">
      <w:pPr>
        <w:jc w:val="center"/>
        <w:rPr>
          <w:b/>
          <w:sz w:val="24"/>
          <w:szCs w:val="24"/>
        </w:rPr>
      </w:pPr>
      <w:r w:rsidRPr="00286CAA">
        <w:rPr>
          <w:b/>
          <w:sz w:val="24"/>
          <w:szCs w:val="24"/>
        </w:rPr>
        <w:t>Ivacaftor "Teva", filmovertrukne tabletter</w:t>
      </w:r>
    </w:p>
    <w:p w14:paraId="4D5C75DF" w14:textId="77777777" w:rsidR="009260DE" w:rsidRPr="00286CAA" w:rsidRDefault="009260DE" w:rsidP="009260DE">
      <w:pPr>
        <w:jc w:val="both"/>
        <w:rPr>
          <w:sz w:val="24"/>
          <w:szCs w:val="24"/>
        </w:rPr>
      </w:pPr>
    </w:p>
    <w:p w14:paraId="6F22DD27" w14:textId="77777777" w:rsidR="009260DE" w:rsidRPr="00286CAA" w:rsidRDefault="009260DE" w:rsidP="009260DE">
      <w:pPr>
        <w:jc w:val="both"/>
        <w:rPr>
          <w:sz w:val="24"/>
          <w:szCs w:val="24"/>
        </w:rPr>
      </w:pPr>
    </w:p>
    <w:p w14:paraId="278B05A6" w14:textId="77777777" w:rsidR="009260DE" w:rsidRPr="00286CAA" w:rsidRDefault="009260DE" w:rsidP="009260DE">
      <w:pPr>
        <w:tabs>
          <w:tab w:val="left" w:pos="851"/>
        </w:tabs>
        <w:ind w:left="851" w:hanging="851"/>
        <w:rPr>
          <w:b/>
          <w:sz w:val="24"/>
          <w:szCs w:val="24"/>
        </w:rPr>
      </w:pPr>
      <w:r w:rsidRPr="00286CAA">
        <w:rPr>
          <w:b/>
          <w:sz w:val="24"/>
          <w:szCs w:val="24"/>
        </w:rPr>
        <w:t>0.</w:t>
      </w:r>
      <w:r w:rsidRPr="00286CAA">
        <w:rPr>
          <w:b/>
          <w:sz w:val="24"/>
          <w:szCs w:val="24"/>
        </w:rPr>
        <w:tab/>
        <w:t>D.SP.NR.</w:t>
      </w:r>
    </w:p>
    <w:p w14:paraId="1B647B1D" w14:textId="7B79A808" w:rsidR="009260DE" w:rsidRPr="00286CAA" w:rsidRDefault="005C19C3" w:rsidP="009260DE">
      <w:pPr>
        <w:tabs>
          <w:tab w:val="left" w:pos="851"/>
        </w:tabs>
        <w:ind w:left="851"/>
        <w:rPr>
          <w:sz w:val="24"/>
          <w:szCs w:val="24"/>
        </w:rPr>
      </w:pPr>
      <w:r w:rsidRPr="00286CAA">
        <w:rPr>
          <w:sz w:val="24"/>
          <w:szCs w:val="24"/>
        </w:rPr>
        <w:t>34596</w:t>
      </w:r>
    </w:p>
    <w:p w14:paraId="78D3B7C9" w14:textId="77777777" w:rsidR="009260DE" w:rsidRPr="00286CAA" w:rsidRDefault="009260DE" w:rsidP="009260DE">
      <w:pPr>
        <w:tabs>
          <w:tab w:val="left" w:pos="851"/>
        </w:tabs>
        <w:ind w:left="851"/>
        <w:rPr>
          <w:sz w:val="24"/>
          <w:szCs w:val="24"/>
        </w:rPr>
      </w:pPr>
    </w:p>
    <w:p w14:paraId="6D3E9952" w14:textId="77777777" w:rsidR="009260DE" w:rsidRPr="00286CAA" w:rsidRDefault="009260DE" w:rsidP="009260DE">
      <w:pPr>
        <w:tabs>
          <w:tab w:val="left" w:pos="851"/>
        </w:tabs>
        <w:ind w:left="851" w:hanging="851"/>
        <w:rPr>
          <w:b/>
          <w:sz w:val="24"/>
          <w:szCs w:val="24"/>
        </w:rPr>
      </w:pPr>
      <w:r w:rsidRPr="00286CAA">
        <w:rPr>
          <w:b/>
          <w:sz w:val="24"/>
          <w:szCs w:val="24"/>
        </w:rPr>
        <w:t>1.</w:t>
      </w:r>
      <w:r w:rsidRPr="00286CAA">
        <w:rPr>
          <w:b/>
          <w:sz w:val="24"/>
          <w:szCs w:val="24"/>
        </w:rPr>
        <w:tab/>
        <w:t>LÆGEMIDLETS NAVN</w:t>
      </w:r>
    </w:p>
    <w:p w14:paraId="158CD002" w14:textId="0021E971" w:rsidR="009260DE" w:rsidRPr="00286CAA" w:rsidRDefault="005C19C3" w:rsidP="009260DE">
      <w:pPr>
        <w:tabs>
          <w:tab w:val="left" w:pos="851"/>
        </w:tabs>
        <w:ind w:left="851"/>
        <w:rPr>
          <w:sz w:val="24"/>
          <w:szCs w:val="24"/>
        </w:rPr>
      </w:pPr>
      <w:r w:rsidRPr="00286CAA">
        <w:rPr>
          <w:sz w:val="24"/>
          <w:szCs w:val="24"/>
        </w:rPr>
        <w:t>Ivacaftor "Teva"</w:t>
      </w:r>
    </w:p>
    <w:p w14:paraId="5614A1E2" w14:textId="77777777" w:rsidR="009260DE" w:rsidRPr="00286CAA" w:rsidRDefault="009260DE" w:rsidP="009260DE">
      <w:pPr>
        <w:tabs>
          <w:tab w:val="left" w:pos="851"/>
        </w:tabs>
        <w:ind w:left="851"/>
        <w:rPr>
          <w:sz w:val="24"/>
          <w:szCs w:val="24"/>
        </w:rPr>
      </w:pPr>
    </w:p>
    <w:p w14:paraId="70934E0A" w14:textId="77777777" w:rsidR="009260DE" w:rsidRPr="00286CAA" w:rsidRDefault="009260DE" w:rsidP="009260DE">
      <w:pPr>
        <w:tabs>
          <w:tab w:val="left" w:pos="851"/>
        </w:tabs>
        <w:ind w:left="851" w:hanging="851"/>
        <w:rPr>
          <w:b/>
          <w:sz w:val="24"/>
          <w:szCs w:val="24"/>
        </w:rPr>
      </w:pPr>
      <w:r w:rsidRPr="00286CAA">
        <w:rPr>
          <w:b/>
          <w:sz w:val="24"/>
          <w:szCs w:val="24"/>
        </w:rPr>
        <w:t>2.</w:t>
      </w:r>
      <w:r w:rsidRPr="00286CAA">
        <w:rPr>
          <w:b/>
          <w:sz w:val="24"/>
          <w:szCs w:val="24"/>
        </w:rPr>
        <w:tab/>
        <w:t>KVALITATIV OG KVANTITATIV SAMMENSÆTNING</w:t>
      </w:r>
    </w:p>
    <w:p w14:paraId="21ACB293" w14:textId="77777777" w:rsidR="006B3444" w:rsidRPr="006B3444" w:rsidRDefault="006B3444" w:rsidP="00B76914">
      <w:pPr>
        <w:ind w:left="851"/>
        <w:rPr>
          <w:sz w:val="24"/>
          <w:szCs w:val="24"/>
        </w:rPr>
      </w:pPr>
      <w:r w:rsidRPr="006B3444">
        <w:rPr>
          <w:sz w:val="24"/>
          <w:szCs w:val="24"/>
        </w:rPr>
        <w:t>Hver filmovertrukket tablet indeholder 150 mg ivacaftor.</w:t>
      </w:r>
    </w:p>
    <w:p w14:paraId="794B75E2" w14:textId="77777777" w:rsidR="006B3444" w:rsidRPr="006B3444" w:rsidRDefault="006B3444" w:rsidP="00B76914">
      <w:pPr>
        <w:ind w:left="851"/>
        <w:rPr>
          <w:sz w:val="24"/>
          <w:szCs w:val="24"/>
        </w:rPr>
      </w:pPr>
    </w:p>
    <w:p w14:paraId="5EF6600D" w14:textId="77777777" w:rsidR="006B3444" w:rsidRPr="006B3444" w:rsidRDefault="006B3444" w:rsidP="00B76914">
      <w:pPr>
        <w:ind w:left="851"/>
        <w:rPr>
          <w:i/>
          <w:sz w:val="24"/>
          <w:szCs w:val="24"/>
          <w:u w:val="single"/>
        </w:rPr>
      </w:pPr>
      <w:r w:rsidRPr="006B3444">
        <w:rPr>
          <w:i/>
          <w:sz w:val="24"/>
          <w:szCs w:val="24"/>
          <w:u w:val="single"/>
        </w:rPr>
        <w:t>Hjælpestof, som behandleren skal være opmærksom på</w:t>
      </w:r>
    </w:p>
    <w:p w14:paraId="7A523D81" w14:textId="77777777" w:rsidR="00B67369" w:rsidRDefault="006B3444" w:rsidP="00B76914">
      <w:pPr>
        <w:ind w:left="851"/>
        <w:rPr>
          <w:sz w:val="24"/>
          <w:szCs w:val="24"/>
        </w:rPr>
      </w:pPr>
      <w:r w:rsidRPr="006B3444">
        <w:rPr>
          <w:sz w:val="24"/>
          <w:szCs w:val="24"/>
        </w:rPr>
        <w:t xml:space="preserve">Hver filmovertrukket tablet indeholder 173,6 mg lactose (som lactosemonohydrat). </w:t>
      </w:r>
    </w:p>
    <w:p w14:paraId="2CCFC3CA" w14:textId="66558813" w:rsidR="006B3444" w:rsidRPr="006B3444" w:rsidRDefault="006B3444" w:rsidP="00B76914">
      <w:pPr>
        <w:ind w:left="851"/>
        <w:rPr>
          <w:sz w:val="24"/>
          <w:szCs w:val="24"/>
        </w:rPr>
      </w:pPr>
      <w:r w:rsidRPr="006B3444">
        <w:rPr>
          <w:sz w:val="24"/>
          <w:szCs w:val="24"/>
        </w:rPr>
        <w:t>Alle hjælpestoffer er anført under pkt. 6.1.</w:t>
      </w:r>
    </w:p>
    <w:p w14:paraId="6A729C8B" w14:textId="77777777" w:rsidR="009260DE" w:rsidRPr="00286CAA" w:rsidRDefault="009260DE" w:rsidP="009260DE">
      <w:pPr>
        <w:tabs>
          <w:tab w:val="left" w:pos="851"/>
        </w:tabs>
        <w:ind w:left="851"/>
        <w:rPr>
          <w:sz w:val="24"/>
          <w:szCs w:val="24"/>
        </w:rPr>
      </w:pPr>
    </w:p>
    <w:p w14:paraId="49EC601B" w14:textId="77777777" w:rsidR="009260DE" w:rsidRPr="00286CAA" w:rsidRDefault="009260DE" w:rsidP="009260DE">
      <w:pPr>
        <w:tabs>
          <w:tab w:val="left" w:pos="851"/>
        </w:tabs>
        <w:ind w:left="851" w:hanging="851"/>
        <w:rPr>
          <w:b/>
          <w:sz w:val="24"/>
          <w:szCs w:val="24"/>
        </w:rPr>
      </w:pPr>
      <w:r w:rsidRPr="00286CAA">
        <w:rPr>
          <w:b/>
          <w:sz w:val="24"/>
          <w:szCs w:val="24"/>
        </w:rPr>
        <w:t>3.</w:t>
      </w:r>
      <w:r w:rsidRPr="00286CAA">
        <w:rPr>
          <w:b/>
          <w:sz w:val="24"/>
          <w:szCs w:val="24"/>
        </w:rPr>
        <w:tab/>
        <w:t>LÆGEMIDDELFORM</w:t>
      </w:r>
    </w:p>
    <w:p w14:paraId="5B7DA0C7" w14:textId="23BD22BE" w:rsidR="006B3444" w:rsidRPr="006B3444" w:rsidRDefault="006B3444" w:rsidP="00B76914">
      <w:pPr>
        <w:ind w:left="851"/>
        <w:rPr>
          <w:sz w:val="24"/>
          <w:szCs w:val="24"/>
        </w:rPr>
      </w:pPr>
      <w:r w:rsidRPr="006B3444">
        <w:rPr>
          <w:sz w:val="24"/>
          <w:szCs w:val="24"/>
        </w:rPr>
        <w:t>Filmovertruk</w:t>
      </w:r>
      <w:r w:rsidR="00B76914" w:rsidRPr="00286CAA">
        <w:rPr>
          <w:sz w:val="24"/>
          <w:szCs w:val="24"/>
        </w:rPr>
        <w:t xml:space="preserve">ne tabletter </w:t>
      </w:r>
      <w:r w:rsidRPr="006B3444">
        <w:rPr>
          <w:sz w:val="24"/>
          <w:szCs w:val="24"/>
        </w:rPr>
        <w:t>(tablet)</w:t>
      </w:r>
    </w:p>
    <w:p w14:paraId="7D8DCED3" w14:textId="77777777" w:rsidR="006B3444" w:rsidRPr="006B3444" w:rsidRDefault="006B3444" w:rsidP="00B76914">
      <w:pPr>
        <w:ind w:left="851"/>
        <w:rPr>
          <w:sz w:val="24"/>
          <w:szCs w:val="24"/>
        </w:rPr>
      </w:pPr>
    </w:p>
    <w:p w14:paraId="4444815E" w14:textId="551DA9AB" w:rsidR="006B3444" w:rsidRPr="006B3444" w:rsidRDefault="006B3444" w:rsidP="00B76914">
      <w:pPr>
        <w:ind w:left="851"/>
        <w:rPr>
          <w:sz w:val="24"/>
          <w:szCs w:val="24"/>
        </w:rPr>
      </w:pPr>
      <w:r w:rsidRPr="006B3444">
        <w:rPr>
          <w:sz w:val="24"/>
          <w:szCs w:val="24"/>
        </w:rPr>
        <w:t xml:space="preserve">Blå, oval filmovertrukket tablet (16,7 mm </w:t>
      </w:r>
      <w:r w:rsidR="00B76914" w:rsidRPr="00286CAA">
        <w:rPr>
          <w:sz w:val="24"/>
          <w:szCs w:val="24"/>
        </w:rPr>
        <w:t>×</w:t>
      </w:r>
      <w:r w:rsidRPr="006B3444">
        <w:rPr>
          <w:sz w:val="24"/>
          <w:szCs w:val="24"/>
        </w:rPr>
        <w:t xml:space="preserve"> 8,5 mm), præget med “TV” på den ene side og præget med ”L15” på den anden side.</w:t>
      </w:r>
    </w:p>
    <w:p w14:paraId="1E70D1FB" w14:textId="77777777" w:rsidR="009260DE" w:rsidRPr="00286CAA" w:rsidRDefault="009260DE" w:rsidP="009260DE">
      <w:pPr>
        <w:tabs>
          <w:tab w:val="left" w:pos="851"/>
        </w:tabs>
        <w:ind w:left="851"/>
        <w:rPr>
          <w:sz w:val="24"/>
          <w:szCs w:val="24"/>
        </w:rPr>
      </w:pPr>
    </w:p>
    <w:p w14:paraId="69344EE4" w14:textId="77777777" w:rsidR="009260DE" w:rsidRPr="00286CAA" w:rsidRDefault="009260DE" w:rsidP="009260DE">
      <w:pPr>
        <w:tabs>
          <w:tab w:val="left" w:pos="851"/>
        </w:tabs>
        <w:ind w:left="851"/>
        <w:rPr>
          <w:sz w:val="24"/>
          <w:szCs w:val="24"/>
        </w:rPr>
      </w:pPr>
    </w:p>
    <w:p w14:paraId="16C37053" w14:textId="77777777" w:rsidR="009260DE" w:rsidRPr="00286CAA" w:rsidRDefault="009260DE" w:rsidP="009260DE">
      <w:pPr>
        <w:tabs>
          <w:tab w:val="left" w:pos="851"/>
        </w:tabs>
        <w:ind w:left="851" w:hanging="851"/>
        <w:rPr>
          <w:b/>
          <w:sz w:val="24"/>
          <w:szCs w:val="24"/>
        </w:rPr>
      </w:pPr>
      <w:r w:rsidRPr="00286CAA">
        <w:rPr>
          <w:b/>
          <w:sz w:val="24"/>
          <w:szCs w:val="24"/>
        </w:rPr>
        <w:t>4.</w:t>
      </w:r>
      <w:r w:rsidRPr="00286CAA">
        <w:rPr>
          <w:b/>
          <w:sz w:val="24"/>
          <w:szCs w:val="24"/>
        </w:rPr>
        <w:tab/>
        <w:t>KLINISKE OPLYSNINGER</w:t>
      </w:r>
    </w:p>
    <w:p w14:paraId="62B8DE6A" w14:textId="77777777" w:rsidR="009260DE" w:rsidRPr="00286CAA" w:rsidRDefault="009260DE" w:rsidP="009260DE">
      <w:pPr>
        <w:tabs>
          <w:tab w:val="left" w:pos="851"/>
        </w:tabs>
        <w:ind w:left="851"/>
        <w:rPr>
          <w:b/>
          <w:sz w:val="24"/>
          <w:szCs w:val="24"/>
        </w:rPr>
      </w:pPr>
    </w:p>
    <w:p w14:paraId="69398689" w14:textId="77777777" w:rsidR="009260DE" w:rsidRPr="00286CAA" w:rsidRDefault="009260DE" w:rsidP="009260DE">
      <w:pPr>
        <w:tabs>
          <w:tab w:val="left" w:pos="851"/>
        </w:tabs>
        <w:ind w:left="851" w:hanging="851"/>
        <w:rPr>
          <w:b/>
          <w:sz w:val="24"/>
          <w:szCs w:val="24"/>
          <w:u w:val="single"/>
        </w:rPr>
      </w:pPr>
      <w:r w:rsidRPr="00286CAA">
        <w:rPr>
          <w:b/>
          <w:sz w:val="24"/>
          <w:szCs w:val="24"/>
        </w:rPr>
        <w:t>4.1</w:t>
      </w:r>
      <w:r w:rsidRPr="00286CAA">
        <w:rPr>
          <w:b/>
          <w:sz w:val="24"/>
          <w:szCs w:val="24"/>
        </w:rPr>
        <w:tab/>
        <w:t>Terapeutiske indikationer</w:t>
      </w:r>
    </w:p>
    <w:p w14:paraId="10075653" w14:textId="6C8D616F" w:rsidR="006B3444" w:rsidRPr="006B3444" w:rsidRDefault="006B3444" w:rsidP="00B76914">
      <w:pPr>
        <w:ind w:left="851"/>
        <w:rPr>
          <w:sz w:val="24"/>
          <w:szCs w:val="24"/>
        </w:rPr>
      </w:pPr>
      <w:r w:rsidRPr="006B3444">
        <w:rPr>
          <w:sz w:val="24"/>
          <w:szCs w:val="24"/>
        </w:rPr>
        <w:t xml:space="preserve">Ivacaftor </w:t>
      </w:r>
      <w:r w:rsidR="00286CAA">
        <w:rPr>
          <w:sz w:val="24"/>
          <w:szCs w:val="24"/>
        </w:rPr>
        <w:t>"Teva"</w:t>
      </w:r>
      <w:r w:rsidRPr="006B3444">
        <w:rPr>
          <w:sz w:val="24"/>
          <w:szCs w:val="24"/>
        </w:rPr>
        <w:t xml:space="preserve"> tabletter er indiceret:</w:t>
      </w:r>
    </w:p>
    <w:p w14:paraId="048765FA" w14:textId="0A3B00CF" w:rsidR="006B3444" w:rsidRPr="006B3444" w:rsidRDefault="006B3444" w:rsidP="00B76914">
      <w:pPr>
        <w:numPr>
          <w:ilvl w:val="2"/>
          <w:numId w:val="6"/>
        </w:numPr>
        <w:ind w:left="1276" w:hanging="425"/>
        <w:rPr>
          <w:sz w:val="24"/>
          <w:szCs w:val="24"/>
        </w:rPr>
      </w:pPr>
      <w:r w:rsidRPr="006B3444">
        <w:rPr>
          <w:sz w:val="24"/>
          <w:szCs w:val="24"/>
        </w:rPr>
        <w:t xml:space="preserve">Som monoterapi til behandling af voksne, unge og børn i alderen 6 år og derover, der vejer 25 kg eller mere, med cystisk fibrose (CF), som har en </w:t>
      </w:r>
      <w:r w:rsidRPr="006B3444">
        <w:rPr>
          <w:i/>
          <w:sz w:val="24"/>
          <w:szCs w:val="24"/>
        </w:rPr>
        <w:t>R117H-CFTR</w:t>
      </w:r>
      <w:r w:rsidRPr="006B3444">
        <w:rPr>
          <w:sz w:val="24"/>
          <w:szCs w:val="24"/>
        </w:rPr>
        <w:t xml:space="preserve">-mutation eller en af de følgende </w:t>
      </w:r>
      <w:r w:rsidRPr="006B3444">
        <w:rPr>
          <w:i/>
          <w:sz w:val="24"/>
          <w:szCs w:val="24"/>
        </w:rPr>
        <w:t xml:space="preserve">gating </w:t>
      </w:r>
      <w:r w:rsidRPr="006B3444">
        <w:rPr>
          <w:sz w:val="24"/>
          <w:szCs w:val="24"/>
        </w:rPr>
        <w:t xml:space="preserve">(klasse </w:t>
      </w:r>
      <w:proofErr w:type="gramStart"/>
      <w:r w:rsidRPr="006B3444">
        <w:rPr>
          <w:sz w:val="24"/>
          <w:szCs w:val="24"/>
        </w:rPr>
        <w:t>III)-</w:t>
      </w:r>
      <w:proofErr w:type="gramEnd"/>
      <w:r w:rsidRPr="006B3444">
        <w:rPr>
          <w:sz w:val="24"/>
          <w:szCs w:val="24"/>
        </w:rPr>
        <w:t>mutationer i cystisk fibrose-transmembran-konduktansregulator (</w:t>
      </w:r>
      <w:r w:rsidRPr="006B3444">
        <w:rPr>
          <w:i/>
          <w:sz w:val="24"/>
          <w:szCs w:val="24"/>
        </w:rPr>
        <w:t>CFTR</w:t>
      </w:r>
      <w:r w:rsidRPr="006B3444">
        <w:rPr>
          <w:sz w:val="24"/>
          <w:szCs w:val="24"/>
        </w:rPr>
        <w:t xml:space="preserve">)-genet: </w:t>
      </w:r>
      <w:r w:rsidRPr="006B3444">
        <w:rPr>
          <w:i/>
          <w:sz w:val="24"/>
          <w:szCs w:val="24"/>
        </w:rPr>
        <w:t>G551D</w:t>
      </w:r>
      <w:r w:rsidRPr="006B3444">
        <w:rPr>
          <w:sz w:val="24"/>
          <w:szCs w:val="24"/>
        </w:rPr>
        <w:t xml:space="preserve">, </w:t>
      </w:r>
      <w:r w:rsidRPr="006B3444">
        <w:rPr>
          <w:i/>
          <w:sz w:val="24"/>
          <w:szCs w:val="24"/>
        </w:rPr>
        <w:t>G1244E</w:t>
      </w:r>
      <w:r w:rsidRPr="006B3444">
        <w:rPr>
          <w:sz w:val="24"/>
          <w:szCs w:val="24"/>
        </w:rPr>
        <w:t xml:space="preserve">, </w:t>
      </w:r>
      <w:r w:rsidRPr="006B3444">
        <w:rPr>
          <w:i/>
          <w:sz w:val="24"/>
          <w:szCs w:val="24"/>
        </w:rPr>
        <w:t>G1349D</w:t>
      </w:r>
      <w:r w:rsidRPr="006B3444">
        <w:rPr>
          <w:sz w:val="24"/>
          <w:szCs w:val="24"/>
        </w:rPr>
        <w:t xml:space="preserve">, </w:t>
      </w:r>
      <w:r w:rsidRPr="006B3444">
        <w:rPr>
          <w:i/>
          <w:sz w:val="24"/>
          <w:szCs w:val="24"/>
        </w:rPr>
        <w:t>G178R</w:t>
      </w:r>
      <w:r w:rsidRPr="006B3444">
        <w:rPr>
          <w:sz w:val="24"/>
          <w:szCs w:val="24"/>
        </w:rPr>
        <w:t xml:space="preserve">, </w:t>
      </w:r>
      <w:r w:rsidRPr="006B3444">
        <w:rPr>
          <w:i/>
          <w:sz w:val="24"/>
          <w:szCs w:val="24"/>
        </w:rPr>
        <w:t>G551S</w:t>
      </w:r>
      <w:r w:rsidRPr="006B3444">
        <w:rPr>
          <w:sz w:val="24"/>
          <w:szCs w:val="24"/>
        </w:rPr>
        <w:t xml:space="preserve">, </w:t>
      </w:r>
      <w:r w:rsidRPr="006B3444">
        <w:rPr>
          <w:i/>
          <w:sz w:val="24"/>
          <w:szCs w:val="24"/>
        </w:rPr>
        <w:t>S1251N</w:t>
      </w:r>
      <w:r w:rsidRPr="006B3444">
        <w:rPr>
          <w:sz w:val="24"/>
          <w:szCs w:val="24"/>
        </w:rPr>
        <w:t xml:space="preserve">, </w:t>
      </w:r>
      <w:r w:rsidRPr="006B3444">
        <w:rPr>
          <w:i/>
          <w:sz w:val="24"/>
          <w:szCs w:val="24"/>
        </w:rPr>
        <w:t>S1255P</w:t>
      </w:r>
      <w:r w:rsidRPr="006B3444">
        <w:rPr>
          <w:sz w:val="24"/>
          <w:szCs w:val="24"/>
        </w:rPr>
        <w:t xml:space="preserve">, </w:t>
      </w:r>
      <w:r w:rsidRPr="006B3444">
        <w:rPr>
          <w:i/>
          <w:sz w:val="24"/>
          <w:szCs w:val="24"/>
        </w:rPr>
        <w:t xml:space="preserve">S549N </w:t>
      </w:r>
      <w:r w:rsidRPr="006B3444">
        <w:rPr>
          <w:sz w:val="24"/>
          <w:szCs w:val="24"/>
        </w:rPr>
        <w:t xml:space="preserve">eller </w:t>
      </w:r>
      <w:r w:rsidRPr="006B3444">
        <w:rPr>
          <w:i/>
          <w:sz w:val="24"/>
          <w:szCs w:val="24"/>
        </w:rPr>
        <w:t xml:space="preserve">S549R </w:t>
      </w:r>
      <w:r w:rsidRPr="006B3444">
        <w:rPr>
          <w:sz w:val="24"/>
          <w:szCs w:val="24"/>
        </w:rPr>
        <w:t>(se pkt. 4.4 og 5.1).</w:t>
      </w:r>
    </w:p>
    <w:p w14:paraId="7DBF42F1" w14:textId="77777777" w:rsidR="009260DE" w:rsidRPr="00286CAA" w:rsidRDefault="009260DE" w:rsidP="009260DE">
      <w:pPr>
        <w:tabs>
          <w:tab w:val="left" w:pos="851"/>
        </w:tabs>
        <w:ind w:left="851"/>
        <w:rPr>
          <w:sz w:val="24"/>
          <w:szCs w:val="24"/>
        </w:rPr>
      </w:pPr>
    </w:p>
    <w:p w14:paraId="2D780147" w14:textId="77777777" w:rsidR="009260DE" w:rsidRPr="00286CAA" w:rsidRDefault="009260DE" w:rsidP="009260DE">
      <w:pPr>
        <w:tabs>
          <w:tab w:val="left" w:pos="851"/>
        </w:tabs>
        <w:ind w:left="851" w:hanging="851"/>
        <w:rPr>
          <w:b/>
          <w:sz w:val="24"/>
          <w:szCs w:val="24"/>
        </w:rPr>
      </w:pPr>
      <w:r w:rsidRPr="00286CAA">
        <w:rPr>
          <w:b/>
          <w:sz w:val="24"/>
          <w:szCs w:val="24"/>
        </w:rPr>
        <w:t>4.2</w:t>
      </w:r>
      <w:r w:rsidRPr="00286CAA">
        <w:rPr>
          <w:b/>
          <w:sz w:val="24"/>
          <w:szCs w:val="24"/>
        </w:rPr>
        <w:tab/>
        <w:t xml:space="preserve">Dosering og </w:t>
      </w:r>
      <w:r w:rsidR="002C1EC0" w:rsidRPr="00286CAA">
        <w:rPr>
          <w:b/>
          <w:sz w:val="24"/>
          <w:szCs w:val="24"/>
        </w:rPr>
        <w:t>administration</w:t>
      </w:r>
    </w:p>
    <w:p w14:paraId="37EA93CA" w14:textId="5494FAF7" w:rsidR="006B3444" w:rsidRPr="006B3444" w:rsidRDefault="006B3444" w:rsidP="00B76914">
      <w:pPr>
        <w:ind w:left="851"/>
        <w:rPr>
          <w:sz w:val="24"/>
          <w:szCs w:val="24"/>
        </w:rPr>
      </w:pPr>
      <w:r w:rsidRPr="006B3444">
        <w:rPr>
          <w:sz w:val="24"/>
          <w:szCs w:val="24"/>
        </w:rPr>
        <w:t xml:space="preserve">Ivacaftor </w:t>
      </w:r>
      <w:r w:rsidR="00286CAA">
        <w:rPr>
          <w:sz w:val="24"/>
          <w:szCs w:val="24"/>
        </w:rPr>
        <w:t>"Teva"</w:t>
      </w:r>
      <w:r w:rsidRPr="006B3444">
        <w:rPr>
          <w:sz w:val="24"/>
          <w:szCs w:val="24"/>
        </w:rPr>
        <w:t xml:space="preserve"> bør kun ordineres af læger med erfaring i behandling af cystisk fibrose. Hvis patientens genotype er ukendt, skal genotypebestemmelse udføres ved en præcis og valideret metode før behandlingsstart, så tilstedeværelsen af en indiceret mutation i </w:t>
      </w:r>
      <w:r w:rsidRPr="006B3444">
        <w:rPr>
          <w:i/>
          <w:sz w:val="24"/>
          <w:szCs w:val="24"/>
        </w:rPr>
        <w:t>CFTR</w:t>
      </w:r>
      <w:r w:rsidRPr="006B3444">
        <w:rPr>
          <w:sz w:val="24"/>
          <w:szCs w:val="24"/>
        </w:rPr>
        <w:t>-</w:t>
      </w:r>
      <w:r w:rsidRPr="006B3444">
        <w:rPr>
          <w:sz w:val="24"/>
          <w:szCs w:val="24"/>
        </w:rPr>
        <w:lastRenderedPageBreak/>
        <w:t xml:space="preserve">genet bekræftes (se pkt. 4.1). Hvilken fase af poly-T-varianten, der er identificeret sammen med </w:t>
      </w:r>
      <w:r w:rsidRPr="006B3444">
        <w:rPr>
          <w:i/>
          <w:sz w:val="24"/>
          <w:szCs w:val="24"/>
        </w:rPr>
        <w:t>R117H</w:t>
      </w:r>
      <w:r w:rsidRPr="006B3444">
        <w:rPr>
          <w:sz w:val="24"/>
          <w:szCs w:val="24"/>
        </w:rPr>
        <w:t>-mutationen, skal bestemmes i henhold til lokale kliniske anbefalinger.</w:t>
      </w:r>
    </w:p>
    <w:p w14:paraId="3D346C5F" w14:textId="77777777" w:rsidR="006B3444" w:rsidRPr="006B3444" w:rsidRDefault="006B3444" w:rsidP="00B76914">
      <w:pPr>
        <w:ind w:left="851"/>
        <w:rPr>
          <w:sz w:val="24"/>
          <w:szCs w:val="24"/>
        </w:rPr>
      </w:pPr>
    </w:p>
    <w:p w14:paraId="3B7BE934" w14:textId="77777777" w:rsidR="006B3444" w:rsidRPr="006B3444" w:rsidRDefault="006B3444" w:rsidP="00B76914">
      <w:pPr>
        <w:ind w:left="851"/>
        <w:rPr>
          <w:sz w:val="24"/>
          <w:szCs w:val="24"/>
        </w:rPr>
      </w:pPr>
      <w:r w:rsidRPr="006B3444">
        <w:rPr>
          <w:sz w:val="24"/>
          <w:szCs w:val="24"/>
          <w:u w:val="single"/>
        </w:rPr>
        <w:t>Dosering</w:t>
      </w:r>
    </w:p>
    <w:p w14:paraId="1BAE3E45" w14:textId="77777777" w:rsidR="006B3444" w:rsidRPr="006B3444" w:rsidRDefault="006B3444" w:rsidP="00B76914">
      <w:pPr>
        <w:ind w:left="851"/>
        <w:rPr>
          <w:sz w:val="24"/>
          <w:szCs w:val="24"/>
        </w:rPr>
      </w:pPr>
    </w:p>
    <w:p w14:paraId="06979065" w14:textId="77777777" w:rsidR="006B3444" w:rsidRPr="006B3444" w:rsidRDefault="006B3444" w:rsidP="00B76914">
      <w:pPr>
        <w:ind w:left="851"/>
        <w:rPr>
          <w:sz w:val="24"/>
          <w:szCs w:val="24"/>
        </w:rPr>
      </w:pPr>
      <w:r w:rsidRPr="006B3444">
        <w:rPr>
          <w:sz w:val="24"/>
          <w:szCs w:val="24"/>
        </w:rPr>
        <w:t>Voksne, unge og børn i alderen 6 år og ældre skal doseres ifølge tabel 1.</w:t>
      </w:r>
    </w:p>
    <w:p w14:paraId="7F8B366C" w14:textId="77777777" w:rsidR="006B3444" w:rsidRPr="006B3444" w:rsidRDefault="006B3444" w:rsidP="00B76914">
      <w:pPr>
        <w:ind w:left="851"/>
        <w:rPr>
          <w:sz w:val="24"/>
          <w:szCs w:val="24"/>
        </w:rPr>
      </w:pPr>
    </w:p>
    <w:p w14:paraId="1AB3D53B" w14:textId="77777777" w:rsidR="006B3444" w:rsidRPr="006B3444" w:rsidRDefault="006B3444" w:rsidP="00B76914">
      <w:pPr>
        <w:ind w:left="851"/>
        <w:rPr>
          <w:b/>
          <w:bCs/>
          <w:sz w:val="24"/>
          <w:szCs w:val="24"/>
        </w:rPr>
      </w:pPr>
      <w:r w:rsidRPr="006B3444">
        <w:rPr>
          <w:b/>
          <w:bCs/>
          <w:sz w:val="24"/>
          <w:szCs w:val="24"/>
        </w:rPr>
        <w:t>Tabel 1: Doseringsanbefalinger</w:t>
      </w:r>
    </w:p>
    <w:p w14:paraId="000805FD" w14:textId="77777777" w:rsidR="006B3444" w:rsidRPr="006B3444" w:rsidRDefault="006B3444" w:rsidP="006B3444">
      <w:pPr>
        <w:tabs>
          <w:tab w:val="left" w:pos="851"/>
        </w:tabs>
        <w:ind w:left="851"/>
        <w:rPr>
          <w:b/>
          <w:sz w:val="24"/>
          <w:szCs w:val="24"/>
        </w:rPr>
      </w:pPr>
    </w:p>
    <w:tbl>
      <w:tblPr>
        <w:tblW w:w="867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3967"/>
        <w:gridCol w:w="2583"/>
      </w:tblGrid>
      <w:tr w:rsidR="006B3444" w:rsidRPr="006B3444" w14:paraId="250693CC" w14:textId="77777777" w:rsidTr="00B76914">
        <w:trPr>
          <w:trHeight w:val="324"/>
        </w:trPr>
        <w:tc>
          <w:tcPr>
            <w:tcW w:w="2128" w:type="dxa"/>
            <w:tcBorders>
              <w:top w:val="single" w:sz="4" w:space="0" w:color="000000"/>
              <w:left w:val="single" w:sz="4" w:space="0" w:color="000000"/>
              <w:bottom w:val="single" w:sz="4" w:space="0" w:color="000000"/>
              <w:right w:val="single" w:sz="4" w:space="0" w:color="000000"/>
            </w:tcBorders>
            <w:hideMark/>
          </w:tcPr>
          <w:p w14:paraId="4EDA6E4F" w14:textId="77777777" w:rsidR="006B3444" w:rsidRPr="006B3444" w:rsidRDefault="006B3444" w:rsidP="00B76914">
            <w:pPr>
              <w:ind w:left="133"/>
              <w:rPr>
                <w:b/>
                <w:sz w:val="24"/>
                <w:szCs w:val="24"/>
                <w:lang w:val="en-US"/>
              </w:rPr>
            </w:pPr>
            <w:r w:rsidRPr="006B3444">
              <w:rPr>
                <w:b/>
                <w:sz w:val="24"/>
                <w:szCs w:val="24"/>
                <w:lang w:val="en-US"/>
              </w:rPr>
              <w:t>Alder/vægt</w:t>
            </w:r>
          </w:p>
        </w:tc>
        <w:tc>
          <w:tcPr>
            <w:tcW w:w="3967" w:type="dxa"/>
            <w:tcBorders>
              <w:top w:val="single" w:sz="4" w:space="0" w:color="000000"/>
              <w:left w:val="single" w:sz="4" w:space="0" w:color="000000"/>
              <w:bottom w:val="single" w:sz="4" w:space="0" w:color="000000"/>
              <w:right w:val="single" w:sz="4" w:space="0" w:color="000000"/>
            </w:tcBorders>
            <w:hideMark/>
          </w:tcPr>
          <w:p w14:paraId="2CC6BDC5" w14:textId="77777777" w:rsidR="006B3444" w:rsidRPr="006B3444" w:rsidRDefault="006B3444" w:rsidP="00B76914">
            <w:pPr>
              <w:ind w:left="133"/>
              <w:rPr>
                <w:b/>
                <w:sz w:val="24"/>
                <w:szCs w:val="24"/>
                <w:lang w:val="en-US"/>
              </w:rPr>
            </w:pPr>
            <w:r w:rsidRPr="006B3444">
              <w:rPr>
                <w:b/>
                <w:sz w:val="24"/>
                <w:szCs w:val="24"/>
                <w:lang w:val="en-US"/>
              </w:rPr>
              <w:t>Morgendosis</w:t>
            </w:r>
          </w:p>
        </w:tc>
        <w:tc>
          <w:tcPr>
            <w:tcW w:w="2580" w:type="dxa"/>
            <w:tcBorders>
              <w:top w:val="single" w:sz="4" w:space="0" w:color="000000"/>
              <w:left w:val="single" w:sz="4" w:space="0" w:color="000000"/>
              <w:bottom w:val="single" w:sz="4" w:space="0" w:color="000000"/>
              <w:right w:val="single" w:sz="4" w:space="0" w:color="000000"/>
            </w:tcBorders>
            <w:hideMark/>
          </w:tcPr>
          <w:p w14:paraId="5F6AF359" w14:textId="77777777" w:rsidR="006B3444" w:rsidRPr="006B3444" w:rsidRDefault="006B3444" w:rsidP="00B76914">
            <w:pPr>
              <w:ind w:left="133"/>
              <w:rPr>
                <w:b/>
                <w:sz w:val="24"/>
                <w:szCs w:val="24"/>
                <w:lang w:val="en-US"/>
              </w:rPr>
            </w:pPr>
            <w:r w:rsidRPr="006B3444">
              <w:rPr>
                <w:b/>
                <w:sz w:val="24"/>
                <w:szCs w:val="24"/>
                <w:lang w:val="en-US"/>
              </w:rPr>
              <w:t>Aftendosis</w:t>
            </w:r>
          </w:p>
        </w:tc>
      </w:tr>
      <w:tr w:rsidR="006B3444" w:rsidRPr="006B3444" w14:paraId="00C99CA9" w14:textId="77777777" w:rsidTr="00B76914">
        <w:trPr>
          <w:trHeight w:val="305"/>
        </w:trPr>
        <w:tc>
          <w:tcPr>
            <w:tcW w:w="8678" w:type="dxa"/>
            <w:gridSpan w:val="3"/>
            <w:tcBorders>
              <w:top w:val="single" w:sz="4" w:space="0" w:color="000000"/>
              <w:left w:val="single" w:sz="4" w:space="0" w:color="000000"/>
              <w:bottom w:val="single" w:sz="4" w:space="0" w:color="000000"/>
              <w:right w:val="single" w:sz="4" w:space="0" w:color="000000"/>
            </w:tcBorders>
            <w:hideMark/>
          </w:tcPr>
          <w:p w14:paraId="0860B342" w14:textId="77777777" w:rsidR="006B3444" w:rsidRPr="006B3444" w:rsidRDefault="006B3444" w:rsidP="00B76914">
            <w:pPr>
              <w:ind w:left="133"/>
              <w:rPr>
                <w:b/>
                <w:sz w:val="24"/>
                <w:szCs w:val="24"/>
                <w:lang w:val="en-US"/>
              </w:rPr>
            </w:pPr>
            <w:r w:rsidRPr="006B3444">
              <w:rPr>
                <w:b/>
                <w:sz w:val="24"/>
                <w:szCs w:val="24"/>
                <w:lang w:val="en-US"/>
              </w:rPr>
              <w:t>Ivacaftor som monoterapi</w:t>
            </w:r>
          </w:p>
        </w:tc>
      </w:tr>
      <w:tr w:rsidR="006B3444" w:rsidRPr="006B3444" w14:paraId="6DBAB9C8" w14:textId="77777777" w:rsidTr="00B76914">
        <w:trPr>
          <w:trHeight w:val="505"/>
        </w:trPr>
        <w:tc>
          <w:tcPr>
            <w:tcW w:w="2128" w:type="dxa"/>
            <w:tcBorders>
              <w:top w:val="single" w:sz="4" w:space="0" w:color="000000"/>
              <w:left w:val="single" w:sz="4" w:space="0" w:color="000000"/>
              <w:bottom w:val="single" w:sz="4" w:space="0" w:color="000000"/>
              <w:right w:val="single" w:sz="4" w:space="0" w:color="000000"/>
            </w:tcBorders>
            <w:hideMark/>
          </w:tcPr>
          <w:p w14:paraId="518B9CEA" w14:textId="77777777" w:rsidR="006B3444" w:rsidRPr="006B3444" w:rsidRDefault="006B3444" w:rsidP="00B76914">
            <w:pPr>
              <w:ind w:left="133"/>
              <w:rPr>
                <w:sz w:val="24"/>
                <w:szCs w:val="24"/>
                <w:lang w:val="en-US"/>
              </w:rPr>
            </w:pPr>
            <w:r w:rsidRPr="006B3444">
              <w:rPr>
                <w:sz w:val="24"/>
                <w:szCs w:val="24"/>
                <w:lang w:val="en-US"/>
              </w:rPr>
              <w:t>6 år og ældre,</w:t>
            </w:r>
          </w:p>
          <w:p w14:paraId="740FAC93" w14:textId="77777777" w:rsidR="006B3444" w:rsidRPr="006B3444" w:rsidRDefault="006B3444" w:rsidP="00B76914">
            <w:pPr>
              <w:ind w:left="133"/>
              <w:rPr>
                <w:sz w:val="24"/>
                <w:szCs w:val="24"/>
                <w:lang w:val="en-US"/>
              </w:rPr>
            </w:pPr>
            <w:r w:rsidRPr="006B3444">
              <w:rPr>
                <w:sz w:val="24"/>
                <w:szCs w:val="24"/>
                <w:lang w:val="en-US"/>
              </w:rPr>
              <w:t>≥ 25 kg</w:t>
            </w:r>
          </w:p>
        </w:tc>
        <w:tc>
          <w:tcPr>
            <w:tcW w:w="3967" w:type="dxa"/>
            <w:tcBorders>
              <w:top w:val="single" w:sz="4" w:space="0" w:color="000000"/>
              <w:left w:val="single" w:sz="4" w:space="0" w:color="000000"/>
              <w:bottom w:val="single" w:sz="4" w:space="0" w:color="000000"/>
              <w:right w:val="single" w:sz="4" w:space="0" w:color="000000"/>
            </w:tcBorders>
            <w:hideMark/>
          </w:tcPr>
          <w:p w14:paraId="185C7A77" w14:textId="5D48A3AE" w:rsidR="006B3444" w:rsidRPr="006B3444" w:rsidRDefault="006B3444" w:rsidP="00B76914">
            <w:pPr>
              <w:ind w:left="133"/>
              <w:rPr>
                <w:sz w:val="24"/>
                <w:szCs w:val="24"/>
                <w:lang w:val="en-US"/>
              </w:rPr>
            </w:pPr>
            <w:r w:rsidRPr="006B3444">
              <w:rPr>
                <w:sz w:val="24"/>
                <w:szCs w:val="24"/>
                <w:lang w:val="en-US"/>
              </w:rPr>
              <w:t>Én ivacaftor 150 mg tablet</w:t>
            </w:r>
          </w:p>
        </w:tc>
        <w:tc>
          <w:tcPr>
            <w:tcW w:w="2580" w:type="dxa"/>
            <w:tcBorders>
              <w:top w:val="single" w:sz="4" w:space="0" w:color="000000"/>
              <w:left w:val="single" w:sz="4" w:space="0" w:color="000000"/>
              <w:bottom w:val="single" w:sz="4" w:space="0" w:color="000000"/>
              <w:right w:val="single" w:sz="4" w:space="0" w:color="000000"/>
            </w:tcBorders>
            <w:hideMark/>
          </w:tcPr>
          <w:p w14:paraId="2ED2F2D6" w14:textId="46BC37C2" w:rsidR="006B3444" w:rsidRPr="006B3444" w:rsidRDefault="006B3444" w:rsidP="00B76914">
            <w:pPr>
              <w:ind w:left="133"/>
              <w:rPr>
                <w:sz w:val="24"/>
                <w:szCs w:val="24"/>
                <w:lang w:val="en-US"/>
              </w:rPr>
            </w:pPr>
            <w:r w:rsidRPr="006B3444">
              <w:rPr>
                <w:sz w:val="24"/>
                <w:szCs w:val="24"/>
                <w:lang w:val="en-US"/>
              </w:rPr>
              <w:t>Én ivacaftor 150 mg tablet</w:t>
            </w:r>
          </w:p>
        </w:tc>
      </w:tr>
    </w:tbl>
    <w:p w14:paraId="39FE720F" w14:textId="77777777" w:rsidR="006B3444" w:rsidRPr="006B3444" w:rsidRDefault="006B3444" w:rsidP="006B3444">
      <w:pPr>
        <w:tabs>
          <w:tab w:val="left" w:pos="851"/>
        </w:tabs>
        <w:ind w:left="851"/>
        <w:rPr>
          <w:bCs/>
          <w:sz w:val="24"/>
          <w:szCs w:val="24"/>
        </w:rPr>
      </w:pPr>
    </w:p>
    <w:p w14:paraId="716A8D2D" w14:textId="37343D53" w:rsidR="006B3444" w:rsidRPr="006B3444" w:rsidRDefault="006B3444" w:rsidP="00B76914">
      <w:pPr>
        <w:ind w:left="851"/>
        <w:rPr>
          <w:sz w:val="24"/>
          <w:szCs w:val="24"/>
        </w:rPr>
      </w:pPr>
      <w:r w:rsidRPr="006B3444">
        <w:rPr>
          <w:sz w:val="24"/>
          <w:szCs w:val="24"/>
        </w:rPr>
        <w:t>Morgen- og aftendosen skal tages med et interval på ca. 12 timer med et fedtholdigt måltid (se Administration).</w:t>
      </w:r>
    </w:p>
    <w:p w14:paraId="1FB6EE7C" w14:textId="77777777" w:rsidR="006B3444" w:rsidRPr="006B3444" w:rsidRDefault="006B3444" w:rsidP="00B76914">
      <w:pPr>
        <w:ind w:left="851"/>
        <w:rPr>
          <w:sz w:val="24"/>
          <w:szCs w:val="24"/>
        </w:rPr>
      </w:pPr>
    </w:p>
    <w:p w14:paraId="47E7DDB1" w14:textId="77777777" w:rsidR="006B3444" w:rsidRPr="006B3444" w:rsidRDefault="006B3444" w:rsidP="00B76914">
      <w:pPr>
        <w:ind w:left="851"/>
        <w:rPr>
          <w:i/>
          <w:sz w:val="24"/>
          <w:szCs w:val="24"/>
        </w:rPr>
      </w:pPr>
      <w:r w:rsidRPr="006B3444">
        <w:rPr>
          <w:i/>
          <w:sz w:val="24"/>
          <w:szCs w:val="24"/>
        </w:rPr>
        <w:t>Glemt dosis</w:t>
      </w:r>
    </w:p>
    <w:p w14:paraId="2530B68E" w14:textId="77777777" w:rsidR="006B3444" w:rsidRPr="006B3444" w:rsidRDefault="006B3444" w:rsidP="00B76914">
      <w:pPr>
        <w:ind w:left="851"/>
        <w:rPr>
          <w:i/>
          <w:sz w:val="24"/>
          <w:szCs w:val="24"/>
        </w:rPr>
      </w:pPr>
    </w:p>
    <w:p w14:paraId="58D82499" w14:textId="667AB66B" w:rsidR="006B3444" w:rsidRPr="006B3444" w:rsidRDefault="006B3444" w:rsidP="00B76914">
      <w:pPr>
        <w:ind w:left="851"/>
        <w:rPr>
          <w:sz w:val="24"/>
          <w:szCs w:val="24"/>
        </w:rPr>
      </w:pPr>
      <w:r w:rsidRPr="006B3444">
        <w:rPr>
          <w:sz w:val="24"/>
          <w:szCs w:val="24"/>
        </w:rPr>
        <w:t>Hvis der er gået 6 timer eller mindre siden den glemte morgen- eller aftendosis, skal patienten have besked om at tage dosen så snart som muligt og derefter tage den næste dosis på det normale planlagte tidspunkt. Hvis der er gået over 6 timer fra det tidspunkt</w:t>
      </w:r>
      <w:r w:rsidR="00B67369">
        <w:rPr>
          <w:sz w:val="24"/>
          <w:szCs w:val="24"/>
        </w:rPr>
        <w:t xml:space="preserve"> </w:t>
      </w:r>
      <w:r w:rsidRPr="006B3444">
        <w:rPr>
          <w:sz w:val="24"/>
          <w:szCs w:val="24"/>
        </w:rPr>
        <w:t>dosen normalt tages på, skal patienten have besked om at vente til den næste planlagte dosis.</w:t>
      </w:r>
    </w:p>
    <w:p w14:paraId="4A127837" w14:textId="77777777" w:rsidR="006B3444" w:rsidRPr="006B3444" w:rsidRDefault="006B3444" w:rsidP="00B76914">
      <w:pPr>
        <w:ind w:left="851"/>
        <w:rPr>
          <w:sz w:val="24"/>
          <w:szCs w:val="24"/>
        </w:rPr>
      </w:pPr>
    </w:p>
    <w:p w14:paraId="419AA388" w14:textId="77777777" w:rsidR="006B3444" w:rsidRPr="006B3444" w:rsidRDefault="006B3444" w:rsidP="00B76914">
      <w:pPr>
        <w:ind w:left="851"/>
        <w:rPr>
          <w:i/>
          <w:sz w:val="24"/>
          <w:szCs w:val="24"/>
        </w:rPr>
      </w:pPr>
      <w:r w:rsidRPr="006B3444">
        <w:rPr>
          <w:i/>
          <w:sz w:val="24"/>
          <w:szCs w:val="24"/>
        </w:rPr>
        <w:t>Anvendelse sammen med CYP3A-hæmmere</w:t>
      </w:r>
    </w:p>
    <w:p w14:paraId="6480722B" w14:textId="77777777" w:rsidR="006B3444" w:rsidRPr="006B3444" w:rsidRDefault="006B3444" w:rsidP="00B76914">
      <w:pPr>
        <w:ind w:left="851"/>
        <w:rPr>
          <w:i/>
          <w:sz w:val="24"/>
          <w:szCs w:val="24"/>
        </w:rPr>
      </w:pPr>
    </w:p>
    <w:p w14:paraId="2EA8CCB0" w14:textId="77777777" w:rsidR="006B3444" w:rsidRPr="006B3444" w:rsidRDefault="006B3444" w:rsidP="00B76914">
      <w:pPr>
        <w:ind w:left="851"/>
        <w:rPr>
          <w:sz w:val="24"/>
          <w:szCs w:val="24"/>
        </w:rPr>
      </w:pPr>
      <w:r w:rsidRPr="006B3444">
        <w:rPr>
          <w:sz w:val="24"/>
          <w:szCs w:val="24"/>
        </w:rPr>
        <w:t>Ved administration sammen med moderate eller potente CYP3A-hæmmere bør ivacaftor-dosen justeres som beskrevet i tabel 2. Doseringsintervaller bør modificeres i overensstemmelse med klinisk respons og tolerabilitet (se pkt. 4.4 og 4.5).</w:t>
      </w:r>
    </w:p>
    <w:p w14:paraId="1CC15973" w14:textId="77777777" w:rsidR="006B3444" w:rsidRPr="006B3444" w:rsidRDefault="006B3444" w:rsidP="00B76914">
      <w:pPr>
        <w:ind w:left="851"/>
        <w:rPr>
          <w:sz w:val="24"/>
          <w:szCs w:val="24"/>
        </w:rPr>
      </w:pPr>
    </w:p>
    <w:p w14:paraId="40915EA1" w14:textId="77777777" w:rsidR="006B3444" w:rsidRPr="006B3444" w:rsidRDefault="006B3444" w:rsidP="006B3444">
      <w:pPr>
        <w:tabs>
          <w:tab w:val="left" w:pos="851"/>
        </w:tabs>
        <w:ind w:left="851"/>
        <w:rPr>
          <w:b/>
          <w:bCs/>
          <w:sz w:val="24"/>
          <w:szCs w:val="24"/>
        </w:rPr>
      </w:pPr>
      <w:r w:rsidRPr="006B3444">
        <w:rPr>
          <w:b/>
          <w:bCs/>
          <w:sz w:val="24"/>
          <w:szCs w:val="24"/>
        </w:rPr>
        <w:t>Tabel 2: Doseringsanbefalinger ved anvendelse sammen med moderate eller potente CYP3A-hæmmere</w:t>
      </w:r>
    </w:p>
    <w:p w14:paraId="23E815C4" w14:textId="77777777" w:rsidR="006B3444" w:rsidRPr="006B3444" w:rsidRDefault="006B3444" w:rsidP="006B3444">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50"/>
        <w:gridCol w:w="3869"/>
        <w:gridCol w:w="3809"/>
      </w:tblGrid>
      <w:tr w:rsidR="006B3444" w:rsidRPr="006B3444" w14:paraId="43C1E053" w14:textId="77777777" w:rsidTr="00B76914">
        <w:trPr>
          <w:trHeight w:val="260"/>
        </w:trPr>
        <w:tc>
          <w:tcPr>
            <w:tcW w:w="1013" w:type="pct"/>
            <w:tcBorders>
              <w:top w:val="single" w:sz="4" w:space="0" w:color="000000"/>
              <w:left w:val="single" w:sz="4" w:space="0" w:color="000000"/>
              <w:bottom w:val="single" w:sz="4" w:space="0" w:color="000000"/>
              <w:right w:val="single" w:sz="4" w:space="0" w:color="000000"/>
            </w:tcBorders>
            <w:hideMark/>
          </w:tcPr>
          <w:p w14:paraId="1997BA6D" w14:textId="77777777" w:rsidR="006B3444" w:rsidRPr="006B3444" w:rsidRDefault="006B3444" w:rsidP="00B76914">
            <w:pPr>
              <w:ind w:left="133"/>
              <w:rPr>
                <w:b/>
                <w:sz w:val="24"/>
                <w:szCs w:val="24"/>
                <w:lang w:val="en-US"/>
              </w:rPr>
            </w:pPr>
            <w:r w:rsidRPr="006B3444">
              <w:rPr>
                <w:b/>
                <w:sz w:val="24"/>
                <w:szCs w:val="24"/>
                <w:lang w:val="en-US"/>
              </w:rPr>
              <w:t>Alder/vægt</w:t>
            </w:r>
          </w:p>
        </w:tc>
        <w:tc>
          <w:tcPr>
            <w:tcW w:w="2009" w:type="pct"/>
            <w:tcBorders>
              <w:top w:val="single" w:sz="4" w:space="0" w:color="000000"/>
              <w:left w:val="single" w:sz="4" w:space="0" w:color="000000"/>
              <w:bottom w:val="single" w:sz="4" w:space="0" w:color="000000"/>
              <w:right w:val="single" w:sz="4" w:space="0" w:color="000000"/>
            </w:tcBorders>
            <w:hideMark/>
          </w:tcPr>
          <w:p w14:paraId="6CD7A03E" w14:textId="77777777" w:rsidR="006B3444" w:rsidRPr="006B3444" w:rsidRDefault="006B3444" w:rsidP="00B76914">
            <w:pPr>
              <w:ind w:left="133"/>
              <w:rPr>
                <w:b/>
                <w:sz w:val="24"/>
                <w:szCs w:val="24"/>
                <w:lang w:val="en-US"/>
              </w:rPr>
            </w:pPr>
            <w:r w:rsidRPr="006B3444">
              <w:rPr>
                <w:b/>
                <w:sz w:val="24"/>
                <w:szCs w:val="24"/>
                <w:lang w:val="en-US"/>
              </w:rPr>
              <w:t>Moderate CYP3A-hæmmere</w:t>
            </w:r>
          </w:p>
        </w:tc>
        <w:tc>
          <w:tcPr>
            <w:tcW w:w="1978" w:type="pct"/>
            <w:tcBorders>
              <w:top w:val="single" w:sz="4" w:space="0" w:color="000000"/>
              <w:left w:val="single" w:sz="4" w:space="0" w:color="000000"/>
              <w:bottom w:val="single" w:sz="4" w:space="0" w:color="000000"/>
              <w:right w:val="single" w:sz="4" w:space="0" w:color="000000"/>
            </w:tcBorders>
            <w:hideMark/>
          </w:tcPr>
          <w:p w14:paraId="272B50A7" w14:textId="77777777" w:rsidR="006B3444" w:rsidRPr="006B3444" w:rsidRDefault="006B3444" w:rsidP="00B76914">
            <w:pPr>
              <w:ind w:left="133"/>
              <w:rPr>
                <w:b/>
                <w:sz w:val="24"/>
                <w:szCs w:val="24"/>
                <w:lang w:val="en-US"/>
              </w:rPr>
            </w:pPr>
            <w:r w:rsidRPr="006B3444">
              <w:rPr>
                <w:b/>
                <w:sz w:val="24"/>
                <w:szCs w:val="24"/>
                <w:lang w:val="en-US"/>
              </w:rPr>
              <w:t>Potente CYP3A-hæmmere</w:t>
            </w:r>
          </w:p>
        </w:tc>
      </w:tr>
      <w:tr w:rsidR="006B3444" w:rsidRPr="006B3444" w14:paraId="273F0490" w14:textId="77777777" w:rsidTr="00B76914">
        <w:trPr>
          <w:trHeight w:val="26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C798D4" w14:textId="77777777" w:rsidR="006B3444" w:rsidRPr="006B3444" w:rsidRDefault="006B3444" w:rsidP="00B76914">
            <w:pPr>
              <w:ind w:left="133"/>
              <w:rPr>
                <w:b/>
                <w:sz w:val="24"/>
                <w:szCs w:val="24"/>
                <w:lang w:val="en-US"/>
              </w:rPr>
            </w:pPr>
            <w:r w:rsidRPr="006B3444">
              <w:rPr>
                <w:b/>
                <w:sz w:val="24"/>
                <w:szCs w:val="24"/>
                <w:lang w:val="en-US"/>
              </w:rPr>
              <w:t>Ivacaftor som monoterapi</w:t>
            </w:r>
          </w:p>
        </w:tc>
      </w:tr>
      <w:tr w:rsidR="006B3444" w:rsidRPr="006B3444" w14:paraId="46992DE2" w14:textId="77777777" w:rsidTr="00B76914">
        <w:trPr>
          <w:trHeight w:val="1271"/>
        </w:trPr>
        <w:tc>
          <w:tcPr>
            <w:tcW w:w="1013" w:type="pct"/>
            <w:tcBorders>
              <w:top w:val="single" w:sz="4" w:space="0" w:color="000000"/>
              <w:left w:val="single" w:sz="4" w:space="0" w:color="000000"/>
              <w:bottom w:val="single" w:sz="4" w:space="0" w:color="000000"/>
              <w:right w:val="single" w:sz="4" w:space="0" w:color="000000"/>
            </w:tcBorders>
            <w:hideMark/>
          </w:tcPr>
          <w:p w14:paraId="379ED26B" w14:textId="77777777" w:rsidR="006B3444" w:rsidRPr="006B3444" w:rsidRDefault="006B3444" w:rsidP="00B76914">
            <w:pPr>
              <w:ind w:left="133"/>
              <w:rPr>
                <w:sz w:val="24"/>
                <w:szCs w:val="24"/>
                <w:lang w:val="en-US"/>
              </w:rPr>
            </w:pPr>
            <w:r w:rsidRPr="006B3444">
              <w:rPr>
                <w:sz w:val="24"/>
                <w:szCs w:val="24"/>
                <w:lang w:val="en-US"/>
              </w:rPr>
              <w:t>6 år og ældre,</w:t>
            </w:r>
          </w:p>
          <w:p w14:paraId="62FB1EFF" w14:textId="77777777" w:rsidR="006B3444" w:rsidRPr="006B3444" w:rsidRDefault="006B3444" w:rsidP="00B76914">
            <w:pPr>
              <w:ind w:left="133"/>
              <w:rPr>
                <w:sz w:val="24"/>
                <w:szCs w:val="24"/>
                <w:lang w:val="en-US"/>
              </w:rPr>
            </w:pPr>
            <w:r w:rsidRPr="006B3444">
              <w:rPr>
                <w:sz w:val="24"/>
                <w:szCs w:val="24"/>
                <w:lang w:val="en-US"/>
              </w:rPr>
              <w:t>≥ 25 kg</w:t>
            </w:r>
          </w:p>
        </w:tc>
        <w:tc>
          <w:tcPr>
            <w:tcW w:w="2009" w:type="pct"/>
            <w:tcBorders>
              <w:top w:val="single" w:sz="4" w:space="0" w:color="000000"/>
              <w:left w:val="single" w:sz="4" w:space="0" w:color="000000"/>
              <w:bottom w:val="single" w:sz="4" w:space="0" w:color="000000"/>
              <w:right w:val="single" w:sz="4" w:space="0" w:color="000000"/>
            </w:tcBorders>
          </w:tcPr>
          <w:p w14:paraId="56E10B74" w14:textId="0F160130" w:rsidR="006B3444" w:rsidRPr="006B3444" w:rsidRDefault="006B3444" w:rsidP="00B76914">
            <w:pPr>
              <w:ind w:left="133"/>
              <w:rPr>
                <w:sz w:val="24"/>
                <w:szCs w:val="24"/>
              </w:rPr>
            </w:pPr>
            <w:r w:rsidRPr="006B3444">
              <w:rPr>
                <w:sz w:val="24"/>
                <w:szCs w:val="24"/>
              </w:rPr>
              <w:t>Én morgentablet med ivacaftor 150</w:t>
            </w:r>
            <w:r w:rsidR="00286CAA">
              <w:rPr>
                <w:sz w:val="24"/>
                <w:szCs w:val="24"/>
              </w:rPr>
              <w:t> </w:t>
            </w:r>
            <w:r w:rsidRPr="006B3444">
              <w:rPr>
                <w:sz w:val="24"/>
                <w:szCs w:val="24"/>
              </w:rPr>
              <w:t>mg én gang dagligt.</w:t>
            </w:r>
          </w:p>
          <w:p w14:paraId="128153C9" w14:textId="77777777" w:rsidR="006B3444" w:rsidRPr="006B3444" w:rsidRDefault="006B3444" w:rsidP="00B76914">
            <w:pPr>
              <w:ind w:left="133"/>
              <w:rPr>
                <w:bCs/>
                <w:sz w:val="24"/>
                <w:szCs w:val="24"/>
              </w:rPr>
            </w:pPr>
          </w:p>
          <w:p w14:paraId="0677F60D" w14:textId="77777777" w:rsidR="006B3444" w:rsidRPr="006B3444" w:rsidRDefault="006B3444" w:rsidP="00B76914">
            <w:pPr>
              <w:ind w:left="133"/>
              <w:rPr>
                <w:sz w:val="24"/>
                <w:szCs w:val="24"/>
                <w:lang w:val="en-US"/>
              </w:rPr>
            </w:pPr>
            <w:r w:rsidRPr="006B3444">
              <w:rPr>
                <w:sz w:val="24"/>
                <w:szCs w:val="24"/>
                <w:lang w:val="en-US"/>
              </w:rPr>
              <w:t>Ingen aftendosis af ivacaftor.</w:t>
            </w:r>
          </w:p>
        </w:tc>
        <w:tc>
          <w:tcPr>
            <w:tcW w:w="1978" w:type="pct"/>
            <w:tcBorders>
              <w:top w:val="single" w:sz="4" w:space="0" w:color="000000"/>
              <w:left w:val="single" w:sz="4" w:space="0" w:color="000000"/>
              <w:bottom w:val="single" w:sz="4" w:space="0" w:color="000000"/>
              <w:right w:val="single" w:sz="4" w:space="0" w:color="000000"/>
            </w:tcBorders>
          </w:tcPr>
          <w:p w14:paraId="4D542D9E" w14:textId="5DE76723" w:rsidR="006B3444" w:rsidRPr="006B3444" w:rsidRDefault="006B3444" w:rsidP="00B76914">
            <w:pPr>
              <w:ind w:left="133"/>
              <w:rPr>
                <w:sz w:val="24"/>
                <w:szCs w:val="24"/>
              </w:rPr>
            </w:pPr>
            <w:r w:rsidRPr="006B3444">
              <w:rPr>
                <w:sz w:val="24"/>
                <w:szCs w:val="24"/>
              </w:rPr>
              <w:t>Én morgentablet med ivacaftor</w:t>
            </w:r>
            <w:r w:rsidR="00286CAA">
              <w:rPr>
                <w:sz w:val="24"/>
                <w:szCs w:val="24"/>
              </w:rPr>
              <w:t xml:space="preserve"> </w:t>
            </w:r>
            <w:r w:rsidRPr="006B3444">
              <w:rPr>
                <w:sz w:val="24"/>
                <w:szCs w:val="24"/>
              </w:rPr>
              <w:t>150</w:t>
            </w:r>
            <w:r w:rsidR="00286CAA">
              <w:rPr>
                <w:sz w:val="24"/>
                <w:szCs w:val="24"/>
              </w:rPr>
              <w:t> </w:t>
            </w:r>
            <w:r w:rsidRPr="006B3444">
              <w:rPr>
                <w:sz w:val="24"/>
                <w:szCs w:val="24"/>
              </w:rPr>
              <w:t>mg to gange om ugen med ca. 3 til 4 dages mellemrum.</w:t>
            </w:r>
          </w:p>
          <w:p w14:paraId="3166E9C1" w14:textId="77777777" w:rsidR="006B3444" w:rsidRPr="006B3444" w:rsidRDefault="006B3444" w:rsidP="00B76914">
            <w:pPr>
              <w:ind w:left="133"/>
              <w:rPr>
                <w:bCs/>
                <w:sz w:val="24"/>
                <w:szCs w:val="24"/>
              </w:rPr>
            </w:pPr>
          </w:p>
          <w:p w14:paraId="54226568" w14:textId="77777777" w:rsidR="006B3444" w:rsidRPr="006B3444" w:rsidRDefault="006B3444" w:rsidP="00B76914">
            <w:pPr>
              <w:ind w:left="133"/>
              <w:rPr>
                <w:sz w:val="24"/>
                <w:szCs w:val="24"/>
                <w:lang w:val="en-US"/>
              </w:rPr>
            </w:pPr>
            <w:r w:rsidRPr="006B3444">
              <w:rPr>
                <w:sz w:val="24"/>
                <w:szCs w:val="24"/>
                <w:lang w:val="en-US"/>
              </w:rPr>
              <w:t>Ingen aftendosis af ivacaftor.</w:t>
            </w:r>
          </w:p>
        </w:tc>
      </w:tr>
    </w:tbl>
    <w:p w14:paraId="41F2CFAE" w14:textId="77777777" w:rsidR="006B3444" w:rsidRPr="006B3444" w:rsidRDefault="006B3444" w:rsidP="006B3444">
      <w:pPr>
        <w:tabs>
          <w:tab w:val="left" w:pos="851"/>
        </w:tabs>
        <w:ind w:left="851"/>
        <w:rPr>
          <w:bCs/>
          <w:sz w:val="24"/>
          <w:szCs w:val="24"/>
        </w:rPr>
      </w:pPr>
    </w:p>
    <w:p w14:paraId="1B162406" w14:textId="32E79D6F" w:rsidR="006B3444" w:rsidRPr="006B3444" w:rsidRDefault="006B3444" w:rsidP="00B76914">
      <w:pPr>
        <w:ind w:left="851"/>
        <w:rPr>
          <w:sz w:val="24"/>
          <w:szCs w:val="24"/>
        </w:rPr>
      </w:pPr>
      <w:r w:rsidRPr="006B3444">
        <w:rPr>
          <w:sz w:val="24"/>
          <w:szCs w:val="24"/>
          <w:u w:val="single"/>
        </w:rPr>
        <w:t>Specielle populationer</w:t>
      </w:r>
    </w:p>
    <w:p w14:paraId="3B70BD8A" w14:textId="77777777" w:rsidR="006B3444" w:rsidRPr="006B3444" w:rsidRDefault="006B3444" w:rsidP="00B76914">
      <w:pPr>
        <w:ind w:left="851"/>
        <w:rPr>
          <w:sz w:val="24"/>
          <w:szCs w:val="24"/>
        </w:rPr>
      </w:pPr>
    </w:p>
    <w:p w14:paraId="6F243C49" w14:textId="77777777" w:rsidR="006B3444" w:rsidRPr="006B3444" w:rsidRDefault="006B3444" w:rsidP="00B76914">
      <w:pPr>
        <w:ind w:left="851"/>
        <w:rPr>
          <w:i/>
          <w:sz w:val="24"/>
          <w:szCs w:val="24"/>
        </w:rPr>
      </w:pPr>
      <w:r w:rsidRPr="006B3444">
        <w:rPr>
          <w:i/>
          <w:sz w:val="24"/>
          <w:szCs w:val="24"/>
        </w:rPr>
        <w:t>Ældre</w:t>
      </w:r>
    </w:p>
    <w:p w14:paraId="5C299E99" w14:textId="77777777" w:rsidR="006B3444" w:rsidRPr="006B3444" w:rsidRDefault="006B3444" w:rsidP="00B76914">
      <w:pPr>
        <w:ind w:left="851"/>
        <w:rPr>
          <w:i/>
          <w:sz w:val="24"/>
          <w:szCs w:val="24"/>
        </w:rPr>
      </w:pPr>
    </w:p>
    <w:p w14:paraId="43B64AF1" w14:textId="6F19CC3F" w:rsidR="006B3444" w:rsidRPr="006B3444" w:rsidRDefault="006B3444" w:rsidP="00B76914">
      <w:pPr>
        <w:ind w:left="851"/>
        <w:rPr>
          <w:sz w:val="24"/>
          <w:szCs w:val="24"/>
        </w:rPr>
      </w:pPr>
      <w:r w:rsidRPr="006B3444">
        <w:rPr>
          <w:sz w:val="24"/>
          <w:szCs w:val="24"/>
        </w:rPr>
        <w:t>Meget begrænsede data er tilgængelige vedrørende ældre patienter behandlet med ivacaftor administreret som monoterapi. Der kræves ingen dosisjustering specifikt for denne patientpopulation (se pkt. 5.2).</w:t>
      </w:r>
    </w:p>
    <w:p w14:paraId="4365E6F4" w14:textId="400E80B0" w:rsidR="00B67369" w:rsidRDefault="00B67369">
      <w:pPr>
        <w:rPr>
          <w:sz w:val="24"/>
          <w:szCs w:val="24"/>
        </w:rPr>
      </w:pPr>
      <w:r>
        <w:rPr>
          <w:sz w:val="24"/>
          <w:szCs w:val="24"/>
        </w:rPr>
        <w:br w:type="page"/>
      </w:r>
    </w:p>
    <w:p w14:paraId="076BBF7A" w14:textId="77777777" w:rsidR="006B3444" w:rsidRPr="006B3444" w:rsidRDefault="006B3444" w:rsidP="00B76914">
      <w:pPr>
        <w:ind w:left="851"/>
        <w:rPr>
          <w:sz w:val="24"/>
          <w:szCs w:val="24"/>
        </w:rPr>
      </w:pPr>
    </w:p>
    <w:p w14:paraId="3759EB98" w14:textId="77777777" w:rsidR="006B3444" w:rsidRPr="006B3444" w:rsidRDefault="006B3444" w:rsidP="00B76914">
      <w:pPr>
        <w:ind w:left="851"/>
        <w:rPr>
          <w:i/>
          <w:sz w:val="24"/>
          <w:szCs w:val="24"/>
        </w:rPr>
      </w:pPr>
      <w:r w:rsidRPr="006B3444">
        <w:rPr>
          <w:i/>
          <w:sz w:val="24"/>
          <w:szCs w:val="24"/>
        </w:rPr>
        <w:t>Nedsat nyrefunktion</w:t>
      </w:r>
    </w:p>
    <w:p w14:paraId="0FAFEE9A" w14:textId="77777777" w:rsidR="006B3444" w:rsidRPr="006B3444" w:rsidRDefault="006B3444" w:rsidP="00B76914">
      <w:pPr>
        <w:ind w:left="851"/>
        <w:rPr>
          <w:i/>
          <w:sz w:val="24"/>
          <w:szCs w:val="24"/>
        </w:rPr>
      </w:pPr>
    </w:p>
    <w:p w14:paraId="6B614F40" w14:textId="3F849801" w:rsidR="006B3444" w:rsidRPr="006B3444" w:rsidRDefault="006B3444" w:rsidP="00B76914">
      <w:pPr>
        <w:ind w:left="851"/>
        <w:rPr>
          <w:sz w:val="24"/>
          <w:szCs w:val="24"/>
        </w:rPr>
      </w:pPr>
      <w:r w:rsidRPr="006B3444">
        <w:rPr>
          <w:sz w:val="24"/>
          <w:szCs w:val="24"/>
        </w:rPr>
        <w:t>Ingen dosisjustering er nødvendig for patienter med let til moderat nedsat nyrefunktion. Der rådes til forsigtighed hos patienter med svært nedsat nyrefunktion (kreatininclearance under eller lig med 30 ml/min), eller med nyresygdom i slutstadiet (se pkt. 4.4 og 5.2).</w:t>
      </w:r>
    </w:p>
    <w:p w14:paraId="0F2A4B21" w14:textId="77777777" w:rsidR="006B3444" w:rsidRPr="006B3444" w:rsidRDefault="006B3444" w:rsidP="00B76914">
      <w:pPr>
        <w:ind w:left="851"/>
        <w:rPr>
          <w:sz w:val="24"/>
          <w:szCs w:val="24"/>
        </w:rPr>
      </w:pPr>
    </w:p>
    <w:p w14:paraId="6490F4A6" w14:textId="77777777" w:rsidR="006B3444" w:rsidRPr="006B3444" w:rsidRDefault="006B3444" w:rsidP="00B76914">
      <w:pPr>
        <w:ind w:left="851"/>
        <w:rPr>
          <w:i/>
          <w:sz w:val="24"/>
          <w:szCs w:val="24"/>
        </w:rPr>
      </w:pPr>
      <w:r w:rsidRPr="006B3444">
        <w:rPr>
          <w:i/>
          <w:sz w:val="24"/>
          <w:szCs w:val="24"/>
        </w:rPr>
        <w:t>Nedsat leverfunktion</w:t>
      </w:r>
    </w:p>
    <w:p w14:paraId="28065EF8" w14:textId="77777777" w:rsidR="006B3444" w:rsidRPr="006B3444" w:rsidRDefault="006B3444" w:rsidP="00B76914">
      <w:pPr>
        <w:ind w:left="851"/>
        <w:rPr>
          <w:i/>
          <w:sz w:val="24"/>
          <w:szCs w:val="24"/>
        </w:rPr>
      </w:pPr>
    </w:p>
    <w:p w14:paraId="177621B2" w14:textId="055534C5" w:rsidR="006B3444" w:rsidRPr="006B3444" w:rsidRDefault="006B3444" w:rsidP="00B76914">
      <w:pPr>
        <w:ind w:left="851"/>
        <w:rPr>
          <w:sz w:val="24"/>
          <w:szCs w:val="24"/>
        </w:rPr>
      </w:pPr>
      <w:r w:rsidRPr="006B3444">
        <w:rPr>
          <w:sz w:val="24"/>
          <w:szCs w:val="24"/>
        </w:rPr>
        <w:t>Ingen dosisjustering er nødvendig hos patienter med let nedsat leverfunktion (Child-Pugh klasse A).</w:t>
      </w:r>
    </w:p>
    <w:p w14:paraId="29F755B9" w14:textId="77777777" w:rsidR="006B3444" w:rsidRPr="006B3444" w:rsidRDefault="006B3444" w:rsidP="00B76914">
      <w:pPr>
        <w:ind w:left="851"/>
        <w:rPr>
          <w:sz w:val="24"/>
          <w:szCs w:val="24"/>
        </w:rPr>
      </w:pPr>
    </w:p>
    <w:p w14:paraId="10A06C8E" w14:textId="77777777" w:rsidR="006B3444" w:rsidRPr="006B3444" w:rsidRDefault="006B3444" w:rsidP="00B76914">
      <w:pPr>
        <w:ind w:left="851"/>
        <w:rPr>
          <w:sz w:val="24"/>
          <w:szCs w:val="24"/>
        </w:rPr>
      </w:pPr>
      <w:r w:rsidRPr="006B3444">
        <w:rPr>
          <w:sz w:val="24"/>
          <w:szCs w:val="24"/>
        </w:rPr>
        <w:t>Hos patienter med moderat nedsat leverfunktion (Child-Pugh klasse B) eller svært nedsat leverfunktion (Child-Pugh klasse C) skal ivacaftor-dosen justeres som beskrevet i tabel 3 (se pkt. 4.4, 4.8 og 5.2).</w:t>
      </w:r>
    </w:p>
    <w:p w14:paraId="75714EF6" w14:textId="77777777" w:rsidR="006B3444" w:rsidRPr="006B3444" w:rsidRDefault="006B3444" w:rsidP="00B76914">
      <w:pPr>
        <w:ind w:left="851"/>
        <w:rPr>
          <w:sz w:val="24"/>
          <w:szCs w:val="24"/>
        </w:rPr>
      </w:pPr>
    </w:p>
    <w:p w14:paraId="16EF293B" w14:textId="77777777" w:rsidR="006B3444" w:rsidRPr="006B3444" w:rsidRDefault="006B3444" w:rsidP="006B3444">
      <w:pPr>
        <w:tabs>
          <w:tab w:val="left" w:pos="851"/>
        </w:tabs>
        <w:ind w:left="851"/>
        <w:rPr>
          <w:b/>
          <w:bCs/>
          <w:sz w:val="24"/>
          <w:szCs w:val="24"/>
        </w:rPr>
      </w:pPr>
      <w:r w:rsidRPr="006B3444">
        <w:rPr>
          <w:b/>
          <w:bCs/>
          <w:sz w:val="24"/>
          <w:szCs w:val="24"/>
        </w:rPr>
        <w:t>Tabel 3: Doseringsanbefalinger for patienter med moderat eller svært nedsat leverfunktion</w:t>
      </w:r>
    </w:p>
    <w:p w14:paraId="700D8BA1" w14:textId="77777777" w:rsidR="006B3444" w:rsidRPr="006B3444" w:rsidRDefault="006B3444" w:rsidP="006B3444">
      <w:pPr>
        <w:tabs>
          <w:tab w:val="left" w:pos="851"/>
        </w:tabs>
        <w:ind w:left="851"/>
        <w:rPr>
          <w:b/>
          <w:sz w:val="24"/>
          <w:szCs w:val="24"/>
        </w:rPr>
      </w:pPr>
    </w:p>
    <w:tbl>
      <w:tblPr>
        <w:tblW w:w="878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3572"/>
        <w:gridCol w:w="3685"/>
      </w:tblGrid>
      <w:tr w:rsidR="006B3444" w:rsidRPr="006B3444" w14:paraId="616AB172" w14:textId="77777777" w:rsidTr="00B76914">
        <w:trPr>
          <w:trHeight w:val="260"/>
        </w:trPr>
        <w:tc>
          <w:tcPr>
            <w:tcW w:w="1526" w:type="dxa"/>
            <w:tcBorders>
              <w:top w:val="single" w:sz="4" w:space="0" w:color="000000"/>
              <w:left w:val="single" w:sz="4" w:space="0" w:color="000000"/>
              <w:bottom w:val="single" w:sz="4" w:space="0" w:color="000000"/>
              <w:right w:val="single" w:sz="4" w:space="0" w:color="000000"/>
            </w:tcBorders>
            <w:hideMark/>
          </w:tcPr>
          <w:p w14:paraId="52B29F77" w14:textId="77777777" w:rsidR="006B3444" w:rsidRPr="006B3444" w:rsidRDefault="006B3444" w:rsidP="00B76914">
            <w:pPr>
              <w:ind w:left="133"/>
              <w:rPr>
                <w:b/>
                <w:sz w:val="24"/>
                <w:szCs w:val="24"/>
                <w:lang w:val="en-US"/>
              </w:rPr>
            </w:pPr>
            <w:r w:rsidRPr="006B3444">
              <w:rPr>
                <w:b/>
                <w:sz w:val="24"/>
                <w:szCs w:val="24"/>
                <w:lang w:val="en-US"/>
              </w:rPr>
              <w:t>Alder/vægt</w:t>
            </w:r>
          </w:p>
        </w:tc>
        <w:tc>
          <w:tcPr>
            <w:tcW w:w="3572" w:type="dxa"/>
            <w:tcBorders>
              <w:top w:val="single" w:sz="4" w:space="0" w:color="000000"/>
              <w:left w:val="single" w:sz="4" w:space="0" w:color="000000"/>
              <w:bottom w:val="single" w:sz="4" w:space="0" w:color="000000"/>
              <w:right w:val="single" w:sz="4" w:space="0" w:color="000000"/>
            </w:tcBorders>
            <w:hideMark/>
          </w:tcPr>
          <w:p w14:paraId="299C7B5D" w14:textId="77777777" w:rsidR="006B3444" w:rsidRPr="006B3444" w:rsidRDefault="006B3444" w:rsidP="00B76914">
            <w:pPr>
              <w:ind w:left="133"/>
              <w:rPr>
                <w:b/>
                <w:sz w:val="24"/>
                <w:szCs w:val="24"/>
                <w:lang w:val="en-US"/>
              </w:rPr>
            </w:pPr>
            <w:r w:rsidRPr="006B3444">
              <w:rPr>
                <w:b/>
                <w:sz w:val="24"/>
                <w:szCs w:val="24"/>
                <w:lang w:val="en-US"/>
              </w:rPr>
              <w:t>Moderat (Child-Pugh klasse B)</w:t>
            </w:r>
          </w:p>
        </w:tc>
        <w:tc>
          <w:tcPr>
            <w:tcW w:w="3685" w:type="dxa"/>
            <w:tcBorders>
              <w:top w:val="single" w:sz="4" w:space="0" w:color="000000"/>
              <w:left w:val="single" w:sz="4" w:space="0" w:color="000000"/>
              <w:bottom w:val="single" w:sz="4" w:space="0" w:color="000000"/>
              <w:right w:val="single" w:sz="4" w:space="0" w:color="000000"/>
            </w:tcBorders>
            <w:hideMark/>
          </w:tcPr>
          <w:p w14:paraId="73355E2C" w14:textId="77777777" w:rsidR="006B3444" w:rsidRPr="006B3444" w:rsidRDefault="006B3444" w:rsidP="00B76914">
            <w:pPr>
              <w:ind w:left="133"/>
              <w:rPr>
                <w:b/>
                <w:sz w:val="24"/>
                <w:szCs w:val="24"/>
                <w:lang w:val="en-US"/>
              </w:rPr>
            </w:pPr>
            <w:r w:rsidRPr="006B3444">
              <w:rPr>
                <w:b/>
                <w:sz w:val="24"/>
                <w:szCs w:val="24"/>
                <w:lang w:val="en-US"/>
              </w:rPr>
              <w:t>Svært (Child-Pugh klasse C)</w:t>
            </w:r>
          </w:p>
        </w:tc>
      </w:tr>
      <w:tr w:rsidR="006B3444" w:rsidRPr="006B3444" w14:paraId="3C1DDF05" w14:textId="77777777" w:rsidTr="00B76914">
        <w:trPr>
          <w:trHeight w:val="260"/>
        </w:trPr>
        <w:tc>
          <w:tcPr>
            <w:tcW w:w="8783" w:type="dxa"/>
            <w:gridSpan w:val="3"/>
            <w:tcBorders>
              <w:top w:val="single" w:sz="4" w:space="0" w:color="000000"/>
              <w:left w:val="single" w:sz="4" w:space="0" w:color="000000"/>
              <w:bottom w:val="single" w:sz="4" w:space="0" w:color="000000"/>
              <w:right w:val="single" w:sz="4" w:space="0" w:color="000000"/>
            </w:tcBorders>
            <w:hideMark/>
          </w:tcPr>
          <w:p w14:paraId="55265F2B" w14:textId="77777777" w:rsidR="006B3444" w:rsidRPr="006B3444" w:rsidRDefault="006B3444" w:rsidP="00B76914">
            <w:pPr>
              <w:ind w:left="133"/>
              <w:rPr>
                <w:b/>
                <w:sz w:val="24"/>
                <w:szCs w:val="24"/>
                <w:lang w:val="en-US"/>
              </w:rPr>
            </w:pPr>
            <w:r w:rsidRPr="006B3444">
              <w:rPr>
                <w:b/>
                <w:sz w:val="24"/>
                <w:szCs w:val="24"/>
                <w:lang w:val="en-US"/>
              </w:rPr>
              <w:t>Ivacaftor som monoterapi</w:t>
            </w:r>
          </w:p>
        </w:tc>
      </w:tr>
      <w:tr w:rsidR="006B3444" w:rsidRPr="006B3444" w14:paraId="468A5F64" w14:textId="77777777" w:rsidTr="00B76914">
        <w:trPr>
          <w:trHeight w:val="2284"/>
        </w:trPr>
        <w:tc>
          <w:tcPr>
            <w:tcW w:w="1526" w:type="dxa"/>
            <w:tcBorders>
              <w:top w:val="single" w:sz="4" w:space="0" w:color="000000"/>
              <w:left w:val="single" w:sz="4" w:space="0" w:color="000000"/>
              <w:bottom w:val="single" w:sz="4" w:space="0" w:color="000000"/>
              <w:right w:val="single" w:sz="4" w:space="0" w:color="000000"/>
            </w:tcBorders>
            <w:hideMark/>
          </w:tcPr>
          <w:p w14:paraId="610199F5" w14:textId="77777777" w:rsidR="006B3444" w:rsidRPr="006B3444" w:rsidRDefault="006B3444" w:rsidP="00B76914">
            <w:pPr>
              <w:ind w:left="133"/>
              <w:rPr>
                <w:sz w:val="24"/>
                <w:szCs w:val="24"/>
                <w:lang w:val="en-US"/>
              </w:rPr>
            </w:pPr>
            <w:r w:rsidRPr="006B3444">
              <w:rPr>
                <w:sz w:val="24"/>
                <w:szCs w:val="24"/>
                <w:lang w:val="en-US"/>
              </w:rPr>
              <w:t>6 år og ældre,</w:t>
            </w:r>
          </w:p>
          <w:p w14:paraId="157C2F5D" w14:textId="77777777" w:rsidR="006B3444" w:rsidRPr="006B3444" w:rsidRDefault="006B3444" w:rsidP="00B76914">
            <w:pPr>
              <w:ind w:left="133"/>
              <w:rPr>
                <w:sz w:val="24"/>
                <w:szCs w:val="24"/>
                <w:lang w:val="en-US"/>
              </w:rPr>
            </w:pPr>
            <w:r w:rsidRPr="006B3444">
              <w:rPr>
                <w:sz w:val="24"/>
                <w:szCs w:val="24"/>
                <w:lang w:val="en-US"/>
              </w:rPr>
              <w:t>≥ 25 kg</w:t>
            </w:r>
          </w:p>
        </w:tc>
        <w:tc>
          <w:tcPr>
            <w:tcW w:w="3572" w:type="dxa"/>
            <w:tcBorders>
              <w:top w:val="single" w:sz="4" w:space="0" w:color="000000"/>
              <w:left w:val="single" w:sz="4" w:space="0" w:color="000000"/>
              <w:bottom w:val="single" w:sz="4" w:space="0" w:color="000000"/>
              <w:right w:val="single" w:sz="4" w:space="0" w:color="000000"/>
            </w:tcBorders>
          </w:tcPr>
          <w:p w14:paraId="5831B0B7" w14:textId="6CF1C4CF" w:rsidR="006B3444" w:rsidRPr="006B3444" w:rsidRDefault="006B3444" w:rsidP="00B76914">
            <w:pPr>
              <w:ind w:left="133"/>
              <w:rPr>
                <w:sz w:val="24"/>
                <w:szCs w:val="24"/>
              </w:rPr>
            </w:pPr>
            <w:r w:rsidRPr="006B3444">
              <w:rPr>
                <w:sz w:val="24"/>
                <w:szCs w:val="24"/>
              </w:rPr>
              <w:t>Én morgentablet med ivacaftor 150</w:t>
            </w:r>
            <w:r w:rsidR="00B67369">
              <w:rPr>
                <w:sz w:val="24"/>
                <w:szCs w:val="24"/>
              </w:rPr>
              <w:t> </w:t>
            </w:r>
            <w:r w:rsidRPr="006B3444">
              <w:rPr>
                <w:sz w:val="24"/>
                <w:szCs w:val="24"/>
              </w:rPr>
              <w:t xml:space="preserve">mg én gang dagligt. </w:t>
            </w:r>
          </w:p>
          <w:p w14:paraId="05554396" w14:textId="77777777" w:rsidR="006B3444" w:rsidRPr="006B3444" w:rsidRDefault="006B3444" w:rsidP="00B76914">
            <w:pPr>
              <w:ind w:left="133"/>
              <w:rPr>
                <w:sz w:val="24"/>
                <w:szCs w:val="24"/>
              </w:rPr>
            </w:pPr>
          </w:p>
          <w:p w14:paraId="330E8292" w14:textId="77777777" w:rsidR="006B3444" w:rsidRPr="006B3444" w:rsidRDefault="006B3444" w:rsidP="00B76914">
            <w:pPr>
              <w:ind w:left="133"/>
              <w:rPr>
                <w:sz w:val="24"/>
                <w:szCs w:val="24"/>
                <w:lang w:val="en-US"/>
              </w:rPr>
            </w:pPr>
            <w:r w:rsidRPr="006B3444">
              <w:rPr>
                <w:sz w:val="24"/>
                <w:szCs w:val="24"/>
                <w:lang w:val="en-US"/>
              </w:rPr>
              <w:t>Ingen aftendosis af ivacaftor.</w:t>
            </w:r>
          </w:p>
        </w:tc>
        <w:tc>
          <w:tcPr>
            <w:tcW w:w="3685" w:type="dxa"/>
            <w:tcBorders>
              <w:top w:val="single" w:sz="4" w:space="0" w:color="000000"/>
              <w:left w:val="single" w:sz="4" w:space="0" w:color="000000"/>
              <w:bottom w:val="single" w:sz="4" w:space="0" w:color="000000"/>
              <w:right w:val="single" w:sz="4" w:space="0" w:color="000000"/>
            </w:tcBorders>
          </w:tcPr>
          <w:p w14:paraId="4EB3F3E7" w14:textId="77777777" w:rsidR="006B3444" w:rsidRPr="006B3444" w:rsidRDefault="006B3444" w:rsidP="00B76914">
            <w:pPr>
              <w:ind w:left="133"/>
              <w:rPr>
                <w:sz w:val="24"/>
                <w:szCs w:val="24"/>
              </w:rPr>
            </w:pPr>
            <w:r w:rsidRPr="006B3444">
              <w:rPr>
                <w:b/>
                <w:bCs/>
                <w:sz w:val="24"/>
                <w:szCs w:val="24"/>
              </w:rPr>
              <w:t>Bør ikke anvendes</w:t>
            </w:r>
            <w:r w:rsidRPr="006B3444">
              <w:rPr>
                <w:sz w:val="24"/>
                <w:szCs w:val="24"/>
              </w:rPr>
              <w:t>, medmindre fordelene forventes at opveje risiciene.</w:t>
            </w:r>
          </w:p>
          <w:p w14:paraId="68A0CF17" w14:textId="77777777" w:rsidR="006B3444" w:rsidRPr="006B3444" w:rsidRDefault="006B3444" w:rsidP="00B76914">
            <w:pPr>
              <w:ind w:left="133"/>
              <w:rPr>
                <w:bCs/>
                <w:sz w:val="24"/>
                <w:szCs w:val="24"/>
              </w:rPr>
            </w:pPr>
          </w:p>
          <w:p w14:paraId="7C358DF4" w14:textId="77777777" w:rsidR="006B3444" w:rsidRPr="006B3444" w:rsidRDefault="006B3444" w:rsidP="00B76914">
            <w:pPr>
              <w:ind w:left="133"/>
              <w:rPr>
                <w:sz w:val="24"/>
                <w:szCs w:val="24"/>
              </w:rPr>
            </w:pPr>
            <w:r w:rsidRPr="006B3444">
              <w:rPr>
                <w:sz w:val="24"/>
                <w:szCs w:val="24"/>
              </w:rPr>
              <w:t>Ved anvendelse, én morgentablet med ivacaftor 150 mg hver anden dag eller mindre hyppigt i henhold til klinisk respons og tolerabilitet.</w:t>
            </w:r>
          </w:p>
          <w:p w14:paraId="2D93B95C" w14:textId="77777777" w:rsidR="006B3444" w:rsidRPr="006B3444" w:rsidRDefault="006B3444" w:rsidP="00B76914">
            <w:pPr>
              <w:ind w:left="133"/>
              <w:rPr>
                <w:bCs/>
                <w:sz w:val="24"/>
                <w:szCs w:val="24"/>
              </w:rPr>
            </w:pPr>
          </w:p>
          <w:p w14:paraId="173AD1AC" w14:textId="77777777" w:rsidR="006B3444" w:rsidRPr="006B3444" w:rsidRDefault="006B3444" w:rsidP="00B76914">
            <w:pPr>
              <w:ind w:left="133"/>
              <w:rPr>
                <w:sz w:val="24"/>
                <w:szCs w:val="24"/>
                <w:lang w:val="en-US"/>
              </w:rPr>
            </w:pPr>
            <w:r w:rsidRPr="006B3444">
              <w:rPr>
                <w:sz w:val="24"/>
                <w:szCs w:val="24"/>
                <w:lang w:val="en-US"/>
              </w:rPr>
              <w:t>Ingen aftendosis af ivacaftor.</w:t>
            </w:r>
          </w:p>
        </w:tc>
      </w:tr>
    </w:tbl>
    <w:p w14:paraId="2A4652D9" w14:textId="77777777" w:rsidR="006B3444" w:rsidRPr="006B3444" w:rsidRDefault="006B3444" w:rsidP="006B3444">
      <w:pPr>
        <w:tabs>
          <w:tab w:val="left" w:pos="851"/>
        </w:tabs>
        <w:ind w:left="851"/>
        <w:rPr>
          <w:bCs/>
          <w:sz w:val="24"/>
          <w:szCs w:val="24"/>
        </w:rPr>
      </w:pPr>
    </w:p>
    <w:p w14:paraId="66E5071A" w14:textId="77777777" w:rsidR="006B3444" w:rsidRPr="006B3444" w:rsidRDefault="006B3444" w:rsidP="00B76914">
      <w:pPr>
        <w:ind w:left="851"/>
        <w:rPr>
          <w:sz w:val="24"/>
          <w:szCs w:val="24"/>
        </w:rPr>
      </w:pPr>
      <w:r w:rsidRPr="006B3444">
        <w:rPr>
          <w:sz w:val="24"/>
          <w:szCs w:val="24"/>
          <w:u w:val="single"/>
        </w:rPr>
        <w:t>Pædiatrisk population</w:t>
      </w:r>
    </w:p>
    <w:p w14:paraId="7B4E5A17" w14:textId="77777777" w:rsidR="006B3444" w:rsidRPr="006B3444" w:rsidRDefault="006B3444" w:rsidP="00B76914">
      <w:pPr>
        <w:ind w:left="851"/>
        <w:rPr>
          <w:sz w:val="24"/>
          <w:szCs w:val="24"/>
        </w:rPr>
      </w:pPr>
    </w:p>
    <w:p w14:paraId="07E328E8" w14:textId="30D612EE" w:rsidR="006B3444" w:rsidRPr="006B3444" w:rsidRDefault="006B3444" w:rsidP="00B76914">
      <w:pPr>
        <w:ind w:left="851"/>
        <w:rPr>
          <w:sz w:val="24"/>
          <w:szCs w:val="24"/>
        </w:rPr>
      </w:pPr>
      <w:r w:rsidRPr="006B3444">
        <w:rPr>
          <w:sz w:val="24"/>
          <w:szCs w:val="24"/>
        </w:rPr>
        <w:t>Sikkerheden og virkningen af ivacaftor som monoterapi er ikke klarlagt hos børn under 1 måned eller hos børn under 6 måneder, der er født præmaturt (før 37. svangerskabsuge). Der foreligger ingen data.</w:t>
      </w:r>
    </w:p>
    <w:p w14:paraId="30A50C32" w14:textId="77777777" w:rsidR="006B3444" w:rsidRPr="006B3444" w:rsidRDefault="006B3444" w:rsidP="00B76914">
      <w:pPr>
        <w:ind w:left="851"/>
        <w:rPr>
          <w:sz w:val="24"/>
          <w:szCs w:val="24"/>
        </w:rPr>
      </w:pPr>
    </w:p>
    <w:p w14:paraId="46D1B1AE" w14:textId="77777777" w:rsidR="006B3444" w:rsidRPr="006B3444" w:rsidRDefault="006B3444" w:rsidP="00B76914">
      <w:pPr>
        <w:ind w:left="851"/>
        <w:rPr>
          <w:sz w:val="24"/>
          <w:szCs w:val="24"/>
        </w:rPr>
      </w:pPr>
      <w:r w:rsidRPr="006B3444">
        <w:rPr>
          <w:sz w:val="24"/>
          <w:szCs w:val="24"/>
        </w:rPr>
        <w:t xml:space="preserve">Der foreligger begrænsede data hos patienter under 6 år med en </w:t>
      </w:r>
      <w:r w:rsidRPr="006B3444">
        <w:rPr>
          <w:i/>
          <w:sz w:val="24"/>
          <w:szCs w:val="24"/>
        </w:rPr>
        <w:t>R117H</w:t>
      </w:r>
      <w:r w:rsidRPr="006B3444">
        <w:rPr>
          <w:sz w:val="24"/>
          <w:szCs w:val="24"/>
        </w:rPr>
        <w:t xml:space="preserve">-mutation i </w:t>
      </w:r>
      <w:r w:rsidRPr="006B3444">
        <w:rPr>
          <w:i/>
          <w:sz w:val="24"/>
          <w:szCs w:val="24"/>
        </w:rPr>
        <w:t>CFTR</w:t>
      </w:r>
      <w:r w:rsidRPr="006B3444">
        <w:rPr>
          <w:sz w:val="24"/>
          <w:szCs w:val="24"/>
        </w:rPr>
        <w:t>-genet. Foreliggende data hos patienter i alderen 6 år og ældre er beskrevet i pkt. 4.8, 5.1 og 5.2.</w:t>
      </w:r>
    </w:p>
    <w:p w14:paraId="759A400B" w14:textId="77777777" w:rsidR="006B3444" w:rsidRPr="006B3444" w:rsidRDefault="006B3444" w:rsidP="00B76914">
      <w:pPr>
        <w:ind w:left="851"/>
        <w:rPr>
          <w:sz w:val="24"/>
          <w:szCs w:val="24"/>
        </w:rPr>
      </w:pPr>
    </w:p>
    <w:p w14:paraId="3997CC0D" w14:textId="3CC92BFF" w:rsidR="006B3444" w:rsidRPr="006B3444" w:rsidRDefault="006B3444" w:rsidP="00B76914">
      <w:pPr>
        <w:ind w:left="851"/>
        <w:rPr>
          <w:sz w:val="24"/>
          <w:szCs w:val="24"/>
        </w:rPr>
      </w:pPr>
      <w:r w:rsidRPr="006B3444">
        <w:rPr>
          <w:sz w:val="24"/>
          <w:szCs w:val="24"/>
        </w:rPr>
        <w:t xml:space="preserve">Ivacaftor </w:t>
      </w:r>
      <w:r w:rsidR="00286CAA">
        <w:rPr>
          <w:sz w:val="24"/>
          <w:szCs w:val="24"/>
        </w:rPr>
        <w:t>"Teva"</w:t>
      </w:r>
      <w:r w:rsidRPr="006B3444">
        <w:rPr>
          <w:sz w:val="24"/>
          <w:szCs w:val="24"/>
        </w:rPr>
        <w:t xml:space="preserve"> er kun tilgængelig som 150 mg filmovertrukne tabletter. Det er derfor ikke muligt at administrere Ivacaftor </w:t>
      </w:r>
      <w:r w:rsidR="00286CAA">
        <w:rPr>
          <w:sz w:val="24"/>
          <w:szCs w:val="24"/>
        </w:rPr>
        <w:t>"Teva"</w:t>
      </w:r>
      <w:r w:rsidRPr="006B3444">
        <w:rPr>
          <w:sz w:val="24"/>
          <w:szCs w:val="24"/>
        </w:rPr>
        <w:t xml:space="preserve"> til pædiatriske patienter, der har behov for mindre end en fuld dosis på 150 mg. Andre ivacaftor-produkter, som tilbyder en sådan mulighed, bør anvendes i disse tilfælde.</w:t>
      </w:r>
    </w:p>
    <w:p w14:paraId="0F7BD17D" w14:textId="77777777" w:rsidR="006B3444" w:rsidRPr="006B3444" w:rsidRDefault="006B3444" w:rsidP="00B76914">
      <w:pPr>
        <w:ind w:left="851"/>
        <w:rPr>
          <w:sz w:val="24"/>
          <w:szCs w:val="24"/>
        </w:rPr>
      </w:pPr>
    </w:p>
    <w:p w14:paraId="1C2055D2" w14:textId="77777777" w:rsidR="006B3444" w:rsidRPr="006B3444" w:rsidRDefault="006B3444" w:rsidP="00B76914">
      <w:pPr>
        <w:ind w:left="851"/>
        <w:rPr>
          <w:sz w:val="24"/>
          <w:szCs w:val="24"/>
        </w:rPr>
      </w:pPr>
      <w:r w:rsidRPr="006B3444">
        <w:rPr>
          <w:sz w:val="24"/>
          <w:szCs w:val="24"/>
          <w:u w:val="single"/>
        </w:rPr>
        <w:t>Administration</w:t>
      </w:r>
    </w:p>
    <w:p w14:paraId="6828C7F5" w14:textId="77777777" w:rsidR="006B3444" w:rsidRPr="006B3444" w:rsidRDefault="006B3444" w:rsidP="00B76914">
      <w:pPr>
        <w:ind w:left="851"/>
        <w:rPr>
          <w:sz w:val="24"/>
          <w:szCs w:val="24"/>
        </w:rPr>
      </w:pPr>
      <w:r w:rsidRPr="006B3444">
        <w:rPr>
          <w:sz w:val="24"/>
          <w:szCs w:val="24"/>
        </w:rPr>
        <w:t>Oral anvendelse.</w:t>
      </w:r>
    </w:p>
    <w:p w14:paraId="7F8BFE9B" w14:textId="77777777" w:rsidR="006B3444" w:rsidRPr="006B3444" w:rsidRDefault="006B3444" w:rsidP="00B76914">
      <w:pPr>
        <w:ind w:left="851"/>
        <w:rPr>
          <w:sz w:val="24"/>
          <w:szCs w:val="24"/>
        </w:rPr>
      </w:pPr>
    </w:p>
    <w:p w14:paraId="38B38322" w14:textId="47DF1971" w:rsidR="006B3444" w:rsidRPr="006B3444" w:rsidRDefault="006B3444" w:rsidP="00B76914">
      <w:pPr>
        <w:ind w:left="851"/>
        <w:rPr>
          <w:sz w:val="24"/>
          <w:szCs w:val="24"/>
        </w:rPr>
      </w:pPr>
      <w:r w:rsidRPr="006B3444">
        <w:rPr>
          <w:sz w:val="24"/>
          <w:szCs w:val="24"/>
        </w:rPr>
        <w:t>Patienterne skal instrueres i at sluge tabletterne hele. Tabletterne må ikke tygges, knuses eller deles, før de sluges, da der aktuelt ikke foreligger nogen kliniske data til understøtning af andre administrationsmetoder.</w:t>
      </w:r>
    </w:p>
    <w:p w14:paraId="59BA8EE2" w14:textId="77777777" w:rsidR="006B3444" w:rsidRPr="006B3444" w:rsidRDefault="006B3444" w:rsidP="00B76914">
      <w:pPr>
        <w:ind w:left="851"/>
        <w:rPr>
          <w:sz w:val="24"/>
          <w:szCs w:val="24"/>
        </w:rPr>
      </w:pPr>
    </w:p>
    <w:p w14:paraId="650864A4" w14:textId="54DFDEF0" w:rsidR="006B3444" w:rsidRPr="006B3444" w:rsidRDefault="006B3444" w:rsidP="00B76914">
      <w:pPr>
        <w:ind w:left="851"/>
        <w:rPr>
          <w:sz w:val="24"/>
          <w:szCs w:val="24"/>
        </w:rPr>
      </w:pPr>
      <w:r w:rsidRPr="006B3444">
        <w:rPr>
          <w:sz w:val="24"/>
          <w:szCs w:val="24"/>
        </w:rPr>
        <w:t>Ivacaftor tabletter skal tages sammen med fedtholdig mad.</w:t>
      </w:r>
    </w:p>
    <w:p w14:paraId="0E09E10A" w14:textId="77777777" w:rsidR="006B3444" w:rsidRPr="006B3444" w:rsidRDefault="006B3444" w:rsidP="00B76914">
      <w:pPr>
        <w:ind w:left="851"/>
        <w:rPr>
          <w:sz w:val="24"/>
          <w:szCs w:val="24"/>
        </w:rPr>
      </w:pPr>
    </w:p>
    <w:p w14:paraId="2C0B00F8" w14:textId="77777777" w:rsidR="006B3444" w:rsidRPr="006B3444" w:rsidRDefault="006B3444" w:rsidP="00B76914">
      <w:pPr>
        <w:ind w:left="851"/>
        <w:rPr>
          <w:sz w:val="24"/>
          <w:szCs w:val="24"/>
        </w:rPr>
      </w:pPr>
      <w:r w:rsidRPr="006B3444">
        <w:rPr>
          <w:sz w:val="24"/>
          <w:szCs w:val="24"/>
        </w:rPr>
        <w:t>Mad eller drikke, der indeholder grapefrugt, bør undgås under behandlingen (se pkt. 4.5).</w:t>
      </w:r>
    </w:p>
    <w:p w14:paraId="76267914" w14:textId="77777777" w:rsidR="009260DE" w:rsidRPr="00286CAA" w:rsidRDefault="009260DE" w:rsidP="009260DE">
      <w:pPr>
        <w:tabs>
          <w:tab w:val="left" w:pos="851"/>
        </w:tabs>
        <w:ind w:left="851"/>
        <w:rPr>
          <w:sz w:val="24"/>
          <w:szCs w:val="24"/>
        </w:rPr>
      </w:pPr>
    </w:p>
    <w:p w14:paraId="3CFFE795" w14:textId="77777777" w:rsidR="009260DE" w:rsidRPr="00286CAA" w:rsidRDefault="009260DE" w:rsidP="009260DE">
      <w:pPr>
        <w:tabs>
          <w:tab w:val="left" w:pos="851"/>
        </w:tabs>
        <w:ind w:left="851" w:hanging="851"/>
        <w:rPr>
          <w:b/>
          <w:sz w:val="24"/>
          <w:szCs w:val="24"/>
        </w:rPr>
      </w:pPr>
      <w:r w:rsidRPr="00286CAA">
        <w:rPr>
          <w:b/>
          <w:sz w:val="24"/>
          <w:szCs w:val="24"/>
        </w:rPr>
        <w:t>4.3</w:t>
      </w:r>
      <w:r w:rsidRPr="00286CAA">
        <w:rPr>
          <w:b/>
          <w:sz w:val="24"/>
          <w:szCs w:val="24"/>
        </w:rPr>
        <w:tab/>
        <w:t>Kontraindikationer</w:t>
      </w:r>
    </w:p>
    <w:p w14:paraId="6EC481F6" w14:textId="77777777" w:rsidR="006B3444" w:rsidRPr="006B3444" w:rsidRDefault="006B3444" w:rsidP="00B76914">
      <w:pPr>
        <w:ind w:left="851"/>
        <w:rPr>
          <w:sz w:val="24"/>
          <w:szCs w:val="24"/>
        </w:rPr>
      </w:pPr>
      <w:r w:rsidRPr="006B3444">
        <w:rPr>
          <w:sz w:val="24"/>
          <w:szCs w:val="24"/>
        </w:rPr>
        <w:t>Overfølsomhed over for det aktive stof eller over for et eller flere af hjælpestofferne anført i pkt. 6.1.</w:t>
      </w:r>
    </w:p>
    <w:p w14:paraId="5883D1C5" w14:textId="77777777" w:rsidR="009260DE" w:rsidRPr="00286CAA" w:rsidRDefault="009260DE" w:rsidP="009260DE">
      <w:pPr>
        <w:tabs>
          <w:tab w:val="left" w:pos="851"/>
        </w:tabs>
        <w:ind w:left="851"/>
        <w:rPr>
          <w:sz w:val="24"/>
          <w:szCs w:val="24"/>
        </w:rPr>
      </w:pPr>
    </w:p>
    <w:p w14:paraId="541348F5" w14:textId="77777777" w:rsidR="009260DE" w:rsidRPr="00286CAA" w:rsidRDefault="009260DE" w:rsidP="009260DE">
      <w:pPr>
        <w:tabs>
          <w:tab w:val="left" w:pos="851"/>
        </w:tabs>
        <w:ind w:left="851" w:hanging="851"/>
        <w:rPr>
          <w:b/>
          <w:sz w:val="24"/>
          <w:szCs w:val="24"/>
        </w:rPr>
      </w:pPr>
      <w:r w:rsidRPr="00286CAA">
        <w:rPr>
          <w:b/>
          <w:sz w:val="24"/>
          <w:szCs w:val="24"/>
        </w:rPr>
        <w:t>4.4</w:t>
      </w:r>
      <w:r w:rsidRPr="00286CAA">
        <w:rPr>
          <w:b/>
          <w:sz w:val="24"/>
          <w:szCs w:val="24"/>
        </w:rPr>
        <w:tab/>
        <w:t>Særlige advarsler og forsigtighedsregler vedrørende brugen</w:t>
      </w:r>
    </w:p>
    <w:p w14:paraId="331603C1" w14:textId="6E02E40E" w:rsidR="006B3444" w:rsidRPr="006B3444" w:rsidRDefault="006B3444" w:rsidP="00B76914">
      <w:pPr>
        <w:ind w:left="851"/>
        <w:rPr>
          <w:sz w:val="24"/>
          <w:szCs w:val="24"/>
        </w:rPr>
      </w:pPr>
      <w:r w:rsidRPr="006B3444">
        <w:rPr>
          <w:sz w:val="24"/>
          <w:szCs w:val="24"/>
        </w:rPr>
        <w:t xml:space="preserve">Kun patienter med CF, som havde en </w:t>
      </w:r>
      <w:r w:rsidRPr="006B3444">
        <w:rPr>
          <w:i/>
          <w:sz w:val="24"/>
          <w:szCs w:val="24"/>
        </w:rPr>
        <w:t>G551D, G1244E, G1349D, G178R, G551S, S1251N, S1255P, S549N, S549R gating</w:t>
      </w:r>
      <w:r w:rsidRPr="006B3444">
        <w:rPr>
          <w:sz w:val="24"/>
          <w:szCs w:val="24"/>
        </w:rPr>
        <w:t xml:space="preserve">-mutation (klasse III), </w:t>
      </w:r>
      <w:r w:rsidRPr="006B3444">
        <w:rPr>
          <w:i/>
          <w:sz w:val="24"/>
          <w:szCs w:val="24"/>
        </w:rPr>
        <w:t xml:space="preserve">G970R </w:t>
      </w:r>
      <w:r w:rsidRPr="006B3444">
        <w:rPr>
          <w:sz w:val="24"/>
          <w:szCs w:val="24"/>
        </w:rPr>
        <w:t xml:space="preserve">eller </w:t>
      </w:r>
      <w:r w:rsidRPr="006B3444">
        <w:rPr>
          <w:i/>
          <w:sz w:val="24"/>
          <w:szCs w:val="24"/>
        </w:rPr>
        <w:t>R117H</w:t>
      </w:r>
      <w:r w:rsidRPr="006B3444">
        <w:rPr>
          <w:sz w:val="24"/>
          <w:szCs w:val="24"/>
        </w:rPr>
        <w:t xml:space="preserve">-mutation i mindst én allel på </w:t>
      </w:r>
      <w:r w:rsidRPr="006B3444">
        <w:rPr>
          <w:i/>
          <w:sz w:val="24"/>
          <w:szCs w:val="24"/>
        </w:rPr>
        <w:t>CFTR</w:t>
      </w:r>
      <w:r w:rsidRPr="006B3444">
        <w:rPr>
          <w:sz w:val="24"/>
          <w:szCs w:val="24"/>
        </w:rPr>
        <w:t>-genet, blev inkluderet i studie 770-102, 770-103, 770-111 og 770-110 (se pkt. 5.1).</w:t>
      </w:r>
    </w:p>
    <w:p w14:paraId="6E9AD2E9" w14:textId="77777777" w:rsidR="006B3444" w:rsidRPr="006B3444" w:rsidRDefault="006B3444" w:rsidP="00B76914">
      <w:pPr>
        <w:ind w:left="851"/>
        <w:rPr>
          <w:sz w:val="24"/>
          <w:szCs w:val="24"/>
        </w:rPr>
      </w:pPr>
    </w:p>
    <w:p w14:paraId="449A1FA4" w14:textId="77777777" w:rsidR="006B3444" w:rsidRPr="006B3444" w:rsidRDefault="006B3444" w:rsidP="00B76914">
      <w:pPr>
        <w:ind w:left="851"/>
        <w:rPr>
          <w:sz w:val="24"/>
          <w:szCs w:val="24"/>
        </w:rPr>
      </w:pPr>
      <w:r w:rsidRPr="006B3444">
        <w:rPr>
          <w:sz w:val="24"/>
          <w:szCs w:val="24"/>
        </w:rPr>
        <w:t xml:space="preserve">I studie 770-111 var fire patienter med </w:t>
      </w:r>
      <w:r w:rsidRPr="006B3444">
        <w:rPr>
          <w:i/>
          <w:sz w:val="24"/>
          <w:szCs w:val="24"/>
        </w:rPr>
        <w:t>G970R</w:t>
      </w:r>
      <w:r w:rsidRPr="006B3444">
        <w:rPr>
          <w:sz w:val="24"/>
          <w:szCs w:val="24"/>
        </w:rPr>
        <w:t>-mutationen inkluderet. Hos tre ud af fire patienter var ændringen i sved-chlorid-testen &lt;5 mmol/l, og denne gruppe udviste ikke en klinisk relevant forbedring i FEV</w:t>
      </w:r>
      <w:r w:rsidRPr="006B3444">
        <w:rPr>
          <w:sz w:val="24"/>
          <w:szCs w:val="24"/>
          <w:vertAlign w:val="subscript"/>
        </w:rPr>
        <w:t>1</w:t>
      </w:r>
      <w:r w:rsidRPr="006B3444">
        <w:rPr>
          <w:sz w:val="24"/>
          <w:szCs w:val="24"/>
        </w:rPr>
        <w:t xml:space="preserve"> efter 8 ugers behandling. Klinisk virkning hos patienter med </w:t>
      </w:r>
      <w:r w:rsidRPr="006B3444">
        <w:rPr>
          <w:i/>
          <w:sz w:val="24"/>
          <w:szCs w:val="24"/>
        </w:rPr>
        <w:t>G970R</w:t>
      </w:r>
      <w:r w:rsidRPr="006B3444">
        <w:rPr>
          <w:sz w:val="24"/>
          <w:szCs w:val="24"/>
        </w:rPr>
        <w:t xml:space="preserve">-mutationen i </w:t>
      </w:r>
      <w:r w:rsidRPr="006B3444">
        <w:rPr>
          <w:i/>
          <w:sz w:val="24"/>
          <w:szCs w:val="24"/>
        </w:rPr>
        <w:t>CFTR</w:t>
      </w:r>
      <w:r w:rsidRPr="006B3444">
        <w:rPr>
          <w:sz w:val="24"/>
          <w:szCs w:val="24"/>
        </w:rPr>
        <w:t>-genet kunne ikke klarlægges (se pkt. 5.1).</w:t>
      </w:r>
    </w:p>
    <w:p w14:paraId="67BCBF1A" w14:textId="77777777" w:rsidR="006B3444" w:rsidRPr="006B3444" w:rsidRDefault="006B3444" w:rsidP="00B76914">
      <w:pPr>
        <w:ind w:left="851"/>
        <w:rPr>
          <w:sz w:val="24"/>
          <w:szCs w:val="24"/>
        </w:rPr>
      </w:pPr>
    </w:p>
    <w:p w14:paraId="4EFC3132" w14:textId="3A9EC72E" w:rsidR="006B3444" w:rsidRPr="006B3444" w:rsidRDefault="006B3444" w:rsidP="00B76914">
      <w:pPr>
        <w:ind w:left="851"/>
        <w:rPr>
          <w:sz w:val="24"/>
          <w:szCs w:val="24"/>
        </w:rPr>
      </w:pPr>
      <w:r w:rsidRPr="006B3444">
        <w:rPr>
          <w:sz w:val="24"/>
          <w:szCs w:val="24"/>
        </w:rPr>
        <w:t xml:space="preserve">Resultater for virkning fra et fase 2-studie hos patienter med CF, som er homozygote for </w:t>
      </w:r>
      <w:r w:rsidRPr="006B3444">
        <w:rPr>
          <w:i/>
          <w:sz w:val="24"/>
          <w:szCs w:val="24"/>
        </w:rPr>
        <w:t>F508del-</w:t>
      </w:r>
      <w:r w:rsidRPr="006B3444">
        <w:rPr>
          <w:sz w:val="24"/>
          <w:szCs w:val="24"/>
        </w:rPr>
        <w:t xml:space="preserve">mutationen i </w:t>
      </w:r>
      <w:r w:rsidRPr="006B3444">
        <w:rPr>
          <w:i/>
          <w:sz w:val="24"/>
          <w:szCs w:val="24"/>
        </w:rPr>
        <w:t>CFTR</w:t>
      </w:r>
      <w:r w:rsidRPr="006B3444">
        <w:rPr>
          <w:sz w:val="24"/>
          <w:szCs w:val="24"/>
        </w:rPr>
        <w:t>-genet, viste ingen statistisk signifikant forskel i FEV</w:t>
      </w:r>
      <w:r w:rsidRPr="006B3444">
        <w:rPr>
          <w:sz w:val="24"/>
          <w:szCs w:val="24"/>
          <w:vertAlign w:val="subscript"/>
        </w:rPr>
        <w:t>1</w:t>
      </w:r>
      <w:r w:rsidRPr="006B3444">
        <w:rPr>
          <w:sz w:val="24"/>
          <w:szCs w:val="24"/>
        </w:rPr>
        <w:t xml:space="preserve"> i løbet af 16-ugers behandling med ivacaftor, sammenlignet med placebo (se pkt. 5.1). Derfor bør ivacaftor som monoterapi ikke anvendes til disse patienter.</w:t>
      </w:r>
    </w:p>
    <w:p w14:paraId="3BF82275" w14:textId="77777777" w:rsidR="006B3444" w:rsidRPr="006B3444" w:rsidRDefault="006B3444" w:rsidP="00B76914">
      <w:pPr>
        <w:ind w:left="851"/>
        <w:rPr>
          <w:sz w:val="24"/>
          <w:szCs w:val="24"/>
        </w:rPr>
      </w:pPr>
    </w:p>
    <w:p w14:paraId="394EAD6F" w14:textId="5A383D91" w:rsidR="006B3444" w:rsidRPr="006B3444" w:rsidRDefault="006B3444" w:rsidP="00B76914">
      <w:pPr>
        <w:ind w:left="851"/>
        <w:rPr>
          <w:sz w:val="24"/>
          <w:szCs w:val="24"/>
        </w:rPr>
      </w:pPr>
      <w:r w:rsidRPr="006B3444">
        <w:rPr>
          <w:sz w:val="24"/>
          <w:szCs w:val="24"/>
        </w:rPr>
        <w:t xml:space="preserve">Der er påvist mindre evidens for en positiv virkning af ivacaftor hos patienter med en </w:t>
      </w:r>
      <w:r w:rsidRPr="006B3444">
        <w:rPr>
          <w:i/>
          <w:sz w:val="24"/>
          <w:szCs w:val="24"/>
        </w:rPr>
        <w:t>R117H-7T</w:t>
      </w:r>
      <w:r w:rsidRPr="006B3444">
        <w:rPr>
          <w:sz w:val="24"/>
          <w:szCs w:val="24"/>
        </w:rPr>
        <w:t>-mutation, som er forbundet med sygdom af mindre sværhedsgrad, i studie 770-110 (se pkt. 5.1).</w:t>
      </w:r>
    </w:p>
    <w:p w14:paraId="1A604761" w14:textId="77777777" w:rsidR="006B3444" w:rsidRPr="006B3444" w:rsidRDefault="006B3444" w:rsidP="00B76914">
      <w:pPr>
        <w:ind w:left="851"/>
        <w:rPr>
          <w:sz w:val="24"/>
          <w:szCs w:val="24"/>
        </w:rPr>
      </w:pPr>
    </w:p>
    <w:p w14:paraId="7A9F15B9" w14:textId="77777777" w:rsidR="006B3444" w:rsidRPr="006B3444" w:rsidRDefault="006B3444" w:rsidP="00B76914">
      <w:pPr>
        <w:ind w:left="851"/>
        <w:rPr>
          <w:sz w:val="24"/>
          <w:szCs w:val="24"/>
        </w:rPr>
      </w:pPr>
      <w:r w:rsidRPr="006B3444">
        <w:rPr>
          <w:sz w:val="24"/>
          <w:szCs w:val="24"/>
        </w:rPr>
        <w:t xml:space="preserve">Ivacaftor i et kombinationsregime med tezacaftor/ivacaftor må ikke ordineres til patienter med CF, som er heterozygote for </w:t>
      </w:r>
      <w:r w:rsidRPr="006B3444">
        <w:rPr>
          <w:i/>
          <w:sz w:val="24"/>
          <w:szCs w:val="24"/>
        </w:rPr>
        <w:t>F508del</w:t>
      </w:r>
      <w:r w:rsidRPr="006B3444">
        <w:rPr>
          <w:sz w:val="24"/>
          <w:szCs w:val="24"/>
        </w:rPr>
        <w:t xml:space="preserve">-mutationen, og som har en anden </w:t>
      </w:r>
      <w:r w:rsidRPr="006B3444">
        <w:rPr>
          <w:i/>
          <w:sz w:val="24"/>
          <w:szCs w:val="24"/>
        </w:rPr>
        <w:t>CFTR</w:t>
      </w:r>
      <w:r w:rsidRPr="006B3444">
        <w:rPr>
          <w:sz w:val="24"/>
          <w:szCs w:val="24"/>
        </w:rPr>
        <w:t>-mutation, der ikke er anført i pkt. 4.1.</w:t>
      </w:r>
    </w:p>
    <w:p w14:paraId="441150F8" w14:textId="77777777" w:rsidR="006B3444" w:rsidRPr="006B3444" w:rsidRDefault="006B3444" w:rsidP="00B76914">
      <w:pPr>
        <w:ind w:left="851"/>
        <w:rPr>
          <w:sz w:val="24"/>
          <w:szCs w:val="24"/>
        </w:rPr>
      </w:pPr>
    </w:p>
    <w:p w14:paraId="675C102F" w14:textId="77777777" w:rsidR="006B3444" w:rsidRPr="006B3444" w:rsidRDefault="006B3444" w:rsidP="00B76914">
      <w:pPr>
        <w:ind w:left="851"/>
        <w:rPr>
          <w:sz w:val="24"/>
          <w:szCs w:val="24"/>
        </w:rPr>
      </w:pPr>
      <w:r w:rsidRPr="006B3444">
        <w:rPr>
          <w:sz w:val="24"/>
          <w:szCs w:val="24"/>
          <w:u w:val="single"/>
        </w:rPr>
        <w:t>Forhøjede aminotransferaser og leverskade</w:t>
      </w:r>
    </w:p>
    <w:p w14:paraId="51E5CFF6" w14:textId="77777777" w:rsidR="006B3444" w:rsidRPr="006B3444" w:rsidRDefault="006B3444" w:rsidP="00B76914">
      <w:pPr>
        <w:ind w:left="851"/>
        <w:rPr>
          <w:sz w:val="24"/>
          <w:szCs w:val="24"/>
        </w:rPr>
      </w:pPr>
    </w:p>
    <w:p w14:paraId="7867F7FD" w14:textId="77777777" w:rsidR="006B3444" w:rsidRPr="006B3444" w:rsidRDefault="006B3444" w:rsidP="00B76914">
      <w:pPr>
        <w:ind w:left="851"/>
        <w:rPr>
          <w:sz w:val="24"/>
          <w:szCs w:val="24"/>
        </w:rPr>
      </w:pPr>
      <w:r w:rsidRPr="006B3444">
        <w:rPr>
          <w:sz w:val="24"/>
          <w:szCs w:val="24"/>
        </w:rPr>
        <w:t>Hos en patient med cirrose og portal hypertension er der blevet rapporteret leversvigt, der førte til transplantation, mens patienten fik ivacaftor i et kombinationsregime med ivacaftor/tezacaftor/elexacaftor. Dette lægemiddel skal anvendes med forsigtighed hos patienter med eksisterende fremskreden leversygdom (f.eks. cirrose, portal hypertension) og kun, hvis fordele forventes at opveje risici. Hvis det anvendes til disse patienter, skal de overvåges nøje, efter behandlingen påbegyndes (se pkt. 4.2, 4.8 og 5.2).</w:t>
      </w:r>
    </w:p>
    <w:p w14:paraId="47A1AD21" w14:textId="77777777" w:rsidR="006B3444" w:rsidRPr="006B3444" w:rsidRDefault="006B3444" w:rsidP="00B76914">
      <w:pPr>
        <w:ind w:left="851"/>
        <w:rPr>
          <w:sz w:val="24"/>
          <w:szCs w:val="24"/>
        </w:rPr>
      </w:pPr>
    </w:p>
    <w:p w14:paraId="207BAD85" w14:textId="77777777" w:rsidR="006B3444" w:rsidRPr="006B3444" w:rsidRDefault="006B3444" w:rsidP="00B76914">
      <w:pPr>
        <w:ind w:left="851"/>
        <w:rPr>
          <w:sz w:val="24"/>
          <w:szCs w:val="24"/>
        </w:rPr>
      </w:pPr>
      <w:r w:rsidRPr="006B3444">
        <w:rPr>
          <w:sz w:val="24"/>
          <w:szCs w:val="24"/>
        </w:rPr>
        <w:t xml:space="preserve">Moderate forhøjelser af aminotransferaser (alaninaminotransferase [ALAT] eller aspartataminotransferase [ASAT]) er almindelige hos personer med CF. Der er blevet observeret forhøjelser af aminotransferaser hos nogle patienter i behandling med ivacaftor som monoterapi og i kombinationsregimer med tezacaftor/ivacaftor eller ivacaftor/tezacaftor/elexacaftor. Hos patienter, der tager ivacaftor i et kombinationsregime med ivacaftor/tezacaftor/elexacaftor, er disse forhøjelser nogle gange blevet forbundet med samtidige forhøjelser i </w:t>
      </w:r>
      <w:proofErr w:type="gramStart"/>
      <w:r w:rsidRPr="006B3444">
        <w:rPr>
          <w:sz w:val="24"/>
          <w:szCs w:val="24"/>
        </w:rPr>
        <w:t>totalt bilirubin</w:t>
      </w:r>
      <w:proofErr w:type="gramEnd"/>
      <w:r w:rsidRPr="006B3444">
        <w:rPr>
          <w:sz w:val="24"/>
          <w:szCs w:val="24"/>
        </w:rPr>
        <w:t>. Derfor anbefales vurderinger af aminotransferaser (ALAT og ASAT) og totalt bilirubin for alle patienter, før ivacaftor påbegyndes, hver 3. måned i løbet af det første års behandling og derefter årligt. For alle patienter med tidligere leversygdom eller forhøjede aminotransferaser bør der overvejes en hyppigere monitorering af leverfunktionsprøverne. I tilfælde af signifikante forhøjelser af aminotransferaser (f.eks. patienter med ALAT eller ASAT &gt; 5 × den øvre normalgrænse (ULN) eller ALAT eller ASAT &gt; 3 × ULN med bilirubin &gt; 2 × ULN) bør doseringen afbrydes, og laboratorieprøver skal følges nøje, indtil anomalierne har fortaget sig. Efter aminotransferaseforhøjelserne er vendt tilbage til normalen, bør fordele og risici ved at genoptage behandlingen overvejes (se pkt. 4.2, 4.8 og 5.2).</w:t>
      </w:r>
    </w:p>
    <w:p w14:paraId="43BC9BB0" w14:textId="77777777" w:rsidR="006B3444" w:rsidRPr="006B3444" w:rsidRDefault="006B3444" w:rsidP="00B76914">
      <w:pPr>
        <w:ind w:left="851"/>
        <w:rPr>
          <w:sz w:val="24"/>
          <w:szCs w:val="24"/>
        </w:rPr>
      </w:pPr>
    </w:p>
    <w:p w14:paraId="35AD76A5" w14:textId="77777777" w:rsidR="006B3444" w:rsidRPr="006B3444" w:rsidRDefault="006B3444" w:rsidP="00B76914">
      <w:pPr>
        <w:ind w:left="851"/>
        <w:rPr>
          <w:sz w:val="24"/>
          <w:szCs w:val="24"/>
        </w:rPr>
      </w:pPr>
      <w:r w:rsidRPr="006B3444">
        <w:rPr>
          <w:sz w:val="24"/>
          <w:szCs w:val="24"/>
          <w:u w:val="single"/>
        </w:rPr>
        <w:t>Nedsat leverfunktion</w:t>
      </w:r>
    </w:p>
    <w:p w14:paraId="5AAD6B43" w14:textId="77777777" w:rsidR="006B3444" w:rsidRPr="006B3444" w:rsidRDefault="006B3444" w:rsidP="00B76914">
      <w:pPr>
        <w:ind w:left="851"/>
        <w:rPr>
          <w:sz w:val="24"/>
          <w:szCs w:val="24"/>
        </w:rPr>
      </w:pPr>
    </w:p>
    <w:p w14:paraId="49F8C294" w14:textId="2B7883B1" w:rsidR="006B3444" w:rsidRPr="006B3444" w:rsidRDefault="006B3444" w:rsidP="00B76914">
      <w:pPr>
        <w:ind w:left="851"/>
        <w:rPr>
          <w:sz w:val="24"/>
          <w:szCs w:val="24"/>
        </w:rPr>
      </w:pPr>
      <w:r w:rsidRPr="006B3444">
        <w:rPr>
          <w:sz w:val="24"/>
          <w:szCs w:val="24"/>
        </w:rPr>
        <w:t>Ivacaftor, enten som monoterapi eller i et kombinationsregime med tezacaftor/ivacaftor, bør ikke anvendes til patienter i alderen 6 år og derover med svært nedsat leverfunktion, medmindre fordelene forventes at opveje risiciene. Disse patienter bør ikke behandles med ivacaftor i et kombinationsregime med ivacaftor/tezacaftor/elexacaftor (se tabel 3 i pkt. 4.2 og pkt. 4.8 og 5.2).</w:t>
      </w:r>
    </w:p>
    <w:p w14:paraId="674D8E6A" w14:textId="77777777" w:rsidR="006B3444" w:rsidRPr="006B3444" w:rsidRDefault="006B3444" w:rsidP="00B76914">
      <w:pPr>
        <w:ind w:left="851"/>
        <w:rPr>
          <w:sz w:val="24"/>
          <w:szCs w:val="24"/>
        </w:rPr>
      </w:pPr>
    </w:p>
    <w:p w14:paraId="255D72DE" w14:textId="4960E35C" w:rsidR="006B3444" w:rsidRPr="006B3444" w:rsidRDefault="006B3444" w:rsidP="00B76914">
      <w:pPr>
        <w:ind w:left="851"/>
        <w:rPr>
          <w:sz w:val="24"/>
          <w:szCs w:val="24"/>
        </w:rPr>
      </w:pPr>
      <w:r w:rsidRPr="006B3444">
        <w:rPr>
          <w:sz w:val="24"/>
          <w:szCs w:val="24"/>
        </w:rPr>
        <w:t>Ivacaftor i et kombinationsregime med ivacaftor/tezacaftor/elexacaftor bør ikke anvendes til patienter i alderen 6 år og derover med moderat nedsat leverfunktion. Behandling bør kun overvejes, hvis der er et klart medicinsk behov, og fordelene forventes at opveje risiciene. Hvis det anvendes, skal det ske med forsigtighed ved en reduceret dosis (se tabel 3 i pkt. 4.2 og pkt. 4.8 og 5.2).</w:t>
      </w:r>
    </w:p>
    <w:p w14:paraId="0D0C79E1" w14:textId="77777777" w:rsidR="006B3444" w:rsidRPr="006B3444" w:rsidRDefault="006B3444" w:rsidP="00B76914">
      <w:pPr>
        <w:ind w:left="851"/>
        <w:rPr>
          <w:sz w:val="24"/>
          <w:szCs w:val="24"/>
        </w:rPr>
      </w:pPr>
    </w:p>
    <w:p w14:paraId="32AC6E4D" w14:textId="77777777" w:rsidR="006B3444" w:rsidRPr="006B3444" w:rsidRDefault="006B3444" w:rsidP="00B76914">
      <w:pPr>
        <w:ind w:left="851"/>
        <w:rPr>
          <w:sz w:val="24"/>
          <w:szCs w:val="24"/>
        </w:rPr>
      </w:pPr>
      <w:r w:rsidRPr="006B3444">
        <w:rPr>
          <w:sz w:val="24"/>
          <w:szCs w:val="24"/>
          <w:u w:val="single"/>
        </w:rPr>
        <w:t>Depression</w:t>
      </w:r>
    </w:p>
    <w:p w14:paraId="1C105757" w14:textId="77777777" w:rsidR="006B3444" w:rsidRPr="006B3444" w:rsidRDefault="006B3444" w:rsidP="00B76914">
      <w:pPr>
        <w:ind w:left="851"/>
        <w:rPr>
          <w:sz w:val="24"/>
          <w:szCs w:val="24"/>
        </w:rPr>
      </w:pPr>
    </w:p>
    <w:p w14:paraId="39F37681" w14:textId="24FF13E5" w:rsidR="006B3444" w:rsidRPr="006B3444" w:rsidRDefault="006B3444" w:rsidP="00B76914">
      <w:pPr>
        <w:ind w:left="851"/>
        <w:rPr>
          <w:sz w:val="24"/>
          <w:szCs w:val="24"/>
        </w:rPr>
      </w:pPr>
      <w:r w:rsidRPr="006B3444">
        <w:rPr>
          <w:sz w:val="24"/>
          <w:szCs w:val="24"/>
        </w:rPr>
        <w:t>Der er rapporteret depression (herunder selvmordstanker og selvmordsforsøg) hos patienter i behandling med ivacaftor, hovedsagelig i et kombinationsregime med tezacaftor/ivacaftor eller ivacaftor/tezacaftor/elexacaftor, som sædvanligvis forekom inden for 3 måneder fra behandlingsstart og hos patienter med psykiske forstyrrelser i anamnesen. I nogle tilfælde blev der rapporteret symptomforbedring efter dosisreduktion eller behandlingsseponering. Patienter (og plejere) skal gøres opmærksomme på, at de skal overvåge for nedtrykthed, selvmordstanker eller usædvanlige ændringer i adfærd og straks søge lægehjælp, hvis disse symptomer opstår.</w:t>
      </w:r>
    </w:p>
    <w:p w14:paraId="4C15FACB" w14:textId="77777777" w:rsidR="006B3444" w:rsidRPr="006B3444" w:rsidRDefault="006B3444" w:rsidP="00B76914">
      <w:pPr>
        <w:ind w:left="851"/>
        <w:rPr>
          <w:sz w:val="24"/>
          <w:szCs w:val="24"/>
        </w:rPr>
      </w:pPr>
    </w:p>
    <w:p w14:paraId="024325FA" w14:textId="77777777" w:rsidR="006B3444" w:rsidRPr="006B3444" w:rsidRDefault="006B3444" w:rsidP="00B76914">
      <w:pPr>
        <w:ind w:left="851"/>
        <w:rPr>
          <w:sz w:val="24"/>
          <w:szCs w:val="24"/>
        </w:rPr>
      </w:pPr>
      <w:r w:rsidRPr="006B3444">
        <w:rPr>
          <w:sz w:val="24"/>
          <w:szCs w:val="24"/>
          <w:u w:val="single"/>
        </w:rPr>
        <w:t>Nedsat nyrefunktion</w:t>
      </w:r>
    </w:p>
    <w:p w14:paraId="65148E55" w14:textId="77777777" w:rsidR="006B3444" w:rsidRPr="006B3444" w:rsidRDefault="006B3444" w:rsidP="00B76914">
      <w:pPr>
        <w:ind w:left="851"/>
        <w:rPr>
          <w:sz w:val="24"/>
          <w:szCs w:val="24"/>
        </w:rPr>
      </w:pPr>
    </w:p>
    <w:p w14:paraId="60A53AA8" w14:textId="77777777" w:rsidR="006B3444" w:rsidRPr="006B3444" w:rsidRDefault="006B3444" w:rsidP="00B76914">
      <w:pPr>
        <w:ind w:left="851"/>
        <w:rPr>
          <w:sz w:val="24"/>
          <w:szCs w:val="24"/>
        </w:rPr>
      </w:pPr>
      <w:r w:rsidRPr="006B3444">
        <w:rPr>
          <w:sz w:val="24"/>
          <w:szCs w:val="24"/>
        </w:rPr>
        <w:t>Der bør udvises forsigtighed, når ivacaftor anvendes til patienter med svært nedsat nyrefunktion eller med nyresygdom i slutstadiet (se pkt. 4.2 og 5.2).</w:t>
      </w:r>
    </w:p>
    <w:p w14:paraId="3DC81F77" w14:textId="77777777" w:rsidR="006B3444" w:rsidRPr="006B3444" w:rsidRDefault="006B3444" w:rsidP="00B76914">
      <w:pPr>
        <w:ind w:left="851"/>
        <w:rPr>
          <w:sz w:val="24"/>
          <w:szCs w:val="24"/>
        </w:rPr>
      </w:pPr>
    </w:p>
    <w:p w14:paraId="416BE94E" w14:textId="77777777" w:rsidR="006B3444" w:rsidRPr="006B3444" w:rsidRDefault="006B3444" w:rsidP="00B76914">
      <w:pPr>
        <w:ind w:left="851"/>
        <w:rPr>
          <w:sz w:val="24"/>
          <w:szCs w:val="24"/>
        </w:rPr>
      </w:pPr>
      <w:r w:rsidRPr="006B3444">
        <w:rPr>
          <w:sz w:val="24"/>
          <w:szCs w:val="24"/>
          <w:u w:val="single"/>
        </w:rPr>
        <w:t>Mutationer, der sandsynligvis ikke responderer på modulatorterapi</w:t>
      </w:r>
    </w:p>
    <w:p w14:paraId="63E21D57" w14:textId="77777777" w:rsidR="006B3444" w:rsidRPr="006B3444" w:rsidRDefault="006B3444" w:rsidP="00B76914">
      <w:pPr>
        <w:ind w:left="851"/>
        <w:rPr>
          <w:sz w:val="24"/>
          <w:szCs w:val="24"/>
        </w:rPr>
      </w:pPr>
    </w:p>
    <w:p w14:paraId="748C81CC" w14:textId="0CB51698" w:rsidR="006B3444" w:rsidRPr="006B3444" w:rsidRDefault="006B3444" w:rsidP="00B76914">
      <w:pPr>
        <w:ind w:left="851"/>
        <w:rPr>
          <w:sz w:val="24"/>
          <w:szCs w:val="24"/>
        </w:rPr>
      </w:pPr>
      <w:r w:rsidRPr="006B3444">
        <w:rPr>
          <w:sz w:val="24"/>
          <w:szCs w:val="24"/>
        </w:rPr>
        <w:t xml:space="preserve">Patienter med en genotype bestående af to </w:t>
      </w:r>
      <w:r w:rsidRPr="006B3444">
        <w:rPr>
          <w:i/>
          <w:sz w:val="24"/>
          <w:szCs w:val="24"/>
        </w:rPr>
        <w:t>CFTR</w:t>
      </w:r>
      <w:r w:rsidRPr="006B3444">
        <w:rPr>
          <w:sz w:val="24"/>
          <w:szCs w:val="24"/>
        </w:rPr>
        <w:t>-mutationer, der vides ikke at producere CFTR-protein (dvs. to klasse I-mutationer), forventes ikke at respondere på CFTR-modulatorterapi.</w:t>
      </w:r>
    </w:p>
    <w:p w14:paraId="4D5C5E3A" w14:textId="121823E6" w:rsidR="00B67369" w:rsidRDefault="00B67369">
      <w:pPr>
        <w:rPr>
          <w:sz w:val="24"/>
          <w:szCs w:val="24"/>
        </w:rPr>
      </w:pPr>
      <w:r>
        <w:rPr>
          <w:sz w:val="24"/>
          <w:szCs w:val="24"/>
        </w:rPr>
        <w:br w:type="page"/>
      </w:r>
    </w:p>
    <w:p w14:paraId="4325FB35" w14:textId="77777777" w:rsidR="006B3444" w:rsidRPr="006B3444" w:rsidRDefault="006B3444" w:rsidP="00B76914">
      <w:pPr>
        <w:ind w:left="851"/>
        <w:rPr>
          <w:sz w:val="24"/>
          <w:szCs w:val="24"/>
        </w:rPr>
      </w:pPr>
    </w:p>
    <w:p w14:paraId="6B97BF4B" w14:textId="77777777" w:rsidR="006B3444" w:rsidRPr="006B3444" w:rsidRDefault="006B3444" w:rsidP="00B76914">
      <w:pPr>
        <w:ind w:left="851"/>
        <w:rPr>
          <w:sz w:val="24"/>
          <w:szCs w:val="24"/>
        </w:rPr>
      </w:pPr>
      <w:r w:rsidRPr="006B3444">
        <w:rPr>
          <w:sz w:val="24"/>
          <w:szCs w:val="24"/>
          <w:u w:val="single"/>
        </w:rPr>
        <w:t>Kliniske studier, der sammenligner ivacaftor/tezacaftor/elexacaftor med tezacaftor/ivacaftor eller</w:t>
      </w:r>
      <w:r w:rsidRPr="006B3444">
        <w:rPr>
          <w:sz w:val="24"/>
          <w:szCs w:val="24"/>
        </w:rPr>
        <w:t xml:space="preserve"> </w:t>
      </w:r>
      <w:r w:rsidRPr="006B3444">
        <w:rPr>
          <w:sz w:val="24"/>
          <w:szCs w:val="24"/>
          <w:u w:val="single"/>
        </w:rPr>
        <w:t>ivacaftor</w:t>
      </w:r>
    </w:p>
    <w:p w14:paraId="3792937D" w14:textId="77777777" w:rsidR="006B3444" w:rsidRPr="006B3444" w:rsidRDefault="006B3444" w:rsidP="00B76914">
      <w:pPr>
        <w:ind w:left="851"/>
        <w:rPr>
          <w:sz w:val="24"/>
          <w:szCs w:val="24"/>
        </w:rPr>
      </w:pPr>
    </w:p>
    <w:p w14:paraId="0D30E3FA" w14:textId="784C11F0" w:rsidR="006B3444" w:rsidRPr="006B3444" w:rsidRDefault="006B3444" w:rsidP="00B76914">
      <w:pPr>
        <w:ind w:left="851"/>
        <w:rPr>
          <w:sz w:val="24"/>
          <w:szCs w:val="24"/>
        </w:rPr>
      </w:pPr>
      <w:r w:rsidRPr="006B3444">
        <w:rPr>
          <w:sz w:val="24"/>
          <w:szCs w:val="24"/>
        </w:rPr>
        <w:t>Der er ikke udført kliniske studier, der direkte sammenligner ivacaftor/tezacaftor/elexa</w:t>
      </w:r>
      <w:r w:rsidR="00286CAA">
        <w:rPr>
          <w:sz w:val="24"/>
          <w:szCs w:val="24"/>
        </w:rPr>
        <w:softHyphen/>
      </w:r>
      <w:r w:rsidRPr="006B3444">
        <w:rPr>
          <w:sz w:val="24"/>
          <w:szCs w:val="24"/>
        </w:rPr>
        <w:t xml:space="preserve">caftor med tezacaftor/ivacaftor eller ivacaftor hos patienter, der ikke bærer </w:t>
      </w:r>
      <w:r w:rsidRPr="006B3444">
        <w:rPr>
          <w:i/>
          <w:sz w:val="24"/>
          <w:szCs w:val="24"/>
        </w:rPr>
        <w:t>F508del</w:t>
      </w:r>
      <w:r w:rsidRPr="006B3444">
        <w:rPr>
          <w:sz w:val="24"/>
          <w:szCs w:val="24"/>
        </w:rPr>
        <w:t>-varianter.</w:t>
      </w:r>
    </w:p>
    <w:p w14:paraId="27A69ED3" w14:textId="77777777" w:rsidR="006B3444" w:rsidRPr="006B3444" w:rsidRDefault="006B3444" w:rsidP="00B76914">
      <w:pPr>
        <w:ind w:left="851"/>
        <w:rPr>
          <w:sz w:val="24"/>
          <w:szCs w:val="24"/>
        </w:rPr>
      </w:pPr>
    </w:p>
    <w:p w14:paraId="3E27D68D" w14:textId="77777777" w:rsidR="006B3444" w:rsidRPr="006B3444" w:rsidRDefault="006B3444" w:rsidP="00B76914">
      <w:pPr>
        <w:ind w:left="851"/>
        <w:rPr>
          <w:sz w:val="24"/>
          <w:szCs w:val="24"/>
        </w:rPr>
      </w:pPr>
      <w:r w:rsidRPr="006B3444">
        <w:rPr>
          <w:sz w:val="24"/>
          <w:szCs w:val="24"/>
          <w:u w:val="single"/>
        </w:rPr>
        <w:t>Patienter efter organtransplantation</w:t>
      </w:r>
    </w:p>
    <w:p w14:paraId="195EA728" w14:textId="77777777" w:rsidR="006B3444" w:rsidRPr="006B3444" w:rsidRDefault="006B3444" w:rsidP="00B76914">
      <w:pPr>
        <w:ind w:left="851"/>
        <w:rPr>
          <w:sz w:val="24"/>
          <w:szCs w:val="24"/>
        </w:rPr>
      </w:pPr>
    </w:p>
    <w:p w14:paraId="5F3F6B64" w14:textId="77777777" w:rsidR="006B3444" w:rsidRPr="006B3444" w:rsidRDefault="006B3444" w:rsidP="00B76914">
      <w:pPr>
        <w:ind w:left="851"/>
        <w:rPr>
          <w:sz w:val="24"/>
          <w:szCs w:val="24"/>
        </w:rPr>
      </w:pPr>
      <w:r w:rsidRPr="006B3444">
        <w:rPr>
          <w:sz w:val="24"/>
          <w:szCs w:val="24"/>
        </w:rPr>
        <w:t>Ivacaftor er ikke blevet undersøgt hos patienter med CF, som har gennemgået organtransplantation. Derfor bør det ikke anvendes til patienter, der har gennemgået en transplantation. Se pkt. 4.5 for interaktioner med ciclosporin eller tacrolimus.</w:t>
      </w:r>
    </w:p>
    <w:p w14:paraId="1F07CE92" w14:textId="77777777" w:rsidR="006B3444" w:rsidRPr="006B3444" w:rsidRDefault="006B3444" w:rsidP="00B76914">
      <w:pPr>
        <w:ind w:left="851"/>
        <w:rPr>
          <w:sz w:val="24"/>
          <w:szCs w:val="24"/>
        </w:rPr>
      </w:pPr>
    </w:p>
    <w:p w14:paraId="098C7875" w14:textId="77777777" w:rsidR="006B3444" w:rsidRPr="006B3444" w:rsidRDefault="006B3444" w:rsidP="00B76914">
      <w:pPr>
        <w:ind w:left="851"/>
        <w:rPr>
          <w:sz w:val="24"/>
          <w:szCs w:val="24"/>
        </w:rPr>
      </w:pPr>
      <w:r w:rsidRPr="006B3444">
        <w:rPr>
          <w:sz w:val="24"/>
          <w:szCs w:val="24"/>
          <w:u w:val="single"/>
        </w:rPr>
        <w:t>Udslætshændelser</w:t>
      </w:r>
    </w:p>
    <w:p w14:paraId="6CF5C391" w14:textId="77777777" w:rsidR="006B3444" w:rsidRPr="006B3444" w:rsidRDefault="006B3444" w:rsidP="00B76914">
      <w:pPr>
        <w:ind w:left="851"/>
        <w:rPr>
          <w:sz w:val="24"/>
          <w:szCs w:val="24"/>
        </w:rPr>
      </w:pPr>
    </w:p>
    <w:p w14:paraId="2B5C922E" w14:textId="77777777" w:rsidR="006B3444" w:rsidRPr="006B3444" w:rsidRDefault="006B3444" w:rsidP="00B76914">
      <w:pPr>
        <w:ind w:left="851"/>
        <w:rPr>
          <w:sz w:val="24"/>
          <w:szCs w:val="24"/>
        </w:rPr>
      </w:pPr>
      <w:r w:rsidRPr="006B3444">
        <w:rPr>
          <w:sz w:val="24"/>
          <w:szCs w:val="24"/>
        </w:rPr>
        <w:t>Hyppigheden af udslætshændelser med ivacaftor i et kombinationsregime med ivacaftor/tezacaftor/elexacaftor var højere hos kvinder end hos mænd, især hos kvinder, der tog hormonel kontraception. Det kan ikke udelukkes, at hormonel kontraception spiller en rolle i forekomsten af udslæt. For patienter, der tager hormonel kontraception og udvikler udslæt, bør det overvejes at afbryde behandlingen med ivacaftor i et kombinationsregime med ivacaftor/tezacaftor/elexacaftor og hormonel kontraception. Når udslættet er forsvundet, bør det overvejes, om det er hensigtsmæssigt at genoptage ivacaftor i et kombinationsregime med ivacaftor/tezacaftor/elexacaftor uden hormonel kontraception. Hvis udslættet ikke kommer igen, kan genoptagelse af hormonel kontraception overvejes (se pkt. 4.8).</w:t>
      </w:r>
    </w:p>
    <w:p w14:paraId="1960B5F8" w14:textId="77777777" w:rsidR="006B3444" w:rsidRPr="006B3444" w:rsidRDefault="006B3444" w:rsidP="00B76914">
      <w:pPr>
        <w:ind w:left="851"/>
        <w:rPr>
          <w:sz w:val="24"/>
          <w:szCs w:val="24"/>
        </w:rPr>
      </w:pPr>
    </w:p>
    <w:p w14:paraId="2E31BAF8" w14:textId="77777777" w:rsidR="006B3444" w:rsidRPr="006B3444" w:rsidRDefault="006B3444" w:rsidP="00B76914">
      <w:pPr>
        <w:ind w:left="851"/>
        <w:rPr>
          <w:sz w:val="24"/>
          <w:szCs w:val="24"/>
        </w:rPr>
      </w:pPr>
      <w:r w:rsidRPr="006B3444">
        <w:rPr>
          <w:sz w:val="24"/>
          <w:szCs w:val="24"/>
          <w:u w:val="single"/>
        </w:rPr>
        <w:t>Lægemiddelinteraktioner</w:t>
      </w:r>
    </w:p>
    <w:p w14:paraId="44DE87B2" w14:textId="77777777" w:rsidR="006B3444" w:rsidRPr="006B3444" w:rsidRDefault="006B3444" w:rsidP="00B76914">
      <w:pPr>
        <w:ind w:left="851"/>
        <w:rPr>
          <w:sz w:val="24"/>
          <w:szCs w:val="24"/>
        </w:rPr>
      </w:pPr>
    </w:p>
    <w:p w14:paraId="28089C12" w14:textId="77777777" w:rsidR="006B3444" w:rsidRPr="006B3444" w:rsidRDefault="006B3444" w:rsidP="00B76914">
      <w:pPr>
        <w:ind w:left="851"/>
        <w:rPr>
          <w:i/>
          <w:sz w:val="24"/>
          <w:szCs w:val="24"/>
        </w:rPr>
      </w:pPr>
      <w:r w:rsidRPr="006B3444">
        <w:rPr>
          <w:i/>
          <w:sz w:val="24"/>
          <w:szCs w:val="24"/>
        </w:rPr>
        <w:t>CYP3A-induktorer</w:t>
      </w:r>
    </w:p>
    <w:p w14:paraId="6D58214C" w14:textId="77777777" w:rsidR="006B3444" w:rsidRPr="006B3444" w:rsidRDefault="006B3444" w:rsidP="00B76914">
      <w:pPr>
        <w:ind w:left="851"/>
        <w:rPr>
          <w:i/>
          <w:sz w:val="24"/>
          <w:szCs w:val="24"/>
        </w:rPr>
      </w:pPr>
    </w:p>
    <w:p w14:paraId="69025ABE" w14:textId="77777777" w:rsidR="006B3444" w:rsidRPr="006B3444" w:rsidRDefault="006B3444" w:rsidP="00B76914">
      <w:pPr>
        <w:ind w:left="851"/>
        <w:rPr>
          <w:sz w:val="24"/>
          <w:szCs w:val="24"/>
        </w:rPr>
      </w:pPr>
      <w:r w:rsidRPr="006B3444">
        <w:rPr>
          <w:sz w:val="24"/>
          <w:szCs w:val="24"/>
        </w:rPr>
        <w:t>Eksponeringen for ivacaftor reduceres signifikant ved samtidig anvendelse af CYP3A-induktorer, hvilket muligvis resulterer i nedsat virkning af ivacaftor; derfor bør ivacaftor ikke administreres sammen med potente CYP3A-induktorer (se pkt. 4.5).</w:t>
      </w:r>
    </w:p>
    <w:p w14:paraId="1A6007DD" w14:textId="77777777" w:rsidR="006B3444" w:rsidRPr="006B3444" w:rsidRDefault="006B3444" w:rsidP="00B76914">
      <w:pPr>
        <w:ind w:left="851"/>
        <w:rPr>
          <w:sz w:val="24"/>
          <w:szCs w:val="24"/>
        </w:rPr>
      </w:pPr>
    </w:p>
    <w:p w14:paraId="711A5EC8" w14:textId="77777777" w:rsidR="006B3444" w:rsidRPr="006B3444" w:rsidRDefault="006B3444" w:rsidP="00B76914">
      <w:pPr>
        <w:ind w:left="851"/>
        <w:rPr>
          <w:i/>
          <w:sz w:val="24"/>
          <w:szCs w:val="24"/>
        </w:rPr>
      </w:pPr>
      <w:r w:rsidRPr="006B3444">
        <w:rPr>
          <w:i/>
          <w:sz w:val="24"/>
          <w:szCs w:val="24"/>
        </w:rPr>
        <w:t>CYP3A-hæmmere</w:t>
      </w:r>
    </w:p>
    <w:p w14:paraId="1BB31306" w14:textId="77777777" w:rsidR="006B3444" w:rsidRPr="006B3444" w:rsidRDefault="006B3444" w:rsidP="00B76914">
      <w:pPr>
        <w:ind w:left="851"/>
        <w:rPr>
          <w:i/>
          <w:sz w:val="24"/>
          <w:szCs w:val="24"/>
        </w:rPr>
      </w:pPr>
    </w:p>
    <w:p w14:paraId="3FED841A" w14:textId="77777777" w:rsidR="006B3444" w:rsidRPr="006B3444" w:rsidRDefault="006B3444" w:rsidP="00B76914">
      <w:pPr>
        <w:ind w:left="851"/>
        <w:rPr>
          <w:sz w:val="24"/>
          <w:szCs w:val="24"/>
        </w:rPr>
      </w:pPr>
      <w:r w:rsidRPr="006B3444">
        <w:rPr>
          <w:sz w:val="24"/>
          <w:szCs w:val="24"/>
        </w:rPr>
        <w:t>Eksponeringen for ivacaftor, tezacaftor og elexacaftor forøges ved administration sammen med potente eller moderate CYP3A-hæmmere. Dosis af ivacaftor skal justeres ved anvendelse sammen med potente eller moderate CYP3A-hæmmere (se tabel 2 i pkt. 4.2 og pkt. 4.5).</w:t>
      </w:r>
    </w:p>
    <w:p w14:paraId="15F1B8C2" w14:textId="77777777" w:rsidR="006B3444" w:rsidRPr="006B3444" w:rsidRDefault="006B3444" w:rsidP="00B76914">
      <w:pPr>
        <w:ind w:left="851"/>
        <w:rPr>
          <w:sz w:val="24"/>
          <w:szCs w:val="24"/>
        </w:rPr>
      </w:pPr>
    </w:p>
    <w:p w14:paraId="75499FBF" w14:textId="77777777" w:rsidR="006B3444" w:rsidRPr="006B3444" w:rsidRDefault="006B3444" w:rsidP="00B76914">
      <w:pPr>
        <w:ind w:left="851"/>
        <w:rPr>
          <w:sz w:val="24"/>
          <w:szCs w:val="24"/>
        </w:rPr>
      </w:pPr>
      <w:r w:rsidRPr="006B3444">
        <w:rPr>
          <w:sz w:val="24"/>
          <w:szCs w:val="24"/>
          <w:u w:val="single"/>
        </w:rPr>
        <w:t>Pædiatrisk population</w:t>
      </w:r>
    </w:p>
    <w:p w14:paraId="24826836" w14:textId="77777777" w:rsidR="006B3444" w:rsidRPr="006B3444" w:rsidRDefault="006B3444" w:rsidP="00B76914">
      <w:pPr>
        <w:ind w:left="851"/>
        <w:rPr>
          <w:sz w:val="24"/>
          <w:szCs w:val="24"/>
        </w:rPr>
      </w:pPr>
    </w:p>
    <w:p w14:paraId="39E4A2FA" w14:textId="77777777" w:rsidR="006B3444" w:rsidRPr="006B3444" w:rsidRDefault="006B3444" w:rsidP="00B76914">
      <w:pPr>
        <w:ind w:left="851"/>
        <w:rPr>
          <w:sz w:val="24"/>
          <w:szCs w:val="24"/>
        </w:rPr>
      </w:pPr>
      <w:r w:rsidRPr="006B3444">
        <w:rPr>
          <w:sz w:val="24"/>
          <w:szCs w:val="24"/>
        </w:rPr>
        <w:t>Tilfælde af ikke medfødte uigennemsigtigheder af linsen/grå stær, der ikke påvirker synet, er blevet rapporteret hos pædiatriske patienter i behandling med ivacaftor og ivacaftor-indeholdende regimer. Selvom andre risikofaktorer var til stede i nogle tilfælde (såsom anvendelse af kortikosteroider og eksponering for stråling), kan det ikke udelukkes, at en mulig risiko kan tilskrives behandlingen med ivacaftor. Oftalmologiske undersøgelser ved start af behandlingen og som opfølgning anbefales hos pædiatriske patienter, der påbegynder behandling med ivacaftor (se pkt. 5.3).</w:t>
      </w:r>
    </w:p>
    <w:p w14:paraId="134D35FA" w14:textId="77777777" w:rsidR="006B3444" w:rsidRPr="006B3444" w:rsidRDefault="006B3444" w:rsidP="00B76914">
      <w:pPr>
        <w:ind w:left="851"/>
        <w:rPr>
          <w:sz w:val="24"/>
          <w:szCs w:val="24"/>
        </w:rPr>
      </w:pPr>
    </w:p>
    <w:p w14:paraId="141C738B" w14:textId="77777777" w:rsidR="006B3444" w:rsidRPr="006B3444" w:rsidRDefault="006B3444" w:rsidP="00B76914">
      <w:pPr>
        <w:ind w:left="851"/>
        <w:rPr>
          <w:sz w:val="24"/>
          <w:szCs w:val="24"/>
        </w:rPr>
      </w:pPr>
      <w:r w:rsidRPr="006B3444">
        <w:rPr>
          <w:sz w:val="24"/>
          <w:szCs w:val="24"/>
          <w:u w:val="single"/>
        </w:rPr>
        <w:t>Hjælpestoffer, som behandleren skal være opmærksom på</w:t>
      </w:r>
    </w:p>
    <w:p w14:paraId="2289460F" w14:textId="77777777" w:rsidR="006B3444" w:rsidRPr="006B3444" w:rsidRDefault="006B3444" w:rsidP="00B76914">
      <w:pPr>
        <w:ind w:left="851"/>
        <w:rPr>
          <w:sz w:val="24"/>
          <w:szCs w:val="24"/>
        </w:rPr>
      </w:pPr>
    </w:p>
    <w:p w14:paraId="07516786" w14:textId="77777777" w:rsidR="006B3444" w:rsidRPr="006B3444" w:rsidRDefault="006B3444" w:rsidP="00B76914">
      <w:pPr>
        <w:ind w:left="851"/>
        <w:rPr>
          <w:i/>
          <w:sz w:val="24"/>
          <w:szCs w:val="24"/>
        </w:rPr>
      </w:pPr>
      <w:r w:rsidRPr="006B3444">
        <w:rPr>
          <w:i/>
          <w:sz w:val="24"/>
          <w:szCs w:val="24"/>
        </w:rPr>
        <w:t>Lactose</w:t>
      </w:r>
    </w:p>
    <w:p w14:paraId="58FD2A63" w14:textId="77777777" w:rsidR="006B3444" w:rsidRPr="006B3444" w:rsidRDefault="006B3444" w:rsidP="00B76914">
      <w:pPr>
        <w:ind w:left="851"/>
        <w:rPr>
          <w:i/>
          <w:sz w:val="24"/>
          <w:szCs w:val="24"/>
        </w:rPr>
      </w:pPr>
    </w:p>
    <w:p w14:paraId="03500657" w14:textId="77777777" w:rsidR="006B3444" w:rsidRPr="006B3444" w:rsidRDefault="006B3444" w:rsidP="00B76914">
      <w:pPr>
        <w:ind w:left="851"/>
        <w:rPr>
          <w:sz w:val="24"/>
          <w:szCs w:val="24"/>
        </w:rPr>
      </w:pPr>
      <w:r w:rsidRPr="006B3444">
        <w:rPr>
          <w:sz w:val="24"/>
          <w:szCs w:val="24"/>
        </w:rPr>
        <w:t>Dette lægemiddel indeholder lactose. Bør ikke anvendes til patienter med hereditær galactoseintolerans, total lactasemangel eller glucose/galactosemalabsorption.</w:t>
      </w:r>
    </w:p>
    <w:p w14:paraId="300FDA13" w14:textId="77777777" w:rsidR="006B3444" w:rsidRPr="006B3444" w:rsidRDefault="006B3444" w:rsidP="00B76914">
      <w:pPr>
        <w:ind w:left="851"/>
        <w:rPr>
          <w:sz w:val="24"/>
          <w:szCs w:val="24"/>
        </w:rPr>
      </w:pPr>
    </w:p>
    <w:p w14:paraId="6B2DD3A8" w14:textId="77777777" w:rsidR="006B3444" w:rsidRPr="006B3444" w:rsidRDefault="006B3444" w:rsidP="00B76914">
      <w:pPr>
        <w:ind w:left="851"/>
        <w:rPr>
          <w:i/>
          <w:sz w:val="24"/>
          <w:szCs w:val="24"/>
        </w:rPr>
      </w:pPr>
      <w:r w:rsidRPr="006B3444">
        <w:rPr>
          <w:i/>
          <w:sz w:val="24"/>
          <w:szCs w:val="24"/>
        </w:rPr>
        <w:t>Natrium</w:t>
      </w:r>
    </w:p>
    <w:p w14:paraId="581DD32F" w14:textId="77777777" w:rsidR="006B3444" w:rsidRPr="006B3444" w:rsidRDefault="006B3444" w:rsidP="00B76914">
      <w:pPr>
        <w:ind w:left="851"/>
        <w:rPr>
          <w:i/>
          <w:sz w:val="24"/>
          <w:szCs w:val="24"/>
        </w:rPr>
      </w:pPr>
    </w:p>
    <w:p w14:paraId="0B3B955C" w14:textId="77777777" w:rsidR="006B3444" w:rsidRPr="006B3444" w:rsidRDefault="006B3444" w:rsidP="00B76914">
      <w:pPr>
        <w:ind w:left="851"/>
        <w:rPr>
          <w:sz w:val="24"/>
          <w:szCs w:val="24"/>
        </w:rPr>
      </w:pPr>
      <w:r w:rsidRPr="006B3444">
        <w:rPr>
          <w:sz w:val="24"/>
          <w:szCs w:val="24"/>
        </w:rPr>
        <w:t>Dette lægemiddel indeholder mindre end 1 mmol (23 mg) natrium pr. dosis, dvs. det er i det væsentlige natriumfrit.</w:t>
      </w:r>
    </w:p>
    <w:p w14:paraId="51554B8F" w14:textId="77777777" w:rsidR="009260DE" w:rsidRPr="00286CAA" w:rsidRDefault="009260DE" w:rsidP="009260DE">
      <w:pPr>
        <w:tabs>
          <w:tab w:val="left" w:pos="851"/>
        </w:tabs>
        <w:ind w:left="851"/>
        <w:rPr>
          <w:sz w:val="24"/>
          <w:szCs w:val="24"/>
        </w:rPr>
      </w:pPr>
    </w:p>
    <w:p w14:paraId="5040904E" w14:textId="77777777" w:rsidR="009260DE" w:rsidRPr="00286CAA" w:rsidRDefault="009260DE" w:rsidP="009260DE">
      <w:pPr>
        <w:tabs>
          <w:tab w:val="left" w:pos="851"/>
        </w:tabs>
        <w:ind w:left="851" w:hanging="851"/>
        <w:rPr>
          <w:b/>
          <w:sz w:val="24"/>
          <w:szCs w:val="24"/>
        </w:rPr>
      </w:pPr>
      <w:r w:rsidRPr="00286CAA">
        <w:rPr>
          <w:b/>
          <w:sz w:val="24"/>
          <w:szCs w:val="24"/>
        </w:rPr>
        <w:t>4.5</w:t>
      </w:r>
      <w:r w:rsidRPr="00286CAA">
        <w:rPr>
          <w:b/>
          <w:sz w:val="24"/>
          <w:szCs w:val="24"/>
        </w:rPr>
        <w:tab/>
        <w:t>Interaktion med andre lægemidler og andre former for interaktion</w:t>
      </w:r>
    </w:p>
    <w:p w14:paraId="766716BE" w14:textId="77777777" w:rsidR="006B3444" w:rsidRPr="006B3444" w:rsidRDefault="006B3444" w:rsidP="00B76914">
      <w:pPr>
        <w:ind w:left="851"/>
        <w:rPr>
          <w:sz w:val="24"/>
          <w:szCs w:val="24"/>
        </w:rPr>
      </w:pPr>
      <w:r w:rsidRPr="006B3444">
        <w:rPr>
          <w:sz w:val="24"/>
          <w:szCs w:val="24"/>
        </w:rPr>
        <w:t xml:space="preserve">Ivacaftor er et substrat for CYP3A4 og CYP3A5. Det er en svag hæmmer af CYP3A og P- glycoprotein (P-gp) og en potentiel hæmmer af CYP2C9. </w:t>
      </w:r>
      <w:r w:rsidRPr="006B3444">
        <w:rPr>
          <w:i/>
          <w:sz w:val="24"/>
          <w:szCs w:val="24"/>
        </w:rPr>
        <w:t>In vitro</w:t>
      </w:r>
      <w:r w:rsidRPr="006B3444">
        <w:rPr>
          <w:sz w:val="24"/>
          <w:szCs w:val="24"/>
        </w:rPr>
        <w:t>-studier har vist, at ivacaftor ikke er et substrat for P-gp.</w:t>
      </w:r>
    </w:p>
    <w:p w14:paraId="6BE07760" w14:textId="77777777" w:rsidR="006B3444" w:rsidRPr="006B3444" w:rsidRDefault="006B3444" w:rsidP="00B76914">
      <w:pPr>
        <w:ind w:left="851"/>
        <w:rPr>
          <w:sz w:val="24"/>
          <w:szCs w:val="24"/>
        </w:rPr>
      </w:pPr>
    </w:p>
    <w:p w14:paraId="1D507D90" w14:textId="77777777" w:rsidR="006B3444" w:rsidRPr="006B3444" w:rsidRDefault="006B3444" w:rsidP="00B76914">
      <w:pPr>
        <w:ind w:left="851"/>
        <w:rPr>
          <w:sz w:val="24"/>
          <w:szCs w:val="24"/>
        </w:rPr>
      </w:pPr>
      <w:r w:rsidRPr="006B3444">
        <w:rPr>
          <w:sz w:val="24"/>
          <w:szCs w:val="24"/>
          <w:u w:val="single"/>
        </w:rPr>
        <w:t>Lægemidler, der påvirker farmakokinetikken for ivacaftor</w:t>
      </w:r>
    </w:p>
    <w:p w14:paraId="33EDAF24" w14:textId="77777777" w:rsidR="006B3444" w:rsidRPr="006B3444" w:rsidRDefault="006B3444" w:rsidP="00B76914">
      <w:pPr>
        <w:ind w:left="851"/>
        <w:rPr>
          <w:sz w:val="24"/>
          <w:szCs w:val="24"/>
        </w:rPr>
      </w:pPr>
    </w:p>
    <w:p w14:paraId="4064C9E6" w14:textId="77777777" w:rsidR="006B3444" w:rsidRPr="006B3444" w:rsidRDefault="006B3444" w:rsidP="00B76914">
      <w:pPr>
        <w:ind w:left="851"/>
        <w:rPr>
          <w:i/>
          <w:sz w:val="24"/>
          <w:szCs w:val="24"/>
        </w:rPr>
      </w:pPr>
      <w:r w:rsidRPr="006B3444">
        <w:rPr>
          <w:i/>
          <w:sz w:val="24"/>
          <w:szCs w:val="24"/>
        </w:rPr>
        <w:t>CYP3A-induktorer</w:t>
      </w:r>
    </w:p>
    <w:p w14:paraId="75A263E1" w14:textId="77777777" w:rsidR="006B3444" w:rsidRPr="006B3444" w:rsidRDefault="006B3444" w:rsidP="00B76914">
      <w:pPr>
        <w:ind w:left="851"/>
        <w:rPr>
          <w:i/>
          <w:sz w:val="24"/>
          <w:szCs w:val="24"/>
        </w:rPr>
      </w:pPr>
    </w:p>
    <w:p w14:paraId="71DE9B15" w14:textId="77777777" w:rsidR="006B3444" w:rsidRPr="006B3444" w:rsidRDefault="006B3444" w:rsidP="00B76914">
      <w:pPr>
        <w:ind w:left="851"/>
        <w:rPr>
          <w:sz w:val="24"/>
          <w:szCs w:val="24"/>
        </w:rPr>
      </w:pPr>
      <w:r w:rsidRPr="006B3444">
        <w:rPr>
          <w:sz w:val="24"/>
          <w:szCs w:val="24"/>
        </w:rPr>
        <w:t>Administration af ivacaftor sammen med rifampicin, en potent CYP3A-induktor, nedsatte eksponeringen for ivacaftor (AUC) med 89 % og nedsatte hydroxymethyl-ivacaftor (M1) i mindre grad end ivacaftor. Administration af ivacaftor sammen med potente CYP3A-induktorer, såsom rifampicin, rifabutin, phenobarbital, carbamazepin, phenytoin og perikon (</w:t>
      </w:r>
      <w:r w:rsidRPr="006B3444">
        <w:rPr>
          <w:i/>
          <w:sz w:val="24"/>
          <w:szCs w:val="24"/>
        </w:rPr>
        <w:t>Hypericum perforatum</w:t>
      </w:r>
      <w:r w:rsidRPr="006B3444">
        <w:rPr>
          <w:sz w:val="24"/>
          <w:szCs w:val="24"/>
        </w:rPr>
        <w:t>), bør undgås (se pkt. 4.4).</w:t>
      </w:r>
    </w:p>
    <w:p w14:paraId="03F067A6" w14:textId="77777777" w:rsidR="006B3444" w:rsidRPr="006B3444" w:rsidRDefault="006B3444" w:rsidP="00B76914">
      <w:pPr>
        <w:ind w:left="851"/>
        <w:rPr>
          <w:sz w:val="24"/>
          <w:szCs w:val="24"/>
        </w:rPr>
      </w:pPr>
    </w:p>
    <w:p w14:paraId="38C4F7E3" w14:textId="77777777" w:rsidR="006B3444" w:rsidRPr="006B3444" w:rsidRDefault="006B3444" w:rsidP="00B76914">
      <w:pPr>
        <w:ind w:left="851"/>
        <w:rPr>
          <w:sz w:val="24"/>
          <w:szCs w:val="24"/>
        </w:rPr>
      </w:pPr>
      <w:r w:rsidRPr="006B3444">
        <w:rPr>
          <w:sz w:val="24"/>
          <w:szCs w:val="24"/>
        </w:rPr>
        <w:t>Ingen dosisjustering er nødvendig, når ivacaftor anvendes sammen med moderate eller svage CYP3A- induktorer.</w:t>
      </w:r>
    </w:p>
    <w:p w14:paraId="77669C39" w14:textId="77777777" w:rsidR="006B3444" w:rsidRPr="006B3444" w:rsidRDefault="006B3444" w:rsidP="00B76914">
      <w:pPr>
        <w:ind w:left="851"/>
        <w:rPr>
          <w:sz w:val="24"/>
          <w:szCs w:val="24"/>
        </w:rPr>
      </w:pPr>
    </w:p>
    <w:p w14:paraId="368431F7" w14:textId="77777777" w:rsidR="006B3444" w:rsidRPr="006B3444" w:rsidRDefault="006B3444" w:rsidP="00B76914">
      <w:pPr>
        <w:ind w:left="851"/>
        <w:rPr>
          <w:i/>
          <w:sz w:val="24"/>
          <w:szCs w:val="24"/>
        </w:rPr>
      </w:pPr>
      <w:r w:rsidRPr="006B3444">
        <w:rPr>
          <w:i/>
          <w:sz w:val="24"/>
          <w:szCs w:val="24"/>
        </w:rPr>
        <w:t>CYP3A-hæmmere</w:t>
      </w:r>
    </w:p>
    <w:p w14:paraId="087DA2EE" w14:textId="77777777" w:rsidR="006B3444" w:rsidRPr="006B3444" w:rsidRDefault="006B3444" w:rsidP="006B3444">
      <w:pPr>
        <w:tabs>
          <w:tab w:val="left" w:pos="851"/>
        </w:tabs>
        <w:ind w:left="851"/>
        <w:rPr>
          <w:i/>
          <w:sz w:val="24"/>
          <w:szCs w:val="24"/>
        </w:rPr>
      </w:pPr>
    </w:p>
    <w:p w14:paraId="56E041E7" w14:textId="77777777" w:rsidR="006B3444" w:rsidRPr="006B3444" w:rsidRDefault="006B3444" w:rsidP="00B76914">
      <w:pPr>
        <w:ind w:left="851"/>
        <w:rPr>
          <w:sz w:val="24"/>
          <w:szCs w:val="24"/>
        </w:rPr>
      </w:pPr>
      <w:r w:rsidRPr="006B3444">
        <w:rPr>
          <w:sz w:val="24"/>
          <w:szCs w:val="24"/>
        </w:rPr>
        <w:t>Ivacaftor er et følsomt CYP3A-substrat. Administration sammen med ketoconazol, en potent CYP3A- hæmmer, øgede eksponeringen for ivacaftor (målt som arealet under kurven [AUC]) 8,5 gange og øgede M1 i mindre grad end ivacaftor. Reduktion af ivacaftor-dosis anbefales ved administration sammen med potente CYP3A-hæmmere, såsom ketoconazol, itraconazol, posaconazol, voriconazol, telithromycin og clarithromycin (se tabel 2 i pkt. 4.2 og pkt. 4.4).</w:t>
      </w:r>
    </w:p>
    <w:p w14:paraId="744D12A8" w14:textId="77777777" w:rsidR="006B3444" w:rsidRPr="006B3444" w:rsidRDefault="006B3444" w:rsidP="00B76914">
      <w:pPr>
        <w:ind w:left="851"/>
        <w:rPr>
          <w:sz w:val="24"/>
          <w:szCs w:val="24"/>
        </w:rPr>
      </w:pPr>
    </w:p>
    <w:p w14:paraId="4BD1ABC5" w14:textId="77777777" w:rsidR="006B3444" w:rsidRPr="006B3444" w:rsidRDefault="006B3444" w:rsidP="00B76914">
      <w:pPr>
        <w:ind w:left="851"/>
        <w:rPr>
          <w:sz w:val="24"/>
          <w:szCs w:val="24"/>
        </w:rPr>
      </w:pPr>
      <w:r w:rsidRPr="006B3444">
        <w:rPr>
          <w:sz w:val="24"/>
          <w:szCs w:val="24"/>
        </w:rPr>
        <w:t>Administration sammen med fluconazol, en moderat CYP3A-hæmmer, øgede eksponeringen for ivacaftor 3 gange og øgede M1 i mindre grad end ivacaftor. Reduktion af ivacaftor-dosis anbefales til patienter, der samtidig behandles med moderate CYP3A-hæmmere, såsom fluconazol, erythromycin og verapamil (se tabel 2 i pkt. 4.2 og pkt. 4.4).</w:t>
      </w:r>
    </w:p>
    <w:p w14:paraId="45B77E68" w14:textId="77777777" w:rsidR="006B3444" w:rsidRPr="006B3444" w:rsidRDefault="006B3444" w:rsidP="00B76914">
      <w:pPr>
        <w:ind w:left="851"/>
        <w:rPr>
          <w:sz w:val="24"/>
          <w:szCs w:val="24"/>
        </w:rPr>
      </w:pPr>
    </w:p>
    <w:p w14:paraId="2B792D74" w14:textId="77777777" w:rsidR="006B3444" w:rsidRPr="006B3444" w:rsidRDefault="006B3444" w:rsidP="00B76914">
      <w:pPr>
        <w:ind w:left="851"/>
        <w:rPr>
          <w:sz w:val="24"/>
          <w:szCs w:val="24"/>
        </w:rPr>
      </w:pPr>
      <w:r w:rsidRPr="006B3444">
        <w:rPr>
          <w:sz w:val="24"/>
          <w:szCs w:val="24"/>
        </w:rPr>
        <w:t>Administration af ivacaftor sammen med grapefrugtjuice, der indeholder et eller flere stoffer, som hæmmer CYP3A moderat, kan øge eksponeringen for ivacaftor. Mad eller drikke, der indeholder grapefrugt, bør undgås under behandling med ivacaftor (se pkt. 4.2).</w:t>
      </w:r>
    </w:p>
    <w:p w14:paraId="62D19487" w14:textId="2322F320" w:rsidR="00B67369" w:rsidRDefault="00B67369">
      <w:pPr>
        <w:rPr>
          <w:sz w:val="24"/>
          <w:szCs w:val="24"/>
        </w:rPr>
      </w:pPr>
      <w:r>
        <w:rPr>
          <w:sz w:val="24"/>
          <w:szCs w:val="24"/>
        </w:rPr>
        <w:br w:type="page"/>
      </w:r>
    </w:p>
    <w:p w14:paraId="0ED5E86C" w14:textId="77777777" w:rsidR="006B3444" w:rsidRPr="006B3444" w:rsidRDefault="006B3444" w:rsidP="00B76914">
      <w:pPr>
        <w:ind w:left="851"/>
        <w:rPr>
          <w:sz w:val="24"/>
          <w:szCs w:val="24"/>
        </w:rPr>
      </w:pPr>
    </w:p>
    <w:p w14:paraId="1D3BF3A2" w14:textId="77777777" w:rsidR="006B3444" w:rsidRPr="006B3444" w:rsidRDefault="006B3444" w:rsidP="00B76914">
      <w:pPr>
        <w:ind w:left="851"/>
        <w:rPr>
          <w:i/>
          <w:sz w:val="24"/>
          <w:szCs w:val="24"/>
        </w:rPr>
      </w:pPr>
      <w:r w:rsidRPr="006B3444">
        <w:rPr>
          <w:i/>
          <w:sz w:val="24"/>
          <w:szCs w:val="24"/>
        </w:rPr>
        <w:t>Ivacaftors potentiale til at interagere med transportører</w:t>
      </w:r>
    </w:p>
    <w:p w14:paraId="1FFE599B" w14:textId="77777777" w:rsidR="006B3444" w:rsidRPr="006B3444" w:rsidRDefault="006B3444" w:rsidP="00B76914">
      <w:pPr>
        <w:ind w:left="851"/>
        <w:rPr>
          <w:i/>
          <w:sz w:val="24"/>
          <w:szCs w:val="24"/>
        </w:rPr>
      </w:pPr>
    </w:p>
    <w:p w14:paraId="7BC05B48" w14:textId="77777777" w:rsidR="006B3444" w:rsidRPr="006B3444" w:rsidRDefault="006B3444" w:rsidP="00B76914">
      <w:pPr>
        <w:ind w:left="851"/>
        <w:rPr>
          <w:sz w:val="24"/>
          <w:szCs w:val="24"/>
        </w:rPr>
      </w:pPr>
      <w:r w:rsidRPr="006B3444">
        <w:rPr>
          <w:i/>
          <w:sz w:val="24"/>
          <w:szCs w:val="24"/>
        </w:rPr>
        <w:t>In vitro</w:t>
      </w:r>
      <w:r w:rsidRPr="006B3444">
        <w:rPr>
          <w:sz w:val="24"/>
          <w:szCs w:val="24"/>
        </w:rPr>
        <w:t xml:space="preserve">-studier har vist, at ivacaftor ikke er et substrat for OATP1B1 eller OATP1B3. Ivacaftor og dets metabolitter er substrater for BCRP </w:t>
      </w:r>
      <w:r w:rsidRPr="006B3444">
        <w:rPr>
          <w:i/>
          <w:sz w:val="24"/>
          <w:szCs w:val="24"/>
        </w:rPr>
        <w:t>in vitro</w:t>
      </w:r>
      <w:r w:rsidRPr="006B3444">
        <w:rPr>
          <w:sz w:val="24"/>
          <w:szCs w:val="24"/>
        </w:rPr>
        <w:t>. Som følge af den høje intrinsiske permeabilitet og lave sandsynlighed for at blive udskilt intakt forventes samtidig administration af BCRP-hæmmere ikke at ændre eksponeringen for ivacaftor og M1-IVA, mens potentielle ændringer i M6-IVA-eksponeringer ikke forventes at være klinisk relevante.</w:t>
      </w:r>
    </w:p>
    <w:p w14:paraId="1D7AE067" w14:textId="77777777" w:rsidR="006B3444" w:rsidRPr="006B3444" w:rsidRDefault="006B3444" w:rsidP="00B76914">
      <w:pPr>
        <w:ind w:left="851"/>
        <w:rPr>
          <w:sz w:val="24"/>
          <w:szCs w:val="24"/>
        </w:rPr>
      </w:pPr>
    </w:p>
    <w:p w14:paraId="0DFFA404" w14:textId="77777777" w:rsidR="006B3444" w:rsidRPr="006B3444" w:rsidRDefault="006B3444" w:rsidP="00B76914">
      <w:pPr>
        <w:ind w:left="851"/>
        <w:rPr>
          <w:i/>
          <w:sz w:val="24"/>
          <w:szCs w:val="24"/>
        </w:rPr>
      </w:pPr>
      <w:r w:rsidRPr="006B3444">
        <w:rPr>
          <w:i/>
          <w:sz w:val="24"/>
          <w:szCs w:val="24"/>
        </w:rPr>
        <w:t>Ciprofloxacin</w:t>
      </w:r>
    </w:p>
    <w:p w14:paraId="2343E3B4" w14:textId="77777777" w:rsidR="006B3444" w:rsidRPr="006B3444" w:rsidRDefault="006B3444" w:rsidP="00B76914">
      <w:pPr>
        <w:ind w:left="851"/>
        <w:rPr>
          <w:i/>
          <w:sz w:val="24"/>
          <w:szCs w:val="24"/>
        </w:rPr>
      </w:pPr>
    </w:p>
    <w:p w14:paraId="7E833758" w14:textId="77777777" w:rsidR="006B3444" w:rsidRPr="006B3444" w:rsidRDefault="006B3444" w:rsidP="00B76914">
      <w:pPr>
        <w:ind w:left="851"/>
        <w:rPr>
          <w:sz w:val="24"/>
          <w:szCs w:val="24"/>
        </w:rPr>
      </w:pPr>
      <w:r w:rsidRPr="006B3444">
        <w:rPr>
          <w:sz w:val="24"/>
          <w:szCs w:val="24"/>
        </w:rPr>
        <w:t>Administration af ciprofloxacin sammen med ivacaftor påvirkede ikke eksponeringen for ivacaftor. Dosisjustering er ikke nødvendig, når ivacaftor administreres sammen med ciprofloxacin.</w:t>
      </w:r>
    </w:p>
    <w:p w14:paraId="0AEF2BB3" w14:textId="77777777" w:rsidR="006B3444" w:rsidRPr="006B3444" w:rsidRDefault="006B3444" w:rsidP="00B76914">
      <w:pPr>
        <w:ind w:left="851"/>
        <w:rPr>
          <w:sz w:val="24"/>
          <w:szCs w:val="24"/>
        </w:rPr>
      </w:pPr>
    </w:p>
    <w:p w14:paraId="146C27E7" w14:textId="77777777" w:rsidR="006B3444" w:rsidRPr="006B3444" w:rsidRDefault="006B3444" w:rsidP="00B76914">
      <w:pPr>
        <w:ind w:left="851"/>
        <w:rPr>
          <w:sz w:val="24"/>
          <w:szCs w:val="24"/>
        </w:rPr>
      </w:pPr>
      <w:r w:rsidRPr="006B3444">
        <w:rPr>
          <w:sz w:val="24"/>
          <w:szCs w:val="24"/>
          <w:u w:val="single"/>
        </w:rPr>
        <w:t>Lægemidler, der påvirkes af ivacaftor</w:t>
      </w:r>
    </w:p>
    <w:p w14:paraId="14439366" w14:textId="77777777" w:rsidR="006B3444" w:rsidRPr="006B3444" w:rsidRDefault="006B3444" w:rsidP="00B76914">
      <w:pPr>
        <w:ind w:left="851"/>
        <w:rPr>
          <w:sz w:val="24"/>
          <w:szCs w:val="24"/>
        </w:rPr>
      </w:pPr>
    </w:p>
    <w:p w14:paraId="7F7A78A8" w14:textId="77777777" w:rsidR="006B3444" w:rsidRPr="006B3444" w:rsidRDefault="006B3444" w:rsidP="00B76914">
      <w:pPr>
        <w:ind w:left="851"/>
        <w:rPr>
          <w:sz w:val="24"/>
          <w:szCs w:val="24"/>
        </w:rPr>
      </w:pPr>
      <w:r w:rsidRPr="006B3444">
        <w:rPr>
          <w:sz w:val="24"/>
          <w:szCs w:val="24"/>
        </w:rPr>
        <w:t>Administration af ivacaftor kan forøge den systemiske eksponering af lægemidler, som er følsomme CYP2C9- og/eller P-gp- og/eller CYP3A-substrater, hvilket kan forøge eller forlænge deres terapeutiske virkning og bivirkninger.</w:t>
      </w:r>
    </w:p>
    <w:p w14:paraId="1873C59C" w14:textId="77777777" w:rsidR="006B3444" w:rsidRPr="006B3444" w:rsidRDefault="006B3444" w:rsidP="00B76914">
      <w:pPr>
        <w:ind w:left="851"/>
        <w:rPr>
          <w:sz w:val="24"/>
          <w:szCs w:val="24"/>
        </w:rPr>
      </w:pPr>
    </w:p>
    <w:p w14:paraId="2C70BFD3" w14:textId="77777777" w:rsidR="006B3444" w:rsidRPr="006B3444" w:rsidRDefault="006B3444" w:rsidP="00B76914">
      <w:pPr>
        <w:ind w:left="851"/>
        <w:rPr>
          <w:i/>
          <w:sz w:val="24"/>
          <w:szCs w:val="24"/>
        </w:rPr>
      </w:pPr>
      <w:r w:rsidRPr="006B3444">
        <w:rPr>
          <w:i/>
          <w:sz w:val="24"/>
          <w:szCs w:val="24"/>
        </w:rPr>
        <w:t>CYP2C9-substrater</w:t>
      </w:r>
    </w:p>
    <w:p w14:paraId="7C7BC66F" w14:textId="77777777" w:rsidR="006B3444" w:rsidRPr="006B3444" w:rsidRDefault="006B3444" w:rsidP="00B76914">
      <w:pPr>
        <w:ind w:left="851"/>
        <w:rPr>
          <w:i/>
          <w:sz w:val="24"/>
          <w:szCs w:val="24"/>
        </w:rPr>
      </w:pPr>
    </w:p>
    <w:p w14:paraId="337886C9" w14:textId="77777777" w:rsidR="006B3444" w:rsidRPr="006B3444" w:rsidRDefault="006B3444" w:rsidP="00B76914">
      <w:pPr>
        <w:ind w:left="851"/>
        <w:rPr>
          <w:sz w:val="24"/>
          <w:szCs w:val="24"/>
        </w:rPr>
      </w:pPr>
      <w:r w:rsidRPr="006B3444">
        <w:rPr>
          <w:sz w:val="24"/>
          <w:szCs w:val="24"/>
        </w:rPr>
        <w:t>Ivacaftor kan hæmme CYP2C9. Derfor anbefales det, at den internationale, normaliserede ratio (INR) overvåges ved administration af warfarin sammen med ivacaftor. Andre lægemidler, hvor eksponeringen kan være øget, omfatter glimepirid og glipizid. Disse lægemidler skal anvendes med forsigtighed.</w:t>
      </w:r>
    </w:p>
    <w:p w14:paraId="31D7AD9A" w14:textId="77777777" w:rsidR="006B3444" w:rsidRPr="006B3444" w:rsidRDefault="006B3444" w:rsidP="00B76914">
      <w:pPr>
        <w:ind w:left="851"/>
        <w:rPr>
          <w:sz w:val="24"/>
          <w:szCs w:val="24"/>
        </w:rPr>
      </w:pPr>
    </w:p>
    <w:p w14:paraId="3A2BCBF4" w14:textId="77777777" w:rsidR="006B3444" w:rsidRPr="006B3444" w:rsidRDefault="006B3444" w:rsidP="00B76914">
      <w:pPr>
        <w:ind w:left="851"/>
        <w:rPr>
          <w:i/>
          <w:sz w:val="24"/>
          <w:szCs w:val="24"/>
        </w:rPr>
      </w:pPr>
      <w:r w:rsidRPr="006B3444">
        <w:rPr>
          <w:i/>
          <w:sz w:val="24"/>
          <w:szCs w:val="24"/>
        </w:rPr>
        <w:t>Digoxin og andre P-gp-substrater</w:t>
      </w:r>
    </w:p>
    <w:p w14:paraId="3D3C35C5" w14:textId="77777777" w:rsidR="006B3444" w:rsidRPr="006B3444" w:rsidRDefault="006B3444" w:rsidP="00B76914">
      <w:pPr>
        <w:ind w:left="851"/>
        <w:rPr>
          <w:i/>
          <w:sz w:val="24"/>
          <w:szCs w:val="24"/>
        </w:rPr>
      </w:pPr>
    </w:p>
    <w:p w14:paraId="49E79025" w14:textId="77777777" w:rsidR="006B3444" w:rsidRPr="006B3444" w:rsidRDefault="006B3444" w:rsidP="00B76914">
      <w:pPr>
        <w:ind w:left="851"/>
        <w:rPr>
          <w:sz w:val="24"/>
          <w:szCs w:val="24"/>
        </w:rPr>
      </w:pPr>
      <w:r w:rsidRPr="006B3444">
        <w:rPr>
          <w:sz w:val="24"/>
          <w:szCs w:val="24"/>
        </w:rPr>
        <w:t>Administration sammen med digoxin, et følsomt P-gp-substrat, øgede eksponeringen for digoxin 1,3 gange i overensstemmelse med ivacaftors svage P-gp-hæmning. Administration af ivacaftor kan forøge den systemiske eksponering af lægemidler, som er følsomme P-gp-substrater, hvilket kan forøge eller forlænge deres terapeutiske virkning og bivirkninger. Ved brug sammen med digoxin eller andre substrater for P-gp med et snævert terapeutisk indeks, såsom ciclosporin, everolimus, sirolimus eller tacrolimus, skal der udvises forsigtighed med passende overvågning.</w:t>
      </w:r>
    </w:p>
    <w:p w14:paraId="5391C384" w14:textId="77777777" w:rsidR="006B3444" w:rsidRPr="006B3444" w:rsidRDefault="006B3444" w:rsidP="00B76914">
      <w:pPr>
        <w:ind w:left="851"/>
        <w:rPr>
          <w:sz w:val="24"/>
          <w:szCs w:val="24"/>
        </w:rPr>
      </w:pPr>
    </w:p>
    <w:p w14:paraId="1A068442" w14:textId="77777777" w:rsidR="006B3444" w:rsidRPr="006B3444" w:rsidRDefault="006B3444" w:rsidP="00B76914">
      <w:pPr>
        <w:ind w:left="851"/>
        <w:rPr>
          <w:i/>
          <w:sz w:val="24"/>
          <w:szCs w:val="24"/>
        </w:rPr>
      </w:pPr>
      <w:r w:rsidRPr="006B3444">
        <w:rPr>
          <w:i/>
          <w:sz w:val="24"/>
          <w:szCs w:val="24"/>
        </w:rPr>
        <w:t>CYP3A-substrater</w:t>
      </w:r>
    </w:p>
    <w:p w14:paraId="070CA1A3" w14:textId="77777777" w:rsidR="006B3444" w:rsidRPr="006B3444" w:rsidRDefault="006B3444" w:rsidP="00B76914">
      <w:pPr>
        <w:ind w:left="851"/>
        <w:rPr>
          <w:i/>
          <w:sz w:val="24"/>
          <w:szCs w:val="24"/>
        </w:rPr>
      </w:pPr>
    </w:p>
    <w:p w14:paraId="0AA18C89" w14:textId="77777777" w:rsidR="006B3444" w:rsidRPr="006B3444" w:rsidRDefault="006B3444" w:rsidP="00B76914">
      <w:pPr>
        <w:ind w:left="851"/>
        <w:rPr>
          <w:sz w:val="24"/>
          <w:szCs w:val="24"/>
        </w:rPr>
      </w:pPr>
      <w:r w:rsidRPr="006B3444">
        <w:rPr>
          <w:sz w:val="24"/>
          <w:szCs w:val="24"/>
        </w:rPr>
        <w:t>Administration sammen med (oral) midazolam, et følsomt CYP3A-substrat, øger eksponeringen for midazolam 1,5 gange, i overensstemmelse med ivacaftors svage CYP3A-hæmning. En dosisjustering af CYP3A-substrater, såsom midazolam, alprazolam, diazepam eller triazolam, er ikke nødvendig, når disse administreres sammen med ivacaftor.</w:t>
      </w:r>
    </w:p>
    <w:p w14:paraId="72991E96" w14:textId="3F4229E3" w:rsidR="00B67369" w:rsidRDefault="00B67369">
      <w:pPr>
        <w:rPr>
          <w:sz w:val="24"/>
          <w:szCs w:val="24"/>
        </w:rPr>
      </w:pPr>
      <w:r>
        <w:rPr>
          <w:sz w:val="24"/>
          <w:szCs w:val="24"/>
        </w:rPr>
        <w:br w:type="page"/>
      </w:r>
    </w:p>
    <w:p w14:paraId="684DBB36" w14:textId="77777777" w:rsidR="006B3444" w:rsidRPr="006B3444" w:rsidRDefault="006B3444" w:rsidP="00B76914">
      <w:pPr>
        <w:ind w:left="851"/>
        <w:rPr>
          <w:sz w:val="24"/>
          <w:szCs w:val="24"/>
        </w:rPr>
      </w:pPr>
    </w:p>
    <w:p w14:paraId="773750E2" w14:textId="77777777" w:rsidR="006B3444" w:rsidRPr="006B3444" w:rsidRDefault="006B3444" w:rsidP="00B76914">
      <w:pPr>
        <w:ind w:left="851"/>
        <w:rPr>
          <w:i/>
          <w:sz w:val="24"/>
          <w:szCs w:val="24"/>
        </w:rPr>
      </w:pPr>
      <w:r w:rsidRPr="006B3444">
        <w:rPr>
          <w:i/>
          <w:sz w:val="24"/>
          <w:szCs w:val="24"/>
        </w:rPr>
        <w:t>Hormonel kontraception</w:t>
      </w:r>
    </w:p>
    <w:p w14:paraId="2026D9A0" w14:textId="77777777" w:rsidR="006B3444" w:rsidRPr="006B3444" w:rsidRDefault="006B3444" w:rsidP="00B76914">
      <w:pPr>
        <w:ind w:left="851"/>
        <w:rPr>
          <w:i/>
          <w:sz w:val="24"/>
          <w:szCs w:val="24"/>
        </w:rPr>
      </w:pPr>
    </w:p>
    <w:p w14:paraId="0D779BC8" w14:textId="0C8F75AD" w:rsidR="006B3444" w:rsidRPr="006B3444" w:rsidRDefault="006B3444" w:rsidP="00B76914">
      <w:pPr>
        <w:ind w:left="851"/>
        <w:rPr>
          <w:sz w:val="24"/>
          <w:szCs w:val="24"/>
        </w:rPr>
      </w:pPr>
      <w:r w:rsidRPr="006B3444">
        <w:rPr>
          <w:sz w:val="24"/>
          <w:szCs w:val="24"/>
        </w:rPr>
        <w:t>Ivacaftor er blevet undersøgt sammen med oral kontraception indeholdende østrogen/progesteron, og der blev ikke fundet nogen signifikant indvirkning på eksponeringen for det orale kontraceptivum.</w:t>
      </w:r>
    </w:p>
    <w:p w14:paraId="409FF42A" w14:textId="77777777" w:rsidR="006B3444" w:rsidRPr="006B3444" w:rsidRDefault="006B3444" w:rsidP="00B76914">
      <w:pPr>
        <w:ind w:left="851"/>
        <w:rPr>
          <w:sz w:val="24"/>
          <w:szCs w:val="24"/>
        </w:rPr>
      </w:pPr>
      <w:r w:rsidRPr="006B3444">
        <w:rPr>
          <w:sz w:val="24"/>
          <w:szCs w:val="24"/>
        </w:rPr>
        <w:t xml:space="preserve">Derfor er dosisjustering af oral kontraception ikke nødvendig. </w:t>
      </w:r>
    </w:p>
    <w:p w14:paraId="5366C50D" w14:textId="77777777" w:rsidR="006B3444" w:rsidRPr="006B3444" w:rsidRDefault="006B3444" w:rsidP="00B76914">
      <w:pPr>
        <w:ind w:left="851"/>
        <w:rPr>
          <w:sz w:val="24"/>
          <w:szCs w:val="24"/>
        </w:rPr>
      </w:pPr>
    </w:p>
    <w:p w14:paraId="28A25CBD" w14:textId="77777777" w:rsidR="006B3444" w:rsidRPr="006B3444" w:rsidRDefault="006B3444" w:rsidP="00B76914">
      <w:pPr>
        <w:ind w:left="851"/>
        <w:rPr>
          <w:sz w:val="24"/>
          <w:szCs w:val="24"/>
        </w:rPr>
      </w:pPr>
      <w:r w:rsidRPr="006B3444">
        <w:rPr>
          <w:sz w:val="24"/>
          <w:szCs w:val="24"/>
          <w:u w:val="single"/>
        </w:rPr>
        <w:t>Pædiatrisk population</w:t>
      </w:r>
    </w:p>
    <w:p w14:paraId="77CC9067" w14:textId="77777777" w:rsidR="006B3444" w:rsidRPr="006B3444" w:rsidRDefault="006B3444" w:rsidP="00B76914">
      <w:pPr>
        <w:ind w:left="851"/>
        <w:rPr>
          <w:sz w:val="24"/>
          <w:szCs w:val="24"/>
        </w:rPr>
      </w:pPr>
    </w:p>
    <w:p w14:paraId="7DCCC623" w14:textId="77777777" w:rsidR="006B3444" w:rsidRPr="006B3444" w:rsidRDefault="006B3444" w:rsidP="00B76914">
      <w:pPr>
        <w:ind w:left="851"/>
        <w:rPr>
          <w:sz w:val="24"/>
          <w:szCs w:val="24"/>
        </w:rPr>
      </w:pPr>
      <w:r w:rsidRPr="006B3444">
        <w:rPr>
          <w:sz w:val="24"/>
          <w:szCs w:val="24"/>
        </w:rPr>
        <w:t>Interaktionsstudier er kun udført hos voksne.</w:t>
      </w:r>
    </w:p>
    <w:p w14:paraId="371883E3" w14:textId="77777777" w:rsidR="009260DE" w:rsidRPr="00286CAA" w:rsidRDefault="009260DE" w:rsidP="009260DE">
      <w:pPr>
        <w:tabs>
          <w:tab w:val="left" w:pos="851"/>
        </w:tabs>
        <w:ind w:left="851"/>
        <w:rPr>
          <w:sz w:val="24"/>
          <w:szCs w:val="24"/>
        </w:rPr>
      </w:pPr>
    </w:p>
    <w:p w14:paraId="428873BB" w14:textId="77777777" w:rsidR="009260DE" w:rsidRPr="00286CAA" w:rsidRDefault="009260DE" w:rsidP="009260DE">
      <w:pPr>
        <w:tabs>
          <w:tab w:val="left" w:pos="851"/>
        </w:tabs>
        <w:ind w:left="851" w:hanging="851"/>
        <w:rPr>
          <w:b/>
          <w:sz w:val="24"/>
          <w:szCs w:val="24"/>
        </w:rPr>
      </w:pPr>
      <w:r w:rsidRPr="00286CAA">
        <w:rPr>
          <w:b/>
          <w:sz w:val="24"/>
          <w:szCs w:val="24"/>
        </w:rPr>
        <w:t>4.6</w:t>
      </w:r>
      <w:r w:rsidRPr="00286CAA">
        <w:rPr>
          <w:b/>
          <w:sz w:val="24"/>
          <w:szCs w:val="24"/>
        </w:rPr>
        <w:tab/>
      </w:r>
      <w:r w:rsidR="0071241E" w:rsidRPr="00286CAA">
        <w:rPr>
          <w:b/>
          <w:sz w:val="24"/>
          <w:szCs w:val="24"/>
        </w:rPr>
        <w:t>Fertilitet, g</w:t>
      </w:r>
      <w:r w:rsidRPr="00286CAA">
        <w:rPr>
          <w:b/>
          <w:sz w:val="24"/>
          <w:szCs w:val="24"/>
        </w:rPr>
        <w:t>raviditet og amning</w:t>
      </w:r>
    </w:p>
    <w:p w14:paraId="44F05B35" w14:textId="77777777" w:rsidR="006B3444" w:rsidRPr="006B3444" w:rsidRDefault="006B3444" w:rsidP="006B3444">
      <w:pPr>
        <w:tabs>
          <w:tab w:val="left" w:pos="851"/>
        </w:tabs>
        <w:ind w:left="851"/>
        <w:rPr>
          <w:bCs/>
          <w:sz w:val="24"/>
          <w:szCs w:val="24"/>
        </w:rPr>
      </w:pPr>
    </w:p>
    <w:p w14:paraId="53E7D49F" w14:textId="77777777" w:rsidR="006B3444" w:rsidRPr="006B3444" w:rsidRDefault="006B3444" w:rsidP="00B76914">
      <w:pPr>
        <w:ind w:left="851"/>
        <w:rPr>
          <w:sz w:val="24"/>
          <w:szCs w:val="24"/>
        </w:rPr>
      </w:pPr>
      <w:r w:rsidRPr="006B3444">
        <w:rPr>
          <w:sz w:val="24"/>
          <w:szCs w:val="24"/>
          <w:u w:val="single"/>
        </w:rPr>
        <w:t>Graviditet</w:t>
      </w:r>
    </w:p>
    <w:p w14:paraId="7FD4C5D4" w14:textId="77777777" w:rsidR="006B3444" w:rsidRPr="006B3444" w:rsidRDefault="006B3444" w:rsidP="00B76914">
      <w:pPr>
        <w:ind w:left="851"/>
        <w:rPr>
          <w:sz w:val="24"/>
          <w:szCs w:val="24"/>
        </w:rPr>
      </w:pPr>
    </w:p>
    <w:p w14:paraId="20B64FB4" w14:textId="76A23208" w:rsidR="006B3444" w:rsidRPr="006B3444" w:rsidRDefault="006B3444" w:rsidP="00B76914">
      <w:pPr>
        <w:ind w:left="851"/>
        <w:rPr>
          <w:sz w:val="24"/>
          <w:szCs w:val="24"/>
        </w:rPr>
      </w:pPr>
      <w:r w:rsidRPr="006B3444">
        <w:rPr>
          <w:sz w:val="24"/>
          <w:szCs w:val="24"/>
        </w:rPr>
        <w:t>Der er ingen eller utilstrækkelige data (mindre end 300 gravide forsøgspersoner) fra anvendelse af ivacaftor til gravide kvinder. Dyreforsøg indikerer hverken direkte eller indirekte skadelige virkninger, hvad angår reproduktionstoksicitet (se pkt. 5.3). For en sikkerheds skyld bør ivacaftor undgås under graviditeten.</w:t>
      </w:r>
    </w:p>
    <w:p w14:paraId="0D1C5F45" w14:textId="77777777" w:rsidR="006B3444" w:rsidRPr="006B3444" w:rsidRDefault="006B3444" w:rsidP="00B76914">
      <w:pPr>
        <w:ind w:left="851"/>
        <w:rPr>
          <w:sz w:val="24"/>
          <w:szCs w:val="24"/>
        </w:rPr>
      </w:pPr>
    </w:p>
    <w:p w14:paraId="147F9A5C" w14:textId="77777777" w:rsidR="006B3444" w:rsidRPr="006B3444" w:rsidRDefault="006B3444" w:rsidP="00B76914">
      <w:pPr>
        <w:ind w:left="851"/>
        <w:rPr>
          <w:sz w:val="24"/>
          <w:szCs w:val="24"/>
        </w:rPr>
      </w:pPr>
      <w:r w:rsidRPr="006B3444">
        <w:rPr>
          <w:sz w:val="24"/>
          <w:szCs w:val="24"/>
          <w:u w:val="single"/>
        </w:rPr>
        <w:t>Amning</w:t>
      </w:r>
    </w:p>
    <w:p w14:paraId="7E51690D" w14:textId="77777777" w:rsidR="006B3444" w:rsidRPr="006B3444" w:rsidRDefault="006B3444" w:rsidP="00B76914">
      <w:pPr>
        <w:ind w:left="851"/>
        <w:rPr>
          <w:sz w:val="24"/>
          <w:szCs w:val="24"/>
        </w:rPr>
      </w:pPr>
    </w:p>
    <w:p w14:paraId="14380951" w14:textId="77777777" w:rsidR="006B3444" w:rsidRPr="006B3444" w:rsidRDefault="006B3444" w:rsidP="00B76914">
      <w:pPr>
        <w:ind w:left="851"/>
        <w:rPr>
          <w:sz w:val="24"/>
          <w:szCs w:val="24"/>
        </w:rPr>
      </w:pPr>
      <w:r w:rsidRPr="006B3444">
        <w:rPr>
          <w:sz w:val="24"/>
          <w:szCs w:val="24"/>
        </w:rPr>
        <w:t>Begrænsede data viser, at ivacaftor udskilles i human mælk. En risiko for nyfødte/spædbørn kan ikke udelukkes. Det skal besluttes, om amning skal ophøre, eller behandling med ivacaftor skal seponeres, idet der tages højde for fordelene ved amning for barnet i forhold til de terapeutiske fordele for moderen.</w:t>
      </w:r>
    </w:p>
    <w:p w14:paraId="44CA29FD" w14:textId="77777777" w:rsidR="006B3444" w:rsidRPr="006B3444" w:rsidRDefault="006B3444" w:rsidP="00B76914">
      <w:pPr>
        <w:ind w:left="851"/>
        <w:rPr>
          <w:sz w:val="24"/>
          <w:szCs w:val="24"/>
        </w:rPr>
      </w:pPr>
    </w:p>
    <w:p w14:paraId="1AB9A647" w14:textId="77777777" w:rsidR="006B3444" w:rsidRPr="006B3444" w:rsidRDefault="006B3444" w:rsidP="00B76914">
      <w:pPr>
        <w:ind w:left="851"/>
        <w:rPr>
          <w:sz w:val="24"/>
          <w:szCs w:val="24"/>
          <w:lang w:val="nb-NO"/>
        </w:rPr>
      </w:pPr>
      <w:r w:rsidRPr="006B3444">
        <w:rPr>
          <w:sz w:val="24"/>
          <w:szCs w:val="24"/>
          <w:u w:val="single"/>
          <w:lang w:val="nb-NO"/>
        </w:rPr>
        <w:t>Fertilitet</w:t>
      </w:r>
    </w:p>
    <w:p w14:paraId="5F2CC3B0" w14:textId="77777777" w:rsidR="006B3444" w:rsidRPr="006B3444" w:rsidRDefault="006B3444" w:rsidP="00B76914">
      <w:pPr>
        <w:ind w:left="851"/>
        <w:rPr>
          <w:sz w:val="24"/>
          <w:szCs w:val="24"/>
          <w:lang w:val="nb-NO"/>
        </w:rPr>
      </w:pPr>
    </w:p>
    <w:p w14:paraId="535C253B" w14:textId="77777777" w:rsidR="006B3444" w:rsidRPr="006B3444" w:rsidRDefault="006B3444" w:rsidP="00B76914">
      <w:pPr>
        <w:ind w:left="851"/>
        <w:rPr>
          <w:sz w:val="24"/>
          <w:szCs w:val="24"/>
        </w:rPr>
      </w:pPr>
      <w:r w:rsidRPr="006B3444">
        <w:rPr>
          <w:sz w:val="24"/>
          <w:szCs w:val="24"/>
          <w:lang w:val="nb-NO"/>
        </w:rPr>
        <w:t xml:space="preserve">Der foreligger ingen data om ivacaftors mulige virkning på fertiliteten hos mennesker. </w:t>
      </w:r>
      <w:r w:rsidRPr="006B3444">
        <w:rPr>
          <w:sz w:val="24"/>
          <w:szCs w:val="24"/>
        </w:rPr>
        <w:t>Ivacaftor havde en virkning på fertiliteten hos rotter (se pkt. 5.3).</w:t>
      </w:r>
    </w:p>
    <w:p w14:paraId="50FE8D69" w14:textId="77777777" w:rsidR="009260DE" w:rsidRPr="00286CAA" w:rsidRDefault="009260DE" w:rsidP="009260DE">
      <w:pPr>
        <w:tabs>
          <w:tab w:val="left" w:pos="851"/>
        </w:tabs>
        <w:ind w:left="851"/>
        <w:rPr>
          <w:sz w:val="24"/>
          <w:szCs w:val="24"/>
        </w:rPr>
      </w:pPr>
    </w:p>
    <w:p w14:paraId="5083E1DD" w14:textId="77777777" w:rsidR="009260DE" w:rsidRPr="00286CAA" w:rsidRDefault="009260DE" w:rsidP="009260DE">
      <w:pPr>
        <w:tabs>
          <w:tab w:val="left" w:pos="851"/>
        </w:tabs>
        <w:ind w:left="851" w:hanging="851"/>
        <w:rPr>
          <w:b/>
          <w:sz w:val="24"/>
          <w:szCs w:val="24"/>
        </w:rPr>
      </w:pPr>
      <w:r w:rsidRPr="00286CAA">
        <w:rPr>
          <w:b/>
          <w:sz w:val="24"/>
          <w:szCs w:val="24"/>
        </w:rPr>
        <w:t>4.7</w:t>
      </w:r>
      <w:r w:rsidRPr="00286CAA">
        <w:rPr>
          <w:b/>
          <w:sz w:val="24"/>
          <w:szCs w:val="24"/>
        </w:rPr>
        <w:tab/>
        <w:t xml:space="preserve">Virkning på evnen til at føre motorkøretøj </w:t>
      </w:r>
      <w:r w:rsidR="0071241E" w:rsidRPr="00286CAA">
        <w:rPr>
          <w:b/>
          <w:sz w:val="24"/>
          <w:szCs w:val="24"/>
        </w:rPr>
        <w:t>og</w:t>
      </w:r>
      <w:r w:rsidRPr="00286CAA">
        <w:rPr>
          <w:b/>
          <w:sz w:val="24"/>
          <w:szCs w:val="24"/>
        </w:rPr>
        <w:t xml:space="preserve"> betjene maskiner</w:t>
      </w:r>
    </w:p>
    <w:p w14:paraId="4D217058" w14:textId="77777777" w:rsidR="00B76914" w:rsidRPr="00286CAA" w:rsidRDefault="00B76914" w:rsidP="00B76914">
      <w:pPr>
        <w:ind w:left="851"/>
        <w:rPr>
          <w:sz w:val="24"/>
          <w:szCs w:val="24"/>
        </w:rPr>
      </w:pPr>
      <w:r w:rsidRPr="00286CAA">
        <w:rPr>
          <w:sz w:val="24"/>
          <w:szCs w:val="24"/>
        </w:rPr>
        <w:t>Ikke mærkning.</w:t>
      </w:r>
    </w:p>
    <w:p w14:paraId="65225C87" w14:textId="459A57A7" w:rsidR="006B3444" w:rsidRPr="006B3444" w:rsidRDefault="006B3444" w:rsidP="00B76914">
      <w:pPr>
        <w:ind w:left="851"/>
        <w:rPr>
          <w:sz w:val="24"/>
          <w:szCs w:val="24"/>
        </w:rPr>
      </w:pPr>
      <w:r w:rsidRPr="006B3444">
        <w:rPr>
          <w:sz w:val="24"/>
          <w:szCs w:val="24"/>
        </w:rPr>
        <w:t>Ivacaftor påvirker i mindre grad evnen til at føre motorkøretøj og betjene maskiner. Ivacaftor kan forårsage svimmelhed (se pkt. 4.8), og patienter, der oplever svimmelhed, bør rådes til ikke at føre motorkøretøj eller betjene maskiner, før symptomerne aftager.</w:t>
      </w:r>
    </w:p>
    <w:p w14:paraId="4476592E" w14:textId="77777777" w:rsidR="009260DE" w:rsidRPr="00286CAA" w:rsidRDefault="009260DE" w:rsidP="009260DE">
      <w:pPr>
        <w:tabs>
          <w:tab w:val="left" w:pos="851"/>
        </w:tabs>
        <w:ind w:left="851"/>
        <w:rPr>
          <w:sz w:val="24"/>
          <w:szCs w:val="24"/>
        </w:rPr>
      </w:pPr>
    </w:p>
    <w:p w14:paraId="0B4819B3" w14:textId="77777777" w:rsidR="009260DE" w:rsidRPr="00286CAA" w:rsidRDefault="009260DE" w:rsidP="009260DE">
      <w:pPr>
        <w:tabs>
          <w:tab w:val="left" w:pos="851"/>
        </w:tabs>
        <w:ind w:left="851" w:hanging="851"/>
        <w:rPr>
          <w:b/>
          <w:sz w:val="24"/>
          <w:szCs w:val="24"/>
        </w:rPr>
      </w:pPr>
      <w:r w:rsidRPr="00286CAA">
        <w:rPr>
          <w:b/>
          <w:sz w:val="24"/>
          <w:szCs w:val="24"/>
        </w:rPr>
        <w:t>4.8</w:t>
      </w:r>
      <w:r w:rsidRPr="00286CAA">
        <w:rPr>
          <w:b/>
          <w:sz w:val="24"/>
          <w:szCs w:val="24"/>
        </w:rPr>
        <w:tab/>
        <w:t>Bivirkninger</w:t>
      </w:r>
    </w:p>
    <w:p w14:paraId="0C96797D" w14:textId="77777777" w:rsidR="00286CAA" w:rsidRDefault="00286CAA" w:rsidP="00B76914">
      <w:pPr>
        <w:ind w:left="851"/>
        <w:rPr>
          <w:sz w:val="24"/>
          <w:szCs w:val="24"/>
          <w:u w:val="single"/>
        </w:rPr>
      </w:pPr>
    </w:p>
    <w:p w14:paraId="34C90A72" w14:textId="1959296A" w:rsidR="006B3444" w:rsidRPr="006B3444" w:rsidRDefault="006B3444" w:rsidP="00B76914">
      <w:pPr>
        <w:ind w:left="851"/>
        <w:rPr>
          <w:sz w:val="24"/>
          <w:szCs w:val="24"/>
        </w:rPr>
      </w:pPr>
      <w:r w:rsidRPr="006B3444">
        <w:rPr>
          <w:sz w:val="24"/>
          <w:szCs w:val="24"/>
          <w:u w:val="single"/>
        </w:rPr>
        <w:t>Oversigt over sikkerhedsprofil</w:t>
      </w:r>
    </w:p>
    <w:p w14:paraId="1FA29740" w14:textId="77777777" w:rsidR="006B3444" w:rsidRPr="006B3444" w:rsidRDefault="006B3444" w:rsidP="00B76914">
      <w:pPr>
        <w:ind w:left="851"/>
        <w:rPr>
          <w:sz w:val="24"/>
          <w:szCs w:val="24"/>
        </w:rPr>
      </w:pPr>
    </w:p>
    <w:p w14:paraId="3B9131F1" w14:textId="476658FA" w:rsidR="006B3444" w:rsidRPr="006B3444" w:rsidRDefault="006B3444" w:rsidP="00B76914">
      <w:pPr>
        <w:ind w:left="851"/>
        <w:rPr>
          <w:sz w:val="24"/>
          <w:szCs w:val="24"/>
        </w:rPr>
      </w:pPr>
      <w:r w:rsidRPr="006B3444">
        <w:rPr>
          <w:sz w:val="24"/>
          <w:szCs w:val="24"/>
        </w:rPr>
        <w:t xml:space="preserve">De mest almindelige bivirkninger, som patienter i alderen 6 år og derover, der fik ivacaftor, oplevede, er hovedpine (23,9 %), orofaryngeale smerter (22,0 %), infektion i de øvre luftveje (22,0 %), tilstoppet næse (20,2 %), abdominalsmerter (15,6 %), nasofaryngitis (14,7 %), diarré (12,8 %), svimmelhed (9,2 %), udslæt (12,8 %) og bakterier i spyt (12,8 %). Stigninger i aminotransferaser opstod hos 12,8 % af de ivacaftor-behandlede patienter </w:t>
      </w:r>
      <w:r w:rsidRPr="006B3444">
        <w:rPr>
          <w:i/>
          <w:sz w:val="24"/>
          <w:szCs w:val="24"/>
        </w:rPr>
        <w:t xml:space="preserve">versus </w:t>
      </w:r>
      <w:r w:rsidRPr="006B3444">
        <w:rPr>
          <w:sz w:val="24"/>
          <w:szCs w:val="24"/>
        </w:rPr>
        <w:t>11,5 % af de placebobehandlede patienter.</w:t>
      </w:r>
    </w:p>
    <w:p w14:paraId="4C35AD29" w14:textId="77777777" w:rsidR="006B3444" w:rsidRPr="006B3444" w:rsidRDefault="006B3444" w:rsidP="00B76914">
      <w:pPr>
        <w:ind w:left="851"/>
        <w:rPr>
          <w:sz w:val="24"/>
          <w:szCs w:val="24"/>
        </w:rPr>
      </w:pPr>
    </w:p>
    <w:p w14:paraId="4240EA17" w14:textId="3C705818" w:rsidR="006B3444" w:rsidRPr="006B3444" w:rsidRDefault="006B3444" w:rsidP="00B76914">
      <w:pPr>
        <w:ind w:left="851"/>
        <w:rPr>
          <w:sz w:val="24"/>
          <w:szCs w:val="24"/>
        </w:rPr>
      </w:pPr>
      <w:r w:rsidRPr="006B3444">
        <w:rPr>
          <w:sz w:val="24"/>
          <w:szCs w:val="24"/>
        </w:rPr>
        <w:t>Hos patienter i alderen 2 til under 6 år var de mest almindelige bivirkninger tilstoppet næse (26,5 %), infektion i de øvre luftveje (23,5 %), stigninger i aminotransferaser (14,7 %), udslæt (11,8 %) og bakterier i spyt (11,8 %).</w:t>
      </w:r>
    </w:p>
    <w:p w14:paraId="4F615949" w14:textId="77777777" w:rsidR="006B3444" w:rsidRPr="006B3444" w:rsidRDefault="006B3444" w:rsidP="00B76914">
      <w:pPr>
        <w:ind w:left="851"/>
        <w:rPr>
          <w:sz w:val="24"/>
          <w:szCs w:val="24"/>
        </w:rPr>
      </w:pPr>
    </w:p>
    <w:p w14:paraId="64AB12B2" w14:textId="3CF0726D" w:rsidR="006B3444" w:rsidRPr="006B3444" w:rsidRDefault="006B3444" w:rsidP="00B76914">
      <w:pPr>
        <w:ind w:left="851"/>
        <w:rPr>
          <w:sz w:val="24"/>
          <w:szCs w:val="24"/>
        </w:rPr>
      </w:pPr>
      <w:r w:rsidRPr="006B3444">
        <w:rPr>
          <w:sz w:val="24"/>
          <w:szCs w:val="24"/>
        </w:rPr>
        <w:t>Alvorlige bivirkninger omfattede abdominalsmerter (0,9 %) og stigninger i aminotransferaser (1,8 %) hos patienter, der fik ivacaftor, mens alvorlige bivirkninger i form af udslæt blev indberettet for 1,5 % af patienterne i alderen 12 år og derover, der blev behandlet med et kombinationsregime med ivacaftor/tezacaftor/elexacaftor (se pkt. 4.4).</w:t>
      </w:r>
    </w:p>
    <w:p w14:paraId="11F913F4" w14:textId="77777777" w:rsidR="006B3444" w:rsidRPr="006B3444" w:rsidRDefault="006B3444" w:rsidP="00B76914">
      <w:pPr>
        <w:ind w:left="851"/>
        <w:rPr>
          <w:sz w:val="24"/>
          <w:szCs w:val="24"/>
        </w:rPr>
      </w:pPr>
    </w:p>
    <w:p w14:paraId="1B7F3097" w14:textId="77777777" w:rsidR="006B3444" w:rsidRPr="006B3444" w:rsidRDefault="006B3444" w:rsidP="00B76914">
      <w:pPr>
        <w:ind w:left="851"/>
        <w:rPr>
          <w:sz w:val="24"/>
          <w:szCs w:val="24"/>
        </w:rPr>
      </w:pPr>
      <w:r w:rsidRPr="006B3444">
        <w:rPr>
          <w:sz w:val="24"/>
          <w:szCs w:val="24"/>
          <w:u w:val="single"/>
        </w:rPr>
        <w:t>Tabel over bivirkninger</w:t>
      </w:r>
    </w:p>
    <w:p w14:paraId="7977C620" w14:textId="77777777" w:rsidR="006B3444" w:rsidRPr="006B3444" w:rsidRDefault="006B3444" w:rsidP="006B3444">
      <w:pPr>
        <w:tabs>
          <w:tab w:val="left" w:pos="851"/>
        </w:tabs>
        <w:ind w:left="851"/>
        <w:rPr>
          <w:sz w:val="24"/>
          <w:szCs w:val="24"/>
        </w:rPr>
      </w:pPr>
    </w:p>
    <w:p w14:paraId="02F8BF73" w14:textId="6F62940A" w:rsidR="006B3444" w:rsidRPr="006B3444" w:rsidRDefault="006B3444" w:rsidP="00B76914">
      <w:pPr>
        <w:ind w:left="851"/>
        <w:rPr>
          <w:sz w:val="24"/>
          <w:szCs w:val="24"/>
        </w:rPr>
      </w:pPr>
      <w:r w:rsidRPr="006B3444">
        <w:rPr>
          <w:sz w:val="24"/>
          <w:szCs w:val="24"/>
        </w:rPr>
        <w:t>Tabel 4 angiver de bivirkninger, der sås med ivacaftor-monoterapi i kliniske studier (placebokontrollerede og ikke kontrollerede studier), hvori længden af eksponeringen for ivacaftor var fra 16 uger til 144 uger. Andre bivirkninger observeret med ivacaftor i et kombinationsregime med tezacaftor/ivacaftor og/eller i et kombinationsregime med ivacaftor/tezacaftor/elexacaftor er også angivet i tabel 4. Hyppigheden af bivirkningerne er defineret som følger: Meget almindelig (≥1/10), almindelig (≥1/100 til &lt;1/10), ikke almindelig (≥1/1.000 til &lt;1/100), sjælden (≥1/10.000 til &lt;1/1.000), meget sjælden (&lt;1/10.000), ikke kendt (kan ikke estimeres ud fra forhåndenværende data). Inden for hver hyppighedsgruppering er bivirkningerne opstillet efter, hvor alvorlige de er. De mest alvorlige bivirkninger er angivet først.</w:t>
      </w:r>
    </w:p>
    <w:p w14:paraId="1BD56224" w14:textId="77777777" w:rsidR="006B3444" w:rsidRPr="006B3444" w:rsidRDefault="006B3444" w:rsidP="006B3444">
      <w:pPr>
        <w:tabs>
          <w:tab w:val="left" w:pos="851"/>
        </w:tabs>
        <w:ind w:left="851"/>
        <w:rPr>
          <w:sz w:val="24"/>
          <w:szCs w:val="24"/>
        </w:rPr>
      </w:pPr>
    </w:p>
    <w:p w14:paraId="6422BDDE" w14:textId="77777777" w:rsidR="006B3444" w:rsidRPr="006B3444" w:rsidRDefault="006B3444" w:rsidP="006B3444">
      <w:pPr>
        <w:tabs>
          <w:tab w:val="left" w:pos="851"/>
        </w:tabs>
        <w:ind w:left="851"/>
        <w:rPr>
          <w:b/>
          <w:bCs/>
          <w:sz w:val="24"/>
          <w:szCs w:val="24"/>
        </w:rPr>
      </w:pPr>
      <w:r w:rsidRPr="006B3444">
        <w:rPr>
          <w:b/>
          <w:bCs/>
          <w:sz w:val="24"/>
          <w:szCs w:val="24"/>
        </w:rPr>
        <w:t>Tabel 4: Bivirkninger</w:t>
      </w:r>
    </w:p>
    <w:p w14:paraId="23DAE6BC" w14:textId="77777777" w:rsidR="006B3444" w:rsidRPr="006B3444" w:rsidRDefault="006B3444" w:rsidP="006B3444">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27"/>
        <w:gridCol w:w="3551"/>
        <w:gridCol w:w="3050"/>
      </w:tblGrid>
      <w:tr w:rsidR="006B3444" w:rsidRPr="006B3444" w14:paraId="1E53479F" w14:textId="77777777" w:rsidTr="00B76914">
        <w:trPr>
          <w:trHeight w:val="528"/>
        </w:trPr>
        <w:tc>
          <w:tcPr>
            <w:tcW w:w="1572" w:type="pct"/>
            <w:tcBorders>
              <w:top w:val="single" w:sz="4" w:space="0" w:color="000000"/>
              <w:left w:val="single" w:sz="4" w:space="0" w:color="000000"/>
              <w:bottom w:val="single" w:sz="4" w:space="0" w:color="000000"/>
              <w:right w:val="single" w:sz="4" w:space="0" w:color="000000"/>
            </w:tcBorders>
            <w:hideMark/>
          </w:tcPr>
          <w:p w14:paraId="1FD28228" w14:textId="77777777" w:rsidR="006B3444" w:rsidRPr="006B3444" w:rsidRDefault="006B3444" w:rsidP="00B76914">
            <w:pPr>
              <w:ind w:left="133"/>
              <w:rPr>
                <w:b/>
                <w:sz w:val="24"/>
                <w:szCs w:val="24"/>
              </w:rPr>
            </w:pPr>
            <w:r w:rsidRPr="006B3444">
              <w:rPr>
                <w:b/>
                <w:sz w:val="24"/>
                <w:szCs w:val="24"/>
              </w:rPr>
              <w:t>Systemorganklasse</w:t>
            </w:r>
          </w:p>
        </w:tc>
        <w:tc>
          <w:tcPr>
            <w:tcW w:w="1844" w:type="pct"/>
            <w:tcBorders>
              <w:top w:val="single" w:sz="4" w:space="0" w:color="000000"/>
              <w:left w:val="single" w:sz="4" w:space="0" w:color="000000"/>
              <w:bottom w:val="single" w:sz="4" w:space="0" w:color="000000"/>
              <w:right w:val="single" w:sz="4" w:space="0" w:color="000000"/>
            </w:tcBorders>
            <w:hideMark/>
          </w:tcPr>
          <w:p w14:paraId="69D7F36C" w14:textId="77777777" w:rsidR="006B3444" w:rsidRPr="006B3444" w:rsidRDefault="006B3444" w:rsidP="00B76914">
            <w:pPr>
              <w:ind w:left="133"/>
              <w:rPr>
                <w:b/>
                <w:sz w:val="24"/>
                <w:szCs w:val="24"/>
              </w:rPr>
            </w:pPr>
            <w:r w:rsidRPr="006B3444">
              <w:rPr>
                <w:b/>
                <w:sz w:val="24"/>
                <w:szCs w:val="24"/>
              </w:rPr>
              <w:t>Bivirkninger</w:t>
            </w:r>
          </w:p>
        </w:tc>
        <w:tc>
          <w:tcPr>
            <w:tcW w:w="1584" w:type="pct"/>
            <w:tcBorders>
              <w:top w:val="single" w:sz="4" w:space="0" w:color="000000"/>
              <w:left w:val="single" w:sz="4" w:space="0" w:color="000000"/>
              <w:bottom w:val="single" w:sz="4" w:space="0" w:color="000000"/>
              <w:right w:val="single" w:sz="4" w:space="0" w:color="000000"/>
            </w:tcBorders>
            <w:hideMark/>
          </w:tcPr>
          <w:p w14:paraId="1CA26D99" w14:textId="77777777" w:rsidR="006B3444" w:rsidRPr="006B3444" w:rsidRDefault="006B3444" w:rsidP="00B76914">
            <w:pPr>
              <w:ind w:left="133"/>
              <w:rPr>
                <w:b/>
                <w:sz w:val="24"/>
                <w:szCs w:val="24"/>
              </w:rPr>
            </w:pPr>
            <w:r w:rsidRPr="006B3444">
              <w:rPr>
                <w:b/>
                <w:sz w:val="24"/>
                <w:szCs w:val="24"/>
              </w:rPr>
              <w:t>Hyppighed</w:t>
            </w:r>
          </w:p>
        </w:tc>
      </w:tr>
      <w:tr w:rsidR="006B3444" w:rsidRPr="006B3444" w14:paraId="3FC0C379" w14:textId="77777777" w:rsidTr="00B76914">
        <w:trPr>
          <w:trHeight w:val="254"/>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7BEF6BB6" w14:textId="77777777" w:rsidR="006B3444" w:rsidRPr="006B3444" w:rsidRDefault="006B3444" w:rsidP="00B76914">
            <w:pPr>
              <w:ind w:left="133"/>
              <w:rPr>
                <w:sz w:val="24"/>
                <w:szCs w:val="24"/>
              </w:rPr>
            </w:pPr>
            <w:r w:rsidRPr="006B3444">
              <w:rPr>
                <w:sz w:val="24"/>
                <w:szCs w:val="24"/>
              </w:rPr>
              <w:t>Infektioner og parasitære sygdomme</w:t>
            </w:r>
          </w:p>
        </w:tc>
        <w:tc>
          <w:tcPr>
            <w:tcW w:w="1844" w:type="pct"/>
            <w:tcBorders>
              <w:top w:val="single" w:sz="4" w:space="0" w:color="000000"/>
              <w:left w:val="single" w:sz="4" w:space="0" w:color="000000"/>
              <w:bottom w:val="single" w:sz="4" w:space="0" w:color="000000"/>
              <w:right w:val="single" w:sz="4" w:space="0" w:color="000000"/>
            </w:tcBorders>
            <w:hideMark/>
          </w:tcPr>
          <w:p w14:paraId="2B0413DD" w14:textId="77777777" w:rsidR="006B3444" w:rsidRPr="006B3444" w:rsidRDefault="006B3444" w:rsidP="00B76914">
            <w:pPr>
              <w:ind w:left="133"/>
              <w:rPr>
                <w:sz w:val="24"/>
                <w:szCs w:val="24"/>
              </w:rPr>
            </w:pPr>
            <w:r w:rsidRPr="006B3444">
              <w:rPr>
                <w:sz w:val="24"/>
                <w:szCs w:val="24"/>
              </w:rPr>
              <w:t>Infektion af de øvre luftveje</w:t>
            </w:r>
          </w:p>
        </w:tc>
        <w:tc>
          <w:tcPr>
            <w:tcW w:w="1584" w:type="pct"/>
            <w:tcBorders>
              <w:top w:val="single" w:sz="4" w:space="0" w:color="000000"/>
              <w:left w:val="single" w:sz="4" w:space="0" w:color="000000"/>
              <w:bottom w:val="single" w:sz="4" w:space="0" w:color="000000"/>
              <w:right w:val="single" w:sz="4" w:space="0" w:color="000000"/>
            </w:tcBorders>
            <w:hideMark/>
          </w:tcPr>
          <w:p w14:paraId="567ACABE"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0410EF28"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6117DABD"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6B2F6012" w14:textId="77777777" w:rsidR="006B3444" w:rsidRPr="006B3444" w:rsidRDefault="006B3444" w:rsidP="00B76914">
            <w:pPr>
              <w:ind w:left="133"/>
              <w:rPr>
                <w:sz w:val="24"/>
                <w:szCs w:val="24"/>
              </w:rPr>
            </w:pPr>
            <w:r w:rsidRPr="006B3444">
              <w:rPr>
                <w:sz w:val="24"/>
                <w:szCs w:val="24"/>
              </w:rPr>
              <w:t>Nasofaryngitis</w:t>
            </w:r>
          </w:p>
        </w:tc>
        <w:tc>
          <w:tcPr>
            <w:tcW w:w="1584" w:type="pct"/>
            <w:tcBorders>
              <w:top w:val="single" w:sz="4" w:space="0" w:color="000000"/>
              <w:left w:val="single" w:sz="4" w:space="0" w:color="000000"/>
              <w:bottom w:val="single" w:sz="4" w:space="0" w:color="000000"/>
              <w:right w:val="single" w:sz="4" w:space="0" w:color="000000"/>
            </w:tcBorders>
            <w:hideMark/>
          </w:tcPr>
          <w:p w14:paraId="13858376"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580FDD5B"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18B3883B"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3A7E09D7" w14:textId="77777777" w:rsidR="006B3444" w:rsidRPr="006B3444" w:rsidRDefault="006B3444" w:rsidP="00B76914">
            <w:pPr>
              <w:ind w:left="133"/>
              <w:rPr>
                <w:sz w:val="24"/>
                <w:szCs w:val="24"/>
              </w:rPr>
            </w:pPr>
            <w:r w:rsidRPr="006B3444">
              <w:rPr>
                <w:sz w:val="24"/>
                <w:szCs w:val="24"/>
              </w:rPr>
              <w:t>Influenza</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104C3EBF" w14:textId="77777777" w:rsidR="006B3444" w:rsidRPr="006B3444" w:rsidRDefault="006B3444" w:rsidP="00B76914">
            <w:pPr>
              <w:ind w:left="133"/>
              <w:rPr>
                <w:sz w:val="24"/>
                <w:szCs w:val="24"/>
              </w:rPr>
            </w:pPr>
            <w:r w:rsidRPr="006B3444">
              <w:rPr>
                <w:sz w:val="24"/>
                <w:szCs w:val="24"/>
              </w:rPr>
              <w:t>almindelig</w:t>
            </w:r>
          </w:p>
        </w:tc>
      </w:tr>
      <w:tr w:rsidR="006B3444" w:rsidRPr="006B3444" w14:paraId="355AA023"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73ABE032"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23C4CCD6" w14:textId="77777777" w:rsidR="006B3444" w:rsidRPr="006B3444" w:rsidRDefault="006B3444" w:rsidP="00B76914">
            <w:pPr>
              <w:ind w:left="133"/>
              <w:rPr>
                <w:sz w:val="24"/>
                <w:szCs w:val="24"/>
              </w:rPr>
            </w:pPr>
            <w:r w:rsidRPr="006B3444">
              <w:rPr>
                <w:sz w:val="24"/>
                <w:szCs w:val="24"/>
              </w:rPr>
              <w:t>Rhinitis</w:t>
            </w:r>
          </w:p>
        </w:tc>
        <w:tc>
          <w:tcPr>
            <w:tcW w:w="1584" w:type="pct"/>
            <w:tcBorders>
              <w:top w:val="single" w:sz="4" w:space="0" w:color="000000"/>
              <w:left w:val="single" w:sz="4" w:space="0" w:color="000000"/>
              <w:bottom w:val="single" w:sz="4" w:space="0" w:color="000000"/>
              <w:right w:val="single" w:sz="4" w:space="0" w:color="000000"/>
            </w:tcBorders>
            <w:hideMark/>
          </w:tcPr>
          <w:p w14:paraId="4FF2EC28" w14:textId="77777777" w:rsidR="006B3444" w:rsidRPr="006B3444" w:rsidRDefault="006B3444" w:rsidP="00B76914">
            <w:pPr>
              <w:ind w:left="133"/>
              <w:rPr>
                <w:sz w:val="24"/>
                <w:szCs w:val="24"/>
              </w:rPr>
            </w:pPr>
            <w:r w:rsidRPr="006B3444">
              <w:rPr>
                <w:sz w:val="24"/>
                <w:szCs w:val="24"/>
              </w:rPr>
              <w:t>almindelig</w:t>
            </w:r>
          </w:p>
        </w:tc>
      </w:tr>
      <w:tr w:rsidR="006B3444" w:rsidRPr="006B3444" w14:paraId="55037DEE" w14:textId="77777777" w:rsidTr="00B76914">
        <w:trPr>
          <w:trHeight w:val="252"/>
        </w:trPr>
        <w:tc>
          <w:tcPr>
            <w:tcW w:w="1572" w:type="pct"/>
            <w:tcBorders>
              <w:top w:val="single" w:sz="4" w:space="0" w:color="000000"/>
              <w:left w:val="single" w:sz="4" w:space="0" w:color="000000"/>
              <w:bottom w:val="single" w:sz="4" w:space="0" w:color="000000"/>
              <w:right w:val="single" w:sz="4" w:space="0" w:color="000000"/>
            </w:tcBorders>
            <w:hideMark/>
          </w:tcPr>
          <w:p w14:paraId="70BE1DE0" w14:textId="77777777" w:rsidR="006B3444" w:rsidRPr="006B3444" w:rsidRDefault="006B3444" w:rsidP="00B76914">
            <w:pPr>
              <w:ind w:left="133"/>
              <w:rPr>
                <w:sz w:val="24"/>
                <w:szCs w:val="24"/>
              </w:rPr>
            </w:pPr>
            <w:r w:rsidRPr="006B3444">
              <w:rPr>
                <w:sz w:val="24"/>
                <w:szCs w:val="24"/>
              </w:rPr>
              <w:t>Metabolisme og ernæring</w:t>
            </w:r>
          </w:p>
        </w:tc>
        <w:tc>
          <w:tcPr>
            <w:tcW w:w="1844" w:type="pct"/>
            <w:tcBorders>
              <w:top w:val="single" w:sz="4" w:space="0" w:color="000000"/>
              <w:left w:val="single" w:sz="4" w:space="0" w:color="000000"/>
              <w:bottom w:val="single" w:sz="4" w:space="0" w:color="000000"/>
              <w:right w:val="single" w:sz="4" w:space="0" w:color="000000"/>
            </w:tcBorders>
            <w:hideMark/>
          </w:tcPr>
          <w:p w14:paraId="488D1F4C" w14:textId="77777777" w:rsidR="006B3444" w:rsidRPr="006B3444" w:rsidRDefault="006B3444" w:rsidP="00B76914">
            <w:pPr>
              <w:ind w:left="133"/>
              <w:rPr>
                <w:sz w:val="24"/>
                <w:szCs w:val="24"/>
              </w:rPr>
            </w:pPr>
            <w:r w:rsidRPr="006B3444">
              <w:rPr>
                <w:sz w:val="24"/>
                <w:szCs w:val="24"/>
              </w:rPr>
              <w:t>Hypoglykæmi</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68F68970" w14:textId="77777777" w:rsidR="006B3444" w:rsidRPr="006B3444" w:rsidRDefault="006B3444" w:rsidP="00B76914">
            <w:pPr>
              <w:ind w:left="133"/>
              <w:rPr>
                <w:sz w:val="24"/>
                <w:szCs w:val="24"/>
              </w:rPr>
            </w:pPr>
            <w:r w:rsidRPr="006B3444">
              <w:rPr>
                <w:sz w:val="24"/>
                <w:szCs w:val="24"/>
              </w:rPr>
              <w:t>almindelig</w:t>
            </w:r>
          </w:p>
        </w:tc>
      </w:tr>
      <w:tr w:rsidR="006B3444" w:rsidRPr="006B3444" w14:paraId="00FEC740" w14:textId="77777777" w:rsidTr="00B76914">
        <w:trPr>
          <w:trHeight w:val="252"/>
        </w:trPr>
        <w:tc>
          <w:tcPr>
            <w:tcW w:w="1572" w:type="pct"/>
            <w:tcBorders>
              <w:top w:val="single" w:sz="4" w:space="0" w:color="000000"/>
              <w:left w:val="single" w:sz="4" w:space="0" w:color="000000"/>
              <w:bottom w:val="single" w:sz="4" w:space="0" w:color="000000"/>
              <w:right w:val="single" w:sz="4" w:space="0" w:color="000000"/>
            </w:tcBorders>
            <w:hideMark/>
          </w:tcPr>
          <w:p w14:paraId="0202F10D" w14:textId="77777777" w:rsidR="006B3444" w:rsidRPr="006B3444" w:rsidRDefault="006B3444" w:rsidP="00B76914">
            <w:pPr>
              <w:ind w:left="133"/>
              <w:rPr>
                <w:sz w:val="24"/>
                <w:szCs w:val="24"/>
              </w:rPr>
            </w:pPr>
            <w:r w:rsidRPr="006B3444">
              <w:rPr>
                <w:sz w:val="24"/>
                <w:szCs w:val="24"/>
              </w:rPr>
              <w:t>Psykiske forstyrrelser</w:t>
            </w:r>
          </w:p>
        </w:tc>
        <w:tc>
          <w:tcPr>
            <w:tcW w:w="1844" w:type="pct"/>
            <w:tcBorders>
              <w:top w:val="single" w:sz="4" w:space="0" w:color="000000"/>
              <w:left w:val="single" w:sz="4" w:space="0" w:color="000000"/>
              <w:bottom w:val="single" w:sz="4" w:space="0" w:color="000000"/>
              <w:right w:val="single" w:sz="4" w:space="0" w:color="000000"/>
            </w:tcBorders>
            <w:hideMark/>
          </w:tcPr>
          <w:p w14:paraId="45E62E2E" w14:textId="77777777" w:rsidR="006B3444" w:rsidRPr="006B3444" w:rsidRDefault="006B3444" w:rsidP="00B76914">
            <w:pPr>
              <w:ind w:left="133"/>
              <w:rPr>
                <w:sz w:val="24"/>
                <w:szCs w:val="24"/>
              </w:rPr>
            </w:pPr>
            <w:r w:rsidRPr="006B3444">
              <w:rPr>
                <w:sz w:val="24"/>
                <w:szCs w:val="24"/>
              </w:rPr>
              <w:t>Depression</w:t>
            </w:r>
          </w:p>
        </w:tc>
        <w:tc>
          <w:tcPr>
            <w:tcW w:w="1584" w:type="pct"/>
            <w:tcBorders>
              <w:top w:val="single" w:sz="4" w:space="0" w:color="000000"/>
              <w:left w:val="single" w:sz="4" w:space="0" w:color="000000"/>
              <w:bottom w:val="single" w:sz="4" w:space="0" w:color="000000"/>
              <w:right w:val="single" w:sz="4" w:space="0" w:color="000000"/>
            </w:tcBorders>
            <w:hideMark/>
          </w:tcPr>
          <w:p w14:paraId="2A8665DE" w14:textId="77777777" w:rsidR="006B3444" w:rsidRPr="006B3444" w:rsidRDefault="006B3444" w:rsidP="00B76914">
            <w:pPr>
              <w:ind w:left="133"/>
              <w:rPr>
                <w:sz w:val="24"/>
                <w:szCs w:val="24"/>
              </w:rPr>
            </w:pPr>
            <w:r w:rsidRPr="006B3444">
              <w:rPr>
                <w:sz w:val="24"/>
                <w:szCs w:val="24"/>
              </w:rPr>
              <w:t>ikke kendt</w:t>
            </w:r>
          </w:p>
        </w:tc>
      </w:tr>
      <w:tr w:rsidR="006B3444" w:rsidRPr="006B3444" w14:paraId="04924060" w14:textId="77777777" w:rsidTr="00B76914">
        <w:trPr>
          <w:trHeight w:val="252"/>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492E8E4F" w14:textId="77777777" w:rsidR="006B3444" w:rsidRPr="006B3444" w:rsidRDefault="006B3444" w:rsidP="00B76914">
            <w:pPr>
              <w:ind w:left="133"/>
              <w:rPr>
                <w:sz w:val="24"/>
                <w:szCs w:val="24"/>
              </w:rPr>
            </w:pPr>
            <w:r w:rsidRPr="006B3444">
              <w:rPr>
                <w:sz w:val="24"/>
                <w:szCs w:val="24"/>
              </w:rPr>
              <w:t>Nervesystemet</w:t>
            </w:r>
          </w:p>
        </w:tc>
        <w:tc>
          <w:tcPr>
            <w:tcW w:w="1844" w:type="pct"/>
            <w:tcBorders>
              <w:top w:val="single" w:sz="4" w:space="0" w:color="000000"/>
              <w:left w:val="single" w:sz="4" w:space="0" w:color="000000"/>
              <w:bottom w:val="single" w:sz="4" w:space="0" w:color="000000"/>
              <w:right w:val="single" w:sz="4" w:space="0" w:color="000000"/>
            </w:tcBorders>
            <w:hideMark/>
          </w:tcPr>
          <w:p w14:paraId="1A163F0D" w14:textId="77777777" w:rsidR="006B3444" w:rsidRPr="006B3444" w:rsidRDefault="006B3444" w:rsidP="00B76914">
            <w:pPr>
              <w:ind w:left="133"/>
              <w:rPr>
                <w:sz w:val="24"/>
                <w:szCs w:val="24"/>
              </w:rPr>
            </w:pPr>
            <w:r w:rsidRPr="006B3444">
              <w:rPr>
                <w:sz w:val="24"/>
                <w:szCs w:val="24"/>
              </w:rPr>
              <w:t>Hovedpine</w:t>
            </w:r>
          </w:p>
        </w:tc>
        <w:tc>
          <w:tcPr>
            <w:tcW w:w="1584" w:type="pct"/>
            <w:tcBorders>
              <w:top w:val="single" w:sz="4" w:space="0" w:color="000000"/>
              <w:left w:val="single" w:sz="4" w:space="0" w:color="000000"/>
              <w:bottom w:val="single" w:sz="4" w:space="0" w:color="000000"/>
              <w:right w:val="single" w:sz="4" w:space="0" w:color="000000"/>
            </w:tcBorders>
            <w:hideMark/>
          </w:tcPr>
          <w:p w14:paraId="627D8633"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2004F8F7" w14:textId="77777777" w:rsidTr="00B76914">
        <w:trPr>
          <w:trHeight w:val="254"/>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79BC6149"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4AED397C" w14:textId="77777777" w:rsidR="006B3444" w:rsidRPr="006B3444" w:rsidRDefault="006B3444" w:rsidP="00B76914">
            <w:pPr>
              <w:ind w:left="133"/>
              <w:rPr>
                <w:sz w:val="24"/>
                <w:szCs w:val="24"/>
              </w:rPr>
            </w:pPr>
            <w:r w:rsidRPr="006B3444">
              <w:rPr>
                <w:sz w:val="24"/>
                <w:szCs w:val="24"/>
              </w:rPr>
              <w:t>Svimmelhed</w:t>
            </w:r>
          </w:p>
        </w:tc>
        <w:tc>
          <w:tcPr>
            <w:tcW w:w="1584" w:type="pct"/>
            <w:tcBorders>
              <w:top w:val="single" w:sz="4" w:space="0" w:color="000000"/>
              <w:left w:val="single" w:sz="4" w:space="0" w:color="000000"/>
              <w:bottom w:val="single" w:sz="4" w:space="0" w:color="000000"/>
              <w:right w:val="single" w:sz="4" w:space="0" w:color="000000"/>
            </w:tcBorders>
            <w:hideMark/>
          </w:tcPr>
          <w:p w14:paraId="09C32F94"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5AF9A78F" w14:textId="77777777" w:rsidTr="00B76914">
        <w:trPr>
          <w:trHeight w:val="252"/>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79CFD80B" w14:textId="77777777" w:rsidR="006B3444" w:rsidRPr="006B3444" w:rsidRDefault="006B3444" w:rsidP="00B76914">
            <w:pPr>
              <w:ind w:left="133"/>
              <w:rPr>
                <w:sz w:val="24"/>
                <w:szCs w:val="24"/>
              </w:rPr>
            </w:pPr>
            <w:r w:rsidRPr="006B3444">
              <w:rPr>
                <w:sz w:val="24"/>
                <w:szCs w:val="24"/>
              </w:rPr>
              <w:t>Øre og labyrint</w:t>
            </w:r>
          </w:p>
        </w:tc>
        <w:tc>
          <w:tcPr>
            <w:tcW w:w="1844" w:type="pct"/>
            <w:tcBorders>
              <w:top w:val="single" w:sz="4" w:space="0" w:color="000000"/>
              <w:left w:val="single" w:sz="4" w:space="0" w:color="000000"/>
              <w:bottom w:val="single" w:sz="4" w:space="0" w:color="000000"/>
              <w:right w:val="single" w:sz="4" w:space="0" w:color="000000"/>
            </w:tcBorders>
            <w:hideMark/>
          </w:tcPr>
          <w:p w14:paraId="35A026AB" w14:textId="77777777" w:rsidR="006B3444" w:rsidRPr="006B3444" w:rsidRDefault="006B3444" w:rsidP="00B76914">
            <w:pPr>
              <w:ind w:left="133"/>
              <w:rPr>
                <w:sz w:val="24"/>
                <w:szCs w:val="24"/>
              </w:rPr>
            </w:pPr>
            <w:r w:rsidRPr="006B3444">
              <w:rPr>
                <w:sz w:val="24"/>
                <w:szCs w:val="24"/>
              </w:rPr>
              <w:t>Øresmerter</w:t>
            </w:r>
          </w:p>
        </w:tc>
        <w:tc>
          <w:tcPr>
            <w:tcW w:w="1584" w:type="pct"/>
            <w:tcBorders>
              <w:top w:val="single" w:sz="4" w:space="0" w:color="000000"/>
              <w:left w:val="single" w:sz="4" w:space="0" w:color="000000"/>
              <w:bottom w:val="single" w:sz="4" w:space="0" w:color="000000"/>
              <w:right w:val="single" w:sz="4" w:space="0" w:color="000000"/>
            </w:tcBorders>
            <w:hideMark/>
          </w:tcPr>
          <w:p w14:paraId="5BF82D95" w14:textId="77777777" w:rsidR="006B3444" w:rsidRPr="006B3444" w:rsidRDefault="006B3444" w:rsidP="00B76914">
            <w:pPr>
              <w:ind w:left="133"/>
              <w:rPr>
                <w:sz w:val="24"/>
                <w:szCs w:val="24"/>
              </w:rPr>
            </w:pPr>
            <w:r w:rsidRPr="006B3444">
              <w:rPr>
                <w:sz w:val="24"/>
                <w:szCs w:val="24"/>
              </w:rPr>
              <w:t>almindelig</w:t>
            </w:r>
          </w:p>
        </w:tc>
      </w:tr>
      <w:tr w:rsidR="006B3444" w:rsidRPr="006B3444" w14:paraId="29A73CAE"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369E1182"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69128C07" w14:textId="77777777" w:rsidR="006B3444" w:rsidRPr="006B3444" w:rsidRDefault="006B3444" w:rsidP="00B76914">
            <w:pPr>
              <w:ind w:left="133"/>
              <w:rPr>
                <w:sz w:val="24"/>
                <w:szCs w:val="24"/>
              </w:rPr>
            </w:pPr>
            <w:r w:rsidRPr="006B3444">
              <w:rPr>
                <w:sz w:val="24"/>
                <w:szCs w:val="24"/>
              </w:rPr>
              <w:t>Øreproblemer</w:t>
            </w:r>
          </w:p>
        </w:tc>
        <w:tc>
          <w:tcPr>
            <w:tcW w:w="1584" w:type="pct"/>
            <w:tcBorders>
              <w:top w:val="single" w:sz="4" w:space="0" w:color="000000"/>
              <w:left w:val="single" w:sz="4" w:space="0" w:color="000000"/>
              <w:bottom w:val="single" w:sz="4" w:space="0" w:color="000000"/>
              <w:right w:val="single" w:sz="4" w:space="0" w:color="000000"/>
            </w:tcBorders>
            <w:hideMark/>
          </w:tcPr>
          <w:p w14:paraId="0792E6A7" w14:textId="77777777" w:rsidR="006B3444" w:rsidRPr="006B3444" w:rsidRDefault="006B3444" w:rsidP="00B76914">
            <w:pPr>
              <w:ind w:left="133"/>
              <w:rPr>
                <w:sz w:val="24"/>
                <w:szCs w:val="24"/>
              </w:rPr>
            </w:pPr>
            <w:r w:rsidRPr="006B3444">
              <w:rPr>
                <w:sz w:val="24"/>
                <w:szCs w:val="24"/>
              </w:rPr>
              <w:t>almindelig</w:t>
            </w:r>
          </w:p>
        </w:tc>
      </w:tr>
      <w:tr w:rsidR="006B3444" w:rsidRPr="006B3444" w14:paraId="08EC6074"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0FCFB8E7"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2EF539A8" w14:textId="77777777" w:rsidR="006B3444" w:rsidRPr="006B3444" w:rsidRDefault="006B3444" w:rsidP="00B76914">
            <w:pPr>
              <w:ind w:left="133"/>
              <w:rPr>
                <w:sz w:val="24"/>
                <w:szCs w:val="24"/>
              </w:rPr>
            </w:pPr>
            <w:r w:rsidRPr="006B3444">
              <w:rPr>
                <w:sz w:val="24"/>
                <w:szCs w:val="24"/>
              </w:rPr>
              <w:t>Tinnitus</w:t>
            </w:r>
          </w:p>
        </w:tc>
        <w:tc>
          <w:tcPr>
            <w:tcW w:w="1584" w:type="pct"/>
            <w:tcBorders>
              <w:top w:val="single" w:sz="4" w:space="0" w:color="000000"/>
              <w:left w:val="single" w:sz="4" w:space="0" w:color="000000"/>
              <w:bottom w:val="single" w:sz="4" w:space="0" w:color="000000"/>
              <w:right w:val="single" w:sz="4" w:space="0" w:color="000000"/>
            </w:tcBorders>
            <w:hideMark/>
          </w:tcPr>
          <w:p w14:paraId="10B19D4E" w14:textId="77777777" w:rsidR="006B3444" w:rsidRPr="006B3444" w:rsidRDefault="006B3444" w:rsidP="00B76914">
            <w:pPr>
              <w:ind w:left="133"/>
              <w:rPr>
                <w:sz w:val="24"/>
                <w:szCs w:val="24"/>
              </w:rPr>
            </w:pPr>
            <w:r w:rsidRPr="006B3444">
              <w:rPr>
                <w:sz w:val="24"/>
                <w:szCs w:val="24"/>
              </w:rPr>
              <w:t>almindelig</w:t>
            </w:r>
          </w:p>
        </w:tc>
      </w:tr>
      <w:tr w:rsidR="006B3444" w:rsidRPr="006B3444" w14:paraId="457604A0"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6F3CEE92"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0F994C3B" w14:textId="77777777" w:rsidR="006B3444" w:rsidRPr="006B3444" w:rsidRDefault="006B3444" w:rsidP="00B76914">
            <w:pPr>
              <w:ind w:left="133"/>
              <w:rPr>
                <w:sz w:val="24"/>
                <w:szCs w:val="24"/>
              </w:rPr>
            </w:pPr>
            <w:r w:rsidRPr="006B3444">
              <w:rPr>
                <w:sz w:val="24"/>
                <w:szCs w:val="24"/>
              </w:rPr>
              <w:t>Hyperæmi af trommehinde</w:t>
            </w:r>
          </w:p>
        </w:tc>
        <w:tc>
          <w:tcPr>
            <w:tcW w:w="1584" w:type="pct"/>
            <w:tcBorders>
              <w:top w:val="single" w:sz="4" w:space="0" w:color="000000"/>
              <w:left w:val="single" w:sz="4" w:space="0" w:color="000000"/>
              <w:bottom w:val="single" w:sz="4" w:space="0" w:color="000000"/>
              <w:right w:val="single" w:sz="4" w:space="0" w:color="000000"/>
            </w:tcBorders>
            <w:hideMark/>
          </w:tcPr>
          <w:p w14:paraId="070E2A36" w14:textId="77777777" w:rsidR="006B3444" w:rsidRPr="006B3444" w:rsidRDefault="006B3444" w:rsidP="00B76914">
            <w:pPr>
              <w:ind w:left="133"/>
              <w:rPr>
                <w:sz w:val="24"/>
                <w:szCs w:val="24"/>
              </w:rPr>
            </w:pPr>
            <w:r w:rsidRPr="006B3444">
              <w:rPr>
                <w:sz w:val="24"/>
                <w:szCs w:val="24"/>
              </w:rPr>
              <w:t>almindelig</w:t>
            </w:r>
          </w:p>
        </w:tc>
      </w:tr>
      <w:tr w:rsidR="006B3444" w:rsidRPr="006B3444" w14:paraId="56FA9698"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5B9C5201"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1702CF13" w14:textId="77777777" w:rsidR="006B3444" w:rsidRPr="006B3444" w:rsidRDefault="006B3444" w:rsidP="00B76914">
            <w:pPr>
              <w:ind w:left="133"/>
              <w:rPr>
                <w:sz w:val="24"/>
                <w:szCs w:val="24"/>
              </w:rPr>
            </w:pPr>
            <w:r w:rsidRPr="006B3444">
              <w:rPr>
                <w:sz w:val="24"/>
                <w:szCs w:val="24"/>
              </w:rPr>
              <w:t>Vestibulær sygdom</w:t>
            </w:r>
          </w:p>
        </w:tc>
        <w:tc>
          <w:tcPr>
            <w:tcW w:w="1584" w:type="pct"/>
            <w:tcBorders>
              <w:top w:val="single" w:sz="4" w:space="0" w:color="000000"/>
              <w:left w:val="single" w:sz="4" w:space="0" w:color="000000"/>
              <w:bottom w:val="single" w:sz="4" w:space="0" w:color="000000"/>
              <w:right w:val="single" w:sz="4" w:space="0" w:color="000000"/>
            </w:tcBorders>
            <w:hideMark/>
          </w:tcPr>
          <w:p w14:paraId="61CED628" w14:textId="77777777" w:rsidR="006B3444" w:rsidRPr="006B3444" w:rsidRDefault="006B3444" w:rsidP="00B76914">
            <w:pPr>
              <w:ind w:left="133"/>
              <w:rPr>
                <w:sz w:val="24"/>
                <w:szCs w:val="24"/>
              </w:rPr>
            </w:pPr>
            <w:r w:rsidRPr="006B3444">
              <w:rPr>
                <w:sz w:val="24"/>
                <w:szCs w:val="24"/>
              </w:rPr>
              <w:t>almindelig</w:t>
            </w:r>
          </w:p>
        </w:tc>
      </w:tr>
      <w:tr w:rsidR="006B3444" w:rsidRPr="006B3444" w14:paraId="6CABD170" w14:textId="77777777" w:rsidTr="00B76914">
        <w:trPr>
          <w:trHeight w:val="253"/>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66702BCB"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784CFE22" w14:textId="77777777" w:rsidR="006B3444" w:rsidRPr="006B3444" w:rsidRDefault="006B3444" w:rsidP="00B76914">
            <w:pPr>
              <w:ind w:left="133"/>
              <w:rPr>
                <w:sz w:val="24"/>
                <w:szCs w:val="24"/>
              </w:rPr>
            </w:pPr>
            <w:r w:rsidRPr="006B3444">
              <w:rPr>
                <w:sz w:val="24"/>
                <w:szCs w:val="24"/>
              </w:rPr>
              <w:t>Tilstoppet øre</w:t>
            </w:r>
          </w:p>
        </w:tc>
        <w:tc>
          <w:tcPr>
            <w:tcW w:w="1584" w:type="pct"/>
            <w:tcBorders>
              <w:top w:val="single" w:sz="4" w:space="0" w:color="000000"/>
              <w:left w:val="single" w:sz="4" w:space="0" w:color="000000"/>
              <w:bottom w:val="single" w:sz="4" w:space="0" w:color="000000"/>
              <w:right w:val="single" w:sz="4" w:space="0" w:color="000000"/>
            </w:tcBorders>
            <w:hideMark/>
          </w:tcPr>
          <w:p w14:paraId="3CBE5410" w14:textId="77777777" w:rsidR="006B3444" w:rsidRPr="006B3444" w:rsidRDefault="006B3444" w:rsidP="00B76914">
            <w:pPr>
              <w:ind w:left="133"/>
              <w:rPr>
                <w:sz w:val="24"/>
                <w:szCs w:val="24"/>
              </w:rPr>
            </w:pPr>
            <w:r w:rsidRPr="006B3444">
              <w:rPr>
                <w:sz w:val="24"/>
                <w:szCs w:val="24"/>
              </w:rPr>
              <w:t>ikke almindelig</w:t>
            </w:r>
          </w:p>
        </w:tc>
      </w:tr>
      <w:tr w:rsidR="006B3444" w:rsidRPr="006B3444" w14:paraId="04CEDADE" w14:textId="77777777" w:rsidTr="00B76914">
        <w:trPr>
          <w:trHeight w:val="262"/>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168E978C" w14:textId="77777777" w:rsidR="006B3444" w:rsidRPr="006B3444" w:rsidRDefault="006B3444" w:rsidP="00B76914">
            <w:pPr>
              <w:ind w:left="133"/>
              <w:rPr>
                <w:sz w:val="24"/>
                <w:szCs w:val="24"/>
              </w:rPr>
            </w:pPr>
            <w:r w:rsidRPr="006B3444">
              <w:rPr>
                <w:sz w:val="24"/>
                <w:szCs w:val="24"/>
              </w:rPr>
              <w:t>Luftveje, thorax og mediastinum</w:t>
            </w:r>
          </w:p>
        </w:tc>
        <w:tc>
          <w:tcPr>
            <w:tcW w:w="1844" w:type="pct"/>
            <w:tcBorders>
              <w:top w:val="single" w:sz="4" w:space="0" w:color="000000"/>
              <w:left w:val="single" w:sz="4" w:space="0" w:color="000000"/>
              <w:bottom w:val="single" w:sz="4" w:space="0" w:color="000000"/>
              <w:right w:val="single" w:sz="4" w:space="0" w:color="000000"/>
            </w:tcBorders>
            <w:hideMark/>
          </w:tcPr>
          <w:p w14:paraId="77589206" w14:textId="77777777" w:rsidR="006B3444" w:rsidRPr="006B3444" w:rsidRDefault="006B3444" w:rsidP="00B76914">
            <w:pPr>
              <w:ind w:left="133"/>
              <w:rPr>
                <w:sz w:val="24"/>
                <w:szCs w:val="24"/>
              </w:rPr>
            </w:pPr>
            <w:r w:rsidRPr="006B3444">
              <w:rPr>
                <w:sz w:val="24"/>
                <w:szCs w:val="24"/>
              </w:rPr>
              <w:t>Orofaryngeale smerter</w:t>
            </w:r>
          </w:p>
        </w:tc>
        <w:tc>
          <w:tcPr>
            <w:tcW w:w="1584" w:type="pct"/>
            <w:tcBorders>
              <w:top w:val="single" w:sz="4" w:space="0" w:color="000000"/>
              <w:left w:val="single" w:sz="4" w:space="0" w:color="000000"/>
              <w:bottom w:val="single" w:sz="4" w:space="0" w:color="000000"/>
              <w:right w:val="single" w:sz="4" w:space="0" w:color="000000"/>
            </w:tcBorders>
            <w:hideMark/>
          </w:tcPr>
          <w:p w14:paraId="1BE6EAEA"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7765124C"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0EAF318C"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720C727E" w14:textId="77777777" w:rsidR="006B3444" w:rsidRPr="006B3444" w:rsidRDefault="006B3444" w:rsidP="00B76914">
            <w:pPr>
              <w:ind w:left="133"/>
              <w:rPr>
                <w:sz w:val="24"/>
                <w:szCs w:val="24"/>
              </w:rPr>
            </w:pPr>
            <w:r w:rsidRPr="006B3444">
              <w:rPr>
                <w:sz w:val="24"/>
                <w:szCs w:val="24"/>
              </w:rPr>
              <w:t>Tilstoppet næse</w:t>
            </w:r>
          </w:p>
        </w:tc>
        <w:tc>
          <w:tcPr>
            <w:tcW w:w="1584" w:type="pct"/>
            <w:tcBorders>
              <w:top w:val="single" w:sz="4" w:space="0" w:color="000000"/>
              <w:left w:val="single" w:sz="4" w:space="0" w:color="000000"/>
              <w:bottom w:val="single" w:sz="4" w:space="0" w:color="000000"/>
              <w:right w:val="single" w:sz="4" w:space="0" w:color="000000"/>
            </w:tcBorders>
            <w:hideMark/>
          </w:tcPr>
          <w:p w14:paraId="6291332C"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2FEE1512"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7B7BDC5A"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59C15484" w14:textId="77777777" w:rsidR="006B3444" w:rsidRPr="006B3444" w:rsidRDefault="006B3444" w:rsidP="00B76914">
            <w:pPr>
              <w:ind w:left="133"/>
              <w:rPr>
                <w:sz w:val="24"/>
                <w:szCs w:val="24"/>
              </w:rPr>
            </w:pPr>
            <w:r w:rsidRPr="006B3444">
              <w:rPr>
                <w:sz w:val="24"/>
                <w:szCs w:val="24"/>
              </w:rPr>
              <w:t>Unormal vejrtrækning</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68D4347A" w14:textId="77777777" w:rsidR="006B3444" w:rsidRPr="006B3444" w:rsidRDefault="006B3444" w:rsidP="00B76914">
            <w:pPr>
              <w:ind w:left="133"/>
              <w:rPr>
                <w:sz w:val="24"/>
                <w:szCs w:val="24"/>
              </w:rPr>
            </w:pPr>
            <w:r w:rsidRPr="006B3444">
              <w:rPr>
                <w:sz w:val="24"/>
                <w:szCs w:val="24"/>
              </w:rPr>
              <w:t>almindelig</w:t>
            </w:r>
          </w:p>
        </w:tc>
      </w:tr>
      <w:tr w:rsidR="006B3444" w:rsidRPr="006B3444" w14:paraId="5EC93F99"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5BAB2AD4"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5096F84E" w14:textId="77777777" w:rsidR="006B3444" w:rsidRPr="006B3444" w:rsidRDefault="006B3444" w:rsidP="00B76914">
            <w:pPr>
              <w:ind w:left="133"/>
              <w:rPr>
                <w:sz w:val="24"/>
                <w:szCs w:val="24"/>
              </w:rPr>
            </w:pPr>
            <w:r w:rsidRPr="006B3444">
              <w:rPr>
                <w:sz w:val="24"/>
                <w:szCs w:val="24"/>
              </w:rPr>
              <w:t>Rhinorré</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4AC0BAC0" w14:textId="77777777" w:rsidR="006B3444" w:rsidRPr="006B3444" w:rsidRDefault="006B3444" w:rsidP="00B76914">
            <w:pPr>
              <w:ind w:left="133"/>
              <w:rPr>
                <w:sz w:val="24"/>
                <w:szCs w:val="24"/>
              </w:rPr>
            </w:pPr>
            <w:r w:rsidRPr="006B3444">
              <w:rPr>
                <w:sz w:val="24"/>
                <w:szCs w:val="24"/>
              </w:rPr>
              <w:t>almindelig</w:t>
            </w:r>
          </w:p>
        </w:tc>
      </w:tr>
      <w:tr w:rsidR="006B3444" w:rsidRPr="006B3444" w14:paraId="7366DDF9" w14:textId="77777777" w:rsidTr="00B76914">
        <w:trPr>
          <w:trHeight w:val="253"/>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6999C757"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4B8150FC" w14:textId="77777777" w:rsidR="006B3444" w:rsidRPr="006B3444" w:rsidRDefault="006B3444" w:rsidP="00B76914">
            <w:pPr>
              <w:ind w:left="133"/>
              <w:rPr>
                <w:sz w:val="24"/>
                <w:szCs w:val="24"/>
              </w:rPr>
            </w:pPr>
            <w:r w:rsidRPr="006B3444">
              <w:rPr>
                <w:sz w:val="24"/>
                <w:szCs w:val="24"/>
              </w:rPr>
              <w:t>Tilstoppede bihuler</w:t>
            </w:r>
          </w:p>
        </w:tc>
        <w:tc>
          <w:tcPr>
            <w:tcW w:w="1584" w:type="pct"/>
            <w:tcBorders>
              <w:top w:val="single" w:sz="4" w:space="0" w:color="000000"/>
              <w:left w:val="single" w:sz="4" w:space="0" w:color="000000"/>
              <w:bottom w:val="single" w:sz="4" w:space="0" w:color="000000"/>
              <w:right w:val="single" w:sz="4" w:space="0" w:color="000000"/>
            </w:tcBorders>
            <w:hideMark/>
          </w:tcPr>
          <w:p w14:paraId="3B0CC178" w14:textId="77777777" w:rsidR="006B3444" w:rsidRPr="006B3444" w:rsidRDefault="006B3444" w:rsidP="00B76914">
            <w:pPr>
              <w:ind w:left="133"/>
              <w:rPr>
                <w:sz w:val="24"/>
                <w:szCs w:val="24"/>
              </w:rPr>
            </w:pPr>
            <w:r w:rsidRPr="006B3444">
              <w:rPr>
                <w:sz w:val="24"/>
                <w:szCs w:val="24"/>
              </w:rPr>
              <w:t>almindelig</w:t>
            </w:r>
          </w:p>
        </w:tc>
      </w:tr>
      <w:tr w:rsidR="006B3444" w:rsidRPr="006B3444" w14:paraId="0D0BA27A"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4C5EA14D"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655EECF3" w14:textId="77777777" w:rsidR="006B3444" w:rsidRPr="006B3444" w:rsidRDefault="006B3444" w:rsidP="00B76914">
            <w:pPr>
              <w:ind w:left="133"/>
              <w:rPr>
                <w:sz w:val="24"/>
                <w:szCs w:val="24"/>
              </w:rPr>
            </w:pPr>
            <w:r w:rsidRPr="006B3444">
              <w:rPr>
                <w:sz w:val="24"/>
                <w:szCs w:val="24"/>
              </w:rPr>
              <w:t>Faryngealt erytem</w:t>
            </w:r>
          </w:p>
        </w:tc>
        <w:tc>
          <w:tcPr>
            <w:tcW w:w="1584" w:type="pct"/>
            <w:tcBorders>
              <w:top w:val="single" w:sz="4" w:space="0" w:color="000000"/>
              <w:left w:val="single" w:sz="4" w:space="0" w:color="000000"/>
              <w:bottom w:val="single" w:sz="4" w:space="0" w:color="000000"/>
              <w:right w:val="single" w:sz="4" w:space="0" w:color="000000"/>
            </w:tcBorders>
            <w:hideMark/>
          </w:tcPr>
          <w:p w14:paraId="05B5084A" w14:textId="77777777" w:rsidR="006B3444" w:rsidRPr="006B3444" w:rsidRDefault="006B3444" w:rsidP="00B76914">
            <w:pPr>
              <w:ind w:left="133"/>
              <w:rPr>
                <w:sz w:val="24"/>
                <w:szCs w:val="24"/>
              </w:rPr>
            </w:pPr>
            <w:r w:rsidRPr="006B3444">
              <w:rPr>
                <w:sz w:val="24"/>
                <w:szCs w:val="24"/>
              </w:rPr>
              <w:t>almindelig</w:t>
            </w:r>
          </w:p>
        </w:tc>
      </w:tr>
      <w:tr w:rsidR="006B3444" w:rsidRPr="006B3444" w14:paraId="17F19595"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1264E084"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4305D24A" w14:textId="77777777" w:rsidR="006B3444" w:rsidRPr="006B3444" w:rsidRDefault="006B3444" w:rsidP="00B76914">
            <w:pPr>
              <w:ind w:left="133"/>
              <w:rPr>
                <w:sz w:val="24"/>
                <w:szCs w:val="24"/>
              </w:rPr>
            </w:pPr>
            <w:r w:rsidRPr="006B3444">
              <w:rPr>
                <w:sz w:val="24"/>
                <w:szCs w:val="24"/>
              </w:rPr>
              <w:t>Pibende vejrtrækning</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51612C69" w14:textId="77777777" w:rsidR="006B3444" w:rsidRPr="006B3444" w:rsidRDefault="006B3444" w:rsidP="00B76914">
            <w:pPr>
              <w:ind w:left="133"/>
              <w:rPr>
                <w:sz w:val="24"/>
                <w:szCs w:val="24"/>
              </w:rPr>
            </w:pPr>
            <w:r w:rsidRPr="006B3444">
              <w:rPr>
                <w:sz w:val="24"/>
                <w:szCs w:val="24"/>
              </w:rPr>
              <w:t>ikke almindelig</w:t>
            </w:r>
          </w:p>
        </w:tc>
      </w:tr>
      <w:tr w:rsidR="006B3444" w:rsidRPr="006B3444" w14:paraId="79F14324" w14:textId="77777777" w:rsidTr="00B76914">
        <w:trPr>
          <w:trHeight w:val="230"/>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2A043C03" w14:textId="77777777" w:rsidR="006B3444" w:rsidRPr="006B3444" w:rsidRDefault="006B3444" w:rsidP="00B76914">
            <w:pPr>
              <w:ind w:left="133"/>
              <w:rPr>
                <w:sz w:val="24"/>
                <w:szCs w:val="24"/>
              </w:rPr>
            </w:pPr>
            <w:r w:rsidRPr="006B3444">
              <w:rPr>
                <w:sz w:val="24"/>
                <w:szCs w:val="24"/>
              </w:rPr>
              <w:t>Mave-tarm-kanalen</w:t>
            </w:r>
          </w:p>
        </w:tc>
        <w:tc>
          <w:tcPr>
            <w:tcW w:w="1844" w:type="pct"/>
            <w:tcBorders>
              <w:top w:val="single" w:sz="4" w:space="0" w:color="000000"/>
              <w:left w:val="single" w:sz="4" w:space="0" w:color="000000"/>
              <w:bottom w:val="single" w:sz="4" w:space="0" w:color="000000"/>
              <w:right w:val="single" w:sz="4" w:space="0" w:color="000000"/>
            </w:tcBorders>
            <w:hideMark/>
          </w:tcPr>
          <w:p w14:paraId="7F7F127B" w14:textId="77777777" w:rsidR="006B3444" w:rsidRPr="006B3444" w:rsidRDefault="006B3444" w:rsidP="00B76914">
            <w:pPr>
              <w:ind w:left="133"/>
              <w:rPr>
                <w:sz w:val="24"/>
                <w:szCs w:val="24"/>
              </w:rPr>
            </w:pPr>
            <w:r w:rsidRPr="006B3444">
              <w:rPr>
                <w:sz w:val="24"/>
                <w:szCs w:val="24"/>
              </w:rPr>
              <w:t>Mavesmerter</w:t>
            </w:r>
          </w:p>
        </w:tc>
        <w:tc>
          <w:tcPr>
            <w:tcW w:w="1584" w:type="pct"/>
            <w:tcBorders>
              <w:top w:val="single" w:sz="4" w:space="0" w:color="000000"/>
              <w:left w:val="single" w:sz="4" w:space="0" w:color="000000"/>
              <w:bottom w:val="single" w:sz="4" w:space="0" w:color="000000"/>
              <w:right w:val="single" w:sz="4" w:space="0" w:color="000000"/>
            </w:tcBorders>
            <w:hideMark/>
          </w:tcPr>
          <w:p w14:paraId="48F4FF41"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02B81DFD"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37A9B6D0"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04D7116C" w14:textId="77777777" w:rsidR="006B3444" w:rsidRPr="006B3444" w:rsidRDefault="006B3444" w:rsidP="00B76914">
            <w:pPr>
              <w:ind w:left="133"/>
              <w:rPr>
                <w:sz w:val="24"/>
                <w:szCs w:val="24"/>
              </w:rPr>
            </w:pPr>
            <w:r w:rsidRPr="006B3444">
              <w:rPr>
                <w:sz w:val="24"/>
                <w:szCs w:val="24"/>
              </w:rPr>
              <w:t>Diarré</w:t>
            </w:r>
          </w:p>
        </w:tc>
        <w:tc>
          <w:tcPr>
            <w:tcW w:w="1584" w:type="pct"/>
            <w:tcBorders>
              <w:top w:val="single" w:sz="4" w:space="0" w:color="000000"/>
              <w:left w:val="single" w:sz="4" w:space="0" w:color="000000"/>
              <w:bottom w:val="single" w:sz="4" w:space="0" w:color="000000"/>
              <w:right w:val="single" w:sz="4" w:space="0" w:color="000000"/>
            </w:tcBorders>
            <w:hideMark/>
          </w:tcPr>
          <w:p w14:paraId="49C41721"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0A1A8089"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6C6333F2"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34CCBE3B" w14:textId="77777777" w:rsidR="006B3444" w:rsidRPr="006B3444" w:rsidRDefault="006B3444" w:rsidP="00B76914">
            <w:pPr>
              <w:ind w:left="133"/>
              <w:rPr>
                <w:sz w:val="24"/>
                <w:szCs w:val="24"/>
              </w:rPr>
            </w:pPr>
            <w:r w:rsidRPr="006B3444">
              <w:rPr>
                <w:sz w:val="24"/>
                <w:szCs w:val="24"/>
              </w:rPr>
              <w:t>Øvre abdominalsmerter</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2DAABCD2" w14:textId="77777777" w:rsidR="006B3444" w:rsidRPr="006B3444" w:rsidRDefault="006B3444" w:rsidP="00B76914">
            <w:pPr>
              <w:ind w:left="133"/>
              <w:rPr>
                <w:sz w:val="24"/>
                <w:szCs w:val="24"/>
              </w:rPr>
            </w:pPr>
            <w:r w:rsidRPr="006B3444">
              <w:rPr>
                <w:sz w:val="24"/>
                <w:szCs w:val="24"/>
              </w:rPr>
              <w:t>almindelig</w:t>
            </w:r>
          </w:p>
        </w:tc>
      </w:tr>
      <w:tr w:rsidR="006B3444" w:rsidRPr="006B3444" w14:paraId="48225FE3"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35C1BCBF"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6472AEF8" w14:textId="77777777" w:rsidR="006B3444" w:rsidRPr="006B3444" w:rsidRDefault="006B3444" w:rsidP="00B76914">
            <w:pPr>
              <w:ind w:left="133"/>
              <w:rPr>
                <w:sz w:val="24"/>
                <w:szCs w:val="24"/>
              </w:rPr>
            </w:pPr>
            <w:r w:rsidRPr="006B3444">
              <w:rPr>
                <w:sz w:val="24"/>
                <w:szCs w:val="24"/>
              </w:rPr>
              <w:t>Flatulens</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1EAF5A27" w14:textId="77777777" w:rsidR="006B3444" w:rsidRPr="006B3444" w:rsidRDefault="006B3444" w:rsidP="00B76914">
            <w:pPr>
              <w:ind w:left="133"/>
              <w:rPr>
                <w:sz w:val="24"/>
                <w:szCs w:val="24"/>
              </w:rPr>
            </w:pPr>
            <w:r w:rsidRPr="006B3444">
              <w:rPr>
                <w:sz w:val="24"/>
                <w:szCs w:val="24"/>
              </w:rPr>
              <w:t>almindelig</w:t>
            </w:r>
          </w:p>
        </w:tc>
      </w:tr>
      <w:tr w:rsidR="006B3444" w:rsidRPr="006B3444" w14:paraId="1F567D0A"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69C55982"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5307CC75" w14:textId="77777777" w:rsidR="006B3444" w:rsidRPr="006B3444" w:rsidRDefault="006B3444" w:rsidP="00B76914">
            <w:pPr>
              <w:ind w:left="133"/>
              <w:rPr>
                <w:sz w:val="24"/>
                <w:szCs w:val="24"/>
              </w:rPr>
            </w:pPr>
            <w:r w:rsidRPr="006B3444">
              <w:rPr>
                <w:sz w:val="24"/>
                <w:szCs w:val="24"/>
              </w:rPr>
              <w:t>Kvalme</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6D3B847C" w14:textId="77777777" w:rsidR="006B3444" w:rsidRPr="006B3444" w:rsidRDefault="006B3444" w:rsidP="00B76914">
            <w:pPr>
              <w:ind w:left="133"/>
              <w:rPr>
                <w:sz w:val="24"/>
                <w:szCs w:val="24"/>
              </w:rPr>
            </w:pPr>
            <w:r w:rsidRPr="006B3444">
              <w:rPr>
                <w:sz w:val="24"/>
                <w:szCs w:val="24"/>
              </w:rPr>
              <w:t>almindelig</w:t>
            </w:r>
          </w:p>
        </w:tc>
      </w:tr>
      <w:tr w:rsidR="006B3444" w:rsidRPr="006B3444" w14:paraId="16C9FACE" w14:textId="77777777" w:rsidTr="00B76914">
        <w:trPr>
          <w:trHeight w:val="252"/>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5407A300" w14:textId="77777777" w:rsidR="006B3444" w:rsidRPr="006B3444" w:rsidRDefault="006B3444" w:rsidP="00B76914">
            <w:pPr>
              <w:ind w:left="133"/>
              <w:rPr>
                <w:sz w:val="24"/>
                <w:szCs w:val="24"/>
              </w:rPr>
            </w:pPr>
            <w:r w:rsidRPr="006B3444">
              <w:rPr>
                <w:sz w:val="24"/>
                <w:szCs w:val="24"/>
              </w:rPr>
              <w:t>Lever og galdeveje</w:t>
            </w:r>
          </w:p>
        </w:tc>
        <w:tc>
          <w:tcPr>
            <w:tcW w:w="1844" w:type="pct"/>
            <w:tcBorders>
              <w:top w:val="single" w:sz="4" w:space="0" w:color="000000"/>
              <w:left w:val="single" w:sz="4" w:space="0" w:color="000000"/>
              <w:bottom w:val="single" w:sz="4" w:space="0" w:color="000000"/>
              <w:right w:val="single" w:sz="4" w:space="0" w:color="000000"/>
            </w:tcBorders>
            <w:hideMark/>
          </w:tcPr>
          <w:p w14:paraId="440523F2" w14:textId="77777777" w:rsidR="006B3444" w:rsidRPr="006B3444" w:rsidRDefault="006B3444" w:rsidP="00B76914">
            <w:pPr>
              <w:ind w:left="133"/>
              <w:rPr>
                <w:sz w:val="24"/>
                <w:szCs w:val="24"/>
              </w:rPr>
            </w:pPr>
            <w:r w:rsidRPr="006B3444">
              <w:rPr>
                <w:sz w:val="24"/>
                <w:szCs w:val="24"/>
              </w:rPr>
              <w:t>Stigninger i aminotransferaser</w:t>
            </w:r>
          </w:p>
        </w:tc>
        <w:tc>
          <w:tcPr>
            <w:tcW w:w="1584" w:type="pct"/>
            <w:tcBorders>
              <w:top w:val="single" w:sz="4" w:space="0" w:color="000000"/>
              <w:left w:val="single" w:sz="4" w:space="0" w:color="000000"/>
              <w:bottom w:val="single" w:sz="4" w:space="0" w:color="000000"/>
              <w:right w:val="single" w:sz="4" w:space="0" w:color="000000"/>
            </w:tcBorders>
            <w:hideMark/>
          </w:tcPr>
          <w:p w14:paraId="1440D8CD"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1B5EC4B5" w14:textId="77777777" w:rsidTr="00B76914">
        <w:trPr>
          <w:trHeight w:val="254"/>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5DA76B81"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7AD41651" w14:textId="77777777" w:rsidR="006B3444" w:rsidRPr="006B3444" w:rsidRDefault="006B3444" w:rsidP="00B76914">
            <w:pPr>
              <w:ind w:left="133"/>
              <w:rPr>
                <w:sz w:val="24"/>
                <w:szCs w:val="24"/>
              </w:rPr>
            </w:pPr>
            <w:r w:rsidRPr="006B3444">
              <w:rPr>
                <w:sz w:val="24"/>
                <w:szCs w:val="24"/>
              </w:rPr>
              <w:t>Forhøjet alaninaminotransferase</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35691531"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5521C7F4"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1DAD074F"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11FE13FB" w14:textId="77777777" w:rsidR="006B3444" w:rsidRPr="006B3444" w:rsidRDefault="006B3444" w:rsidP="00B76914">
            <w:pPr>
              <w:ind w:left="133"/>
              <w:rPr>
                <w:sz w:val="24"/>
                <w:szCs w:val="24"/>
              </w:rPr>
            </w:pPr>
            <w:r w:rsidRPr="006B3444">
              <w:rPr>
                <w:sz w:val="24"/>
                <w:szCs w:val="24"/>
              </w:rPr>
              <w:t>Forhøjet aspartataminotransferase</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5B513316" w14:textId="77777777" w:rsidR="006B3444" w:rsidRPr="006B3444" w:rsidRDefault="006B3444" w:rsidP="00B76914">
            <w:pPr>
              <w:ind w:left="133"/>
              <w:rPr>
                <w:sz w:val="24"/>
                <w:szCs w:val="24"/>
              </w:rPr>
            </w:pPr>
            <w:r w:rsidRPr="006B3444">
              <w:rPr>
                <w:sz w:val="24"/>
                <w:szCs w:val="24"/>
              </w:rPr>
              <w:t>almindelig</w:t>
            </w:r>
          </w:p>
        </w:tc>
      </w:tr>
      <w:tr w:rsidR="006B3444" w:rsidRPr="006B3444" w14:paraId="09ECA72C"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0C00CA3D"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155B3D89" w14:textId="77777777" w:rsidR="006B3444" w:rsidRPr="006B3444" w:rsidRDefault="006B3444" w:rsidP="00B76914">
            <w:pPr>
              <w:ind w:left="133"/>
              <w:rPr>
                <w:sz w:val="24"/>
                <w:szCs w:val="24"/>
              </w:rPr>
            </w:pPr>
            <w:r w:rsidRPr="006B3444">
              <w:rPr>
                <w:sz w:val="24"/>
                <w:szCs w:val="24"/>
              </w:rPr>
              <w:t>Leverskade</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68546D29" w14:textId="77777777" w:rsidR="006B3444" w:rsidRPr="006B3444" w:rsidRDefault="006B3444" w:rsidP="00B76914">
            <w:pPr>
              <w:ind w:left="133"/>
              <w:rPr>
                <w:sz w:val="24"/>
                <w:szCs w:val="24"/>
              </w:rPr>
            </w:pPr>
            <w:r w:rsidRPr="006B3444">
              <w:rPr>
                <w:sz w:val="24"/>
                <w:szCs w:val="24"/>
              </w:rPr>
              <w:t>ikke kendt</w:t>
            </w:r>
          </w:p>
        </w:tc>
      </w:tr>
      <w:tr w:rsidR="006B3444" w:rsidRPr="006B3444" w14:paraId="36762132"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56D5FE54"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6A8AB0F5" w14:textId="77777777" w:rsidR="006B3444" w:rsidRPr="006B3444" w:rsidRDefault="006B3444" w:rsidP="00B76914">
            <w:pPr>
              <w:ind w:left="133"/>
              <w:rPr>
                <w:sz w:val="24"/>
                <w:szCs w:val="24"/>
              </w:rPr>
            </w:pPr>
            <w:r w:rsidRPr="006B3444">
              <w:rPr>
                <w:sz w:val="24"/>
                <w:szCs w:val="24"/>
              </w:rPr>
              <w:t>Forhøjet totalt bilirubin</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65B39C0A" w14:textId="77777777" w:rsidR="006B3444" w:rsidRPr="006B3444" w:rsidRDefault="006B3444" w:rsidP="00B76914">
            <w:pPr>
              <w:ind w:left="133"/>
              <w:rPr>
                <w:sz w:val="24"/>
                <w:szCs w:val="24"/>
              </w:rPr>
            </w:pPr>
            <w:r w:rsidRPr="006B3444">
              <w:rPr>
                <w:sz w:val="24"/>
                <w:szCs w:val="24"/>
              </w:rPr>
              <w:t>ikke kendt</w:t>
            </w:r>
          </w:p>
        </w:tc>
      </w:tr>
      <w:tr w:rsidR="006B3444" w:rsidRPr="006B3444" w14:paraId="6AFC9BE1" w14:textId="77777777" w:rsidTr="00B76914">
        <w:trPr>
          <w:trHeight w:val="252"/>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6CE454C7" w14:textId="77777777" w:rsidR="006B3444" w:rsidRPr="006B3444" w:rsidRDefault="006B3444" w:rsidP="00B76914">
            <w:pPr>
              <w:ind w:left="133"/>
              <w:rPr>
                <w:sz w:val="24"/>
                <w:szCs w:val="24"/>
              </w:rPr>
            </w:pPr>
            <w:r w:rsidRPr="006B3444">
              <w:rPr>
                <w:sz w:val="24"/>
                <w:szCs w:val="24"/>
              </w:rPr>
              <w:t>Hud og subkutane væv</w:t>
            </w:r>
          </w:p>
        </w:tc>
        <w:tc>
          <w:tcPr>
            <w:tcW w:w="1844" w:type="pct"/>
            <w:tcBorders>
              <w:top w:val="single" w:sz="4" w:space="0" w:color="000000"/>
              <w:left w:val="single" w:sz="4" w:space="0" w:color="000000"/>
              <w:bottom w:val="single" w:sz="4" w:space="0" w:color="000000"/>
              <w:right w:val="single" w:sz="4" w:space="0" w:color="000000"/>
            </w:tcBorders>
            <w:hideMark/>
          </w:tcPr>
          <w:p w14:paraId="0E95396D" w14:textId="77777777" w:rsidR="006B3444" w:rsidRPr="006B3444" w:rsidRDefault="006B3444" w:rsidP="00B76914">
            <w:pPr>
              <w:ind w:left="133"/>
              <w:rPr>
                <w:sz w:val="24"/>
                <w:szCs w:val="24"/>
              </w:rPr>
            </w:pPr>
            <w:r w:rsidRPr="006B3444">
              <w:rPr>
                <w:sz w:val="24"/>
                <w:szCs w:val="24"/>
              </w:rPr>
              <w:t>Udslæt</w:t>
            </w:r>
          </w:p>
        </w:tc>
        <w:tc>
          <w:tcPr>
            <w:tcW w:w="1584" w:type="pct"/>
            <w:tcBorders>
              <w:top w:val="single" w:sz="4" w:space="0" w:color="000000"/>
              <w:left w:val="single" w:sz="4" w:space="0" w:color="000000"/>
              <w:bottom w:val="single" w:sz="4" w:space="0" w:color="000000"/>
              <w:right w:val="single" w:sz="4" w:space="0" w:color="000000"/>
            </w:tcBorders>
            <w:hideMark/>
          </w:tcPr>
          <w:p w14:paraId="0DC8CA11"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3DE6FB63"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77F4FF4B"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0CF2EA7E" w14:textId="77777777" w:rsidR="006B3444" w:rsidRPr="006B3444" w:rsidRDefault="006B3444" w:rsidP="00B76914">
            <w:pPr>
              <w:ind w:left="133"/>
              <w:rPr>
                <w:sz w:val="24"/>
                <w:szCs w:val="24"/>
              </w:rPr>
            </w:pPr>
            <w:r w:rsidRPr="006B3444">
              <w:rPr>
                <w:sz w:val="24"/>
                <w:szCs w:val="24"/>
              </w:rPr>
              <w:t>Akne</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5E1A9C31" w14:textId="77777777" w:rsidR="006B3444" w:rsidRPr="006B3444" w:rsidRDefault="006B3444" w:rsidP="00B76914">
            <w:pPr>
              <w:ind w:left="133"/>
              <w:rPr>
                <w:sz w:val="24"/>
                <w:szCs w:val="24"/>
              </w:rPr>
            </w:pPr>
            <w:r w:rsidRPr="006B3444">
              <w:rPr>
                <w:sz w:val="24"/>
                <w:szCs w:val="24"/>
              </w:rPr>
              <w:t>almindelig</w:t>
            </w:r>
          </w:p>
        </w:tc>
      </w:tr>
      <w:tr w:rsidR="006B3444" w:rsidRPr="006B3444" w14:paraId="3AEA3B28" w14:textId="77777777" w:rsidTr="00B76914">
        <w:trPr>
          <w:trHeight w:val="253"/>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6146DAE8"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7648DD3B" w14:textId="77777777" w:rsidR="006B3444" w:rsidRPr="006B3444" w:rsidRDefault="006B3444" w:rsidP="00B76914">
            <w:pPr>
              <w:ind w:left="133"/>
              <w:rPr>
                <w:sz w:val="24"/>
                <w:szCs w:val="24"/>
              </w:rPr>
            </w:pPr>
            <w:r w:rsidRPr="006B3444">
              <w:rPr>
                <w:sz w:val="24"/>
                <w:szCs w:val="24"/>
              </w:rPr>
              <w:t>Pruritus</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645C104D" w14:textId="77777777" w:rsidR="006B3444" w:rsidRPr="006B3444" w:rsidRDefault="006B3444" w:rsidP="00B76914">
            <w:pPr>
              <w:ind w:left="133"/>
              <w:rPr>
                <w:sz w:val="24"/>
                <w:szCs w:val="24"/>
              </w:rPr>
            </w:pPr>
            <w:r w:rsidRPr="006B3444">
              <w:rPr>
                <w:sz w:val="24"/>
                <w:szCs w:val="24"/>
              </w:rPr>
              <w:t>almindelig</w:t>
            </w:r>
          </w:p>
        </w:tc>
      </w:tr>
      <w:tr w:rsidR="006B3444" w:rsidRPr="006B3444" w14:paraId="5FF3BDD2" w14:textId="77777777" w:rsidTr="00B76914">
        <w:trPr>
          <w:trHeight w:val="252"/>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46EC378F" w14:textId="77777777" w:rsidR="006B3444" w:rsidRPr="006B3444" w:rsidRDefault="006B3444" w:rsidP="00B76914">
            <w:pPr>
              <w:ind w:left="133"/>
              <w:rPr>
                <w:sz w:val="24"/>
                <w:szCs w:val="24"/>
              </w:rPr>
            </w:pPr>
            <w:r w:rsidRPr="006B3444">
              <w:rPr>
                <w:sz w:val="24"/>
                <w:szCs w:val="24"/>
              </w:rPr>
              <w:t>Det reproduktive system og mammae</w:t>
            </w:r>
          </w:p>
        </w:tc>
        <w:tc>
          <w:tcPr>
            <w:tcW w:w="1844" w:type="pct"/>
            <w:tcBorders>
              <w:top w:val="single" w:sz="4" w:space="0" w:color="000000"/>
              <w:left w:val="single" w:sz="4" w:space="0" w:color="000000"/>
              <w:bottom w:val="single" w:sz="4" w:space="0" w:color="000000"/>
              <w:right w:val="single" w:sz="4" w:space="0" w:color="000000"/>
            </w:tcBorders>
            <w:hideMark/>
          </w:tcPr>
          <w:p w14:paraId="6F1C5478" w14:textId="77777777" w:rsidR="006B3444" w:rsidRPr="006B3444" w:rsidRDefault="006B3444" w:rsidP="00B76914">
            <w:pPr>
              <w:ind w:left="133"/>
              <w:rPr>
                <w:sz w:val="24"/>
                <w:szCs w:val="24"/>
              </w:rPr>
            </w:pPr>
            <w:r w:rsidRPr="006B3444">
              <w:rPr>
                <w:sz w:val="24"/>
                <w:szCs w:val="24"/>
              </w:rPr>
              <w:t>Knude i bryst</w:t>
            </w:r>
          </w:p>
        </w:tc>
        <w:tc>
          <w:tcPr>
            <w:tcW w:w="1584" w:type="pct"/>
            <w:tcBorders>
              <w:top w:val="single" w:sz="4" w:space="0" w:color="000000"/>
              <w:left w:val="single" w:sz="4" w:space="0" w:color="000000"/>
              <w:bottom w:val="single" w:sz="4" w:space="0" w:color="000000"/>
              <w:right w:val="single" w:sz="4" w:space="0" w:color="000000"/>
            </w:tcBorders>
            <w:hideMark/>
          </w:tcPr>
          <w:p w14:paraId="2CE17289" w14:textId="77777777" w:rsidR="006B3444" w:rsidRPr="006B3444" w:rsidRDefault="006B3444" w:rsidP="00B76914">
            <w:pPr>
              <w:ind w:left="133"/>
              <w:rPr>
                <w:sz w:val="24"/>
                <w:szCs w:val="24"/>
              </w:rPr>
            </w:pPr>
            <w:r w:rsidRPr="006B3444">
              <w:rPr>
                <w:sz w:val="24"/>
                <w:szCs w:val="24"/>
              </w:rPr>
              <w:t>almindelig</w:t>
            </w:r>
          </w:p>
        </w:tc>
      </w:tr>
      <w:tr w:rsidR="006B3444" w:rsidRPr="006B3444" w14:paraId="2B2E812A"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24C60924"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5C597A7A" w14:textId="77777777" w:rsidR="006B3444" w:rsidRPr="006B3444" w:rsidRDefault="006B3444" w:rsidP="00B76914">
            <w:pPr>
              <w:ind w:left="133"/>
              <w:rPr>
                <w:sz w:val="24"/>
                <w:szCs w:val="24"/>
              </w:rPr>
            </w:pPr>
            <w:r w:rsidRPr="006B3444">
              <w:rPr>
                <w:sz w:val="24"/>
                <w:szCs w:val="24"/>
              </w:rPr>
              <w:t>Brystinflammation</w:t>
            </w:r>
          </w:p>
        </w:tc>
        <w:tc>
          <w:tcPr>
            <w:tcW w:w="1584" w:type="pct"/>
            <w:tcBorders>
              <w:top w:val="single" w:sz="4" w:space="0" w:color="000000"/>
              <w:left w:val="single" w:sz="4" w:space="0" w:color="000000"/>
              <w:bottom w:val="single" w:sz="4" w:space="0" w:color="000000"/>
              <w:right w:val="single" w:sz="4" w:space="0" w:color="000000"/>
            </w:tcBorders>
            <w:hideMark/>
          </w:tcPr>
          <w:p w14:paraId="6FBC7056" w14:textId="77777777" w:rsidR="006B3444" w:rsidRPr="006B3444" w:rsidRDefault="006B3444" w:rsidP="00B76914">
            <w:pPr>
              <w:ind w:left="133"/>
              <w:rPr>
                <w:sz w:val="24"/>
                <w:szCs w:val="24"/>
              </w:rPr>
            </w:pPr>
            <w:r w:rsidRPr="006B3444">
              <w:rPr>
                <w:sz w:val="24"/>
                <w:szCs w:val="24"/>
              </w:rPr>
              <w:t>ikke almindelig</w:t>
            </w:r>
          </w:p>
        </w:tc>
      </w:tr>
      <w:tr w:rsidR="006B3444" w:rsidRPr="006B3444" w14:paraId="27EC96F0" w14:textId="77777777" w:rsidTr="00B76914">
        <w:trPr>
          <w:trHeight w:val="270"/>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321DEDB8"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41356DEE" w14:textId="77777777" w:rsidR="006B3444" w:rsidRPr="006B3444" w:rsidRDefault="006B3444" w:rsidP="00B76914">
            <w:pPr>
              <w:ind w:left="133"/>
              <w:rPr>
                <w:sz w:val="24"/>
                <w:szCs w:val="24"/>
              </w:rPr>
            </w:pPr>
            <w:r w:rsidRPr="006B3444">
              <w:rPr>
                <w:sz w:val="24"/>
                <w:szCs w:val="24"/>
              </w:rPr>
              <w:t>Gynækomasti</w:t>
            </w:r>
          </w:p>
        </w:tc>
        <w:tc>
          <w:tcPr>
            <w:tcW w:w="1584" w:type="pct"/>
            <w:tcBorders>
              <w:top w:val="single" w:sz="4" w:space="0" w:color="000000"/>
              <w:left w:val="single" w:sz="4" w:space="0" w:color="000000"/>
              <w:bottom w:val="single" w:sz="4" w:space="0" w:color="000000"/>
              <w:right w:val="single" w:sz="4" w:space="0" w:color="000000"/>
            </w:tcBorders>
            <w:hideMark/>
          </w:tcPr>
          <w:p w14:paraId="39C7253E" w14:textId="77777777" w:rsidR="006B3444" w:rsidRPr="006B3444" w:rsidRDefault="006B3444" w:rsidP="00B76914">
            <w:pPr>
              <w:ind w:left="133"/>
              <w:rPr>
                <w:sz w:val="24"/>
                <w:szCs w:val="24"/>
              </w:rPr>
            </w:pPr>
            <w:r w:rsidRPr="006B3444">
              <w:rPr>
                <w:sz w:val="24"/>
                <w:szCs w:val="24"/>
              </w:rPr>
              <w:t>ikke almindelig</w:t>
            </w:r>
          </w:p>
        </w:tc>
      </w:tr>
      <w:tr w:rsidR="006B3444" w:rsidRPr="006B3444" w14:paraId="05E45560"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3A673FBE"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26052B99" w14:textId="77777777" w:rsidR="006B3444" w:rsidRPr="006B3444" w:rsidRDefault="006B3444" w:rsidP="00B76914">
            <w:pPr>
              <w:ind w:left="133"/>
              <w:rPr>
                <w:sz w:val="24"/>
                <w:szCs w:val="24"/>
              </w:rPr>
            </w:pPr>
            <w:r w:rsidRPr="006B3444">
              <w:rPr>
                <w:sz w:val="24"/>
                <w:szCs w:val="24"/>
              </w:rPr>
              <w:t>Sygdom i brystvorter</w:t>
            </w:r>
          </w:p>
        </w:tc>
        <w:tc>
          <w:tcPr>
            <w:tcW w:w="1584" w:type="pct"/>
            <w:tcBorders>
              <w:top w:val="single" w:sz="4" w:space="0" w:color="000000"/>
              <w:left w:val="single" w:sz="4" w:space="0" w:color="000000"/>
              <w:bottom w:val="single" w:sz="4" w:space="0" w:color="000000"/>
              <w:right w:val="single" w:sz="4" w:space="0" w:color="000000"/>
            </w:tcBorders>
            <w:hideMark/>
          </w:tcPr>
          <w:p w14:paraId="2F6662AD" w14:textId="77777777" w:rsidR="006B3444" w:rsidRPr="006B3444" w:rsidRDefault="006B3444" w:rsidP="00B76914">
            <w:pPr>
              <w:ind w:left="133"/>
              <w:rPr>
                <w:sz w:val="24"/>
                <w:szCs w:val="24"/>
              </w:rPr>
            </w:pPr>
            <w:r w:rsidRPr="006B3444">
              <w:rPr>
                <w:sz w:val="24"/>
                <w:szCs w:val="24"/>
              </w:rPr>
              <w:t>ikke almindelig</w:t>
            </w:r>
          </w:p>
        </w:tc>
      </w:tr>
      <w:tr w:rsidR="006B3444" w:rsidRPr="006B3444" w14:paraId="57CF05AA" w14:textId="77777777" w:rsidTr="00B76914">
        <w:trPr>
          <w:trHeight w:val="253"/>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23AC0524"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194DF193" w14:textId="77777777" w:rsidR="006B3444" w:rsidRPr="006B3444" w:rsidRDefault="006B3444" w:rsidP="00B76914">
            <w:pPr>
              <w:ind w:left="133"/>
              <w:rPr>
                <w:sz w:val="24"/>
                <w:szCs w:val="24"/>
              </w:rPr>
            </w:pPr>
            <w:r w:rsidRPr="006B3444">
              <w:rPr>
                <w:sz w:val="24"/>
                <w:szCs w:val="24"/>
              </w:rPr>
              <w:t>Smerter i brystvorter</w:t>
            </w:r>
          </w:p>
        </w:tc>
        <w:tc>
          <w:tcPr>
            <w:tcW w:w="1584" w:type="pct"/>
            <w:tcBorders>
              <w:top w:val="single" w:sz="4" w:space="0" w:color="000000"/>
              <w:left w:val="single" w:sz="4" w:space="0" w:color="000000"/>
              <w:bottom w:val="single" w:sz="4" w:space="0" w:color="000000"/>
              <w:right w:val="single" w:sz="4" w:space="0" w:color="000000"/>
            </w:tcBorders>
            <w:hideMark/>
          </w:tcPr>
          <w:p w14:paraId="5E39506B" w14:textId="77777777" w:rsidR="006B3444" w:rsidRPr="006B3444" w:rsidRDefault="006B3444" w:rsidP="00B76914">
            <w:pPr>
              <w:ind w:left="133"/>
              <w:rPr>
                <w:sz w:val="24"/>
                <w:szCs w:val="24"/>
              </w:rPr>
            </w:pPr>
            <w:r w:rsidRPr="006B3444">
              <w:rPr>
                <w:sz w:val="24"/>
                <w:szCs w:val="24"/>
              </w:rPr>
              <w:t>ikke almindelig</w:t>
            </w:r>
          </w:p>
        </w:tc>
      </w:tr>
      <w:tr w:rsidR="006B3444" w:rsidRPr="006B3444" w14:paraId="62A487A3" w14:textId="77777777" w:rsidTr="00B76914">
        <w:trPr>
          <w:trHeight w:val="252"/>
        </w:trPr>
        <w:tc>
          <w:tcPr>
            <w:tcW w:w="1572" w:type="pct"/>
            <w:vMerge w:val="restart"/>
            <w:tcBorders>
              <w:top w:val="single" w:sz="4" w:space="0" w:color="000000"/>
              <w:left w:val="single" w:sz="4" w:space="0" w:color="000000"/>
              <w:bottom w:val="single" w:sz="4" w:space="0" w:color="000000"/>
              <w:right w:val="single" w:sz="4" w:space="0" w:color="000000"/>
            </w:tcBorders>
            <w:hideMark/>
          </w:tcPr>
          <w:p w14:paraId="3C194112" w14:textId="77777777" w:rsidR="006B3444" w:rsidRPr="006B3444" w:rsidRDefault="006B3444" w:rsidP="00B76914">
            <w:pPr>
              <w:ind w:left="133"/>
              <w:rPr>
                <w:sz w:val="24"/>
                <w:szCs w:val="24"/>
              </w:rPr>
            </w:pPr>
            <w:r w:rsidRPr="006B3444">
              <w:rPr>
                <w:sz w:val="24"/>
                <w:szCs w:val="24"/>
              </w:rPr>
              <w:t>Undersøgelser</w:t>
            </w:r>
          </w:p>
        </w:tc>
        <w:tc>
          <w:tcPr>
            <w:tcW w:w="1844" w:type="pct"/>
            <w:tcBorders>
              <w:top w:val="single" w:sz="4" w:space="0" w:color="000000"/>
              <w:left w:val="single" w:sz="4" w:space="0" w:color="000000"/>
              <w:bottom w:val="single" w:sz="4" w:space="0" w:color="000000"/>
              <w:right w:val="single" w:sz="4" w:space="0" w:color="000000"/>
            </w:tcBorders>
            <w:hideMark/>
          </w:tcPr>
          <w:p w14:paraId="2FE2221D" w14:textId="77777777" w:rsidR="006B3444" w:rsidRPr="006B3444" w:rsidRDefault="006B3444" w:rsidP="00B76914">
            <w:pPr>
              <w:ind w:left="133"/>
              <w:rPr>
                <w:sz w:val="24"/>
                <w:szCs w:val="24"/>
              </w:rPr>
            </w:pPr>
            <w:r w:rsidRPr="006B3444">
              <w:rPr>
                <w:sz w:val="24"/>
                <w:szCs w:val="24"/>
              </w:rPr>
              <w:t>Bakterier i sputum</w:t>
            </w:r>
          </w:p>
        </w:tc>
        <w:tc>
          <w:tcPr>
            <w:tcW w:w="1584" w:type="pct"/>
            <w:tcBorders>
              <w:top w:val="single" w:sz="4" w:space="0" w:color="000000"/>
              <w:left w:val="single" w:sz="4" w:space="0" w:color="000000"/>
              <w:bottom w:val="single" w:sz="4" w:space="0" w:color="000000"/>
              <w:right w:val="single" w:sz="4" w:space="0" w:color="000000"/>
            </w:tcBorders>
            <w:hideMark/>
          </w:tcPr>
          <w:p w14:paraId="11436C75" w14:textId="77777777" w:rsidR="006B3444" w:rsidRPr="006B3444" w:rsidRDefault="006B3444" w:rsidP="00B76914">
            <w:pPr>
              <w:ind w:left="133"/>
              <w:rPr>
                <w:sz w:val="24"/>
                <w:szCs w:val="24"/>
              </w:rPr>
            </w:pPr>
            <w:r w:rsidRPr="006B3444">
              <w:rPr>
                <w:sz w:val="24"/>
                <w:szCs w:val="24"/>
              </w:rPr>
              <w:t>meget almindelig</w:t>
            </w:r>
          </w:p>
        </w:tc>
      </w:tr>
      <w:tr w:rsidR="006B3444" w:rsidRPr="006B3444" w14:paraId="431013BC" w14:textId="77777777" w:rsidTr="00B76914">
        <w:trPr>
          <w:trHeight w:val="252"/>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5CF46ED3"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284C8319" w14:textId="77777777" w:rsidR="006B3444" w:rsidRPr="006B3444" w:rsidRDefault="006B3444" w:rsidP="00B76914">
            <w:pPr>
              <w:ind w:left="133"/>
              <w:rPr>
                <w:sz w:val="24"/>
                <w:szCs w:val="24"/>
              </w:rPr>
            </w:pPr>
            <w:r w:rsidRPr="006B3444">
              <w:rPr>
                <w:sz w:val="24"/>
                <w:szCs w:val="24"/>
              </w:rPr>
              <w:t>Forhøjet blod-kreatinfosfokinase</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1A4E25E2" w14:textId="77777777" w:rsidR="006B3444" w:rsidRPr="006B3444" w:rsidRDefault="006B3444" w:rsidP="00B76914">
            <w:pPr>
              <w:ind w:left="133"/>
              <w:rPr>
                <w:sz w:val="24"/>
                <w:szCs w:val="24"/>
              </w:rPr>
            </w:pPr>
            <w:r w:rsidRPr="006B3444">
              <w:rPr>
                <w:sz w:val="24"/>
                <w:szCs w:val="24"/>
              </w:rPr>
              <w:t>almindelig</w:t>
            </w:r>
          </w:p>
        </w:tc>
      </w:tr>
      <w:tr w:rsidR="006B3444" w:rsidRPr="006B3444" w14:paraId="3BD09D07" w14:textId="77777777" w:rsidTr="00B76914">
        <w:trPr>
          <w:trHeight w:val="254"/>
        </w:trPr>
        <w:tc>
          <w:tcPr>
            <w:tcW w:w="1572" w:type="pct"/>
            <w:vMerge/>
            <w:tcBorders>
              <w:top w:val="single" w:sz="4" w:space="0" w:color="000000"/>
              <w:left w:val="single" w:sz="4" w:space="0" w:color="000000"/>
              <w:bottom w:val="single" w:sz="4" w:space="0" w:color="000000"/>
              <w:right w:val="single" w:sz="4" w:space="0" w:color="000000"/>
            </w:tcBorders>
            <w:vAlign w:val="center"/>
            <w:hideMark/>
          </w:tcPr>
          <w:p w14:paraId="5AD1FBD2" w14:textId="77777777" w:rsidR="006B3444" w:rsidRPr="006B3444" w:rsidRDefault="006B3444" w:rsidP="00B76914">
            <w:pPr>
              <w:ind w:left="133"/>
              <w:rPr>
                <w:sz w:val="24"/>
                <w:szCs w:val="24"/>
              </w:rPr>
            </w:pPr>
          </w:p>
        </w:tc>
        <w:tc>
          <w:tcPr>
            <w:tcW w:w="1844" w:type="pct"/>
            <w:tcBorders>
              <w:top w:val="single" w:sz="4" w:space="0" w:color="000000"/>
              <w:left w:val="single" w:sz="4" w:space="0" w:color="000000"/>
              <w:bottom w:val="single" w:sz="4" w:space="0" w:color="000000"/>
              <w:right w:val="single" w:sz="4" w:space="0" w:color="000000"/>
            </w:tcBorders>
            <w:hideMark/>
          </w:tcPr>
          <w:p w14:paraId="44B6900A" w14:textId="77777777" w:rsidR="006B3444" w:rsidRPr="006B3444" w:rsidRDefault="006B3444" w:rsidP="00B76914">
            <w:pPr>
              <w:ind w:left="133"/>
              <w:rPr>
                <w:sz w:val="24"/>
                <w:szCs w:val="24"/>
              </w:rPr>
            </w:pPr>
            <w:r w:rsidRPr="006B3444">
              <w:rPr>
                <w:sz w:val="24"/>
                <w:szCs w:val="24"/>
              </w:rPr>
              <w:t>Forhøjet blodtryk</w:t>
            </w:r>
            <w:r w:rsidRPr="006B3444">
              <w:rPr>
                <w:sz w:val="24"/>
                <w:szCs w:val="24"/>
                <w:vertAlign w:val="superscript"/>
              </w:rPr>
              <w:t>†</w:t>
            </w:r>
          </w:p>
        </w:tc>
        <w:tc>
          <w:tcPr>
            <w:tcW w:w="1584" w:type="pct"/>
            <w:tcBorders>
              <w:top w:val="single" w:sz="4" w:space="0" w:color="000000"/>
              <w:left w:val="single" w:sz="4" w:space="0" w:color="000000"/>
              <w:bottom w:val="single" w:sz="4" w:space="0" w:color="000000"/>
              <w:right w:val="single" w:sz="4" w:space="0" w:color="000000"/>
            </w:tcBorders>
            <w:hideMark/>
          </w:tcPr>
          <w:p w14:paraId="2AC0A6ED" w14:textId="77777777" w:rsidR="006B3444" w:rsidRPr="006B3444" w:rsidRDefault="006B3444" w:rsidP="00B76914">
            <w:pPr>
              <w:ind w:left="133"/>
              <w:rPr>
                <w:sz w:val="24"/>
                <w:szCs w:val="24"/>
              </w:rPr>
            </w:pPr>
            <w:r w:rsidRPr="006B3444">
              <w:rPr>
                <w:sz w:val="24"/>
                <w:szCs w:val="24"/>
              </w:rPr>
              <w:t>ikke almindelig</w:t>
            </w:r>
          </w:p>
        </w:tc>
      </w:tr>
    </w:tbl>
    <w:p w14:paraId="4D24E198" w14:textId="77777777" w:rsidR="006B3444" w:rsidRPr="006B3444" w:rsidRDefault="006B3444" w:rsidP="00B76914">
      <w:pPr>
        <w:numPr>
          <w:ilvl w:val="0"/>
          <w:numId w:val="7"/>
        </w:numPr>
        <w:ind w:left="284" w:hanging="284"/>
        <w:rPr>
          <w:sz w:val="24"/>
          <w:szCs w:val="24"/>
        </w:rPr>
      </w:pPr>
      <w:r w:rsidRPr="006B3444">
        <w:rPr>
          <w:sz w:val="24"/>
          <w:szCs w:val="24"/>
        </w:rPr>
        <w:t>Bivirkning og hyppighed rapporteret fra kliniske studier med ivacaftor i kombination med tezacaftor/ivacaftor.</w:t>
      </w:r>
    </w:p>
    <w:p w14:paraId="1AEF6C12" w14:textId="77777777" w:rsidR="006B3444" w:rsidRPr="006B3444" w:rsidRDefault="006B3444" w:rsidP="00B76914">
      <w:pPr>
        <w:ind w:left="284" w:hanging="284"/>
        <w:rPr>
          <w:sz w:val="24"/>
          <w:szCs w:val="24"/>
        </w:rPr>
      </w:pPr>
      <w:r w:rsidRPr="006B3444">
        <w:rPr>
          <w:sz w:val="24"/>
          <w:szCs w:val="24"/>
        </w:rPr>
        <w:t xml:space="preserve">† </w:t>
      </w:r>
      <w:r w:rsidRPr="006B3444">
        <w:rPr>
          <w:sz w:val="24"/>
          <w:szCs w:val="24"/>
        </w:rPr>
        <w:tab/>
        <w:t>Bivirkning og hyppighed rapporteret fra kliniske studier med ivacaftor i kombination med ivacaftor/tezacaftor/elexacaftor.</w:t>
      </w:r>
    </w:p>
    <w:p w14:paraId="6E11BEEF" w14:textId="77777777" w:rsidR="006B3444" w:rsidRPr="006B3444" w:rsidRDefault="006B3444" w:rsidP="00B76914">
      <w:pPr>
        <w:ind w:left="284" w:hanging="284"/>
        <w:rPr>
          <w:sz w:val="24"/>
          <w:szCs w:val="24"/>
        </w:rPr>
      </w:pPr>
      <w:r w:rsidRPr="006B3444">
        <w:rPr>
          <w:sz w:val="24"/>
          <w:szCs w:val="24"/>
        </w:rPr>
        <w:t>^</w:t>
      </w:r>
      <w:r w:rsidRPr="006B3444">
        <w:rPr>
          <w:sz w:val="24"/>
          <w:szCs w:val="24"/>
        </w:rPr>
        <w:tab/>
        <w:t>Leverskade (forhøjet ALAT og ASAT og totalt bilirubin) indberettet efter markedsføring med ivacaftor i kombination med ivacaftor/tezacaftor/elexacaftor. Dette omfattede også leversvigt, der førte til transplantation hos en patient med eksisterende cirrose og portal hypertension. Hyppigheden kan ikke estimeres ud fra forhåndenværende data.</w:t>
      </w:r>
    </w:p>
    <w:p w14:paraId="39D6D335" w14:textId="77777777" w:rsidR="006B3444" w:rsidRPr="006B3444" w:rsidRDefault="006B3444" w:rsidP="006B3444">
      <w:pPr>
        <w:tabs>
          <w:tab w:val="left" w:pos="851"/>
        </w:tabs>
        <w:ind w:left="851"/>
        <w:rPr>
          <w:sz w:val="24"/>
          <w:szCs w:val="24"/>
        </w:rPr>
      </w:pPr>
    </w:p>
    <w:p w14:paraId="01715FD1" w14:textId="77777777" w:rsidR="006B3444" w:rsidRPr="006B3444" w:rsidRDefault="006B3444" w:rsidP="00B76914">
      <w:pPr>
        <w:ind w:left="851"/>
        <w:rPr>
          <w:sz w:val="24"/>
          <w:szCs w:val="24"/>
        </w:rPr>
      </w:pPr>
      <w:r w:rsidRPr="006B3444">
        <w:rPr>
          <w:sz w:val="24"/>
          <w:szCs w:val="24"/>
          <w:u w:val="single"/>
        </w:rPr>
        <w:t>Beskrivelse af udvalgte bivirkninger</w:t>
      </w:r>
    </w:p>
    <w:p w14:paraId="757573F1" w14:textId="77777777" w:rsidR="006B3444" w:rsidRPr="006B3444" w:rsidRDefault="006B3444" w:rsidP="00B76914">
      <w:pPr>
        <w:ind w:left="851"/>
        <w:rPr>
          <w:sz w:val="24"/>
          <w:szCs w:val="24"/>
        </w:rPr>
      </w:pPr>
    </w:p>
    <w:p w14:paraId="35EDEC66" w14:textId="77777777" w:rsidR="006B3444" w:rsidRPr="006B3444" w:rsidRDefault="006B3444" w:rsidP="00B76914">
      <w:pPr>
        <w:ind w:left="851"/>
        <w:rPr>
          <w:i/>
          <w:sz w:val="24"/>
          <w:szCs w:val="24"/>
        </w:rPr>
      </w:pPr>
      <w:r w:rsidRPr="006B3444">
        <w:rPr>
          <w:i/>
          <w:sz w:val="24"/>
          <w:szCs w:val="24"/>
        </w:rPr>
        <w:t>Aminotransferaseforhøjelser</w:t>
      </w:r>
    </w:p>
    <w:p w14:paraId="0392D036" w14:textId="77777777" w:rsidR="006B3444" w:rsidRPr="006B3444" w:rsidRDefault="006B3444" w:rsidP="00B76914">
      <w:pPr>
        <w:ind w:left="851"/>
        <w:rPr>
          <w:i/>
          <w:sz w:val="24"/>
          <w:szCs w:val="24"/>
        </w:rPr>
      </w:pPr>
    </w:p>
    <w:p w14:paraId="324A6236" w14:textId="33D638AC" w:rsidR="006B3444" w:rsidRPr="006B3444" w:rsidRDefault="006B3444" w:rsidP="00B76914">
      <w:pPr>
        <w:ind w:left="851"/>
        <w:rPr>
          <w:sz w:val="24"/>
          <w:szCs w:val="24"/>
        </w:rPr>
      </w:pPr>
      <w:r w:rsidRPr="006B3444">
        <w:rPr>
          <w:sz w:val="24"/>
          <w:szCs w:val="24"/>
        </w:rPr>
        <w:t>I løbet af de 48 ugers placebokontrollerede studier 770-102 og 770-103 af ivacaftor som monoterapi hos patienter i alderen 6 år og derover var forekomsten af maksimal aminotransferase (ALAT eller ASAT) &gt;8, &gt;5 eller &gt;3 × øverste normal værdi (ULN) hhv. 3,7 %, 3,7 % og 8,3 % hos ivacaftor- behandlede patienter, og 1,0 %, 1,9 % og 8,7 % hos placebobehandlede patienter. To patienter, en på placebo og en på ivacaftor, seponerede permanent behandlingen som følge af forhøjede aminotransferaser, hver &gt;8 × ULN. Ingen ivacaftor-behandlede patienter oplevede en aminotransferase-forhøjelse &gt;3 × ULN forbundet med forhøjet total bilirubin &gt;1,5 × ULN. Hos ivacaftor-behandlede patienter vendte de fleste aminotransferase-forhøjelser på op til 5 × ULN tilbage til normalen uden behandlingsafbrydelse. Ivacaftor-doseringen blev afbrudt hos de fleste patienter med aminotransferase-forhøjelser &gt;5 × ULN. I alle de tilfælde, hvor doseringen blev afbrudt som følge af forhøjede aminotransferaser og efterfølgende genoptaget, kunne doseringen med ivacaftor genoptages med godt resultat (se pkt. 4.4).</w:t>
      </w:r>
    </w:p>
    <w:p w14:paraId="6AA68D1A" w14:textId="77777777" w:rsidR="006B3444" w:rsidRPr="006B3444" w:rsidRDefault="006B3444" w:rsidP="00B76914">
      <w:pPr>
        <w:ind w:left="851"/>
        <w:rPr>
          <w:sz w:val="24"/>
          <w:szCs w:val="24"/>
        </w:rPr>
      </w:pPr>
    </w:p>
    <w:p w14:paraId="12801655" w14:textId="3CDF6A2F" w:rsidR="006B3444" w:rsidRPr="006B3444" w:rsidRDefault="006B3444" w:rsidP="00B76914">
      <w:pPr>
        <w:ind w:left="851"/>
        <w:rPr>
          <w:sz w:val="24"/>
          <w:szCs w:val="24"/>
        </w:rPr>
      </w:pPr>
      <w:r w:rsidRPr="006B3444">
        <w:rPr>
          <w:sz w:val="24"/>
          <w:szCs w:val="24"/>
        </w:rPr>
        <w:t>I løbet af de placebokontrollerede fase 3-studier (op til 24 uger) af tezacaftor/ivacaftor var forekomsten af maksimale aminotransferaseniveauer (ALAT eller ASAT) &gt; 8, &gt; 5 eller &gt;</w:t>
      </w:r>
      <w:r w:rsidR="00B67369">
        <w:rPr>
          <w:sz w:val="24"/>
          <w:szCs w:val="24"/>
        </w:rPr>
        <w:t> </w:t>
      </w:r>
      <w:r w:rsidRPr="006B3444">
        <w:rPr>
          <w:sz w:val="24"/>
          <w:szCs w:val="24"/>
        </w:rPr>
        <w:t>3</w:t>
      </w:r>
      <w:r w:rsidR="00B67369">
        <w:rPr>
          <w:sz w:val="24"/>
          <w:szCs w:val="24"/>
        </w:rPr>
        <w:t> </w:t>
      </w:r>
      <w:r w:rsidRPr="006B3444">
        <w:rPr>
          <w:sz w:val="24"/>
          <w:szCs w:val="24"/>
        </w:rPr>
        <w:t>× ULN 0,2 %, 1,0 % og 3,4 % hos patienter behandlet med tezacaftor/ivacaftor og 0,4</w:t>
      </w:r>
      <w:r w:rsidR="00B67369">
        <w:rPr>
          <w:sz w:val="24"/>
          <w:szCs w:val="24"/>
        </w:rPr>
        <w:t> </w:t>
      </w:r>
      <w:r w:rsidRPr="006B3444">
        <w:rPr>
          <w:sz w:val="24"/>
          <w:szCs w:val="24"/>
        </w:rPr>
        <w:t>%, 1,0 % og 3,4 % hos placebobehandlede patienter. Én patient (0,2 %) i behandling og 2 patienter (0,4 %), der fik placebo, seponerede behandlingen permanent på grund af forhøjede aminotransferaser. Ingen patienter behandlet med tezacaftor/ivacaftor oplevede en forhøjelse af aminotransferaser &gt; 3 × ULN forbundet med forhøjet total bilirubin &gt; 2 × ULN.</w:t>
      </w:r>
    </w:p>
    <w:p w14:paraId="56E58655" w14:textId="77777777" w:rsidR="006B3444" w:rsidRPr="006B3444" w:rsidRDefault="006B3444" w:rsidP="00B76914">
      <w:pPr>
        <w:ind w:left="851"/>
        <w:rPr>
          <w:sz w:val="24"/>
          <w:szCs w:val="24"/>
        </w:rPr>
      </w:pPr>
    </w:p>
    <w:p w14:paraId="3E5F4159" w14:textId="03BF69CF" w:rsidR="006B3444" w:rsidRPr="006B3444" w:rsidRDefault="006B3444" w:rsidP="00B76914">
      <w:pPr>
        <w:ind w:left="851"/>
        <w:rPr>
          <w:sz w:val="24"/>
          <w:szCs w:val="24"/>
        </w:rPr>
      </w:pPr>
      <w:r w:rsidRPr="006B3444">
        <w:rPr>
          <w:sz w:val="24"/>
          <w:szCs w:val="24"/>
        </w:rPr>
        <w:t>I løbet af det 24-ugers placebokontrollerede fase 3-studie af ivacaftor/tezacaftor/elexa</w:t>
      </w:r>
      <w:r w:rsidR="00286CAA">
        <w:rPr>
          <w:sz w:val="24"/>
          <w:szCs w:val="24"/>
        </w:rPr>
        <w:softHyphen/>
      </w:r>
      <w:r w:rsidRPr="006B3444">
        <w:rPr>
          <w:sz w:val="24"/>
          <w:szCs w:val="24"/>
        </w:rPr>
        <w:t>caftor var disse tal 1,5 %, 2,5 % og 7,9 % hos patienter behandlet med ivacaftor/tezacaftor/elexacaftor og 1,0 %, 1,5 % og 5,5 % hos placebobehandlede patienter. Forekomsten af bivirkninger med aminotransferaseforhøjelser var 10,9 % hos patienter behandlet med ivacaftor i et kombinationsregime med ivacaftor/tezacaftor/elexacaftor og 4,0 % hos placebobehandlede patienter.</w:t>
      </w:r>
    </w:p>
    <w:p w14:paraId="675ABE55" w14:textId="77777777" w:rsidR="006B3444" w:rsidRPr="006B3444" w:rsidRDefault="006B3444" w:rsidP="00B76914">
      <w:pPr>
        <w:ind w:left="851"/>
        <w:rPr>
          <w:sz w:val="24"/>
          <w:szCs w:val="24"/>
        </w:rPr>
      </w:pPr>
    </w:p>
    <w:p w14:paraId="1F44BC44" w14:textId="77777777" w:rsidR="006B3444" w:rsidRPr="006B3444" w:rsidRDefault="006B3444" w:rsidP="00B76914">
      <w:pPr>
        <w:ind w:left="851"/>
        <w:rPr>
          <w:sz w:val="24"/>
          <w:szCs w:val="24"/>
        </w:rPr>
      </w:pPr>
      <w:r w:rsidRPr="006B3444">
        <w:rPr>
          <w:sz w:val="24"/>
          <w:szCs w:val="24"/>
        </w:rPr>
        <w:t>Efter markedsføring er der rapporteret tilfælde af behandlingsseponering som følge af forhøjede aminotransferaser (se pkt. 4.4).</w:t>
      </w:r>
    </w:p>
    <w:p w14:paraId="2AF73A12" w14:textId="77777777" w:rsidR="006B3444" w:rsidRPr="006B3444" w:rsidRDefault="006B3444" w:rsidP="00B76914">
      <w:pPr>
        <w:ind w:left="851"/>
        <w:rPr>
          <w:sz w:val="24"/>
          <w:szCs w:val="24"/>
        </w:rPr>
      </w:pPr>
    </w:p>
    <w:p w14:paraId="697B954F" w14:textId="77777777" w:rsidR="006B3444" w:rsidRPr="006B3444" w:rsidRDefault="006B3444" w:rsidP="00B76914">
      <w:pPr>
        <w:ind w:left="851"/>
        <w:rPr>
          <w:i/>
          <w:sz w:val="24"/>
          <w:szCs w:val="24"/>
        </w:rPr>
      </w:pPr>
      <w:r w:rsidRPr="006B3444">
        <w:rPr>
          <w:i/>
          <w:sz w:val="24"/>
          <w:szCs w:val="24"/>
        </w:rPr>
        <w:t>Udslætshændelser</w:t>
      </w:r>
    </w:p>
    <w:p w14:paraId="451BF08F" w14:textId="77777777" w:rsidR="006B3444" w:rsidRPr="006B3444" w:rsidRDefault="006B3444" w:rsidP="00B76914">
      <w:pPr>
        <w:ind w:left="851"/>
        <w:rPr>
          <w:i/>
          <w:sz w:val="24"/>
          <w:szCs w:val="24"/>
        </w:rPr>
      </w:pPr>
    </w:p>
    <w:p w14:paraId="5BE87743" w14:textId="10F03E78" w:rsidR="006B3444" w:rsidRPr="006B3444" w:rsidRDefault="006B3444" w:rsidP="00B76914">
      <w:pPr>
        <w:ind w:left="851"/>
        <w:rPr>
          <w:sz w:val="24"/>
          <w:szCs w:val="24"/>
        </w:rPr>
      </w:pPr>
      <w:r w:rsidRPr="006B3444">
        <w:rPr>
          <w:sz w:val="24"/>
          <w:szCs w:val="24"/>
        </w:rPr>
        <w:t>I studie 445-102 var forekomsten af udslætshændelser (f.eks. udslæt, kløende udslæt) 10,9</w:t>
      </w:r>
      <w:r w:rsidR="00286CAA">
        <w:rPr>
          <w:sz w:val="24"/>
          <w:szCs w:val="24"/>
        </w:rPr>
        <w:t> </w:t>
      </w:r>
      <w:r w:rsidRPr="006B3444">
        <w:rPr>
          <w:sz w:val="24"/>
          <w:szCs w:val="24"/>
        </w:rPr>
        <w:t xml:space="preserve">% hos patienter, der blev behandlet med ivacaftor/tezacaftor/elexacaftor, og 6,5 % hos patienter, der blev behandlet med placebo. Hændelserne med udslæt var generelt af mild til moderat sværhedsgrad. Forekomsten af udslætshændelser efter patientkøn var 5,8 % hos mandlige og 16,3 % hos kvindelige patienter, der blev behandlet med ivacaftor/tezacaftor/elexacaftor og 4,8 % hos mandlige og 8,3 % hos kvindelige patienter, der blev behandlet med placebo. Hos patienter, der blev behandlet med ivacaftor/tezacaftor/elexacaftor, var forekomsten af udslætshændelser 20,5 % hos kvinder, der tog hormonel kontraception, og 13,6 % hos kvinder, der ikke tog hormonel kontraception (se pkt. 4.4). </w:t>
      </w:r>
    </w:p>
    <w:p w14:paraId="003432F7" w14:textId="77777777" w:rsidR="006B3444" w:rsidRPr="006B3444" w:rsidRDefault="006B3444" w:rsidP="00B76914">
      <w:pPr>
        <w:ind w:left="851"/>
        <w:rPr>
          <w:sz w:val="24"/>
          <w:szCs w:val="24"/>
        </w:rPr>
      </w:pPr>
    </w:p>
    <w:p w14:paraId="6D93D73D" w14:textId="77777777" w:rsidR="006B3444" w:rsidRPr="006B3444" w:rsidRDefault="006B3444" w:rsidP="00B76914">
      <w:pPr>
        <w:ind w:left="851"/>
        <w:rPr>
          <w:i/>
          <w:sz w:val="24"/>
          <w:szCs w:val="24"/>
        </w:rPr>
      </w:pPr>
      <w:r w:rsidRPr="006B3444">
        <w:rPr>
          <w:i/>
          <w:sz w:val="24"/>
          <w:szCs w:val="24"/>
        </w:rPr>
        <w:t>Forhøjet kreatinfosfokinase</w:t>
      </w:r>
    </w:p>
    <w:p w14:paraId="5BB53120" w14:textId="77777777" w:rsidR="006B3444" w:rsidRPr="006B3444" w:rsidRDefault="006B3444" w:rsidP="00B76914">
      <w:pPr>
        <w:ind w:left="851"/>
        <w:rPr>
          <w:i/>
          <w:sz w:val="24"/>
          <w:szCs w:val="24"/>
        </w:rPr>
      </w:pPr>
    </w:p>
    <w:p w14:paraId="512A8B7D" w14:textId="76251282" w:rsidR="006B3444" w:rsidRPr="006B3444" w:rsidRDefault="006B3444" w:rsidP="00B76914">
      <w:pPr>
        <w:ind w:left="851"/>
        <w:rPr>
          <w:sz w:val="24"/>
          <w:szCs w:val="24"/>
        </w:rPr>
      </w:pPr>
      <w:r w:rsidRPr="006B3444">
        <w:rPr>
          <w:sz w:val="24"/>
          <w:szCs w:val="24"/>
        </w:rPr>
        <w:t>I studie 445-102 var forekomsten af hændelser med maksimal kreatinfosfokinase &gt;</w:t>
      </w:r>
      <w:r w:rsidR="00286CAA">
        <w:rPr>
          <w:sz w:val="24"/>
          <w:szCs w:val="24"/>
        </w:rPr>
        <w:t> </w:t>
      </w:r>
      <w:r w:rsidRPr="006B3444">
        <w:rPr>
          <w:sz w:val="24"/>
          <w:szCs w:val="24"/>
        </w:rPr>
        <w:t>5</w:t>
      </w:r>
      <w:r w:rsidR="00286CAA">
        <w:rPr>
          <w:sz w:val="24"/>
          <w:szCs w:val="24"/>
        </w:rPr>
        <w:t> </w:t>
      </w:r>
      <w:r w:rsidRPr="006B3444">
        <w:rPr>
          <w:sz w:val="24"/>
          <w:szCs w:val="24"/>
        </w:rPr>
        <w:t>x</w:t>
      </w:r>
      <w:r w:rsidR="00286CAA">
        <w:rPr>
          <w:sz w:val="24"/>
          <w:szCs w:val="24"/>
        </w:rPr>
        <w:t> </w:t>
      </w:r>
      <w:r w:rsidRPr="006B3444">
        <w:rPr>
          <w:sz w:val="24"/>
          <w:szCs w:val="24"/>
        </w:rPr>
        <w:t>ULN 10,4 % hos patienter, der blev behandlet med ivacaftor/tezacaftor/elexacaftor, og 5,0 % hos patienter, der blev behandlet med placebo. De observerede kreatinfosfokinaseforhøjelser var generelt forbigående og asymptomatiske, og mange af dem opstod efter fysisk aktivitet. Ingen af de patienter, der blev behandlet med ivacaftor/tezacaftor/elexacaftor, fik seponeret behandlingen på grund af forhøjet kreatinfosfokinase.</w:t>
      </w:r>
    </w:p>
    <w:p w14:paraId="683625B5" w14:textId="77777777" w:rsidR="006B3444" w:rsidRPr="006B3444" w:rsidRDefault="006B3444" w:rsidP="00B76914">
      <w:pPr>
        <w:ind w:left="851"/>
        <w:rPr>
          <w:sz w:val="24"/>
          <w:szCs w:val="24"/>
        </w:rPr>
      </w:pPr>
    </w:p>
    <w:p w14:paraId="00516ECB" w14:textId="77777777" w:rsidR="006B3444" w:rsidRPr="006B3444" w:rsidRDefault="006B3444" w:rsidP="00B76914">
      <w:pPr>
        <w:ind w:left="851"/>
        <w:rPr>
          <w:i/>
          <w:sz w:val="24"/>
          <w:szCs w:val="24"/>
        </w:rPr>
      </w:pPr>
      <w:r w:rsidRPr="006B3444">
        <w:rPr>
          <w:i/>
          <w:sz w:val="24"/>
          <w:szCs w:val="24"/>
        </w:rPr>
        <w:t>Forhøjet blodtryk</w:t>
      </w:r>
    </w:p>
    <w:p w14:paraId="4F1413A6" w14:textId="77777777" w:rsidR="006B3444" w:rsidRPr="006B3444" w:rsidRDefault="006B3444" w:rsidP="00B76914">
      <w:pPr>
        <w:ind w:left="851"/>
        <w:rPr>
          <w:i/>
          <w:sz w:val="24"/>
          <w:szCs w:val="24"/>
        </w:rPr>
      </w:pPr>
    </w:p>
    <w:p w14:paraId="5042A018" w14:textId="54D8EBEE" w:rsidR="006B3444" w:rsidRPr="006B3444" w:rsidRDefault="006B3444" w:rsidP="00B76914">
      <w:pPr>
        <w:ind w:left="851"/>
        <w:rPr>
          <w:sz w:val="24"/>
          <w:szCs w:val="24"/>
        </w:rPr>
      </w:pPr>
      <w:r w:rsidRPr="006B3444">
        <w:rPr>
          <w:sz w:val="24"/>
          <w:szCs w:val="24"/>
        </w:rPr>
        <w:t xml:space="preserve">I studie 445-102 var den maksimale stigning fra </w:t>
      </w:r>
      <w:r w:rsidRPr="006B3444">
        <w:rPr>
          <w:i/>
          <w:sz w:val="24"/>
          <w:szCs w:val="24"/>
        </w:rPr>
        <w:t xml:space="preserve">baseline </w:t>
      </w:r>
      <w:r w:rsidRPr="006B3444">
        <w:rPr>
          <w:sz w:val="24"/>
          <w:szCs w:val="24"/>
        </w:rPr>
        <w:t>i gennemsnitligt systolisk og diastolisk blodtryk henholdsvis 3,5 mmHg og 1,9 mmHg for patienter, der blev behandlet med ivacaftor/tezacaftor/elexacaftor (</w:t>
      </w:r>
      <w:r w:rsidRPr="006B3444">
        <w:rPr>
          <w:i/>
          <w:sz w:val="24"/>
          <w:szCs w:val="24"/>
        </w:rPr>
        <w:t>baseline</w:t>
      </w:r>
      <w:r w:rsidRPr="006B3444">
        <w:rPr>
          <w:sz w:val="24"/>
          <w:szCs w:val="24"/>
        </w:rPr>
        <w:t>: 113 mmHg systolisk og 69 mmHg diastolisk), og henholdsvis 0,9 mmHg og 0,5 mmHg for patienter, der blev behandlet med placebo (</w:t>
      </w:r>
      <w:r w:rsidRPr="006B3444">
        <w:rPr>
          <w:i/>
          <w:sz w:val="24"/>
          <w:szCs w:val="24"/>
        </w:rPr>
        <w:t>baseline</w:t>
      </w:r>
      <w:r w:rsidRPr="006B3444">
        <w:rPr>
          <w:sz w:val="24"/>
          <w:szCs w:val="24"/>
        </w:rPr>
        <w:t>: 114 mmHg systolisk og 70 mmHg diastolisk).</w:t>
      </w:r>
    </w:p>
    <w:p w14:paraId="2704AA50" w14:textId="77777777" w:rsidR="006B3444" w:rsidRPr="006B3444" w:rsidRDefault="006B3444" w:rsidP="00B76914">
      <w:pPr>
        <w:ind w:left="851"/>
        <w:rPr>
          <w:sz w:val="24"/>
          <w:szCs w:val="24"/>
        </w:rPr>
      </w:pPr>
    </w:p>
    <w:p w14:paraId="7906809F" w14:textId="484810D5" w:rsidR="006B3444" w:rsidRPr="006B3444" w:rsidRDefault="006B3444" w:rsidP="00B76914">
      <w:pPr>
        <w:ind w:left="851"/>
        <w:rPr>
          <w:sz w:val="24"/>
          <w:szCs w:val="24"/>
        </w:rPr>
      </w:pPr>
      <w:r w:rsidRPr="006B3444">
        <w:rPr>
          <w:sz w:val="24"/>
          <w:szCs w:val="24"/>
        </w:rPr>
        <w:t>Andelen af patienter, der havde et systolisk blodtryk &gt; 140 mmHg eller et diastolisk blodtryk &gt; 90 mmHg ved mindst to lejligheder, var henholdsvis 5,0 % og 3,0 % hos patienter, der blev behandlet med ivacaftor/tezacaftor/elexacaftor, sammenlignet med henholdsvis 3,5 % og 3,5 % hos patienter, der blev behandlet med placebo.</w:t>
      </w:r>
    </w:p>
    <w:p w14:paraId="0981517F" w14:textId="61F9511B" w:rsidR="00B67369" w:rsidRDefault="00B67369">
      <w:pPr>
        <w:rPr>
          <w:sz w:val="24"/>
          <w:szCs w:val="24"/>
        </w:rPr>
      </w:pPr>
      <w:r>
        <w:rPr>
          <w:sz w:val="24"/>
          <w:szCs w:val="24"/>
        </w:rPr>
        <w:br w:type="page"/>
      </w:r>
    </w:p>
    <w:p w14:paraId="34A97651" w14:textId="77777777" w:rsidR="006B3444" w:rsidRPr="006B3444" w:rsidRDefault="006B3444" w:rsidP="00B76914">
      <w:pPr>
        <w:ind w:left="851"/>
        <w:rPr>
          <w:sz w:val="24"/>
          <w:szCs w:val="24"/>
        </w:rPr>
      </w:pPr>
    </w:p>
    <w:p w14:paraId="412020D2" w14:textId="77777777" w:rsidR="006B3444" w:rsidRPr="006B3444" w:rsidRDefault="006B3444" w:rsidP="00B76914">
      <w:pPr>
        <w:ind w:left="851"/>
        <w:rPr>
          <w:sz w:val="24"/>
          <w:szCs w:val="24"/>
        </w:rPr>
      </w:pPr>
      <w:r w:rsidRPr="006B3444">
        <w:rPr>
          <w:sz w:val="24"/>
          <w:szCs w:val="24"/>
          <w:u w:val="single"/>
        </w:rPr>
        <w:t>Pædiatrisk population</w:t>
      </w:r>
    </w:p>
    <w:p w14:paraId="0897EE29" w14:textId="77777777" w:rsidR="006B3444" w:rsidRPr="006B3444" w:rsidRDefault="006B3444" w:rsidP="00B76914">
      <w:pPr>
        <w:ind w:left="851"/>
        <w:rPr>
          <w:sz w:val="24"/>
          <w:szCs w:val="24"/>
        </w:rPr>
      </w:pPr>
    </w:p>
    <w:p w14:paraId="47985484" w14:textId="77777777" w:rsidR="006B3444" w:rsidRPr="006B3444" w:rsidRDefault="006B3444" w:rsidP="00B76914">
      <w:pPr>
        <w:ind w:left="851"/>
        <w:rPr>
          <w:i/>
          <w:sz w:val="24"/>
          <w:szCs w:val="24"/>
        </w:rPr>
      </w:pPr>
      <w:r w:rsidRPr="006B3444">
        <w:rPr>
          <w:i/>
          <w:sz w:val="24"/>
          <w:szCs w:val="24"/>
        </w:rPr>
        <w:t>Ivacaftor som monoterapi</w:t>
      </w:r>
    </w:p>
    <w:p w14:paraId="39EF1994" w14:textId="77777777" w:rsidR="006B3444" w:rsidRPr="006B3444" w:rsidRDefault="006B3444" w:rsidP="00B76914">
      <w:pPr>
        <w:ind w:left="851"/>
        <w:rPr>
          <w:i/>
          <w:sz w:val="24"/>
          <w:szCs w:val="24"/>
        </w:rPr>
      </w:pPr>
    </w:p>
    <w:p w14:paraId="24B52380" w14:textId="06C436F2" w:rsidR="006B3444" w:rsidRPr="006B3444" w:rsidRDefault="006B3444" w:rsidP="00B76914">
      <w:pPr>
        <w:ind w:left="851"/>
        <w:rPr>
          <w:sz w:val="24"/>
          <w:szCs w:val="24"/>
        </w:rPr>
      </w:pPr>
      <w:r w:rsidRPr="006B3444">
        <w:rPr>
          <w:sz w:val="24"/>
          <w:szCs w:val="24"/>
        </w:rPr>
        <w:t>Ivacaftors sikkerhed som monoterapi blev evalueret for 43 patienter i alderen 1 måned til under 24 måneder (hvoraf 7 var under 4 måneder gamle), for 34 patienter i alderen 2 til under 6 år, for 61 patienter i alderen 6 til under 12 år og for 94 patienter i alderen 12 år til under 18 år.</w:t>
      </w:r>
    </w:p>
    <w:p w14:paraId="541FAC15" w14:textId="77777777" w:rsidR="006B3444" w:rsidRPr="006B3444" w:rsidRDefault="006B3444" w:rsidP="00B76914">
      <w:pPr>
        <w:ind w:left="851"/>
        <w:rPr>
          <w:sz w:val="24"/>
          <w:szCs w:val="24"/>
        </w:rPr>
      </w:pPr>
    </w:p>
    <w:p w14:paraId="5E197F83" w14:textId="77777777" w:rsidR="006B3444" w:rsidRPr="006B3444" w:rsidRDefault="006B3444" w:rsidP="00B76914">
      <w:pPr>
        <w:ind w:left="851"/>
        <w:rPr>
          <w:sz w:val="24"/>
          <w:szCs w:val="24"/>
        </w:rPr>
      </w:pPr>
      <w:r w:rsidRPr="006B3444">
        <w:rPr>
          <w:sz w:val="24"/>
          <w:szCs w:val="24"/>
        </w:rPr>
        <w:t xml:space="preserve">Sikkerhedsprofilen for ivacaftor (som monoterapi eller i et kombinationsregime) er generelt ensartet blandt pædiatriske patienter og svarer </w:t>
      </w:r>
      <w:proofErr w:type="gramStart"/>
      <w:r w:rsidRPr="006B3444">
        <w:rPr>
          <w:sz w:val="24"/>
          <w:szCs w:val="24"/>
        </w:rPr>
        <w:t>endvidere</w:t>
      </w:r>
      <w:proofErr w:type="gramEnd"/>
      <w:r w:rsidRPr="006B3444">
        <w:rPr>
          <w:sz w:val="24"/>
          <w:szCs w:val="24"/>
        </w:rPr>
        <w:t xml:space="preserve"> til voksne patienter.</w:t>
      </w:r>
    </w:p>
    <w:p w14:paraId="133DB549" w14:textId="77777777" w:rsidR="006B3444" w:rsidRPr="006B3444" w:rsidRDefault="006B3444" w:rsidP="00B76914">
      <w:pPr>
        <w:ind w:left="851"/>
        <w:rPr>
          <w:sz w:val="24"/>
          <w:szCs w:val="24"/>
        </w:rPr>
      </w:pPr>
    </w:p>
    <w:p w14:paraId="41606C30" w14:textId="78824CED" w:rsidR="006B3444" w:rsidRPr="006B3444" w:rsidRDefault="006B3444" w:rsidP="00B76914">
      <w:pPr>
        <w:ind w:left="851"/>
        <w:rPr>
          <w:sz w:val="24"/>
          <w:szCs w:val="24"/>
        </w:rPr>
      </w:pPr>
      <w:r w:rsidRPr="006B3444">
        <w:rPr>
          <w:sz w:val="24"/>
          <w:szCs w:val="24"/>
        </w:rPr>
        <w:t xml:space="preserve">Forekomsten af aminotransferaseforhøjelser (ALAT eller ASAT) observeret i studierne 770-103, 770- 111 og 770-110 (patienter i alderen 6 til under 12 år), studie 770-108 (patienter i alderen 2 til under 6 år) og studie 770-124 (patienter i alderen 1 til under 24 måneder) er angivet i tabel 5. I de placebokontrollerede studier var forekomsten af aminotransferaseforhøjelser tilsvarende for behandling med ivacaftor (15,0 %) og placebo (14,6 %). Maksimale LFT-forhøjelser var generelt højere hos pædiatriske patienter end hos ældre patienter. For alle populationer returnerede maksimale LFT-forhøjelser til </w:t>
      </w:r>
      <w:r w:rsidRPr="006B3444">
        <w:rPr>
          <w:i/>
          <w:sz w:val="24"/>
          <w:szCs w:val="24"/>
        </w:rPr>
        <w:t>baseline</w:t>
      </w:r>
      <w:r w:rsidRPr="006B3444">
        <w:rPr>
          <w:sz w:val="24"/>
          <w:szCs w:val="24"/>
        </w:rPr>
        <w:t xml:space="preserve">-niveauer efter afbrydelse, og i næsten alle de tilfælde, hvor doseringen blev afbrudt som følge af forhøjede aminotransferaser og derefter blev genoptaget, kunne doseringen med ivacaftor genoptages med godt resultat (se pkt. 4.4). Der blev observeret tilfælde, der tydede på positiv </w:t>
      </w:r>
      <w:r w:rsidRPr="006B3444">
        <w:rPr>
          <w:i/>
          <w:iCs/>
          <w:sz w:val="24"/>
          <w:szCs w:val="24"/>
        </w:rPr>
        <w:t>rechallenge</w:t>
      </w:r>
      <w:r w:rsidRPr="006B3444">
        <w:rPr>
          <w:sz w:val="24"/>
          <w:szCs w:val="24"/>
        </w:rPr>
        <w:t>.</w:t>
      </w:r>
    </w:p>
    <w:p w14:paraId="2B234FE5" w14:textId="77777777" w:rsidR="006B3444" w:rsidRPr="006B3444" w:rsidRDefault="006B3444" w:rsidP="00B76914">
      <w:pPr>
        <w:ind w:left="851"/>
        <w:rPr>
          <w:sz w:val="24"/>
          <w:szCs w:val="24"/>
        </w:rPr>
      </w:pPr>
    </w:p>
    <w:p w14:paraId="04BCD199" w14:textId="77777777" w:rsidR="006B3444" w:rsidRPr="006B3444" w:rsidRDefault="006B3444" w:rsidP="00B76914">
      <w:pPr>
        <w:ind w:left="851"/>
        <w:rPr>
          <w:sz w:val="24"/>
          <w:szCs w:val="24"/>
        </w:rPr>
      </w:pPr>
      <w:r w:rsidRPr="006B3444">
        <w:rPr>
          <w:sz w:val="24"/>
          <w:szCs w:val="24"/>
        </w:rPr>
        <w:t>I studie 770-108 blev ivacaftor seponeret permanent hos én patient. I studie 770-124 var der i patientkohorten i alderen 1 måned til under 4 måneder en patient på 1 måned (14,3 %) med aminotransferaseværdierne ALAT &gt; 8 × ULN og ASAT &gt; 3 til ≤ 5 × ULN, som medførte seponering af behandlingen med ivacaftor (se pkt. 4.4 for behandling af forhøjede aminotransferaser).</w:t>
      </w:r>
    </w:p>
    <w:p w14:paraId="5AC1800B" w14:textId="77777777" w:rsidR="006B3444" w:rsidRPr="006B3444" w:rsidRDefault="006B3444" w:rsidP="00B76914">
      <w:pPr>
        <w:ind w:left="851"/>
        <w:rPr>
          <w:sz w:val="24"/>
          <w:szCs w:val="24"/>
        </w:rPr>
      </w:pPr>
    </w:p>
    <w:p w14:paraId="4C5A1F4E" w14:textId="77777777" w:rsidR="006B3444" w:rsidRPr="006B3444" w:rsidRDefault="006B3444" w:rsidP="006B3444">
      <w:pPr>
        <w:tabs>
          <w:tab w:val="left" w:pos="851"/>
        </w:tabs>
        <w:ind w:left="851"/>
        <w:rPr>
          <w:b/>
          <w:bCs/>
          <w:sz w:val="24"/>
          <w:szCs w:val="24"/>
        </w:rPr>
      </w:pPr>
      <w:r w:rsidRPr="006B3444">
        <w:rPr>
          <w:b/>
          <w:bCs/>
          <w:sz w:val="24"/>
          <w:szCs w:val="24"/>
        </w:rPr>
        <w:t>Tabel 5: Aminotransferaseforhøjelser hos patienter i alderen 1 måned til &lt; 12 år behandlet med ivacaftor som monoterapi</w:t>
      </w:r>
    </w:p>
    <w:p w14:paraId="386FD019" w14:textId="77777777" w:rsidR="006B3444" w:rsidRPr="006B3444" w:rsidRDefault="006B3444" w:rsidP="006B3444">
      <w:pPr>
        <w:tabs>
          <w:tab w:val="left" w:pos="851"/>
        </w:tabs>
        <w:ind w:left="851"/>
        <w:rPr>
          <w:b/>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3"/>
        <w:gridCol w:w="993"/>
        <w:gridCol w:w="1619"/>
        <w:gridCol w:w="1620"/>
        <w:gridCol w:w="1620"/>
      </w:tblGrid>
      <w:tr w:rsidR="006B3444" w:rsidRPr="006B3444" w14:paraId="4F5BBC42" w14:textId="77777777" w:rsidTr="00B76914">
        <w:trPr>
          <w:trHeight w:val="577"/>
        </w:trPr>
        <w:tc>
          <w:tcPr>
            <w:tcW w:w="2423" w:type="dxa"/>
            <w:tcBorders>
              <w:top w:val="single" w:sz="4" w:space="0" w:color="000000"/>
              <w:left w:val="single" w:sz="4" w:space="0" w:color="000000"/>
              <w:bottom w:val="single" w:sz="4" w:space="0" w:color="000000"/>
              <w:right w:val="single" w:sz="4" w:space="0" w:color="000000"/>
            </w:tcBorders>
            <w:hideMark/>
          </w:tcPr>
          <w:p w14:paraId="348F23FA" w14:textId="77777777" w:rsidR="006B3444" w:rsidRPr="006B3444" w:rsidRDefault="006B3444" w:rsidP="00B76914">
            <w:pPr>
              <w:ind w:left="133"/>
              <w:rPr>
                <w:b/>
                <w:sz w:val="24"/>
                <w:szCs w:val="24"/>
                <w:lang w:val="en-US"/>
              </w:rPr>
            </w:pPr>
            <w:r w:rsidRPr="006B3444">
              <w:rPr>
                <w:b/>
                <w:sz w:val="24"/>
                <w:szCs w:val="24"/>
                <w:lang w:val="en-US"/>
              </w:rPr>
              <w:t>Aldersgruppe</w:t>
            </w:r>
          </w:p>
        </w:tc>
        <w:tc>
          <w:tcPr>
            <w:tcW w:w="993" w:type="dxa"/>
            <w:tcBorders>
              <w:top w:val="single" w:sz="4" w:space="0" w:color="000000"/>
              <w:left w:val="single" w:sz="4" w:space="0" w:color="000000"/>
              <w:bottom w:val="single" w:sz="4" w:space="0" w:color="000000"/>
              <w:right w:val="single" w:sz="4" w:space="0" w:color="000000"/>
            </w:tcBorders>
            <w:hideMark/>
          </w:tcPr>
          <w:p w14:paraId="7263FFF0" w14:textId="77777777" w:rsidR="006B3444" w:rsidRPr="006B3444" w:rsidRDefault="006B3444" w:rsidP="00B67369">
            <w:pPr>
              <w:ind w:left="133"/>
              <w:jc w:val="center"/>
              <w:rPr>
                <w:b/>
                <w:sz w:val="24"/>
                <w:szCs w:val="24"/>
                <w:lang w:val="en-US"/>
              </w:rPr>
            </w:pPr>
            <w:r w:rsidRPr="006B3444">
              <w:rPr>
                <w:b/>
                <w:sz w:val="24"/>
                <w:szCs w:val="24"/>
                <w:lang w:val="en-US"/>
              </w:rPr>
              <w:t>n</w:t>
            </w:r>
          </w:p>
        </w:tc>
        <w:tc>
          <w:tcPr>
            <w:tcW w:w="1619" w:type="dxa"/>
            <w:tcBorders>
              <w:top w:val="single" w:sz="4" w:space="0" w:color="000000"/>
              <w:left w:val="single" w:sz="4" w:space="0" w:color="000000"/>
              <w:bottom w:val="single" w:sz="4" w:space="0" w:color="000000"/>
              <w:right w:val="single" w:sz="4" w:space="0" w:color="000000"/>
            </w:tcBorders>
            <w:hideMark/>
          </w:tcPr>
          <w:p w14:paraId="015E9D64" w14:textId="77777777" w:rsidR="006B3444" w:rsidRPr="006B3444" w:rsidRDefault="006B3444" w:rsidP="00B67369">
            <w:pPr>
              <w:ind w:left="133"/>
              <w:jc w:val="center"/>
              <w:rPr>
                <w:b/>
                <w:sz w:val="24"/>
                <w:szCs w:val="24"/>
                <w:lang w:val="en-US"/>
              </w:rPr>
            </w:pPr>
            <w:r w:rsidRPr="006B3444">
              <w:rPr>
                <w:b/>
                <w:sz w:val="24"/>
                <w:szCs w:val="24"/>
                <w:lang w:val="en-US"/>
              </w:rPr>
              <w:t>% patienter</w:t>
            </w:r>
          </w:p>
          <w:p w14:paraId="25C8BAE7" w14:textId="77777777" w:rsidR="006B3444" w:rsidRPr="006B3444" w:rsidRDefault="006B3444" w:rsidP="00B67369">
            <w:pPr>
              <w:ind w:left="133"/>
              <w:jc w:val="center"/>
              <w:rPr>
                <w:b/>
                <w:sz w:val="24"/>
                <w:szCs w:val="24"/>
                <w:lang w:val="en-US"/>
              </w:rPr>
            </w:pPr>
            <w:r w:rsidRPr="006B3444">
              <w:rPr>
                <w:b/>
                <w:sz w:val="24"/>
                <w:szCs w:val="24"/>
                <w:lang w:val="en-US"/>
              </w:rPr>
              <w:t xml:space="preserve">&gt; 3 </w:t>
            </w:r>
            <w:r w:rsidRPr="006B3444">
              <w:rPr>
                <w:sz w:val="24"/>
                <w:szCs w:val="24"/>
                <w:lang w:val="en-US"/>
              </w:rPr>
              <w:t xml:space="preserve">× </w:t>
            </w:r>
            <w:r w:rsidRPr="006B3444">
              <w:rPr>
                <w:b/>
                <w:sz w:val="24"/>
                <w:szCs w:val="24"/>
                <w:lang w:val="en-US"/>
              </w:rPr>
              <w:t>ULN</w:t>
            </w:r>
          </w:p>
        </w:tc>
        <w:tc>
          <w:tcPr>
            <w:tcW w:w="1620" w:type="dxa"/>
            <w:tcBorders>
              <w:top w:val="single" w:sz="4" w:space="0" w:color="000000"/>
              <w:left w:val="single" w:sz="4" w:space="0" w:color="000000"/>
              <w:bottom w:val="single" w:sz="4" w:space="0" w:color="000000"/>
              <w:right w:val="single" w:sz="4" w:space="0" w:color="000000"/>
            </w:tcBorders>
            <w:hideMark/>
          </w:tcPr>
          <w:p w14:paraId="20B704E4" w14:textId="77777777" w:rsidR="006B3444" w:rsidRPr="006B3444" w:rsidRDefault="006B3444" w:rsidP="00B67369">
            <w:pPr>
              <w:ind w:left="133"/>
              <w:jc w:val="center"/>
              <w:rPr>
                <w:b/>
                <w:sz w:val="24"/>
                <w:szCs w:val="24"/>
                <w:lang w:val="en-US"/>
              </w:rPr>
            </w:pPr>
            <w:r w:rsidRPr="006B3444">
              <w:rPr>
                <w:b/>
                <w:sz w:val="24"/>
                <w:szCs w:val="24"/>
                <w:lang w:val="en-US"/>
              </w:rPr>
              <w:t>% patienter</w:t>
            </w:r>
          </w:p>
          <w:p w14:paraId="28435D0F" w14:textId="77777777" w:rsidR="006B3444" w:rsidRPr="006B3444" w:rsidRDefault="006B3444" w:rsidP="00B67369">
            <w:pPr>
              <w:ind w:left="133"/>
              <w:jc w:val="center"/>
              <w:rPr>
                <w:b/>
                <w:sz w:val="24"/>
                <w:szCs w:val="24"/>
                <w:lang w:val="en-US"/>
              </w:rPr>
            </w:pPr>
            <w:r w:rsidRPr="006B3444">
              <w:rPr>
                <w:b/>
                <w:sz w:val="24"/>
                <w:szCs w:val="24"/>
                <w:lang w:val="en-US"/>
              </w:rPr>
              <w:t xml:space="preserve">&gt; 5 </w:t>
            </w:r>
            <w:r w:rsidRPr="006B3444">
              <w:rPr>
                <w:sz w:val="24"/>
                <w:szCs w:val="24"/>
                <w:lang w:val="en-US"/>
              </w:rPr>
              <w:t xml:space="preserve">× </w:t>
            </w:r>
            <w:r w:rsidRPr="006B3444">
              <w:rPr>
                <w:b/>
                <w:sz w:val="24"/>
                <w:szCs w:val="24"/>
                <w:lang w:val="en-US"/>
              </w:rPr>
              <w:t>ULN</w:t>
            </w:r>
          </w:p>
        </w:tc>
        <w:tc>
          <w:tcPr>
            <w:tcW w:w="1620" w:type="dxa"/>
            <w:tcBorders>
              <w:top w:val="single" w:sz="4" w:space="0" w:color="000000"/>
              <w:left w:val="single" w:sz="4" w:space="0" w:color="000000"/>
              <w:bottom w:val="single" w:sz="4" w:space="0" w:color="000000"/>
              <w:right w:val="single" w:sz="4" w:space="0" w:color="000000"/>
            </w:tcBorders>
            <w:hideMark/>
          </w:tcPr>
          <w:p w14:paraId="3B55C973" w14:textId="77777777" w:rsidR="006B3444" w:rsidRPr="006B3444" w:rsidRDefault="006B3444" w:rsidP="00B67369">
            <w:pPr>
              <w:ind w:left="133"/>
              <w:jc w:val="center"/>
              <w:rPr>
                <w:b/>
                <w:sz w:val="24"/>
                <w:szCs w:val="24"/>
                <w:lang w:val="en-US"/>
              </w:rPr>
            </w:pPr>
            <w:r w:rsidRPr="006B3444">
              <w:rPr>
                <w:b/>
                <w:sz w:val="24"/>
                <w:szCs w:val="24"/>
                <w:lang w:val="en-US"/>
              </w:rPr>
              <w:t>% patienter</w:t>
            </w:r>
          </w:p>
          <w:p w14:paraId="651E1D6D" w14:textId="77777777" w:rsidR="006B3444" w:rsidRPr="006B3444" w:rsidRDefault="006B3444" w:rsidP="00B67369">
            <w:pPr>
              <w:ind w:left="133"/>
              <w:jc w:val="center"/>
              <w:rPr>
                <w:b/>
                <w:sz w:val="24"/>
                <w:szCs w:val="24"/>
                <w:lang w:val="en-US"/>
              </w:rPr>
            </w:pPr>
            <w:r w:rsidRPr="006B3444">
              <w:rPr>
                <w:b/>
                <w:sz w:val="24"/>
                <w:szCs w:val="24"/>
                <w:lang w:val="en-US"/>
              </w:rPr>
              <w:t xml:space="preserve">&gt; 8 </w:t>
            </w:r>
            <w:r w:rsidRPr="006B3444">
              <w:rPr>
                <w:sz w:val="24"/>
                <w:szCs w:val="24"/>
                <w:lang w:val="en-US"/>
              </w:rPr>
              <w:t xml:space="preserve">× </w:t>
            </w:r>
            <w:r w:rsidRPr="006B3444">
              <w:rPr>
                <w:b/>
                <w:sz w:val="24"/>
                <w:szCs w:val="24"/>
                <w:lang w:val="en-US"/>
              </w:rPr>
              <w:t>ULN</w:t>
            </w:r>
          </w:p>
        </w:tc>
      </w:tr>
      <w:tr w:rsidR="006B3444" w:rsidRPr="006B3444" w14:paraId="08FB12CE" w14:textId="77777777" w:rsidTr="00B76914">
        <w:trPr>
          <w:trHeight w:val="287"/>
        </w:trPr>
        <w:tc>
          <w:tcPr>
            <w:tcW w:w="2423" w:type="dxa"/>
            <w:tcBorders>
              <w:top w:val="single" w:sz="4" w:space="0" w:color="000000"/>
              <w:left w:val="single" w:sz="4" w:space="0" w:color="000000"/>
              <w:bottom w:val="single" w:sz="4" w:space="0" w:color="000000"/>
              <w:right w:val="single" w:sz="4" w:space="0" w:color="000000"/>
            </w:tcBorders>
            <w:hideMark/>
          </w:tcPr>
          <w:p w14:paraId="0D520BC4" w14:textId="77777777" w:rsidR="006B3444" w:rsidRPr="006B3444" w:rsidRDefault="006B3444" w:rsidP="00B76914">
            <w:pPr>
              <w:ind w:left="133"/>
              <w:rPr>
                <w:sz w:val="24"/>
                <w:szCs w:val="24"/>
                <w:lang w:val="en-US"/>
              </w:rPr>
            </w:pPr>
            <w:r w:rsidRPr="006B3444">
              <w:rPr>
                <w:sz w:val="24"/>
                <w:szCs w:val="24"/>
                <w:lang w:val="en-US"/>
              </w:rPr>
              <w:t xml:space="preserve">6 </w:t>
            </w:r>
            <w:proofErr w:type="gramStart"/>
            <w:r w:rsidRPr="006B3444">
              <w:rPr>
                <w:sz w:val="24"/>
                <w:szCs w:val="24"/>
                <w:lang w:val="en-US"/>
              </w:rPr>
              <w:t>til</w:t>
            </w:r>
            <w:proofErr w:type="gramEnd"/>
            <w:r w:rsidRPr="006B3444">
              <w:rPr>
                <w:sz w:val="24"/>
                <w:szCs w:val="24"/>
                <w:lang w:val="en-US"/>
              </w:rPr>
              <w:t xml:space="preserve"> &lt; 12 år</w:t>
            </w:r>
          </w:p>
        </w:tc>
        <w:tc>
          <w:tcPr>
            <w:tcW w:w="993" w:type="dxa"/>
            <w:tcBorders>
              <w:top w:val="single" w:sz="4" w:space="0" w:color="000000"/>
              <w:left w:val="single" w:sz="4" w:space="0" w:color="000000"/>
              <w:bottom w:val="single" w:sz="4" w:space="0" w:color="000000"/>
              <w:right w:val="single" w:sz="4" w:space="0" w:color="000000"/>
            </w:tcBorders>
            <w:hideMark/>
          </w:tcPr>
          <w:p w14:paraId="1F9A253D" w14:textId="77777777" w:rsidR="006B3444" w:rsidRPr="006B3444" w:rsidRDefault="006B3444" w:rsidP="00B67369">
            <w:pPr>
              <w:ind w:left="133"/>
              <w:jc w:val="center"/>
              <w:rPr>
                <w:sz w:val="24"/>
                <w:szCs w:val="24"/>
                <w:lang w:val="en-US"/>
              </w:rPr>
            </w:pPr>
            <w:r w:rsidRPr="006B3444">
              <w:rPr>
                <w:sz w:val="24"/>
                <w:szCs w:val="24"/>
                <w:lang w:val="en-US"/>
              </w:rPr>
              <w:t>40</w:t>
            </w:r>
          </w:p>
        </w:tc>
        <w:tc>
          <w:tcPr>
            <w:tcW w:w="1619" w:type="dxa"/>
            <w:tcBorders>
              <w:top w:val="single" w:sz="4" w:space="0" w:color="000000"/>
              <w:left w:val="single" w:sz="4" w:space="0" w:color="000000"/>
              <w:bottom w:val="single" w:sz="4" w:space="0" w:color="000000"/>
              <w:right w:val="single" w:sz="4" w:space="0" w:color="000000"/>
            </w:tcBorders>
            <w:hideMark/>
          </w:tcPr>
          <w:p w14:paraId="77935020" w14:textId="77777777" w:rsidR="006B3444" w:rsidRPr="006B3444" w:rsidRDefault="006B3444" w:rsidP="00B67369">
            <w:pPr>
              <w:ind w:left="133"/>
              <w:jc w:val="center"/>
              <w:rPr>
                <w:sz w:val="24"/>
                <w:szCs w:val="24"/>
                <w:lang w:val="en-US"/>
              </w:rPr>
            </w:pPr>
            <w:r w:rsidRPr="006B3444">
              <w:rPr>
                <w:sz w:val="24"/>
                <w:szCs w:val="24"/>
                <w:lang w:val="en-US"/>
              </w:rPr>
              <w:t>15,0 % (6)</w:t>
            </w:r>
          </w:p>
        </w:tc>
        <w:tc>
          <w:tcPr>
            <w:tcW w:w="1620" w:type="dxa"/>
            <w:tcBorders>
              <w:top w:val="single" w:sz="4" w:space="0" w:color="000000"/>
              <w:left w:val="single" w:sz="4" w:space="0" w:color="000000"/>
              <w:bottom w:val="single" w:sz="4" w:space="0" w:color="000000"/>
              <w:right w:val="single" w:sz="4" w:space="0" w:color="000000"/>
            </w:tcBorders>
            <w:hideMark/>
          </w:tcPr>
          <w:p w14:paraId="6975D9F4" w14:textId="77777777" w:rsidR="006B3444" w:rsidRPr="006B3444" w:rsidRDefault="006B3444" w:rsidP="00B67369">
            <w:pPr>
              <w:ind w:left="133"/>
              <w:jc w:val="center"/>
              <w:rPr>
                <w:sz w:val="24"/>
                <w:szCs w:val="24"/>
                <w:lang w:val="en-US"/>
              </w:rPr>
            </w:pPr>
            <w:r w:rsidRPr="006B3444">
              <w:rPr>
                <w:sz w:val="24"/>
                <w:szCs w:val="24"/>
                <w:lang w:val="en-US"/>
              </w:rPr>
              <w:t>2,5 % (1)</w:t>
            </w:r>
          </w:p>
        </w:tc>
        <w:tc>
          <w:tcPr>
            <w:tcW w:w="1620" w:type="dxa"/>
            <w:tcBorders>
              <w:top w:val="single" w:sz="4" w:space="0" w:color="000000"/>
              <w:left w:val="single" w:sz="4" w:space="0" w:color="000000"/>
              <w:bottom w:val="single" w:sz="4" w:space="0" w:color="000000"/>
              <w:right w:val="single" w:sz="4" w:space="0" w:color="000000"/>
            </w:tcBorders>
            <w:hideMark/>
          </w:tcPr>
          <w:p w14:paraId="69374911" w14:textId="77777777" w:rsidR="006B3444" w:rsidRPr="006B3444" w:rsidRDefault="006B3444" w:rsidP="00B67369">
            <w:pPr>
              <w:ind w:left="133"/>
              <w:jc w:val="center"/>
              <w:rPr>
                <w:sz w:val="24"/>
                <w:szCs w:val="24"/>
                <w:lang w:val="en-US"/>
              </w:rPr>
            </w:pPr>
            <w:r w:rsidRPr="006B3444">
              <w:rPr>
                <w:sz w:val="24"/>
                <w:szCs w:val="24"/>
                <w:lang w:val="en-US"/>
              </w:rPr>
              <w:t>2,5 % (1)</w:t>
            </w:r>
          </w:p>
        </w:tc>
      </w:tr>
      <w:tr w:rsidR="006B3444" w:rsidRPr="006B3444" w14:paraId="0065CDBB" w14:textId="77777777" w:rsidTr="00B76914">
        <w:trPr>
          <w:trHeight w:val="286"/>
        </w:trPr>
        <w:tc>
          <w:tcPr>
            <w:tcW w:w="2423" w:type="dxa"/>
            <w:tcBorders>
              <w:top w:val="single" w:sz="4" w:space="0" w:color="000000"/>
              <w:left w:val="single" w:sz="4" w:space="0" w:color="000000"/>
              <w:bottom w:val="single" w:sz="4" w:space="0" w:color="000000"/>
              <w:right w:val="single" w:sz="4" w:space="0" w:color="000000"/>
            </w:tcBorders>
            <w:hideMark/>
          </w:tcPr>
          <w:p w14:paraId="230D2574" w14:textId="77777777" w:rsidR="006B3444" w:rsidRPr="006B3444" w:rsidRDefault="006B3444" w:rsidP="00B76914">
            <w:pPr>
              <w:ind w:left="133"/>
              <w:rPr>
                <w:sz w:val="24"/>
                <w:szCs w:val="24"/>
                <w:lang w:val="en-US"/>
              </w:rPr>
            </w:pPr>
            <w:r w:rsidRPr="006B3444">
              <w:rPr>
                <w:sz w:val="24"/>
                <w:szCs w:val="24"/>
                <w:lang w:val="en-US"/>
              </w:rPr>
              <w:t xml:space="preserve">2 </w:t>
            </w:r>
            <w:proofErr w:type="gramStart"/>
            <w:r w:rsidRPr="006B3444">
              <w:rPr>
                <w:sz w:val="24"/>
                <w:szCs w:val="24"/>
                <w:lang w:val="en-US"/>
              </w:rPr>
              <w:t>til</w:t>
            </w:r>
            <w:proofErr w:type="gramEnd"/>
            <w:r w:rsidRPr="006B3444">
              <w:rPr>
                <w:sz w:val="24"/>
                <w:szCs w:val="24"/>
                <w:lang w:val="en-US"/>
              </w:rPr>
              <w:t xml:space="preserve"> &lt; 6 år</w:t>
            </w:r>
          </w:p>
        </w:tc>
        <w:tc>
          <w:tcPr>
            <w:tcW w:w="993" w:type="dxa"/>
            <w:tcBorders>
              <w:top w:val="single" w:sz="4" w:space="0" w:color="000000"/>
              <w:left w:val="single" w:sz="4" w:space="0" w:color="000000"/>
              <w:bottom w:val="single" w:sz="4" w:space="0" w:color="000000"/>
              <w:right w:val="single" w:sz="4" w:space="0" w:color="000000"/>
            </w:tcBorders>
            <w:hideMark/>
          </w:tcPr>
          <w:p w14:paraId="4A62AAF5" w14:textId="77777777" w:rsidR="006B3444" w:rsidRPr="006B3444" w:rsidRDefault="006B3444" w:rsidP="00B67369">
            <w:pPr>
              <w:ind w:left="133"/>
              <w:jc w:val="center"/>
              <w:rPr>
                <w:sz w:val="24"/>
                <w:szCs w:val="24"/>
                <w:lang w:val="en-US"/>
              </w:rPr>
            </w:pPr>
            <w:r w:rsidRPr="006B3444">
              <w:rPr>
                <w:sz w:val="24"/>
                <w:szCs w:val="24"/>
                <w:lang w:val="en-US"/>
              </w:rPr>
              <w:t>34</w:t>
            </w:r>
          </w:p>
        </w:tc>
        <w:tc>
          <w:tcPr>
            <w:tcW w:w="1619" w:type="dxa"/>
            <w:tcBorders>
              <w:top w:val="single" w:sz="4" w:space="0" w:color="000000"/>
              <w:left w:val="single" w:sz="4" w:space="0" w:color="000000"/>
              <w:bottom w:val="single" w:sz="4" w:space="0" w:color="000000"/>
              <w:right w:val="single" w:sz="4" w:space="0" w:color="000000"/>
            </w:tcBorders>
            <w:hideMark/>
          </w:tcPr>
          <w:p w14:paraId="46454E59" w14:textId="77777777" w:rsidR="006B3444" w:rsidRPr="006B3444" w:rsidRDefault="006B3444" w:rsidP="00B67369">
            <w:pPr>
              <w:ind w:left="133"/>
              <w:jc w:val="center"/>
              <w:rPr>
                <w:sz w:val="24"/>
                <w:szCs w:val="24"/>
                <w:lang w:val="en-US"/>
              </w:rPr>
            </w:pPr>
            <w:r w:rsidRPr="006B3444">
              <w:rPr>
                <w:sz w:val="24"/>
                <w:szCs w:val="24"/>
                <w:lang w:val="en-US"/>
              </w:rPr>
              <w:t>14,7 % (5)</w:t>
            </w:r>
          </w:p>
        </w:tc>
        <w:tc>
          <w:tcPr>
            <w:tcW w:w="1620" w:type="dxa"/>
            <w:tcBorders>
              <w:top w:val="single" w:sz="4" w:space="0" w:color="000000"/>
              <w:left w:val="single" w:sz="4" w:space="0" w:color="000000"/>
              <w:bottom w:val="single" w:sz="4" w:space="0" w:color="000000"/>
              <w:right w:val="single" w:sz="4" w:space="0" w:color="000000"/>
            </w:tcBorders>
            <w:hideMark/>
          </w:tcPr>
          <w:p w14:paraId="6BDB81E6" w14:textId="77777777" w:rsidR="006B3444" w:rsidRPr="006B3444" w:rsidRDefault="006B3444" w:rsidP="00B67369">
            <w:pPr>
              <w:ind w:left="133"/>
              <w:jc w:val="center"/>
              <w:rPr>
                <w:sz w:val="24"/>
                <w:szCs w:val="24"/>
                <w:lang w:val="en-US"/>
              </w:rPr>
            </w:pPr>
            <w:r w:rsidRPr="006B3444">
              <w:rPr>
                <w:sz w:val="24"/>
                <w:szCs w:val="24"/>
                <w:lang w:val="en-US"/>
              </w:rPr>
              <w:t>14,7 % (5)</w:t>
            </w:r>
          </w:p>
        </w:tc>
        <w:tc>
          <w:tcPr>
            <w:tcW w:w="1620" w:type="dxa"/>
            <w:tcBorders>
              <w:top w:val="single" w:sz="4" w:space="0" w:color="000000"/>
              <w:left w:val="single" w:sz="4" w:space="0" w:color="000000"/>
              <w:bottom w:val="single" w:sz="4" w:space="0" w:color="000000"/>
              <w:right w:val="single" w:sz="4" w:space="0" w:color="000000"/>
            </w:tcBorders>
            <w:hideMark/>
          </w:tcPr>
          <w:p w14:paraId="5F133F07" w14:textId="77777777" w:rsidR="006B3444" w:rsidRPr="006B3444" w:rsidRDefault="006B3444" w:rsidP="00B67369">
            <w:pPr>
              <w:ind w:left="133"/>
              <w:jc w:val="center"/>
              <w:rPr>
                <w:sz w:val="24"/>
                <w:szCs w:val="24"/>
                <w:lang w:val="en-US"/>
              </w:rPr>
            </w:pPr>
            <w:r w:rsidRPr="006B3444">
              <w:rPr>
                <w:sz w:val="24"/>
                <w:szCs w:val="24"/>
                <w:lang w:val="en-US"/>
              </w:rPr>
              <w:t>14,7 % (5)</w:t>
            </w:r>
          </w:p>
        </w:tc>
      </w:tr>
      <w:tr w:rsidR="006B3444" w:rsidRPr="006B3444" w14:paraId="59C9D6A3" w14:textId="77777777" w:rsidTr="00B76914">
        <w:trPr>
          <w:trHeight w:val="287"/>
        </w:trPr>
        <w:tc>
          <w:tcPr>
            <w:tcW w:w="2423" w:type="dxa"/>
            <w:tcBorders>
              <w:top w:val="single" w:sz="4" w:space="0" w:color="000000"/>
              <w:left w:val="single" w:sz="4" w:space="0" w:color="000000"/>
              <w:bottom w:val="single" w:sz="4" w:space="0" w:color="000000"/>
              <w:right w:val="single" w:sz="4" w:space="0" w:color="000000"/>
            </w:tcBorders>
            <w:hideMark/>
          </w:tcPr>
          <w:p w14:paraId="5C923EC5" w14:textId="77777777" w:rsidR="006B3444" w:rsidRPr="006B3444" w:rsidRDefault="006B3444" w:rsidP="00B76914">
            <w:pPr>
              <w:ind w:left="133"/>
              <w:rPr>
                <w:sz w:val="24"/>
                <w:szCs w:val="24"/>
                <w:lang w:val="en-US"/>
              </w:rPr>
            </w:pPr>
            <w:r w:rsidRPr="006B3444">
              <w:rPr>
                <w:sz w:val="24"/>
                <w:szCs w:val="24"/>
                <w:lang w:val="en-US"/>
              </w:rPr>
              <w:t xml:space="preserve">12 </w:t>
            </w:r>
            <w:proofErr w:type="gramStart"/>
            <w:r w:rsidRPr="006B3444">
              <w:rPr>
                <w:sz w:val="24"/>
                <w:szCs w:val="24"/>
                <w:lang w:val="en-US"/>
              </w:rPr>
              <w:t>til</w:t>
            </w:r>
            <w:proofErr w:type="gramEnd"/>
            <w:r w:rsidRPr="006B3444">
              <w:rPr>
                <w:sz w:val="24"/>
                <w:szCs w:val="24"/>
                <w:lang w:val="en-US"/>
              </w:rPr>
              <w:t xml:space="preserve"> &lt; 24 måneder</w:t>
            </w:r>
          </w:p>
        </w:tc>
        <w:tc>
          <w:tcPr>
            <w:tcW w:w="993" w:type="dxa"/>
            <w:tcBorders>
              <w:top w:val="single" w:sz="4" w:space="0" w:color="000000"/>
              <w:left w:val="single" w:sz="4" w:space="0" w:color="000000"/>
              <w:bottom w:val="single" w:sz="4" w:space="0" w:color="000000"/>
              <w:right w:val="single" w:sz="4" w:space="0" w:color="000000"/>
            </w:tcBorders>
            <w:hideMark/>
          </w:tcPr>
          <w:p w14:paraId="717F027A" w14:textId="77777777" w:rsidR="006B3444" w:rsidRPr="006B3444" w:rsidRDefault="006B3444" w:rsidP="00B67369">
            <w:pPr>
              <w:ind w:left="133"/>
              <w:jc w:val="center"/>
              <w:rPr>
                <w:sz w:val="24"/>
                <w:szCs w:val="24"/>
                <w:lang w:val="en-US"/>
              </w:rPr>
            </w:pPr>
            <w:r w:rsidRPr="006B3444">
              <w:rPr>
                <w:sz w:val="24"/>
                <w:szCs w:val="24"/>
                <w:lang w:val="en-US"/>
              </w:rPr>
              <w:t>18</w:t>
            </w:r>
          </w:p>
        </w:tc>
        <w:tc>
          <w:tcPr>
            <w:tcW w:w="1619" w:type="dxa"/>
            <w:tcBorders>
              <w:top w:val="single" w:sz="4" w:space="0" w:color="000000"/>
              <w:left w:val="single" w:sz="4" w:space="0" w:color="000000"/>
              <w:bottom w:val="single" w:sz="4" w:space="0" w:color="000000"/>
              <w:right w:val="single" w:sz="4" w:space="0" w:color="000000"/>
            </w:tcBorders>
            <w:hideMark/>
          </w:tcPr>
          <w:p w14:paraId="308EF4AA" w14:textId="77777777" w:rsidR="006B3444" w:rsidRPr="006B3444" w:rsidRDefault="006B3444" w:rsidP="00B67369">
            <w:pPr>
              <w:ind w:left="133"/>
              <w:jc w:val="center"/>
              <w:rPr>
                <w:sz w:val="24"/>
                <w:szCs w:val="24"/>
                <w:lang w:val="en-US"/>
              </w:rPr>
            </w:pPr>
            <w:r w:rsidRPr="006B3444">
              <w:rPr>
                <w:sz w:val="24"/>
                <w:szCs w:val="24"/>
                <w:lang w:val="en-US"/>
              </w:rPr>
              <w:t>27,8 % (5)</w:t>
            </w:r>
          </w:p>
        </w:tc>
        <w:tc>
          <w:tcPr>
            <w:tcW w:w="1620" w:type="dxa"/>
            <w:tcBorders>
              <w:top w:val="single" w:sz="4" w:space="0" w:color="000000"/>
              <w:left w:val="single" w:sz="4" w:space="0" w:color="000000"/>
              <w:bottom w:val="single" w:sz="4" w:space="0" w:color="000000"/>
              <w:right w:val="single" w:sz="4" w:space="0" w:color="000000"/>
            </w:tcBorders>
            <w:hideMark/>
          </w:tcPr>
          <w:p w14:paraId="774CD86C" w14:textId="77777777" w:rsidR="006B3444" w:rsidRPr="006B3444" w:rsidRDefault="006B3444" w:rsidP="00B67369">
            <w:pPr>
              <w:ind w:left="133"/>
              <w:jc w:val="center"/>
              <w:rPr>
                <w:sz w:val="24"/>
                <w:szCs w:val="24"/>
                <w:lang w:val="en-US"/>
              </w:rPr>
            </w:pPr>
            <w:r w:rsidRPr="006B3444">
              <w:rPr>
                <w:sz w:val="24"/>
                <w:szCs w:val="24"/>
                <w:lang w:val="en-US"/>
              </w:rPr>
              <w:t>11,1 % (2)</w:t>
            </w:r>
          </w:p>
        </w:tc>
        <w:tc>
          <w:tcPr>
            <w:tcW w:w="1620" w:type="dxa"/>
            <w:tcBorders>
              <w:top w:val="single" w:sz="4" w:space="0" w:color="000000"/>
              <w:left w:val="single" w:sz="4" w:space="0" w:color="000000"/>
              <w:bottom w:val="single" w:sz="4" w:space="0" w:color="000000"/>
              <w:right w:val="single" w:sz="4" w:space="0" w:color="000000"/>
            </w:tcBorders>
            <w:hideMark/>
          </w:tcPr>
          <w:p w14:paraId="5A17B00D" w14:textId="77777777" w:rsidR="006B3444" w:rsidRPr="006B3444" w:rsidRDefault="006B3444" w:rsidP="00B67369">
            <w:pPr>
              <w:ind w:left="133"/>
              <w:jc w:val="center"/>
              <w:rPr>
                <w:sz w:val="24"/>
                <w:szCs w:val="24"/>
                <w:lang w:val="en-US"/>
              </w:rPr>
            </w:pPr>
            <w:r w:rsidRPr="006B3444">
              <w:rPr>
                <w:sz w:val="24"/>
                <w:szCs w:val="24"/>
                <w:lang w:val="en-US"/>
              </w:rPr>
              <w:t>11,1 % (2)</w:t>
            </w:r>
          </w:p>
        </w:tc>
      </w:tr>
      <w:tr w:rsidR="006B3444" w:rsidRPr="006B3444" w14:paraId="60C0A835" w14:textId="77777777" w:rsidTr="00B76914">
        <w:trPr>
          <w:trHeight w:val="287"/>
        </w:trPr>
        <w:tc>
          <w:tcPr>
            <w:tcW w:w="2423" w:type="dxa"/>
            <w:tcBorders>
              <w:top w:val="single" w:sz="4" w:space="0" w:color="000000"/>
              <w:left w:val="single" w:sz="4" w:space="0" w:color="000000"/>
              <w:bottom w:val="single" w:sz="4" w:space="0" w:color="000000"/>
              <w:right w:val="single" w:sz="4" w:space="0" w:color="000000"/>
            </w:tcBorders>
            <w:hideMark/>
          </w:tcPr>
          <w:p w14:paraId="2F3C04FB" w14:textId="77777777" w:rsidR="006B3444" w:rsidRPr="006B3444" w:rsidRDefault="006B3444" w:rsidP="00B76914">
            <w:pPr>
              <w:ind w:left="133"/>
              <w:rPr>
                <w:sz w:val="24"/>
                <w:szCs w:val="24"/>
                <w:lang w:val="en-US"/>
              </w:rPr>
            </w:pPr>
            <w:r w:rsidRPr="006B3444">
              <w:rPr>
                <w:sz w:val="24"/>
                <w:szCs w:val="24"/>
                <w:lang w:val="en-US"/>
              </w:rPr>
              <w:t>1 til &lt; 12 måneder</w:t>
            </w:r>
          </w:p>
        </w:tc>
        <w:tc>
          <w:tcPr>
            <w:tcW w:w="993" w:type="dxa"/>
            <w:tcBorders>
              <w:top w:val="single" w:sz="4" w:space="0" w:color="000000"/>
              <w:left w:val="single" w:sz="4" w:space="0" w:color="000000"/>
              <w:bottom w:val="single" w:sz="4" w:space="0" w:color="000000"/>
              <w:right w:val="single" w:sz="4" w:space="0" w:color="000000"/>
            </w:tcBorders>
            <w:hideMark/>
          </w:tcPr>
          <w:p w14:paraId="2C97DBE3" w14:textId="77777777" w:rsidR="006B3444" w:rsidRPr="006B3444" w:rsidRDefault="006B3444" w:rsidP="00B67369">
            <w:pPr>
              <w:ind w:left="133"/>
              <w:jc w:val="center"/>
              <w:rPr>
                <w:sz w:val="24"/>
                <w:szCs w:val="24"/>
                <w:lang w:val="en-US"/>
              </w:rPr>
            </w:pPr>
            <w:r w:rsidRPr="006B3444">
              <w:rPr>
                <w:sz w:val="24"/>
                <w:szCs w:val="24"/>
                <w:lang w:val="en-US"/>
              </w:rPr>
              <w:t>24</w:t>
            </w:r>
          </w:p>
        </w:tc>
        <w:tc>
          <w:tcPr>
            <w:tcW w:w="1619" w:type="dxa"/>
            <w:tcBorders>
              <w:top w:val="single" w:sz="4" w:space="0" w:color="000000"/>
              <w:left w:val="single" w:sz="4" w:space="0" w:color="000000"/>
              <w:bottom w:val="single" w:sz="4" w:space="0" w:color="000000"/>
              <w:right w:val="single" w:sz="4" w:space="0" w:color="000000"/>
            </w:tcBorders>
            <w:hideMark/>
          </w:tcPr>
          <w:p w14:paraId="58DB70F9" w14:textId="77777777" w:rsidR="006B3444" w:rsidRPr="006B3444" w:rsidRDefault="006B3444" w:rsidP="00B67369">
            <w:pPr>
              <w:ind w:left="133"/>
              <w:jc w:val="center"/>
              <w:rPr>
                <w:sz w:val="24"/>
                <w:szCs w:val="24"/>
                <w:lang w:val="en-US"/>
              </w:rPr>
            </w:pPr>
            <w:r w:rsidRPr="006B3444">
              <w:rPr>
                <w:sz w:val="24"/>
                <w:szCs w:val="24"/>
                <w:lang w:val="en-US"/>
              </w:rPr>
              <w:t>8,3 % (2)</w:t>
            </w:r>
          </w:p>
        </w:tc>
        <w:tc>
          <w:tcPr>
            <w:tcW w:w="1620" w:type="dxa"/>
            <w:tcBorders>
              <w:top w:val="single" w:sz="4" w:space="0" w:color="000000"/>
              <w:left w:val="single" w:sz="4" w:space="0" w:color="000000"/>
              <w:bottom w:val="single" w:sz="4" w:space="0" w:color="000000"/>
              <w:right w:val="single" w:sz="4" w:space="0" w:color="000000"/>
            </w:tcBorders>
            <w:hideMark/>
          </w:tcPr>
          <w:p w14:paraId="7589F4AB" w14:textId="77777777" w:rsidR="006B3444" w:rsidRPr="006B3444" w:rsidRDefault="006B3444" w:rsidP="00B67369">
            <w:pPr>
              <w:ind w:left="133"/>
              <w:jc w:val="center"/>
              <w:rPr>
                <w:sz w:val="24"/>
                <w:szCs w:val="24"/>
                <w:lang w:val="en-US"/>
              </w:rPr>
            </w:pPr>
            <w:r w:rsidRPr="006B3444">
              <w:rPr>
                <w:sz w:val="24"/>
                <w:szCs w:val="24"/>
                <w:lang w:val="en-US"/>
              </w:rPr>
              <w:t>4,2 % (1)</w:t>
            </w:r>
          </w:p>
        </w:tc>
        <w:tc>
          <w:tcPr>
            <w:tcW w:w="1620" w:type="dxa"/>
            <w:tcBorders>
              <w:top w:val="single" w:sz="4" w:space="0" w:color="000000"/>
              <w:left w:val="single" w:sz="4" w:space="0" w:color="000000"/>
              <w:bottom w:val="single" w:sz="4" w:space="0" w:color="000000"/>
              <w:right w:val="single" w:sz="4" w:space="0" w:color="000000"/>
            </w:tcBorders>
            <w:hideMark/>
          </w:tcPr>
          <w:p w14:paraId="487C39C2" w14:textId="77777777" w:rsidR="006B3444" w:rsidRPr="006B3444" w:rsidRDefault="006B3444" w:rsidP="00B67369">
            <w:pPr>
              <w:ind w:left="133"/>
              <w:jc w:val="center"/>
              <w:rPr>
                <w:sz w:val="24"/>
                <w:szCs w:val="24"/>
                <w:lang w:val="en-US"/>
              </w:rPr>
            </w:pPr>
            <w:r w:rsidRPr="006B3444">
              <w:rPr>
                <w:sz w:val="24"/>
                <w:szCs w:val="24"/>
                <w:lang w:val="en-US"/>
              </w:rPr>
              <w:t>4,2 % (1)</w:t>
            </w:r>
          </w:p>
        </w:tc>
      </w:tr>
    </w:tbl>
    <w:p w14:paraId="5A01E633" w14:textId="77777777" w:rsidR="006B3444" w:rsidRPr="006B3444" w:rsidRDefault="006B3444" w:rsidP="006B3444">
      <w:pPr>
        <w:tabs>
          <w:tab w:val="left" w:pos="851"/>
        </w:tabs>
        <w:ind w:left="851"/>
        <w:rPr>
          <w:bCs/>
          <w:sz w:val="24"/>
          <w:szCs w:val="24"/>
        </w:rPr>
      </w:pPr>
    </w:p>
    <w:p w14:paraId="15E9106A" w14:textId="77777777" w:rsidR="006B3444" w:rsidRPr="006B3444" w:rsidRDefault="006B3444" w:rsidP="00B76914">
      <w:pPr>
        <w:ind w:left="851"/>
        <w:rPr>
          <w:i/>
          <w:sz w:val="24"/>
          <w:szCs w:val="24"/>
        </w:rPr>
      </w:pPr>
      <w:r w:rsidRPr="006B3444">
        <w:rPr>
          <w:i/>
          <w:sz w:val="24"/>
          <w:szCs w:val="24"/>
        </w:rPr>
        <w:t>Ivacaftor i et kombinationsregime med tezacaftor/ivacaftor</w:t>
      </w:r>
    </w:p>
    <w:p w14:paraId="29277CD7" w14:textId="77777777" w:rsidR="006B3444" w:rsidRPr="006B3444" w:rsidRDefault="006B3444" w:rsidP="00B76914">
      <w:pPr>
        <w:ind w:left="851"/>
        <w:rPr>
          <w:i/>
          <w:sz w:val="24"/>
          <w:szCs w:val="24"/>
        </w:rPr>
      </w:pPr>
    </w:p>
    <w:p w14:paraId="6AECFEC6" w14:textId="307B412C" w:rsidR="006B3444" w:rsidRPr="006B3444" w:rsidRDefault="006B3444" w:rsidP="00B76914">
      <w:pPr>
        <w:ind w:left="851"/>
        <w:rPr>
          <w:sz w:val="24"/>
          <w:szCs w:val="24"/>
        </w:rPr>
      </w:pPr>
      <w:r w:rsidRPr="006B3444">
        <w:rPr>
          <w:sz w:val="24"/>
          <w:szCs w:val="24"/>
        </w:rPr>
        <w:t>Sikkerheden af tezacaftor/ivacaftor i kombination med ivacaftor blev evalueret for 124 patienter i alderen 6 til under 12 år. Dosen tezacaftor 100 mg/ivacaftor 150 mg og ivacaftor 150 mg er ikke blevet undersøgt i kliniske studier hos børn i alderen 6 til under 12 år, der vejer 30 til &lt; 40 kg.</w:t>
      </w:r>
    </w:p>
    <w:p w14:paraId="20F6D463" w14:textId="77777777" w:rsidR="006B3444" w:rsidRPr="006B3444" w:rsidRDefault="006B3444" w:rsidP="00B76914">
      <w:pPr>
        <w:ind w:left="851"/>
        <w:rPr>
          <w:sz w:val="24"/>
          <w:szCs w:val="24"/>
        </w:rPr>
      </w:pPr>
    </w:p>
    <w:p w14:paraId="383EA784" w14:textId="77777777" w:rsidR="006B3444" w:rsidRPr="006B3444" w:rsidRDefault="006B3444" w:rsidP="00B76914">
      <w:pPr>
        <w:ind w:left="851"/>
        <w:rPr>
          <w:sz w:val="24"/>
          <w:szCs w:val="24"/>
        </w:rPr>
      </w:pPr>
      <w:r w:rsidRPr="006B3444">
        <w:rPr>
          <w:sz w:val="24"/>
          <w:szCs w:val="24"/>
        </w:rPr>
        <w:t xml:space="preserve">Sikkerhedsprofilen er generelt ensartet blandt børn og unge og svarer </w:t>
      </w:r>
      <w:proofErr w:type="gramStart"/>
      <w:r w:rsidRPr="006B3444">
        <w:rPr>
          <w:sz w:val="24"/>
          <w:szCs w:val="24"/>
        </w:rPr>
        <w:t>endvidere</w:t>
      </w:r>
      <w:proofErr w:type="gramEnd"/>
      <w:r w:rsidRPr="006B3444">
        <w:rPr>
          <w:sz w:val="24"/>
          <w:szCs w:val="24"/>
        </w:rPr>
        <w:t xml:space="preserve"> til voksne patienter.</w:t>
      </w:r>
    </w:p>
    <w:p w14:paraId="56AD4CB7" w14:textId="77777777" w:rsidR="006B3444" w:rsidRPr="006B3444" w:rsidRDefault="006B3444" w:rsidP="00B76914">
      <w:pPr>
        <w:ind w:left="851"/>
        <w:rPr>
          <w:sz w:val="24"/>
          <w:szCs w:val="24"/>
        </w:rPr>
      </w:pPr>
    </w:p>
    <w:p w14:paraId="5164F98C" w14:textId="5F4D4E49" w:rsidR="006B3444" w:rsidRPr="006B3444" w:rsidRDefault="006B3444" w:rsidP="00B76914">
      <w:pPr>
        <w:ind w:left="851"/>
        <w:rPr>
          <w:sz w:val="24"/>
          <w:szCs w:val="24"/>
        </w:rPr>
      </w:pPr>
      <w:r w:rsidRPr="006B3444">
        <w:rPr>
          <w:sz w:val="24"/>
          <w:szCs w:val="24"/>
        </w:rPr>
        <w:t>Under det 24 uger lange åbne fase 3-studie med patienter i alderen 6 til under 12 år (studie 661-113, del B, n = 70) var forekomsten af maksimal aminotransferase (ALAT eller ASAT) &gt; 8, &gt; 5 og &gt; 3 × ULN henholdsvis 1,4 %, 4,3 % og 10,0 %. Ingen af de patienter, der blev behandlet med tezacaftor/ivacaftor, havde aminotransferaseforhøjelser &gt; 3 × ULN i tilknytning til forhøjet total bilirubin &gt; 2 × ULN eller fik tezacaftor/ivacaftor-behandlingen seponeret på grund af aminotransferaseforhøjelser. Én patient afbrød behandlingen på grund af aminotransferaseforhøjelser og genoptog efterfølgende tezacaftor/ivacaftor-behandlingen med succes (se pkt. 4.4 for behandling af aminotransferaseforhøjelser).</w:t>
      </w:r>
    </w:p>
    <w:p w14:paraId="29C64D5F" w14:textId="77777777" w:rsidR="006B3444" w:rsidRPr="006B3444" w:rsidRDefault="006B3444" w:rsidP="00B76914">
      <w:pPr>
        <w:ind w:left="851"/>
        <w:rPr>
          <w:sz w:val="24"/>
          <w:szCs w:val="24"/>
        </w:rPr>
      </w:pPr>
    </w:p>
    <w:p w14:paraId="3793035D" w14:textId="77777777" w:rsidR="006B3444" w:rsidRPr="006B3444" w:rsidRDefault="006B3444" w:rsidP="00B76914">
      <w:pPr>
        <w:ind w:left="851"/>
        <w:rPr>
          <w:i/>
          <w:sz w:val="24"/>
          <w:szCs w:val="24"/>
        </w:rPr>
      </w:pPr>
      <w:r w:rsidRPr="006B3444">
        <w:rPr>
          <w:i/>
          <w:sz w:val="24"/>
          <w:szCs w:val="24"/>
        </w:rPr>
        <w:t>Ivacaftor i et kombinationsregime med ivacaftor/tezacaftor/elexacaftor</w:t>
      </w:r>
    </w:p>
    <w:p w14:paraId="1DF4D610" w14:textId="77777777" w:rsidR="006B3444" w:rsidRPr="006B3444" w:rsidRDefault="006B3444" w:rsidP="00B76914">
      <w:pPr>
        <w:ind w:left="851"/>
        <w:rPr>
          <w:i/>
          <w:sz w:val="24"/>
          <w:szCs w:val="24"/>
        </w:rPr>
      </w:pPr>
    </w:p>
    <w:p w14:paraId="54C4DE08" w14:textId="33C12754" w:rsidR="006B3444" w:rsidRPr="006B3444" w:rsidRDefault="006B3444" w:rsidP="00B76914">
      <w:pPr>
        <w:ind w:left="851"/>
        <w:rPr>
          <w:sz w:val="24"/>
          <w:szCs w:val="24"/>
        </w:rPr>
      </w:pPr>
      <w:r w:rsidRPr="006B3444">
        <w:rPr>
          <w:sz w:val="24"/>
          <w:szCs w:val="24"/>
        </w:rPr>
        <w:t>Sikkerhedsdataene for ivacaftor/tezacaftor/elexacaftor i kombination med ivacaftor i studie 445-102, 445-103, 445-104, 445-106, 445-111 og 445-124 er blevet evalueret hos 272 patienter i alderen 2 til under 18 år. Sikkerhedsprofilen er generelt ensartet blandt pædiatriske og voksne patienter.</w:t>
      </w:r>
    </w:p>
    <w:p w14:paraId="1F86B7EB" w14:textId="77777777" w:rsidR="006B3444" w:rsidRPr="006B3444" w:rsidRDefault="006B3444" w:rsidP="00B76914">
      <w:pPr>
        <w:ind w:left="851"/>
        <w:rPr>
          <w:sz w:val="24"/>
          <w:szCs w:val="24"/>
        </w:rPr>
      </w:pPr>
    </w:p>
    <w:p w14:paraId="0E4A7223" w14:textId="4F9341D8" w:rsidR="006B3444" w:rsidRPr="006B3444" w:rsidRDefault="006B3444" w:rsidP="00B76914">
      <w:pPr>
        <w:ind w:left="851"/>
        <w:rPr>
          <w:sz w:val="24"/>
          <w:szCs w:val="24"/>
        </w:rPr>
      </w:pPr>
      <w:r w:rsidRPr="006B3444">
        <w:rPr>
          <w:sz w:val="24"/>
          <w:szCs w:val="24"/>
        </w:rPr>
        <w:t>Under studie 445-106 med patienter i alderen 6 til under 12 år var forekomsten af maksimal aminotransferase (ALAT eller ASAT) &gt; 8, &gt; 5 og &gt; 3 × ULN henholdsvis 0,0 %, 1,5 % og 10,6 %. Ingen af de patienter, der blev behandlet med ivacaftor/tezacaftor/elexa</w:t>
      </w:r>
      <w:r w:rsidR="00B67369">
        <w:rPr>
          <w:sz w:val="24"/>
          <w:szCs w:val="24"/>
        </w:rPr>
        <w:softHyphen/>
      </w:r>
      <w:r w:rsidRPr="006B3444">
        <w:rPr>
          <w:sz w:val="24"/>
          <w:szCs w:val="24"/>
        </w:rPr>
        <w:t>caftor, havde aminotransferaseforhøjelser &gt; 3 × ULN i tilknytning til forhøjet total bilirubin &gt; 2 × ULN eller fik behandlingen seponeret på grund af aminotransferase</w:t>
      </w:r>
      <w:r w:rsidR="00B67369">
        <w:rPr>
          <w:sz w:val="24"/>
          <w:szCs w:val="24"/>
        </w:rPr>
        <w:softHyphen/>
      </w:r>
      <w:r w:rsidRPr="006B3444">
        <w:rPr>
          <w:sz w:val="24"/>
          <w:szCs w:val="24"/>
        </w:rPr>
        <w:t>forhøjelser (se pkt. 4.4).</w:t>
      </w:r>
    </w:p>
    <w:p w14:paraId="5909724B" w14:textId="77777777" w:rsidR="006B3444" w:rsidRPr="006B3444" w:rsidRDefault="006B3444" w:rsidP="00B76914">
      <w:pPr>
        <w:ind w:left="851"/>
        <w:rPr>
          <w:sz w:val="24"/>
          <w:szCs w:val="24"/>
        </w:rPr>
      </w:pPr>
    </w:p>
    <w:p w14:paraId="5A728F52" w14:textId="56F2FB1F" w:rsidR="006B3444" w:rsidRPr="006B3444" w:rsidRDefault="006B3444" w:rsidP="00B76914">
      <w:pPr>
        <w:ind w:left="851"/>
        <w:rPr>
          <w:sz w:val="24"/>
          <w:szCs w:val="24"/>
        </w:rPr>
      </w:pPr>
      <w:r w:rsidRPr="006B3444">
        <w:rPr>
          <w:sz w:val="24"/>
          <w:szCs w:val="24"/>
        </w:rPr>
        <w:t>Under studie 445-111 med patienter i alderen 2 til under 6 år var forekomsten af maksimal aminotransferase (ALAT eller ASAT) &gt; 8, &gt; 5 og &gt; 3 × ULN henholdsvis 1,3 %, 2,7 % og 8,0 %. Ingen af de patienter, der blev behandlet med ivacaftor/tezacaftor/elexacaftor, havde aminotransferaseforhøjelser &gt; 3 × ULN i tilknytning til forhøjet total bilirubin &gt; 2 × ULN eller fik behandlingen seponeret på grund af aminotransferaseforhøjelser (se pkt. 4.4).</w:t>
      </w:r>
    </w:p>
    <w:p w14:paraId="77F12217" w14:textId="77777777" w:rsidR="006B3444" w:rsidRPr="006B3444" w:rsidRDefault="006B3444" w:rsidP="00B76914">
      <w:pPr>
        <w:ind w:left="851"/>
        <w:rPr>
          <w:sz w:val="24"/>
          <w:szCs w:val="24"/>
        </w:rPr>
      </w:pPr>
    </w:p>
    <w:p w14:paraId="78B5BC5F" w14:textId="77777777" w:rsidR="006B3444" w:rsidRPr="006B3444" w:rsidRDefault="006B3444" w:rsidP="00B76914">
      <w:pPr>
        <w:ind w:left="851"/>
        <w:rPr>
          <w:i/>
          <w:sz w:val="24"/>
          <w:szCs w:val="24"/>
        </w:rPr>
      </w:pPr>
      <w:r w:rsidRPr="006B3444">
        <w:rPr>
          <w:i/>
          <w:sz w:val="24"/>
          <w:szCs w:val="24"/>
        </w:rPr>
        <w:t>Udslæt</w:t>
      </w:r>
    </w:p>
    <w:p w14:paraId="6F0877A1" w14:textId="7A4FBF97" w:rsidR="006B3444" w:rsidRPr="006B3444" w:rsidRDefault="006B3444" w:rsidP="00B76914">
      <w:pPr>
        <w:ind w:left="851"/>
        <w:rPr>
          <w:sz w:val="24"/>
          <w:szCs w:val="24"/>
        </w:rPr>
      </w:pPr>
      <w:r w:rsidRPr="006B3444">
        <w:rPr>
          <w:sz w:val="24"/>
          <w:szCs w:val="24"/>
        </w:rPr>
        <w:t>Under studie 445-111 med patienter i alderen 2 til under 6 år forekom der mindst 1 udslætshændelse hos 15 (20,0 %) af personerne, 4 (9,8 %) kvindelige og 11 (32,4 %) mandlige.</w:t>
      </w:r>
    </w:p>
    <w:p w14:paraId="32E243B7" w14:textId="77777777" w:rsidR="006B3444" w:rsidRPr="006B3444" w:rsidRDefault="006B3444" w:rsidP="00B76914">
      <w:pPr>
        <w:ind w:left="851"/>
        <w:rPr>
          <w:sz w:val="24"/>
          <w:szCs w:val="24"/>
        </w:rPr>
      </w:pPr>
    </w:p>
    <w:p w14:paraId="2D4C906F" w14:textId="77777777" w:rsidR="006B3444" w:rsidRPr="006B3444" w:rsidRDefault="006B3444" w:rsidP="00B76914">
      <w:pPr>
        <w:ind w:left="851"/>
        <w:rPr>
          <w:i/>
          <w:sz w:val="24"/>
          <w:szCs w:val="24"/>
        </w:rPr>
      </w:pPr>
      <w:r w:rsidRPr="006B3444">
        <w:rPr>
          <w:i/>
          <w:sz w:val="24"/>
          <w:szCs w:val="24"/>
        </w:rPr>
        <w:t>Linseopacitet</w:t>
      </w:r>
    </w:p>
    <w:p w14:paraId="6D4DBAB4" w14:textId="77777777" w:rsidR="006B3444" w:rsidRPr="006B3444" w:rsidRDefault="006B3444" w:rsidP="00B76914">
      <w:pPr>
        <w:ind w:left="851"/>
        <w:rPr>
          <w:sz w:val="24"/>
          <w:szCs w:val="24"/>
        </w:rPr>
      </w:pPr>
      <w:r w:rsidRPr="006B3444">
        <w:rPr>
          <w:sz w:val="24"/>
          <w:szCs w:val="24"/>
        </w:rPr>
        <w:t>Én patient havde en uønsket hændelse med linseopacitet.</w:t>
      </w:r>
    </w:p>
    <w:p w14:paraId="5A007710" w14:textId="77777777" w:rsidR="006B3444" w:rsidRPr="006B3444" w:rsidRDefault="006B3444" w:rsidP="00B76914">
      <w:pPr>
        <w:ind w:left="851"/>
        <w:rPr>
          <w:sz w:val="24"/>
          <w:szCs w:val="24"/>
        </w:rPr>
      </w:pPr>
    </w:p>
    <w:p w14:paraId="5EE47B66" w14:textId="77777777" w:rsidR="006B3444" w:rsidRPr="006B3444" w:rsidRDefault="006B3444" w:rsidP="00B76914">
      <w:pPr>
        <w:ind w:left="851"/>
        <w:rPr>
          <w:sz w:val="24"/>
          <w:szCs w:val="24"/>
          <w:u w:val="single"/>
        </w:rPr>
      </w:pPr>
      <w:r w:rsidRPr="006B3444">
        <w:rPr>
          <w:sz w:val="24"/>
          <w:szCs w:val="24"/>
          <w:u w:val="single"/>
        </w:rPr>
        <w:t>Indberetning af formodede bivirkninger</w:t>
      </w:r>
    </w:p>
    <w:p w14:paraId="7E5EE90B" w14:textId="77777777" w:rsidR="006B3444" w:rsidRPr="00286CAA" w:rsidRDefault="006B3444" w:rsidP="00B76914">
      <w:pPr>
        <w:ind w:left="851"/>
        <w:rPr>
          <w:sz w:val="24"/>
          <w:szCs w:val="24"/>
        </w:rPr>
      </w:pPr>
      <w:bookmarkStart w:id="0" w:name="_Hlk172016641"/>
      <w:r w:rsidRPr="006B3444">
        <w:rPr>
          <w:sz w:val="24"/>
          <w:szCs w:val="24"/>
        </w:rPr>
        <w:t xml:space="preserve">Når lægemidlet er godkendt, er indberetning af formodede bivirkninger vigtig. Det muliggør løbende overvågning af benefit/risk-forholdet for lægemidlet. Sundhedspersoner anmodes om at indberette alle formodede bivirkninger via </w:t>
      </w:r>
    </w:p>
    <w:p w14:paraId="4ECE2B95" w14:textId="77777777" w:rsidR="00B76914" w:rsidRPr="006B3444" w:rsidRDefault="00B76914" w:rsidP="00B76914">
      <w:pPr>
        <w:ind w:left="851"/>
        <w:rPr>
          <w:sz w:val="24"/>
          <w:szCs w:val="24"/>
        </w:rPr>
      </w:pPr>
    </w:p>
    <w:p w14:paraId="1A1F47E7" w14:textId="77777777" w:rsidR="006B3444" w:rsidRPr="006B3444" w:rsidRDefault="006B3444" w:rsidP="00B76914">
      <w:pPr>
        <w:ind w:left="851"/>
        <w:rPr>
          <w:sz w:val="24"/>
          <w:szCs w:val="24"/>
        </w:rPr>
      </w:pPr>
      <w:r w:rsidRPr="006B3444">
        <w:rPr>
          <w:sz w:val="24"/>
          <w:szCs w:val="24"/>
        </w:rPr>
        <w:t>Lægemiddelstyrelsen</w:t>
      </w:r>
      <w:r w:rsidRPr="006B3444">
        <w:rPr>
          <w:sz w:val="24"/>
          <w:szCs w:val="24"/>
        </w:rPr>
        <w:br/>
        <w:t>Axel Heides Gade 1</w:t>
      </w:r>
      <w:r w:rsidRPr="006B3444">
        <w:rPr>
          <w:sz w:val="24"/>
          <w:szCs w:val="24"/>
        </w:rPr>
        <w:br/>
        <w:t>DK-2300 København S</w:t>
      </w:r>
      <w:r w:rsidRPr="006B3444">
        <w:rPr>
          <w:sz w:val="24"/>
          <w:szCs w:val="24"/>
        </w:rPr>
        <w:br/>
        <w:t xml:space="preserve">Websted: </w:t>
      </w:r>
      <w:hyperlink r:id="rId8" w:history="1">
        <w:r w:rsidRPr="006B3444">
          <w:rPr>
            <w:rStyle w:val="Hyperlink"/>
            <w:sz w:val="24"/>
            <w:szCs w:val="24"/>
          </w:rPr>
          <w:t>www.meldenbivirkning.dk</w:t>
        </w:r>
      </w:hyperlink>
    </w:p>
    <w:bookmarkEnd w:id="0"/>
    <w:p w14:paraId="119BEA9E" w14:textId="642CBE6A" w:rsidR="00B67369" w:rsidRDefault="00B67369">
      <w:pPr>
        <w:rPr>
          <w:sz w:val="24"/>
          <w:szCs w:val="24"/>
        </w:rPr>
      </w:pPr>
      <w:r>
        <w:rPr>
          <w:sz w:val="24"/>
          <w:szCs w:val="24"/>
        </w:rPr>
        <w:br w:type="page"/>
      </w:r>
    </w:p>
    <w:p w14:paraId="2391E32B" w14:textId="77777777" w:rsidR="009260DE" w:rsidRPr="00286CAA" w:rsidRDefault="009260DE" w:rsidP="00A10294">
      <w:pPr>
        <w:tabs>
          <w:tab w:val="left" w:pos="851"/>
        </w:tabs>
        <w:ind w:left="851"/>
        <w:rPr>
          <w:sz w:val="24"/>
          <w:szCs w:val="24"/>
        </w:rPr>
      </w:pPr>
    </w:p>
    <w:p w14:paraId="258475FC" w14:textId="77777777" w:rsidR="009260DE" w:rsidRPr="00286CAA" w:rsidRDefault="009260DE" w:rsidP="009260DE">
      <w:pPr>
        <w:tabs>
          <w:tab w:val="left" w:pos="851"/>
        </w:tabs>
        <w:ind w:left="851" w:hanging="851"/>
        <w:rPr>
          <w:b/>
          <w:sz w:val="24"/>
          <w:szCs w:val="24"/>
        </w:rPr>
      </w:pPr>
      <w:r w:rsidRPr="00286CAA">
        <w:rPr>
          <w:b/>
          <w:sz w:val="24"/>
          <w:szCs w:val="24"/>
        </w:rPr>
        <w:t>4.9</w:t>
      </w:r>
      <w:r w:rsidRPr="00286CAA">
        <w:rPr>
          <w:b/>
          <w:sz w:val="24"/>
          <w:szCs w:val="24"/>
        </w:rPr>
        <w:tab/>
        <w:t>Overdosering</w:t>
      </w:r>
    </w:p>
    <w:p w14:paraId="10574452" w14:textId="77777777" w:rsidR="006B3444" w:rsidRPr="006B3444" w:rsidRDefault="006B3444" w:rsidP="00B76914">
      <w:pPr>
        <w:ind w:left="851"/>
        <w:rPr>
          <w:sz w:val="24"/>
          <w:szCs w:val="24"/>
        </w:rPr>
      </w:pPr>
      <w:r w:rsidRPr="006B3444">
        <w:rPr>
          <w:sz w:val="24"/>
          <w:szCs w:val="24"/>
        </w:rPr>
        <w:t>Der findes ingen specifik antidot for en overdosis af ivacaftor. Behandling af en overdosis består af generel støttebehandling, herunder monitorering af vitale tegn, leverfunktionsprøver og observation af patientens kliniske status.</w:t>
      </w:r>
    </w:p>
    <w:p w14:paraId="050908DF" w14:textId="77777777" w:rsidR="009260DE" w:rsidRPr="00286CAA" w:rsidRDefault="009260DE" w:rsidP="009260DE">
      <w:pPr>
        <w:tabs>
          <w:tab w:val="left" w:pos="851"/>
        </w:tabs>
        <w:ind w:left="851"/>
        <w:rPr>
          <w:sz w:val="24"/>
          <w:szCs w:val="24"/>
        </w:rPr>
      </w:pPr>
    </w:p>
    <w:p w14:paraId="46A60DAE" w14:textId="77777777" w:rsidR="009260DE" w:rsidRPr="00286CAA" w:rsidRDefault="009260DE" w:rsidP="009260DE">
      <w:pPr>
        <w:tabs>
          <w:tab w:val="left" w:pos="851"/>
        </w:tabs>
        <w:ind w:left="851" w:hanging="851"/>
        <w:rPr>
          <w:b/>
          <w:sz w:val="24"/>
          <w:szCs w:val="24"/>
        </w:rPr>
      </w:pPr>
      <w:r w:rsidRPr="00286CAA">
        <w:rPr>
          <w:b/>
          <w:sz w:val="24"/>
          <w:szCs w:val="24"/>
        </w:rPr>
        <w:t>4.10</w:t>
      </w:r>
      <w:r w:rsidRPr="00286CAA">
        <w:rPr>
          <w:b/>
          <w:sz w:val="24"/>
          <w:szCs w:val="24"/>
        </w:rPr>
        <w:tab/>
        <w:t>Udlevering</w:t>
      </w:r>
    </w:p>
    <w:p w14:paraId="6B67AEAA" w14:textId="78B7C722" w:rsidR="009260DE" w:rsidRPr="00286CAA" w:rsidRDefault="00B76914" w:rsidP="009260DE">
      <w:pPr>
        <w:tabs>
          <w:tab w:val="left" w:pos="851"/>
        </w:tabs>
        <w:ind w:left="851"/>
        <w:rPr>
          <w:sz w:val="24"/>
          <w:szCs w:val="24"/>
        </w:rPr>
      </w:pPr>
      <w:r w:rsidRPr="00286CAA">
        <w:rPr>
          <w:sz w:val="24"/>
          <w:szCs w:val="24"/>
        </w:rPr>
        <w:t>BEGR (kun til sygehuse)</w:t>
      </w:r>
    </w:p>
    <w:p w14:paraId="03A4A387" w14:textId="77777777" w:rsidR="009260DE" w:rsidRPr="00286CAA" w:rsidRDefault="009260DE" w:rsidP="009260DE">
      <w:pPr>
        <w:tabs>
          <w:tab w:val="left" w:pos="851"/>
        </w:tabs>
        <w:ind w:left="851"/>
        <w:rPr>
          <w:sz w:val="24"/>
          <w:szCs w:val="24"/>
        </w:rPr>
      </w:pPr>
    </w:p>
    <w:p w14:paraId="5E221795" w14:textId="77777777" w:rsidR="009260DE" w:rsidRPr="00286CAA" w:rsidRDefault="009260DE" w:rsidP="009260DE">
      <w:pPr>
        <w:tabs>
          <w:tab w:val="left" w:pos="851"/>
        </w:tabs>
        <w:ind w:left="851"/>
        <w:rPr>
          <w:sz w:val="24"/>
          <w:szCs w:val="24"/>
        </w:rPr>
      </w:pPr>
    </w:p>
    <w:p w14:paraId="5CEF890B" w14:textId="77777777" w:rsidR="009260DE" w:rsidRPr="00286CAA" w:rsidRDefault="009260DE" w:rsidP="009260DE">
      <w:pPr>
        <w:tabs>
          <w:tab w:val="left" w:pos="851"/>
        </w:tabs>
        <w:ind w:left="851" w:hanging="851"/>
        <w:rPr>
          <w:b/>
          <w:sz w:val="24"/>
          <w:szCs w:val="24"/>
        </w:rPr>
      </w:pPr>
      <w:r w:rsidRPr="00286CAA">
        <w:rPr>
          <w:b/>
          <w:sz w:val="24"/>
          <w:szCs w:val="24"/>
        </w:rPr>
        <w:t>5.</w:t>
      </w:r>
      <w:r w:rsidRPr="00286CAA">
        <w:rPr>
          <w:b/>
          <w:sz w:val="24"/>
          <w:szCs w:val="24"/>
        </w:rPr>
        <w:tab/>
        <w:t>FARMAKOLOGISKE EGENSKABER</w:t>
      </w:r>
    </w:p>
    <w:p w14:paraId="6C6943A2" w14:textId="77777777" w:rsidR="009260DE" w:rsidRPr="00286CAA" w:rsidRDefault="009260DE" w:rsidP="009260DE">
      <w:pPr>
        <w:tabs>
          <w:tab w:val="left" w:pos="851"/>
        </w:tabs>
        <w:ind w:left="851"/>
        <w:rPr>
          <w:sz w:val="24"/>
          <w:szCs w:val="24"/>
        </w:rPr>
      </w:pPr>
    </w:p>
    <w:p w14:paraId="1D54997C" w14:textId="77777777" w:rsidR="009260DE" w:rsidRPr="00286CAA" w:rsidRDefault="009260DE" w:rsidP="009260DE">
      <w:pPr>
        <w:tabs>
          <w:tab w:val="num" w:pos="851"/>
        </w:tabs>
        <w:ind w:left="851" w:hanging="851"/>
        <w:rPr>
          <w:b/>
          <w:sz w:val="24"/>
          <w:szCs w:val="24"/>
        </w:rPr>
      </w:pPr>
      <w:r w:rsidRPr="00286CAA">
        <w:rPr>
          <w:b/>
          <w:sz w:val="24"/>
          <w:szCs w:val="24"/>
        </w:rPr>
        <w:t>5.1</w:t>
      </w:r>
      <w:r w:rsidRPr="00286CAA">
        <w:rPr>
          <w:b/>
          <w:sz w:val="24"/>
          <w:szCs w:val="24"/>
        </w:rPr>
        <w:tab/>
        <w:t>Farmakodynamiske egenskaber</w:t>
      </w:r>
    </w:p>
    <w:p w14:paraId="51E5035F" w14:textId="60760ACD" w:rsidR="006B3444" w:rsidRPr="006B3444" w:rsidRDefault="006B3444" w:rsidP="00B76914">
      <w:pPr>
        <w:ind w:left="851"/>
        <w:rPr>
          <w:sz w:val="24"/>
          <w:szCs w:val="24"/>
        </w:rPr>
      </w:pPr>
      <w:r w:rsidRPr="006B3444">
        <w:rPr>
          <w:sz w:val="24"/>
          <w:szCs w:val="24"/>
        </w:rPr>
        <w:t>Farmakoterapeutisk klassifikation: Andre midler med virkning på respirationssystemet, ATC-kode: R07AX02</w:t>
      </w:r>
    </w:p>
    <w:p w14:paraId="59BF2808" w14:textId="77777777" w:rsidR="006B3444" w:rsidRPr="006B3444" w:rsidRDefault="006B3444" w:rsidP="00B76914">
      <w:pPr>
        <w:ind w:left="851"/>
        <w:rPr>
          <w:sz w:val="24"/>
          <w:szCs w:val="24"/>
        </w:rPr>
      </w:pPr>
    </w:p>
    <w:p w14:paraId="156F908D" w14:textId="77777777" w:rsidR="006B3444" w:rsidRPr="006B3444" w:rsidRDefault="006B3444" w:rsidP="00B76914">
      <w:pPr>
        <w:ind w:left="851"/>
        <w:rPr>
          <w:sz w:val="24"/>
          <w:szCs w:val="24"/>
        </w:rPr>
      </w:pPr>
      <w:r w:rsidRPr="006B3444">
        <w:rPr>
          <w:sz w:val="24"/>
          <w:szCs w:val="24"/>
          <w:u w:val="single"/>
        </w:rPr>
        <w:t>Virkningsmekanisme</w:t>
      </w:r>
    </w:p>
    <w:p w14:paraId="74093C4C" w14:textId="77777777" w:rsidR="006B3444" w:rsidRPr="006B3444" w:rsidRDefault="006B3444" w:rsidP="00B76914">
      <w:pPr>
        <w:ind w:left="851"/>
        <w:rPr>
          <w:sz w:val="24"/>
          <w:szCs w:val="24"/>
        </w:rPr>
      </w:pPr>
    </w:p>
    <w:p w14:paraId="215B2FF7" w14:textId="77777777" w:rsidR="006B3444" w:rsidRPr="006B3444" w:rsidRDefault="006B3444" w:rsidP="00B76914">
      <w:pPr>
        <w:ind w:left="851"/>
        <w:rPr>
          <w:i/>
          <w:sz w:val="24"/>
          <w:szCs w:val="24"/>
        </w:rPr>
      </w:pPr>
      <w:r w:rsidRPr="006B3444">
        <w:rPr>
          <w:i/>
          <w:sz w:val="24"/>
          <w:szCs w:val="24"/>
        </w:rPr>
        <w:t>Ivacaftor som monoterapi</w:t>
      </w:r>
    </w:p>
    <w:p w14:paraId="424BD00D" w14:textId="77777777" w:rsidR="006B3444" w:rsidRPr="006B3444" w:rsidRDefault="006B3444" w:rsidP="00B76914">
      <w:pPr>
        <w:ind w:left="851"/>
        <w:rPr>
          <w:sz w:val="24"/>
          <w:szCs w:val="24"/>
        </w:rPr>
      </w:pPr>
    </w:p>
    <w:p w14:paraId="71795AD6" w14:textId="2EC4A95C" w:rsidR="006B3444" w:rsidRPr="006B3444" w:rsidRDefault="006B3444" w:rsidP="00B76914">
      <w:pPr>
        <w:ind w:left="851"/>
        <w:rPr>
          <w:sz w:val="24"/>
          <w:szCs w:val="24"/>
        </w:rPr>
      </w:pPr>
      <w:r w:rsidRPr="006B3444">
        <w:rPr>
          <w:sz w:val="24"/>
          <w:szCs w:val="24"/>
        </w:rPr>
        <w:t xml:space="preserve">Ivacaftor er en potentiator for CFTR-proteinet, dvs. at ivacaftor </w:t>
      </w:r>
      <w:r w:rsidRPr="006B3444">
        <w:rPr>
          <w:i/>
          <w:sz w:val="24"/>
          <w:szCs w:val="24"/>
        </w:rPr>
        <w:t xml:space="preserve">in vitro </w:t>
      </w:r>
      <w:r w:rsidRPr="006B3444">
        <w:rPr>
          <w:sz w:val="24"/>
          <w:szCs w:val="24"/>
        </w:rPr>
        <w:t xml:space="preserve">øger </w:t>
      </w:r>
      <w:r w:rsidRPr="006B3444">
        <w:rPr>
          <w:i/>
          <w:sz w:val="24"/>
          <w:szCs w:val="24"/>
        </w:rPr>
        <w:t>gating</w:t>
      </w:r>
      <w:r w:rsidRPr="006B3444">
        <w:rPr>
          <w:sz w:val="24"/>
          <w:szCs w:val="24"/>
        </w:rPr>
        <w:t xml:space="preserve">-aktiviteten i </w:t>
      </w:r>
      <w:r w:rsidRPr="006B3444">
        <w:rPr>
          <w:i/>
          <w:sz w:val="24"/>
          <w:szCs w:val="24"/>
        </w:rPr>
        <w:t>CFTR</w:t>
      </w:r>
      <w:r w:rsidRPr="006B3444">
        <w:rPr>
          <w:sz w:val="24"/>
          <w:szCs w:val="24"/>
        </w:rPr>
        <w:t xml:space="preserve">-kanalen, så chloridtransporten øges, ved specificerede </w:t>
      </w:r>
      <w:r w:rsidRPr="006B3444">
        <w:rPr>
          <w:i/>
          <w:sz w:val="24"/>
          <w:szCs w:val="24"/>
        </w:rPr>
        <w:t>gating</w:t>
      </w:r>
      <w:r w:rsidRPr="006B3444">
        <w:rPr>
          <w:sz w:val="24"/>
          <w:szCs w:val="24"/>
        </w:rPr>
        <w:t>-mutationer (som anført i pkt. 4.1) med nedsat sandsynlighed for åbning af kanalen (</w:t>
      </w:r>
      <w:r w:rsidRPr="006B3444">
        <w:rPr>
          <w:i/>
          <w:sz w:val="24"/>
          <w:szCs w:val="24"/>
        </w:rPr>
        <w:t>gating</w:t>
      </w:r>
      <w:r w:rsidRPr="006B3444">
        <w:rPr>
          <w:sz w:val="24"/>
          <w:szCs w:val="24"/>
        </w:rPr>
        <w:t xml:space="preserve">) sammenlignet med normal </w:t>
      </w:r>
      <w:r w:rsidRPr="006B3444">
        <w:rPr>
          <w:i/>
          <w:sz w:val="24"/>
          <w:szCs w:val="24"/>
        </w:rPr>
        <w:t>CFTR</w:t>
      </w:r>
      <w:r w:rsidRPr="006B3444">
        <w:rPr>
          <w:sz w:val="24"/>
          <w:szCs w:val="24"/>
        </w:rPr>
        <w:t xml:space="preserve">. Ivacaftor potenserede desuden sandsynligheden for åbning af kanalen ved </w:t>
      </w:r>
      <w:r w:rsidRPr="006B3444">
        <w:rPr>
          <w:i/>
          <w:sz w:val="24"/>
          <w:szCs w:val="24"/>
        </w:rPr>
        <w:t>R177H-CFTR</w:t>
      </w:r>
      <w:r w:rsidRPr="006B3444">
        <w:rPr>
          <w:sz w:val="24"/>
          <w:szCs w:val="24"/>
        </w:rPr>
        <w:t xml:space="preserve">, som både medfører lav sandsynlighed for åbning af kanalen og nedsat strømamplitude (ledeevne) i kanalen. </w:t>
      </w:r>
      <w:r w:rsidRPr="006B3444">
        <w:rPr>
          <w:i/>
          <w:sz w:val="24"/>
          <w:szCs w:val="24"/>
        </w:rPr>
        <w:t>G970R-</w:t>
      </w:r>
      <w:r w:rsidRPr="006B3444">
        <w:rPr>
          <w:sz w:val="24"/>
          <w:szCs w:val="24"/>
        </w:rPr>
        <w:t xml:space="preserve">mutationen forårsager en </w:t>
      </w:r>
      <w:r w:rsidRPr="006B3444">
        <w:rPr>
          <w:i/>
          <w:sz w:val="24"/>
          <w:szCs w:val="24"/>
        </w:rPr>
        <w:t>splicing</w:t>
      </w:r>
      <w:r w:rsidRPr="006B3444">
        <w:rPr>
          <w:sz w:val="24"/>
          <w:szCs w:val="24"/>
        </w:rPr>
        <w:t>-defekt, der fører til kun lidt eller intet CFTR-protein på celleoverfladen, hvilket kan forklare de observerede resultater hos personer med denne mutation i studie 770-111 (se Farmakodynamisk virkning og Klinisk virkning og sikkerhed).</w:t>
      </w:r>
    </w:p>
    <w:p w14:paraId="579EB4F5" w14:textId="77777777" w:rsidR="006B3444" w:rsidRPr="006B3444" w:rsidRDefault="006B3444" w:rsidP="00B76914">
      <w:pPr>
        <w:ind w:left="851"/>
        <w:rPr>
          <w:sz w:val="24"/>
          <w:szCs w:val="24"/>
        </w:rPr>
      </w:pPr>
    </w:p>
    <w:p w14:paraId="7E910686" w14:textId="77777777" w:rsidR="006B3444" w:rsidRPr="006B3444" w:rsidRDefault="006B3444" w:rsidP="00B76914">
      <w:pPr>
        <w:ind w:left="851"/>
        <w:rPr>
          <w:sz w:val="24"/>
          <w:szCs w:val="24"/>
        </w:rPr>
      </w:pPr>
      <w:r w:rsidRPr="006B3444">
        <w:rPr>
          <w:i/>
          <w:sz w:val="24"/>
          <w:szCs w:val="24"/>
        </w:rPr>
        <w:t>In vitro</w:t>
      </w:r>
      <w:r w:rsidRPr="006B3444">
        <w:rPr>
          <w:sz w:val="24"/>
          <w:szCs w:val="24"/>
        </w:rPr>
        <w:t xml:space="preserve">-respons set i </w:t>
      </w:r>
      <w:r w:rsidRPr="006B3444">
        <w:rPr>
          <w:i/>
          <w:sz w:val="24"/>
          <w:szCs w:val="24"/>
        </w:rPr>
        <w:t>patch clamp</w:t>
      </w:r>
      <w:r w:rsidRPr="006B3444">
        <w:rPr>
          <w:sz w:val="24"/>
          <w:szCs w:val="24"/>
        </w:rPr>
        <w:t xml:space="preserve">-eksperimenter med en enkelt kanal, der anvender membranudsnit fra gnaverceller, der udtrykker muterede CFTR-former, stemmer ikke nødvendigvis overens med </w:t>
      </w:r>
      <w:r w:rsidRPr="006B3444">
        <w:rPr>
          <w:i/>
          <w:sz w:val="24"/>
          <w:szCs w:val="24"/>
        </w:rPr>
        <w:t xml:space="preserve">in vivo </w:t>
      </w:r>
      <w:r w:rsidRPr="006B3444">
        <w:rPr>
          <w:sz w:val="24"/>
          <w:szCs w:val="24"/>
        </w:rPr>
        <w:t xml:space="preserve">farmakodynamisk respons (f.eks. sved-chlorid) eller klinisk fordel. Den nøjagtige mekanisme, der får ivacaftor til at potensere </w:t>
      </w:r>
      <w:r w:rsidRPr="006B3444">
        <w:rPr>
          <w:i/>
          <w:sz w:val="24"/>
          <w:szCs w:val="24"/>
        </w:rPr>
        <w:t>gating</w:t>
      </w:r>
      <w:r w:rsidRPr="006B3444">
        <w:rPr>
          <w:sz w:val="24"/>
          <w:szCs w:val="24"/>
        </w:rPr>
        <w:t>-aktiviteten for normale og visse muterede CFTR-former i dette system, er ikke blevet fuldstændigt belyst.</w:t>
      </w:r>
    </w:p>
    <w:p w14:paraId="1CB4359F" w14:textId="77777777" w:rsidR="006B3444" w:rsidRPr="006B3444" w:rsidRDefault="006B3444" w:rsidP="00B76914">
      <w:pPr>
        <w:ind w:left="851"/>
        <w:rPr>
          <w:sz w:val="24"/>
          <w:szCs w:val="24"/>
        </w:rPr>
      </w:pPr>
    </w:p>
    <w:p w14:paraId="4C4B5341" w14:textId="77777777" w:rsidR="006B3444" w:rsidRPr="006B3444" w:rsidRDefault="006B3444" w:rsidP="00B76914">
      <w:pPr>
        <w:ind w:left="851"/>
        <w:rPr>
          <w:sz w:val="24"/>
          <w:szCs w:val="24"/>
        </w:rPr>
      </w:pPr>
      <w:r w:rsidRPr="006B3444">
        <w:rPr>
          <w:sz w:val="24"/>
          <w:szCs w:val="24"/>
          <w:u w:val="single"/>
        </w:rPr>
        <w:t>Farmakodynamisk virkning</w:t>
      </w:r>
    </w:p>
    <w:p w14:paraId="00C5BC82" w14:textId="77777777" w:rsidR="006B3444" w:rsidRPr="006B3444" w:rsidRDefault="006B3444" w:rsidP="00B76914">
      <w:pPr>
        <w:ind w:left="851"/>
        <w:rPr>
          <w:sz w:val="24"/>
          <w:szCs w:val="24"/>
        </w:rPr>
      </w:pPr>
    </w:p>
    <w:p w14:paraId="3CDD7D2D" w14:textId="77777777" w:rsidR="006B3444" w:rsidRPr="006B3444" w:rsidRDefault="006B3444" w:rsidP="00B76914">
      <w:pPr>
        <w:ind w:left="851"/>
        <w:rPr>
          <w:i/>
          <w:sz w:val="24"/>
          <w:szCs w:val="24"/>
        </w:rPr>
      </w:pPr>
      <w:r w:rsidRPr="006B3444">
        <w:rPr>
          <w:i/>
          <w:sz w:val="24"/>
          <w:szCs w:val="24"/>
        </w:rPr>
        <w:t>Ivacaftor som monoterapi</w:t>
      </w:r>
    </w:p>
    <w:p w14:paraId="1817F8CC" w14:textId="77777777" w:rsidR="006B3444" w:rsidRPr="006B3444" w:rsidRDefault="006B3444" w:rsidP="00B76914">
      <w:pPr>
        <w:ind w:left="851"/>
        <w:rPr>
          <w:i/>
          <w:sz w:val="24"/>
          <w:szCs w:val="24"/>
        </w:rPr>
      </w:pPr>
    </w:p>
    <w:p w14:paraId="6AB07A0E" w14:textId="50CFAA68" w:rsidR="006B3444" w:rsidRPr="006B3444" w:rsidRDefault="006B3444" w:rsidP="00B76914">
      <w:pPr>
        <w:ind w:left="851"/>
        <w:rPr>
          <w:sz w:val="24"/>
          <w:szCs w:val="24"/>
        </w:rPr>
      </w:pPr>
      <w:r w:rsidRPr="006B3444">
        <w:rPr>
          <w:sz w:val="24"/>
          <w:szCs w:val="24"/>
        </w:rPr>
        <w:t xml:space="preserve">I studie 770-102 og 770-103 hos patienter med </w:t>
      </w:r>
      <w:r w:rsidRPr="006B3444">
        <w:rPr>
          <w:i/>
          <w:sz w:val="24"/>
          <w:szCs w:val="24"/>
        </w:rPr>
        <w:t>G551D-</w:t>
      </w:r>
      <w:r w:rsidRPr="006B3444">
        <w:rPr>
          <w:sz w:val="24"/>
          <w:szCs w:val="24"/>
        </w:rPr>
        <w:t xml:space="preserve">mutationen i </w:t>
      </w:r>
      <w:proofErr w:type="gramStart"/>
      <w:r w:rsidRPr="006B3444">
        <w:rPr>
          <w:sz w:val="24"/>
          <w:szCs w:val="24"/>
        </w:rPr>
        <w:t>et allel</w:t>
      </w:r>
      <w:proofErr w:type="gramEnd"/>
      <w:r w:rsidRPr="006B3444">
        <w:rPr>
          <w:sz w:val="24"/>
          <w:szCs w:val="24"/>
        </w:rPr>
        <w:t xml:space="preserve"> på </w:t>
      </w:r>
      <w:r w:rsidRPr="006B3444">
        <w:rPr>
          <w:i/>
          <w:sz w:val="24"/>
          <w:szCs w:val="24"/>
        </w:rPr>
        <w:t>CFTR</w:t>
      </w:r>
      <w:r w:rsidRPr="006B3444">
        <w:rPr>
          <w:sz w:val="24"/>
          <w:szCs w:val="24"/>
        </w:rPr>
        <w:t xml:space="preserve">-genet førte ivacaftor til en hurtig (15 dages), betydelig (den gennemsnitlige ændring i sved-chloridkoncentration fra </w:t>
      </w:r>
      <w:r w:rsidRPr="006B3444">
        <w:rPr>
          <w:i/>
          <w:sz w:val="24"/>
          <w:szCs w:val="24"/>
        </w:rPr>
        <w:t xml:space="preserve">baseline </w:t>
      </w:r>
      <w:r w:rsidRPr="006B3444">
        <w:rPr>
          <w:sz w:val="24"/>
          <w:szCs w:val="24"/>
        </w:rPr>
        <w:t>til og med uge 24 var hhv. -48 mmol/l [95 % CI: -51; -45] og -54 mmol/l [95 % CI: -62; - 47]) og vedvarende (til og med 48 uger) reduktioner i sved-chloridkoncentrationen.</w:t>
      </w:r>
    </w:p>
    <w:p w14:paraId="0F476406" w14:textId="77777777" w:rsidR="006B3444" w:rsidRPr="006B3444" w:rsidRDefault="006B3444" w:rsidP="00B76914">
      <w:pPr>
        <w:ind w:left="851"/>
        <w:rPr>
          <w:sz w:val="24"/>
          <w:szCs w:val="24"/>
        </w:rPr>
      </w:pPr>
    </w:p>
    <w:p w14:paraId="40D4F419" w14:textId="77777777" w:rsidR="006B3444" w:rsidRPr="006B3444" w:rsidRDefault="006B3444" w:rsidP="00B76914">
      <w:pPr>
        <w:ind w:left="851"/>
        <w:rPr>
          <w:sz w:val="24"/>
          <w:szCs w:val="24"/>
        </w:rPr>
      </w:pPr>
      <w:r w:rsidRPr="006B3444">
        <w:rPr>
          <w:sz w:val="24"/>
          <w:szCs w:val="24"/>
        </w:rPr>
        <w:t>I studie 770-111, del 1 hos patienter, som havde en non-</w:t>
      </w:r>
      <w:r w:rsidRPr="006B3444">
        <w:rPr>
          <w:i/>
          <w:sz w:val="24"/>
          <w:szCs w:val="24"/>
        </w:rPr>
        <w:t>G551D gating</w:t>
      </w:r>
      <w:r w:rsidRPr="006B3444">
        <w:rPr>
          <w:sz w:val="24"/>
          <w:szCs w:val="24"/>
        </w:rPr>
        <w:t xml:space="preserve">-mutation i </w:t>
      </w:r>
      <w:r w:rsidRPr="006B3444">
        <w:rPr>
          <w:i/>
          <w:sz w:val="24"/>
          <w:szCs w:val="24"/>
        </w:rPr>
        <w:t>CFTR</w:t>
      </w:r>
      <w:r w:rsidRPr="006B3444">
        <w:rPr>
          <w:sz w:val="24"/>
          <w:szCs w:val="24"/>
        </w:rPr>
        <w:t xml:space="preserve">-genet, førte behandling med ivacaftor til en hurtig (15 dage) og betydelig gennemsnitlig ændring fra </w:t>
      </w:r>
      <w:r w:rsidRPr="006B3444">
        <w:rPr>
          <w:i/>
          <w:sz w:val="24"/>
          <w:szCs w:val="24"/>
        </w:rPr>
        <w:t xml:space="preserve">baseline </w:t>
      </w:r>
      <w:r w:rsidRPr="006B3444">
        <w:rPr>
          <w:sz w:val="24"/>
          <w:szCs w:val="24"/>
        </w:rPr>
        <w:t xml:space="preserve">i sved-chlorid på -49 mmol/l (95 % CI: -57; -41) til og med 8 ugers behandling. Hos patienter med </w:t>
      </w:r>
      <w:r w:rsidRPr="006B3444">
        <w:rPr>
          <w:i/>
          <w:sz w:val="24"/>
          <w:szCs w:val="24"/>
        </w:rPr>
        <w:t>G970R-CFTR-</w:t>
      </w:r>
      <w:r w:rsidRPr="006B3444">
        <w:rPr>
          <w:sz w:val="24"/>
          <w:szCs w:val="24"/>
        </w:rPr>
        <w:t>mutation var den gennemsnitlige (SD) absolutte ændring i sved-chlorid ved uge 8 imidlertid -6,25 (6,55) mmol/l. Resultaterne i del 2 af studiet svarede til resultaterne i del 1. Ved 4-ugers-opfølgningsbesøget (4 uger efter afslutning af dosering med ivacaftor) bevægede middelværdierne for sved-chlorid for hver gruppe sig mod niveauerne før behandling.</w:t>
      </w:r>
    </w:p>
    <w:p w14:paraId="44A54C95" w14:textId="77777777" w:rsidR="006B3444" w:rsidRPr="006B3444" w:rsidRDefault="006B3444" w:rsidP="00B76914">
      <w:pPr>
        <w:ind w:left="851"/>
        <w:rPr>
          <w:sz w:val="24"/>
          <w:szCs w:val="24"/>
        </w:rPr>
      </w:pPr>
    </w:p>
    <w:p w14:paraId="1477C061" w14:textId="464AD4E4" w:rsidR="006B3444" w:rsidRPr="006B3444" w:rsidRDefault="006B3444" w:rsidP="00B76914">
      <w:pPr>
        <w:ind w:left="851"/>
        <w:rPr>
          <w:sz w:val="24"/>
          <w:szCs w:val="24"/>
        </w:rPr>
      </w:pPr>
      <w:r w:rsidRPr="006B3444">
        <w:rPr>
          <w:sz w:val="24"/>
          <w:szCs w:val="24"/>
        </w:rPr>
        <w:t xml:space="preserve">I studie 770-110 hos patienter i alderen 6 år eller ældre med CF, som havde en </w:t>
      </w:r>
      <w:r w:rsidRPr="006B3444">
        <w:rPr>
          <w:i/>
          <w:sz w:val="24"/>
          <w:szCs w:val="24"/>
        </w:rPr>
        <w:t>R117H</w:t>
      </w:r>
      <w:r w:rsidRPr="006B3444">
        <w:rPr>
          <w:sz w:val="24"/>
          <w:szCs w:val="24"/>
        </w:rPr>
        <w:t xml:space="preserve">-mutation i </w:t>
      </w:r>
      <w:r w:rsidRPr="006B3444">
        <w:rPr>
          <w:i/>
          <w:sz w:val="24"/>
          <w:szCs w:val="24"/>
        </w:rPr>
        <w:t>CFTR</w:t>
      </w:r>
      <w:r w:rsidRPr="006B3444">
        <w:rPr>
          <w:sz w:val="24"/>
          <w:szCs w:val="24"/>
        </w:rPr>
        <w:t xml:space="preserve">-genet, var behandlingsforskellen i gennemsnitlig ændring i sved-chlorid fra </w:t>
      </w:r>
      <w:r w:rsidRPr="006B3444">
        <w:rPr>
          <w:i/>
          <w:sz w:val="24"/>
          <w:szCs w:val="24"/>
        </w:rPr>
        <w:t xml:space="preserve">baseline </w:t>
      </w:r>
      <w:r w:rsidRPr="006B3444">
        <w:rPr>
          <w:sz w:val="24"/>
          <w:szCs w:val="24"/>
        </w:rPr>
        <w:t xml:space="preserve">til og med uge 24 i behandlingsforløbet -24 mmol/l (95 % CI: -28; -20). I en aldersopdelt undergruppeanalyse var behandlingsforskellen -21,87 mmol/l (95 % CI: -26,46; -17,28) hos patienter i alderen 18 år eller ældre og -27,63 mmol/l (95 % CI: -37,16; -18,10) hos patienter i alderen 6 til 11 år. To patienter i alderen 12 til 17 år indgik i dette studie. </w:t>
      </w:r>
    </w:p>
    <w:p w14:paraId="511C1152" w14:textId="77777777" w:rsidR="006B3444" w:rsidRPr="006B3444" w:rsidRDefault="006B3444" w:rsidP="00B76914">
      <w:pPr>
        <w:ind w:left="851"/>
        <w:rPr>
          <w:sz w:val="24"/>
          <w:szCs w:val="24"/>
        </w:rPr>
      </w:pPr>
    </w:p>
    <w:p w14:paraId="15D50038" w14:textId="77777777" w:rsidR="006B3444" w:rsidRPr="006B3444" w:rsidRDefault="006B3444" w:rsidP="00B76914">
      <w:pPr>
        <w:ind w:left="851"/>
        <w:rPr>
          <w:sz w:val="24"/>
          <w:szCs w:val="24"/>
        </w:rPr>
      </w:pPr>
      <w:r w:rsidRPr="006B3444">
        <w:rPr>
          <w:sz w:val="24"/>
          <w:szCs w:val="24"/>
          <w:u w:val="single"/>
        </w:rPr>
        <w:t>Klinisk virkning og sikkerhed</w:t>
      </w:r>
    </w:p>
    <w:p w14:paraId="27762768" w14:textId="77777777" w:rsidR="006B3444" w:rsidRPr="006B3444" w:rsidRDefault="006B3444" w:rsidP="00B76914">
      <w:pPr>
        <w:ind w:left="851"/>
        <w:rPr>
          <w:sz w:val="24"/>
          <w:szCs w:val="24"/>
        </w:rPr>
      </w:pPr>
    </w:p>
    <w:p w14:paraId="7AD28A0F" w14:textId="77777777" w:rsidR="006B3444" w:rsidRPr="006B3444" w:rsidRDefault="006B3444" w:rsidP="00B76914">
      <w:pPr>
        <w:ind w:left="851"/>
        <w:rPr>
          <w:i/>
          <w:sz w:val="24"/>
          <w:szCs w:val="24"/>
        </w:rPr>
      </w:pPr>
      <w:r w:rsidRPr="006B3444">
        <w:rPr>
          <w:i/>
          <w:sz w:val="24"/>
          <w:szCs w:val="24"/>
        </w:rPr>
        <w:t>Ivacaftor som monoterapi</w:t>
      </w:r>
    </w:p>
    <w:p w14:paraId="7A075403" w14:textId="77777777" w:rsidR="006B3444" w:rsidRPr="006B3444" w:rsidRDefault="006B3444" w:rsidP="00B76914">
      <w:pPr>
        <w:ind w:left="851"/>
        <w:rPr>
          <w:i/>
          <w:sz w:val="24"/>
          <w:szCs w:val="24"/>
        </w:rPr>
      </w:pPr>
    </w:p>
    <w:p w14:paraId="062EECF5" w14:textId="77777777" w:rsidR="006B3444" w:rsidRPr="006B3444" w:rsidRDefault="006B3444" w:rsidP="00B76914">
      <w:pPr>
        <w:ind w:left="851"/>
        <w:rPr>
          <w:i/>
          <w:sz w:val="24"/>
          <w:szCs w:val="24"/>
        </w:rPr>
      </w:pPr>
      <w:r w:rsidRPr="006B3444">
        <w:rPr>
          <w:i/>
          <w:sz w:val="24"/>
          <w:szCs w:val="24"/>
          <w:u w:val="single"/>
        </w:rPr>
        <w:t>Studie 770-102 og 770-103: studier hos patienter med CF med G551D gating-mutationer</w:t>
      </w:r>
    </w:p>
    <w:p w14:paraId="51451BD7" w14:textId="77777777" w:rsidR="006B3444" w:rsidRPr="006B3444" w:rsidRDefault="006B3444" w:rsidP="00B76914">
      <w:pPr>
        <w:ind w:left="851"/>
        <w:rPr>
          <w:i/>
          <w:sz w:val="24"/>
          <w:szCs w:val="24"/>
        </w:rPr>
      </w:pPr>
    </w:p>
    <w:p w14:paraId="6349E0B8" w14:textId="77777777" w:rsidR="006B3444" w:rsidRPr="006B3444" w:rsidRDefault="006B3444" w:rsidP="00B76914">
      <w:pPr>
        <w:ind w:left="851"/>
        <w:rPr>
          <w:sz w:val="24"/>
          <w:szCs w:val="24"/>
        </w:rPr>
      </w:pPr>
      <w:r w:rsidRPr="006B3444">
        <w:rPr>
          <w:sz w:val="24"/>
          <w:szCs w:val="24"/>
        </w:rPr>
        <w:t xml:space="preserve">Ivacaftors virkning er blevet evalueret i to fase 3 randomiserede, dobbeltblinde, placebokontrollerede multicenter-studier med klinisk stabile patienter med CF, som havde </w:t>
      </w:r>
      <w:r w:rsidRPr="006B3444">
        <w:rPr>
          <w:i/>
          <w:sz w:val="24"/>
          <w:szCs w:val="24"/>
        </w:rPr>
        <w:t>G551D-</w:t>
      </w:r>
      <w:r w:rsidRPr="006B3444">
        <w:rPr>
          <w:sz w:val="24"/>
          <w:szCs w:val="24"/>
        </w:rPr>
        <w:t xml:space="preserve">mutationen i </w:t>
      </w:r>
      <w:r w:rsidRPr="006B3444">
        <w:rPr>
          <w:i/>
          <w:sz w:val="24"/>
          <w:szCs w:val="24"/>
        </w:rPr>
        <w:t>CFTR</w:t>
      </w:r>
      <w:r w:rsidRPr="006B3444">
        <w:rPr>
          <w:sz w:val="24"/>
          <w:szCs w:val="24"/>
        </w:rPr>
        <w:t>-genet på mindst én allel, og havde FEV</w:t>
      </w:r>
      <w:r w:rsidRPr="006B3444">
        <w:rPr>
          <w:sz w:val="24"/>
          <w:szCs w:val="24"/>
          <w:vertAlign w:val="subscript"/>
        </w:rPr>
        <w:t>1</w:t>
      </w:r>
      <w:r w:rsidRPr="006B3444">
        <w:rPr>
          <w:sz w:val="24"/>
          <w:szCs w:val="24"/>
        </w:rPr>
        <w:t xml:space="preserve"> ≥40 % af forventet værdi.</w:t>
      </w:r>
    </w:p>
    <w:p w14:paraId="243ED5FA" w14:textId="77777777" w:rsidR="006B3444" w:rsidRPr="006B3444" w:rsidRDefault="006B3444" w:rsidP="00B76914">
      <w:pPr>
        <w:ind w:left="851"/>
        <w:rPr>
          <w:sz w:val="24"/>
          <w:szCs w:val="24"/>
        </w:rPr>
      </w:pPr>
    </w:p>
    <w:p w14:paraId="19A39736" w14:textId="77777777" w:rsidR="006B3444" w:rsidRPr="006B3444" w:rsidRDefault="006B3444" w:rsidP="00B76914">
      <w:pPr>
        <w:ind w:left="851"/>
        <w:rPr>
          <w:sz w:val="24"/>
          <w:szCs w:val="24"/>
        </w:rPr>
      </w:pPr>
      <w:r w:rsidRPr="006B3444">
        <w:rPr>
          <w:sz w:val="24"/>
          <w:szCs w:val="24"/>
        </w:rPr>
        <w:t>Patienter i begge studier blev randomiseret i forholdet 1:1 til enten at få 150 mg ivacaftor eller placebo hver 12. time sammen med fedtholdig mad i 48 uger i tillæg til deres ordinerede CF-behandlinger (f.eks. tobramycin, dornase alfa). Brugen af inhaleret hypertonisk natriumchlorid var ikke tilladt.</w:t>
      </w:r>
    </w:p>
    <w:p w14:paraId="33ECBFB8" w14:textId="77777777" w:rsidR="006B3444" w:rsidRPr="006B3444" w:rsidRDefault="006B3444" w:rsidP="00B76914">
      <w:pPr>
        <w:ind w:left="851"/>
        <w:rPr>
          <w:sz w:val="24"/>
          <w:szCs w:val="24"/>
        </w:rPr>
      </w:pPr>
    </w:p>
    <w:p w14:paraId="1C83CC2A" w14:textId="5601909C" w:rsidR="006B3444" w:rsidRPr="006B3444" w:rsidRDefault="006B3444" w:rsidP="00B76914">
      <w:pPr>
        <w:ind w:left="851"/>
        <w:rPr>
          <w:sz w:val="24"/>
          <w:szCs w:val="24"/>
        </w:rPr>
      </w:pPr>
      <w:r w:rsidRPr="006B3444">
        <w:rPr>
          <w:sz w:val="24"/>
          <w:szCs w:val="24"/>
        </w:rPr>
        <w:t>Studie 770-102 evaluerede 161 patienter, som var i alderen 12 år eller derover. 122 (75,8</w:t>
      </w:r>
      <w:r w:rsidR="00286CAA">
        <w:rPr>
          <w:sz w:val="24"/>
          <w:szCs w:val="24"/>
        </w:rPr>
        <w:t> </w:t>
      </w:r>
      <w:r w:rsidRPr="006B3444">
        <w:rPr>
          <w:sz w:val="24"/>
          <w:szCs w:val="24"/>
        </w:rPr>
        <w:t xml:space="preserve">%) patienter havde </w:t>
      </w:r>
      <w:r w:rsidRPr="006B3444">
        <w:rPr>
          <w:i/>
          <w:sz w:val="24"/>
          <w:szCs w:val="24"/>
        </w:rPr>
        <w:t>F508del</w:t>
      </w:r>
      <w:r w:rsidRPr="006B3444">
        <w:rPr>
          <w:sz w:val="24"/>
          <w:szCs w:val="24"/>
        </w:rPr>
        <w:t xml:space="preserve">-mutationen i den anden allel. Ved starten af studiet anvendte patienterne i placebogruppen nogle lægemidler med en større hyppighed end i ivacaftor-gruppen. Disse lægemidler omfattede dornase alfa (73,1 % </w:t>
      </w:r>
      <w:r w:rsidRPr="006B3444">
        <w:rPr>
          <w:i/>
          <w:sz w:val="24"/>
          <w:szCs w:val="24"/>
        </w:rPr>
        <w:t xml:space="preserve">versus </w:t>
      </w:r>
      <w:r w:rsidRPr="006B3444">
        <w:rPr>
          <w:sz w:val="24"/>
          <w:szCs w:val="24"/>
        </w:rPr>
        <w:t xml:space="preserve">65,1 %), salbutamol (53,8 % </w:t>
      </w:r>
      <w:r w:rsidRPr="006B3444">
        <w:rPr>
          <w:i/>
          <w:sz w:val="24"/>
          <w:szCs w:val="24"/>
        </w:rPr>
        <w:t xml:space="preserve">versus </w:t>
      </w:r>
      <w:r w:rsidRPr="006B3444">
        <w:rPr>
          <w:sz w:val="24"/>
          <w:szCs w:val="24"/>
        </w:rPr>
        <w:t xml:space="preserve">42,2 %), tobramycin (44,9 % </w:t>
      </w:r>
      <w:r w:rsidRPr="006B3444">
        <w:rPr>
          <w:i/>
          <w:sz w:val="24"/>
          <w:szCs w:val="24"/>
        </w:rPr>
        <w:t xml:space="preserve">versus </w:t>
      </w:r>
      <w:r w:rsidRPr="006B3444">
        <w:rPr>
          <w:sz w:val="24"/>
          <w:szCs w:val="24"/>
        </w:rPr>
        <w:t xml:space="preserve">33,7 %) og salmeterol/fluticason (41,0 % </w:t>
      </w:r>
      <w:r w:rsidRPr="006B3444">
        <w:rPr>
          <w:i/>
          <w:sz w:val="24"/>
          <w:szCs w:val="24"/>
        </w:rPr>
        <w:t xml:space="preserve">versus </w:t>
      </w:r>
      <w:r w:rsidRPr="006B3444">
        <w:rPr>
          <w:sz w:val="24"/>
          <w:szCs w:val="24"/>
        </w:rPr>
        <w:t xml:space="preserve">27,7 %). Ved </w:t>
      </w:r>
      <w:r w:rsidRPr="006B3444">
        <w:rPr>
          <w:i/>
          <w:sz w:val="24"/>
          <w:szCs w:val="24"/>
        </w:rPr>
        <w:t xml:space="preserve">baseline </w:t>
      </w:r>
      <w:r w:rsidRPr="006B3444">
        <w:rPr>
          <w:sz w:val="24"/>
          <w:szCs w:val="24"/>
        </w:rPr>
        <w:t>var den gennemsnitlige forventede FEV</w:t>
      </w:r>
      <w:r w:rsidRPr="006B3444">
        <w:rPr>
          <w:sz w:val="24"/>
          <w:szCs w:val="24"/>
          <w:vertAlign w:val="subscript"/>
        </w:rPr>
        <w:t>1</w:t>
      </w:r>
      <w:r w:rsidRPr="006B3444">
        <w:rPr>
          <w:sz w:val="24"/>
          <w:szCs w:val="24"/>
        </w:rPr>
        <w:t xml:space="preserve"> 63,6 % (interval: 31,6 % til 98,2 %), og gennemsnitsalderen var 26 år (interval: 12 til 53 år).</w:t>
      </w:r>
    </w:p>
    <w:p w14:paraId="073C2454" w14:textId="77777777" w:rsidR="006B3444" w:rsidRPr="006B3444" w:rsidRDefault="006B3444" w:rsidP="00B76914">
      <w:pPr>
        <w:ind w:left="851"/>
        <w:rPr>
          <w:sz w:val="24"/>
          <w:szCs w:val="24"/>
        </w:rPr>
      </w:pPr>
    </w:p>
    <w:p w14:paraId="294A5F6B" w14:textId="67C7C826" w:rsidR="006B3444" w:rsidRPr="006B3444" w:rsidRDefault="006B3444" w:rsidP="00B76914">
      <w:pPr>
        <w:ind w:left="851"/>
        <w:rPr>
          <w:sz w:val="24"/>
          <w:szCs w:val="24"/>
        </w:rPr>
      </w:pPr>
      <w:r w:rsidRPr="006B3444">
        <w:rPr>
          <w:sz w:val="24"/>
          <w:szCs w:val="24"/>
        </w:rPr>
        <w:t xml:space="preserve">Studie 770-103 evaluerede 52 patienter, som var i alderen 6 til 11 år ved screening. Den gennemsnitlige (SD) kropsvægt var 30,9 (8,63) kg. 42 (80,8 %) patienter havde </w:t>
      </w:r>
      <w:r w:rsidRPr="006B3444">
        <w:rPr>
          <w:i/>
          <w:sz w:val="24"/>
          <w:szCs w:val="24"/>
        </w:rPr>
        <w:t>F508del</w:t>
      </w:r>
      <w:r w:rsidRPr="006B3444">
        <w:rPr>
          <w:sz w:val="24"/>
          <w:szCs w:val="24"/>
        </w:rPr>
        <w:t xml:space="preserve">-mutationen i den anden allel. Ved </w:t>
      </w:r>
      <w:r w:rsidRPr="006B3444">
        <w:rPr>
          <w:i/>
          <w:sz w:val="24"/>
          <w:szCs w:val="24"/>
        </w:rPr>
        <w:t xml:space="preserve">baseline </w:t>
      </w:r>
      <w:r w:rsidRPr="006B3444">
        <w:rPr>
          <w:sz w:val="24"/>
          <w:szCs w:val="24"/>
        </w:rPr>
        <w:t>var den gennemsnitlige forventede FEV</w:t>
      </w:r>
      <w:r w:rsidRPr="006B3444">
        <w:rPr>
          <w:sz w:val="24"/>
          <w:szCs w:val="24"/>
          <w:vertAlign w:val="subscript"/>
        </w:rPr>
        <w:t>1</w:t>
      </w:r>
      <w:r w:rsidRPr="006B3444">
        <w:rPr>
          <w:sz w:val="24"/>
          <w:szCs w:val="24"/>
        </w:rPr>
        <w:t xml:space="preserve"> 84,2</w:t>
      </w:r>
      <w:r w:rsidR="00B67369">
        <w:rPr>
          <w:sz w:val="24"/>
          <w:szCs w:val="24"/>
        </w:rPr>
        <w:t> </w:t>
      </w:r>
      <w:r w:rsidRPr="006B3444">
        <w:rPr>
          <w:sz w:val="24"/>
          <w:szCs w:val="24"/>
        </w:rPr>
        <w:t>% (interval: 44,0 % til 133,8 %), og gennemsnitsalderen var 9 år (interval: 6 til 12 år). 8 (30,8 %) patienter i placebogruppen og 4 (15,4 %) patienter i ivacaftor-gruppen havde en FEV</w:t>
      </w:r>
      <w:r w:rsidRPr="006B3444">
        <w:rPr>
          <w:sz w:val="24"/>
          <w:szCs w:val="24"/>
          <w:vertAlign w:val="subscript"/>
        </w:rPr>
        <w:t>1</w:t>
      </w:r>
      <w:r w:rsidRPr="006B3444">
        <w:rPr>
          <w:sz w:val="24"/>
          <w:szCs w:val="24"/>
        </w:rPr>
        <w:t xml:space="preserve"> under 70 % af den forventede ved </w:t>
      </w:r>
      <w:r w:rsidRPr="006B3444">
        <w:rPr>
          <w:i/>
          <w:sz w:val="24"/>
          <w:szCs w:val="24"/>
        </w:rPr>
        <w:t>baseline</w:t>
      </w:r>
      <w:r w:rsidRPr="006B3444">
        <w:rPr>
          <w:sz w:val="24"/>
          <w:szCs w:val="24"/>
        </w:rPr>
        <w:t>.</w:t>
      </w:r>
    </w:p>
    <w:p w14:paraId="253B487D" w14:textId="77777777" w:rsidR="006B3444" w:rsidRPr="006B3444" w:rsidRDefault="006B3444" w:rsidP="00B76914">
      <w:pPr>
        <w:ind w:left="851"/>
        <w:rPr>
          <w:sz w:val="24"/>
          <w:szCs w:val="24"/>
        </w:rPr>
      </w:pPr>
    </w:p>
    <w:p w14:paraId="6E58BB39" w14:textId="77777777" w:rsidR="006B3444" w:rsidRPr="006B3444" w:rsidRDefault="006B3444" w:rsidP="00B76914">
      <w:pPr>
        <w:ind w:left="851"/>
        <w:rPr>
          <w:sz w:val="24"/>
          <w:szCs w:val="24"/>
        </w:rPr>
      </w:pPr>
      <w:r w:rsidRPr="006B3444">
        <w:rPr>
          <w:sz w:val="24"/>
          <w:szCs w:val="24"/>
        </w:rPr>
        <w:t xml:space="preserve">Det primære endepunkt for virkning i begge studier var den gennemsnitlige absolutte ændring fra </w:t>
      </w:r>
      <w:r w:rsidRPr="006B3444">
        <w:rPr>
          <w:i/>
          <w:sz w:val="24"/>
          <w:szCs w:val="24"/>
        </w:rPr>
        <w:t xml:space="preserve">baseline </w:t>
      </w:r>
      <w:r w:rsidRPr="006B3444">
        <w:rPr>
          <w:sz w:val="24"/>
          <w:szCs w:val="24"/>
        </w:rPr>
        <w:t>i procent af forventet FEV</w:t>
      </w:r>
      <w:r w:rsidRPr="006B3444">
        <w:rPr>
          <w:sz w:val="24"/>
          <w:szCs w:val="24"/>
          <w:vertAlign w:val="subscript"/>
        </w:rPr>
        <w:t>1</w:t>
      </w:r>
      <w:r w:rsidRPr="006B3444">
        <w:rPr>
          <w:sz w:val="24"/>
          <w:szCs w:val="24"/>
        </w:rPr>
        <w:t xml:space="preserve"> til og med 24 ugers behandling.</w:t>
      </w:r>
    </w:p>
    <w:p w14:paraId="5D13756A" w14:textId="77777777" w:rsidR="006B3444" w:rsidRPr="006B3444" w:rsidRDefault="006B3444" w:rsidP="00B76914">
      <w:pPr>
        <w:ind w:left="851"/>
        <w:rPr>
          <w:sz w:val="24"/>
          <w:szCs w:val="24"/>
        </w:rPr>
      </w:pPr>
    </w:p>
    <w:p w14:paraId="4E8C3926" w14:textId="77777777" w:rsidR="006B3444" w:rsidRPr="006B3444" w:rsidRDefault="006B3444" w:rsidP="00B76914">
      <w:pPr>
        <w:ind w:left="851"/>
        <w:rPr>
          <w:sz w:val="24"/>
          <w:szCs w:val="24"/>
        </w:rPr>
      </w:pPr>
      <w:r w:rsidRPr="006B3444">
        <w:rPr>
          <w:sz w:val="24"/>
          <w:szCs w:val="24"/>
        </w:rPr>
        <w:t>Forskellen ved behandling med ivacaftor og placebo med hensyn til den gennemsnitlige absolutte ændring (95 % CI) i procent af forventet FEV</w:t>
      </w:r>
      <w:r w:rsidRPr="006B3444">
        <w:rPr>
          <w:sz w:val="24"/>
          <w:szCs w:val="24"/>
          <w:vertAlign w:val="subscript"/>
        </w:rPr>
        <w:t>1</w:t>
      </w:r>
      <w:r w:rsidRPr="006B3444">
        <w:rPr>
          <w:sz w:val="24"/>
          <w:szCs w:val="24"/>
        </w:rPr>
        <w:t xml:space="preserve"> fra </w:t>
      </w:r>
      <w:r w:rsidRPr="006B3444">
        <w:rPr>
          <w:i/>
          <w:sz w:val="24"/>
          <w:szCs w:val="24"/>
        </w:rPr>
        <w:t xml:space="preserve">baseline </w:t>
      </w:r>
      <w:r w:rsidRPr="006B3444">
        <w:rPr>
          <w:sz w:val="24"/>
          <w:szCs w:val="24"/>
        </w:rPr>
        <w:t>til og med uge 24 var 10,6 procentpoints (8,6; 12,6) i studie 770-102 og 12,5 procentpoints (6,6; 18,3) i studie 770-103. Forskellen ved behandling med ivacaftor og placebo med hensyn til den gennemsnitlige relative ændring (95 % CI) i procent af forventet FEV</w:t>
      </w:r>
      <w:r w:rsidRPr="006B3444">
        <w:rPr>
          <w:sz w:val="24"/>
          <w:szCs w:val="24"/>
          <w:vertAlign w:val="subscript"/>
        </w:rPr>
        <w:t>1</w:t>
      </w:r>
      <w:r w:rsidRPr="006B3444">
        <w:rPr>
          <w:sz w:val="24"/>
          <w:szCs w:val="24"/>
        </w:rPr>
        <w:t xml:space="preserve"> fra </w:t>
      </w:r>
      <w:r w:rsidRPr="006B3444">
        <w:rPr>
          <w:i/>
          <w:sz w:val="24"/>
          <w:szCs w:val="24"/>
        </w:rPr>
        <w:t xml:space="preserve">baseline </w:t>
      </w:r>
      <w:r w:rsidRPr="006B3444">
        <w:rPr>
          <w:sz w:val="24"/>
          <w:szCs w:val="24"/>
        </w:rPr>
        <w:t xml:space="preserve">til og med uge 24 var 17,1 % (13,9; 20,2) i studie 770-102 og 15,8 % (8,4; 23,2) i studie 770-103. Den gennemsnitlige ændring fra </w:t>
      </w:r>
      <w:r w:rsidRPr="006B3444">
        <w:rPr>
          <w:i/>
          <w:sz w:val="24"/>
          <w:szCs w:val="24"/>
        </w:rPr>
        <w:t xml:space="preserve">baseline </w:t>
      </w:r>
      <w:r w:rsidRPr="006B3444">
        <w:rPr>
          <w:sz w:val="24"/>
          <w:szCs w:val="24"/>
        </w:rPr>
        <w:t>til og med uge 24 i FEV</w:t>
      </w:r>
      <w:r w:rsidRPr="006B3444">
        <w:rPr>
          <w:sz w:val="24"/>
          <w:szCs w:val="24"/>
          <w:vertAlign w:val="subscript"/>
        </w:rPr>
        <w:t>1</w:t>
      </w:r>
      <w:r w:rsidRPr="006B3444">
        <w:rPr>
          <w:sz w:val="24"/>
          <w:szCs w:val="24"/>
        </w:rPr>
        <w:t xml:space="preserve"> (l) var 0,37 l i ivacaftor-gruppen og 0,01 l i placebo-gruppen i studie 770-102, og 0,30 l i ivacaftor-gruppen og 0,07 l i placebogruppen i studie 770-103. I begge studier sås der hurtigt forbedringer i FEV</w:t>
      </w:r>
      <w:r w:rsidRPr="006B3444">
        <w:rPr>
          <w:sz w:val="24"/>
          <w:szCs w:val="24"/>
          <w:vertAlign w:val="subscript"/>
        </w:rPr>
        <w:t>1</w:t>
      </w:r>
      <w:r w:rsidRPr="006B3444">
        <w:rPr>
          <w:sz w:val="24"/>
          <w:szCs w:val="24"/>
        </w:rPr>
        <w:t xml:space="preserve"> (dag 15), og de varede ved til og med 48 uger.</w:t>
      </w:r>
    </w:p>
    <w:p w14:paraId="7479583E" w14:textId="77777777" w:rsidR="006B3444" w:rsidRPr="006B3444" w:rsidRDefault="006B3444" w:rsidP="00B76914">
      <w:pPr>
        <w:ind w:left="851"/>
        <w:rPr>
          <w:sz w:val="24"/>
          <w:szCs w:val="24"/>
        </w:rPr>
      </w:pPr>
    </w:p>
    <w:p w14:paraId="6E3B42E0" w14:textId="77777777" w:rsidR="006B3444" w:rsidRPr="006B3444" w:rsidRDefault="006B3444" w:rsidP="00B76914">
      <w:pPr>
        <w:ind w:left="851"/>
        <w:rPr>
          <w:sz w:val="24"/>
          <w:szCs w:val="24"/>
        </w:rPr>
      </w:pPr>
      <w:r w:rsidRPr="006B3444">
        <w:rPr>
          <w:sz w:val="24"/>
          <w:szCs w:val="24"/>
        </w:rPr>
        <w:t>Behandlingsforskellen mellem ivacaftor og placebo for den gennemsnitlige absolutte ændring (95 % CI) i procent af forventet FEV</w:t>
      </w:r>
      <w:r w:rsidRPr="006B3444">
        <w:rPr>
          <w:sz w:val="24"/>
          <w:szCs w:val="24"/>
          <w:vertAlign w:val="subscript"/>
        </w:rPr>
        <w:t>1</w:t>
      </w:r>
      <w:r w:rsidRPr="006B3444">
        <w:rPr>
          <w:sz w:val="24"/>
          <w:szCs w:val="24"/>
        </w:rPr>
        <w:t xml:space="preserve"> fra </w:t>
      </w:r>
      <w:r w:rsidRPr="006B3444">
        <w:rPr>
          <w:i/>
          <w:sz w:val="24"/>
          <w:szCs w:val="24"/>
        </w:rPr>
        <w:t xml:space="preserve">baseline </w:t>
      </w:r>
      <w:r w:rsidRPr="006B3444">
        <w:rPr>
          <w:sz w:val="24"/>
          <w:szCs w:val="24"/>
        </w:rPr>
        <w:t>til og med uge 24 hos patienter fra 12 til 17 år i studie 770-102 var 11,9 procentpoint (5,9; 17,9). Behandlingsforskellen mellem ivacaftor og placebo for den gennemsnitlige absolutte ændring (95 % CI) i procent af forventet FEV</w:t>
      </w:r>
      <w:r w:rsidRPr="006B3444">
        <w:rPr>
          <w:sz w:val="24"/>
          <w:szCs w:val="24"/>
          <w:vertAlign w:val="subscript"/>
        </w:rPr>
        <w:t>1</w:t>
      </w:r>
      <w:r w:rsidRPr="006B3444">
        <w:rPr>
          <w:sz w:val="24"/>
          <w:szCs w:val="24"/>
        </w:rPr>
        <w:t xml:space="preserve"> fra </w:t>
      </w:r>
      <w:r w:rsidRPr="006B3444">
        <w:rPr>
          <w:i/>
          <w:sz w:val="24"/>
          <w:szCs w:val="24"/>
        </w:rPr>
        <w:t xml:space="preserve">baseline </w:t>
      </w:r>
      <w:r w:rsidRPr="006B3444">
        <w:rPr>
          <w:sz w:val="24"/>
          <w:szCs w:val="24"/>
        </w:rPr>
        <w:t>til og med uge 24 hos patienter med forventet FEV</w:t>
      </w:r>
      <w:r w:rsidRPr="006B3444">
        <w:rPr>
          <w:sz w:val="24"/>
          <w:szCs w:val="24"/>
          <w:vertAlign w:val="subscript"/>
        </w:rPr>
        <w:t>1</w:t>
      </w:r>
      <w:r w:rsidRPr="006B3444">
        <w:rPr>
          <w:sz w:val="24"/>
          <w:szCs w:val="24"/>
        </w:rPr>
        <w:t xml:space="preserve"> ved </w:t>
      </w:r>
      <w:r w:rsidRPr="006B3444">
        <w:rPr>
          <w:i/>
          <w:sz w:val="24"/>
          <w:szCs w:val="24"/>
        </w:rPr>
        <w:t xml:space="preserve">baseline </w:t>
      </w:r>
      <w:r w:rsidRPr="006B3444">
        <w:rPr>
          <w:sz w:val="24"/>
          <w:szCs w:val="24"/>
        </w:rPr>
        <w:t>over 90 % i studie 770-103 var 6,9 procentpoint (-3,8; 17,6).</w:t>
      </w:r>
    </w:p>
    <w:p w14:paraId="72816B0E" w14:textId="77777777" w:rsidR="006B3444" w:rsidRPr="006B3444" w:rsidRDefault="006B3444" w:rsidP="00B76914">
      <w:pPr>
        <w:ind w:left="851"/>
        <w:rPr>
          <w:sz w:val="24"/>
          <w:szCs w:val="24"/>
        </w:rPr>
      </w:pPr>
    </w:p>
    <w:p w14:paraId="69F4F6A3" w14:textId="12367978" w:rsidR="006B3444" w:rsidRPr="006B3444" w:rsidRDefault="006B3444" w:rsidP="00B76914">
      <w:pPr>
        <w:ind w:left="851"/>
        <w:rPr>
          <w:sz w:val="24"/>
          <w:szCs w:val="24"/>
        </w:rPr>
      </w:pPr>
      <w:r w:rsidRPr="006B3444">
        <w:rPr>
          <w:sz w:val="24"/>
          <w:szCs w:val="24"/>
        </w:rPr>
        <w:t>Resultaterne for klinisk relevante sekundære endepunkter er vist i tabel 6.</w:t>
      </w:r>
    </w:p>
    <w:p w14:paraId="75A6C379" w14:textId="77777777" w:rsidR="006B3444" w:rsidRPr="006B3444" w:rsidRDefault="006B3444" w:rsidP="00B76914">
      <w:pPr>
        <w:ind w:left="851"/>
        <w:rPr>
          <w:sz w:val="24"/>
          <w:szCs w:val="24"/>
        </w:rPr>
      </w:pPr>
    </w:p>
    <w:p w14:paraId="19A5E741" w14:textId="4EDEB0A8" w:rsidR="006B3444" w:rsidRPr="006B3444" w:rsidRDefault="006B3444" w:rsidP="00B76914">
      <w:pPr>
        <w:ind w:left="851"/>
        <w:rPr>
          <w:b/>
          <w:bCs/>
          <w:sz w:val="24"/>
          <w:szCs w:val="24"/>
        </w:rPr>
      </w:pPr>
      <w:r w:rsidRPr="006B3444">
        <w:rPr>
          <w:b/>
          <w:bCs/>
          <w:sz w:val="24"/>
          <w:szCs w:val="24"/>
        </w:rPr>
        <w:t>Tabel 6: Ivacaftors virkning på andre endepunkter for virkning i studie 770-102 og 770-103</w:t>
      </w:r>
    </w:p>
    <w:p w14:paraId="0CA56A7B" w14:textId="77777777" w:rsidR="006B3444" w:rsidRPr="006B3444" w:rsidRDefault="006B3444" w:rsidP="006B3444">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98"/>
        <w:gridCol w:w="1922"/>
        <w:gridCol w:w="1388"/>
        <w:gridCol w:w="1922"/>
        <w:gridCol w:w="1698"/>
      </w:tblGrid>
      <w:tr w:rsidR="006B3444" w:rsidRPr="006B3444" w14:paraId="2A634553" w14:textId="77777777" w:rsidTr="00B76914">
        <w:trPr>
          <w:trHeight w:val="252"/>
        </w:trPr>
        <w:tc>
          <w:tcPr>
            <w:tcW w:w="1401" w:type="pct"/>
            <w:tcBorders>
              <w:top w:val="single" w:sz="4" w:space="0" w:color="000000"/>
              <w:left w:val="single" w:sz="4" w:space="0" w:color="000000"/>
              <w:bottom w:val="single" w:sz="4" w:space="0" w:color="000000"/>
              <w:right w:val="single" w:sz="4" w:space="0" w:color="000000"/>
            </w:tcBorders>
          </w:tcPr>
          <w:p w14:paraId="40F29732" w14:textId="77777777" w:rsidR="006B3444" w:rsidRPr="006B3444" w:rsidRDefault="006B3444" w:rsidP="00B76914">
            <w:pPr>
              <w:ind w:left="133"/>
              <w:rPr>
                <w:sz w:val="24"/>
                <w:szCs w:val="24"/>
              </w:rPr>
            </w:pPr>
          </w:p>
        </w:tc>
        <w:tc>
          <w:tcPr>
            <w:tcW w:w="1719" w:type="pct"/>
            <w:gridSpan w:val="2"/>
            <w:tcBorders>
              <w:top w:val="single" w:sz="4" w:space="0" w:color="000000"/>
              <w:left w:val="single" w:sz="4" w:space="0" w:color="000000"/>
              <w:bottom w:val="single" w:sz="4" w:space="0" w:color="000000"/>
              <w:right w:val="single" w:sz="4" w:space="0" w:color="000000"/>
            </w:tcBorders>
            <w:hideMark/>
          </w:tcPr>
          <w:p w14:paraId="359F40F1" w14:textId="77777777" w:rsidR="006B3444" w:rsidRPr="006B3444" w:rsidRDefault="006B3444" w:rsidP="00B67369">
            <w:pPr>
              <w:ind w:left="133"/>
              <w:jc w:val="center"/>
              <w:rPr>
                <w:b/>
                <w:sz w:val="24"/>
                <w:szCs w:val="24"/>
                <w:lang w:val="en-US"/>
              </w:rPr>
            </w:pPr>
            <w:r w:rsidRPr="006B3444">
              <w:rPr>
                <w:b/>
                <w:sz w:val="24"/>
                <w:szCs w:val="24"/>
                <w:lang w:val="en-US"/>
              </w:rPr>
              <w:t>Studie 770-102</w:t>
            </w:r>
          </w:p>
        </w:tc>
        <w:tc>
          <w:tcPr>
            <w:tcW w:w="1880" w:type="pct"/>
            <w:gridSpan w:val="2"/>
            <w:tcBorders>
              <w:top w:val="single" w:sz="4" w:space="0" w:color="000000"/>
              <w:left w:val="single" w:sz="4" w:space="0" w:color="000000"/>
              <w:bottom w:val="single" w:sz="4" w:space="0" w:color="000000"/>
              <w:right w:val="single" w:sz="4" w:space="0" w:color="000000"/>
            </w:tcBorders>
            <w:hideMark/>
          </w:tcPr>
          <w:p w14:paraId="398B26FB" w14:textId="77777777" w:rsidR="006B3444" w:rsidRPr="006B3444" w:rsidRDefault="006B3444" w:rsidP="00B67369">
            <w:pPr>
              <w:ind w:left="133"/>
              <w:jc w:val="center"/>
              <w:rPr>
                <w:b/>
                <w:sz w:val="24"/>
                <w:szCs w:val="24"/>
                <w:lang w:val="en-US"/>
              </w:rPr>
            </w:pPr>
            <w:r w:rsidRPr="006B3444">
              <w:rPr>
                <w:b/>
                <w:sz w:val="24"/>
                <w:szCs w:val="24"/>
                <w:lang w:val="en-US"/>
              </w:rPr>
              <w:t>Studie 770-103</w:t>
            </w:r>
          </w:p>
        </w:tc>
      </w:tr>
      <w:tr w:rsidR="006B3444" w:rsidRPr="006B3444" w14:paraId="4926E5D8" w14:textId="77777777" w:rsidTr="00B76914">
        <w:trPr>
          <w:trHeight w:val="759"/>
        </w:trPr>
        <w:tc>
          <w:tcPr>
            <w:tcW w:w="1401" w:type="pct"/>
            <w:tcBorders>
              <w:top w:val="single" w:sz="4" w:space="0" w:color="000000"/>
              <w:left w:val="single" w:sz="4" w:space="0" w:color="000000"/>
              <w:bottom w:val="single" w:sz="4" w:space="0" w:color="000000"/>
              <w:right w:val="single" w:sz="4" w:space="0" w:color="000000"/>
            </w:tcBorders>
          </w:tcPr>
          <w:p w14:paraId="3D674856" w14:textId="77777777" w:rsidR="006B3444" w:rsidRPr="006B3444" w:rsidRDefault="006B3444" w:rsidP="00B76914">
            <w:pPr>
              <w:ind w:left="133"/>
              <w:rPr>
                <w:b/>
                <w:sz w:val="24"/>
                <w:szCs w:val="24"/>
                <w:lang w:val="en-US"/>
              </w:rPr>
            </w:pPr>
          </w:p>
          <w:p w14:paraId="3E4ED426" w14:textId="77777777" w:rsidR="006B3444" w:rsidRPr="006B3444" w:rsidRDefault="006B3444" w:rsidP="00B76914">
            <w:pPr>
              <w:ind w:left="133"/>
              <w:rPr>
                <w:b/>
                <w:sz w:val="24"/>
                <w:szCs w:val="24"/>
                <w:lang w:val="en-US"/>
              </w:rPr>
            </w:pPr>
          </w:p>
          <w:p w14:paraId="712D8587" w14:textId="77777777" w:rsidR="006B3444" w:rsidRPr="006B3444" w:rsidRDefault="006B3444" w:rsidP="00B76914">
            <w:pPr>
              <w:ind w:left="133"/>
              <w:rPr>
                <w:b/>
                <w:sz w:val="24"/>
                <w:szCs w:val="24"/>
                <w:lang w:val="en-US"/>
              </w:rPr>
            </w:pPr>
            <w:r w:rsidRPr="006B3444">
              <w:rPr>
                <w:b/>
                <w:sz w:val="24"/>
                <w:szCs w:val="24"/>
                <w:lang w:val="en-US"/>
              </w:rPr>
              <w:t>Endepunkt</w:t>
            </w:r>
          </w:p>
        </w:tc>
        <w:tc>
          <w:tcPr>
            <w:tcW w:w="998" w:type="pct"/>
            <w:tcBorders>
              <w:top w:val="single" w:sz="4" w:space="0" w:color="000000"/>
              <w:left w:val="single" w:sz="4" w:space="0" w:color="000000"/>
              <w:bottom w:val="single" w:sz="4" w:space="0" w:color="000000"/>
              <w:right w:val="single" w:sz="4" w:space="0" w:color="000000"/>
            </w:tcBorders>
            <w:hideMark/>
          </w:tcPr>
          <w:p w14:paraId="7A687012" w14:textId="77777777" w:rsidR="006B3444" w:rsidRPr="006B3444" w:rsidRDefault="006B3444" w:rsidP="00B67369">
            <w:pPr>
              <w:ind w:left="133"/>
              <w:jc w:val="center"/>
              <w:rPr>
                <w:b/>
                <w:sz w:val="24"/>
                <w:szCs w:val="24"/>
                <w:lang w:val="en-US"/>
              </w:rPr>
            </w:pPr>
            <w:r w:rsidRPr="006B3444">
              <w:rPr>
                <w:b/>
                <w:sz w:val="24"/>
                <w:szCs w:val="24"/>
                <w:lang w:val="en-US"/>
              </w:rPr>
              <w:t>Behandlings- forskela</w:t>
            </w:r>
          </w:p>
          <w:p w14:paraId="13A04F43" w14:textId="77777777" w:rsidR="006B3444" w:rsidRPr="006B3444" w:rsidRDefault="006B3444" w:rsidP="00B67369">
            <w:pPr>
              <w:ind w:left="133"/>
              <w:jc w:val="center"/>
              <w:rPr>
                <w:b/>
                <w:sz w:val="24"/>
                <w:szCs w:val="24"/>
                <w:lang w:val="en-US"/>
              </w:rPr>
            </w:pPr>
            <w:r w:rsidRPr="006B3444">
              <w:rPr>
                <w:b/>
                <w:sz w:val="24"/>
                <w:szCs w:val="24"/>
                <w:lang w:val="en-US"/>
              </w:rPr>
              <w:t>(95 % CI)</w:t>
            </w:r>
          </w:p>
        </w:tc>
        <w:tc>
          <w:tcPr>
            <w:tcW w:w="721" w:type="pct"/>
            <w:tcBorders>
              <w:top w:val="single" w:sz="4" w:space="0" w:color="000000"/>
              <w:left w:val="single" w:sz="4" w:space="0" w:color="000000"/>
              <w:bottom w:val="single" w:sz="4" w:space="0" w:color="000000"/>
              <w:right w:val="single" w:sz="4" w:space="0" w:color="000000"/>
            </w:tcBorders>
          </w:tcPr>
          <w:p w14:paraId="080D8666" w14:textId="77777777" w:rsidR="006B3444" w:rsidRPr="006B3444" w:rsidRDefault="006B3444" w:rsidP="00B67369">
            <w:pPr>
              <w:ind w:left="133"/>
              <w:jc w:val="center"/>
              <w:rPr>
                <w:b/>
                <w:sz w:val="24"/>
                <w:szCs w:val="24"/>
                <w:lang w:val="en-US"/>
              </w:rPr>
            </w:pPr>
          </w:p>
          <w:p w14:paraId="09E9AE5B" w14:textId="77777777" w:rsidR="006B3444" w:rsidRPr="006B3444" w:rsidRDefault="006B3444" w:rsidP="00B67369">
            <w:pPr>
              <w:ind w:left="133"/>
              <w:jc w:val="center"/>
              <w:rPr>
                <w:b/>
                <w:sz w:val="24"/>
                <w:szCs w:val="24"/>
                <w:lang w:val="en-US"/>
              </w:rPr>
            </w:pPr>
          </w:p>
          <w:p w14:paraId="64D28E7B" w14:textId="77777777" w:rsidR="006B3444" w:rsidRPr="006B3444" w:rsidRDefault="006B3444" w:rsidP="00B67369">
            <w:pPr>
              <w:ind w:left="133"/>
              <w:jc w:val="center"/>
              <w:rPr>
                <w:b/>
                <w:sz w:val="24"/>
                <w:szCs w:val="24"/>
                <w:lang w:val="en-US"/>
              </w:rPr>
            </w:pPr>
            <w:r w:rsidRPr="006B3444">
              <w:rPr>
                <w:b/>
                <w:i/>
                <w:sz w:val="24"/>
                <w:szCs w:val="24"/>
                <w:lang w:val="en-US"/>
              </w:rPr>
              <w:t>P-</w:t>
            </w:r>
            <w:r w:rsidRPr="006B3444">
              <w:rPr>
                <w:b/>
                <w:sz w:val="24"/>
                <w:szCs w:val="24"/>
                <w:lang w:val="en-US"/>
              </w:rPr>
              <w:t>værdi</w:t>
            </w:r>
          </w:p>
        </w:tc>
        <w:tc>
          <w:tcPr>
            <w:tcW w:w="998" w:type="pct"/>
            <w:tcBorders>
              <w:top w:val="single" w:sz="4" w:space="0" w:color="000000"/>
              <w:left w:val="single" w:sz="4" w:space="0" w:color="000000"/>
              <w:bottom w:val="single" w:sz="4" w:space="0" w:color="000000"/>
              <w:right w:val="single" w:sz="4" w:space="0" w:color="000000"/>
            </w:tcBorders>
            <w:hideMark/>
          </w:tcPr>
          <w:p w14:paraId="7CB0F213" w14:textId="77777777" w:rsidR="006B3444" w:rsidRPr="006B3444" w:rsidRDefault="006B3444" w:rsidP="00B67369">
            <w:pPr>
              <w:ind w:left="133"/>
              <w:jc w:val="center"/>
              <w:rPr>
                <w:b/>
                <w:sz w:val="24"/>
                <w:szCs w:val="24"/>
                <w:lang w:val="en-US"/>
              </w:rPr>
            </w:pPr>
            <w:r w:rsidRPr="006B3444">
              <w:rPr>
                <w:b/>
                <w:sz w:val="24"/>
                <w:szCs w:val="24"/>
                <w:lang w:val="en-US"/>
              </w:rPr>
              <w:t>Behandlings- forskela</w:t>
            </w:r>
          </w:p>
          <w:p w14:paraId="2B43CA99" w14:textId="77777777" w:rsidR="006B3444" w:rsidRPr="006B3444" w:rsidRDefault="006B3444" w:rsidP="00B67369">
            <w:pPr>
              <w:ind w:left="133"/>
              <w:jc w:val="center"/>
              <w:rPr>
                <w:b/>
                <w:sz w:val="24"/>
                <w:szCs w:val="24"/>
                <w:lang w:val="en-US"/>
              </w:rPr>
            </w:pPr>
            <w:r w:rsidRPr="006B3444">
              <w:rPr>
                <w:b/>
                <w:sz w:val="24"/>
                <w:szCs w:val="24"/>
                <w:lang w:val="en-US"/>
              </w:rPr>
              <w:t>(95 % CI)</w:t>
            </w:r>
          </w:p>
        </w:tc>
        <w:tc>
          <w:tcPr>
            <w:tcW w:w="882" w:type="pct"/>
            <w:tcBorders>
              <w:top w:val="single" w:sz="4" w:space="0" w:color="000000"/>
              <w:left w:val="single" w:sz="4" w:space="0" w:color="000000"/>
              <w:bottom w:val="single" w:sz="4" w:space="0" w:color="000000"/>
              <w:right w:val="single" w:sz="4" w:space="0" w:color="000000"/>
            </w:tcBorders>
          </w:tcPr>
          <w:p w14:paraId="62C0279F" w14:textId="77777777" w:rsidR="006B3444" w:rsidRPr="006B3444" w:rsidRDefault="006B3444" w:rsidP="00B67369">
            <w:pPr>
              <w:ind w:left="133"/>
              <w:jc w:val="center"/>
              <w:rPr>
                <w:b/>
                <w:sz w:val="24"/>
                <w:szCs w:val="24"/>
                <w:lang w:val="en-US"/>
              </w:rPr>
            </w:pPr>
          </w:p>
          <w:p w14:paraId="00BCE904" w14:textId="77777777" w:rsidR="006B3444" w:rsidRPr="006B3444" w:rsidRDefault="006B3444" w:rsidP="00B67369">
            <w:pPr>
              <w:ind w:left="133"/>
              <w:jc w:val="center"/>
              <w:rPr>
                <w:b/>
                <w:sz w:val="24"/>
                <w:szCs w:val="24"/>
                <w:lang w:val="en-US"/>
              </w:rPr>
            </w:pPr>
          </w:p>
          <w:p w14:paraId="6A43E14B" w14:textId="77777777" w:rsidR="006B3444" w:rsidRPr="006B3444" w:rsidRDefault="006B3444" w:rsidP="00B67369">
            <w:pPr>
              <w:ind w:left="133"/>
              <w:jc w:val="center"/>
              <w:rPr>
                <w:b/>
                <w:sz w:val="24"/>
                <w:szCs w:val="24"/>
                <w:lang w:val="en-US"/>
              </w:rPr>
            </w:pPr>
            <w:r w:rsidRPr="006B3444">
              <w:rPr>
                <w:b/>
                <w:i/>
                <w:sz w:val="24"/>
                <w:szCs w:val="24"/>
                <w:lang w:val="en-US"/>
              </w:rPr>
              <w:t>P-</w:t>
            </w:r>
            <w:r w:rsidRPr="006B3444">
              <w:rPr>
                <w:b/>
                <w:sz w:val="24"/>
                <w:szCs w:val="24"/>
                <w:lang w:val="en-US"/>
              </w:rPr>
              <w:t>værdi</w:t>
            </w:r>
          </w:p>
        </w:tc>
      </w:tr>
      <w:tr w:rsidR="006B3444" w:rsidRPr="006B3444" w14:paraId="33372473" w14:textId="77777777" w:rsidTr="00B76914">
        <w:trPr>
          <w:trHeight w:val="252"/>
        </w:trPr>
        <w:tc>
          <w:tcPr>
            <w:tcW w:w="5000" w:type="pct"/>
            <w:gridSpan w:val="5"/>
            <w:tcBorders>
              <w:top w:val="single" w:sz="4" w:space="0" w:color="000000"/>
              <w:left w:val="single" w:sz="4" w:space="0" w:color="000000"/>
              <w:bottom w:val="single" w:sz="4" w:space="0" w:color="000000"/>
              <w:right w:val="single" w:sz="4" w:space="0" w:color="000000"/>
            </w:tcBorders>
            <w:hideMark/>
          </w:tcPr>
          <w:p w14:paraId="744C6E7A" w14:textId="77777777" w:rsidR="006B3444" w:rsidRPr="006B3444" w:rsidRDefault="006B3444" w:rsidP="00B76914">
            <w:pPr>
              <w:ind w:left="133"/>
              <w:rPr>
                <w:b/>
                <w:sz w:val="24"/>
                <w:szCs w:val="24"/>
              </w:rPr>
            </w:pPr>
            <w:r w:rsidRPr="006B3444">
              <w:rPr>
                <w:b/>
                <w:sz w:val="24"/>
                <w:szCs w:val="24"/>
              </w:rPr>
              <w:t xml:space="preserve">Gennemsnitlig absolut ændring fra </w:t>
            </w:r>
            <w:r w:rsidRPr="006B3444">
              <w:rPr>
                <w:b/>
                <w:i/>
                <w:sz w:val="24"/>
                <w:szCs w:val="24"/>
              </w:rPr>
              <w:t xml:space="preserve">baseline </w:t>
            </w:r>
            <w:r w:rsidRPr="006B3444">
              <w:rPr>
                <w:b/>
                <w:sz w:val="24"/>
                <w:szCs w:val="24"/>
              </w:rPr>
              <w:t xml:space="preserve">i CFQ-Rb </w:t>
            </w:r>
            <w:r w:rsidRPr="006B3444">
              <w:rPr>
                <w:b/>
                <w:i/>
                <w:iCs/>
                <w:sz w:val="24"/>
                <w:szCs w:val="24"/>
              </w:rPr>
              <w:t>respiratory domain score (points)</w:t>
            </w:r>
            <w:r w:rsidRPr="006B3444">
              <w:rPr>
                <w:b/>
                <w:sz w:val="24"/>
                <w:szCs w:val="24"/>
              </w:rPr>
              <w:t>c</w:t>
            </w:r>
          </w:p>
        </w:tc>
      </w:tr>
      <w:tr w:rsidR="006B3444" w:rsidRPr="006B3444" w14:paraId="4AD4107D" w14:textId="77777777" w:rsidTr="00B76914">
        <w:trPr>
          <w:trHeight w:val="257"/>
        </w:trPr>
        <w:tc>
          <w:tcPr>
            <w:tcW w:w="1401" w:type="pct"/>
            <w:tcBorders>
              <w:top w:val="single" w:sz="4" w:space="0" w:color="000000"/>
              <w:left w:val="single" w:sz="4" w:space="0" w:color="000000"/>
              <w:bottom w:val="nil"/>
              <w:right w:val="single" w:sz="4" w:space="0" w:color="000000"/>
            </w:tcBorders>
            <w:hideMark/>
          </w:tcPr>
          <w:p w14:paraId="657E196E" w14:textId="77777777" w:rsidR="006B3444" w:rsidRPr="006B3444" w:rsidRDefault="006B3444" w:rsidP="00B76914">
            <w:pPr>
              <w:ind w:left="133"/>
              <w:rPr>
                <w:sz w:val="24"/>
                <w:szCs w:val="24"/>
                <w:lang w:val="en-US"/>
              </w:rPr>
            </w:pPr>
            <w:r w:rsidRPr="006B3444">
              <w:rPr>
                <w:sz w:val="24"/>
                <w:szCs w:val="24"/>
                <w:lang w:val="en-US"/>
              </w:rPr>
              <w:t>Til og med uge 24</w:t>
            </w:r>
          </w:p>
        </w:tc>
        <w:tc>
          <w:tcPr>
            <w:tcW w:w="998" w:type="pct"/>
            <w:tcBorders>
              <w:top w:val="single" w:sz="4" w:space="0" w:color="000000"/>
              <w:left w:val="single" w:sz="4" w:space="0" w:color="000000"/>
              <w:bottom w:val="nil"/>
              <w:right w:val="single" w:sz="4" w:space="0" w:color="000000"/>
            </w:tcBorders>
            <w:hideMark/>
          </w:tcPr>
          <w:p w14:paraId="31A28002" w14:textId="77777777" w:rsidR="006B3444" w:rsidRPr="006B3444" w:rsidRDefault="006B3444" w:rsidP="00B67369">
            <w:pPr>
              <w:ind w:left="133"/>
              <w:jc w:val="center"/>
              <w:rPr>
                <w:sz w:val="24"/>
                <w:szCs w:val="24"/>
                <w:lang w:val="en-US"/>
              </w:rPr>
            </w:pPr>
            <w:r w:rsidRPr="006B3444">
              <w:rPr>
                <w:sz w:val="24"/>
                <w:szCs w:val="24"/>
                <w:lang w:val="en-US"/>
              </w:rPr>
              <w:t>8,1</w:t>
            </w:r>
          </w:p>
        </w:tc>
        <w:tc>
          <w:tcPr>
            <w:tcW w:w="721" w:type="pct"/>
            <w:tcBorders>
              <w:top w:val="single" w:sz="4" w:space="0" w:color="000000"/>
              <w:left w:val="single" w:sz="4" w:space="0" w:color="000000"/>
              <w:bottom w:val="nil"/>
              <w:right w:val="single" w:sz="4" w:space="0" w:color="000000"/>
            </w:tcBorders>
            <w:hideMark/>
          </w:tcPr>
          <w:p w14:paraId="4215878C" w14:textId="77777777" w:rsidR="006B3444" w:rsidRPr="006B3444" w:rsidRDefault="006B3444" w:rsidP="00B67369">
            <w:pPr>
              <w:ind w:left="133"/>
              <w:jc w:val="center"/>
              <w:rPr>
                <w:sz w:val="24"/>
                <w:szCs w:val="24"/>
                <w:lang w:val="en-US"/>
              </w:rPr>
            </w:pPr>
            <w:r w:rsidRPr="006B3444">
              <w:rPr>
                <w:sz w:val="24"/>
                <w:szCs w:val="24"/>
                <w:lang w:val="en-US"/>
              </w:rPr>
              <w:t>&lt;0,0001</w:t>
            </w:r>
          </w:p>
        </w:tc>
        <w:tc>
          <w:tcPr>
            <w:tcW w:w="998" w:type="pct"/>
            <w:tcBorders>
              <w:top w:val="single" w:sz="4" w:space="0" w:color="000000"/>
              <w:left w:val="single" w:sz="4" w:space="0" w:color="000000"/>
              <w:bottom w:val="nil"/>
              <w:right w:val="single" w:sz="4" w:space="0" w:color="000000"/>
            </w:tcBorders>
            <w:hideMark/>
          </w:tcPr>
          <w:p w14:paraId="4EFDCFE3" w14:textId="77777777" w:rsidR="006B3444" w:rsidRPr="006B3444" w:rsidRDefault="006B3444" w:rsidP="00B67369">
            <w:pPr>
              <w:ind w:left="133"/>
              <w:jc w:val="center"/>
              <w:rPr>
                <w:sz w:val="24"/>
                <w:szCs w:val="24"/>
                <w:lang w:val="en-US"/>
              </w:rPr>
            </w:pPr>
            <w:r w:rsidRPr="006B3444">
              <w:rPr>
                <w:sz w:val="24"/>
                <w:szCs w:val="24"/>
                <w:lang w:val="en-US"/>
              </w:rPr>
              <w:t>6,1</w:t>
            </w:r>
          </w:p>
        </w:tc>
        <w:tc>
          <w:tcPr>
            <w:tcW w:w="882" w:type="pct"/>
            <w:tcBorders>
              <w:top w:val="single" w:sz="4" w:space="0" w:color="000000"/>
              <w:left w:val="single" w:sz="4" w:space="0" w:color="000000"/>
              <w:bottom w:val="nil"/>
              <w:right w:val="single" w:sz="4" w:space="0" w:color="000000"/>
            </w:tcBorders>
            <w:hideMark/>
          </w:tcPr>
          <w:p w14:paraId="7A1D22FC" w14:textId="77777777" w:rsidR="006B3444" w:rsidRPr="006B3444" w:rsidRDefault="006B3444" w:rsidP="00B67369">
            <w:pPr>
              <w:ind w:left="133"/>
              <w:jc w:val="center"/>
              <w:rPr>
                <w:sz w:val="24"/>
                <w:szCs w:val="24"/>
                <w:lang w:val="en-US"/>
              </w:rPr>
            </w:pPr>
            <w:r w:rsidRPr="006B3444">
              <w:rPr>
                <w:sz w:val="24"/>
                <w:szCs w:val="24"/>
                <w:lang w:val="en-US"/>
              </w:rPr>
              <w:t>0,1092</w:t>
            </w:r>
          </w:p>
        </w:tc>
      </w:tr>
      <w:tr w:rsidR="006B3444" w:rsidRPr="006B3444" w14:paraId="3EE99A78" w14:textId="77777777" w:rsidTr="00B76914">
        <w:trPr>
          <w:trHeight w:val="248"/>
        </w:trPr>
        <w:tc>
          <w:tcPr>
            <w:tcW w:w="1401" w:type="pct"/>
            <w:tcBorders>
              <w:top w:val="nil"/>
              <w:left w:val="single" w:sz="4" w:space="0" w:color="000000"/>
              <w:bottom w:val="single" w:sz="4" w:space="0" w:color="000000"/>
              <w:right w:val="single" w:sz="4" w:space="0" w:color="000000"/>
            </w:tcBorders>
          </w:tcPr>
          <w:p w14:paraId="44895776" w14:textId="77777777" w:rsidR="006B3444" w:rsidRPr="006B3444" w:rsidRDefault="006B3444" w:rsidP="00B76914">
            <w:pPr>
              <w:ind w:left="133"/>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63ED31B7" w14:textId="77777777" w:rsidR="006B3444" w:rsidRPr="006B3444" w:rsidRDefault="006B3444" w:rsidP="00B67369">
            <w:pPr>
              <w:ind w:left="133"/>
              <w:jc w:val="center"/>
              <w:rPr>
                <w:sz w:val="24"/>
                <w:szCs w:val="24"/>
                <w:lang w:val="en-US"/>
              </w:rPr>
            </w:pPr>
            <w:r w:rsidRPr="006B3444">
              <w:rPr>
                <w:sz w:val="24"/>
                <w:szCs w:val="24"/>
                <w:lang w:val="en-US"/>
              </w:rPr>
              <w:t>(4,7; 11,4)</w:t>
            </w:r>
          </w:p>
        </w:tc>
        <w:tc>
          <w:tcPr>
            <w:tcW w:w="721" w:type="pct"/>
            <w:tcBorders>
              <w:top w:val="nil"/>
              <w:left w:val="single" w:sz="4" w:space="0" w:color="000000"/>
              <w:bottom w:val="single" w:sz="4" w:space="0" w:color="000000"/>
              <w:right w:val="single" w:sz="4" w:space="0" w:color="000000"/>
            </w:tcBorders>
          </w:tcPr>
          <w:p w14:paraId="1D99303F" w14:textId="77777777" w:rsidR="006B3444" w:rsidRPr="006B3444" w:rsidRDefault="006B3444" w:rsidP="00B67369">
            <w:pPr>
              <w:ind w:left="133"/>
              <w:jc w:val="center"/>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18DC908B" w14:textId="77777777" w:rsidR="006B3444" w:rsidRPr="006B3444" w:rsidRDefault="006B3444" w:rsidP="00B67369">
            <w:pPr>
              <w:ind w:left="133"/>
              <w:jc w:val="center"/>
              <w:rPr>
                <w:sz w:val="24"/>
                <w:szCs w:val="24"/>
                <w:lang w:val="en-US"/>
              </w:rPr>
            </w:pPr>
            <w:r w:rsidRPr="006B3444">
              <w:rPr>
                <w:sz w:val="24"/>
                <w:szCs w:val="24"/>
                <w:lang w:val="en-US"/>
              </w:rPr>
              <w:t>(-1,4; 13,5)</w:t>
            </w:r>
          </w:p>
        </w:tc>
        <w:tc>
          <w:tcPr>
            <w:tcW w:w="882" w:type="pct"/>
            <w:tcBorders>
              <w:top w:val="nil"/>
              <w:left w:val="single" w:sz="4" w:space="0" w:color="000000"/>
              <w:bottom w:val="single" w:sz="4" w:space="0" w:color="000000"/>
              <w:right w:val="single" w:sz="4" w:space="0" w:color="000000"/>
            </w:tcBorders>
          </w:tcPr>
          <w:p w14:paraId="60A1EC0D" w14:textId="77777777" w:rsidR="006B3444" w:rsidRPr="006B3444" w:rsidRDefault="006B3444" w:rsidP="00B67369">
            <w:pPr>
              <w:ind w:left="133"/>
              <w:jc w:val="center"/>
              <w:rPr>
                <w:sz w:val="24"/>
                <w:szCs w:val="24"/>
                <w:lang w:val="en-US"/>
              </w:rPr>
            </w:pPr>
          </w:p>
        </w:tc>
      </w:tr>
      <w:tr w:rsidR="006B3444" w:rsidRPr="006B3444" w14:paraId="2AC5C34D" w14:textId="77777777" w:rsidTr="00B76914">
        <w:trPr>
          <w:trHeight w:val="257"/>
        </w:trPr>
        <w:tc>
          <w:tcPr>
            <w:tcW w:w="1401" w:type="pct"/>
            <w:tcBorders>
              <w:top w:val="single" w:sz="4" w:space="0" w:color="000000"/>
              <w:left w:val="single" w:sz="4" w:space="0" w:color="000000"/>
              <w:bottom w:val="nil"/>
              <w:right w:val="single" w:sz="4" w:space="0" w:color="000000"/>
            </w:tcBorders>
            <w:hideMark/>
          </w:tcPr>
          <w:p w14:paraId="22D7CF14" w14:textId="77777777" w:rsidR="006B3444" w:rsidRPr="006B3444" w:rsidRDefault="006B3444" w:rsidP="00B76914">
            <w:pPr>
              <w:ind w:left="133"/>
              <w:rPr>
                <w:sz w:val="24"/>
                <w:szCs w:val="24"/>
                <w:lang w:val="en-US"/>
              </w:rPr>
            </w:pPr>
            <w:r w:rsidRPr="006B3444">
              <w:rPr>
                <w:sz w:val="24"/>
                <w:szCs w:val="24"/>
                <w:lang w:val="en-US"/>
              </w:rPr>
              <w:t>Til og med uge 48</w:t>
            </w:r>
          </w:p>
        </w:tc>
        <w:tc>
          <w:tcPr>
            <w:tcW w:w="998" w:type="pct"/>
            <w:tcBorders>
              <w:top w:val="single" w:sz="4" w:space="0" w:color="000000"/>
              <w:left w:val="single" w:sz="4" w:space="0" w:color="000000"/>
              <w:bottom w:val="nil"/>
              <w:right w:val="single" w:sz="4" w:space="0" w:color="000000"/>
            </w:tcBorders>
            <w:hideMark/>
          </w:tcPr>
          <w:p w14:paraId="4C2FF1CE" w14:textId="77777777" w:rsidR="006B3444" w:rsidRPr="006B3444" w:rsidRDefault="006B3444" w:rsidP="00B67369">
            <w:pPr>
              <w:ind w:left="133"/>
              <w:jc w:val="center"/>
              <w:rPr>
                <w:sz w:val="24"/>
                <w:szCs w:val="24"/>
                <w:lang w:val="en-US"/>
              </w:rPr>
            </w:pPr>
            <w:r w:rsidRPr="006B3444">
              <w:rPr>
                <w:sz w:val="24"/>
                <w:szCs w:val="24"/>
                <w:lang w:val="en-US"/>
              </w:rPr>
              <w:t>8,6</w:t>
            </w:r>
          </w:p>
        </w:tc>
        <w:tc>
          <w:tcPr>
            <w:tcW w:w="721" w:type="pct"/>
            <w:tcBorders>
              <w:top w:val="single" w:sz="4" w:space="0" w:color="000000"/>
              <w:left w:val="single" w:sz="4" w:space="0" w:color="000000"/>
              <w:bottom w:val="nil"/>
              <w:right w:val="single" w:sz="4" w:space="0" w:color="000000"/>
            </w:tcBorders>
            <w:hideMark/>
          </w:tcPr>
          <w:p w14:paraId="665C46DF" w14:textId="77777777" w:rsidR="006B3444" w:rsidRPr="006B3444" w:rsidRDefault="006B3444" w:rsidP="00B67369">
            <w:pPr>
              <w:ind w:left="133"/>
              <w:jc w:val="center"/>
              <w:rPr>
                <w:sz w:val="24"/>
                <w:szCs w:val="24"/>
                <w:lang w:val="en-US"/>
              </w:rPr>
            </w:pPr>
            <w:r w:rsidRPr="006B3444">
              <w:rPr>
                <w:sz w:val="24"/>
                <w:szCs w:val="24"/>
                <w:lang w:val="en-US"/>
              </w:rPr>
              <w:t>&lt;0,0001</w:t>
            </w:r>
          </w:p>
        </w:tc>
        <w:tc>
          <w:tcPr>
            <w:tcW w:w="998" w:type="pct"/>
            <w:tcBorders>
              <w:top w:val="single" w:sz="4" w:space="0" w:color="000000"/>
              <w:left w:val="single" w:sz="4" w:space="0" w:color="000000"/>
              <w:bottom w:val="nil"/>
              <w:right w:val="single" w:sz="4" w:space="0" w:color="000000"/>
            </w:tcBorders>
            <w:hideMark/>
          </w:tcPr>
          <w:p w14:paraId="7D17CD72" w14:textId="77777777" w:rsidR="006B3444" w:rsidRPr="006B3444" w:rsidRDefault="006B3444" w:rsidP="00B67369">
            <w:pPr>
              <w:ind w:left="133"/>
              <w:jc w:val="center"/>
              <w:rPr>
                <w:sz w:val="24"/>
                <w:szCs w:val="24"/>
                <w:lang w:val="en-US"/>
              </w:rPr>
            </w:pPr>
            <w:r w:rsidRPr="006B3444">
              <w:rPr>
                <w:sz w:val="24"/>
                <w:szCs w:val="24"/>
                <w:lang w:val="en-US"/>
              </w:rPr>
              <w:t>5,1</w:t>
            </w:r>
          </w:p>
        </w:tc>
        <w:tc>
          <w:tcPr>
            <w:tcW w:w="882" w:type="pct"/>
            <w:tcBorders>
              <w:top w:val="single" w:sz="4" w:space="0" w:color="000000"/>
              <w:left w:val="single" w:sz="4" w:space="0" w:color="000000"/>
              <w:bottom w:val="nil"/>
              <w:right w:val="single" w:sz="4" w:space="0" w:color="000000"/>
            </w:tcBorders>
            <w:hideMark/>
          </w:tcPr>
          <w:p w14:paraId="153198F6" w14:textId="77777777" w:rsidR="006B3444" w:rsidRPr="006B3444" w:rsidRDefault="006B3444" w:rsidP="00B67369">
            <w:pPr>
              <w:ind w:left="133"/>
              <w:jc w:val="center"/>
              <w:rPr>
                <w:sz w:val="24"/>
                <w:szCs w:val="24"/>
                <w:lang w:val="en-US"/>
              </w:rPr>
            </w:pPr>
            <w:r w:rsidRPr="006B3444">
              <w:rPr>
                <w:sz w:val="24"/>
                <w:szCs w:val="24"/>
                <w:lang w:val="en-US"/>
              </w:rPr>
              <w:t>0,1354</w:t>
            </w:r>
          </w:p>
        </w:tc>
      </w:tr>
      <w:tr w:rsidR="006B3444" w:rsidRPr="006B3444" w14:paraId="73D7EA2F" w14:textId="77777777" w:rsidTr="00B76914">
        <w:trPr>
          <w:trHeight w:val="248"/>
        </w:trPr>
        <w:tc>
          <w:tcPr>
            <w:tcW w:w="1401" w:type="pct"/>
            <w:tcBorders>
              <w:top w:val="nil"/>
              <w:left w:val="single" w:sz="4" w:space="0" w:color="000000"/>
              <w:bottom w:val="single" w:sz="4" w:space="0" w:color="000000"/>
              <w:right w:val="single" w:sz="4" w:space="0" w:color="000000"/>
            </w:tcBorders>
          </w:tcPr>
          <w:p w14:paraId="7FE221B5" w14:textId="77777777" w:rsidR="006B3444" w:rsidRPr="006B3444" w:rsidRDefault="006B3444" w:rsidP="00B76914">
            <w:pPr>
              <w:ind w:left="133"/>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21341A90" w14:textId="77777777" w:rsidR="006B3444" w:rsidRPr="006B3444" w:rsidRDefault="006B3444" w:rsidP="00B67369">
            <w:pPr>
              <w:ind w:left="133"/>
              <w:jc w:val="center"/>
              <w:rPr>
                <w:sz w:val="24"/>
                <w:szCs w:val="24"/>
                <w:lang w:val="en-US"/>
              </w:rPr>
            </w:pPr>
            <w:r w:rsidRPr="006B3444">
              <w:rPr>
                <w:sz w:val="24"/>
                <w:szCs w:val="24"/>
                <w:lang w:val="en-US"/>
              </w:rPr>
              <w:t>(5,3; 11,9)</w:t>
            </w:r>
          </w:p>
        </w:tc>
        <w:tc>
          <w:tcPr>
            <w:tcW w:w="721" w:type="pct"/>
            <w:tcBorders>
              <w:top w:val="nil"/>
              <w:left w:val="single" w:sz="4" w:space="0" w:color="000000"/>
              <w:bottom w:val="single" w:sz="4" w:space="0" w:color="000000"/>
              <w:right w:val="single" w:sz="4" w:space="0" w:color="000000"/>
            </w:tcBorders>
          </w:tcPr>
          <w:p w14:paraId="66EBB8E3" w14:textId="77777777" w:rsidR="006B3444" w:rsidRPr="006B3444" w:rsidRDefault="006B3444" w:rsidP="00B67369">
            <w:pPr>
              <w:ind w:left="133"/>
              <w:jc w:val="center"/>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7C20CD9A" w14:textId="77777777" w:rsidR="006B3444" w:rsidRPr="006B3444" w:rsidRDefault="006B3444" w:rsidP="00B67369">
            <w:pPr>
              <w:ind w:left="133"/>
              <w:jc w:val="center"/>
              <w:rPr>
                <w:sz w:val="24"/>
                <w:szCs w:val="24"/>
                <w:lang w:val="en-US"/>
              </w:rPr>
            </w:pPr>
            <w:r w:rsidRPr="006B3444">
              <w:rPr>
                <w:sz w:val="24"/>
                <w:szCs w:val="24"/>
                <w:lang w:val="en-US"/>
              </w:rPr>
              <w:t>(-1,6;11,8)</w:t>
            </w:r>
          </w:p>
        </w:tc>
        <w:tc>
          <w:tcPr>
            <w:tcW w:w="882" w:type="pct"/>
            <w:tcBorders>
              <w:top w:val="nil"/>
              <w:left w:val="single" w:sz="4" w:space="0" w:color="000000"/>
              <w:bottom w:val="single" w:sz="4" w:space="0" w:color="000000"/>
              <w:right w:val="single" w:sz="4" w:space="0" w:color="000000"/>
            </w:tcBorders>
          </w:tcPr>
          <w:p w14:paraId="117C97CA" w14:textId="77777777" w:rsidR="006B3444" w:rsidRPr="006B3444" w:rsidRDefault="006B3444" w:rsidP="00B67369">
            <w:pPr>
              <w:ind w:left="133"/>
              <w:jc w:val="center"/>
              <w:rPr>
                <w:sz w:val="24"/>
                <w:szCs w:val="24"/>
                <w:lang w:val="en-US"/>
              </w:rPr>
            </w:pPr>
          </w:p>
        </w:tc>
      </w:tr>
      <w:tr w:rsidR="006B3444" w:rsidRPr="006B3444" w14:paraId="5CCE9406" w14:textId="77777777" w:rsidTr="00B76914">
        <w:trPr>
          <w:trHeight w:val="252"/>
        </w:trPr>
        <w:tc>
          <w:tcPr>
            <w:tcW w:w="5000" w:type="pct"/>
            <w:gridSpan w:val="5"/>
            <w:tcBorders>
              <w:top w:val="single" w:sz="4" w:space="0" w:color="000000"/>
              <w:left w:val="single" w:sz="4" w:space="0" w:color="000000"/>
              <w:bottom w:val="single" w:sz="4" w:space="0" w:color="000000"/>
              <w:right w:val="single" w:sz="4" w:space="0" w:color="000000"/>
            </w:tcBorders>
            <w:hideMark/>
          </w:tcPr>
          <w:p w14:paraId="3D400A0E" w14:textId="436826A3" w:rsidR="006B3444" w:rsidRPr="006B3444" w:rsidRDefault="006B3444" w:rsidP="00B76914">
            <w:pPr>
              <w:ind w:left="133"/>
              <w:rPr>
                <w:b/>
                <w:sz w:val="24"/>
                <w:szCs w:val="24"/>
                <w:lang w:val="en-US"/>
              </w:rPr>
            </w:pPr>
            <w:r w:rsidRPr="006B3444">
              <w:rPr>
                <w:b/>
                <w:sz w:val="24"/>
                <w:szCs w:val="24"/>
                <w:lang w:val="en-US"/>
              </w:rPr>
              <w:t>Relativ risiko for exacerbation</w:t>
            </w:r>
          </w:p>
        </w:tc>
      </w:tr>
      <w:tr w:rsidR="006B3444" w:rsidRPr="006B3444" w14:paraId="0E7471D1" w14:textId="77777777" w:rsidTr="00B76914">
        <w:trPr>
          <w:trHeight w:val="252"/>
        </w:trPr>
        <w:tc>
          <w:tcPr>
            <w:tcW w:w="1401" w:type="pct"/>
            <w:tcBorders>
              <w:top w:val="single" w:sz="4" w:space="0" w:color="000000"/>
              <w:left w:val="single" w:sz="4" w:space="0" w:color="000000"/>
              <w:bottom w:val="single" w:sz="4" w:space="0" w:color="000000"/>
              <w:right w:val="single" w:sz="4" w:space="0" w:color="000000"/>
            </w:tcBorders>
            <w:hideMark/>
          </w:tcPr>
          <w:p w14:paraId="7C119B51" w14:textId="77777777" w:rsidR="006B3444" w:rsidRPr="006B3444" w:rsidRDefault="006B3444" w:rsidP="00B76914">
            <w:pPr>
              <w:ind w:left="133"/>
              <w:rPr>
                <w:sz w:val="24"/>
                <w:szCs w:val="24"/>
                <w:lang w:val="en-US"/>
              </w:rPr>
            </w:pPr>
            <w:r w:rsidRPr="006B3444">
              <w:rPr>
                <w:sz w:val="24"/>
                <w:szCs w:val="24"/>
                <w:lang w:val="en-US"/>
              </w:rPr>
              <w:t>Til og med uge 24</w:t>
            </w:r>
          </w:p>
        </w:tc>
        <w:tc>
          <w:tcPr>
            <w:tcW w:w="998" w:type="pct"/>
            <w:tcBorders>
              <w:top w:val="single" w:sz="4" w:space="0" w:color="000000"/>
              <w:left w:val="single" w:sz="4" w:space="0" w:color="000000"/>
              <w:bottom w:val="single" w:sz="4" w:space="0" w:color="000000"/>
              <w:right w:val="single" w:sz="4" w:space="0" w:color="000000"/>
            </w:tcBorders>
            <w:hideMark/>
          </w:tcPr>
          <w:p w14:paraId="4A807D45" w14:textId="77777777" w:rsidR="006B3444" w:rsidRPr="006B3444" w:rsidRDefault="006B3444" w:rsidP="00B67369">
            <w:pPr>
              <w:ind w:left="133"/>
              <w:jc w:val="center"/>
              <w:rPr>
                <w:sz w:val="24"/>
                <w:szCs w:val="24"/>
                <w:lang w:val="en-US"/>
              </w:rPr>
            </w:pPr>
            <w:r w:rsidRPr="006B3444">
              <w:rPr>
                <w:sz w:val="24"/>
                <w:szCs w:val="24"/>
                <w:lang w:val="en-US"/>
              </w:rPr>
              <w:t>0,40</w:t>
            </w:r>
            <w:r w:rsidRPr="006B3444">
              <w:rPr>
                <w:sz w:val="24"/>
                <w:szCs w:val="24"/>
                <w:vertAlign w:val="superscript"/>
                <w:lang w:val="en-US"/>
              </w:rPr>
              <w:t>d</w:t>
            </w:r>
          </w:p>
        </w:tc>
        <w:tc>
          <w:tcPr>
            <w:tcW w:w="721" w:type="pct"/>
            <w:tcBorders>
              <w:top w:val="single" w:sz="4" w:space="0" w:color="000000"/>
              <w:left w:val="single" w:sz="4" w:space="0" w:color="000000"/>
              <w:bottom w:val="single" w:sz="4" w:space="0" w:color="000000"/>
              <w:right w:val="single" w:sz="4" w:space="0" w:color="000000"/>
            </w:tcBorders>
            <w:hideMark/>
          </w:tcPr>
          <w:p w14:paraId="3E5289DF" w14:textId="77777777" w:rsidR="006B3444" w:rsidRPr="006B3444" w:rsidRDefault="006B3444" w:rsidP="00B67369">
            <w:pPr>
              <w:ind w:left="133"/>
              <w:jc w:val="center"/>
              <w:rPr>
                <w:sz w:val="24"/>
                <w:szCs w:val="24"/>
                <w:lang w:val="en-US"/>
              </w:rPr>
            </w:pPr>
            <w:r w:rsidRPr="006B3444">
              <w:rPr>
                <w:sz w:val="24"/>
                <w:szCs w:val="24"/>
                <w:lang w:val="en-US"/>
              </w:rPr>
              <w:t>0,0016</w:t>
            </w:r>
          </w:p>
        </w:tc>
        <w:tc>
          <w:tcPr>
            <w:tcW w:w="998" w:type="pct"/>
            <w:tcBorders>
              <w:top w:val="single" w:sz="4" w:space="0" w:color="000000"/>
              <w:left w:val="single" w:sz="4" w:space="0" w:color="000000"/>
              <w:bottom w:val="single" w:sz="4" w:space="0" w:color="000000"/>
              <w:right w:val="single" w:sz="4" w:space="0" w:color="000000"/>
            </w:tcBorders>
            <w:hideMark/>
          </w:tcPr>
          <w:p w14:paraId="7F8006A0" w14:textId="77777777" w:rsidR="006B3444" w:rsidRPr="006B3444" w:rsidRDefault="006B3444" w:rsidP="00B67369">
            <w:pPr>
              <w:ind w:left="133"/>
              <w:jc w:val="center"/>
              <w:rPr>
                <w:sz w:val="24"/>
                <w:szCs w:val="24"/>
                <w:lang w:val="en-US"/>
              </w:rPr>
            </w:pPr>
            <w:r w:rsidRPr="006B3444">
              <w:rPr>
                <w:sz w:val="24"/>
                <w:szCs w:val="24"/>
                <w:lang w:val="en-US"/>
              </w:rPr>
              <w:t>NA</w:t>
            </w:r>
          </w:p>
        </w:tc>
        <w:tc>
          <w:tcPr>
            <w:tcW w:w="882" w:type="pct"/>
            <w:tcBorders>
              <w:top w:val="single" w:sz="4" w:space="0" w:color="000000"/>
              <w:left w:val="single" w:sz="4" w:space="0" w:color="000000"/>
              <w:bottom w:val="single" w:sz="4" w:space="0" w:color="000000"/>
              <w:right w:val="single" w:sz="4" w:space="0" w:color="000000"/>
            </w:tcBorders>
            <w:hideMark/>
          </w:tcPr>
          <w:p w14:paraId="6D8B276D" w14:textId="77777777" w:rsidR="006B3444" w:rsidRPr="006B3444" w:rsidRDefault="006B3444" w:rsidP="00B67369">
            <w:pPr>
              <w:ind w:left="133"/>
              <w:jc w:val="center"/>
              <w:rPr>
                <w:sz w:val="24"/>
                <w:szCs w:val="24"/>
                <w:lang w:val="en-US"/>
              </w:rPr>
            </w:pPr>
            <w:r w:rsidRPr="006B3444">
              <w:rPr>
                <w:sz w:val="24"/>
                <w:szCs w:val="24"/>
                <w:lang w:val="en-US"/>
              </w:rPr>
              <w:t>NA</w:t>
            </w:r>
          </w:p>
        </w:tc>
      </w:tr>
      <w:tr w:rsidR="006B3444" w:rsidRPr="006B3444" w14:paraId="248B5048" w14:textId="77777777" w:rsidTr="00B76914">
        <w:trPr>
          <w:trHeight w:val="252"/>
        </w:trPr>
        <w:tc>
          <w:tcPr>
            <w:tcW w:w="1401" w:type="pct"/>
            <w:tcBorders>
              <w:top w:val="single" w:sz="4" w:space="0" w:color="000000"/>
              <w:left w:val="single" w:sz="4" w:space="0" w:color="000000"/>
              <w:bottom w:val="single" w:sz="4" w:space="0" w:color="000000"/>
              <w:right w:val="single" w:sz="4" w:space="0" w:color="000000"/>
            </w:tcBorders>
            <w:hideMark/>
          </w:tcPr>
          <w:p w14:paraId="243F2416" w14:textId="77777777" w:rsidR="006B3444" w:rsidRPr="006B3444" w:rsidRDefault="006B3444" w:rsidP="00B76914">
            <w:pPr>
              <w:ind w:left="133"/>
              <w:rPr>
                <w:sz w:val="24"/>
                <w:szCs w:val="24"/>
                <w:lang w:val="en-US"/>
              </w:rPr>
            </w:pPr>
            <w:r w:rsidRPr="006B3444">
              <w:rPr>
                <w:sz w:val="24"/>
                <w:szCs w:val="24"/>
                <w:lang w:val="en-US"/>
              </w:rPr>
              <w:t>Til og med uge 48</w:t>
            </w:r>
          </w:p>
        </w:tc>
        <w:tc>
          <w:tcPr>
            <w:tcW w:w="998" w:type="pct"/>
            <w:tcBorders>
              <w:top w:val="single" w:sz="4" w:space="0" w:color="000000"/>
              <w:left w:val="single" w:sz="4" w:space="0" w:color="000000"/>
              <w:bottom w:val="single" w:sz="4" w:space="0" w:color="000000"/>
              <w:right w:val="single" w:sz="4" w:space="0" w:color="000000"/>
            </w:tcBorders>
            <w:hideMark/>
          </w:tcPr>
          <w:p w14:paraId="25582C92" w14:textId="77777777" w:rsidR="006B3444" w:rsidRPr="006B3444" w:rsidRDefault="006B3444" w:rsidP="00B67369">
            <w:pPr>
              <w:ind w:left="133"/>
              <w:jc w:val="center"/>
              <w:rPr>
                <w:sz w:val="24"/>
                <w:szCs w:val="24"/>
                <w:lang w:val="en-US"/>
              </w:rPr>
            </w:pPr>
            <w:r w:rsidRPr="006B3444">
              <w:rPr>
                <w:sz w:val="24"/>
                <w:szCs w:val="24"/>
                <w:lang w:val="en-US"/>
              </w:rPr>
              <w:t>0,46</w:t>
            </w:r>
            <w:r w:rsidRPr="006B3444">
              <w:rPr>
                <w:sz w:val="24"/>
                <w:szCs w:val="24"/>
                <w:vertAlign w:val="superscript"/>
                <w:lang w:val="en-US"/>
              </w:rPr>
              <w:t>d</w:t>
            </w:r>
          </w:p>
        </w:tc>
        <w:tc>
          <w:tcPr>
            <w:tcW w:w="721" w:type="pct"/>
            <w:tcBorders>
              <w:top w:val="single" w:sz="4" w:space="0" w:color="000000"/>
              <w:left w:val="single" w:sz="4" w:space="0" w:color="000000"/>
              <w:bottom w:val="single" w:sz="4" w:space="0" w:color="000000"/>
              <w:right w:val="single" w:sz="4" w:space="0" w:color="000000"/>
            </w:tcBorders>
            <w:hideMark/>
          </w:tcPr>
          <w:p w14:paraId="42B2A8F1" w14:textId="77777777" w:rsidR="006B3444" w:rsidRPr="006B3444" w:rsidRDefault="006B3444" w:rsidP="00B67369">
            <w:pPr>
              <w:ind w:left="133"/>
              <w:jc w:val="center"/>
              <w:rPr>
                <w:sz w:val="24"/>
                <w:szCs w:val="24"/>
                <w:lang w:val="en-US"/>
              </w:rPr>
            </w:pPr>
            <w:r w:rsidRPr="006B3444">
              <w:rPr>
                <w:sz w:val="24"/>
                <w:szCs w:val="24"/>
                <w:lang w:val="en-US"/>
              </w:rPr>
              <w:t>0,0012</w:t>
            </w:r>
          </w:p>
        </w:tc>
        <w:tc>
          <w:tcPr>
            <w:tcW w:w="998" w:type="pct"/>
            <w:tcBorders>
              <w:top w:val="single" w:sz="4" w:space="0" w:color="000000"/>
              <w:left w:val="single" w:sz="4" w:space="0" w:color="000000"/>
              <w:bottom w:val="single" w:sz="4" w:space="0" w:color="000000"/>
              <w:right w:val="single" w:sz="4" w:space="0" w:color="000000"/>
            </w:tcBorders>
            <w:hideMark/>
          </w:tcPr>
          <w:p w14:paraId="5B07FF77" w14:textId="77777777" w:rsidR="006B3444" w:rsidRPr="006B3444" w:rsidRDefault="006B3444" w:rsidP="00B67369">
            <w:pPr>
              <w:ind w:left="133"/>
              <w:jc w:val="center"/>
              <w:rPr>
                <w:sz w:val="24"/>
                <w:szCs w:val="24"/>
                <w:lang w:val="en-US"/>
              </w:rPr>
            </w:pPr>
            <w:r w:rsidRPr="006B3444">
              <w:rPr>
                <w:sz w:val="24"/>
                <w:szCs w:val="24"/>
                <w:lang w:val="en-US"/>
              </w:rPr>
              <w:t>NA</w:t>
            </w:r>
          </w:p>
        </w:tc>
        <w:tc>
          <w:tcPr>
            <w:tcW w:w="882" w:type="pct"/>
            <w:tcBorders>
              <w:top w:val="single" w:sz="4" w:space="0" w:color="000000"/>
              <w:left w:val="single" w:sz="4" w:space="0" w:color="000000"/>
              <w:bottom w:val="single" w:sz="4" w:space="0" w:color="000000"/>
              <w:right w:val="single" w:sz="4" w:space="0" w:color="000000"/>
            </w:tcBorders>
            <w:hideMark/>
          </w:tcPr>
          <w:p w14:paraId="5CE050DF" w14:textId="77777777" w:rsidR="006B3444" w:rsidRPr="006B3444" w:rsidRDefault="006B3444" w:rsidP="00B67369">
            <w:pPr>
              <w:ind w:left="133"/>
              <w:jc w:val="center"/>
              <w:rPr>
                <w:sz w:val="24"/>
                <w:szCs w:val="24"/>
                <w:lang w:val="en-US"/>
              </w:rPr>
            </w:pPr>
            <w:r w:rsidRPr="006B3444">
              <w:rPr>
                <w:sz w:val="24"/>
                <w:szCs w:val="24"/>
                <w:lang w:val="en-US"/>
              </w:rPr>
              <w:t>NA</w:t>
            </w:r>
          </w:p>
        </w:tc>
      </w:tr>
      <w:tr w:rsidR="006B3444" w:rsidRPr="006B3444" w14:paraId="2EBDE2B5" w14:textId="77777777" w:rsidTr="00B76914">
        <w:trPr>
          <w:trHeight w:val="252"/>
        </w:trPr>
        <w:tc>
          <w:tcPr>
            <w:tcW w:w="5000" w:type="pct"/>
            <w:gridSpan w:val="5"/>
            <w:tcBorders>
              <w:top w:val="single" w:sz="4" w:space="0" w:color="000000"/>
              <w:left w:val="single" w:sz="4" w:space="0" w:color="000000"/>
              <w:bottom w:val="single" w:sz="4" w:space="0" w:color="000000"/>
              <w:right w:val="single" w:sz="4" w:space="0" w:color="000000"/>
            </w:tcBorders>
            <w:hideMark/>
          </w:tcPr>
          <w:p w14:paraId="0F93A8C2" w14:textId="77777777" w:rsidR="006B3444" w:rsidRPr="006B3444" w:rsidRDefault="006B3444" w:rsidP="00B76914">
            <w:pPr>
              <w:ind w:left="133"/>
              <w:rPr>
                <w:b/>
                <w:sz w:val="24"/>
                <w:szCs w:val="24"/>
              </w:rPr>
            </w:pPr>
            <w:r w:rsidRPr="006B3444">
              <w:rPr>
                <w:b/>
                <w:sz w:val="24"/>
                <w:szCs w:val="24"/>
              </w:rPr>
              <w:t xml:space="preserve">Gennemsnitlig absolut ændring fra </w:t>
            </w:r>
            <w:r w:rsidRPr="006B3444">
              <w:rPr>
                <w:b/>
                <w:i/>
                <w:sz w:val="24"/>
                <w:szCs w:val="24"/>
              </w:rPr>
              <w:t xml:space="preserve">baseline </w:t>
            </w:r>
            <w:r w:rsidRPr="006B3444">
              <w:rPr>
                <w:b/>
                <w:sz w:val="24"/>
                <w:szCs w:val="24"/>
              </w:rPr>
              <w:t>i kropsvægt (kg)</w:t>
            </w:r>
          </w:p>
        </w:tc>
      </w:tr>
      <w:tr w:rsidR="006B3444" w:rsidRPr="006B3444" w14:paraId="10EA4FF0" w14:textId="77777777" w:rsidTr="00B76914">
        <w:trPr>
          <w:trHeight w:val="258"/>
        </w:trPr>
        <w:tc>
          <w:tcPr>
            <w:tcW w:w="1401" w:type="pct"/>
            <w:tcBorders>
              <w:top w:val="single" w:sz="4" w:space="0" w:color="000000"/>
              <w:left w:val="single" w:sz="4" w:space="0" w:color="000000"/>
              <w:bottom w:val="nil"/>
              <w:right w:val="single" w:sz="4" w:space="0" w:color="000000"/>
            </w:tcBorders>
            <w:hideMark/>
          </w:tcPr>
          <w:p w14:paraId="45AF177D" w14:textId="77777777" w:rsidR="006B3444" w:rsidRPr="006B3444" w:rsidRDefault="006B3444" w:rsidP="00B76914">
            <w:pPr>
              <w:ind w:left="133"/>
              <w:rPr>
                <w:sz w:val="24"/>
                <w:szCs w:val="24"/>
                <w:lang w:val="en-US"/>
              </w:rPr>
            </w:pPr>
            <w:r w:rsidRPr="006B3444">
              <w:rPr>
                <w:sz w:val="24"/>
                <w:szCs w:val="24"/>
                <w:lang w:val="en-US"/>
              </w:rPr>
              <w:t>Ved uge 24</w:t>
            </w:r>
          </w:p>
        </w:tc>
        <w:tc>
          <w:tcPr>
            <w:tcW w:w="998" w:type="pct"/>
            <w:tcBorders>
              <w:top w:val="single" w:sz="4" w:space="0" w:color="000000"/>
              <w:left w:val="single" w:sz="4" w:space="0" w:color="000000"/>
              <w:bottom w:val="nil"/>
              <w:right w:val="single" w:sz="4" w:space="0" w:color="000000"/>
            </w:tcBorders>
            <w:hideMark/>
          </w:tcPr>
          <w:p w14:paraId="6924F92A" w14:textId="77777777" w:rsidR="006B3444" w:rsidRPr="006B3444" w:rsidRDefault="006B3444" w:rsidP="00B67369">
            <w:pPr>
              <w:ind w:left="133"/>
              <w:jc w:val="center"/>
              <w:rPr>
                <w:sz w:val="24"/>
                <w:szCs w:val="24"/>
                <w:lang w:val="en-US"/>
              </w:rPr>
            </w:pPr>
            <w:r w:rsidRPr="006B3444">
              <w:rPr>
                <w:sz w:val="24"/>
                <w:szCs w:val="24"/>
                <w:lang w:val="en-US"/>
              </w:rPr>
              <w:t>2,8</w:t>
            </w:r>
          </w:p>
        </w:tc>
        <w:tc>
          <w:tcPr>
            <w:tcW w:w="721" w:type="pct"/>
            <w:tcBorders>
              <w:top w:val="single" w:sz="4" w:space="0" w:color="000000"/>
              <w:left w:val="single" w:sz="4" w:space="0" w:color="000000"/>
              <w:bottom w:val="nil"/>
              <w:right w:val="single" w:sz="4" w:space="0" w:color="000000"/>
            </w:tcBorders>
            <w:hideMark/>
          </w:tcPr>
          <w:p w14:paraId="4A77A988" w14:textId="77777777" w:rsidR="006B3444" w:rsidRPr="006B3444" w:rsidRDefault="006B3444" w:rsidP="00B67369">
            <w:pPr>
              <w:ind w:left="133"/>
              <w:jc w:val="center"/>
              <w:rPr>
                <w:sz w:val="24"/>
                <w:szCs w:val="24"/>
                <w:lang w:val="en-US"/>
              </w:rPr>
            </w:pPr>
            <w:r w:rsidRPr="006B3444">
              <w:rPr>
                <w:sz w:val="24"/>
                <w:szCs w:val="24"/>
                <w:lang w:val="en-US"/>
              </w:rPr>
              <w:t>&lt;0,0001</w:t>
            </w:r>
          </w:p>
        </w:tc>
        <w:tc>
          <w:tcPr>
            <w:tcW w:w="998" w:type="pct"/>
            <w:tcBorders>
              <w:top w:val="single" w:sz="4" w:space="0" w:color="000000"/>
              <w:left w:val="single" w:sz="4" w:space="0" w:color="000000"/>
              <w:bottom w:val="nil"/>
              <w:right w:val="single" w:sz="4" w:space="0" w:color="000000"/>
            </w:tcBorders>
            <w:hideMark/>
          </w:tcPr>
          <w:p w14:paraId="6BAFA81C" w14:textId="77777777" w:rsidR="006B3444" w:rsidRPr="006B3444" w:rsidRDefault="006B3444" w:rsidP="00B67369">
            <w:pPr>
              <w:ind w:left="133"/>
              <w:jc w:val="center"/>
              <w:rPr>
                <w:sz w:val="24"/>
                <w:szCs w:val="24"/>
                <w:lang w:val="en-US"/>
              </w:rPr>
            </w:pPr>
            <w:r w:rsidRPr="006B3444">
              <w:rPr>
                <w:sz w:val="24"/>
                <w:szCs w:val="24"/>
                <w:lang w:val="en-US"/>
              </w:rPr>
              <w:t>1,9</w:t>
            </w:r>
          </w:p>
        </w:tc>
        <w:tc>
          <w:tcPr>
            <w:tcW w:w="882" w:type="pct"/>
            <w:tcBorders>
              <w:top w:val="single" w:sz="4" w:space="0" w:color="000000"/>
              <w:left w:val="single" w:sz="4" w:space="0" w:color="000000"/>
              <w:bottom w:val="nil"/>
              <w:right w:val="single" w:sz="4" w:space="0" w:color="000000"/>
            </w:tcBorders>
            <w:hideMark/>
          </w:tcPr>
          <w:p w14:paraId="4CD134FB" w14:textId="77777777" w:rsidR="006B3444" w:rsidRPr="006B3444" w:rsidRDefault="006B3444" w:rsidP="00B67369">
            <w:pPr>
              <w:ind w:left="133"/>
              <w:jc w:val="center"/>
              <w:rPr>
                <w:sz w:val="24"/>
                <w:szCs w:val="24"/>
                <w:lang w:val="en-US"/>
              </w:rPr>
            </w:pPr>
            <w:r w:rsidRPr="006B3444">
              <w:rPr>
                <w:sz w:val="24"/>
                <w:szCs w:val="24"/>
                <w:lang w:val="en-US"/>
              </w:rPr>
              <w:t>0,0004</w:t>
            </w:r>
          </w:p>
        </w:tc>
      </w:tr>
      <w:tr w:rsidR="006B3444" w:rsidRPr="006B3444" w14:paraId="26C9B4F9" w14:textId="77777777" w:rsidTr="00B76914">
        <w:trPr>
          <w:trHeight w:val="247"/>
        </w:trPr>
        <w:tc>
          <w:tcPr>
            <w:tcW w:w="1401" w:type="pct"/>
            <w:tcBorders>
              <w:top w:val="nil"/>
              <w:left w:val="single" w:sz="4" w:space="0" w:color="000000"/>
              <w:bottom w:val="single" w:sz="4" w:space="0" w:color="000000"/>
              <w:right w:val="single" w:sz="4" w:space="0" w:color="000000"/>
            </w:tcBorders>
          </w:tcPr>
          <w:p w14:paraId="080959FF" w14:textId="77777777" w:rsidR="006B3444" w:rsidRPr="006B3444" w:rsidRDefault="006B3444" w:rsidP="00B76914">
            <w:pPr>
              <w:ind w:left="133"/>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69CE3AC4" w14:textId="77777777" w:rsidR="006B3444" w:rsidRPr="006B3444" w:rsidRDefault="006B3444" w:rsidP="00B67369">
            <w:pPr>
              <w:ind w:left="133"/>
              <w:jc w:val="center"/>
              <w:rPr>
                <w:sz w:val="24"/>
                <w:szCs w:val="24"/>
                <w:lang w:val="en-US"/>
              </w:rPr>
            </w:pPr>
            <w:r w:rsidRPr="006B3444">
              <w:rPr>
                <w:sz w:val="24"/>
                <w:szCs w:val="24"/>
                <w:lang w:val="en-US"/>
              </w:rPr>
              <w:t>(1,8; 3,7)</w:t>
            </w:r>
          </w:p>
        </w:tc>
        <w:tc>
          <w:tcPr>
            <w:tcW w:w="721" w:type="pct"/>
            <w:tcBorders>
              <w:top w:val="nil"/>
              <w:left w:val="single" w:sz="4" w:space="0" w:color="000000"/>
              <w:bottom w:val="single" w:sz="4" w:space="0" w:color="000000"/>
              <w:right w:val="single" w:sz="4" w:space="0" w:color="000000"/>
            </w:tcBorders>
          </w:tcPr>
          <w:p w14:paraId="27B154B6" w14:textId="77777777" w:rsidR="006B3444" w:rsidRPr="006B3444" w:rsidRDefault="006B3444" w:rsidP="00B67369">
            <w:pPr>
              <w:ind w:left="133"/>
              <w:jc w:val="center"/>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590B85FC" w14:textId="77777777" w:rsidR="006B3444" w:rsidRPr="006B3444" w:rsidRDefault="006B3444" w:rsidP="00B67369">
            <w:pPr>
              <w:ind w:left="133"/>
              <w:jc w:val="center"/>
              <w:rPr>
                <w:sz w:val="24"/>
                <w:szCs w:val="24"/>
                <w:lang w:val="en-US"/>
              </w:rPr>
            </w:pPr>
            <w:r w:rsidRPr="006B3444">
              <w:rPr>
                <w:sz w:val="24"/>
                <w:szCs w:val="24"/>
                <w:lang w:val="en-US"/>
              </w:rPr>
              <w:t>(0,9; 2,9)</w:t>
            </w:r>
          </w:p>
        </w:tc>
        <w:tc>
          <w:tcPr>
            <w:tcW w:w="882" w:type="pct"/>
            <w:tcBorders>
              <w:top w:val="nil"/>
              <w:left w:val="single" w:sz="4" w:space="0" w:color="000000"/>
              <w:bottom w:val="single" w:sz="4" w:space="0" w:color="000000"/>
              <w:right w:val="single" w:sz="4" w:space="0" w:color="000000"/>
            </w:tcBorders>
          </w:tcPr>
          <w:p w14:paraId="2A1FF368" w14:textId="77777777" w:rsidR="006B3444" w:rsidRPr="006B3444" w:rsidRDefault="006B3444" w:rsidP="00B67369">
            <w:pPr>
              <w:ind w:left="133"/>
              <w:jc w:val="center"/>
              <w:rPr>
                <w:sz w:val="24"/>
                <w:szCs w:val="24"/>
                <w:lang w:val="en-US"/>
              </w:rPr>
            </w:pPr>
          </w:p>
        </w:tc>
      </w:tr>
      <w:tr w:rsidR="006B3444" w:rsidRPr="006B3444" w14:paraId="5AB98A60" w14:textId="77777777" w:rsidTr="00B76914">
        <w:trPr>
          <w:trHeight w:val="258"/>
        </w:trPr>
        <w:tc>
          <w:tcPr>
            <w:tcW w:w="1401" w:type="pct"/>
            <w:tcBorders>
              <w:top w:val="single" w:sz="4" w:space="0" w:color="000000"/>
              <w:left w:val="single" w:sz="4" w:space="0" w:color="000000"/>
              <w:bottom w:val="nil"/>
              <w:right w:val="single" w:sz="4" w:space="0" w:color="000000"/>
            </w:tcBorders>
            <w:hideMark/>
          </w:tcPr>
          <w:p w14:paraId="23308648" w14:textId="77777777" w:rsidR="006B3444" w:rsidRPr="006B3444" w:rsidRDefault="006B3444" w:rsidP="00B76914">
            <w:pPr>
              <w:ind w:left="133"/>
              <w:rPr>
                <w:sz w:val="24"/>
                <w:szCs w:val="24"/>
                <w:lang w:val="en-US"/>
              </w:rPr>
            </w:pPr>
            <w:r w:rsidRPr="006B3444">
              <w:rPr>
                <w:sz w:val="24"/>
                <w:szCs w:val="24"/>
                <w:lang w:val="en-US"/>
              </w:rPr>
              <w:t>Ved uge 48</w:t>
            </w:r>
          </w:p>
        </w:tc>
        <w:tc>
          <w:tcPr>
            <w:tcW w:w="998" w:type="pct"/>
            <w:tcBorders>
              <w:top w:val="single" w:sz="4" w:space="0" w:color="000000"/>
              <w:left w:val="single" w:sz="4" w:space="0" w:color="000000"/>
              <w:bottom w:val="nil"/>
              <w:right w:val="single" w:sz="4" w:space="0" w:color="000000"/>
            </w:tcBorders>
            <w:hideMark/>
          </w:tcPr>
          <w:p w14:paraId="179C391F" w14:textId="77777777" w:rsidR="006B3444" w:rsidRPr="006B3444" w:rsidRDefault="006B3444" w:rsidP="00B67369">
            <w:pPr>
              <w:ind w:left="133"/>
              <w:jc w:val="center"/>
              <w:rPr>
                <w:sz w:val="24"/>
                <w:szCs w:val="24"/>
                <w:lang w:val="en-US"/>
              </w:rPr>
            </w:pPr>
            <w:r w:rsidRPr="006B3444">
              <w:rPr>
                <w:sz w:val="24"/>
                <w:szCs w:val="24"/>
                <w:lang w:val="en-US"/>
              </w:rPr>
              <w:t>2,7</w:t>
            </w:r>
          </w:p>
        </w:tc>
        <w:tc>
          <w:tcPr>
            <w:tcW w:w="721" w:type="pct"/>
            <w:tcBorders>
              <w:top w:val="single" w:sz="4" w:space="0" w:color="000000"/>
              <w:left w:val="single" w:sz="4" w:space="0" w:color="000000"/>
              <w:bottom w:val="nil"/>
              <w:right w:val="single" w:sz="4" w:space="0" w:color="000000"/>
            </w:tcBorders>
            <w:hideMark/>
          </w:tcPr>
          <w:p w14:paraId="5F48203E" w14:textId="77777777" w:rsidR="006B3444" w:rsidRPr="006B3444" w:rsidRDefault="006B3444" w:rsidP="00B67369">
            <w:pPr>
              <w:ind w:left="133"/>
              <w:jc w:val="center"/>
              <w:rPr>
                <w:sz w:val="24"/>
                <w:szCs w:val="24"/>
                <w:lang w:val="en-US"/>
              </w:rPr>
            </w:pPr>
            <w:r w:rsidRPr="006B3444">
              <w:rPr>
                <w:sz w:val="24"/>
                <w:szCs w:val="24"/>
                <w:lang w:val="en-US"/>
              </w:rPr>
              <w:t>0,0001</w:t>
            </w:r>
          </w:p>
        </w:tc>
        <w:tc>
          <w:tcPr>
            <w:tcW w:w="998" w:type="pct"/>
            <w:tcBorders>
              <w:top w:val="single" w:sz="4" w:space="0" w:color="000000"/>
              <w:left w:val="single" w:sz="4" w:space="0" w:color="000000"/>
              <w:bottom w:val="nil"/>
              <w:right w:val="single" w:sz="4" w:space="0" w:color="000000"/>
            </w:tcBorders>
            <w:hideMark/>
          </w:tcPr>
          <w:p w14:paraId="6D09DD63" w14:textId="77777777" w:rsidR="006B3444" w:rsidRPr="006B3444" w:rsidRDefault="006B3444" w:rsidP="00B67369">
            <w:pPr>
              <w:ind w:left="133"/>
              <w:jc w:val="center"/>
              <w:rPr>
                <w:sz w:val="24"/>
                <w:szCs w:val="24"/>
                <w:lang w:val="en-US"/>
              </w:rPr>
            </w:pPr>
            <w:r w:rsidRPr="006B3444">
              <w:rPr>
                <w:sz w:val="24"/>
                <w:szCs w:val="24"/>
                <w:lang w:val="en-US"/>
              </w:rPr>
              <w:t>2,8</w:t>
            </w:r>
          </w:p>
        </w:tc>
        <w:tc>
          <w:tcPr>
            <w:tcW w:w="882" w:type="pct"/>
            <w:tcBorders>
              <w:top w:val="single" w:sz="4" w:space="0" w:color="000000"/>
              <w:left w:val="single" w:sz="4" w:space="0" w:color="000000"/>
              <w:bottom w:val="nil"/>
              <w:right w:val="single" w:sz="4" w:space="0" w:color="000000"/>
            </w:tcBorders>
            <w:hideMark/>
          </w:tcPr>
          <w:p w14:paraId="2E7F0A43" w14:textId="77777777" w:rsidR="006B3444" w:rsidRPr="006B3444" w:rsidRDefault="006B3444" w:rsidP="00B67369">
            <w:pPr>
              <w:ind w:left="133"/>
              <w:jc w:val="center"/>
              <w:rPr>
                <w:sz w:val="24"/>
                <w:szCs w:val="24"/>
                <w:lang w:val="en-US"/>
              </w:rPr>
            </w:pPr>
            <w:r w:rsidRPr="006B3444">
              <w:rPr>
                <w:sz w:val="24"/>
                <w:szCs w:val="24"/>
                <w:lang w:val="en-US"/>
              </w:rPr>
              <w:t>0,0002</w:t>
            </w:r>
          </w:p>
        </w:tc>
      </w:tr>
      <w:tr w:rsidR="006B3444" w:rsidRPr="006B3444" w14:paraId="0F668B8A" w14:textId="77777777" w:rsidTr="00B76914">
        <w:trPr>
          <w:trHeight w:val="247"/>
        </w:trPr>
        <w:tc>
          <w:tcPr>
            <w:tcW w:w="1401" w:type="pct"/>
            <w:tcBorders>
              <w:top w:val="nil"/>
              <w:left w:val="single" w:sz="4" w:space="0" w:color="000000"/>
              <w:bottom w:val="single" w:sz="4" w:space="0" w:color="000000"/>
              <w:right w:val="single" w:sz="4" w:space="0" w:color="000000"/>
            </w:tcBorders>
          </w:tcPr>
          <w:p w14:paraId="1AFE5D25" w14:textId="77777777" w:rsidR="006B3444" w:rsidRPr="006B3444" w:rsidRDefault="006B3444" w:rsidP="00B76914">
            <w:pPr>
              <w:ind w:left="133"/>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2B4806DF" w14:textId="77777777" w:rsidR="006B3444" w:rsidRPr="006B3444" w:rsidRDefault="006B3444" w:rsidP="00B67369">
            <w:pPr>
              <w:ind w:left="133"/>
              <w:jc w:val="center"/>
              <w:rPr>
                <w:sz w:val="24"/>
                <w:szCs w:val="24"/>
                <w:lang w:val="en-US"/>
              </w:rPr>
            </w:pPr>
            <w:r w:rsidRPr="006B3444">
              <w:rPr>
                <w:sz w:val="24"/>
                <w:szCs w:val="24"/>
                <w:lang w:val="en-US"/>
              </w:rPr>
              <w:t>(1,3; 4,1)</w:t>
            </w:r>
          </w:p>
        </w:tc>
        <w:tc>
          <w:tcPr>
            <w:tcW w:w="721" w:type="pct"/>
            <w:tcBorders>
              <w:top w:val="nil"/>
              <w:left w:val="single" w:sz="4" w:space="0" w:color="000000"/>
              <w:bottom w:val="single" w:sz="4" w:space="0" w:color="000000"/>
              <w:right w:val="single" w:sz="4" w:space="0" w:color="000000"/>
            </w:tcBorders>
          </w:tcPr>
          <w:p w14:paraId="053C55DB" w14:textId="77777777" w:rsidR="006B3444" w:rsidRPr="006B3444" w:rsidRDefault="006B3444" w:rsidP="00B67369">
            <w:pPr>
              <w:ind w:left="133"/>
              <w:jc w:val="center"/>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76B678EA" w14:textId="77777777" w:rsidR="006B3444" w:rsidRPr="006B3444" w:rsidRDefault="006B3444" w:rsidP="00B67369">
            <w:pPr>
              <w:ind w:left="133"/>
              <w:jc w:val="center"/>
              <w:rPr>
                <w:sz w:val="24"/>
                <w:szCs w:val="24"/>
                <w:lang w:val="en-US"/>
              </w:rPr>
            </w:pPr>
            <w:r w:rsidRPr="006B3444">
              <w:rPr>
                <w:sz w:val="24"/>
                <w:szCs w:val="24"/>
                <w:lang w:val="en-US"/>
              </w:rPr>
              <w:t>(1,3; 4,2)</w:t>
            </w:r>
          </w:p>
        </w:tc>
        <w:tc>
          <w:tcPr>
            <w:tcW w:w="882" w:type="pct"/>
            <w:tcBorders>
              <w:top w:val="nil"/>
              <w:left w:val="single" w:sz="4" w:space="0" w:color="000000"/>
              <w:bottom w:val="single" w:sz="4" w:space="0" w:color="000000"/>
              <w:right w:val="single" w:sz="4" w:space="0" w:color="000000"/>
            </w:tcBorders>
          </w:tcPr>
          <w:p w14:paraId="5149985A" w14:textId="77777777" w:rsidR="006B3444" w:rsidRPr="006B3444" w:rsidRDefault="006B3444" w:rsidP="00B67369">
            <w:pPr>
              <w:ind w:left="133"/>
              <w:jc w:val="center"/>
              <w:rPr>
                <w:sz w:val="24"/>
                <w:szCs w:val="24"/>
                <w:lang w:val="en-US"/>
              </w:rPr>
            </w:pPr>
          </w:p>
        </w:tc>
      </w:tr>
      <w:tr w:rsidR="006B3444" w:rsidRPr="006B3444" w14:paraId="6ECC0FD0" w14:textId="77777777" w:rsidTr="00B76914">
        <w:trPr>
          <w:trHeight w:val="366"/>
        </w:trPr>
        <w:tc>
          <w:tcPr>
            <w:tcW w:w="5000" w:type="pct"/>
            <w:gridSpan w:val="5"/>
            <w:tcBorders>
              <w:top w:val="single" w:sz="4" w:space="0" w:color="000000"/>
              <w:left w:val="single" w:sz="4" w:space="0" w:color="000000"/>
              <w:bottom w:val="single" w:sz="4" w:space="0" w:color="000000"/>
              <w:right w:val="single" w:sz="4" w:space="0" w:color="000000"/>
            </w:tcBorders>
            <w:hideMark/>
          </w:tcPr>
          <w:p w14:paraId="6C03F49D" w14:textId="77777777" w:rsidR="006B3444" w:rsidRPr="006B3444" w:rsidRDefault="006B3444" w:rsidP="00B76914">
            <w:pPr>
              <w:ind w:left="133"/>
              <w:rPr>
                <w:b/>
                <w:sz w:val="24"/>
                <w:szCs w:val="24"/>
              </w:rPr>
            </w:pPr>
            <w:r w:rsidRPr="006B3444">
              <w:rPr>
                <w:b/>
                <w:sz w:val="24"/>
                <w:szCs w:val="24"/>
              </w:rPr>
              <w:t xml:space="preserve">Gennemsnitlig absolut ændring fra </w:t>
            </w:r>
            <w:r w:rsidRPr="006B3444">
              <w:rPr>
                <w:b/>
                <w:i/>
                <w:sz w:val="24"/>
                <w:szCs w:val="24"/>
              </w:rPr>
              <w:t xml:space="preserve">baseline </w:t>
            </w:r>
            <w:r w:rsidRPr="006B3444">
              <w:rPr>
                <w:b/>
                <w:sz w:val="24"/>
                <w:szCs w:val="24"/>
              </w:rPr>
              <w:t>i BMI (kg/m2)</w:t>
            </w:r>
          </w:p>
        </w:tc>
      </w:tr>
      <w:tr w:rsidR="006B3444" w:rsidRPr="006B3444" w14:paraId="4AF23319" w14:textId="77777777" w:rsidTr="00B76914">
        <w:trPr>
          <w:trHeight w:val="257"/>
        </w:trPr>
        <w:tc>
          <w:tcPr>
            <w:tcW w:w="1401" w:type="pct"/>
            <w:tcBorders>
              <w:top w:val="single" w:sz="4" w:space="0" w:color="000000"/>
              <w:left w:val="single" w:sz="4" w:space="0" w:color="000000"/>
              <w:bottom w:val="nil"/>
              <w:right w:val="single" w:sz="4" w:space="0" w:color="000000"/>
            </w:tcBorders>
            <w:hideMark/>
          </w:tcPr>
          <w:p w14:paraId="2587843E" w14:textId="77777777" w:rsidR="006B3444" w:rsidRPr="006B3444" w:rsidRDefault="006B3444" w:rsidP="00B76914">
            <w:pPr>
              <w:ind w:left="133"/>
              <w:rPr>
                <w:sz w:val="24"/>
                <w:szCs w:val="24"/>
                <w:lang w:val="en-US"/>
              </w:rPr>
            </w:pPr>
            <w:r w:rsidRPr="006B3444">
              <w:rPr>
                <w:sz w:val="24"/>
                <w:szCs w:val="24"/>
                <w:lang w:val="en-US"/>
              </w:rPr>
              <w:t>Ved uge 24</w:t>
            </w:r>
          </w:p>
        </w:tc>
        <w:tc>
          <w:tcPr>
            <w:tcW w:w="998" w:type="pct"/>
            <w:tcBorders>
              <w:top w:val="single" w:sz="4" w:space="0" w:color="000000"/>
              <w:left w:val="single" w:sz="4" w:space="0" w:color="000000"/>
              <w:bottom w:val="nil"/>
              <w:right w:val="single" w:sz="4" w:space="0" w:color="000000"/>
            </w:tcBorders>
            <w:hideMark/>
          </w:tcPr>
          <w:p w14:paraId="5AE904BB" w14:textId="77777777" w:rsidR="006B3444" w:rsidRPr="006B3444" w:rsidRDefault="006B3444" w:rsidP="00B67369">
            <w:pPr>
              <w:ind w:left="133"/>
              <w:jc w:val="center"/>
              <w:rPr>
                <w:sz w:val="24"/>
                <w:szCs w:val="24"/>
                <w:lang w:val="en-US"/>
              </w:rPr>
            </w:pPr>
            <w:r w:rsidRPr="006B3444">
              <w:rPr>
                <w:sz w:val="24"/>
                <w:szCs w:val="24"/>
                <w:lang w:val="en-US"/>
              </w:rPr>
              <w:t>0,94</w:t>
            </w:r>
          </w:p>
        </w:tc>
        <w:tc>
          <w:tcPr>
            <w:tcW w:w="721" w:type="pct"/>
            <w:tcBorders>
              <w:top w:val="single" w:sz="4" w:space="0" w:color="000000"/>
              <w:left w:val="single" w:sz="4" w:space="0" w:color="000000"/>
              <w:bottom w:val="nil"/>
              <w:right w:val="single" w:sz="4" w:space="0" w:color="000000"/>
            </w:tcBorders>
            <w:hideMark/>
          </w:tcPr>
          <w:p w14:paraId="38675B57" w14:textId="77777777" w:rsidR="006B3444" w:rsidRPr="006B3444" w:rsidRDefault="006B3444" w:rsidP="00B67369">
            <w:pPr>
              <w:ind w:left="133"/>
              <w:jc w:val="center"/>
              <w:rPr>
                <w:sz w:val="24"/>
                <w:szCs w:val="24"/>
                <w:lang w:val="en-US"/>
              </w:rPr>
            </w:pPr>
            <w:r w:rsidRPr="006B3444">
              <w:rPr>
                <w:sz w:val="24"/>
                <w:szCs w:val="24"/>
                <w:lang w:val="en-US"/>
              </w:rPr>
              <w:t>&lt;0,0001</w:t>
            </w:r>
          </w:p>
        </w:tc>
        <w:tc>
          <w:tcPr>
            <w:tcW w:w="998" w:type="pct"/>
            <w:tcBorders>
              <w:top w:val="single" w:sz="4" w:space="0" w:color="000000"/>
              <w:left w:val="single" w:sz="4" w:space="0" w:color="000000"/>
              <w:bottom w:val="nil"/>
              <w:right w:val="single" w:sz="4" w:space="0" w:color="000000"/>
            </w:tcBorders>
            <w:hideMark/>
          </w:tcPr>
          <w:p w14:paraId="7027F789" w14:textId="77777777" w:rsidR="006B3444" w:rsidRPr="006B3444" w:rsidRDefault="006B3444" w:rsidP="00B67369">
            <w:pPr>
              <w:ind w:left="133"/>
              <w:jc w:val="center"/>
              <w:rPr>
                <w:sz w:val="24"/>
                <w:szCs w:val="24"/>
                <w:lang w:val="en-US"/>
              </w:rPr>
            </w:pPr>
            <w:r w:rsidRPr="006B3444">
              <w:rPr>
                <w:sz w:val="24"/>
                <w:szCs w:val="24"/>
                <w:lang w:val="en-US"/>
              </w:rPr>
              <w:t>0,81</w:t>
            </w:r>
          </w:p>
        </w:tc>
        <w:tc>
          <w:tcPr>
            <w:tcW w:w="882" w:type="pct"/>
            <w:tcBorders>
              <w:top w:val="single" w:sz="4" w:space="0" w:color="000000"/>
              <w:left w:val="single" w:sz="4" w:space="0" w:color="000000"/>
              <w:bottom w:val="nil"/>
              <w:right w:val="single" w:sz="4" w:space="0" w:color="000000"/>
            </w:tcBorders>
            <w:hideMark/>
          </w:tcPr>
          <w:p w14:paraId="4850484B" w14:textId="77777777" w:rsidR="006B3444" w:rsidRPr="006B3444" w:rsidRDefault="006B3444" w:rsidP="00B67369">
            <w:pPr>
              <w:ind w:left="133"/>
              <w:jc w:val="center"/>
              <w:rPr>
                <w:sz w:val="24"/>
                <w:szCs w:val="24"/>
                <w:lang w:val="en-US"/>
              </w:rPr>
            </w:pPr>
            <w:r w:rsidRPr="006B3444">
              <w:rPr>
                <w:sz w:val="24"/>
                <w:szCs w:val="24"/>
                <w:lang w:val="en-US"/>
              </w:rPr>
              <w:t>0,0008</w:t>
            </w:r>
          </w:p>
        </w:tc>
      </w:tr>
      <w:tr w:rsidR="006B3444" w:rsidRPr="006B3444" w14:paraId="3232F8AF" w14:textId="77777777" w:rsidTr="00B76914">
        <w:trPr>
          <w:trHeight w:val="248"/>
        </w:trPr>
        <w:tc>
          <w:tcPr>
            <w:tcW w:w="1401" w:type="pct"/>
            <w:tcBorders>
              <w:top w:val="nil"/>
              <w:left w:val="single" w:sz="4" w:space="0" w:color="000000"/>
              <w:bottom w:val="single" w:sz="4" w:space="0" w:color="000000"/>
              <w:right w:val="single" w:sz="4" w:space="0" w:color="000000"/>
            </w:tcBorders>
          </w:tcPr>
          <w:p w14:paraId="489F155B" w14:textId="77777777" w:rsidR="006B3444" w:rsidRPr="006B3444" w:rsidRDefault="006B3444" w:rsidP="00B76914">
            <w:pPr>
              <w:ind w:left="133"/>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1A0324A5" w14:textId="77777777" w:rsidR="006B3444" w:rsidRPr="006B3444" w:rsidRDefault="006B3444" w:rsidP="00B67369">
            <w:pPr>
              <w:ind w:left="133"/>
              <w:jc w:val="center"/>
              <w:rPr>
                <w:sz w:val="24"/>
                <w:szCs w:val="24"/>
                <w:lang w:val="en-US"/>
              </w:rPr>
            </w:pPr>
            <w:r w:rsidRPr="006B3444">
              <w:rPr>
                <w:sz w:val="24"/>
                <w:szCs w:val="24"/>
                <w:lang w:val="en-US"/>
              </w:rPr>
              <w:t>(0,62; 1,26)</w:t>
            </w:r>
          </w:p>
        </w:tc>
        <w:tc>
          <w:tcPr>
            <w:tcW w:w="721" w:type="pct"/>
            <w:tcBorders>
              <w:top w:val="nil"/>
              <w:left w:val="single" w:sz="4" w:space="0" w:color="000000"/>
              <w:bottom w:val="single" w:sz="4" w:space="0" w:color="000000"/>
              <w:right w:val="single" w:sz="4" w:space="0" w:color="000000"/>
            </w:tcBorders>
          </w:tcPr>
          <w:p w14:paraId="05A18697" w14:textId="77777777" w:rsidR="006B3444" w:rsidRPr="006B3444" w:rsidRDefault="006B3444" w:rsidP="00B67369">
            <w:pPr>
              <w:ind w:left="133"/>
              <w:jc w:val="center"/>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20B50E9F" w14:textId="77777777" w:rsidR="006B3444" w:rsidRPr="006B3444" w:rsidRDefault="006B3444" w:rsidP="00B67369">
            <w:pPr>
              <w:ind w:left="133"/>
              <w:jc w:val="center"/>
              <w:rPr>
                <w:sz w:val="24"/>
                <w:szCs w:val="24"/>
                <w:lang w:val="en-US"/>
              </w:rPr>
            </w:pPr>
            <w:r w:rsidRPr="006B3444">
              <w:rPr>
                <w:sz w:val="24"/>
                <w:szCs w:val="24"/>
                <w:lang w:val="en-US"/>
              </w:rPr>
              <w:t>(0,34; 1,28)</w:t>
            </w:r>
          </w:p>
        </w:tc>
        <w:tc>
          <w:tcPr>
            <w:tcW w:w="882" w:type="pct"/>
            <w:tcBorders>
              <w:top w:val="nil"/>
              <w:left w:val="single" w:sz="4" w:space="0" w:color="000000"/>
              <w:bottom w:val="single" w:sz="4" w:space="0" w:color="000000"/>
              <w:right w:val="single" w:sz="4" w:space="0" w:color="000000"/>
            </w:tcBorders>
          </w:tcPr>
          <w:p w14:paraId="5CFEB357" w14:textId="77777777" w:rsidR="006B3444" w:rsidRPr="006B3444" w:rsidRDefault="006B3444" w:rsidP="00B67369">
            <w:pPr>
              <w:ind w:left="133"/>
              <w:jc w:val="center"/>
              <w:rPr>
                <w:sz w:val="24"/>
                <w:szCs w:val="24"/>
                <w:lang w:val="en-US"/>
              </w:rPr>
            </w:pPr>
          </w:p>
        </w:tc>
      </w:tr>
      <w:tr w:rsidR="006B3444" w:rsidRPr="006B3444" w14:paraId="6FE92AB9" w14:textId="77777777" w:rsidTr="00B76914">
        <w:trPr>
          <w:trHeight w:val="257"/>
        </w:trPr>
        <w:tc>
          <w:tcPr>
            <w:tcW w:w="1401" w:type="pct"/>
            <w:tcBorders>
              <w:top w:val="single" w:sz="4" w:space="0" w:color="000000"/>
              <w:left w:val="single" w:sz="4" w:space="0" w:color="000000"/>
              <w:bottom w:val="nil"/>
              <w:right w:val="single" w:sz="4" w:space="0" w:color="000000"/>
            </w:tcBorders>
            <w:hideMark/>
          </w:tcPr>
          <w:p w14:paraId="687B1083" w14:textId="77777777" w:rsidR="006B3444" w:rsidRPr="006B3444" w:rsidRDefault="006B3444" w:rsidP="00B76914">
            <w:pPr>
              <w:ind w:left="133"/>
              <w:rPr>
                <w:sz w:val="24"/>
                <w:szCs w:val="24"/>
                <w:lang w:val="en-US"/>
              </w:rPr>
            </w:pPr>
            <w:r w:rsidRPr="006B3444">
              <w:rPr>
                <w:sz w:val="24"/>
                <w:szCs w:val="24"/>
                <w:lang w:val="en-US"/>
              </w:rPr>
              <w:t>Ved uge 48</w:t>
            </w:r>
          </w:p>
        </w:tc>
        <w:tc>
          <w:tcPr>
            <w:tcW w:w="998" w:type="pct"/>
            <w:tcBorders>
              <w:top w:val="single" w:sz="4" w:space="0" w:color="000000"/>
              <w:left w:val="single" w:sz="4" w:space="0" w:color="000000"/>
              <w:bottom w:val="nil"/>
              <w:right w:val="single" w:sz="4" w:space="0" w:color="000000"/>
            </w:tcBorders>
            <w:hideMark/>
          </w:tcPr>
          <w:p w14:paraId="5435619B" w14:textId="77777777" w:rsidR="006B3444" w:rsidRPr="006B3444" w:rsidRDefault="006B3444" w:rsidP="00B67369">
            <w:pPr>
              <w:ind w:left="133"/>
              <w:jc w:val="center"/>
              <w:rPr>
                <w:sz w:val="24"/>
                <w:szCs w:val="24"/>
                <w:lang w:val="en-US"/>
              </w:rPr>
            </w:pPr>
            <w:r w:rsidRPr="006B3444">
              <w:rPr>
                <w:sz w:val="24"/>
                <w:szCs w:val="24"/>
                <w:lang w:val="en-US"/>
              </w:rPr>
              <w:t>0,93</w:t>
            </w:r>
          </w:p>
        </w:tc>
        <w:tc>
          <w:tcPr>
            <w:tcW w:w="721" w:type="pct"/>
            <w:tcBorders>
              <w:top w:val="single" w:sz="4" w:space="0" w:color="000000"/>
              <w:left w:val="single" w:sz="4" w:space="0" w:color="000000"/>
              <w:bottom w:val="nil"/>
              <w:right w:val="single" w:sz="4" w:space="0" w:color="000000"/>
            </w:tcBorders>
            <w:hideMark/>
          </w:tcPr>
          <w:p w14:paraId="1EEE665B" w14:textId="77777777" w:rsidR="006B3444" w:rsidRPr="006B3444" w:rsidRDefault="006B3444" w:rsidP="00B67369">
            <w:pPr>
              <w:ind w:left="133"/>
              <w:jc w:val="center"/>
              <w:rPr>
                <w:sz w:val="24"/>
                <w:szCs w:val="24"/>
                <w:lang w:val="en-US"/>
              </w:rPr>
            </w:pPr>
            <w:r w:rsidRPr="006B3444">
              <w:rPr>
                <w:sz w:val="24"/>
                <w:szCs w:val="24"/>
                <w:lang w:val="en-US"/>
              </w:rPr>
              <w:t>&lt;0,0001</w:t>
            </w:r>
          </w:p>
        </w:tc>
        <w:tc>
          <w:tcPr>
            <w:tcW w:w="998" w:type="pct"/>
            <w:tcBorders>
              <w:top w:val="single" w:sz="4" w:space="0" w:color="000000"/>
              <w:left w:val="single" w:sz="4" w:space="0" w:color="000000"/>
              <w:bottom w:val="nil"/>
              <w:right w:val="single" w:sz="4" w:space="0" w:color="000000"/>
            </w:tcBorders>
            <w:hideMark/>
          </w:tcPr>
          <w:p w14:paraId="3AD96BE1" w14:textId="77777777" w:rsidR="006B3444" w:rsidRPr="006B3444" w:rsidRDefault="006B3444" w:rsidP="00B67369">
            <w:pPr>
              <w:ind w:left="133"/>
              <w:jc w:val="center"/>
              <w:rPr>
                <w:sz w:val="24"/>
                <w:szCs w:val="24"/>
                <w:lang w:val="en-US"/>
              </w:rPr>
            </w:pPr>
            <w:r w:rsidRPr="006B3444">
              <w:rPr>
                <w:sz w:val="24"/>
                <w:szCs w:val="24"/>
                <w:lang w:val="en-US"/>
              </w:rPr>
              <w:t>1,09</w:t>
            </w:r>
          </w:p>
        </w:tc>
        <w:tc>
          <w:tcPr>
            <w:tcW w:w="882" w:type="pct"/>
            <w:tcBorders>
              <w:top w:val="single" w:sz="4" w:space="0" w:color="000000"/>
              <w:left w:val="single" w:sz="4" w:space="0" w:color="000000"/>
              <w:bottom w:val="nil"/>
              <w:right w:val="single" w:sz="4" w:space="0" w:color="000000"/>
            </w:tcBorders>
            <w:hideMark/>
          </w:tcPr>
          <w:p w14:paraId="420C60C5" w14:textId="77777777" w:rsidR="006B3444" w:rsidRPr="006B3444" w:rsidRDefault="006B3444" w:rsidP="00B67369">
            <w:pPr>
              <w:ind w:left="133"/>
              <w:jc w:val="center"/>
              <w:rPr>
                <w:sz w:val="24"/>
                <w:szCs w:val="24"/>
                <w:lang w:val="en-US"/>
              </w:rPr>
            </w:pPr>
            <w:r w:rsidRPr="006B3444">
              <w:rPr>
                <w:sz w:val="24"/>
                <w:szCs w:val="24"/>
                <w:lang w:val="en-US"/>
              </w:rPr>
              <w:t>0,0003</w:t>
            </w:r>
          </w:p>
        </w:tc>
      </w:tr>
      <w:tr w:rsidR="006B3444" w:rsidRPr="006B3444" w14:paraId="49093D82" w14:textId="77777777" w:rsidTr="00B76914">
        <w:trPr>
          <w:trHeight w:val="248"/>
        </w:trPr>
        <w:tc>
          <w:tcPr>
            <w:tcW w:w="1401" w:type="pct"/>
            <w:tcBorders>
              <w:top w:val="nil"/>
              <w:left w:val="single" w:sz="4" w:space="0" w:color="000000"/>
              <w:bottom w:val="single" w:sz="4" w:space="0" w:color="000000"/>
              <w:right w:val="single" w:sz="4" w:space="0" w:color="000000"/>
            </w:tcBorders>
          </w:tcPr>
          <w:p w14:paraId="5F18EE25" w14:textId="77777777" w:rsidR="006B3444" w:rsidRPr="006B3444" w:rsidRDefault="006B3444" w:rsidP="00B76914">
            <w:pPr>
              <w:ind w:left="133"/>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5A74F3DB" w14:textId="77777777" w:rsidR="006B3444" w:rsidRPr="006B3444" w:rsidRDefault="006B3444" w:rsidP="00B67369">
            <w:pPr>
              <w:ind w:left="133"/>
              <w:jc w:val="center"/>
              <w:rPr>
                <w:sz w:val="24"/>
                <w:szCs w:val="24"/>
                <w:lang w:val="en-US"/>
              </w:rPr>
            </w:pPr>
            <w:r w:rsidRPr="006B3444">
              <w:rPr>
                <w:sz w:val="24"/>
                <w:szCs w:val="24"/>
                <w:lang w:val="en-US"/>
              </w:rPr>
              <w:t>(0,48; 1,38)</w:t>
            </w:r>
          </w:p>
        </w:tc>
        <w:tc>
          <w:tcPr>
            <w:tcW w:w="721" w:type="pct"/>
            <w:tcBorders>
              <w:top w:val="nil"/>
              <w:left w:val="single" w:sz="4" w:space="0" w:color="000000"/>
              <w:bottom w:val="single" w:sz="4" w:space="0" w:color="000000"/>
              <w:right w:val="single" w:sz="4" w:space="0" w:color="000000"/>
            </w:tcBorders>
          </w:tcPr>
          <w:p w14:paraId="53BC0069" w14:textId="77777777" w:rsidR="006B3444" w:rsidRPr="006B3444" w:rsidRDefault="006B3444" w:rsidP="00B67369">
            <w:pPr>
              <w:ind w:left="133"/>
              <w:jc w:val="center"/>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6E688C8A" w14:textId="77777777" w:rsidR="006B3444" w:rsidRPr="006B3444" w:rsidRDefault="006B3444" w:rsidP="00B67369">
            <w:pPr>
              <w:ind w:left="133"/>
              <w:jc w:val="center"/>
              <w:rPr>
                <w:sz w:val="24"/>
                <w:szCs w:val="24"/>
                <w:lang w:val="en-US"/>
              </w:rPr>
            </w:pPr>
            <w:r w:rsidRPr="006B3444">
              <w:rPr>
                <w:sz w:val="24"/>
                <w:szCs w:val="24"/>
                <w:lang w:val="en-US"/>
              </w:rPr>
              <w:t>(0,51; 1,67)</w:t>
            </w:r>
          </w:p>
        </w:tc>
        <w:tc>
          <w:tcPr>
            <w:tcW w:w="882" w:type="pct"/>
            <w:tcBorders>
              <w:top w:val="nil"/>
              <w:left w:val="single" w:sz="4" w:space="0" w:color="000000"/>
              <w:bottom w:val="single" w:sz="4" w:space="0" w:color="000000"/>
              <w:right w:val="single" w:sz="4" w:space="0" w:color="000000"/>
            </w:tcBorders>
          </w:tcPr>
          <w:p w14:paraId="3BE48684" w14:textId="77777777" w:rsidR="006B3444" w:rsidRPr="006B3444" w:rsidRDefault="006B3444" w:rsidP="00B67369">
            <w:pPr>
              <w:ind w:left="133"/>
              <w:jc w:val="center"/>
              <w:rPr>
                <w:sz w:val="24"/>
                <w:szCs w:val="24"/>
                <w:lang w:val="en-US"/>
              </w:rPr>
            </w:pPr>
          </w:p>
        </w:tc>
      </w:tr>
      <w:tr w:rsidR="006B3444" w:rsidRPr="006B3444" w14:paraId="726524F0" w14:textId="77777777" w:rsidTr="00B76914">
        <w:trPr>
          <w:trHeight w:val="365"/>
        </w:trPr>
        <w:tc>
          <w:tcPr>
            <w:tcW w:w="5000" w:type="pct"/>
            <w:gridSpan w:val="5"/>
            <w:tcBorders>
              <w:top w:val="single" w:sz="4" w:space="0" w:color="000000"/>
              <w:left w:val="single" w:sz="4" w:space="0" w:color="000000"/>
              <w:bottom w:val="single" w:sz="4" w:space="0" w:color="000000"/>
              <w:right w:val="single" w:sz="4" w:space="0" w:color="000000"/>
            </w:tcBorders>
            <w:hideMark/>
          </w:tcPr>
          <w:p w14:paraId="02898FFA" w14:textId="77777777" w:rsidR="006B3444" w:rsidRPr="006B3444" w:rsidRDefault="006B3444" w:rsidP="00B76914">
            <w:pPr>
              <w:ind w:left="133"/>
              <w:rPr>
                <w:b/>
                <w:sz w:val="24"/>
                <w:szCs w:val="24"/>
              </w:rPr>
            </w:pPr>
            <w:r w:rsidRPr="006B3444">
              <w:rPr>
                <w:b/>
                <w:sz w:val="24"/>
                <w:szCs w:val="24"/>
              </w:rPr>
              <w:t xml:space="preserve">Gennemsnitlig ændring fra </w:t>
            </w:r>
            <w:r w:rsidRPr="006B3444">
              <w:rPr>
                <w:b/>
                <w:i/>
                <w:sz w:val="24"/>
                <w:szCs w:val="24"/>
              </w:rPr>
              <w:t xml:space="preserve">baseline </w:t>
            </w:r>
            <w:r w:rsidRPr="006B3444">
              <w:rPr>
                <w:b/>
                <w:sz w:val="24"/>
                <w:szCs w:val="24"/>
              </w:rPr>
              <w:t>i z-scores</w:t>
            </w:r>
          </w:p>
        </w:tc>
      </w:tr>
      <w:tr w:rsidR="006B3444" w:rsidRPr="006B3444" w14:paraId="4BC45213" w14:textId="77777777" w:rsidTr="00B76914">
        <w:trPr>
          <w:trHeight w:val="257"/>
        </w:trPr>
        <w:tc>
          <w:tcPr>
            <w:tcW w:w="1401" w:type="pct"/>
            <w:tcBorders>
              <w:top w:val="single" w:sz="4" w:space="0" w:color="000000"/>
              <w:left w:val="single" w:sz="4" w:space="0" w:color="000000"/>
              <w:bottom w:val="nil"/>
              <w:right w:val="single" w:sz="4" w:space="0" w:color="000000"/>
            </w:tcBorders>
            <w:hideMark/>
          </w:tcPr>
          <w:p w14:paraId="2D46F118" w14:textId="77777777" w:rsidR="006B3444" w:rsidRPr="006B3444" w:rsidRDefault="006B3444" w:rsidP="00B76914">
            <w:pPr>
              <w:ind w:left="133"/>
              <w:rPr>
                <w:sz w:val="24"/>
                <w:szCs w:val="24"/>
              </w:rPr>
            </w:pPr>
            <w:r w:rsidRPr="006B3444">
              <w:rPr>
                <w:sz w:val="24"/>
                <w:szCs w:val="24"/>
              </w:rPr>
              <w:t>Vægt-for-alder z-score</w:t>
            </w:r>
          </w:p>
        </w:tc>
        <w:tc>
          <w:tcPr>
            <w:tcW w:w="998" w:type="pct"/>
            <w:tcBorders>
              <w:top w:val="single" w:sz="4" w:space="0" w:color="000000"/>
              <w:left w:val="single" w:sz="4" w:space="0" w:color="000000"/>
              <w:bottom w:val="nil"/>
              <w:right w:val="single" w:sz="4" w:space="0" w:color="000000"/>
            </w:tcBorders>
            <w:hideMark/>
          </w:tcPr>
          <w:p w14:paraId="159BF179" w14:textId="77777777" w:rsidR="006B3444" w:rsidRPr="006B3444" w:rsidRDefault="006B3444" w:rsidP="00B67369">
            <w:pPr>
              <w:ind w:left="133"/>
              <w:jc w:val="center"/>
              <w:rPr>
                <w:sz w:val="24"/>
                <w:szCs w:val="24"/>
                <w:lang w:val="en-US"/>
              </w:rPr>
            </w:pPr>
            <w:r w:rsidRPr="006B3444">
              <w:rPr>
                <w:sz w:val="24"/>
                <w:szCs w:val="24"/>
                <w:lang w:val="en-US"/>
              </w:rPr>
              <w:t>0,33</w:t>
            </w:r>
          </w:p>
        </w:tc>
        <w:tc>
          <w:tcPr>
            <w:tcW w:w="721" w:type="pct"/>
            <w:tcBorders>
              <w:top w:val="single" w:sz="4" w:space="0" w:color="000000"/>
              <w:left w:val="single" w:sz="4" w:space="0" w:color="000000"/>
              <w:bottom w:val="nil"/>
              <w:right w:val="single" w:sz="4" w:space="0" w:color="000000"/>
            </w:tcBorders>
            <w:hideMark/>
          </w:tcPr>
          <w:p w14:paraId="1A8B7AF0" w14:textId="77777777" w:rsidR="006B3444" w:rsidRPr="006B3444" w:rsidRDefault="006B3444" w:rsidP="00B67369">
            <w:pPr>
              <w:ind w:left="133"/>
              <w:jc w:val="center"/>
              <w:rPr>
                <w:sz w:val="24"/>
                <w:szCs w:val="24"/>
                <w:lang w:val="en-US"/>
              </w:rPr>
            </w:pPr>
            <w:r w:rsidRPr="006B3444">
              <w:rPr>
                <w:sz w:val="24"/>
                <w:szCs w:val="24"/>
                <w:lang w:val="en-US"/>
              </w:rPr>
              <w:t>0,0260</w:t>
            </w:r>
          </w:p>
        </w:tc>
        <w:tc>
          <w:tcPr>
            <w:tcW w:w="998" w:type="pct"/>
            <w:tcBorders>
              <w:top w:val="single" w:sz="4" w:space="0" w:color="000000"/>
              <w:left w:val="single" w:sz="4" w:space="0" w:color="000000"/>
              <w:bottom w:val="nil"/>
              <w:right w:val="single" w:sz="4" w:space="0" w:color="000000"/>
            </w:tcBorders>
            <w:hideMark/>
          </w:tcPr>
          <w:p w14:paraId="73F803B4" w14:textId="77777777" w:rsidR="006B3444" w:rsidRPr="006B3444" w:rsidRDefault="006B3444" w:rsidP="00B67369">
            <w:pPr>
              <w:ind w:left="133"/>
              <w:jc w:val="center"/>
              <w:rPr>
                <w:sz w:val="24"/>
                <w:szCs w:val="24"/>
                <w:lang w:val="en-US"/>
              </w:rPr>
            </w:pPr>
            <w:r w:rsidRPr="006B3444">
              <w:rPr>
                <w:sz w:val="24"/>
                <w:szCs w:val="24"/>
                <w:lang w:val="en-US"/>
              </w:rPr>
              <w:t>0,39</w:t>
            </w:r>
          </w:p>
        </w:tc>
        <w:tc>
          <w:tcPr>
            <w:tcW w:w="882" w:type="pct"/>
            <w:tcBorders>
              <w:top w:val="single" w:sz="4" w:space="0" w:color="000000"/>
              <w:left w:val="single" w:sz="4" w:space="0" w:color="000000"/>
              <w:bottom w:val="nil"/>
              <w:right w:val="single" w:sz="4" w:space="0" w:color="000000"/>
            </w:tcBorders>
            <w:hideMark/>
          </w:tcPr>
          <w:p w14:paraId="0CB30B47" w14:textId="77777777" w:rsidR="006B3444" w:rsidRPr="006B3444" w:rsidRDefault="006B3444" w:rsidP="00B67369">
            <w:pPr>
              <w:ind w:left="133"/>
              <w:jc w:val="center"/>
              <w:rPr>
                <w:sz w:val="24"/>
                <w:szCs w:val="24"/>
                <w:lang w:val="en-US"/>
              </w:rPr>
            </w:pPr>
            <w:r w:rsidRPr="006B3444">
              <w:rPr>
                <w:sz w:val="24"/>
                <w:szCs w:val="24"/>
                <w:lang w:val="en-US"/>
              </w:rPr>
              <w:t>&lt;0,0001</w:t>
            </w:r>
          </w:p>
        </w:tc>
      </w:tr>
      <w:tr w:rsidR="006B3444" w:rsidRPr="006B3444" w14:paraId="79667C55" w14:textId="77777777" w:rsidTr="00B76914">
        <w:trPr>
          <w:trHeight w:val="248"/>
        </w:trPr>
        <w:tc>
          <w:tcPr>
            <w:tcW w:w="1401" w:type="pct"/>
            <w:tcBorders>
              <w:top w:val="nil"/>
              <w:left w:val="single" w:sz="4" w:space="0" w:color="000000"/>
              <w:bottom w:val="single" w:sz="4" w:space="0" w:color="000000"/>
              <w:right w:val="single" w:sz="4" w:space="0" w:color="000000"/>
            </w:tcBorders>
            <w:hideMark/>
          </w:tcPr>
          <w:p w14:paraId="458D6DFB" w14:textId="77777777" w:rsidR="006B3444" w:rsidRPr="006B3444" w:rsidRDefault="006B3444" w:rsidP="00B76914">
            <w:pPr>
              <w:ind w:left="133"/>
              <w:rPr>
                <w:sz w:val="24"/>
                <w:szCs w:val="24"/>
                <w:lang w:val="en-US"/>
              </w:rPr>
            </w:pPr>
            <w:r w:rsidRPr="006B3444">
              <w:rPr>
                <w:sz w:val="24"/>
                <w:szCs w:val="24"/>
                <w:lang w:val="en-US"/>
              </w:rPr>
              <w:t>ved uge 48</w:t>
            </w:r>
            <w:r w:rsidRPr="006B3444">
              <w:rPr>
                <w:sz w:val="24"/>
                <w:szCs w:val="24"/>
                <w:vertAlign w:val="superscript"/>
                <w:lang w:val="en-US"/>
              </w:rPr>
              <w:t>e</w:t>
            </w:r>
          </w:p>
        </w:tc>
        <w:tc>
          <w:tcPr>
            <w:tcW w:w="998" w:type="pct"/>
            <w:tcBorders>
              <w:top w:val="nil"/>
              <w:left w:val="single" w:sz="4" w:space="0" w:color="000000"/>
              <w:bottom w:val="single" w:sz="4" w:space="0" w:color="000000"/>
              <w:right w:val="single" w:sz="4" w:space="0" w:color="000000"/>
            </w:tcBorders>
            <w:hideMark/>
          </w:tcPr>
          <w:p w14:paraId="5DC1102C" w14:textId="77777777" w:rsidR="006B3444" w:rsidRPr="006B3444" w:rsidRDefault="006B3444" w:rsidP="00B67369">
            <w:pPr>
              <w:ind w:left="133"/>
              <w:jc w:val="center"/>
              <w:rPr>
                <w:sz w:val="24"/>
                <w:szCs w:val="24"/>
                <w:lang w:val="en-US"/>
              </w:rPr>
            </w:pPr>
            <w:r w:rsidRPr="006B3444">
              <w:rPr>
                <w:sz w:val="24"/>
                <w:szCs w:val="24"/>
                <w:lang w:val="en-US"/>
              </w:rPr>
              <w:t>(0,04; 0,62)</w:t>
            </w:r>
          </w:p>
        </w:tc>
        <w:tc>
          <w:tcPr>
            <w:tcW w:w="721" w:type="pct"/>
            <w:tcBorders>
              <w:top w:val="nil"/>
              <w:left w:val="single" w:sz="4" w:space="0" w:color="000000"/>
              <w:bottom w:val="single" w:sz="4" w:space="0" w:color="000000"/>
              <w:right w:val="single" w:sz="4" w:space="0" w:color="000000"/>
            </w:tcBorders>
          </w:tcPr>
          <w:p w14:paraId="52964798" w14:textId="77777777" w:rsidR="006B3444" w:rsidRPr="006B3444" w:rsidRDefault="006B3444" w:rsidP="00B67369">
            <w:pPr>
              <w:ind w:left="133"/>
              <w:jc w:val="center"/>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6A45635D" w14:textId="77777777" w:rsidR="006B3444" w:rsidRPr="006B3444" w:rsidRDefault="006B3444" w:rsidP="00B67369">
            <w:pPr>
              <w:ind w:left="133"/>
              <w:jc w:val="center"/>
              <w:rPr>
                <w:sz w:val="24"/>
                <w:szCs w:val="24"/>
                <w:lang w:val="en-US"/>
              </w:rPr>
            </w:pPr>
            <w:r w:rsidRPr="006B3444">
              <w:rPr>
                <w:sz w:val="24"/>
                <w:szCs w:val="24"/>
                <w:lang w:val="en-US"/>
              </w:rPr>
              <w:t>(0,24; 0,53)</w:t>
            </w:r>
          </w:p>
        </w:tc>
        <w:tc>
          <w:tcPr>
            <w:tcW w:w="882" w:type="pct"/>
            <w:tcBorders>
              <w:top w:val="nil"/>
              <w:left w:val="single" w:sz="4" w:space="0" w:color="000000"/>
              <w:bottom w:val="single" w:sz="4" w:space="0" w:color="000000"/>
              <w:right w:val="single" w:sz="4" w:space="0" w:color="000000"/>
            </w:tcBorders>
          </w:tcPr>
          <w:p w14:paraId="0301DC20" w14:textId="77777777" w:rsidR="006B3444" w:rsidRPr="006B3444" w:rsidRDefault="006B3444" w:rsidP="00B67369">
            <w:pPr>
              <w:ind w:left="133"/>
              <w:jc w:val="center"/>
              <w:rPr>
                <w:sz w:val="24"/>
                <w:szCs w:val="24"/>
                <w:lang w:val="en-US"/>
              </w:rPr>
            </w:pPr>
          </w:p>
        </w:tc>
      </w:tr>
      <w:tr w:rsidR="006B3444" w:rsidRPr="006B3444" w14:paraId="2BCEAF3D" w14:textId="77777777" w:rsidTr="00B76914">
        <w:trPr>
          <w:trHeight w:val="257"/>
        </w:trPr>
        <w:tc>
          <w:tcPr>
            <w:tcW w:w="1401" w:type="pct"/>
            <w:tcBorders>
              <w:top w:val="single" w:sz="4" w:space="0" w:color="000000"/>
              <w:left w:val="single" w:sz="4" w:space="0" w:color="000000"/>
              <w:bottom w:val="nil"/>
              <w:right w:val="single" w:sz="4" w:space="0" w:color="000000"/>
            </w:tcBorders>
            <w:hideMark/>
          </w:tcPr>
          <w:p w14:paraId="6BBCB85F" w14:textId="77777777" w:rsidR="006B3444" w:rsidRPr="006B3444" w:rsidRDefault="006B3444" w:rsidP="00B76914">
            <w:pPr>
              <w:ind w:left="133"/>
              <w:rPr>
                <w:sz w:val="24"/>
                <w:szCs w:val="24"/>
              </w:rPr>
            </w:pPr>
            <w:r w:rsidRPr="006B3444">
              <w:rPr>
                <w:sz w:val="24"/>
                <w:szCs w:val="24"/>
              </w:rPr>
              <w:t>BMI-for-alder z-score ved</w:t>
            </w:r>
          </w:p>
        </w:tc>
        <w:tc>
          <w:tcPr>
            <w:tcW w:w="998" w:type="pct"/>
            <w:tcBorders>
              <w:top w:val="single" w:sz="4" w:space="0" w:color="000000"/>
              <w:left w:val="single" w:sz="4" w:space="0" w:color="000000"/>
              <w:bottom w:val="nil"/>
              <w:right w:val="single" w:sz="4" w:space="0" w:color="000000"/>
            </w:tcBorders>
            <w:hideMark/>
          </w:tcPr>
          <w:p w14:paraId="41FA1038" w14:textId="77777777" w:rsidR="006B3444" w:rsidRPr="006B3444" w:rsidRDefault="006B3444" w:rsidP="00B67369">
            <w:pPr>
              <w:ind w:left="133"/>
              <w:jc w:val="center"/>
              <w:rPr>
                <w:sz w:val="24"/>
                <w:szCs w:val="24"/>
                <w:lang w:val="en-US"/>
              </w:rPr>
            </w:pPr>
            <w:r w:rsidRPr="006B3444">
              <w:rPr>
                <w:sz w:val="24"/>
                <w:szCs w:val="24"/>
                <w:lang w:val="en-US"/>
              </w:rPr>
              <w:t>0,33</w:t>
            </w:r>
          </w:p>
        </w:tc>
        <w:tc>
          <w:tcPr>
            <w:tcW w:w="721" w:type="pct"/>
            <w:tcBorders>
              <w:top w:val="single" w:sz="4" w:space="0" w:color="000000"/>
              <w:left w:val="single" w:sz="4" w:space="0" w:color="000000"/>
              <w:bottom w:val="nil"/>
              <w:right w:val="single" w:sz="4" w:space="0" w:color="000000"/>
            </w:tcBorders>
            <w:hideMark/>
          </w:tcPr>
          <w:p w14:paraId="314D09FD" w14:textId="77777777" w:rsidR="006B3444" w:rsidRPr="006B3444" w:rsidRDefault="006B3444" w:rsidP="00B67369">
            <w:pPr>
              <w:ind w:left="133"/>
              <w:jc w:val="center"/>
              <w:rPr>
                <w:sz w:val="24"/>
                <w:szCs w:val="24"/>
                <w:lang w:val="en-US"/>
              </w:rPr>
            </w:pPr>
            <w:r w:rsidRPr="006B3444">
              <w:rPr>
                <w:sz w:val="24"/>
                <w:szCs w:val="24"/>
                <w:lang w:val="en-US"/>
              </w:rPr>
              <w:t>0,0490</w:t>
            </w:r>
          </w:p>
        </w:tc>
        <w:tc>
          <w:tcPr>
            <w:tcW w:w="998" w:type="pct"/>
            <w:tcBorders>
              <w:top w:val="single" w:sz="4" w:space="0" w:color="000000"/>
              <w:left w:val="single" w:sz="4" w:space="0" w:color="000000"/>
              <w:bottom w:val="nil"/>
              <w:right w:val="single" w:sz="4" w:space="0" w:color="000000"/>
            </w:tcBorders>
            <w:hideMark/>
          </w:tcPr>
          <w:p w14:paraId="7384F9FC" w14:textId="77777777" w:rsidR="006B3444" w:rsidRPr="006B3444" w:rsidRDefault="006B3444" w:rsidP="00B67369">
            <w:pPr>
              <w:ind w:left="133"/>
              <w:jc w:val="center"/>
              <w:rPr>
                <w:sz w:val="24"/>
                <w:szCs w:val="24"/>
                <w:lang w:val="en-US"/>
              </w:rPr>
            </w:pPr>
            <w:r w:rsidRPr="006B3444">
              <w:rPr>
                <w:sz w:val="24"/>
                <w:szCs w:val="24"/>
                <w:lang w:val="en-US"/>
              </w:rPr>
              <w:t>0,45</w:t>
            </w:r>
          </w:p>
        </w:tc>
        <w:tc>
          <w:tcPr>
            <w:tcW w:w="882" w:type="pct"/>
            <w:tcBorders>
              <w:top w:val="single" w:sz="4" w:space="0" w:color="000000"/>
              <w:left w:val="single" w:sz="4" w:space="0" w:color="000000"/>
              <w:bottom w:val="nil"/>
              <w:right w:val="single" w:sz="4" w:space="0" w:color="000000"/>
            </w:tcBorders>
            <w:hideMark/>
          </w:tcPr>
          <w:p w14:paraId="4F7738E6" w14:textId="77777777" w:rsidR="006B3444" w:rsidRPr="006B3444" w:rsidRDefault="006B3444" w:rsidP="00B67369">
            <w:pPr>
              <w:ind w:left="133"/>
              <w:jc w:val="center"/>
              <w:rPr>
                <w:sz w:val="24"/>
                <w:szCs w:val="24"/>
                <w:lang w:val="en-US"/>
              </w:rPr>
            </w:pPr>
            <w:r w:rsidRPr="006B3444">
              <w:rPr>
                <w:sz w:val="24"/>
                <w:szCs w:val="24"/>
                <w:lang w:val="en-US"/>
              </w:rPr>
              <w:t>&lt;0,0001</w:t>
            </w:r>
          </w:p>
        </w:tc>
      </w:tr>
      <w:tr w:rsidR="006B3444" w:rsidRPr="006B3444" w14:paraId="5A6F3A9F" w14:textId="77777777" w:rsidTr="00B76914">
        <w:trPr>
          <w:trHeight w:val="248"/>
        </w:trPr>
        <w:tc>
          <w:tcPr>
            <w:tcW w:w="1401" w:type="pct"/>
            <w:tcBorders>
              <w:top w:val="nil"/>
              <w:left w:val="single" w:sz="4" w:space="0" w:color="000000"/>
              <w:bottom w:val="single" w:sz="4" w:space="0" w:color="000000"/>
              <w:right w:val="single" w:sz="4" w:space="0" w:color="000000"/>
            </w:tcBorders>
            <w:hideMark/>
          </w:tcPr>
          <w:p w14:paraId="33258F47" w14:textId="77777777" w:rsidR="006B3444" w:rsidRPr="006B3444" w:rsidRDefault="006B3444" w:rsidP="00B76914">
            <w:pPr>
              <w:ind w:left="133"/>
              <w:rPr>
                <w:sz w:val="24"/>
                <w:szCs w:val="24"/>
                <w:lang w:val="en-US"/>
              </w:rPr>
            </w:pPr>
            <w:r w:rsidRPr="006B3444">
              <w:rPr>
                <w:sz w:val="24"/>
                <w:szCs w:val="24"/>
                <w:lang w:val="en-US"/>
              </w:rPr>
              <w:t>uge 48</w:t>
            </w:r>
            <w:r w:rsidRPr="006B3444">
              <w:rPr>
                <w:sz w:val="24"/>
                <w:szCs w:val="24"/>
                <w:vertAlign w:val="superscript"/>
                <w:lang w:val="en-US"/>
              </w:rPr>
              <w:t>e</w:t>
            </w:r>
          </w:p>
        </w:tc>
        <w:tc>
          <w:tcPr>
            <w:tcW w:w="998" w:type="pct"/>
            <w:tcBorders>
              <w:top w:val="nil"/>
              <w:left w:val="single" w:sz="4" w:space="0" w:color="000000"/>
              <w:bottom w:val="single" w:sz="4" w:space="0" w:color="000000"/>
              <w:right w:val="single" w:sz="4" w:space="0" w:color="000000"/>
            </w:tcBorders>
            <w:hideMark/>
          </w:tcPr>
          <w:p w14:paraId="42F661A5" w14:textId="77777777" w:rsidR="006B3444" w:rsidRPr="006B3444" w:rsidRDefault="006B3444" w:rsidP="00B67369">
            <w:pPr>
              <w:ind w:left="133"/>
              <w:jc w:val="center"/>
              <w:rPr>
                <w:sz w:val="24"/>
                <w:szCs w:val="24"/>
                <w:lang w:val="en-US"/>
              </w:rPr>
            </w:pPr>
            <w:r w:rsidRPr="006B3444">
              <w:rPr>
                <w:sz w:val="24"/>
                <w:szCs w:val="24"/>
                <w:lang w:val="en-US"/>
              </w:rPr>
              <w:t>(0,002; 0,65)</w:t>
            </w:r>
          </w:p>
        </w:tc>
        <w:tc>
          <w:tcPr>
            <w:tcW w:w="721" w:type="pct"/>
            <w:tcBorders>
              <w:top w:val="nil"/>
              <w:left w:val="single" w:sz="4" w:space="0" w:color="000000"/>
              <w:bottom w:val="single" w:sz="4" w:space="0" w:color="000000"/>
              <w:right w:val="single" w:sz="4" w:space="0" w:color="000000"/>
            </w:tcBorders>
          </w:tcPr>
          <w:p w14:paraId="010CE265" w14:textId="77777777" w:rsidR="006B3444" w:rsidRPr="006B3444" w:rsidRDefault="006B3444" w:rsidP="00B67369">
            <w:pPr>
              <w:ind w:left="133"/>
              <w:jc w:val="center"/>
              <w:rPr>
                <w:sz w:val="24"/>
                <w:szCs w:val="24"/>
                <w:lang w:val="en-US"/>
              </w:rPr>
            </w:pPr>
          </w:p>
        </w:tc>
        <w:tc>
          <w:tcPr>
            <w:tcW w:w="998" w:type="pct"/>
            <w:tcBorders>
              <w:top w:val="nil"/>
              <w:left w:val="single" w:sz="4" w:space="0" w:color="000000"/>
              <w:bottom w:val="single" w:sz="4" w:space="0" w:color="000000"/>
              <w:right w:val="single" w:sz="4" w:space="0" w:color="000000"/>
            </w:tcBorders>
            <w:hideMark/>
          </w:tcPr>
          <w:p w14:paraId="6655DBEF" w14:textId="77777777" w:rsidR="006B3444" w:rsidRPr="006B3444" w:rsidRDefault="006B3444" w:rsidP="00B67369">
            <w:pPr>
              <w:ind w:left="133"/>
              <w:jc w:val="center"/>
              <w:rPr>
                <w:sz w:val="24"/>
                <w:szCs w:val="24"/>
                <w:lang w:val="en-US"/>
              </w:rPr>
            </w:pPr>
            <w:r w:rsidRPr="006B3444">
              <w:rPr>
                <w:sz w:val="24"/>
                <w:szCs w:val="24"/>
                <w:lang w:val="en-US"/>
              </w:rPr>
              <w:t>(0,26; 0,65)</w:t>
            </w:r>
          </w:p>
        </w:tc>
        <w:tc>
          <w:tcPr>
            <w:tcW w:w="882" w:type="pct"/>
            <w:tcBorders>
              <w:top w:val="nil"/>
              <w:left w:val="single" w:sz="4" w:space="0" w:color="000000"/>
              <w:bottom w:val="single" w:sz="4" w:space="0" w:color="000000"/>
              <w:right w:val="single" w:sz="4" w:space="0" w:color="000000"/>
            </w:tcBorders>
          </w:tcPr>
          <w:p w14:paraId="06E35637" w14:textId="77777777" w:rsidR="006B3444" w:rsidRPr="006B3444" w:rsidRDefault="006B3444" w:rsidP="00B67369">
            <w:pPr>
              <w:ind w:left="133"/>
              <w:jc w:val="center"/>
              <w:rPr>
                <w:sz w:val="24"/>
                <w:szCs w:val="24"/>
                <w:lang w:val="en-US"/>
              </w:rPr>
            </w:pPr>
          </w:p>
        </w:tc>
      </w:tr>
    </w:tbl>
    <w:p w14:paraId="7828B9E7" w14:textId="77777777" w:rsidR="006B3444" w:rsidRPr="006B3444" w:rsidRDefault="006B3444" w:rsidP="00B76914">
      <w:pPr>
        <w:rPr>
          <w:sz w:val="24"/>
          <w:szCs w:val="24"/>
        </w:rPr>
      </w:pPr>
      <w:r w:rsidRPr="006B3444">
        <w:rPr>
          <w:sz w:val="24"/>
          <w:szCs w:val="24"/>
        </w:rPr>
        <w:t>CI: Konfidensinterval, NA: ikke analyseret på grund af en lav forekomst af hændelserne.</w:t>
      </w:r>
    </w:p>
    <w:p w14:paraId="4D70D272" w14:textId="5801F2E5" w:rsidR="006B3444" w:rsidRPr="006B3444" w:rsidRDefault="006B3444" w:rsidP="00B76914">
      <w:pPr>
        <w:ind w:left="284" w:hanging="284"/>
        <w:rPr>
          <w:sz w:val="24"/>
          <w:szCs w:val="24"/>
        </w:rPr>
      </w:pPr>
      <w:r w:rsidRPr="006B3444">
        <w:rPr>
          <w:sz w:val="24"/>
          <w:szCs w:val="24"/>
        </w:rPr>
        <w:t>a</w:t>
      </w:r>
      <w:r w:rsidRPr="006B3444">
        <w:rPr>
          <w:sz w:val="24"/>
          <w:szCs w:val="24"/>
        </w:rPr>
        <w:tab/>
        <w:t>Behandlingsforskel=ivacaftors virkning – placebos virkning.</w:t>
      </w:r>
    </w:p>
    <w:p w14:paraId="7C463F3E" w14:textId="5DD023CA" w:rsidR="006B3444" w:rsidRPr="006B3444" w:rsidRDefault="006B3444" w:rsidP="00B76914">
      <w:pPr>
        <w:ind w:left="284" w:hanging="284"/>
        <w:rPr>
          <w:sz w:val="24"/>
          <w:szCs w:val="24"/>
        </w:rPr>
      </w:pPr>
      <w:r w:rsidRPr="006B3444">
        <w:rPr>
          <w:sz w:val="24"/>
          <w:szCs w:val="24"/>
        </w:rPr>
        <w:t>b</w:t>
      </w:r>
      <w:r w:rsidRPr="006B3444">
        <w:rPr>
          <w:sz w:val="24"/>
          <w:szCs w:val="24"/>
        </w:rPr>
        <w:tab/>
        <w:t xml:space="preserve">CFQ-R: </w:t>
      </w:r>
      <w:r w:rsidRPr="006B3444">
        <w:rPr>
          <w:i/>
          <w:sz w:val="24"/>
          <w:szCs w:val="24"/>
        </w:rPr>
        <w:t xml:space="preserve">Cystic Fibrosis Questionnaire-Revised </w:t>
      </w:r>
      <w:r w:rsidRPr="006B3444">
        <w:rPr>
          <w:sz w:val="24"/>
          <w:szCs w:val="24"/>
        </w:rPr>
        <w:t>er et sygdomsspecifikt, sundhedsrelateret mål for livskvalitet for CF.</w:t>
      </w:r>
    </w:p>
    <w:p w14:paraId="2DF539F1" w14:textId="14F9EC1B" w:rsidR="006B3444" w:rsidRPr="006B3444" w:rsidRDefault="006B3444" w:rsidP="00B76914">
      <w:pPr>
        <w:ind w:left="284" w:hanging="284"/>
        <w:rPr>
          <w:sz w:val="24"/>
          <w:szCs w:val="24"/>
        </w:rPr>
      </w:pPr>
      <w:r w:rsidRPr="006B3444">
        <w:rPr>
          <w:sz w:val="24"/>
          <w:szCs w:val="24"/>
        </w:rPr>
        <w:t>c</w:t>
      </w:r>
      <w:r w:rsidRPr="006B3444">
        <w:rPr>
          <w:sz w:val="24"/>
          <w:szCs w:val="24"/>
        </w:rPr>
        <w:tab/>
        <w:t>Studie 770-102-data var samlet fra CFQ-R for voksne/unge og CFQ-R for børn fra 12 til 13 år. Studie 770-103-data blev opnået fra CFQ-R for børn fra 6 til 11 år.</w:t>
      </w:r>
    </w:p>
    <w:p w14:paraId="33BC9550" w14:textId="52E3749D" w:rsidR="006B3444" w:rsidRPr="006B3444" w:rsidRDefault="006B3444" w:rsidP="00B76914">
      <w:pPr>
        <w:ind w:left="284" w:hanging="284"/>
        <w:rPr>
          <w:sz w:val="24"/>
          <w:szCs w:val="24"/>
        </w:rPr>
      </w:pPr>
      <w:r w:rsidRPr="006B3444">
        <w:rPr>
          <w:sz w:val="24"/>
          <w:szCs w:val="24"/>
        </w:rPr>
        <w:t>d</w:t>
      </w:r>
      <w:r w:rsidRPr="006B3444">
        <w:rPr>
          <w:sz w:val="24"/>
          <w:szCs w:val="24"/>
        </w:rPr>
        <w:tab/>
      </w:r>
      <w:r w:rsidRPr="006B3444">
        <w:rPr>
          <w:i/>
          <w:iCs/>
          <w:sz w:val="24"/>
          <w:szCs w:val="24"/>
        </w:rPr>
        <w:t>Hazard ratio</w:t>
      </w:r>
      <w:r w:rsidRPr="006B3444">
        <w:rPr>
          <w:sz w:val="24"/>
          <w:szCs w:val="24"/>
        </w:rPr>
        <w:t xml:space="preserve"> for tid til første exacerbation.</w:t>
      </w:r>
    </w:p>
    <w:p w14:paraId="64B8F1D5" w14:textId="7AFD9CB3" w:rsidR="006B3444" w:rsidRPr="006B3444" w:rsidRDefault="006B3444" w:rsidP="00B76914">
      <w:pPr>
        <w:ind w:left="284" w:hanging="284"/>
        <w:rPr>
          <w:sz w:val="24"/>
          <w:szCs w:val="24"/>
        </w:rPr>
      </w:pPr>
      <w:r w:rsidRPr="006B3444">
        <w:rPr>
          <w:sz w:val="24"/>
          <w:szCs w:val="24"/>
        </w:rPr>
        <w:t>e</w:t>
      </w:r>
      <w:r w:rsidRPr="006B3444">
        <w:rPr>
          <w:sz w:val="24"/>
          <w:szCs w:val="24"/>
        </w:rPr>
        <w:tab/>
        <w:t>Hos personer under 20 år (CDC vækstkurver).</w:t>
      </w:r>
    </w:p>
    <w:p w14:paraId="26225511" w14:textId="77777777" w:rsidR="006B3444" w:rsidRPr="006B3444" w:rsidRDefault="006B3444" w:rsidP="006B3444">
      <w:pPr>
        <w:tabs>
          <w:tab w:val="left" w:pos="851"/>
        </w:tabs>
        <w:ind w:left="851"/>
        <w:rPr>
          <w:sz w:val="24"/>
          <w:szCs w:val="24"/>
        </w:rPr>
      </w:pPr>
    </w:p>
    <w:p w14:paraId="0E263B1B" w14:textId="77777777" w:rsidR="006B3444" w:rsidRPr="006B3444" w:rsidRDefault="006B3444" w:rsidP="00B76914">
      <w:pPr>
        <w:ind w:left="851"/>
        <w:rPr>
          <w:i/>
          <w:sz w:val="24"/>
          <w:szCs w:val="24"/>
        </w:rPr>
      </w:pPr>
      <w:r w:rsidRPr="006B3444">
        <w:rPr>
          <w:i/>
          <w:sz w:val="24"/>
          <w:szCs w:val="24"/>
          <w:u w:val="single"/>
        </w:rPr>
        <w:t>Studie 770-111: studie hos patienter med CF med non-G551D gating-mutationer</w:t>
      </w:r>
    </w:p>
    <w:p w14:paraId="6BB62AAF" w14:textId="77777777" w:rsidR="006B3444" w:rsidRPr="006B3444" w:rsidRDefault="006B3444" w:rsidP="00B76914">
      <w:pPr>
        <w:ind w:left="851"/>
        <w:rPr>
          <w:i/>
          <w:sz w:val="24"/>
          <w:szCs w:val="24"/>
        </w:rPr>
      </w:pPr>
    </w:p>
    <w:p w14:paraId="46907E66" w14:textId="2CE8D563" w:rsidR="006B3444" w:rsidRPr="006B3444" w:rsidRDefault="006B3444" w:rsidP="00B76914">
      <w:pPr>
        <w:ind w:left="851"/>
        <w:rPr>
          <w:sz w:val="24"/>
          <w:szCs w:val="24"/>
        </w:rPr>
      </w:pPr>
      <w:r w:rsidRPr="006B3444">
        <w:rPr>
          <w:sz w:val="24"/>
          <w:szCs w:val="24"/>
        </w:rPr>
        <w:t xml:space="preserve">Studie 770-111 var et fase 3, todelt, randomiseret, dobbeltblindet, placebokontrolleret overkrydsningsstudie (del 1), efterfulgt af en 16-ugers åben forlængelsesperiode (del 2), til at evaluere ivacaftors virkning og sikkerhed hos CF-patienter i alderen 6 år og derover, som har en </w:t>
      </w:r>
      <w:r w:rsidRPr="006B3444">
        <w:rPr>
          <w:i/>
          <w:sz w:val="24"/>
          <w:szCs w:val="24"/>
        </w:rPr>
        <w:t xml:space="preserve">G970R </w:t>
      </w:r>
      <w:r w:rsidRPr="006B3444">
        <w:rPr>
          <w:sz w:val="24"/>
          <w:szCs w:val="24"/>
        </w:rPr>
        <w:t>eller non-</w:t>
      </w:r>
      <w:r w:rsidRPr="006B3444">
        <w:rPr>
          <w:i/>
          <w:sz w:val="24"/>
          <w:szCs w:val="24"/>
        </w:rPr>
        <w:t>G551D gating-</w:t>
      </w:r>
      <w:r w:rsidRPr="006B3444">
        <w:rPr>
          <w:sz w:val="24"/>
          <w:szCs w:val="24"/>
        </w:rPr>
        <w:t xml:space="preserve">mutation i </w:t>
      </w:r>
      <w:r w:rsidRPr="006B3444">
        <w:rPr>
          <w:i/>
          <w:sz w:val="24"/>
          <w:szCs w:val="24"/>
        </w:rPr>
        <w:t>CFTR</w:t>
      </w:r>
      <w:r w:rsidRPr="006B3444">
        <w:rPr>
          <w:sz w:val="24"/>
          <w:szCs w:val="24"/>
        </w:rPr>
        <w:t>-genet (</w:t>
      </w:r>
      <w:r w:rsidRPr="006B3444">
        <w:rPr>
          <w:i/>
          <w:sz w:val="24"/>
          <w:szCs w:val="24"/>
        </w:rPr>
        <w:t xml:space="preserve">G178R, S549N, S549R, G551S, G1244E, S1251N, S1255P </w:t>
      </w:r>
      <w:r w:rsidRPr="006B3444">
        <w:rPr>
          <w:sz w:val="24"/>
          <w:szCs w:val="24"/>
        </w:rPr>
        <w:t xml:space="preserve">eller </w:t>
      </w:r>
      <w:r w:rsidRPr="006B3444">
        <w:rPr>
          <w:i/>
          <w:sz w:val="24"/>
          <w:szCs w:val="24"/>
        </w:rPr>
        <w:t>G1349D</w:t>
      </w:r>
      <w:r w:rsidRPr="006B3444">
        <w:rPr>
          <w:sz w:val="24"/>
          <w:szCs w:val="24"/>
        </w:rPr>
        <w:t>).</w:t>
      </w:r>
    </w:p>
    <w:p w14:paraId="304DEE97" w14:textId="77777777" w:rsidR="006B3444" w:rsidRPr="006B3444" w:rsidRDefault="006B3444" w:rsidP="00B76914">
      <w:pPr>
        <w:ind w:left="851"/>
        <w:rPr>
          <w:sz w:val="24"/>
          <w:szCs w:val="24"/>
        </w:rPr>
      </w:pPr>
    </w:p>
    <w:p w14:paraId="38C6E109" w14:textId="77777777" w:rsidR="006B3444" w:rsidRPr="006B3444" w:rsidRDefault="006B3444" w:rsidP="00B76914">
      <w:pPr>
        <w:ind w:left="851"/>
        <w:rPr>
          <w:sz w:val="24"/>
          <w:szCs w:val="24"/>
        </w:rPr>
      </w:pPr>
      <w:r w:rsidRPr="006B3444">
        <w:rPr>
          <w:sz w:val="24"/>
          <w:szCs w:val="24"/>
        </w:rPr>
        <w:t>I del 1 blev patienterne randomiseret i forholdet 1:1 til at få enten 150 mg ivacaftor eller placebo hver 12. time sammen med fedtholdig mad i 8 uger i tillæg til deres ordinerede behandlinger mod CF, og de overkrydsede til den anden behandling i andre 8 uger efter en 4- til 8-ugers udvaskningsperiode.</w:t>
      </w:r>
    </w:p>
    <w:p w14:paraId="40B3E95E" w14:textId="77777777" w:rsidR="006B3444" w:rsidRPr="006B3444" w:rsidRDefault="006B3444" w:rsidP="00B76914">
      <w:pPr>
        <w:ind w:left="851"/>
        <w:rPr>
          <w:sz w:val="24"/>
          <w:szCs w:val="24"/>
        </w:rPr>
      </w:pPr>
      <w:r w:rsidRPr="006B3444">
        <w:rPr>
          <w:sz w:val="24"/>
          <w:szCs w:val="24"/>
        </w:rPr>
        <w:t>Anvendelse af inhaleret hypertonisk saltvand var ikke tilladt. I del 2 fik alle patienter ivacaftor som angivet i del 1 i yderligere 16 uger. Varigheden af kontinuerlig ivacaftor-behandling var 24 uger for patienter, der var randomiseret til placebo/ivacaftor-behandlingssekvens i del 1, og 16 uger for patienter, der var randomiseret til ivacaftor/placebo-behandlingssekvens i del 1.</w:t>
      </w:r>
    </w:p>
    <w:p w14:paraId="510C7F7B" w14:textId="77777777" w:rsidR="006B3444" w:rsidRPr="006B3444" w:rsidRDefault="006B3444" w:rsidP="00B76914">
      <w:pPr>
        <w:ind w:left="851"/>
        <w:rPr>
          <w:sz w:val="24"/>
          <w:szCs w:val="24"/>
        </w:rPr>
      </w:pPr>
    </w:p>
    <w:p w14:paraId="678384B2" w14:textId="77777777" w:rsidR="006B3444" w:rsidRPr="006B3444" w:rsidRDefault="006B3444" w:rsidP="00B76914">
      <w:pPr>
        <w:ind w:left="851"/>
        <w:rPr>
          <w:sz w:val="24"/>
          <w:szCs w:val="24"/>
        </w:rPr>
      </w:pPr>
      <w:r w:rsidRPr="006B3444">
        <w:rPr>
          <w:sz w:val="24"/>
          <w:szCs w:val="24"/>
        </w:rPr>
        <w:t xml:space="preserve">39 patienter (gennemsnitsalder 23 år) med </w:t>
      </w:r>
      <w:r w:rsidRPr="006B3444">
        <w:rPr>
          <w:i/>
          <w:sz w:val="24"/>
          <w:szCs w:val="24"/>
        </w:rPr>
        <w:t>baseline</w:t>
      </w:r>
      <w:r w:rsidRPr="006B3444">
        <w:rPr>
          <w:sz w:val="24"/>
          <w:szCs w:val="24"/>
        </w:rPr>
        <w:t>-FEV</w:t>
      </w:r>
      <w:r w:rsidRPr="006B3444">
        <w:rPr>
          <w:sz w:val="24"/>
          <w:szCs w:val="24"/>
          <w:vertAlign w:val="subscript"/>
        </w:rPr>
        <w:t>1</w:t>
      </w:r>
      <w:r w:rsidRPr="006B3444">
        <w:rPr>
          <w:sz w:val="24"/>
          <w:szCs w:val="24"/>
        </w:rPr>
        <w:t xml:space="preserve"> ≥40 % forventet (gennemsnitlig FEV</w:t>
      </w:r>
      <w:r w:rsidRPr="006B3444">
        <w:rPr>
          <w:sz w:val="24"/>
          <w:szCs w:val="24"/>
          <w:vertAlign w:val="subscript"/>
        </w:rPr>
        <w:t>1</w:t>
      </w:r>
      <w:r w:rsidRPr="006B3444">
        <w:rPr>
          <w:sz w:val="24"/>
          <w:szCs w:val="24"/>
        </w:rPr>
        <w:t xml:space="preserve"> 78 % forventet [interval: 43 % til 119 %]) indgik. 62 % (24/39) var bærere af </w:t>
      </w:r>
      <w:r w:rsidRPr="006B3444">
        <w:rPr>
          <w:i/>
          <w:sz w:val="24"/>
          <w:szCs w:val="24"/>
        </w:rPr>
        <w:t>F508del</w:t>
      </w:r>
      <w:r w:rsidRPr="006B3444">
        <w:rPr>
          <w:sz w:val="24"/>
          <w:szCs w:val="24"/>
        </w:rPr>
        <w:t>-</w:t>
      </w:r>
      <w:r w:rsidRPr="006B3444">
        <w:rPr>
          <w:i/>
          <w:sz w:val="24"/>
          <w:szCs w:val="24"/>
        </w:rPr>
        <w:t>CFTR</w:t>
      </w:r>
      <w:r w:rsidRPr="006B3444">
        <w:rPr>
          <w:sz w:val="24"/>
          <w:szCs w:val="24"/>
        </w:rPr>
        <w:t>-mutationen i den anden allel. I alt 36 patienter fortsatte i del 2 (18 i hver behandlingssekvens).</w:t>
      </w:r>
    </w:p>
    <w:p w14:paraId="3B8699E6" w14:textId="77777777" w:rsidR="006B3444" w:rsidRPr="006B3444" w:rsidRDefault="006B3444" w:rsidP="00B76914">
      <w:pPr>
        <w:ind w:left="851"/>
        <w:rPr>
          <w:sz w:val="24"/>
          <w:szCs w:val="24"/>
        </w:rPr>
      </w:pPr>
    </w:p>
    <w:p w14:paraId="35CAE259" w14:textId="77777777" w:rsidR="006B3444" w:rsidRPr="006B3444" w:rsidRDefault="006B3444" w:rsidP="00B76914">
      <w:pPr>
        <w:ind w:left="851"/>
        <w:rPr>
          <w:sz w:val="24"/>
          <w:szCs w:val="24"/>
        </w:rPr>
      </w:pPr>
      <w:r w:rsidRPr="006B3444">
        <w:rPr>
          <w:sz w:val="24"/>
          <w:szCs w:val="24"/>
        </w:rPr>
        <w:t>I del 1 af studie 770-111 var den gennemsnitlige FEV</w:t>
      </w:r>
      <w:r w:rsidRPr="006B3444">
        <w:rPr>
          <w:sz w:val="24"/>
          <w:szCs w:val="24"/>
          <w:vertAlign w:val="subscript"/>
        </w:rPr>
        <w:t>1</w:t>
      </w:r>
      <w:r w:rsidRPr="006B3444">
        <w:rPr>
          <w:sz w:val="24"/>
          <w:szCs w:val="24"/>
        </w:rPr>
        <w:t xml:space="preserve"> procent af forventet ved </w:t>
      </w:r>
      <w:r w:rsidRPr="006B3444">
        <w:rPr>
          <w:i/>
          <w:sz w:val="24"/>
          <w:szCs w:val="24"/>
        </w:rPr>
        <w:t xml:space="preserve">baseline </w:t>
      </w:r>
      <w:r w:rsidRPr="006B3444">
        <w:rPr>
          <w:sz w:val="24"/>
          <w:szCs w:val="24"/>
        </w:rPr>
        <w:t xml:space="preserve">hos placebobehandlede patienter 79,3 %, mens den var 76,4 % hos ivacaftor-behandlede patienter. Den gennemsnitlige samlede værdi efter </w:t>
      </w:r>
      <w:r w:rsidRPr="006B3444">
        <w:rPr>
          <w:i/>
          <w:sz w:val="24"/>
          <w:szCs w:val="24"/>
        </w:rPr>
        <w:t xml:space="preserve">baseline </w:t>
      </w:r>
      <w:r w:rsidRPr="006B3444">
        <w:rPr>
          <w:sz w:val="24"/>
          <w:szCs w:val="24"/>
        </w:rPr>
        <w:t xml:space="preserve">var hhv. 76,0 % og 83,7 %. Den gennemsnitlige absolutte ændring fra </w:t>
      </w:r>
      <w:r w:rsidRPr="006B3444">
        <w:rPr>
          <w:i/>
          <w:sz w:val="24"/>
          <w:szCs w:val="24"/>
        </w:rPr>
        <w:t xml:space="preserve">baseline </w:t>
      </w:r>
      <w:r w:rsidRPr="006B3444">
        <w:rPr>
          <w:sz w:val="24"/>
          <w:szCs w:val="24"/>
        </w:rPr>
        <w:t>til og med uge 8 i procent af forventet FEV</w:t>
      </w:r>
      <w:r w:rsidRPr="006B3444">
        <w:rPr>
          <w:sz w:val="24"/>
          <w:szCs w:val="24"/>
          <w:vertAlign w:val="subscript"/>
        </w:rPr>
        <w:t>1</w:t>
      </w:r>
      <w:r w:rsidRPr="006B3444">
        <w:rPr>
          <w:sz w:val="24"/>
          <w:szCs w:val="24"/>
        </w:rPr>
        <w:t xml:space="preserve"> (primære virkningsendepunkt) var 7,5 % i ivacaftor-perioden, og -3,2 % i placeboperioden. Den observerede behandlingsforskel (95 % CI) mellem ivacaftor og placebo var 10,7 % (7,3; 14,1) (</w:t>
      </w:r>
      <w:r w:rsidRPr="006B3444">
        <w:rPr>
          <w:i/>
          <w:sz w:val="24"/>
          <w:szCs w:val="24"/>
        </w:rPr>
        <w:t xml:space="preserve">p </w:t>
      </w:r>
      <w:r w:rsidRPr="006B3444">
        <w:rPr>
          <w:sz w:val="24"/>
          <w:szCs w:val="24"/>
        </w:rPr>
        <w:t>&lt; 0,0001).</w:t>
      </w:r>
    </w:p>
    <w:p w14:paraId="435A4959" w14:textId="77777777" w:rsidR="006B3444" w:rsidRPr="006B3444" w:rsidRDefault="006B3444" w:rsidP="00B76914">
      <w:pPr>
        <w:ind w:left="851"/>
        <w:rPr>
          <w:sz w:val="24"/>
          <w:szCs w:val="24"/>
        </w:rPr>
      </w:pPr>
    </w:p>
    <w:p w14:paraId="79BCAD13" w14:textId="7B4EF9F3" w:rsidR="006B3444" w:rsidRPr="006B3444" w:rsidRDefault="006B3444" w:rsidP="00B76914">
      <w:pPr>
        <w:ind w:left="851"/>
        <w:rPr>
          <w:sz w:val="24"/>
          <w:szCs w:val="24"/>
        </w:rPr>
      </w:pPr>
      <w:r w:rsidRPr="006B3444">
        <w:rPr>
          <w:sz w:val="24"/>
          <w:szCs w:val="24"/>
        </w:rPr>
        <w:t>Ivacaftors virkning i den samlede population i studie 770-111 (herunder de sekundære endepunkter absolut ændring i BMI efter 8 ugers behandling og absolut ændring i CFQ-R-score for respirationssymptomer til og med 8 ugers behandling) og ved individuel mutation (absolut ændring i sved-chlorid og i procent af forventet FEV</w:t>
      </w:r>
      <w:r w:rsidRPr="006B3444">
        <w:rPr>
          <w:sz w:val="24"/>
          <w:szCs w:val="24"/>
          <w:vertAlign w:val="subscript"/>
        </w:rPr>
        <w:t>1</w:t>
      </w:r>
      <w:r w:rsidRPr="006B3444">
        <w:rPr>
          <w:sz w:val="24"/>
          <w:szCs w:val="24"/>
        </w:rPr>
        <w:t xml:space="preserve"> ved uge 8) vises i tabel 7. Virkningen hos patienter med </w:t>
      </w:r>
      <w:r w:rsidRPr="006B3444">
        <w:rPr>
          <w:i/>
          <w:sz w:val="24"/>
          <w:szCs w:val="24"/>
        </w:rPr>
        <w:t>G970R</w:t>
      </w:r>
      <w:r w:rsidRPr="006B3444">
        <w:rPr>
          <w:sz w:val="24"/>
          <w:szCs w:val="24"/>
        </w:rPr>
        <w:t>-mutationen kan ikke klarlægges på basis af det kliniske (procent af forventet FEV</w:t>
      </w:r>
      <w:r w:rsidRPr="006B3444">
        <w:rPr>
          <w:sz w:val="24"/>
          <w:szCs w:val="24"/>
          <w:vertAlign w:val="subscript"/>
        </w:rPr>
        <w:t>1</w:t>
      </w:r>
      <w:r w:rsidRPr="006B3444">
        <w:rPr>
          <w:sz w:val="24"/>
          <w:szCs w:val="24"/>
        </w:rPr>
        <w:t>) og farmakodynamiske (sved-chlorid) respons på ivacaftor.</w:t>
      </w:r>
    </w:p>
    <w:p w14:paraId="5648B89F" w14:textId="5F51EA5C" w:rsidR="00B67369" w:rsidRDefault="00B67369">
      <w:pPr>
        <w:rPr>
          <w:sz w:val="24"/>
          <w:szCs w:val="24"/>
        </w:rPr>
      </w:pPr>
      <w:r>
        <w:rPr>
          <w:sz w:val="24"/>
          <w:szCs w:val="24"/>
        </w:rPr>
        <w:br w:type="page"/>
      </w:r>
    </w:p>
    <w:p w14:paraId="6498C507" w14:textId="77777777" w:rsidR="006B3444" w:rsidRPr="006B3444" w:rsidRDefault="006B3444" w:rsidP="00B76914">
      <w:pPr>
        <w:ind w:left="851"/>
        <w:rPr>
          <w:sz w:val="24"/>
          <w:szCs w:val="24"/>
        </w:rPr>
      </w:pPr>
    </w:p>
    <w:p w14:paraId="3EDF9C61" w14:textId="1FD7C7F4" w:rsidR="006B3444" w:rsidRPr="006B3444" w:rsidRDefault="006B3444" w:rsidP="006B3444">
      <w:pPr>
        <w:tabs>
          <w:tab w:val="left" w:pos="851"/>
        </w:tabs>
        <w:ind w:left="851"/>
        <w:rPr>
          <w:b/>
          <w:bCs/>
          <w:sz w:val="24"/>
          <w:szCs w:val="24"/>
        </w:rPr>
      </w:pPr>
      <w:r w:rsidRPr="006B3444">
        <w:rPr>
          <w:b/>
          <w:bCs/>
          <w:sz w:val="24"/>
          <w:szCs w:val="24"/>
        </w:rPr>
        <w:t xml:space="preserve">Tabel 7: Ivacaftors virkning på virkningsvariable i den samlede population og for specifikke </w:t>
      </w:r>
      <w:r w:rsidRPr="006B3444">
        <w:rPr>
          <w:b/>
          <w:bCs/>
          <w:i/>
          <w:sz w:val="24"/>
          <w:szCs w:val="24"/>
        </w:rPr>
        <w:t>CFTR</w:t>
      </w:r>
      <w:r w:rsidRPr="006B3444">
        <w:rPr>
          <w:b/>
          <w:bCs/>
          <w:sz w:val="24"/>
          <w:szCs w:val="24"/>
        </w:rPr>
        <w:t>-mutationer</w:t>
      </w:r>
    </w:p>
    <w:p w14:paraId="237F0F4E" w14:textId="77777777" w:rsidR="006B3444" w:rsidRPr="006B3444" w:rsidRDefault="006B3444" w:rsidP="006B3444">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16"/>
        <w:gridCol w:w="1375"/>
        <w:gridCol w:w="2505"/>
        <w:gridCol w:w="684"/>
        <w:gridCol w:w="3248"/>
      </w:tblGrid>
      <w:tr w:rsidR="006B3444" w:rsidRPr="00C52CC5" w14:paraId="35DD431C" w14:textId="77777777" w:rsidTr="00B76914">
        <w:trPr>
          <w:trHeight w:val="798"/>
        </w:trPr>
        <w:tc>
          <w:tcPr>
            <w:tcW w:w="1657" w:type="pct"/>
            <w:gridSpan w:val="2"/>
            <w:tcBorders>
              <w:top w:val="single" w:sz="4" w:space="0" w:color="000000"/>
              <w:left w:val="single" w:sz="4" w:space="0" w:color="000000"/>
              <w:bottom w:val="single" w:sz="4" w:space="0" w:color="000000"/>
              <w:right w:val="single" w:sz="4" w:space="0" w:color="000000"/>
            </w:tcBorders>
            <w:hideMark/>
          </w:tcPr>
          <w:p w14:paraId="5C7AE38C" w14:textId="77777777" w:rsidR="006B3444" w:rsidRPr="006B3444" w:rsidRDefault="006B3444" w:rsidP="00B76914">
            <w:pPr>
              <w:ind w:left="133"/>
              <w:rPr>
                <w:b/>
                <w:sz w:val="24"/>
                <w:szCs w:val="24"/>
              </w:rPr>
            </w:pPr>
            <w:r w:rsidRPr="006B3444">
              <w:rPr>
                <w:b/>
                <w:sz w:val="24"/>
                <w:szCs w:val="24"/>
              </w:rPr>
              <w:t>Absolut ændring i procent af forventet FEV</w:t>
            </w:r>
            <w:r w:rsidRPr="006B3444">
              <w:rPr>
                <w:b/>
                <w:sz w:val="24"/>
                <w:szCs w:val="24"/>
                <w:vertAlign w:val="subscript"/>
              </w:rPr>
              <w:t>1</w:t>
            </w:r>
          </w:p>
        </w:tc>
        <w:tc>
          <w:tcPr>
            <w:tcW w:w="1656" w:type="pct"/>
            <w:gridSpan w:val="2"/>
            <w:tcBorders>
              <w:top w:val="single" w:sz="4" w:space="0" w:color="000000"/>
              <w:left w:val="single" w:sz="4" w:space="0" w:color="000000"/>
              <w:bottom w:val="single" w:sz="4" w:space="0" w:color="000000"/>
              <w:right w:val="single" w:sz="4" w:space="0" w:color="000000"/>
            </w:tcBorders>
            <w:hideMark/>
          </w:tcPr>
          <w:p w14:paraId="7178653F" w14:textId="77777777" w:rsidR="006B3444" w:rsidRPr="006B3444" w:rsidRDefault="006B3444" w:rsidP="00B76914">
            <w:pPr>
              <w:ind w:left="133"/>
              <w:rPr>
                <w:b/>
                <w:sz w:val="24"/>
                <w:szCs w:val="24"/>
                <w:lang w:val="en-US"/>
              </w:rPr>
            </w:pPr>
            <w:r w:rsidRPr="006B3444">
              <w:rPr>
                <w:b/>
                <w:sz w:val="24"/>
                <w:szCs w:val="24"/>
                <w:lang w:val="en-US"/>
              </w:rPr>
              <w:t>BMI</w:t>
            </w:r>
          </w:p>
          <w:p w14:paraId="32D1179A" w14:textId="77777777" w:rsidR="006B3444" w:rsidRPr="006B3444" w:rsidRDefault="006B3444" w:rsidP="00B76914">
            <w:pPr>
              <w:ind w:left="133"/>
              <w:rPr>
                <w:b/>
                <w:sz w:val="24"/>
                <w:szCs w:val="24"/>
                <w:lang w:val="en-US"/>
              </w:rPr>
            </w:pPr>
            <w:r w:rsidRPr="006B3444">
              <w:rPr>
                <w:b/>
                <w:sz w:val="24"/>
                <w:szCs w:val="24"/>
                <w:lang w:val="en-US"/>
              </w:rPr>
              <w:t>(kg/m</w:t>
            </w:r>
            <w:r w:rsidRPr="006B3444">
              <w:rPr>
                <w:b/>
                <w:sz w:val="24"/>
                <w:szCs w:val="24"/>
                <w:vertAlign w:val="superscript"/>
                <w:lang w:val="en-US"/>
              </w:rPr>
              <w:t>2</w:t>
            </w:r>
            <w:r w:rsidRPr="006B3444">
              <w:rPr>
                <w:b/>
                <w:sz w:val="24"/>
                <w:szCs w:val="24"/>
                <w:lang w:val="en-US"/>
              </w:rPr>
              <w:t>)</w:t>
            </w:r>
          </w:p>
        </w:tc>
        <w:tc>
          <w:tcPr>
            <w:tcW w:w="1686" w:type="pct"/>
            <w:tcBorders>
              <w:top w:val="single" w:sz="4" w:space="0" w:color="000000"/>
              <w:left w:val="single" w:sz="4" w:space="0" w:color="000000"/>
              <w:bottom w:val="single" w:sz="4" w:space="0" w:color="000000"/>
              <w:right w:val="single" w:sz="4" w:space="0" w:color="000000"/>
            </w:tcBorders>
            <w:hideMark/>
          </w:tcPr>
          <w:p w14:paraId="1A833036" w14:textId="77777777" w:rsidR="006B3444" w:rsidRPr="006B3444" w:rsidRDefault="006B3444" w:rsidP="00B76914">
            <w:pPr>
              <w:ind w:left="133"/>
              <w:rPr>
                <w:b/>
                <w:sz w:val="24"/>
                <w:szCs w:val="24"/>
                <w:lang w:val="en-US"/>
              </w:rPr>
            </w:pPr>
            <w:r w:rsidRPr="006B3444">
              <w:rPr>
                <w:b/>
                <w:sz w:val="24"/>
                <w:szCs w:val="24"/>
                <w:lang w:val="en-US"/>
              </w:rPr>
              <w:t>CFQ-R-score for respirationssymptomer (points)</w:t>
            </w:r>
          </w:p>
        </w:tc>
      </w:tr>
      <w:tr w:rsidR="006B3444" w:rsidRPr="006B3444" w14:paraId="10F239C7" w14:textId="77777777" w:rsidTr="00B76914">
        <w:trPr>
          <w:trHeight w:val="292"/>
        </w:trPr>
        <w:tc>
          <w:tcPr>
            <w:tcW w:w="1657" w:type="pct"/>
            <w:gridSpan w:val="2"/>
            <w:tcBorders>
              <w:top w:val="single" w:sz="4" w:space="0" w:color="000000"/>
              <w:left w:val="single" w:sz="4" w:space="0" w:color="000000"/>
              <w:bottom w:val="single" w:sz="4" w:space="0" w:color="000000"/>
              <w:right w:val="single" w:sz="4" w:space="0" w:color="000000"/>
            </w:tcBorders>
            <w:hideMark/>
          </w:tcPr>
          <w:p w14:paraId="04646B8F" w14:textId="77777777" w:rsidR="006B3444" w:rsidRPr="006B3444" w:rsidRDefault="006B3444" w:rsidP="00B76914">
            <w:pPr>
              <w:ind w:left="133"/>
              <w:rPr>
                <w:b/>
                <w:sz w:val="24"/>
                <w:szCs w:val="24"/>
                <w:lang w:val="en-US"/>
              </w:rPr>
            </w:pPr>
            <w:r w:rsidRPr="006B3444">
              <w:rPr>
                <w:b/>
                <w:sz w:val="24"/>
                <w:szCs w:val="24"/>
                <w:lang w:val="en-US"/>
              </w:rPr>
              <w:t>Til og med uge 8</w:t>
            </w:r>
          </w:p>
        </w:tc>
        <w:tc>
          <w:tcPr>
            <w:tcW w:w="1656" w:type="pct"/>
            <w:gridSpan w:val="2"/>
            <w:tcBorders>
              <w:top w:val="single" w:sz="4" w:space="0" w:color="000000"/>
              <w:left w:val="single" w:sz="4" w:space="0" w:color="000000"/>
              <w:bottom w:val="single" w:sz="4" w:space="0" w:color="000000"/>
              <w:right w:val="single" w:sz="4" w:space="0" w:color="000000"/>
            </w:tcBorders>
            <w:hideMark/>
          </w:tcPr>
          <w:p w14:paraId="1B7EED05" w14:textId="77777777" w:rsidR="006B3444" w:rsidRPr="006B3444" w:rsidRDefault="006B3444" w:rsidP="00B76914">
            <w:pPr>
              <w:ind w:left="133"/>
              <w:rPr>
                <w:b/>
                <w:sz w:val="24"/>
                <w:szCs w:val="24"/>
                <w:lang w:val="en-US"/>
              </w:rPr>
            </w:pPr>
            <w:r w:rsidRPr="006B3444">
              <w:rPr>
                <w:b/>
                <w:sz w:val="24"/>
                <w:szCs w:val="24"/>
                <w:lang w:val="en-US"/>
              </w:rPr>
              <w:t>Ved uge 8</w:t>
            </w:r>
          </w:p>
        </w:tc>
        <w:tc>
          <w:tcPr>
            <w:tcW w:w="1686" w:type="pct"/>
            <w:tcBorders>
              <w:top w:val="single" w:sz="4" w:space="0" w:color="000000"/>
              <w:left w:val="single" w:sz="4" w:space="0" w:color="000000"/>
              <w:bottom w:val="single" w:sz="4" w:space="0" w:color="000000"/>
              <w:right w:val="single" w:sz="4" w:space="0" w:color="000000"/>
            </w:tcBorders>
            <w:hideMark/>
          </w:tcPr>
          <w:p w14:paraId="6F57A8C3" w14:textId="77777777" w:rsidR="006B3444" w:rsidRPr="006B3444" w:rsidRDefault="006B3444" w:rsidP="00B76914">
            <w:pPr>
              <w:ind w:left="133"/>
              <w:rPr>
                <w:b/>
                <w:sz w:val="24"/>
                <w:szCs w:val="24"/>
                <w:lang w:val="en-US"/>
              </w:rPr>
            </w:pPr>
            <w:r w:rsidRPr="006B3444">
              <w:rPr>
                <w:b/>
                <w:sz w:val="24"/>
                <w:szCs w:val="24"/>
                <w:lang w:val="en-US"/>
              </w:rPr>
              <w:t>Til og med uge 8</w:t>
            </w:r>
          </w:p>
        </w:tc>
      </w:tr>
      <w:tr w:rsidR="006B3444" w:rsidRPr="006B3444" w14:paraId="20CDDB5E" w14:textId="77777777" w:rsidTr="00B76914">
        <w:trPr>
          <w:trHeight w:val="819"/>
        </w:trPr>
        <w:tc>
          <w:tcPr>
            <w:tcW w:w="5000" w:type="pct"/>
            <w:gridSpan w:val="5"/>
            <w:tcBorders>
              <w:top w:val="single" w:sz="4" w:space="0" w:color="000000"/>
              <w:left w:val="single" w:sz="4" w:space="0" w:color="000000"/>
              <w:bottom w:val="single" w:sz="4" w:space="0" w:color="000000"/>
              <w:right w:val="single" w:sz="4" w:space="0" w:color="000000"/>
            </w:tcBorders>
            <w:hideMark/>
          </w:tcPr>
          <w:p w14:paraId="379F415D" w14:textId="77777777" w:rsidR="006B3444" w:rsidRPr="006B3444" w:rsidRDefault="006B3444" w:rsidP="00B76914">
            <w:pPr>
              <w:ind w:left="133"/>
              <w:rPr>
                <w:sz w:val="24"/>
                <w:szCs w:val="24"/>
              </w:rPr>
            </w:pPr>
            <w:r w:rsidRPr="006B3444">
              <w:rPr>
                <w:sz w:val="24"/>
                <w:szCs w:val="24"/>
              </w:rPr>
              <w:t>Alle patienter (N=39)</w:t>
            </w:r>
          </w:p>
          <w:p w14:paraId="739B5DDB" w14:textId="7509BB39" w:rsidR="006B3444" w:rsidRPr="006B3444" w:rsidRDefault="006B3444" w:rsidP="00B76914">
            <w:pPr>
              <w:ind w:left="133"/>
              <w:rPr>
                <w:i/>
                <w:sz w:val="24"/>
                <w:szCs w:val="24"/>
              </w:rPr>
            </w:pPr>
            <w:r w:rsidRPr="006B3444">
              <w:rPr>
                <w:sz w:val="24"/>
                <w:szCs w:val="24"/>
              </w:rPr>
              <w:t xml:space="preserve">Resultater vist som gennemsnitlig (95 % CI) ændring fra </w:t>
            </w:r>
            <w:r w:rsidRPr="006B3444">
              <w:rPr>
                <w:i/>
                <w:sz w:val="24"/>
                <w:szCs w:val="24"/>
              </w:rPr>
              <w:t xml:space="preserve">baseline </w:t>
            </w:r>
            <w:r w:rsidRPr="006B3444">
              <w:rPr>
                <w:sz w:val="24"/>
                <w:szCs w:val="24"/>
              </w:rPr>
              <w:t xml:space="preserve">for ivacaftor- </w:t>
            </w:r>
            <w:r w:rsidRPr="006B3444">
              <w:rPr>
                <w:i/>
                <w:sz w:val="24"/>
                <w:szCs w:val="24"/>
              </w:rPr>
              <w:t>vs.</w:t>
            </w:r>
          </w:p>
          <w:p w14:paraId="2A6C88EE" w14:textId="77777777" w:rsidR="006B3444" w:rsidRPr="006B3444" w:rsidRDefault="006B3444" w:rsidP="00B76914">
            <w:pPr>
              <w:ind w:left="133"/>
              <w:rPr>
                <w:sz w:val="24"/>
                <w:szCs w:val="24"/>
                <w:lang w:val="en-US"/>
              </w:rPr>
            </w:pPr>
            <w:r w:rsidRPr="006B3444">
              <w:rPr>
                <w:sz w:val="24"/>
                <w:szCs w:val="24"/>
                <w:lang w:val="en-US"/>
              </w:rPr>
              <w:t>placebobehandlede patienter:</w:t>
            </w:r>
          </w:p>
        </w:tc>
      </w:tr>
      <w:tr w:rsidR="006B3444" w:rsidRPr="006B3444" w14:paraId="50A7132B" w14:textId="77777777" w:rsidTr="00B76914">
        <w:trPr>
          <w:trHeight w:val="293"/>
        </w:trPr>
        <w:tc>
          <w:tcPr>
            <w:tcW w:w="1657" w:type="pct"/>
            <w:gridSpan w:val="2"/>
            <w:tcBorders>
              <w:top w:val="single" w:sz="4" w:space="0" w:color="000000"/>
              <w:left w:val="single" w:sz="4" w:space="0" w:color="000000"/>
              <w:bottom w:val="single" w:sz="4" w:space="0" w:color="000000"/>
              <w:right w:val="single" w:sz="4" w:space="0" w:color="000000"/>
            </w:tcBorders>
            <w:hideMark/>
          </w:tcPr>
          <w:p w14:paraId="146574E0" w14:textId="77777777" w:rsidR="006B3444" w:rsidRPr="006B3444" w:rsidRDefault="006B3444" w:rsidP="00B76914">
            <w:pPr>
              <w:ind w:left="133"/>
              <w:rPr>
                <w:sz w:val="24"/>
                <w:szCs w:val="24"/>
                <w:lang w:val="en-US"/>
              </w:rPr>
            </w:pPr>
            <w:r w:rsidRPr="006B3444">
              <w:rPr>
                <w:sz w:val="24"/>
                <w:szCs w:val="24"/>
                <w:lang w:val="en-US"/>
              </w:rPr>
              <w:t>10,7 (7,3; 14,1)</w:t>
            </w:r>
          </w:p>
        </w:tc>
        <w:tc>
          <w:tcPr>
            <w:tcW w:w="1656" w:type="pct"/>
            <w:gridSpan w:val="2"/>
            <w:tcBorders>
              <w:top w:val="single" w:sz="4" w:space="0" w:color="000000"/>
              <w:left w:val="single" w:sz="4" w:space="0" w:color="000000"/>
              <w:bottom w:val="single" w:sz="4" w:space="0" w:color="000000"/>
              <w:right w:val="single" w:sz="4" w:space="0" w:color="000000"/>
            </w:tcBorders>
            <w:hideMark/>
          </w:tcPr>
          <w:p w14:paraId="1341730B" w14:textId="77777777" w:rsidR="006B3444" w:rsidRPr="006B3444" w:rsidRDefault="006B3444" w:rsidP="00B76914">
            <w:pPr>
              <w:ind w:left="133"/>
              <w:rPr>
                <w:sz w:val="24"/>
                <w:szCs w:val="24"/>
                <w:lang w:val="en-US"/>
              </w:rPr>
            </w:pPr>
            <w:r w:rsidRPr="006B3444">
              <w:rPr>
                <w:sz w:val="24"/>
                <w:szCs w:val="24"/>
                <w:lang w:val="en-US"/>
              </w:rPr>
              <w:t>0,66 (0,34; 0,99)</w:t>
            </w:r>
          </w:p>
        </w:tc>
        <w:tc>
          <w:tcPr>
            <w:tcW w:w="1686" w:type="pct"/>
            <w:tcBorders>
              <w:top w:val="single" w:sz="4" w:space="0" w:color="000000"/>
              <w:left w:val="single" w:sz="4" w:space="0" w:color="000000"/>
              <w:bottom w:val="single" w:sz="4" w:space="0" w:color="000000"/>
              <w:right w:val="single" w:sz="4" w:space="0" w:color="000000"/>
            </w:tcBorders>
            <w:hideMark/>
          </w:tcPr>
          <w:p w14:paraId="50E73347" w14:textId="77777777" w:rsidR="006B3444" w:rsidRPr="006B3444" w:rsidRDefault="006B3444" w:rsidP="00B76914">
            <w:pPr>
              <w:ind w:left="133"/>
              <w:rPr>
                <w:sz w:val="24"/>
                <w:szCs w:val="24"/>
                <w:lang w:val="en-US"/>
              </w:rPr>
            </w:pPr>
            <w:r w:rsidRPr="006B3444">
              <w:rPr>
                <w:sz w:val="24"/>
                <w:szCs w:val="24"/>
                <w:lang w:val="en-US"/>
              </w:rPr>
              <w:t>9,6 (4,5; 14,7)</w:t>
            </w:r>
          </w:p>
        </w:tc>
      </w:tr>
      <w:tr w:rsidR="006B3444" w:rsidRPr="006B3444" w14:paraId="4E69AA1A" w14:textId="77777777" w:rsidTr="00B76914">
        <w:trPr>
          <w:trHeight w:val="817"/>
        </w:trPr>
        <w:tc>
          <w:tcPr>
            <w:tcW w:w="5000" w:type="pct"/>
            <w:gridSpan w:val="5"/>
            <w:tcBorders>
              <w:top w:val="single" w:sz="4" w:space="0" w:color="000000"/>
              <w:left w:val="single" w:sz="4" w:space="0" w:color="000000"/>
              <w:bottom w:val="single" w:sz="4" w:space="0" w:color="000000"/>
              <w:right w:val="single" w:sz="4" w:space="0" w:color="000000"/>
            </w:tcBorders>
            <w:hideMark/>
          </w:tcPr>
          <w:p w14:paraId="3497336F" w14:textId="77777777" w:rsidR="006B3444" w:rsidRPr="006B3444" w:rsidRDefault="006B3444" w:rsidP="00B76914">
            <w:pPr>
              <w:ind w:left="133"/>
              <w:rPr>
                <w:b/>
                <w:sz w:val="24"/>
                <w:szCs w:val="24"/>
              </w:rPr>
            </w:pPr>
            <w:r w:rsidRPr="006B3444">
              <w:rPr>
                <w:b/>
                <w:sz w:val="24"/>
                <w:szCs w:val="24"/>
              </w:rPr>
              <w:t>Patienter grupperet under mutationstype (n)</w:t>
            </w:r>
          </w:p>
          <w:p w14:paraId="279D08DC" w14:textId="77777777" w:rsidR="006B3444" w:rsidRPr="006B3444" w:rsidRDefault="006B3444" w:rsidP="00B76914">
            <w:pPr>
              <w:ind w:left="133"/>
              <w:rPr>
                <w:sz w:val="24"/>
                <w:szCs w:val="24"/>
              </w:rPr>
            </w:pPr>
            <w:r w:rsidRPr="006B3444">
              <w:rPr>
                <w:sz w:val="24"/>
                <w:szCs w:val="24"/>
              </w:rPr>
              <w:t xml:space="preserve">Resultater vist som gennemsnitlig (minimum; maksimum) ændring fra </w:t>
            </w:r>
            <w:r w:rsidRPr="006B3444">
              <w:rPr>
                <w:i/>
                <w:sz w:val="24"/>
                <w:szCs w:val="24"/>
              </w:rPr>
              <w:t xml:space="preserve">baseline </w:t>
            </w:r>
            <w:r w:rsidRPr="006B3444">
              <w:rPr>
                <w:sz w:val="24"/>
                <w:szCs w:val="24"/>
              </w:rPr>
              <w:t>for ivacaftor- behandlede patienter ved uge 8</w:t>
            </w:r>
            <w:r w:rsidRPr="006B3444">
              <w:rPr>
                <w:sz w:val="24"/>
                <w:szCs w:val="24"/>
                <w:vertAlign w:val="superscript"/>
              </w:rPr>
              <w:t>*</w:t>
            </w:r>
            <w:r w:rsidRPr="006B3444">
              <w:rPr>
                <w:sz w:val="24"/>
                <w:szCs w:val="24"/>
              </w:rPr>
              <w:t>:</w:t>
            </w:r>
          </w:p>
        </w:tc>
      </w:tr>
      <w:tr w:rsidR="006B3444" w:rsidRPr="006B3444" w14:paraId="26F297C7" w14:textId="77777777" w:rsidTr="00B76914">
        <w:trPr>
          <w:trHeight w:val="546"/>
        </w:trPr>
        <w:tc>
          <w:tcPr>
            <w:tcW w:w="943" w:type="pct"/>
            <w:vMerge w:val="restart"/>
            <w:tcBorders>
              <w:top w:val="single" w:sz="4" w:space="0" w:color="000000"/>
              <w:left w:val="single" w:sz="4" w:space="0" w:color="000000"/>
              <w:bottom w:val="single" w:sz="4" w:space="0" w:color="000000"/>
              <w:right w:val="single" w:sz="4" w:space="0" w:color="000000"/>
            </w:tcBorders>
            <w:hideMark/>
          </w:tcPr>
          <w:p w14:paraId="46AF7A8A" w14:textId="77777777" w:rsidR="006B3444" w:rsidRPr="006B3444" w:rsidRDefault="006B3444" w:rsidP="00B76914">
            <w:pPr>
              <w:ind w:left="133"/>
              <w:rPr>
                <w:b/>
                <w:sz w:val="24"/>
                <w:szCs w:val="24"/>
                <w:lang w:val="en-US"/>
              </w:rPr>
            </w:pPr>
            <w:r w:rsidRPr="006B3444">
              <w:rPr>
                <w:b/>
                <w:sz w:val="24"/>
                <w:szCs w:val="24"/>
                <w:lang w:val="en-US"/>
              </w:rPr>
              <w:t>Mutation (n)</w:t>
            </w:r>
          </w:p>
        </w:tc>
        <w:tc>
          <w:tcPr>
            <w:tcW w:w="2015" w:type="pct"/>
            <w:gridSpan w:val="2"/>
            <w:tcBorders>
              <w:top w:val="single" w:sz="4" w:space="0" w:color="000000"/>
              <w:left w:val="single" w:sz="4" w:space="0" w:color="000000"/>
              <w:bottom w:val="single" w:sz="4" w:space="0" w:color="000000"/>
              <w:right w:val="single" w:sz="4" w:space="0" w:color="000000"/>
            </w:tcBorders>
            <w:hideMark/>
          </w:tcPr>
          <w:p w14:paraId="54FCEAD4" w14:textId="77777777" w:rsidR="006B3444" w:rsidRPr="006B3444" w:rsidRDefault="006B3444" w:rsidP="00B76914">
            <w:pPr>
              <w:ind w:left="133"/>
              <w:rPr>
                <w:b/>
                <w:sz w:val="24"/>
                <w:szCs w:val="24"/>
              </w:rPr>
            </w:pPr>
            <w:r w:rsidRPr="006B3444">
              <w:rPr>
                <w:b/>
                <w:sz w:val="24"/>
                <w:szCs w:val="24"/>
              </w:rPr>
              <w:t>Absolut ændring i sved-chlorid (mmol/l)</w:t>
            </w:r>
          </w:p>
        </w:tc>
        <w:tc>
          <w:tcPr>
            <w:tcW w:w="2042" w:type="pct"/>
            <w:gridSpan w:val="2"/>
            <w:tcBorders>
              <w:top w:val="single" w:sz="4" w:space="0" w:color="000000"/>
              <w:left w:val="single" w:sz="4" w:space="0" w:color="000000"/>
              <w:bottom w:val="single" w:sz="4" w:space="0" w:color="000000"/>
              <w:right w:val="single" w:sz="4" w:space="0" w:color="000000"/>
            </w:tcBorders>
            <w:hideMark/>
          </w:tcPr>
          <w:p w14:paraId="05C9BA09" w14:textId="77777777" w:rsidR="006B3444" w:rsidRPr="006B3444" w:rsidRDefault="006B3444" w:rsidP="00B76914">
            <w:pPr>
              <w:ind w:left="133"/>
              <w:rPr>
                <w:b/>
                <w:sz w:val="24"/>
                <w:szCs w:val="24"/>
              </w:rPr>
            </w:pPr>
            <w:r w:rsidRPr="006B3444">
              <w:rPr>
                <w:b/>
                <w:sz w:val="24"/>
                <w:szCs w:val="24"/>
              </w:rPr>
              <w:t>Absolut ændring i procent af forventet FEV</w:t>
            </w:r>
            <w:r w:rsidRPr="006B3444">
              <w:rPr>
                <w:b/>
                <w:sz w:val="24"/>
                <w:szCs w:val="24"/>
                <w:vertAlign w:val="subscript"/>
              </w:rPr>
              <w:t>1</w:t>
            </w:r>
            <w:r w:rsidRPr="006B3444">
              <w:rPr>
                <w:b/>
                <w:sz w:val="24"/>
                <w:szCs w:val="24"/>
              </w:rPr>
              <w:t xml:space="preserve"> (procentpoints)</w:t>
            </w:r>
          </w:p>
        </w:tc>
      </w:tr>
      <w:tr w:rsidR="006B3444" w:rsidRPr="006B3444" w14:paraId="41388451" w14:textId="77777777" w:rsidTr="00B76914">
        <w:trPr>
          <w:trHeight w:val="292"/>
        </w:trPr>
        <w:tc>
          <w:tcPr>
            <w:tcW w:w="943" w:type="pct"/>
            <w:vMerge/>
            <w:tcBorders>
              <w:top w:val="single" w:sz="4" w:space="0" w:color="000000"/>
              <w:left w:val="single" w:sz="4" w:space="0" w:color="000000"/>
              <w:bottom w:val="single" w:sz="4" w:space="0" w:color="000000"/>
              <w:right w:val="single" w:sz="4" w:space="0" w:color="000000"/>
            </w:tcBorders>
            <w:vAlign w:val="center"/>
            <w:hideMark/>
          </w:tcPr>
          <w:p w14:paraId="43B58316" w14:textId="77777777" w:rsidR="006B3444" w:rsidRPr="006B3444" w:rsidRDefault="006B3444" w:rsidP="00B76914">
            <w:pPr>
              <w:ind w:left="133"/>
              <w:rPr>
                <w:b/>
                <w:sz w:val="24"/>
                <w:szCs w:val="24"/>
              </w:rPr>
            </w:pPr>
          </w:p>
        </w:tc>
        <w:tc>
          <w:tcPr>
            <w:tcW w:w="2015" w:type="pct"/>
            <w:gridSpan w:val="2"/>
            <w:tcBorders>
              <w:top w:val="single" w:sz="4" w:space="0" w:color="000000"/>
              <w:left w:val="single" w:sz="4" w:space="0" w:color="000000"/>
              <w:bottom w:val="single" w:sz="4" w:space="0" w:color="000000"/>
              <w:right w:val="single" w:sz="4" w:space="0" w:color="000000"/>
            </w:tcBorders>
            <w:hideMark/>
          </w:tcPr>
          <w:p w14:paraId="2572BC02" w14:textId="77777777" w:rsidR="006B3444" w:rsidRPr="006B3444" w:rsidRDefault="006B3444" w:rsidP="00A249F1">
            <w:pPr>
              <w:ind w:left="133"/>
              <w:jc w:val="center"/>
              <w:rPr>
                <w:b/>
                <w:sz w:val="24"/>
                <w:szCs w:val="24"/>
                <w:lang w:val="en-US"/>
              </w:rPr>
            </w:pPr>
            <w:r w:rsidRPr="006B3444">
              <w:rPr>
                <w:b/>
                <w:sz w:val="24"/>
                <w:szCs w:val="24"/>
                <w:lang w:val="en-US"/>
              </w:rPr>
              <w:t>Ved uge 8</w:t>
            </w:r>
          </w:p>
        </w:tc>
        <w:tc>
          <w:tcPr>
            <w:tcW w:w="2042" w:type="pct"/>
            <w:gridSpan w:val="2"/>
            <w:tcBorders>
              <w:top w:val="single" w:sz="4" w:space="0" w:color="000000"/>
              <w:left w:val="single" w:sz="4" w:space="0" w:color="000000"/>
              <w:bottom w:val="single" w:sz="4" w:space="0" w:color="000000"/>
              <w:right w:val="single" w:sz="4" w:space="0" w:color="000000"/>
            </w:tcBorders>
            <w:hideMark/>
          </w:tcPr>
          <w:p w14:paraId="3DA36A79" w14:textId="77777777" w:rsidR="006B3444" w:rsidRPr="006B3444" w:rsidRDefault="006B3444" w:rsidP="00A249F1">
            <w:pPr>
              <w:ind w:left="133"/>
              <w:jc w:val="center"/>
              <w:rPr>
                <w:b/>
                <w:sz w:val="24"/>
                <w:szCs w:val="24"/>
                <w:lang w:val="en-US"/>
              </w:rPr>
            </w:pPr>
            <w:r w:rsidRPr="006B3444">
              <w:rPr>
                <w:b/>
                <w:sz w:val="24"/>
                <w:szCs w:val="24"/>
                <w:lang w:val="en-US"/>
              </w:rPr>
              <w:t>Ved uge 8</w:t>
            </w:r>
          </w:p>
        </w:tc>
      </w:tr>
      <w:tr w:rsidR="006B3444" w:rsidRPr="006B3444" w14:paraId="4486C61E" w14:textId="77777777" w:rsidTr="00B76914">
        <w:trPr>
          <w:trHeight w:val="2477"/>
        </w:trPr>
        <w:tc>
          <w:tcPr>
            <w:tcW w:w="943" w:type="pct"/>
            <w:tcBorders>
              <w:top w:val="single" w:sz="4" w:space="0" w:color="000000"/>
              <w:left w:val="single" w:sz="4" w:space="0" w:color="000000"/>
              <w:bottom w:val="single" w:sz="4" w:space="0" w:color="000000"/>
              <w:right w:val="single" w:sz="4" w:space="0" w:color="000000"/>
            </w:tcBorders>
            <w:hideMark/>
          </w:tcPr>
          <w:p w14:paraId="3038E188" w14:textId="77777777" w:rsidR="006B3444" w:rsidRPr="006B3444" w:rsidRDefault="006B3444" w:rsidP="00B76914">
            <w:pPr>
              <w:ind w:left="133"/>
              <w:rPr>
                <w:sz w:val="24"/>
                <w:szCs w:val="24"/>
                <w:lang w:val="en-US"/>
              </w:rPr>
            </w:pPr>
            <w:r w:rsidRPr="006B3444">
              <w:rPr>
                <w:i/>
                <w:sz w:val="24"/>
                <w:szCs w:val="24"/>
                <w:lang w:val="en-US"/>
              </w:rPr>
              <w:t xml:space="preserve">G1244E </w:t>
            </w:r>
            <w:r w:rsidRPr="006B3444">
              <w:rPr>
                <w:sz w:val="24"/>
                <w:szCs w:val="24"/>
                <w:lang w:val="en-US"/>
              </w:rPr>
              <w:t>(5)</w:t>
            </w:r>
          </w:p>
          <w:p w14:paraId="1130EA89" w14:textId="77777777" w:rsidR="006B3444" w:rsidRPr="006B3444" w:rsidRDefault="006B3444" w:rsidP="00B76914">
            <w:pPr>
              <w:ind w:left="133"/>
              <w:rPr>
                <w:sz w:val="24"/>
                <w:szCs w:val="24"/>
                <w:lang w:val="en-US"/>
              </w:rPr>
            </w:pPr>
            <w:r w:rsidRPr="006B3444">
              <w:rPr>
                <w:i/>
                <w:sz w:val="24"/>
                <w:szCs w:val="24"/>
                <w:lang w:val="en-US"/>
              </w:rPr>
              <w:t xml:space="preserve">G1349D </w:t>
            </w:r>
            <w:r w:rsidRPr="006B3444">
              <w:rPr>
                <w:sz w:val="24"/>
                <w:szCs w:val="24"/>
                <w:lang w:val="en-US"/>
              </w:rPr>
              <w:t>(2)</w:t>
            </w:r>
          </w:p>
          <w:p w14:paraId="1CA2523A" w14:textId="77777777" w:rsidR="006B3444" w:rsidRPr="006B3444" w:rsidRDefault="006B3444" w:rsidP="00B76914">
            <w:pPr>
              <w:ind w:left="133"/>
              <w:rPr>
                <w:sz w:val="24"/>
                <w:szCs w:val="24"/>
                <w:lang w:val="en-US"/>
              </w:rPr>
            </w:pPr>
            <w:r w:rsidRPr="006B3444">
              <w:rPr>
                <w:i/>
                <w:sz w:val="24"/>
                <w:szCs w:val="24"/>
                <w:lang w:val="en-US"/>
              </w:rPr>
              <w:t xml:space="preserve">G178R </w:t>
            </w:r>
            <w:r w:rsidRPr="006B3444">
              <w:rPr>
                <w:sz w:val="24"/>
                <w:szCs w:val="24"/>
                <w:lang w:val="en-US"/>
              </w:rPr>
              <w:t>(5)</w:t>
            </w:r>
          </w:p>
          <w:p w14:paraId="1A39475A" w14:textId="77777777" w:rsidR="006B3444" w:rsidRPr="006B3444" w:rsidRDefault="006B3444" w:rsidP="00B76914">
            <w:pPr>
              <w:ind w:left="133"/>
              <w:rPr>
                <w:sz w:val="24"/>
                <w:szCs w:val="24"/>
                <w:lang w:val="en-US"/>
              </w:rPr>
            </w:pPr>
            <w:r w:rsidRPr="006B3444">
              <w:rPr>
                <w:i/>
                <w:sz w:val="24"/>
                <w:szCs w:val="24"/>
                <w:lang w:val="en-US"/>
              </w:rPr>
              <w:t xml:space="preserve">G551S </w:t>
            </w:r>
            <w:r w:rsidRPr="006B3444">
              <w:rPr>
                <w:sz w:val="24"/>
                <w:szCs w:val="24"/>
                <w:lang w:val="en-US"/>
              </w:rPr>
              <w:t>(2)</w:t>
            </w:r>
          </w:p>
          <w:p w14:paraId="2272F7BA" w14:textId="77777777" w:rsidR="006B3444" w:rsidRPr="006B3444" w:rsidRDefault="006B3444" w:rsidP="00B76914">
            <w:pPr>
              <w:ind w:left="133"/>
              <w:rPr>
                <w:sz w:val="24"/>
                <w:szCs w:val="24"/>
                <w:lang w:val="en-US"/>
              </w:rPr>
            </w:pPr>
            <w:proofErr w:type="gramStart"/>
            <w:r w:rsidRPr="006B3444">
              <w:rPr>
                <w:i/>
                <w:sz w:val="24"/>
                <w:szCs w:val="24"/>
                <w:lang w:val="en-US"/>
              </w:rPr>
              <w:t>G970R</w:t>
            </w:r>
            <w:r w:rsidRPr="006B3444">
              <w:rPr>
                <w:i/>
                <w:sz w:val="24"/>
                <w:szCs w:val="24"/>
                <w:vertAlign w:val="superscript"/>
                <w:lang w:val="en-US"/>
              </w:rPr>
              <w:t>#</w:t>
            </w:r>
            <w:r w:rsidRPr="006B3444">
              <w:rPr>
                <w:i/>
                <w:sz w:val="24"/>
                <w:szCs w:val="24"/>
                <w:lang w:val="en-US"/>
              </w:rPr>
              <w:t xml:space="preserve"> </w:t>
            </w:r>
            <w:r w:rsidRPr="006B3444">
              <w:rPr>
                <w:sz w:val="24"/>
                <w:szCs w:val="24"/>
                <w:lang w:val="en-US"/>
              </w:rPr>
              <w:t>(</w:t>
            </w:r>
            <w:proofErr w:type="gramEnd"/>
            <w:r w:rsidRPr="006B3444">
              <w:rPr>
                <w:sz w:val="24"/>
                <w:szCs w:val="24"/>
                <w:lang w:val="en-US"/>
              </w:rPr>
              <w:t>4)</w:t>
            </w:r>
          </w:p>
          <w:p w14:paraId="2F965E9B" w14:textId="77777777" w:rsidR="006B3444" w:rsidRPr="00286CAA" w:rsidRDefault="006B3444" w:rsidP="00B76914">
            <w:pPr>
              <w:ind w:left="133"/>
              <w:rPr>
                <w:sz w:val="24"/>
                <w:szCs w:val="24"/>
                <w:lang w:val="en-US"/>
              </w:rPr>
            </w:pPr>
            <w:r w:rsidRPr="00286CAA">
              <w:rPr>
                <w:i/>
                <w:sz w:val="24"/>
                <w:szCs w:val="24"/>
                <w:lang w:val="en-US"/>
              </w:rPr>
              <w:t xml:space="preserve">S1251N </w:t>
            </w:r>
            <w:r w:rsidRPr="00286CAA">
              <w:rPr>
                <w:sz w:val="24"/>
                <w:szCs w:val="24"/>
                <w:lang w:val="en-US"/>
              </w:rPr>
              <w:t>(8)</w:t>
            </w:r>
          </w:p>
          <w:p w14:paraId="36B83773" w14:textId="77777777" w:rsidR="006B3444" w:rsidRPr="006B3444" w:rsidRDefault="006B3444" w:rsidP="00B76914">
            <w:pPr>
              <w:ind w:left="133"/>
              <w:rPr>
                <w:sz w:val="24"/>
                <w:szCs w:val="24"/>
                <w:lang w:val="en-US"/>
              </w:rPr>
            </w:pPr>
            <w:r w:rsidRPr="006B3444">
              <w:rPr>
                <w:i/>
                <w:sz w:val="24"/>
                <w:szCs w:val="24"/>
                <w:lang w:val="en-US"/>
              </w:rPr>
              <w:t xml:space="preserve">S1255P </w:t>
            </w:r>
            <w:r w:rsidRPr="006B3444">
              <w:rPr>
                <w:sz w:val="24"/>
                <w:szCs w:val="24"/>
                <w:lang w:val="en-US"/>
              </w:rPr>
              <w:t>(2)</w:t>
            </w:r>
          </w:p>
          <w:p w14:paraId="54341A22" w14:textId="77777777" w:rsidR="006B3444" w:rsidRPr="006B3444" w:rsidRDefault="006B3444" w:rsidP="00B76914">
            <w:pPr>
              <w:ind w:left="133"/>
              <w:rPr>
                <w:sz w:val="24"/>
                <w:szCs w:val="24"/>
                <w:lang w:val="en-US"/>
              </w:rPr>
            </w:pPr>
            <w:r w:rsidRPr="006B3444">
              <w:rPr>
                <w:i/>
                <w:sz w:val="24"/>
                <w:szCs w:val="24"/>
                <w:lang w:val="en-US"/>
              </w:rPr>
              <w:t xml:space="preserve">S549N </w:t>
            </w:r>
            <w:r w:rsidRPr="006B3444">
              <w:rPr>
                <w:sz w:val="24"/>
                <w:szCs w:val="24"/>
                <w:lang w:val="en-US"/>
              </w:rPr>
              <w:t>(6)</w:t>
            </w:r>
          </w:p>
          <w:p w14:paraId="6DDB5EA5" w14:textId="77777777" w:rsidR="006B3444" w:rsidRPr="006B3444" w:rsidRDefault="006B3444" w:rsidP="00B76914">
            <w:pPr>
              <w:ind w:left="133"/>
              <w:rPr>
                <w:sz w:val="24"/>
                <w:szCs w:val="24"/>
                <w:lang w:val="en-US"/>
              </w:rPr>
            </w:pPr>
            <w:r w:rsidRPr="006B3444">
              <w:rPr>
                <w:i/>
                <w:sz w:val="24"/>
                <w:szCs w:val="24"/>
                <w:lang w:val="en-US"/>
              </w:rPr>
              <w:t xml:space="preserve">S549R </w:t>
            </w:r>
            <w:r w:rsidRPr="006B3444">
              <w:rPr>
                <w:sz w:val="24"/>
                <w:szCs w:val="24"/>
                <w:lang w:val="en-US"/>
              </w:rPr>
              <w:t>(4)</w:t>
            </w:r>
          </w:p>
        </w:tc>
        <w:tc>
          <w:tcPr>
            <w:tcW w:w="2015" w:type="pct"/>
            <w:gridSpan w:val="2"/>
            <w:tcBorders>
              <w:top w:val="single" w:sz="4" w:space="0" w:color="000000"/>
              <w:left w:val="single" w:sz="4" w:space="0" w:color="000000"/>
              <w:bottom w:val="single" w:sz="4" w:space="0" w:color="000000"/>
              <w:right w:val="single" w:sz="4" w:space="0" w:color="000000"/>
            </w:tcBorders>
            <w:hideMark/>
          </w:tcPr>
          <w:p w14:paraId="13CAC70C" w14:textId="77777777" w:rsidR="006B3444" w:rsidRPr="006B3444" w:rsidRDefault="006B3444" w:rsidP="00A249F1">
            <w:pPr>
              <w:ind w:left="133"/>
              <w:jc w:val="center"/>
              <w:rPr>
                <w:sz w:val="24"/>
                <w:szCs w:val="24"/>
                <w:lang w:val="en-US"/>
              </w:rPr>
            </w:pPr>
            <w:r w:rsidRPr="006B3444">
              <w:rPr>
                <w:sz w:val="24"/>
                <w:szCs w:val="24"/>
                <w:lang w:val="en-US"/>
              </w:rPr>
              <w:t>-55 (-75; -34)</w:t>
            </w:r>
          </w:p>
          <w:p w14:paraId="6542C86F" w14:textId="77777777" w:rsidR="006B3444" w:rsidRPr="006B3444" w:rsidRDefault="006B3444" w:rsidP="00A249F1">
            <w:pPr>
              <w:ind w:left="133"/>
              <w:jc w:val="center"/>
              <w:rPr>
                <w:sz w:val="24"/>
                <w:szCs w:val="24"/>
                <w:lang w:val="en-US"/>
              </w:rPr>
            </w:pPr>
            <w:r w:rsidRPr="006B3444">
              <w:rPr>
                <w:sz w:val="24"/>
                <w:szCs w:val="24"/>
                <w:lang w:val="en-US"/>
              </w:rPr>
              <w:t>-80 (-82; -79)</w:t>
            </w:r>
          </w:p>
          <w:p w14:paraId="4E10498D" w14:textId="77777777" w:rsidR="006B3444" w:rsidRPr="006B3444" w:rsidRDefault="006B3444" w:rsidP="00A249F1">
            <w:pPr>
              <w:ind w:left="133"/>
              <w:jc w:val="center"/>
              <w:rPr>
                <w:sz w:val="24"/>
                <w:szCs w:val="24"/>
                <w:lang w:val="en-US"/>
              </w:rPr>
            </w:pPr>
            <w:r w:rsidRPr="006B3444">
              <w:rPr>
                <w:sz w:val="24"/>
                <w:szCs w:val="24"/>
                <w:lang w:val="en-US"/>
              </w:rPr>
              <w:t>-53 (-65; -35)</w:t>
            </w:r>
          </w:p>
          <w:p w14:paraId="61E29065" w14:textId="77777777" w:rsidR="006B3444" w:rsidRPr="006B3444" w:rsidRDefault="006B3444" w:rsidP="00A249F1">
            <w:pPr>
              <w:ind w:left="133"/>
              <w:jc w:val="center"/>
              <w:rPr>
                <w:sz w:val="24"/>
                <w:szCs w:val="24"/>
                <w:lang w:val="en-US"/>
              </w:rPr>
            </w:pPr>
            <w:r w:rsidRPr="006B3444">
              <w:rPr>
                <w:sz w:val="24"/>
                <w:szCs w:val="24"/>
                <w:lang w:val="en-US"/>
              </w:rPr>
              <w:t>-68†</w:t>
            </w:r>
          </w:p>
          <w:p w14:paraId="4BCA5B4A" w14:textId="77777777" w:rsidR="006B3444" w:rsidRPr="006B3444" w:rsidRDefault="006B3444" w:rsidP="00A249F1">
            <w:pPr>
              <w:ind w:left="133"/>
              <w:jc w:val="center"/>
              <w:rPr>
                <w:sz w:val="24"/>
                <w:szCs w:val="24"/>
                <w:lang w:val="en-US"/>
              </w:rPr>
            </w:pPr>
            <w:r w:rsidRPr="006B3444">
              <w:rPr>
                <w:sz w:val="24"/>
                <w:szCs w:val="24"/>
                <w:lang w:val="en-US"/>
              </w:rPr>
              <w:t>-6 (-16; -2)</w:t>
            </w:r>
          </w:p>
          <w:p w14:paraId="2D1D159A" w14:textId="77777777" w:rsidR="006B3444" w:rsidRPr="006B3444" w:rsidRDefault="006B3444" w:rsidP="00A249F1">
            <w:pPr>
              <w:ind w:left="133"/>
              <w:jc w:val="center"/>
              <w:rPr>
                <w:sz w:val="24"/>
                <w:szCs w:val="24"/>
                <w:lang w:val="en-US"/>
              </w:rPr>
            </w:pPr>
            <w:r w:rsidRPr="006B3444">
              <w:rPr>
                <w:sz w:val="24"/>
                <w:szCs w:val="24"/>
                <w:lang w:val="en-US"/>
              </w:rPr>
              <w:t>-54 (-84; -7)</w:t>
            </w:r>
          </w:p>
          <w:p w14:paraId="4FD2881D" w14:textId="77777777" w:rsidR="006B3444" w:rsidRPr="006B3444" w:rsidRDefault="006B3444" w:rsidP="00A249F1">
            <w:pPr>
              <w:ind w:left="133"/>
              <w:jc w:val="center"/>
              <w:rPr>
                <w:sz w:val="24"/>
                <w:szCs w:val="24"/>
                <w:lang w:val="en-US"/>
              </w:rPr>
            </w:pPr>
            <w:r w:rsidRPr="006B3444">
              <w:rPr>
                <w:sz w:val="24"/>
                <w:szCs w:val="24"/>
                <w:lang w:val="en-US"/>
              </w:rPr>
              <w:t>-78 (-82; -74)</w:t>
            </w:r>
          </w:p>
          <w:p w14:paraId="5ABCB233" w14:textId="77777777" w:rsidR="006B3444" w:rsidRPr="006B3444" w:rsidRDefault="006B3444" w:rsidP="00A249F1">
            <w:pPr>
              <w:ind w:left="133"/>
              <w:jc w:val="center"/>
              <w:rPr>
                <w:sz w:val="24"/>
                <w:szCs w:val="24"/>
                <w:lang w:val="en-US"/>
              </w:rPr>
            </w:pPr>
            <w:r w:rsidRPr="006B3444">
              <w:rPr>
                <w:sz w:val="24"/>
                <w:szCs w:val="24"/>
                <w:lang w:val="en-US"/>
              </w:rPr>
              <w:t>-74 (-93; -53)</w:t>
            </w:r>
          </w:p>
          <w:p w14:paraId="140D3D6D" w14:textId="77777777" w:rsidR="006B3444" w:rsidRPr="006B3444" w:rsidRDefault="006B3444" w:rsidP="00A249F1">
            <w:pPr>
              <w:ind w:left="133"/>
              <w:jc w:val="center"/>
              <w:rPr>
                <w:sz w:val="24"/>
                <w:szCs w:val="24"/>
                <w:lang w:val="en-US"/>
              </w:rPr>
            </w:pPr>
            <w:r w:rsidRPr="006B3444">
              <w:rPr>
                <w:sz w:val="24"/>
                <w:szCs w:val="24"/>
                <w:lang w:val="en-US"/>
              </w:rPr>
              <w:t>-</w:t>
            </w:r>
            <w:proofErr w:type="gramStart"/>
            <w:r w:rsidRPr="006B3444">
              <w:rPr>
                <w:sz w:val="24"/>
                <w:szCs w:val="24"/>
                <w:lang w:val="en-US"/>
              </w:rPr>
              <w:t>61†† (</w:t>
            </w:r>
            <w:proofErr w:type="gramEnd"/>
            <w:r w:rsidRPr="006B3444">
              <w:rPr>
                <w:sz w:val="24"/>
                <w:szCs w:val="24"/>
                <w:lang w:val="en-US"/>
              </w:rPr>
              <w:t>-71; -54)</w:t>
            </w:r>
          </w:p>
        </w:tc>
        <w:tc>
          <w:tcPr>
            <w:tcW w:w="2042" w:type="pct"/>
            <w:gridSpan w:val="2"/>
            <w:tcBorders>
              <w:top w:val="single" w:sz="4" w:space="0" w:color="000000"/>
              <w:left w:val="single" w:sz="4" w:space="0" w:color="000000"/>
              <w:bottom w:val="single" w:sz="4" w:space="0" w:color="000000"/>
              <w:right w:val="single" w:sz="4" w:space="0" w:color="000000"/>
            </w:tcBorders>
            <w:hideMark/>
          </w:tcPr>
          <w:p w14:paraId="5AFA2B7A" w14:textId="77777777" w:rsidR="006B3444" w:rsidRPr="006B3444" w:rsidRDefault="006B3444" w:rsidP="00A249F1">
            <w:pPr>
              <w:ind w:left="133"/>
              <w:jc w:val="center"/>
              <w:rPr>
                <w:sz w:val="24"/>
                <w:szCs w:val="24"/>
                <w:lang w:val="en-US"/>
              </w:rPr>
            </w:pPr>
            <w:r w:rsidRPr="006B3444">
              <w:rPr>
                <w:sz w:val="24"/>
                <w:szCs w:val="24"/>
                <w:lang w:val="en-US"/>
              </w:rPr>
              <w:t>8 (-1; 18)</w:t>
            </w:r>
          </w:p>
          <w:p w14:paraId="4A62DFF4" w14:textId="77777777" w:rsidR="006B3444" w:rsidRPr="006B3444" w:rsidRDefault="006B3444" w:rsidP="00A249F1">
            <w:pPr>
              <w:ind w:left="133"/>
              <w:jc w:val="center"/>
              <w:rPr>
                <w:sz w:val="24"/>
                <w:szCs w:val="24"/>
                <w:lang w:val="en-US"/>
              </w:rPr>
            </w:pPr>
            <w:r w:rsidRPr="006B3444">
              <w:rPr>
                <w:sz w:val="24"/>
                <w:szCs w:val="24"/>
                <w:lang w:val="en-US"/>
              </w:rPr>
              <w:t>20 (3; 36)</w:t>
            </w:r>
          </w:p>
          <w:p w14:paraId="4E367E6A" w14:textId="77777777" w:rsidR="006B3444" w:rsidRPr="006B3444" w:rsidRDefault="006B3444" w:rsidP="00A249F1">
            <w:pPr>
              <w:ind w:left="133"/>
              <w:jc w:val="center"/>
              <w:rPr>
                <w:sz w:val="24"/>
                <w:szCs w:val="24"/>
                <w:lang w:val="en-US"/>
              </w:rPr>
            </w:pPr>
            <w:r w:rsidRPr="006B3444">
              <w:rPr>
                <w:sz w:val="24"/>
                <w:szCs w:val="24"/>
                <w:lang w:val="en-US"/>
              </w:rPr>
              <w:t>8 (-1; 18)</w:t>
            </w:r>
          </w:p>
          <w:p w14:paraId="1B9C7C21" w14:textId="77777777" w:rsidR="006B3444" w:rsidRPr="006B3444" w:rsidRDefault="006B3444" w:rsidP="00A249F1">
            <w:pPr>
              <w:ind w:left="133"/>
              <w:jc w:val="center"/>
              <w:rPr>
                <w:sz w:val="24"/>
                <w:szCs w:val="24"/>
                <w:lang w:val="en-US"/>
              </w:rPr>
            </w:pPr>
            <w:r w:rsidRPr="006B3444">
              <w:rPr>
                <w:sz w:val="24"/>
                <w:szCs w:val="24"/>
                <w:lang w:val="en-US"/>
              </w:rPr>
              <w:t>3†</w:t>
            </w:r>
          </w:p>
          <w:p w14:paraId="5D52CCBD" w14:textId="77777777" w:rsidR="006B3444" w:rsidRPr="006B3444" w:rsidRDefault="006B3444" w:rsidP="00A249F1">
            <w:pPr>
              <w:ind w:left="133"/>
              <w:jc w:val="center"/>
              <w:rPr>
                <w:sz w:val="24"/>
                <w:szCs w:val="24"/>
                <w:lang w:val="en-US"/>
              </w:rPr>
            </w:pPr>
            <w:r w:rsidRPr="006B3444">
              <w:rPr>
                <w:sz w:val="24"/>
                <w:szCs w:val="24"/>
                <w:lang w:val="en-US"/>
              </w:rPr>
              <w:t>3 (-1; 5)</w:t>
            </w:r>
          </w:p>
          <w:p w14:paraId="4C8544D4" w14:textId="77777777" w:rsidR="006B3444" w:rsidRPr="006B3444" w:rsidRDefault="006B3444" w:rsidP="00A249F1">
            <w:pPr>
              <w:ind w:left="133"/>
              <w:jc w:val="center"/>
              <w:rPr>
                <w:sz w:val="24"/>
                <w:szCs w:val="24"/>
                <w:lang w:val="en-US"/>
              </w:rPr>
            </w:pPr>
            <w:r w:rsidRPr="006B3444">
              <w:rPr>
                <w:sz w:val="24"/>
                <w:szCs w:val="24"/>
                <w:lang w:val="en-US"/>
              </w:rPr>
              <w:t>9 (-20; 21)</w:t>
            </w:r>
          </w:p>
          <w:p w14:paraId="2FAE4E83" w14:textId="77777777" w:rsidR="006B3444" w:rsidRPr="006B3444" w:rsidRDefault="006B3444" w:rsidP="00A249F1">
            <w:pPr>
              <w:ind w:left="133"/>
              <w:jc w:val="center"/>
              <w:rPr>
                <w:sz w:val="24"/>
                <w:szCs w:val="24"/>
                <w:lang w:val="en-US"/>
              </w:rPr>
            </w:pPr>
            <w:r w:rsidRPr="006B3444">
              <w:rPr>
                <w:sz w:val="24"/>
                <w:szCs w:val="24"/>
                <w:lang w:val="en-US"/>
              </w:rPr>
              <w:t>3 (-1; 8)</w:t>
            </w:r>
          </w:p>
          <w:p w14:paraId="4D06B4BB" w14:textId="77777777" w:rsidR="006B3444" w:rsidRPr="006B3444" w:rsidRDefault="006B3444" w:rsidP="00A249F1">
            <w:pPr>
              <w:ind w:left="133"/>
              <w:jc w:val="center"/>
              <w:rPr>
                <w:sz w:val="24"/>
                <w:szCs w:val="24"/>
                <w:lang w:val="en-US"/>
              </w:rPr>
            </w:pPr>
            <w:r w:rsidRPr="006B3444">
              <w:rPr>
                <w:sz w:val="24"/>
                <w:szCs w:val="24"/>
                <w:lang w:val="en-US"/>
              </w:rPr>
              <w:t>11 (-2; 20)</w:t>
            </w:r>
          </w:p>
          <w:p w14:paraId="15504C2B" w14:textId="77777777" w:rsidR="006B3444" w:rsidRPr="006B3444" w:rsidRDefault="006B3444" w:rsidP="00A249F1">
            <w:pPr>
              <w:ind w:left="133"/>
              <w:jc w:val="center"/>
              <w:rPr>
                <w:sz w:val="24"/>
                <w:szCs w:val="24"/>
                <w:lang w:val="en-US"/>
              </w:rPr>
            </w:pPr>
            <w:r w:rsidRPr="006B3444">
              <w:rPr>
                <w:sz w:val="24"/>
                <w:szCs w:val="24"/>
                <w:lang w:val="en-US"/>
              </w:rPr>
              <w:t>5 (-3; 13)</w:t>
            </w:r>
          </w:p>
        </w:tc>
      </w:tr>
    </w:tbl>
    <w:p w14:paraId="016B4518" w14:textId="77777777" w:rsidR="006B3444" w:rsidRPr="006B3444" w:rsidRDefault="006B3444" w:rsidP="00B32690">
      <w:pPr>
        <w:numPr>
          <w:ilvl w:val="0"/>
          <w:numId w:val="7"/>
        </w:numPr>
        <w:ind w:left="284" w:hanging="284"/>
        <w:rPr>
          <w:sz w:val="24"/>
          <w:szCs w:val="24"/>
        </w:rPr>
      </w:pPr>
      <w:r w:rsidRPr="006B3444">
        <w:rPr>
          <w:sz w:val="24"/>
          <w:szCs w:val="24"/>
        </w:rPr>
        <w:t>Statistiske tests blev ikke udført på grund af små tal for de enkelte mutationer.</w:t>
      </w:r>
    </w:p>
    <w:p w14:paraId="0B46552E" w14:textId="77777777" w:rsidR="006B3444" w:rsidRPr="006B3444" w:rsidRDefault="006B3444" w:rsidP="00B32690">
      <w:pPr>
        <w:ind w:left="284" w:hanging="284"/>
        <w:rPr>
          <w:sz w:val="24"/>
          <w:szCs w:val="24"/>
        </w:rPr>
      </w:pPr>
      <w:r w:rsidRPr="006B3444">
        <w:rPr>
          <w:sz w:val="24"/>
          <w:szCs w:val="24"/>
        </w:rPr>
        <w:t>†</w:t>
      </w:r>
      <w:r w:rsidRPr="006B3444">
        <w:rPr>
          <w:sz w:val="24"/>
          <w:szCs w:val="24"/>
        </w:rPr>
        <w:tab/>
        <w:t xml:space="preserve">Afspejler resultater fra den ene patient med </w:t>
      </w:r>
      <w:r w:rsidRPr="006B3444">
        <w:rPr>
          <w:i/>
          <w:sz w:val="24"/>
          <w:szCs w:val="24"/>
        </w:rPr>
        <w:t>G551S</w:t>
      </w:r>
      <w:r w:rsidRPr="006B3444">
        <w:rPr>
          <w:sz w:val="24"/>
          <w:szCs w:val="24"/>
        </w:rPr>
        <w:t>-mutation med data ved 8-ugers tidspunktet.</w:t>
      </w:r>
    </w:p>
    <w:p w14:paraId="243E86AD" w14:textId="1617163D" w:rsidR="006B3444" w:rsidRPr="006B3444" w:rsidRDefault="006B3444" w:rsidP="00B32690">
      <w:pPr>
        <w:ind w:left="284" w:hanging="284"/>
        <w:rPr>
          <w:sz w:val="24"/>
          <w:szCs w:val="24"/>
        </w:rPr>
      </w:pPr>
      <w:r w:rsidRPr="006B3444">
        <w:rPr>
          <w:sz w:val="24"/>
          <w:szCs w:val="24"/>
        </w:rPr>
        <w:t>††</w:t>
      </w:r>
      <w:r w:rsidR="00B32690" w:rsidRPr="00286CAA">
        <w:rPr>
          <w:sz w:val="24"/>
          <w:szCs w:val="24"/>
        </w:rPr>
        <w:tab/>
      </w:r>
      <w:r w:rsidRPr="006B3444">
        <w:rPr>
          <w:sz w:val="24"/>
          <w:szCs w:val="24"/>
        </w:rPr>
        <w:t>n=3 for analysen af den absolutte ændring i sved-chlorid.</w:t>
      </w:r>
    </w:p>
    <w:p w14:paraId="0DC16C56" w14:textId="77777777" w:rsidR="006B3444" w:rsidRPr="006B3444" w:rsidRDefault="006B3444" w:rsidP="00B32690">
      <w:pPr>
        <w:ind w:left="284" w:hanging="284"/>
        <w:rPr>
          <w:sz w:val="24"/>
          <w:szCs w:val="24"/>
        </w:rPr>
      </w:pPr>
      <w:r w:rsidRPr="006B3444">
        <w:rPr>
          <w:sz w:val="24"/>
          <w:szCs w:val="24"/>
        </w:rPr>
        <w:t>#</w:t>
      </w:r>
      <w:r w:rsidRPr="006B3444">
        <w:rPr>
          <w:sz w:val="24"/>
          <w:szCs w:val="24"/>
        </w:rPr>
        <w:tab/>
        <w:t xml:space="preserve">Forårsager en </w:t>
      </w:r>
      <w:r w:rsidRPr="006B3444">
        <w:rPr>
          <w:i/>
          <w:sz w:val="24"/>
          <w:szCs w:val="24"/>
        </w:rPr>
        <w:t>splicing</w:t>
      </w:r>
      <w:r w:rsidRPr="006B3444">
        <w:rPr>
          <w:sz w:val="24"/>
          <w:szCs w:val="24"/>
        </w:rPr>
        <w:t xml:space="preserve">-defekt, der fører til kun lidt eller intet </w:t>
      </w:r>
      <w:r w:rsidRPr="006B3444">
        <w:rPr>
          <w:i/>
          <w:sz w:val="24"/>
          <w:szCs w:val="24"/>
        </w:rPr>
        <w:t>CFTR</w:t>
      </w:r>
      <w:r w:rsidRPr="006B3444">
        <w:rPr>
          <w:sz w:val="24"/>
          <w:szCs w:val="24"/>
        </w:rPr>
        <w:t>-protein på celleoverfladen.</w:t>
      </w:r>
    </w:p>
    <w:p w14:paraId="5065D407" w14:textId="77777777" w:rsidR="006B3444" w:rsidRPr="006B3444" w:rsidRDefault="006B3444" w:rsidP="006B3444">
      <w:pPr>
        <w:tabs>
          <w:tab w:val="left" w:pos="851"/>
        </w:tabs>
        <w:ind w:left="851"/>
        <w:rPr>
          <w:sz w:val="24"/>
          <w:szCs w:val="24"/>
        </w:rPr>
      </w:pPr>
    </w:p>
    <w:p w14:paraId="6D83FC40" w14:textId="75F9BA90" w:rsidR="006B3444" w:rsidRPr="006B3444" w:rsidRDefault="006B3444" w:rsidP="00B32690">
      <w:pPr>
        <w:ind w:left="851"/>
        <w:rPr>
          <w:sz w:val="24"/>
          <w:szCs w:val="24"/>
        </w:rPr>
      </w:pPr>
      <w:r w:rsidRPr="006B3444">
        <w:rPr>
          <w:sz w:val="24"/>
          <w:szCs w:val="24"/>
        </w:rPr>
        <w:t>I del 2 af studie 770-111 var den gennemsnitlige (SD) absolutte ændring i procent forventet FEV</w:t>
      </w:r>
      <w:r w:rsidRPr="006B3444">
        <w:rPr>
          <w:sz w:val="24"/>
          <w:szCs w:val="24"/>
          <w:vertAlign w:val="subscript"/>
        </w:rPr>
        <w:t>1</w:t>
      </w:r>
      <w:r w:rsidRPr="006B3444">
        <w:rPr>
          <w:sz w:val="24"/>
          <w:szCs w:val="24"/>
        </w:rPr>
        <w:t xml:space="preserve"> efter 16 uger kontinuerlig ivacaftor-behandling (patienter randomiseret til ivacaftor/placebo-behandlingssekvensen i del 1) 10,4 % (13,2 %). Ved opfølgningsbesøget 4 uger efter afslutning på ivacaftor var den gennemsnitlige (SD) absolutte ændring i procent forventet FEV</w:t>
      </w:r>
      <w:r w:rsidRPr="006B3444">
        <w:rPr>
          <w:sz w:val="24"/>
          <w:szCs w:val="24"/>
          <w:vertAlign w:val="subscript"/>
        </w:rPr>
        <w:t>1</w:t>
      </w:r>
      <w:r w:rsidRPr="006B3444">
        <w:rPr>
          <w:sz w:val="24"/>
          <w:szCs w:val="24"/>
        </w:rPr>
        <w:t xml:space="preserve"> fra del 2 ved uge 16 -5,9 % (9,4 %). For patienter randomiseret til placebo/ivacaftor-behandlingssekvensen i del 1 var der en yderligere gennemsnitlig (SD) ændring på 3,3 % (9,3 %) i procent forventet FEV</w:t>
      </w:r>
      <w:r w:rsidRPr="006B3444">
        <w:rPr>
          <w:sz w:val="24"/>
          <w:szCs w:val="24"/>
          <w:vertAlign w:val="subscript"/>
        </w:rPr>
        <w:t>1</w:t>
      </w:r>
      <w:r w:rsidRPr="006B3444">
        <w:rPr>
          <w:sz w:val="24"/>
          <w:szCs w:val="24"/>
        </w:rPr>
        <w:t xml:space="preserve"> efter de yderligere 16 ugers behandling med ivacaftor. Ved opfølgningsbesøget 4 uger efter afslutning på ivacaftor var den gennemsnitlige (SD) absolutte ændring i procent forventet FEV</w:t>
      </w:r>
      <w:r w:rsidRPr="006B3444">
        <w:rPr>
          <w:sz w:val="24"/>
          <w:szCs w:val="24"/>
          <w:vertAlign w:val="subscript"/>
        </w:rPr>
        <w:t>1</w:t>
      </w:r>
      <w:r w:rsidRPr="006B3444">
        <w:rPr>
          <w:sz w:val="24"/>
          <w:szCs w:val="24"/>
        </w:rPr>
        <w:t xml:space="preserve"> fra del 2 ved uge 16 -7,4</w:t>
      </w:r>
      <w:r w:rsidR="00286CAA">
        <w:rPr>
          <w:sz w:val="24"/>
          <w:szCs w:val="24"/>
        </w:rPr>
        <w:t> </w:t>
      </w:r>
      <w:r w:rsidRPr="006B3444">
        <w:rPr>
          <w:sz w:val="24"/>
          <w:szCs w:val="24"/>
        </w:rPr>
        <w:t>% (5,5 %).</w:t>
      </w:r>
    </w:p>
    <w:p w14:paraId="7B711463" w14:textId="77777777" w:rsidR="006B3444" w:rsidRPr="006B3444" w:rsidRDefault="006B3444" w:rsidP="00B32690">
      <w:pPr>
        <w:ind w:left="851"/>
        <w:rPr>
          <w:sz w:val="24"/>
          <w:szCs w:val="24"/>
        </w:rPr>
      </w:pPr>
    </w:p>
    <w:p w14:paraId="3C2824F5" w14:textId="77777777" w:rsidR="006B3444" w:rsidRPr="006B3444" w:rsidRDefault="006B3444" w:rsidP="00B32690">
      <w:pPr>
        <w:ind w:left="851"/>
        <w:rPr>
          <w:i/>
          <w:sz w:val="24"/>
          <w:szCs w:val="24"/>
        </w:rPr>
      </w:pPr>
      <w:r w:rsidRPr="006B3444">
        <w:rPr>
          <w:i/>
          <w:sz w:val="24"/>
          <w:szCs w:val="24"/>
          <w:u w:val="single"/>
        </w:rPr>
        <w:t>Studie 770-104: studie hos patienter med CF med F508del-mutation i CFTR-genet</w:t>
      </w:r>
    </w:p>
    <w:p w14:paraId="6B1EA2BE" w14:textId="77777777" w:rsidR="006B3444" w:rsidRPr="006B3444" w:rsidRDefault="006B3444" w:rsidP="00B32690">
      <w:pPr>
        <w:ind w:left="851"/>
        <w:rPr>
          <w:i/>
          <w:sz w:val="24"/>
          <w:szCs w:val="24"/>
        </w:rPr>
      </w:pPr>
    </w:p>
    <w:p w14:paraId="115647C4" w14:textId="08770F37" w:rsidR="006B3444" w:rsidRPr="006B3444" w:rsidRDefault="006B3444" w:rsidP="00B32690">
      <w:pPr>
        <w:ind w:left="851"/>
        <w:rPr>
          <w:sz w:val="24"/>
          <w:szCs w:val="24"/>
        </w:rPr>
      </w:pPr>
      <w:r w:rsidRPr="006B3444">
        <w:rPr>
          <w:sz w:val="24"/>
          <w:szCs w:val="24"/>
        </w:rPr>
        <w:t xml:space="preserve">Studie </w:t>
      </w:r>
      <w:r w:rsidRPr="006B3444">
        <w:rPr>
          <w:i/>
          <w:sz w:val="24"/>
          <w:szCs w:val="24"/>
        </w:rPr>
        <w:t xml:space="preserve">770-104 </w:t>
      </w:r>
      <w:r w:rsidRPr="006B3444">
        <w:rPr>
          <w:sz w:val="24"/>
          <w:szCs w:val="24"/>
        </w:rPr>
        <w:t xml:space="preserve">(del A) var et 16-ugers 4:1 randomiseret, dobbeltblindet, placebokontrolleret fase 2-studie med parallelle grupper af ivacaftor (150 mg hver 12. time) hos 140 patienter i alderen 12 år og derover med CF, som var homozygote for </w:t>
      </w:r>
      <w:r w:rsidRPr="006B3444">
        <w:rPr>
          <w:i/>
          <w:sz w:val="24"/>
          <w:szCs w:val="24"/>
        </w:rPr>
        <w:t>F508del</w:t>
      </w:r>
      <w:r w:rsidRPr="006B3444">
        <w:rPr>
          <w:sz w:val="24"/>
          <w:szCs w:val="24"/>
        </w:rPr>
        <w:t xml:space="preserve">-mutationen i </w:t>
      </w:r>
      <w:r w:rsidRPr="006B3444">
        <w:rPr>
          <w:i/>
          <w:sz w:val="24"/>
          <w:szCs w:val="24"/>
        </w:rPr>
        <w:t>CFTR</w:t>
      </w:r>
      <w:r w:rsidRPr="006B3444">
        <w:rPr>
          <w:sz w:val="24"/>
          <w:szCs w:val="24"/>
        </w:rPr>
        <w:t>-genet, og som havde FEV</w:t>
      </w:r>
      <w:r w:rsidRPr="006B3444">
        <w:rPr>
          <w:sz w:val="24"/>
          <w:szCs w:val="24"/>
          <w:vertAlign w:val="subscript"/>
        </w:rPr>
        <w:t xml:space="preserve">1 </w:t>
      </w:r>
      <w:r w:rsidRPr="006B3444">
        <w:rPr>
          <w:sz w:val="24"/>
          <w:szCs w:val="24"/>
        </w:rPr>
        <w:t>≥ 40 % af forventet værdi.</w:t>
      </w:r>
    </w:p>
    <w:p w14:paraId="360BDDAE" w14:textId="77777777" w:rsidR="006B3444" w:rsidRPr="006B3444" w:rsidRDefault="006B3444" w:rsidP="00B32690">
      <w:pPr>
        <w:ind w:left="851"/>
        <w:rPr>
          <w:sz w:val="24"/>
          <w:szCs w:val="24"/>
        </w:rPr>
      </w:pPr>
    </w:p>
    <w:p w14:paraId="00442DE3" w14:textId="4BC29A85" w:rsidR="006B3444" w:rsidRPr="006B3444" w:rsidRDefault="006B3444" w:rsidP="00B32690">
      <w:pPr>
        <w:ind w:left="851"/>
        <w:rPr>
          <w:sz w:val="24"/>
          <w:szCs w:val="24"/>
        </w:rPr>
      </w:pPr>
      <w:r w:rsidRPr="006B3444">
        <w:rPr>
          <w:sz w:val="24"/>
          <w:szCs w:val="24"/>
        </w:rPr>
        <w:t xml:space="preserve">Den gennemsnitlige absolutte ændring fra </w:t>
      </w:r>
      <w:r w:rsidRPr="006B3444">
        <w:rPr>
          <w:i/>
          <w:sz w:val="24"/>
          <w:szCs w:val="24"/>
        </w:rPr>
        <w:t xml:space="preserve">baseline </w:t>
      </w:r>
      <w:r w:rsidRPr="006B3444">
        <w:rPr>
          <w:sz w:val="24"/>
          <w:szCs w:val="24"/>
        </w:rPr>
        <w:t>til og med uge 16 i procent af forventet FEV</w:t>
      </w:r>
      <w:r w:rsidRPr="006B3444">
        <w:rPr>
          <w:sz w:val="24"/>
          <w:szCs w:val="24"/>
          <w:vertAlign w:val="subscript"/>
        </w:rPr>
        <w:t>1</w:t>
      </w:r>
      <w:r w:rsidRPr="006B3444">
        <w:rPr>
          <w:sz w:val="24"/>
          <w:szCs w:val="24"/>
        </w:rPr>
        <w:t xml:space="preserve"> (primært endepunkt for virkning) var 1,5 procentpoints i ivacaftor-gruppen, og -0,2 procentpoints i placebo</w:t>
      </w:r>
      <w:r w:rsidR="00286CAA">
        <w:rPr>
          <w:sz w:val="24"/>
          <w:szCs w:val="24"/>
        </w:rPr>
        <w:t>-</w:t>
      </w:r>
      <w:r w:rsidRPr="006B3444">
        <w:rPr>
          <w:sz w:val="24"/>
          <w:szCs w:val="24"/>
        </w:rPr>
        <w:t xml:space="preserve">gruppen. Den estimerede behandlingsforskel for ivacaftor </w:t>
      </w:r>
      <w:r w:rsidRPr="006B3444">
        <w:rPr>
          <w:i/>
          <w:sz w:val="24"/>
          <w:szCs w:val="24"/>
        </w:rPr>
        <w:t xml:space="preserve">versus </w:t>
      </w:r>
      <w:r w:rsidRPr="006B3444">
        <w:rPr>
          <w:sz w:val="24"/>
          <w:szCs w:val="24"/>
        </w:rPr>
        <w:t>placebo var 1,7 procentpoints (95 % CI: -0,6; 4,1), denne forskel var ikke statistisk signifikant (</w:t>
      </w:r>
      <w:r w:rsidRPr="006B3444">
        <w:rPr>
          <w:i/>
          <w:sz w:val="24"/>
          <w:szCs w:val="24"/>
        </w:rPr>
        <w:t xml:space="preserve">p </w:t>
      </w:r>
      <w:r w:rsidRPr="006B3444">
        <w:rPr>
          <w:sz w:val="24"/>
          <w:szCs w:val="24"/>
        </w:rPr>
        <w:t>= 0,15).</w:t>
      </w:r>
    </w:p>
    <w:p w14:paraId="52A1107D" w14:textId="77777777" w:rsidR="006B3444" w:rsidRPr="006B3444" w:rsidRDefault="006B3444" w:rsidP="00B32690">
      <w:pPr>
        <w:ind w:left="851"/>
        <w:rPr>
          <w:sz w:val="24"/>
          <w:szCs w:val="24"/>
        </w:rPr>
      </w:pPr>
    </w:p>
    <w:p w14:paraId="08028001" w14:textId="77777777" w:rsidR="006B3444" w:rsidRPr="006B3444" w:rsidRDefault="006B3444" w:rsidP="00B32690">
      <w:pPr>
        <w:ind w:left="851"/>
        <w:rPr>
          <w:i/>
          <w:sz w:val="24"/>
          <w:szCs w:val="24"/>
        </w:rPr>
      </w:pPr>
      <w:r w:rsidRPr="006B3444">
        <w:rPr>
          <w:i/>
          <w:sz w:val="24"/>
          <w:szCs w:val="24"/>
          <w:u w:val="single"/>
        </w:rPr>
        <w:t>Studie 770-105: åbent forlængelsesstudie</w:t>
      </w:r>
    </w:p>
    <w:p w14:paraId="62F55A23" w14:textId="77777777" w:rsidR="006B3444" w:rsidRPr="006B3444" w:rsidRDefault="006B3444" w:rsidP="00B32690">
      <w:pPr>
        <w:ind w:left="851"/>
        <w:rPr>
          <w:i/>
          <w:sz w:val="24"/>
          <w:szCs w:val="24"/>
        </w:rPr>
      </w:pPr>
    </w:p>
    <w:p w14:paraId="798FDE42" w14:textId="77777777" w:rsidR="006B3444" w:rsidRPr="006B3444" w:rsidRDefault="006B3444" w:rsidP="00B32690">
      <w:pPr>
        <w:ind w:left="851"/>
        <w:rPr>
          <w:sz w:val="24"/>
          <w:szCs w:val="24"/>
        </w:rPr>
      </w:pPr>
      <w:r w:rsidRPr="006B3444">
        <w:rPr>
          <w:sz w:val="24"/>
          <w:szCs w:val="24"/>
        </w:rPr>
        <w:t>I studie 770-105 blev patienter, der gennemførte behandlingen i studie 770-102 og 770-103 med placebo, skiftet til ivacaftor, mens patienterne, der fik ivacaftor, fortsatte med at få det i mindst 96 uger, dvs. behandlingsvarigheden med ivacaftor var mindst 96 uger for patienter i placebo/ivacaftor-gruppen, og mindst 144 uger for patienter i ivacaftor/ivacaftor-gruppen.</w:t>
      </w:r>
    </w:p>
    <w:p w14:paraId="1F4E793F" w14:textId="77777777" w:rsidR="006B3444" w:rsidRPr="006B3444" w:rsidRDefault="006B3444" w:rsidP="00B32690">
      <w:pPr>
        <w:ind w:left="851"/>
        <w:rPr>
          <w:sz w:val="24"/>
          <w:szCs w:val="24"/>
        </w:rPr>
      </w:pPr>
    </w:p>
    <w:p w14:paraId="208E35B0" w14:textId="77777777" w:rsidR="006B3444" w:rsidRPr="006B3444" w:rsidRDefault="006B3444" w:rsidP="00B32690">
      <w:pPr>
        <w:ind w:left="851"/>
        <w:rPr>
          <w:sz w:val="24"/>
          <w:szCs w:val="24"/>
        </w:rPr>
      </w:pPr>
      <w:r w:rsidRPr="006B3444">
        <w:rPr>
          <w:sz w:val="24"/>
          <w:szCs w:val="24"/>
        </w:rPr>
        <w:t>144 patienter fra studie 770-102 indgik i studie 770-105, 67 i placebo/ivacaftor-gruppen og 77 i ivacaftor/ivacaftor-gruppen. 48 patienter fra studie 770-103 indgik i studie 770-105, 22 i placebo/ivacaftor-gruppen og 26 i ivacaftor/ivacaftor-gruppen.</w:t>
      </w:r>
    </w:p>
    <w:p w14:paraId="0AAE6593" w14:textId="77777777" w:rsidR="006B3444" w:rsidRPr="006B3444" w:rsidRDefault="006B3444" w:rsidP="00B32690">
      <w:pPr>
        <w:ind w:left="851"/>
        <w:rPr>
          <w:sz w:val="24"/>
          <w:szCs w:val="24"/>
        </w:rPr>
      </w:pPr>
    </w:p>
    <w:p w14:paraId="5F7B7A90" w14:textId="3A20F4C6" w:rsidR="006B3444" w:rsidRPr="006B3444" w:rsidRDefault="006B3444" w:rsidP="00B32690">
      <w:pPr>
        <w:ind w:left="851"/>
        <w:rPr>
          <w:sz w:val="24"/>
          <w:szCs w:val="24"/>
        </w:rPr>
      </w:pPr>
      <w:r w:rsidRPr="006B3444">
        <w:rPr>
          <w:sz w:val="24"/>
          <w:szCs w:val="24"/>
        </w:rPr>
        <w:t>Tabel 8 viser den gennemsnitlige (SD) absolutte ændring i procent af forventet FEV</w:t>
      </w:r>
      <w:r w:rsidRPr="006B3444">
        <w:rPr>
          <w:sz w:val="24"/>
          <w:szCs w:val="24"/>
          <w:vertAlign w:val="subscript"/>
        </w:rPr>
        <w:t>1</w:t>
      </w:r>
      <w:r w:rsidRPr="006B3444">
        <w:rPr>
          <w:sz w:val="24"/>
          <w:szCs w:val="24"/>
        </w:rPr>
        <w:t xml:space="preserve"> for begge patientgrupper. For patienter i placebo/ivacaftor-gruppen er procent af forventet FEV</w:t>
      </w:r>
      <w:r w:rsidRPr="006B3444">
        <w:rPr>
          <w:sz w:val="24"/>
          <w:szCs w:val="24"/>
          <w:vertAlign w:val="subscript"/>
        </w:rPr>
        <w:t>1</w:t>
      </w:r>
      <w:r w:rsidRPr="006B3444">
        <w:rPr>
          <w:sz w:val="24"/>
          <w:szCs w:val="24"/>
        </w:rPr>
        <w:t xml:space="preserve"> ved </w:t>
      </w:r>
      <w:r w:rsidRPr="006B3444">
        <w:rPr>
          <w:i/>
          <w:sz w:val="24"/>
          <w:szCs w:val="24"/>
        </w:rPr>
        <w:t xml:space="preserve">baseline </w:t>
      </w:r>
      <w:r w:rsidRPr="006B3444">
        <w:rPr>
          <w:sz w:val="24"/>
          <w:szCs w:val="24"/>
        </w:rPr>
        <w:t xml:space="preserve">værdien i studie 770-105, og for patienter i ivacaftor/ivacaftor-gruppen er værdien ved </w:t>
      </w:r>
      <w:r w:rsidRPr="006B3444">
        <w:rPr>
          <w:i/>
          <w:sz w:val="24"/>
          <w:szCs w:val="24"/>
        </w:rPr>
        <w:t xml:space="preserve">baseline </w:t>
      </w:r>
      <w:r w:rsidRPr="006B3444">
        <w:rPr>
          <w:sz w:val="24"/>
          <w:szCs w:val="24"/>
        </w:rPr>
        <w:t>værdien i studie 770-102 og 770-103.</w:t>
      </w:r>
    </w:p>
    <w:p w14:paraId="1F19CF11" w14:textId="77777777" w:rsidR="006B3444" w:rsidRPr="006B3444" w:rsidRDefault="006B3444" w:rsidP="006B3444">
      <w:pPr>
        <w:tabs>
          <w:tab w:val="left" w:pos="851"/>
        </w:tabs>
        <w:ind w:left="851"/>
        <w:rPr>
          <w:sz w:val="24"/>
          <w:szCs w:val="24"/>
        </w:rPr>
      </w:pPr>
    </w:p>
    <w:p w14:paraId="3C29701B" w14:textId="1D5B1D68" w:rsidR="006B3444" w:rsidRPr="006B3444" w:rsidRDefault="006B3444" w:rsidP="006B3444">
      <w:pPr>
        <w:tabs>
          <w:tab w:val="left" w:pos="851"/>
        </w:tabs>
        <w:ind w:left="851"/>
        <w:rPr>
          <w:b/>
          <w:bCs/>
          <w:sz w:val="24"/>
          <w:szCs w:val="24"/>
        </w:rPr>
      </w:pPr>
      <w:r w:rsidRPr="006B3444">
        <w:rPr>
          <w:b/>
          <w:bCs/>
          <w:sz w:val="24"/>
          <w:szCs w:val="24"/>
        </w:rPr>
        <w:t>Tabel 8: Ivacaftors virkning på procent af forventet FEV</w:t>
      </w:r>
      <w:r w:rsidRPr="006B3444">
        <w:rPr>
          <w:b/>
          <w:bCs/>
          <w:sz w:val="24"/>
          <w:szCs w:val="24"/>
          <w:vertAlign w:val="subscript"/>
        </w:rPr>
        <w:t>1</w:t>
      </w:r>
      <w:r w:rsidRPr="006B3444">
        <w:rPr>
          <w:b/>
          <w:bCs/>
          <w:sz w:val="24"/>
          <w:szCs w:val="24"/>
        </w:rPr>
        <w:t xml:space="preserve"> i studie 770-105</w:t>
      </w:r>
    </w:p>
    <w:p w14:paraId="1CBE86BD" w14:textId="77777777" w:rsidR="006B3444" w:rsidRPr="006B3444" w:rsidRDefault="006B3444" w:rsidP="006B3444">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8"/>
        <w:gridCol w:w="2698"/>
        <w:gridCol w:w="1411"/>
        <w:gridCol w:w="3021"/>
      </w:tblGrid>
      <w:tr w:rsidR="006B3444" w:rsidRPr="006B3444" w14:paraId="36DADACB" w14:textId="77777777" w:rsidTr="00B32690">
        <w:trPr>
          <w:trHeight w:val="586"/>
        </w:trPr>
        <w:tc>
          <w:tcPr>
            <w:tcW w:w="1297" w:type="pct"/>
            <w:tcBorders>
              <w:top w:val="single" w:sz="4" w:space="0" w:color="000000"/>
              <w:left w:val="single" w:sz="4" w:space="0" w:color="000000"/>
              <w:bottom w:val="single" w:sz="4" w:space="0" w:color="000000"/>
              <w:right w:val="single" w:sz="4" w:space="0" w:color="000000"/>
            </w:tcBorders>
            <w:hideMark/>
          </w:tcPr>
          <w:p w14:paraId="5443CCB6" w14:textId="77777777" w:rsidR="006B3444" w:rsidRPr="006B3444" w:rsidRDefault="006B3444" w:rsidP="00B32690">
            <w:pPr>
              <w:ind w:left="133"/>
              <w:rPr>
                <w:b/>
                <w:sz w:val="24"/>
                <w:szCs w:val="24"/>
                <w:lang w:val="en-US"/>
              </w:rPr>
            </w:pPr>
            <w:r w:rsidRPr="006B3444">
              <w:rPr>
                <w:b/>
                <w:sz w:val="24"/>
                <w:szCs w:val="24"/>
                <w:lang w:val="en-US"/>
              </w:rPr>
              <w:t>Oprindeligt studie og behandlingsgruppe</w:t>
            </w:r>
          </w:p>
        </w:tc>
        <w:tc>
          <w:tcPr>
            <w:tcW w:w="1401" w:type="pct"/>
            <w:tcBorders>
              <w:top w:val="single" w:sz="4" w:space="0" w:color="000000"/>
              <w:left w:val="single" w:sz="4" w:space="0" w:color="000000"/>
              <w:bottom w:val="single" w:sz="4" w:space="0" w:color="000000"/>
              <w:right w:val="single" w:sz="4" w:space="0" w:color="000000"/>
            </w:tcBorders>
            <w:hideMark/>
          </w:tcPr>
          <w:p w14:paraId="481149F8" w14:textId="77777777" w:rsidR="006B3444" w:rsidRPr="006B3444" w:rsidRDefault="006B3444" w:rsidP="00B32690">
            <w:pPr>
              <w:ind w:left="133"/>
              <w:rPr>
                <w:b/>
                <w:sz w:val="24"/>
                <w:szCs w:val="24"/>
                <w:lang w:val="en-US"/>
              </w:rPr>
            </w:pPr>
            <w:r w:rsidRPr="006B3444">
              <w:rPr>
                <w:b/>
                <w:sz w:val="24"/>
                <w:szCs w:val="24"/>
                <w:lang w:val="en-US"/>
              </w:rPr>
              <w:t>Behandlingsvarighed med ivacaftor (uger)</w:t>
            </w:r>
          </w:p>
        </w:tc>
        <w:tc>
          <w:tcPr>
            <w:tcW w:w="2302" w:type="pct"/>
            <w:gridSpan w:val="2"/>
            <w:tcBorders>
              <w:top w:val="single" w:sz="4" w:space="0" w:color="000000"/>
              <w:left w:val="single" w:sz="4" w:space="0" w:color="000000"/>
              <w:bottom w:val="single" w:sz="4" w:space="0" w:color="000000"/>
              <w:right w:val="single" w:sz="4" w:space="0" w:color="000000"/>
            </w:tcBorders>
            <w:hideMark/>
          </w:tcPr>
          <w:p w14:paraId="5A4F7F7E" w14:textId="77777777" w:rsidR="006B3444" w:rsidRPr="006B3444" w:rsidRDefault="006B3444" w:rsidP="00B32690">
            <w:pPr>
              <w:ind w:left="133"/>
              <w:rPr>
                <w:b/>
                <w:sz w:val="24"/>
                <w:szCs w:val="24"/>
              </w:rPr>
            </w:pPr>
            <w:r w:rsidRPr="006B3444">
              <w:rPr>
                <w:b/>
                <w:sz w:val="24"/>
                <w:szCs w:val="24"/>
              </w:rPr>
              <w:t xml:space="preserve">Absolut ændring fra </w:t>
            </w:r>
            <w:r w:rsidRPr="006B3444">
              <w:rPr>
                <w:b/>
                <w:i/>
                <w:sz w:val="24"/>
                <w:szCs w:val="24"/>
              </w:rPr>
              <w:t xml:space="preserve">baseline </w:t>
            </w:r>
            <w:r w:rsidRPr="006B3444">
              <w:rPr>
                <w:b/>
                <w:sz w:val="24"/>
                <w:szCs w:val="24"/>
              </w:rPr>
              <w:t>i procent af forventet FEV</w:t>
            </w:r>
            <w:r w:rsidRPr="006B3444">
              <w:rPr>
                <w:b/>
                <w:sz w:val="24"/>
                <w:szCs w:val="24"/>
                <w:vertAlign w:val="subscript"/>
              </w:rPr>
              <w:t>1</w:t>
            </w:r>
            <w:r w:rsidRPr="006B3444">
              <w:rPr>
                <w:b/>
                <w:sz w:val="24"/>
                <w:szCs w:val="24"/>
              </w:rPr>
              <w:t xml:space="preserve"> (procentpoints)</w:t>
            </w:r>
          </w:p>
        </w:tc>
      </w:tr>
      <w:tr w:rsidR="006B3444" w:rsidRPr="006B3444" w14:paraId="20CE0420" w14:textId="77777777" w:rsidTr="00B32690">
        <w:trPr>
          <w:trHeight w:val="333"/>
        </w:trPr>
        <w:tc>
          <w:tcPr>
            <w:tcW w:w="1297" w:type="pct"/>
            <w:tcBorders>
              <w:top w:val="single" w:sz="4" w:space="0" w:color="000000"/>
              <w:left w:val="single" w:sz="4" w:space="0" w:color="000000"/>
              <w:bottom w:val="single" w:sz="4" w:space="0" w:color="000000"/>
              <w:right w:val="single" w:sz="4" w:space="0" w:color="000000"/>
            </w:tcBorders>
          </w:tcPr>
          <w:p w14:paraId="0508654E" w14:textId="77777777" w:rsidR="006B3444" w:rsidRPr="006B3444" w:rsidRDefault="006B3444" w:rsidP="00B32690">
            <w:pPr>
              <w:ind w:left="133"/>
              <w:rPr>
                <w:sz w:val="24"/>
                <w:szCs w:val="24"/>
              </w:rPr>
            </w:pPr>
          </w:p>
        </w:tc>
        <w:tc>
          <w:tcPr>
            <w:tcW w:w="1401" w:type="pct"/>
            <w:tcBorders>
              <w:top w:val="single" w:sz="4" w:space="0" w:color="000000"/>
              <w:left w:val="single" w:sz="4" w:space="0" w:color="000000"/>
              <w:bottom w:val="single" w:sz="4" w:space="0" w:color="000000"/>
              <w:right w:val="single" w:sz="4" w:space="0" w:color="000000"/>
            </w:tcBorders>
          </w:tcPr>
          <w:p w14:paraId="2E2326B9" w14:textId="77777777" w:rsidR="006B3444" w:rsidRPr="006B3444" w:rsidRDefault="006B3444" w:rsidP="00A249F1">
            <w:pPr>
              <w:ind w:left="133"/>
              <w:jc w:val="center"/>
              <w:rPr>
                <w:sz w:val="24"/>
                <w:szCs w:val="24"/>
              </w:rPr>
            </w:pPr>
          </w:p>
        </w:tc>
        <w:tc>
          <w:tcPr>
            <w:tcW w:w="733" w:type="pct"/>
            <w:tcBorders>
              <w:top w:val="single" w:sz="4" w:space="0" w:color="000000"/>
              <w:left w:val="single" w:sz="4" w:space="0" w:color="000000"/>
              <w:bottom w:val="single" w:sz="4" w:space="0" w:color="000000"/>
              <w:right w:val="single" w:sz="4" w:space="0" w:color="000000"/>
            </w:tcBorders>
            <w:hideMark/>
          </w:tcPr>
          <w:p w14:paraId="15914254" w14:textId="77777777" w:rsidR="006B3444" w:rsidRPr="006B3444" w:rsidRDefault="006B3444" w:rsidP="00A249F1">
            <w:pPr>
              <w:ind w:left="133"/>
              <w:jc w:val="center"/>
              <w:rPr>
                <w:b/>
                <w:sz w:val="24"/>
                <w:szCs w:val="24"/>
                <w:lang w:val="en-US"/>
              </w:rPr>
            </w:pPr>
            <w:r w:rsidRPr="006B3444">
              <w:rPr>
                <w:b/>
                <w:sz w:val="24"/>
                <w:szCs w:val="24"/>
                <w:lang w:val="en-US"/>
              </w:rPr>
              <w:t>N</w:t>
            </w:r>
          </w:p>
        </w:tc>
        <w:tc>
          <w:tcPr>
            <w:tcW w:w="1569" w:type="pct"/>
            <w:tcBorders>
              <w:top w:val="single" w:sz="4" w:space="0" w:color="000000"/>
              <w:left w:val="single" w:sz="4" w:space="0" w:color="000000"/>
              <w:bottom w:val="single" w:sz="4" w:space="0" w:color="000000"/>
              <w:right w:val="single" w:sz="4" w:space="0" w:color="000000"/>
            </w:tcBorders>
            <w:hideMark/>
          </w:tcPr>
          <w:p w14:paraId="00AA500F" w14:textId="77777777" w:rsidR="006B3444" w:rsidRPr="006B3444" w:rsidRDefault="006B3444" w:rsidP="00A249F1">
            <w:pPr>
              <w:ind w:left="133"/>
              <w:jc w:val="center"/>
              <w:rPr>
                <w:b/>
                <w:sz w:val="24"/>
                <w:szCs w:val="24"/>
                <w:lang w:val="en-US"/>
              </w:rPr>
            </w:pPr>
            <w:r w:rsidRPr="006B3444">
              <w:rPr>
                <w:b/>
                <w:sz w:val="24"/>
                <w:szCs w:val="24"/>
                <w:lang w:val="en-US"/>
              </w:rPr>
              <w:t>Gennemsnit (SD)</w:t>
            </w:r>
          </w:p>
        </w:tc>
      </w:tr>
      <w:tr w:rsidR="006B3444" w:rsidRPr="006B3444" w14:paraId="63F77BB5" w14:textId="77777777" w:rsidTr="00B32690">
        <w:trPr>
          <w:trHeight w:val="333"/>
        </w:trPr>
        <w:tc>
          <w:tcPr>
            <w:tcW w:w="5000" w:type="pct"/>
            <w:gridSpan w:val="4"/>
            <w:tcBorders>
              <w:top w:val="single" w:sz="4" w:space="0" w:color="000000"/>
              <w:left w:val="single" w:sz="4" w:space="0" w:color="000000"/>
              <w:bottom w:val="single" w:sz="4" w:space="0" w:color="000000"/>
              <w:right w:val="single" w:sz="4" w:space="0" w:color="000000"/>
            </w:tcBorders>
            <w:hideMark/>
          </w:tcPr>
          <w:p w14:paraId="1A810DB4" w14:textId="77777777" w:rsidR="006B3444" w:rsidRPr="006B3444" w:rsidRDefault="006B3444" w:rsidP="00B32690">
            <w:pPr>
              <w:ind w:left="133"/>
              <w:rPr>
                <w:b/>
                <w:sz w:val="24"/>
                <w:szCs w:val="24"/>
                <w:lang w:val="en-US"/>
              </w:rPr>
            </w:pPr>
            <w:r w:rsidRPr="006B3444">
              <w:rPr>
                <w:b/>
                <w:sz w:val="24"/>
                <w:szCs w:val="24"/>
                <w:lang w:val="en-US"/>
              </w:rPr>
              <w:t>Studie 770-102</w:t>
            </w:r>
          </w:p>
        </w:tc>
      </w:tr>
      <w:tr w:rsidR="006B3444" w:rsidRPr="006B3444" w14:paraId="61E352CD" w14:textId="77777777" w:rsidTr="00B32690">
        <w:trPr>
          <w:trHeight w:val="332"/>
        </w:trPr>
        <w:tc>
          <w:tcPr>
            <w:tcW w:w="1297" w:type="pct"/>
            <w:tcBorders>
              <w:top w:val="single" w:sz="4" w:space="0" w:color="000000"/>
              <w:left w:val="single" w:sz="4" w:space="0" w:color="000000"/>
              <w:bottom w:val="single" w:sz="4" w:space="0" w:color="000000"/>
              <w:right w:val="single" w:sz="4" w:space="0" w:color="000000"/>
            </w:tcBorders>
            <w:hideMark/>
          </w:tcPr>
          <w:p w14:paraId="2851B1A0" w14:textId="77777777" w:rsidR="006B3444" w:rsidRPr="006B3444" w:rsidRDefault="006B3444" w:rsidP="00B32690">
            <w:pPr>
              <w:ind w:left="133"/>
              <w:rPr>
                <w:b/>
                <w:sz w:val="24"/>
                <w:szCs w:val="24"/>
                <w:lang w:val="en-US"/>
              </w:rPr>
            </w:pPr>
            <w:r w:rsidRPr="006B3444">
              <w:rPr>
                <w:b/>
                <w:sz w:val="24"/>
                <w:szCs w:val="24"/>
                <w:lang w:val="en-US"/>
              </w:rPr>
              <w:t>Ivacaftor</w:t>
            </w:r>
          </w:p>
        </w:tc>
        <w:tc>
          <w:tcPr>
            <w:tcW w:w="1401" w:type="pct"/>
            <w:tcBorders>
              <w:top w:val="single" w:sz="4" w:space="0" w:color="000000"/>
              <w:left w:val="single" w:sz="4" w:space="0" w:color="000000"/>
              <w:bottom w:val="single" w:sz="4" w:space="0" w:color="000000"/>
              <w:right w:val="single" w:sz="4" w:space="0" w:color="000000"/>
            </w:tcBorders>
            <w:hideMark/>
          </w:tcPr>
          <w:p w14:paraId="61180145" w14:textId="77777777" w:rsidR="006B3444" w:rsidRPr="006B3444" w:rsidRDefault="006B3444" w:rsidP="00A249F1">
            <w:pPr>
              <w:ind w:left="133"/>
              <w:jc w:val="center"/>
              <w:rPr>
                <w:sz w:val="24"/>
                <w:szCs w:val="24"/>
                <w:lang w:val="en-US"/>
              </w:rPr>
            </w:pPr>
            <w:r w:rsidRPr="006B3444">
              <w:rPr>
                <w:sz w:val="24"/>
                <w:szCs w:val="24"/>
                <w:lang w:val="en-US"/>
              </w:rPr>
              <w:t>48*</w:t>
            </w:r>
          </w:p>
        </w:tc>
        <w:tc>
          <w:tcPr>
            <w:tcW w:w="733" w:type="pct"/>
            <w:tcBorders>
              <w:top w:val="single" w:sz="4" w:space="0" w:color="000000"/>
              <w:left w:val="single" w:sz="4" w:space="0" w:color="000000"/>
              <w:bottom w:val="single" w:sz="4" w:space="0" w:color="000000"/>
              <w:right w:val="single" w:sz="4" w:space="0" w:color="000000"/>
            </w:tcBorders>
            <w:hideMark/>
          </w:tcPr>
          <w:p w14:paraId="70F58C1B" w14:textId="77777777" w:rsidR="006B3444" w:rsidRPr="006B3444" w:rsidRDefault="006B3444" w:rsidP="00A249F1">
            <w:pPr>
              <w:ind w:left="133"/>
              <w:jc w:val="center"/>
              <w:rPr>
                <w:sz w:val="24"/>
                <w:szCs w:val="24"/>
                <w:lang w:val="en-US"/>
              </w:rPr>
            </w:pPr>
            <w:r w:rsidRPr="006B3444">
              <w:rPr>
                <w:sz w:val="24"/>
                <w:szCs w:val="24"/>
                <w:lang w:val="en-US"/>
              </w:rPr>
              <w:t>77</w:t>
            </w:r>
          </w:p>
        </w:tc>
        <w:tc>
          <w:tcPr>
            <w:tcW w:w="1569" w:type="pct"/>
            <w:tcBorders>
              <w:top w:val="single" w:sz="4" w:space="0" w:color="000000"/>
              <w:left w:val="single" w:sz="4" w:space="0" w:color="000000"/>
              <w:bottom w:val="single" w:sz="4" w:space="0" w:color="000000"/>
              <w:right w:val="single" w:sz="4" w:space="0" w:color="000000"/>
            </w:tcBorders>
            <w:hideMark/>
          </w:tcPr>
          <w:p w14:paraId="170CD20F" w14:textId="77777777" w:rsidR="006B3444" w:rsidRPr="006B3444" w:rsidRDefault="006B3444" w:rsidP="00A249F1">
            <w:pPr>
              <w:ind w:left="133"/>
              <w:jc w:val="center"/>
              <w:rPr>
                <w:sz w:val="24"/>
                <w:szCs w:val="24"/>
                <w:lang w:val="en-US"/>
              </w:rPr>
            </w:pPr>
            <w:r w:rsidRPr="006B3444">
              <w:rPr>
                <w:sz w:val="24"/>
                <w:szCs w:val="24"/>
                <w:lang w:val="en-US"/>
              </w:rPr>
              <w:t>9,4 (8,3)</w:t>
            </w:r>
          </w:p>
        </w:tc>
      </w:tr>
      <w:tr w:rsidR="006B3444" w:rsidRPr="006B3444" w14:paraId="0833B919" w14:textId="77777777" w:rsidTr="00B32690">
        <w:trPr>
          <w:trHeight w:val="333"/>
        </w:trPr>
        <w:tc>
          <w:tcPr>
            <w:tcW w:w="1297" w:type="pct"/>
            <w:tcBorders>
              <w:top w:val="single" w:sz="4" w:space="0" w:color="000000"/>
              <w:left w:val="single" w:sz="4" w:space="0" w:color="000000"/>
              <w:bottom w:val="single" w:sz="4" w:space="0" w:color="000000"/>
              <w:right w:val="single" w:sz="4" w:space="0" w:color="000000"/>
            </w:tcBorders>
          </w:tcPr>
          <w:p w14:paraId="68EC7C01" w14:textId="77777777" w:rsidR="006B3444" w:rsidRPr="006B3444" w:rsidRDefault="006B3444" w:rsidP="00B32690">
            <w:pPr>
              <w:ind w:left="133"/>
              <w:rPr>
                <w:sz w:val="24"/>
                <w:szCs w:val="24"/>
                <w:lang w:val="en-US"/>
              </w:rPr>
            </w:pPr>
          </w:p>
        </w:tc>
        <w:tc>
          <w:tcPr>
            <w:tcW w:w="1401" w:type="pct"/>
            <w:tcBorders>
              <w:top w:val="single" w:sz="4" w:space="0" w:color="000000"/>
              <w:left w:val="single" w:sz="4" w:space="0" w:color="000000"/>
              <w:bottom w:val="single" w:sz="4" w:space="0" w:color="000000"/>
              <w:right w:val="single" w:sz="4" w:space="0" w:color="000000"/>
            </w:tcBorders>
            <w:hideMark/>
          </w:tcPr>
          <w:p w14:paraId="535E2407" w14:textId="77777777" w:rsidR="006B3444" w:rsidRPr="006B3444" w:rsidRDefault="006B3444" w:rsidP="00A249F1">
            <w:pPr>
              <w:ind w:left="133"/>
              <w:jc w:val="center"/>
              <w:rPr>
                <w:sz w:val="24"/>
                <w:szCs w:val="24"/>
                <w:lang w:val="en-US"/>
              </w:rPr>
            </w:pPr>
            <w:r w:rsidRPr="006B3444">
              <w:rPr>
                <w:sz w:val="24"/>
                <w:szCs w:val="24"/>
                <w:lang w:val="en-US"/>
              </w:rPr>
              <w:t>144</w:t>
            </w:r>
          </w:p>
        </w:tc>
        <w:tc>
          <w:tcPr>
            <w:tcW w:w="733" w:type="pct"/>
            <w:tcBorders>
              <w:top w:val="single" w:sz="4" w:space="0" w:color="000000"/>
              <w:left w:val="single" w:sz="4" w:space="0" w:color="000000"/>
              <w:bottom w:val="single" w:sz="4" w:space="0" w:color="000000"/>
              <w:right w:val="single" w:sz="4" w:space="0" w:color="000000"/>
            </w:tcBorders>
            <w:hideMark/>
          </w:tcPr>
          <w:p w14:paraId="5D990F6F" w14:textId="77777777" w:rsidR="006B3444" w:rsidRPr="006B3444" w:rsidRDefault="006B3444" w:rsidP="00A249F1">
            <w:pPr>
              <w:ind w:left="133"/>
              <w:jc w:val="center"/>
              <w:rPr>
                <w:sz w:val="24"/>
                <w:szCs w:val="24"/>
                <w:lang w:val="en-US"/>
              </w:rPr>
            </w:pPr>
            <w:r w:rsidRPr="006B3444">
              <w:rPr>
                <w:sz w:val="24"/>
                <w:szCs w:val="24"/>
                <w:lang w:val="en-US"/>
              </w:rPr>
              <w:t>72</w:t>
            </w:r>
          </w:p>
        </w:tc>
        <w:tc>
          <w:tcPr>
            <w:tcW w:w="1569" w:type="pct"/>
            <w:tcBorders>
              <w:top w:val="single" w:sz="4" w:space="0" w:color="000000"/>
              <w:left w:val="single" w:sz="4" w:space="0" w:color="000000"/>
              <w:bottom w:val="single" w:sz="4" w:space="0" w:color="000000"/>
              <w:right w:val="single" w:sz="4" w:space="0" w:color="000000"/>
            </w:tcBorders>
            <w:hideMark/>
          </w:tcPr>
          <w:p w14:paraId="53F20EEF" w14:textId="77777777" w:rsidR="006B3444" w:rsidRPr="006B3444" w:rsidRDefault="006B3444" w:rsidP="00A249F1">
            <w:pPr>
              <w:ind w:left="133"/>
              <w:jc w:val="center"/>
              <w:rPr>
                <w:sz w:val="24"/>
                <w:szCs w:val="24"/>
                <w:lang w:val="en-US"/>
              </w:rPr>
            </w:pPr>
            <w:r w:rsidRPr="006B3444">
              <w:rPr>
                <w:sz w:val="24"/>
                <w:szCs w:val="24"/>
                <w:lang w:val="en-US"/>
              </w:rPr>
              <w:t>9,4 (10,8)</w:t>
            </w:r>
          </w:p>
        </w:tc>
      </w:tr>
      <w:tr w:rsidR="006B3444" w:rsidRPr="006B3444" w14:paraId="03F5C4D7" w14:textId="77777777" w:rsidTr="00B32690">
        <w:trPr>
          <w:trHeight w:val="333"/>
        </w:trPr>
        <w:tc>
          <w:tcPr>
            <w:tcW w:w="1297" w:type="pct"/>
            <w:tcBorders>
              <w:top w:val="single" w:sz="4" w:space="0" w:color="000000"/>
              <w:left w:val="single" w:sz="4" w:space="0" w:color="000000"/>
              <w:bottom w:val="single" w:sz="4" w:space="0" w:color="000000"/>
              <w:right w:val="single" w:sz="4" w:space="0" w:color="000000"/>
            </w:tcBorders>
            <w:hideMark/>
          </w:tcPr>
          <w:p w14:paraId="4350B87E" w14:textId="77777777" w:rsidR="006B3444" w:rsidRPr="006B3444" w:rsidRDefault="006B3444" w:rsidP="00B32690">
            <w:pPr>
              <w:ind w:left="133"/>
              <w:rPr>
                <w:b/>
                <w:sz w:val="24"/>
                <w:szCs w:val="24"/>
                <w:lang w:val="en-US"/>
              </w:rPr>
            </w:pPr>
            <w:r w:rsidRPr="006B3444">
              <w:rPr>
                <w:b/>
                <w:sz w:val="24"/>
                <w:szCs w:val="24"/>
                <w:lang w:val="en-US"/>
              </w:rPr>
              <w:t>Placebo</w:t>
            </w:r>
          </w:p>
        </w:tc>
        <w:tc>
          <w:tcPr>
            <w:tcW w:w="1401" w:type="pct"/>
            <w:tcBorders>
              <w:top w:val="single" w:sz="4" w:space="0" w:color="000000"/>
              <w:left w:val="single" w:sz="4" w:space="0" w:color="000000"/>
              <w:bottom w:val="single" w:sz="4" w:space="0" w:color="000000"/>
              <w:right w:val="single" w:sz="4" w:space="0" w:color="000000"/>
            </w:tcBorders>
            <w:hideMark/>
          </w:tcPr>
          <w:p w14:paraId="0AC28D66" w14:textId="77777777" w:rsidR="006B3444" w:rsidRPr="006B3444" w:rsidRDefault="006B3444" w:rsidP="00A249F1">
            <w:pPr>
              <w:ind w:left="133"/>
              <w:jc w:val="center"/>
              <w:rPr>
                <w:sz w:val="24"/>
                <w:szCs w:val="24"/>
                <w:lang w:val="en-US"/>
              </w:rPr>
            </w:pPr>
            <w:r w:rsidRPr="006B3444">
              <w:rPr>
                <w:sz w:val="24"/>
                <w:szCs w:val="24"/>
                <w:lang w:val="en-US"/>
              </w:rPr>
              <w:t>0*</w:t>
            </w:r>
          </w:p>
        </w:tc>
        <w:tc>
          <w:tcPr>
            <w:tcW w:w="733" w:type="pct"/>
            <w:tcBorders>
              <w:top w:val="single" w:sz="4" w:space="0" w:color="000000"/>
              <w:left w:val="single" w:sz="4" w:space="0" w:color="000000"/>
              <w:bottom w:val="single" w:sz="4" w:space="0" w:color="000000"/>
              <w:right w:val="single" w:sz="4" w:space="0" w:color="000000"/>
            </w:tcBorders>
            <w:hideMark/>
          </w:tcPr>
          <w:p w14:paraId="64B72A70" w14:textId="77777777" w:rsidR="006B3444" w:rsidRPr="006B3444" w:rsidRDefault="006B3444" w:rsidP="00A249F1">
            <w:pPr>
              <w:ind w:left="133"/>
              <w:jc w:val="center"/>
              <w:rPr>
                <w:sz w:val="24"/>
                <w:szCs w:val="24"/>
                <w:lang w:val="en-US"/>
              </w:rPr>
            </w:pPr>
            <w:r w:rsidRPr="006B3444">
              <w:rPr>
                <w:sz w:val="24"/>
                <w:szCs w:val="24"/>
                <w:lang w:val="en-US"/>
              </w:rPr>
              <w:t>67</w:t>
            </w:r>
          </w:p>
        </w:tc>
        <w:tc>
          <w:tcPr>
            <w:tcW w:w="1569" w:type="pct"/>
            <w:tcBorders>
              <w:top w:val="single" w:sz="4" w:space="0" w:color="000000"/>
              <w:left w:val="single" w:sz="4" w:space="0" w:color="000000"/>
              <w:bottom w:val="single" w:sz="4" w:space="0" w:color="000000"/>
              <w:right w:val="single" w:sz="4" w:space="0" w:color="000000"/>
            </w:tcBorders>
            <w:hideMark/>
          </w:tcPr>
          <w:p w14:paraId="61E40737" w14:textId="77777777" w:rsidR="006B3444" w:rsidRPr="006B3444" w:rsidRDefault="006B3444" w:rsidP="00A249F1">
            <w:pPr>
              <w:ind w:left="133"/>
              <w:jc w:val="center"/>
              <w:rPr>
                <w:sz w:val="24"/>
                <w:szCs w:val="24"/>
                <w:lang w:val="en-US"/>
              </w:rPr>
            </w:pPr>
            <w:r w:rsidRPr="006B3444">
              <w:rPr>
                <w:sz w:val="24"/>
                <w:szCs w:val="24"/>
                <w:lang w:val="en-US"/>
              </w:rPr>
              <w:t>-1,2 (7,</w:t>
            </w:r>
            <w:proofErr w:type="gramStart"/>
            <w:r w:rsidRPr="006B3444">
              <w:rPr>
                <w:sz w:val="24"/>
                <w:szCs w:val="24"/>
                <w:lang w:val="en-US"/>
              </w:rPr>
              <w:t>8)†</w:t>
            </w:r>
            <w:proofErr w:type="gramEnd"/>
          </w:p>
        </w:tc>
      </w:tr>
      <w:tr w:rsidR="006B3444" w:rsidRPr="006B3444" w14:paraId="4D7250AF" w14:textId="77777777" w:rsidTr="00B32690">
        <w:trPr>
          <w:trHeight w:val="333"/>
        </w:trPr>
        <w:tc>
          <w:tcPr>
            <w:tcW w:w="1297" w:type="pct"/>
            <w:tcBorders>
              <w:top w:val="single" w:sz="4" w:space="0" w:color="000000"/>
              <w:left w:val="single" w:sz="4" w:space="0" w:color="000000"/>
              <w:bottom w:val="single" w:sz="4" w:space="0" w:color="000000"/>
              <w:right w:val="single" w:sz="4" w:space="0" w:color="000000"/>
            </w:tcBorders>
          </w:tcPr>
          <w:p w14:paraId="068D2940" w14:textId="77777777" w:rsidR="006B3444" w:rsidRPr="006B3444" w:rsidRDefault="006B3444" w:rsidP="00B32690">
            <w:pPr>
              <w:ind w:left="133"/>
              <w:rPr>
                <w:sz w:val="24"/>
                <w:szCs w:val="24"/>
                <w:lang w:val="en-US"/>
              </w:rPr>
            </w:pPr>
          </w:p>
        </w:tc>
        <w:tc>
          <w:tcPr>
            <w:tcW w:w="1401" w:type="pct"/>
            <w:tcBorders>
              <w:top w:val="single" w:sz="4" w:space="0" w:color="000000"/>
              <w:left w:val="single" w:sz="4" w:space="0" w:color="000000"/>
              <w:bottom w:val="single" w:sz="4" w:space="0" w:color="000000"/>
              <w:right w:val="single" w:sz="4" w:space="0" w:color="000000"/>
            </w:tcBorders>
            <w:hideMark/>
          </w:tcPr>
          <w:p w14:paraId="7074381D" w14:textId="77777777" w:rsidR="006B3444" w:rsidRPr="006B3444" w:rsidRDefault="006B3444" w:rsidP="00A249F1">
            <w:pPr>
              <w:ind w:left="133"/>
              <w:jc w:val="center"/>
              <w:rPr>
                <w:sz w:val="24"/>
                <w:szCs w:val="24"/>
                <w:lang w:val="en-US"/>
              </w:rPr>
            </w:pPr>
            <w:r w:rsidRPr="006B3444">
              <w:rPr>
                <w:sz w:val="24"/>
                <w:szCs w:val="24"/>
                <w:lang w:val="en-US"/>
              </w:rPr>
              <w:t>96</w:t>
            </w:r>
          </w:p>
        </w:tc>
        <w:tc>
          <w:tcPr>
            <w:tcW w:w="733" w:type="pct"/>
            <w:tcBorders>
              <w:top w:val="single" w:sz="4" w:space="0" w:color="000000"/>
              <w:left w:val="single" w:sz="4" w:space="0" w:color="000000"/>
              <w:bottom w:val="single" w:sz="4" w:space="0" w:color="000000"/>
              <w:right w:val="single" w:sz="4" w:space="0" w:color="000000"/>
            </w:tcBorders>
            <w:hideMark/>
          </w:tcPr>
          <w:p w14:paraId="3599B5C2" w14:textId="77777777" w:rsidR="006B3444" w:rsidRPr="006B3444" w:rsidRDefault="006B3444" w:rsidP="00A249F1">
            <w:pPr>
              <w:ind w:left="133"/>
              <w:jc w:val="center"/>
              <w:rPr>
                <w:sz w:val="24"/>
                <w:szCs w:val="24"/>
                <w:lang w:val="en-US"/>
              </w:rPr>
            </w:pPr>
            <w:r w:rsidRPr="006B3444">
              <w:rPr>
                <w:sz w:val="24"/>
                <w:szCs w:val="24"/>
                <w:lang w:val="en-US"/>
              </w:rPr>
              <w:t>55</w:t>
            </w:r>
          </w:p>
        </w:tc>
        <w:tc>
          <w:tcPr>
            <w:tcW w:w="1569" w:type="pct"/>
            <w:tcBorders>
              <w:top w:val="single" w:sz="4" w:space="0" w:color="000000"/>
              <w:left w:val="single" w:sz="4" w:space="0" w:color="000000"/>
              <w:bottom w:val="single" w:sz="4" w:space="0" w:color="000000"/>
              <w:right w:val="single" w:sz="4" w:space="0" w:color="000000"/>
            </w:tcBorders>
            <w:hideMark/>
          </w:tcPr>
          <w:p w14:paraId="64DEABD1" w14:textId="77777777" w:rsidR="006B3444" w:rsidRPr="006B3444" w:rsidRDefault="006B3444" w:rsidP="00A249F1">
            <w:pPr>
              <w:ind w:left="133"/>
              <w:jc w:val="center"/>
              <w:rPr>
                <w:sz w:val="24"/>
                <w:szCs w:val="24"/>
                <w:lang w:val="en-US"/>
              </w:rPr>
            </w:pPr>
            <w:r w:rsidRPr="006B3444">
              <w:rPr>
                <w:sz w:val="24"/>
                <w:szCs w:val="24"/>
                <w:lang w:val="en-US"/>
              </w:rPr>
              <w:t>9,5 (11,2)</w:t>
            </w:r>
          </w:p>
        </w:tc>
      </w:tr>
      <w:tr w:rsidR="006B3444" w:rsidRPr="006B3444" w14:paraId="29BAA221" w14:textId="77777777" w:rsidTr="00B32690">
        <w:trPr>
          <w:trHeight w:val="333"/>
        </w:trPr>
        <w:tc>
          <w:tcPr>
            <w:tcW w:w="5000" w:type="pct"/>
            <w:gridSpan w:val="4"/>
            <w:tcBorders>
              <w:top w:val="single" w:sz="4" w:space="0" w:color="000000"/>
              <w:left w:val="single" w:sz="4" w:space="0" w:color="000000"/>
              <w:bottom w:val="single" w:sz="4" w:space="0" w:color="000000"/>
              <w:right w:val="single" w:sz="4" w:space="0" w:color="000000"/>
            </w:tcBorders>
            <w:hideMark/>
          </w:tcPr>
          <w:p w14:paraId="358E28A9" w14:textId="77777777" w:rsidR="006B3444" w:rsidRPr="006B3444" w:rsidRDefault="006B3444" w:rsidP="00B32690">
            <w:pPr>
              <w:ind w:left="133"/>
              <w:rPr>
                <w:b/>
                <w:sz w:val="24"/>
                <w:szCs w:val="24"/>
                <w:lang w:val="en-US"/>
              </w:rPr>
            </w:pPr>
            <w:r w:rsidRPr="006B3444">
              <w:rPr>
                <w:b/>
                <w:sz w:val="24"/>
                <w:szCs w:val="24"/>
                <w:lang w:val="en-US"/>
              </w:rPr>
              <w:t>Studie 770-103</w:t>
            </w:r>
          </w:p>
        </w:tc>
      </w:tr>
      <w:tr w:rsidR="006B3444" w:rsidRPr="006B3444" w14:paraId="45C8DC23" w14:textId="77777777" w:rsidTr="00B32690">
        <w:trPr>
          <w:trHeight w:val="331"/>
        </w:trPr>
        <w:tc>
          <w:tcPr>
            <w:tcW w:w="1297" w:type="pct"/>
            <w:tcBorders>
              <w:top w:val="single" w:sz="4" w:space="0" w:color="000000"/>
              <w:left w:val="single" w:sz="4" w:space="0" w:color="000000"/>
              <w:bottom w:val="single" w:sz="4" w:space="0" w:color="000000"/>
              <w:right w:val="single" w:sz="4" w:space="0" w:color="000000"/>
            </w:tcBorders>
            <w:hideMark/>
          </w:tcPr>
          <w:p w14:paraId="77EA9172" w14:textId="77777777" w:rsidR="006B3444" w:rsidRPr="006B3444" w:rsidRDefault="006B3444" w:rsidP="00B32690">
            <w:pPr>
              <w:ind w:left="133"/>
              <w:rPr>
                <w:b/>
                <w:sz w:val="24"/>
                <w:szCs w:val="24"/>
                <w:lang w:val="en-US"/>
              </w:rPr>
            </w:pPr>
            <w:r w:rsidRPr="006B3444">
              <w:rPr>
                <w:b/>
                <w:sz w:val="24"/>
                <w:szCs w:val="24"/>
                <w:lang w:val="en-US"/>
              </w:rPr>
              <w:t>Ivacaftor</w:t>
            </w:r>
          </w:p>
        </w:tc>
        <w:tc>
          <w:tcPr>
            <w:tcW w:w="1401" w:type="pct"/>
            <w:tcBorders>
              <w:top w:val="single" w:sz="4" w:space="0" w:color="000000"/>
              <w:left w:val="single" w:sz="4" w:space="0" w:color="000000"/>
              <w:bottom w:val="single" w:sz="4" w:space="0" w:color="000000"/>
              <w:right w:val="single" w:sz="4" w:space="0" w:color="000000"/>
            </w:tcBorders>
            <w:hideMark/>
          </w:tcPr>
          <w:p w14:paraId="7CDAAADC" w14:textId="77777777" w:rsidR="006B3444" w:rsidRPr="006B3444" w:rsidRDefault="006B3444" w:rsidP="00A249F1">
            <w:pPr>
              <w:ind w:left="133"/>
              <w:jc w:val="center"/>
              <w:rPr>
                <w:sz w:val="24"/>
                <w:szCs w:val="24"/>
                <w:lang w:val="en-US"/>
              </w:rPr>
            </w:pPr>
            <w:r w:rsidRPr="006B3444">
              <w:rPr>
                <w:sz w:val="24"/>
                <w:szCs w:val="24"/>
                <w:lang w:val="en-US"/>
              </w:rPr>
              <w:t>48*</w:t>
            </w:r>
          </w:p>
        </w:tc>
        <w:tc>
          <w:tcPr>
            <w:tcW w:w="733" w:type="pct"/>
            <w:tcBorders>
              <w:top w:val="single" w:sz="4" w:space="0" w:color="000000"/>
              <w:left w:val="single" w:sz="4" w:space="0" w:color="000000"/>
              <w:bottom w:val="single" w:sz="4" w:space="0" w:color="000000"/>
              <w:right w:val="single" w:sz="4" w:space="0" w:color="000000"/>
            </w:tcBorders>
            <w:hideMark/>
          </w:tcPr>
          <w:p w14:paraId="6BD9C237" w14:textId="77777777" w:rsidR="006B3444" w:rsidRPr="006B3444" w:rsidRDefault="006B3444" w:rsidP="00A249F1">
            <w:pPr>
              <w:ind w:left="133"/>
              <w:jc w:val="center"/>
              <w:rPr>
                <w:sz w:val="24"/>
                <w:szCs w:val="24"/>
                <w:lang w:val="en-US"/>
              </w:rPr>
            </w:pPr>
            <w:r w:rsidRPr="006B3444">
              <w:rPr>
                <w:sz w:val="24"/>
                <w:szCs w:val="24"/>
                <w:lang w:val="en-US"/>
              </w:rPr>
              <w:t>26</w:t>
            </w:r>
          </w:p>
        </w:tc>
        <w:tc>
          <w:tcPr>
            <w:tcW w:w="1569" w:type="pct"/>
            <w:tcBorders>
              <w:top w:val="single" w:sz="4" w:space="0" w:color="000000"/>
              <w:left w:val="single" w:sz="4" w:space="0" w:color="000000"/>
              <w:bottom w:val="single" w:sz="4" w:space="0" w:color="000000"/>
              <w:right w:val="single" w:sz="4" w:space="0" w:color="000000"/>
            </w:tcBorders>
            <w:hideMark/>
          </w:tcPr>
          <w:p w14:paraId="1BFCA168" w14:textId="77777777" w:rsidR="006B3444" w:rsidRPr="006B3444" w:rsidRDefault="006B3444" w:rsidP="00A249F1">
            <w:pPr>
              <w:ind w:left="133"/>
              <w:jc w:val="center"/>
              <w:rPr>
                <w:sz w:val="24"/>
                <w:szCs w:val="24"/>
                <w:lang w:val="en-US"/>
              </w:rPr>
            </w:pPr>
            <w:r w:rsidRPr="006B3444">
              <w:rPr>
                <w:sz w:val="24"/>
                <w:szCs w:val="24"/>
                <w:lang w:val="en-US"/>
              </w:rPr>
              <w:t>10,2 (15,7)</w:t>
            </w:r>
          </w:p>
        </w:tc>
      </w:tr>
      <w:tr w:rsidR="006B3444" w:rsidRPr="006B3444" w14:paraId="015448CB" w14:textId="77777777" w:rsidTr="00B32690">
        <w:trPr>
          <w:trHeight w:val="333"/>
        </w:trPr>
        <w:tc>
          <w:tcPr>
            <w:tcW w:w="1297" w:type="pct"/>
            <w:tcBorders>
              <w:top w:val="single" w:sz="4" w:space="0" w:color="000000"/>
              <w:left w:val="single" w:sz="4" w:space="0" w:color="000000"/>
              <w:bottom w:val="single" w:sz="4" w:space="0" w:color="000000"/>
              <w:right w:val="single" w:sz="4" w:space="0" w:color="000000"/>
            </w:tcBorders>
          </w:tcPr>
          <w:p w14:paraId="45B1FDE3" w14:textId="77777777" w:rsidR="006B3444" w:rsidRPr="006B3444" w:rsidRDefault="006B3444" w:rsidP="00B32690">
            <w:pPr>
              <w:ind w:left="133"/>
              <w:rPr>
                <w:sz w:val="24"/>
                <w:szCs w:val="24"/>
                <w:lang w:val="en-US"/>
              </w:rPr>
            </w:pPr>
          </w:p>
        </w:tc>
        <w:tc>
          <w:tcPr>
            <w:tcW w:w="1401" w:type="pct"/>
            <w:tcBorders>
              <w:top w:val="single" w:sz="4" w:space="0" w:color="000000"/>
              <w:left w:val="single" w:sz="4" w:space="0" w:color="000000"/>
              <w:bottom w:val="single" w:sz="4" w:space="0" w:color="000000"/>
              <w:right w:val="single" w:sz="4" w:space="0" w:color="000000"/>
            </w:tcBorders>
            <w:hideMark/>
          </w:tcPr>
          <w:p w14:paraId="5865B8C4" w14:textId="77777777" w:rsidR="006B3444" w:rsidRPr="006B3444" w:rsidRDefault="006B3444" w:rsidP="00A249F1">
            <w:pPr>
              <w:ind w:left="133"/>
              <w:jc w:val="center"/>
              <w:rPr>
                <w:sz w:val="24"/>
                <w:szCs w:val="24"/>
                <w:lang w:val="en-US"/>
              </w:rPr>
            </w:pPr>
            <w:r w:rsidRPr="006B3444">
              <w:rPr>
                <w:sz w:val="24"/>
                <w:szCs w:val="24"/>
                <w:lang w:val="en-US"/>
              </w:rPr>
              <w:t>144</w:t>
            </w:r>
          </w:p>
        </w:tc>
        <w:tc>
          <w:tcPr>
            <w:tcW w:w="733" w:type="pct"/>
            <w:tcBorders>
              <w:top w:val="single" w:sz="4" w:space="0" w:color="000000"/>
              <w:left w:val="single" w:sz="4" w:space="0" w:color="000000"/>
              <w:bottom w:val="single" w:sz="4" w:space="0" w:color="000000"/>
              <w:right w:val="single" w:sz="4" w:space="0" w:color="000000"/>
            </w:tcBorders>
            <w:hideMark/>
          </w:tcPr>
          <w:p w14:paraId="516E2619" w14:textId="77777777" w:rsidR="006B3444" w:rsidRPr="006B3444" w:rsidRDefault="006B3444" w:rsidP="00A249F1">
            <w:pPr>
              <w:ind w:left="133"/>
              <w:jc w:val="center"/>
              <w:rPr>
                <w:sz w:val="24"/>
                <w:szCs w:val="24"/>
                <w:lang w:val="en-US"/>
              </w:rPr>
            </w:pPr>
            <w:r w:rsidRPr="006B3444">
              <w:rPr>
                <w:sz w:val="24"/>
                <w:szCs w:val="24"/>
                <w:lang w:val="en-US"/>
              </w:rPr>
              <w:t>25</w:t>
            </w:r>
          </w:p>
        </w:tc>
        <w:tc>
          <w:tcPr>
            <w:tcW w:w="1569" w:type="pct"/>
            <w:tcBorders>
              <w:top w:val="single" w:sz="4" w:space="0" w:color="000000"/>
              <w:left w:val="single" w:sz="4" w:space="0" w:color="000000"/>
              <w:bottom w:val="single" w:sz="4" w:space="0" w:color="000000"/>
              <w:right w:val="single" w:sz="4" w:space="0" w:color="000000"/>
            </w:tcBorders>
            <w:hideMark/>
          </w:tcPr>
          <w:p w14:paraId="09B86055" w14:textId="77777777" w:rsidR="006B3444" w:rsidRPr="006B3444" w:rsidRDefault="006B3444" w:rsidP="00A249F1">
            <w:pPr>
              <w:ind w:left="133"/>
              <w:jc w:val="center"/>
              <w:rPr>
                <w:sz w:val="24"/>
                <w:szCs w:val="24"/>
                <w:lang w:val="en-US"/>
              </w:rPr>
            </w:pPr>
            <w:r w:rsidRPr="006B3444">
              <w:rPr>
                <w:sz w:val="24"/>
                <w:szCs w:val="24"/>
                <w:lang w:val="en-US"/>
              </w:rPr>
              <w:t>10,3 (12,4)</w:t>
            </w:r>
          </w:p>
        </w:tc>
      </w:tr>
      <w:tr w:rsidR="006B3444" w:rsidRPr="006B3444" w14:paraId="4B28B600" w14:textId="77777777" w:rsidTr="00B32690">
        <w:trPr>
          <w:trHeight w:val="333"/>
        </w:trPr>
        <w:tc>
          <w:tcPr>
            <w:tcW w:w="1297" w:type="pct"/>
            <w:tcBorders>
              <w:top w:val="single" w:sz="4" w:space="0" w:color="000000"/>
              <w:left w:val="single" w:sz="4" w:space="0" w:color="000000"/>
              <w:bottom w:val="single" w:sz="4" w:space="0" w:color="000000"/>
              <w:right w:val="single" w:sz="4" w:space="0" w:color="000000"/>
            </w:tcBorders>
            <w:hideMark/>
          </w:tcPr>
          <w:p w14:paraId="197931CC" w14:textId="77777777" w:rsidR="006B3444" w:rsidRPr="006B3444" w:rsidRDefault="006B3444" w:rsidP="00B32690">
            <w:pPr>
              <w:ind w:left="133"/>
              <w:rPr>
                <w:b/>
                <w:sz w:val="24"/>
                <w:szCs w:val="24"/>
                <w:lang w:val="en-US"/>
              </w:rPr>
            </w:pPr>
            <w:r w:rsidRPr="006B3444">
              <w:rPr>
                <w:b/>
                <w:sz w:val="24"/>
                <w:szCs w:val="24"/>
                <w:lang w:val="en-US"/>
              </w:rPr>
              <w:t>Placebo</w:t>
            </w:r>
          </w:p>
        </w:tc>
        <w:tc>
          <w:tcPr>
            <w:tcW w:w="1401" w:type="pct"/>
            <w:tcBorders>
              <w:top w:val="single" w:sz="4" w:space="0" w:color="000000"/>
              <w:left w:val="single" w:sz="4" w:space="0" w:color="000000"/>
              <w:bottom w:val="single" w:sz="4" w:space="0" w:color="000000"/>
              <w:right w:val="single" w:sz="4" w:space="0" w:color="000000"/>
            </w:tcBorders>
            <w:hideMark/>
          </w:tcPr>
          <w:p w14:paraId="59780C5E" w14:textId="77777777" w:rsidR="006B3444" w:rsidRPr="006B3444" w:rsidRDefault="006B3444" w:rsidP="00A249F1">
            <w:pPr>
              <w:ind w:left="133"/>
              <w:jc w:val="center"/>
              <w:rPr>
                <w:sz w:val="24"/>
                <w:szCs w:val="24"/>
                <w:lang w:val="en-US"/>
              </w:rPr>
            </w:pPr>
            <w:r w:rsidRPr="006B3444">
              <w:rPr>
                <w:sz w:val="24"/>
                <w:szCs w:val="24"/>
                <w:lang w:val="en-US"/>
              </w:rPr>
              <w:t>0*</w:t>
            </w:r>
          </w:p>
        </w:tc>
        <w:tc>
          <w:tcPr>
            <w:tcW w:w="733" w:type="pct"/>
            <w:tcBorders>
              <w:top w:val="single" w:sz="4" w:space="0" w:color="000000"/>
              <w:left w:val="single" w:sz="4" w:space="0" w:color="000000"/>
              <w:bottom w:val="single" w:sz="4" w:space="0" w:color="000000"/>
              <w:right w:val="single" w:sz="4" w:space="0" w:color="000000"/>
            </w:tcBorders>
            <w:hideMark/>
          </w:tcPr>
          <w:p w14:paraId="6D7F4C66" w14:textId="77777777" w:rsidR="006B3444" w:rsidRPr="006B3444" w:rsidRDefault="006B3444" w:rsidP="00A249F1">
            <w:pPr>
              <w:ind w:left="133"/>
              <w:jc w:val="center"/>
              <w:rPr>
                <w:sz w:val="24"/>
                <w:szCs w:val="24"/>
                <w:lang w:val="en-US"/>
              </w:rPr>
            </w:pPr>
            <w:r w:rsidRPr="006B3444">
              <w:rPr>
                <w:sz w:val="24"/>
                <w:szCs w:val="24"/>
                <w:lang w:val="en-US"/>
              </w:rPr>
              <w:t>22</w:t>
            </w:r>
          </w:p>
        </w:tc>
        <w:tc>
          <w:tcPr>
            <w:tcW w:w="1569" w:type="pct"/>
            <w:tcBorders>
              <w:top w:val="single" w:sz="4" w:space="0" w:color="000000"/>
              <w:left w:val="single" w:sz="4" w:space="0" w:color="000000"/>
              <w:bottom w:val="single" w:sz="4" w:space="0" w:color="000000"/>
              <w:right w:val="single" w:sz="4" w:space="0" w:color="000000"/>
            </w:tcBorders>
            <w:hideMark/>
          </w:tcPr>
          <w:p w14:paraId="47A2C9E8" w14:textId="77777777" w:rsidR="006B3444" w:rsidRPr="006B3444" w:rsidRDefault="006B3444" w:rsidP="00A249F1">
            <w:pPr>
              <w:ind w:left="133"/>
              <w:jc w:val="center"/>
              <w:rPr>
                <w:sz w:val="24"/>
                <w:szCs w:val="24"/>
                <w:lang w:val="en-US"/>
              </w:rPr>
            </w:pPr>
            <w:r w:rsidRPr="006B3444">
              <w:rPr>
                <w:sz w:val="24"/>
                <w:szCs w:val="24"/>
                <w:lang w:val="en-US"/>
              </w:rPr>
              <w:t>-0,6 (10,</w:t>
            </w:r>
            <w:proofErr w:type="gramStart"/>
            <w:r w:rsidRPr="006B3444">
              <w:rPr>
                <w:sz w:val="24"/>
                <w:szCs w:val="24"/>
                <w:lang w:val="en-US"/>
              </w:rPr>
              <w:t>1)†</w:t>
            </w:r>
            <w:proofErr w:type="gramEnd"/>
          </w:p>
        </w:tc>
      </w:tr>
      <w:tr w:rsidR="006B3444" w:rsidRPr="006B3444" w14:paraId="3AC80305" w14:textId="77777777" w:rsidTr="00B32690">
        <w:trPr>
          <w:trHeight w:val="333"/>
        </w:trPr>
        <w:tc>
          <w:tcPr>
            <w:tcW w:w="1297" w:type="pct"/>
            <w:tcBorders>
              <w:top w:val="single" w:sz="4" w:space="0" w:color="000000"/>
              <w:left w:val="single" w:sz="4" w:space="0" w:color="000000"/>
              <w:bottom w:val="single" w:sz="4" w:space="0" w:color="000000"/>
              <w:right w:val="single" w:sz="4" w:space="0" w:color="000000"/>
            </w:tcBorders>
          </w:tcPr>
          <w:p w14:paraId="73DB0D57" w14:textId="77777777" w:rsidR="006B3444" w:rsidRPr="006B3444" w:rsidRDefault="006B3444" w:rsidP="00B32690">
            <w:pPr>
              <w:ind w:left="133"/>
              <w:rPr>
                <w:sz w:val="24"/>
                <w:szCs w:val="24"/>
                <w:lang w:val="en-US"/>
              </w:rPr>
            </w:pPr>
          </w:p>
        </w:tc>
        <w:tc>
          <w:tcPr>
            <w:tcW w:w="1401" w:type="pct"/>
            <w:tcBorders>
              <w:top w:val="single" w:sz="4" w:space="0" w:color="000000"/>
              <w:left w:val="single" w:sz="4" w:space="0" w:color="000000"/>
              <w:bottom w:val="single" w:sz="4" w:space="0" w:color="000000"/>
              <w:right w:val="single" w:sz="4" w:space="0" w:color="000000"/>
            </w:tcBorders>
            <w:hideMark/>
          </w:tcPr>
          <w:p w14:paraId="359BBFA9" w14:textId="77777777" w:rsidR="006B3444" w:rsidRPr="006B3444" w:rsidRDefault="006B3444" w:rsidP="00A249F1">
            <w:pPr>
              <w:ind w:left="133"/>
              <w:jc w:val="center"/>
              <w:rPr>
                <w:sz w:val="24"/>
                <w:szCs w:val="24"/>
                <w:lang w:val="en-US"/>
              </w:rPr>
            </w:pPr>
            <w:r w:rsidRPr="006B3444">
              <w:rPr>
                <w:sz w:val="24"/>
                <w:szCs w:val="24"/>
                <w:lang w:val="en-US"/>
              </w:rPr>
              <w:t>96</w:t>
            </w:r>
          </w:p>
        </w:tc>
        <w:tc>
          <w:tcPr>
            <w:tcW w:w="733" w:type="pct"/>
            <w:tcBorders>
              <w:top w:val="single" w:sz="4" w:space="0" w:color="000000"/>
              <w:left w:val="single" w:sz="4" w:space="0" w:color="000000"/>
              <w:bottom w:val="single" w:sz="4" w:space="0" w:color="000000"/>
              <w:right w:val="single" w:sz="4" w:space="0" w:color="000000"/>
            </w:tcBorders>
            <w:hideMark/>
          </w:tcPr>
          <w:p w14:paraId="33149661" w14:textId="77777777" w:rsidR="006B3444" w:rsidRPr="006B3444" w:rsidRDefault="006B3444" w:rsidP="00A249F1">
            <w:pPr>
              <w:ind w:left="133"/>
              <w:jc w:val="center"/>
              <w:rPr>
                <w:sz w:val="24"/>
                <w:szCs w:val="24"/>
                <w:lang w:val="en-US"/>
              </w:rPr>
            </w:pPr>
            <w:r w:rsidRPr="006B3444">
              <w:rPr>
                <w:sz w:val="24"/>
                <w:szCs w:val="24"/>
                <w:lang w:val="en-US"/>
              </w:rPr>
              <w:t>21</w:t>
            </w:r>
          </w:p>
        </w:tc>
        <w:tc>
          <w:tcPr>
            <w:tcW w:w="1569" w:type="pct"/>
            <w:tcBorders>
              <w:top w:val="single" w:sz="4" w:space="0" w:color="000000"/>
              <w:left w:val="single" w:sz="4" w:space="0" w:color="000000"/>
              <w:bottom w:val="single" w:sz="4" w:space="0" w:color="000000"/>
              <w:right w:val="single" w:sz="4" w:space="0" w:color="000000"/>
            </w:tcBorders>
            <w:hideMark/>
          </w:tcPr>
          <w:p w14:paraId="37D9D4DD" w14:textId="77777777" w:rsidR="006B3444" w:rsidRPr="006B3444" w:rsidRDefault="006B3444" w:rsidP="00A249F1">
            <w:pPr>
              <w:ind w:left="133"/>
              <w:jc w:val="center"/>
              <w:rPr>
                <w:sz w:val="24"/>
                <w:szCs w:val="24"/>
                <w:lang w:val="en-US"/>
              </w:rPr>
            </w:pPr>
            <w:r w:rsidRPr="006B3444">
              <w:rPr>
                <w:sz w:val="24"/>
                <w:szCs w:val="24"/>
                <w:lang w:val="en-US"/>
              </w:rPr>
              <w:t>10,5 (11,5)</w:t>
            </w:r>
          </w:p>
        </w:tc>
      </w:tr>
    </w:tbl>
    <w:p w14:paraId="26289D67" w14:textId="77777777" w:rsidR="006B3444" w:rsidRPr="006B3444" w:rsidRDefault="006B3444" w:rsidP="00B32690">
      <w:pPr>
        <w:numPr>
          <w:ilvl w:val="0"/>
          <w:numId w:val="7"/>
        </w:numPr>
        <w:ind w:left="284" w:hanging="284"/>
        <w:rPr>
          <w:sz w:val="24"/>
          <w:szCs w:val="24"/>
        </w:rPr>
      </w:pPr>
      <w:r w:rsidRPr="006B3444">
        <w:rPr>
          <w:sz w:val="24"/>
          <w:szCs w:val="24"/>
        </w:rPr>
        <w:t>Behandlingen fandt sted i løbet af et blindet, kontrolleret 48-ugers fase 3-studie.</w:t>
      </w:r>
    </w:p>
    <w:p w14:paraId="7F2B2FF0" w14:textId="77777777" w:rsidR="006B3444" w:rsidRPr="006B3444" w:rsidRDefault="006B3444" w:rsidP="00B32690">
      <w:pPr>
        <w:ind w:left="284" w:hanging="284"/>
        <w:rPr>
          <w:sz w:val="24"/>
          <w:szCs w:val="24"/>
        </w:rPr>
      </w:pPr>
      <w:r w:rsidRPr="006B3444">
        <w:rPr>
          <w:sz w:val="24"/>
          <w:szCs w:val="24"/>
        </w:rPr>
        <w:t xml:space="preserve">† </w:t>
      </w:r>
      <w:r w:rsidRPr="006B3444">
        <w:rPr>
          <w:sz w:val="24"/>
          <w:szCs w:val="24"/>
        </w:rPr>
        <w:tab/>
        <w:t xml:space="preserve">Ændring fra </w:t>
      </w:r>
      <w:r w:rsidRPr="006B3444">
        <w:rPr>
          <w:i/>
          <w:sz w:val="24"/>
          <w:szCs w:val="24"/>
        </w:rPr>
        <w:t xml:space="preserve">baseline </w:t>
      </w:r>
      <w:r w:rsidRPr="006B3444">
        <w:rPr>
          <w:sz w:val="24"/>
          <w:szCs w:val="24"/>
        </w:rPr>
        <w:t>i tidligere studie efter 48 ugers placebobehandling.</w:t>
      </w:r>
    </w:p>
    <w:p w14:paraId="36DAFAE1" w14:textId="77777777" w:rsidR="006B3444" w:rsidRPr="006B3444" w:rsidRDefault="006B3444" w:rsidP="006B3444">
      <w:pPr>
        <w:tabs>
          <w:tab w:val="left" w:pos="851"/>
        </w:tabs>
        <w:ind w:left="851"/>
        <w:rPr>
          <w:sz w:val="24"/>
          <w:szCs w:val="24"/>
        </w:rPr>
      </w:pPr>
    </w:p>
    <w:p w14:paraId="09D76AC6" w14:textId="280D2C3B" w:rsidR="006B3444" w:rsidRPr="006B3444" w:rsidRDefault="006B3444" w:rsidP="00094965">
      <w:pPr>
        <w:ind w:left="851"/>
        <w:rPr>
          <w:sz w:val="24"/>
          <w:szCs w:val="24"/>
        </w:rPr>
      </w:pPr>
      <w:r w:rsidRPr="006B3444">
        <w:rPr>
          <w:sz w:val="24"/>
          <w:szCs w:val="24"/>
        </w:rPr>
        <w:t>Når den gennemsnitlige (SD) absolutte ændring i procent af forventet FEV</w:t>
      </w:r>
      <w:r w:rsidRPr="006B3444">
        <w:rPr>
          <w:sz w:val="24"/>
          <w:szCs w:val="24"/>
          <w:vertAlign w:val="subscript"/>
        </w:rPr>
        <w:t>1</w:t>
      </w:r>
      <w:r w:rsidRPr="006B3444">
        <w:rPr>
          <w:sz w:val="24"/>
          <w:szCs w:val="24"/>
        </w:rPr>
        <w:t xml:space="preserve"> fra </w:t>
      </w:r>
      <w:r w:rsidRPr="006B3444">
        <w:rPr>
          <w:i/>
          <w:sz w:val="24"/>
          <w:szCs w:val="24"/>
        </w:rPr>
        <w:t xml:space="preserve">baseline </w:t>
      </w:r>
      <w:r w:rsidRPr="006B3444">
        <w:rPr>
          <w:sz w:val="24"/>
          <w:szCs w:val="24"/>
        </w:rPr>
        <w:t>i studie 770</w:t>
      </w:r>
      <w:r w:rsidR="00A249F1">
        <w:rPr>
          <w:sz w:val="24"/>
          <w:szCs w:val="24"/>
        </w:rPr>
        <w:t>-</w:t>
      </w:r>
      <w:r w:rsidRPr="006B3444">
        <w:rPr>
          <w:sz w:val="24"/>
          <w:szCs w:val="24"/>
        </w:rPr>
        <w:t>105 sammenlignes for patienter i ivacaftor/ivacaftor-gruppen (n=72), som blev overført fra studie 770</w:t>
      </w:r>
      <w:r w:rsidR="00A249F1">
        <w:rPr>
          <w:sz w:val="24"/>
          <w:szCs w:val="24"/>
        </w:rPr>
        <w:t>-</w:t>
      </w:r>
      <w:r w:rsidRPr="006B3444">
        <w:rPr>
          <w:sz w:val="24"/>
          <w:szCs w:val="24"/>
        </w:rPr>
        <w:t>102, var den gennemsnitlige (SD) absolutte ændring i procent af forventet FEV</w:t>
      </w:r>
      <w:r w:rsidRPr="006B3444">
        <w:rPr>
          <w:sz w:val="24"/>
          <w:szCs w:val="24"/>
          <w:vertAlign w:val="subscript"/>
        </w:rPr>
        <w:t>1</w:t>
      </w:r>
      <w:r w:rsidRPr="006B3444">
        <w:rPr>
          <w:sz w:val="24"/>
          <w:szCs w:val="24"/>
        </w:rPr>
        <w:t xml:space="preserve"> 0,0 % (9,05), mens den var 0,6 % (9,1) for patienter i ivacaftor/ivacaftor-gruppen (n=25), som blev overført fra studie 770-103. Dette viser, at patienter i ivacaftor/ivacaftor-gruppen opretholdt den forbedring, der blev observeret ved uge 48 i det indledende studie (dag 0 til og med uge 48) i procent af forventet FEV</w:t>
      </w:r>
      <w:r w:rsidRPr="006B3444">
        <w:rPr>
          <w:sz w:val="24"/>
          <w:szCs w:val="24"/>
          <w:vertAlign w:val="subscript"/>
        </w:rPr>
        <w:t>1</w:t>
      </w:r>
      <w:r w:rsidRPr="006B3444">
        <w:rPr>
          <w:sz w:val="24"/>
          <w:szCs w:val="24"/>
        </w:rPr>
        <w:t xml:space="preserve"> til og med uge 144. Der var ingen yderligere forbedring i studie 770-105 (uge 48 til og med uge 144).</w:t>
      </w:r>
    </w:p>
    <w:p w14:paraId="2827EA06" w14:textId="77777777" w:rsidR="006B3444" w:rsidRPr="006B3444" w:rsidRDefault="006B3444" w:rsidP="00094965">
      <w:pPr>
        <w:ind w:left="851"/>
        <w:rPr>
          <w:sz w:val="24"/>
          <w:szCs w:val="24"/>
        </w:rPr>
      </w:pPr>
    </w:p>
    <w:p w14:paraId="1E49B595" w14:textId="1C668B1C" w:rsidR="006B3444" w:rsidRPr="006B3444" w:rsidRDefault="006B3444" w:rsidP="00094965">
      <w:pPr>
        <w:ind w:left="851"/>
        <w:rPr>
          <w:sz w:val="24"/>
          <w:szCs w:val="24"/>
        </w:rPr>
      </w:pPr>
      <w:r w:rsidRPr="006B3444">
        <w:rPr>
          <w:sz w:val="24"/>
          <w:szCs w:val="24"/>
        </w:rPr>
        <w:t>For patienter i placebo/ivacaftor-gruppen fra studie 770-102 var den annualiserede hyppighed af lungeeksacerbationer højere i det indledende studie, hvor patienterne fik placebo (1,34 hændelser/år) end i det efterfølgende studie 770-105, hvor patienterne blev overført til ivacaftor (0,48 hændelser/år over dag 1 til uge 48 og 0,67 hændelser/år over uge 48 til 96). For patienter i ivacaftor/ivacaftor-gruppen fra studie 770-102 var den annualiserede hyppighed af lungeeksacerbationer 0,57 hændelser/år over dag 1 til uge 48, når patienterne fik ivacaftor. Når de blev overført til studie 770-105, var hyppigheden af annualiserede lungeeksacerbationer 0,91 hændelser/år over dag 1 til uge 48 og 0,77 hændelser/år over uge 48 til 96.</w:t>
      </w:r>
    </w:p>
    <w:p w14:paraId="0CC7E0F6" w14:textId="77777777" w:rsidR="006B3444" w:rsidRPr="006B3444" w:rsidRDefault="006B3444" w:rsidP="00094965">
      <w:pPr>
        <w:ind w:left="851"/>
        <w:rPr>
          <w:sz w:val="24"/>
          <w:szCs w:val="24"/>
        </w:rPr>
      </w:pPr>
    </w:p>
    <w:p w14:paraId="6B0DE9F2" w14:textId="77777777" w:rsidR="006B3444" w:rsidRPr="006B3444" w:rsidRDefault="006B3444" w:rsidP="00094965">
      <w:pPr>
        <w:ind w:left="851"/>
        <w:rPr>
          <w:sz w:val="24"/>
          <w:szCs w:val="24"/>
        </w:rPr>
      </w:pPr>
      <w:r w:rsidRPr="006B3444">
        <w:rPr>
          <w:sz w:val="24"/>
          <w:szCs w:val="24"/>
        </w:rPr>
        <w:t>For patienter, som blev overført fra studie 770-103, var antallet af hændelser overordnet set lavt.</w:t>
      </w:r>
    </w:p>
    <w:p w14:paraId="0FD4EC0B" w14:textId="77777777" w:rsidR="006B3444" w:rsidRPr="006B3444" w:rsidRDefault="006B3444" w:rsidP="00094965">
      <w:pPr>
        <w:ind w:left="851"/>
        <w:rPr>
          <w:sz w:val="24"/>
          <w:szCs w:val="24"/>
        </w:rPr>
      </w:pPr>
    </w:p>
    <w:p w14:paraId="767010AC" w14:textId="77777777" w:rsidR="006B3444" w:rsidRPr="006B3444" w:rsidRDefault="006B3444" w:rsidP="00094965">
      <w:pPr>
        <w:ind w:left="851"/>
        <w:rPr>
          <w:i/>
          <w:sz w:val="24"/>
          <w:szCs w:val="24"/>
        </w:rPr>
      </w:pPr>
      <w:r w:rsidRPr="006B3444">
        <w:rPr>
          <w:i/>
          <w:sz w:val="24"/>
          <w:szCs w:val="24"/>
          <w:u w:val="single"/>
        </w:rPr>
        <w:t>Studie 770-110: studie hos patienter med CF med en R117H-mutation i CFTR-genet</w:t>
      </w:r>
    </w:p>
    <w:p w14:paraId="443C9CE8" w14:textId="77777777" w:rsidR="006B3444" w:rsidRPr="006B3444" w:rsidRDefault="006B3444" w:rsidP="00094965">
      <w:pPr>
        <w:ind w:left="851"/>
        <w:rPr>
          <w:i/>
          <w:sz w:val="24"/>
          <w:szCs w:val="24"/>
        </w:rPr>
      </w:pPr>
    </w:p>
    <w:p w14:paraId="645C4506" w14:textId="282CA8B2" w:rsidR="006B3444" w:rsidRPr="006B3444" w:rsidRDefault="006B3444" w:rsidP="00094965">
      <w:pPr>
        <w:ind w:left="851"/>
        <w:rPr>
          <w:sz w:val="24"/>
          <w:szCs w:val="24"/>
        </w:rPr>
      </w:pPr>
      <w:r w:rsidRPr="006B3444">
        <w:rPr>
          <w:sz w:val="24"/>
          <w:szCs w:val="24"/>
        </w:rPr>
        <w:t xml:space="preserve">Studie 770-110 var en evaluering af 69 patienter i alderen 6 år eller derover. 53 (76,8 %) patienter havde </w:t>
      </w:r>
      <w:r w:rsidRPr="006B3444">
        <w:rPr>
          <w:i/>
          <w:sz w:val="24"/>
          <w:szCs w:val="24"/>
        </w:rPr>
        <w:t>F508del</w:t>
      </w:r>
      <w:r w:rsidRPr="006B3444">
        <w:rPr>
          <w:sz w:val="24"/>
          <w:szCs w:val="24"/>
        </w:rPr>
        <w:t xml:space="preserve">-mutationen i den anden allel. Den bekræftede </w:t>
      </w:r>
      <w:r w:rsidRPr="006B3444">
        <w:rPr>
          <w:i/>
          <w:sz w:val="24"/>
          <w:szCs w:val="24"/>
        </w:rPr>
        <w:t>R117H</w:t>
      </w:r>
      <w:r w:rsidRPr="006B3444">
        <w:rPr>
          <w:sz w:val="24"/>
          <w:szCs w:val="24"/>
        </w:rPr>
        <w:t xml:space="preserve">-poly-T-variant var </w:t>
      </w:r>
      <w:r w:rsidRPr="006B3444">
        <w:rPr>
          <w:i/>
          <w:sz w:val="24"/>
          <w:szCs w:val="24"/>
        </w:rPr>
        <w:t xml:space="preserve">5T </w:t>
      </w:r>
      <w:r w:rsidRPr="006B3444">
        <w:rPr>
          <w:sz w:val="24"/>
          <w:szCs w:val="24"/>
        </w:rPr>
        <w:t xml:space="preserve">hos 38 patienter og </w:t>
      </w:r>
      <w:r w:rsidRPr="006B3444">
        <w:rPr>
          <w:i/>
          <w:sz w:val="24"/>
          <w:szCs w:val="24"/>
        </w:rPr>
        <w:t xml:space="preserve">7T </w:t>
      </w:r>
      <w:r w:rsidRPr="006B3444">
        <w:rPr>
          <w:sz w:val="24"/>
          <w:szCs w:val="24"/>
        </w:rPr>
        <w:t xml:space="preserve">hos 16 patienter. Ved </w:t>
      </w:r>
      <w:r w:rsidRPr="006B3444">
        <w:rPr>
          <w:i/>
          <w:sz w:val="24"/>
          <w:szCs w:val="24"/>
        </w:rPr>
        <w:t xml:space="preserve">baseline </w:t>
      </w:r>
      <w:r w:rsidRPr="006B3444">
        <w:rPr>
          <w:sz w:val="24"/>
          <w:szCs w:val="24"/>
        </w:rPr>
        <w:t>var den gennemsnitlige forventede FEV</w:t>
      </w:r>
      <w:r w:rsidRPr="006B3444">
        <w:rPr>
          <w:sz w:val="24"/>
          <w:szCs w:val="24"/>
          <w:vertAlign w:val="subscript"/>
        </w:rPr>
        <w:t>1</w:t>
      </w:r>
      <w:r w:rsidRPr="006B3444">
        <w:rPr>
          <w:sz w:val="24"/>
          <w:szCs w:val="24"/>
        </w:rPr>
        <w:t xml:space="preserve"> 73 % (interval: 32,5 % til 105,5 %), og den gennemsnitlige alder var 31 år (interval: 6 til 68 år). Den gennemsnitlige absolutte ændring fra </w:t>
      </w:r>
      <w:r w:rsidRPr="006B3444">
        <w:rPr>
          <w:i/>
          <w:sz w:val="24"/>
          <w:szCs w:val="24"/>
        </w:rPr>
        <w:t xml:space="preserve">baseline </w:t>
      </w:r>
      <w:r w:rsidRPr="006B3444">
        <w:rPr>
          <w:sz w:val="24"/>
          <w:szCs w:val="24"/>
        </w:rPr>
        <w:t>til og med uge 24 i procent forventet FEV</w:t>
      </w:r>
      <w:r w:rsidRPr="006B3444">
        <w:rPr>
          <w:sz w:val="24"/>
          <w:szCs w:val="24"/>
          <w:vertAlign w:val="subscript"/>
        </w:rPr>
        <w:t>1</w:t>
      </w:r>
      <w:r w:rsidRPr="006B3444">
        <w:rPr>
          <w:sz w:val="24"/>
          <w:szCs w:val="24"/>
        </w:rPr>
        <w:t xml:space="preserve"> (primært virkningsendepunkt) var 2,57 procentpoint i ivacaftor</w:t>
      </w:r>
      <w:r w:rsidR="00A249F1">
        <w:rPr>
          <w:sz w:val="24"/>
          <w:szCs w:val="24"/>
        </w:rPr>
        <w:t>-</w:t>
      </w:r>
      <w:r w:rsidRPr="006B3444">
        <w:rPr>
          <w:sz w:val="24"/>
          <w:szCs w:val="24"/>
        </w:rPr>
        <w:t xml:space="preserve">gruppen og 0,46 procentpoint i placebogruppen. Den estimerede forskel i behandlingen med ivacaftor </w:t>
      </w:r>
      <w:r w:rsidRPr="006B3444">
        <w:rPr>
          <w:i/>
          <w:sz w:val="24"/>
          <w:szCs w:val="24"/>
        </w:rPr>
        <w:t xml:space="preserve">versus </w:t>
      </w:r>
      <w:r w:rsidRPr="006B3444">
        <w:rPr>
          <w:sz w:val="24"/>
          <w:szCs w:val="24"/>
        </w:rPr>
        <w:t>placebo var 2,1 procentpoint (95 % CI: - 1,1; 5,4).</w:t>
      </w:r>
    </w:p>
    <w:p w14:paraId="42D0E1BA" w14:textId="77777777" w:rsidR="006B3444" w:rsidRPr="006B3444" w:rsidRDefault="006B3444" w:rsidP="00094965">
      <w:pPr>
        <w:ind w:left="851"/>
        <w:rPr>
          <w:sz w:val="24"/>
          <w:szCs w:val="24"/>
        </w:rPr>
      </w:pPr>
    </w:p>
    <w:p w14:paraId="627081A6" w14:textId="24F36313" w:rsidR="006B3444" w:rsidRPr="006B3444" w:rsidRDefault="006B3444" w:rsidP="00094965">
      <w:pPr>
        <w:ind w:left="851"/>
        <w:rPr>
          <w:sz w:val="24"/>
          <w:szCs w:val="24"/>
        </w:rPr>
      </w:pPr>
      <w:r w:rsidRPr="006B3444">
        <w:rPr>
          <w:sz w:val="24"/>
          <w:szCs w:val="24"/>
        </w:rPr>
        <w:t>Der blev udført en forud planlagt undergruppeanalyse af patienter i alderen 18 år og derover (26 patienter, der fik placebo, og 24 patienter, der fik ivacaftor). Behandlingen med ivacaftor resulterede i en gennemsnitlig, absolut ændring i procent forventet FEV</w:t>
      </w:r>
      <w:r w:rsidRPr="006B3444">
        <w:rPr>
          <w:sz w:val="24"/>
          <w:szCs w:val="24"/>
          <w:vertAlign w:val="subscript"/>
        </w:rPr>
        <w:t>1</w:t>
      </w:r>
      <w:r w:rsidRPr="006B3444">
        <w:rPr>
          <w:sz w:val="24"/>
          <w:szCs w:val="24"/>
        </w:rPr>
        <w:t xml:space="preserve"> til og med uge 24 på 4,5 procentpoint i ivacaftor</w:t>
      </w:r>
      <w:r w:rsidR="00A249F1">
        <w:rPr>
          <w:sz w:val="24"/>
          <w:szCs w:val="24"/>
        </w:rPr>
        <w:t>-</w:t>
      </w:r>
      <w:r w:rsidRPr="006B3444">
        <w:rPr>
          <w:sz w:val="24"/>
          <w:szCs w:val="24"/>
        </w:rPr>
        <w:t xml:space="preserve">gruppen </w:t>
      </w:r>
      <w:r w:rsidRPr="006B3444">
        <w:rPr>
          <w:i/>
          <w:sz w:val="24"/>
          <w:szCs w:val="24"/>
        </w:rPr>
        <w:t xml:space="preserve">versus </w:t>
      </w:r>
      <w:r w:rsidRPr="006B3444">
        <w:rPr>
          <w:sz w:val="24"/>
          <w:szCs w:val="24"/>
        </w:rPr>
        <w:t xml:space="preserve">-0,46 procentpoints i placebogruppen. Den estimerede forskel i behandlingen med ivacaftor </w:t>
      </w:r>
      <w:r w:rsidRPr="006B3444">
        <w:rPr>
          <w:i/>
          <w:sz w:val="24"/>
          <w:szCs w:val="24"/>
        </w:rPr>
        <w:t xml:space="preserve">versus </w:t>
      </w:r>
      <w:r w:rsidRPr="006B3444">
        <w:rPr>
          <w:sz w:val="24"/>
          <w:szCs w:val="24"/>
        </w:rPr>
        <w:t>placebo var 5,0 procentpoint (95 % CI: 1,1; 8,8).</w:t>
      </w:r>
    </w:p>
    <w:p w14:paraId="112A986C" w14:textId="77777777" w:rsidR="006B3444" w:rsidRPr="006B3444" w:rsidRDefault="006B3444" w:rsidP="00094965">
      <w:pPr>
        <w:ind w:left="851"/>
        <w:rPr>
          <w:sz w:val="24"/>
          <w:szCs w:val="24"/>
        </w:rPr>
      </w:pPr>
    </w:p>
    <w:p w14:paraId="2A2615EB" w14:textId="77777777" w:rsidR="006B3444" w:rsidRPr="006B3444" w:rsidRDefault="006B3444" w:rsidP="00094965">
      <w:pPr>
        <w:ind w:left="851"/>
        <w:rPr>
          <w:sz w:val="24"/>
          <w:szCs w:val="24"/>
        </w:rPr>
      </w:pPr>
      <w:r w:rsidRPr="006B3444">
        <w:rPr>
          <w:sz w:val="24"/>
          <w:szCs w:val="24"/>
        </w:rPr>
        <w:t xml:space="preserve">I en undergruppeanalyse af patienter med en bekræftet </w:t>
      </w:r>
      <w:r w:rsidRPr="006B3444">
        <w:rPr>
          <w:i/>
          <w:sz w:val="24"/>
          <w:szCs w:val="24"/>
        </w:rPr>
        <w:t>R117H-5T</w:t>
      </w:r>
      <w:r w:rsidRPr="006B3444">
        <w:rPr>
          <w:sz w:val="24"/>
          <w:szCs w:val="24"/>
        </w:rPr>
        <w:t xml:space="preserve">-variant var forskellen i den gennemsnitlige absolutte ændring fra </w:t>
      </w:r>
      <w:r w:rsidRPr="006B3444">
        <w:rPr>
          <w:i/>
          <w:sz w:val="24"/>
          <w:szCs w:val="24"/>
        </w:rPr>
        <w:t xml:space="preserve">baseline </w:t>
      </w:r>
      <w:r w:rsidRPr="006B3444">
        <w:rPr>
          <w:sz w:val="24"/>
          <w:szCs w:val="24"/>
        </w:rPr>
        <w:t>til og med uge 24 i procent forventet FEV</w:t>
      </w:r>
      <w:r w:rsidRPr="006B3444">
        <w:rPr>
          <w:sz w:val="24"/>
          <w:szCs w:val="24"/>
          <w:vertAlign w:val="subscript"/>
        </w:rPr>
        <w:t>1</w:t>
      </w:r>
      <w:r w:rsidRPr="006B3444">
        <w:rPr>
          <w:sz w:val="24"/>
          <w:szCs w:val="24"/>
        </w:rPr>
        <w:t xml:space="preserve"> mellem ivacaftor og placebo 5,3 % (95 % CI: 1,3; 9,3). Hos patienter med en bekræftet </w:t>
      </w:r>
      <w:r w:rsidRPr="006B3444">
        <w:rPr>
          <w:i/>
          <w:sz w:val="24"/>
          <w:szCs w:val="24"/>
        </w:rPr>
        <w:t>R117H-7T</w:t>
      </w:r>
      <w:r w:rsidRPr="006B3444">
        <w:rPr>
          <w:sz w:val="24"/>
          <w:szCs w:val="24"/>
        </w:rPr>
        <w:t>-variant var behandlingsforskellen mellem ivacaftor og placebo 0,2 % (95 % CI: -8,1; 8,5).</w:t>
      </w:r>
    </w:p>
    <w:p w14:paraId="12239212" w14:textId="77777777" w:rsidR="006B3444" w:rsidRPr="006B3444" w:rsidRDefault="006B3444" w:rsidP="00094965">
      <w:pPr>
        <w:ind w:left="851"/>
        <w:rPr>
          <w:sz w:val="24"/>
          <w:szCs w:val="24"/>
        </w:rPr>
      </w:pPr>
    </w:p>
    <w:p w14:paraId="79A76AC4" w14:textId="72B3F140" w:rsidR="006B3444" w:rsidRPr="006B3444" w:rsidRDefault="006B3444" w:rsidP="00094965">
      <w:pPr>
        <w:ind w:left="851"/>
        <w:rPr>
          <w:sz w:val="24"/>
          <w:szCs w:val="24"/>
        </w:rPr>
      </w:pPr>
      <w:r w:rsidRPr="006B3444">
        <w:rPr>
          <w:sz w:val="24"/>
          <w:szCs w:val="24"/>
        </w:rPr>
        <w:t xml:space="preserve">For sekundære virkningsvariabler blev der ikke observeret nogen forskelle i behandlingen for ivacaftor </w:t>
      </w:r>
      <w:r w:rsidRPr="006B3444">
        <w:rPr>
          <w:i/>
          <w:sz w:val="24"/>
          <w:szCs w:val="24"/>
        </w:rPr>
        <w:t xml:space="preserve">versus </w:t>
      </w:r>
      <w:r w:rsidRPr="006B3444">
        <w:rPr>
          <w:sz w:val="24"/>
          <w:szCs w:val="24"/>
        </w:rPr>
        <w:t xml:space="preserve">placebo i absolut ændring fra </w:t>
      </w:r>
      <w:r w:rsidRPr="006B3444">
        <w:rPr>
          <w:i/>
          <w:sz w:val="24"/>
          <w:szCs w:val="24"/>
        </w:rPr>
        <w:t xml:space="preserve">baseline </w:t>
      </w:r>
      <w:r w:rsidRPr="006B3444">
        <w:rPr>
          <w:sz w:val="24"/>
          <w:szCs w:val="24"/>
        </w:rPr>
        <w:t xml:space="preserve">i BMI ved uge 24 eller tiden til første exacerbation. Der blev observeret behandlingsforskelle i absolut ændring i CFQ-R-score for respirationssymptomer til og med uge 24 (forskellen i behandlingen med ivacaftor </w:t>
      </w:r>
      <w:r w:rsidRPr="006B3444">
        <w:rPr>
          <w:i/>
          <w:sz w:val="24"/>
          <w:szCs w:val="24"/>
        </w:rPr>
        <w:t xml:space="preserve">versus </w:t>
      </w:r>
      <w:r w:rsidRPr="006B3444">
        <w:rPr>
          <w:sz w:val="24"/>
          <w:szCs w:val="24"/>
        </w:rPr>
        <w:t xml:space="preserve">placebo var 8,4 [95 % CI: 2,2; 14,6] point) og for den gennemsnitlige ændring fra </w:t>
      </w:r>
      <w:r w:rsidRPr="006B3444">
        <w:rPr>
          <w:i/>
          <w:sz w:val="24"/>
          <w:szCs w:val="24"/>
        </w:rPr>
        <w:t xml:space="preserve">baseline </w:t>
      </w:r>
      <w:r w:rsidRPr="006B3444">
        <w:rPr>
          <w:sz w:val="24"/>
          <w:szCs w:val="24"/>
        </w:rPr>
        <w:t>i sved-chlorid (se Farmakodynamisk virkning).</w:t>
      </w:r>
    </w:p>
    <w:p w14:paraId="69EF6CDB" w14:textId="77777777" w:rsidR="006B3444" w:rsidRPr="006B3444" w:rsidRDefault="006B3444" w:rsidP="00094965">
      <w:pPr>
        <w:ind w:left="851"/>
        <w:rPr>
          <w:sz w:val="24"/>
          <w:szCs w:val="24"/>
        </w:rPr>
      </w:pPr>
      <w:r w:rsidRPr="006B3444">
        <w:rPr>
          <w:sz w:val="24"/>
          <w:szCs w:val="24"/>
        </w:rPr>
        <w:t>Det Europæiske Lægemiddelagentur har udsat forpligtelsen til at fremlægge resultaterne af studier med referenceproduktet indeholdende ivacaftor i en eller flere undergrupper af den pædiatriske population med cystisk fibrose (se pkt. 4.2 for oplysninger om pædiatrisk anvendelse).</w:t>
      </w:r>
    </w:p>
    <w:p w14:paraId="41A58047" w14:textId="77777777" w:rsidR="009260DE" w:rsidRPr="00286CAA" w:rsidRDefault="009260DE" w:rsidP="009260DE">
      <w:pPr>
        <w:tabs>
          <w:tab w:val="left" w:pos="851"/>
        </w:tabs>
        <w:ind w:left="851"/>
        <w:rPr>
          <w:sz w:val="24"/>
          <w:szCs w:val="24"/>
        </w:rPr>
      </w:pPr>
    </w:p>
    <w:p w14:paraId="0536F94A" w14:textId="77777777" w:rsidR="009260DE" w:rsidRPr="00286CAA" w:rsidRDefault="009260DE" w:rsidP="009260DE">
      <w:pPr>
        <w:tabs>
          <w:tab w:val="left" w:pos="851"/>
        </w:tabs>
        <w:ind w:left="851" w:hanging="851"/>
        <w:rPr>
          <w:b/>
          <w:sz w:val="24"/>
          <w:szCs w:val="24"/>
        </w:rPr>
      </w:pPr>
      <w:r w:rsidRPr="00286CAA">
        <w:rPr>
          <w:b/>
          <w:sz w:val="24"/>
          <w:szCs w:val="24"/>
        </w:rPr>
        <w:t>5.2</w:t>
      </w:r>
      <w:r w:rsidRPr="00286CAA">
        <w:rPr>
          <w:b/>
          <w:sz w:val="24"/>
          <w:szCs w:val="24"/>
        </w:rPr>
        <w:tab/>
        <w:t>Farmakokinetiske egenskaber</w:t>
      </w:r>
    </w:p>
    <w:p w14:paraId="20E264E0" w14:textId="77777777" w:rsidR="006B3444" w:rsidRPr="006B3444" w:rsidRDefault="006B3444" w:rsidP="00094965">
      <w:pPr>
        <w:ind w:left="851"/>
        <w:rPr>
          <w:sz w:val="24"/>
          <w:szCs w:val="24"/>
        </w:rPr>
      </w:pPr>
      <w:r w:rsidRPr="006B3444">
        <w:rPr>
          <w:sz w:val="24"/>
          <w:szCs w:val="24"/>
        </w:rPr>
        <w:t>Ivacaftors farmakokinetik er sammenlignelig for raske voksne frivillige og for patienter med CF.</w:t>
      </w:r>
    </w:p>
    <w:p w14:paraId="284499FA" w14:textId="77777777" w:rsidR="006B3444" w:rsidRPr="006B3444" w:rsidRDefault="006B3444" w:rsidP="00094965">
      <w:pPr>
        <w:ind w:left="851"/>
        <w:rPr>
          <w:sz w:val="24"/>
          <w:szCs w:val="24"/>
        </w:rPr>
      </w:pPr>
    </w:p>
    <w:p w14:paraId="6AD3D2ED" w14:textId="36103379" w:rsidR="006B3444" w:rsidRPr="006B3444" w:rsidRDefault="006B3444" w:rsidP="00094965">
      <w:pPr>
        <w:ind w:left="851"/>
        <w:rPr>
          <w:sz w:val="24"/>
          <w:szCs w:val="24"/>
        </w:rPr>
      </w:pPr>
      <w:r w:rsidRPr="006B3444">
        <w:rPr>
          <w:sz w:val="24"/>
          <w:szCs w:val="24"/>
        </w:rPr>
        <w:t>Efter oral administration af en enkelt 150 mg dosis til raske frivillige, som havde indtaget mad, var gennemsnittet (±SD) for AUC og C</w:t>
      </w:r>
      <w:r w:rsidRPr="006B3444">
        <w:rPr>
          <w:sz w:val="24"/>
          <w:szCs w:val="24"/>
          <w:vertAlign w:val="subscript"/>
        </w:rPr>
        <w:t>max</w:t>
      </w:r>
      <w:r w:rsidRPr="006B3444">
        <w:rPr>
          <w:sz w:val="24"/>
          <w:szCs w:val="24"/>
        </w:rPr>
        <w:t xml:space="preserve"> hhv. 10,60 (5,26) µg t/ml og 0,768 (0,233) µg/ml. Efter dosering hver 12. time blev </w:t>
      </w:r>
      <w:r w:rsidRPr="006B3444">
        <w:rPr>
          <w:i/>
          <w:sz w:val="24"/>
          <w:szCs w:val="24"/>
        </w:rPr>
        <w:t xml:space="preserve">steady-state </w:t>
      </w:r>
      <w:r w:rsidRPr="006B3444">
        <w:rPr>
          <w:sz w:val="24"/>
          <w:szCs w:val="24"/>
        </w:rPr>
        <w:t>plasmakoncentrationer af ivacaftor opnået ved dag 3 til 5, med et akkumulationsforhold fra 2,2 til 2,9.</w:t>
      </w:r>
    </w:p>
    <w:p w14:paraId="5B4FB666" w14:textId="77777777" w:rsidR="006B3444" w:rsidRPr="006B3444" w:rsidRDefault="006B3444" w:rsidP="00094965">
      <w:pPr>
        <w:ind w:left="851"/>
        <w:rPr>
          <w:sz w:val="24"/>
          <w:szCs w:val="24"/>
        </w:rPr>
      </w:pPr>
    </w:p>
    <w:p w14:paraId="1C153AE7" w14:textId="77777777" w:rsidR="006B3444" w:rsidRPr="006B3444" w:rsidRDefault="006B3444" w:rsidP="00094965">
      <w:pPr>
        <w:ind w:left="851"/>
        <w:rPr>
          <w:sz w:val="24"/>
          <w:szCs w:val="24"/>
        </w:rPr>
      </w:pPr>
      <w:r w:rsidRPr="006B3444">
        <w:rPr>
          <w:sz w:val="24"/>
          <w:szCs w:val="24"/>
          <w:u w:val="single"/>
        </w:rPr>
        <w:t>Absorption</w:t>
      </w:r>
    </w:p>
    <w:p w14:paraId="75816D35" w14:textId="77777777" w:rsidR="006B3444" w:rsidRPr="006B3444" w:rsidRDefault="006B3444" w:rsidP="00094965">
      <w:pPr>
        <w:ind w:left="851"/>
        <w:rPr>
          <w:sz w:val="24"/>
          <w:szCs w:val="24"/>
        </w:rPr>
      </w:pPr>
    </w:p>
    <w:p w14:paraId="01477A6D" w14:textId="02950EBA" w:rsidR="006B3444" w:rsidRPr="006B3444" w:rsidRDefault="006B3444" w:rsidP="00094965">
      <w:pPr>
        <w:ind w:left="851"/>
        <w:rPr>
          <w:sz w:val="24"/>
          <w:szCs w:val="24"/>
        </w:rPr>
      </w:pPr>
      <w:r w:rsidRPr="006B3444">
        <w:rPr>
          <w:sz w:val="24"/>
          <w:szCs w:val="24"/>
        </w:rPr>
        <w:t>Efter flere orale dosisadministrationer af ivacaftor øgedes eksponeringen for ivacaftor generelt med dosis fra 25 mg hver 12. time til 450 mg hver 12. time. Når det blev indtaget sammen med fedtholdig mad, øgedes eksponeringen for ivacaftor ca. 2,5 til 4 gange. Ivacaftor skal derfor administreres sammen med fedtholdig mad. Median (interval) t</w:t>
      </w:r>
      <w:r w:rsidRPr="006B3444">
        <w:rPr>
          <w:sz w:val="24"/>
          <w:szCs w:val="24"/>
          <w:vertAlign w:val="subscript"/>
        </w:rPr>
        <w:t>max</w:t>
      </w:r>
      <w:r w:rsidRPr="006B3444">
        <w:rPr>
          <w:sz w:val="24"/>
          <w:szCs w:val="24"/>
        </w:rPr>
        <w:t xml:space="preserve"> er ca. 4,0 (3,0; 6,0) timer efter madindtagelse.</w:t>
      </w:r>
    </w:p>
    <w:p w14:paraId="2E3057EE" w14:textId="77777777" w:rsidR="006B3444" w:rsidRPr="006B3444" w:rsidRDefault="006B3444" w:rsidP="00094965">
      <w:pPr>
        <w:ind w:left="851"/>
        <w:rPr>
          <w:sz w:val="24"/>
          <w:szCs w:val="24"/>
        </w:rPr>
      </w:pPr>
    </w:p>
    <w:p w14:paraId="0FA9FF03" w14:textId="77777777" w:rsidR="006B3444" w:rsidRPr="006B3444" w:rsidRDefault="006B3444" w:rsidP="00094965">
      <w:pPr>
        <w:ind w:left="851"/>
        <w:rPr>
          <w:sz w:val="24"/>
          <w:szCs w:val="24"/>
        </w:rPr>
      </w:pPr>
      <w:r w:rsidRPr="006B3444">
        <w:rPr>
          <w:sz w:val="24"/>
          <w:szCs w:val="24"/>
        </w:rPr>
        <w:t>Ivacaftor-granulat (2 × 75 mg breve) havde en biotilgængelighed, som svarede til 150 mg-tabletten, når det blev givet sammen med fedtholdig mad til raske, voksne personer. Det geometrisk mindste kvadraters gennemsnitsforhold (90 % CI) for granulat i forhold til tabletter var 0,951 (0,839; 1.08) for AUC</w:t>
      </w:r>
      <w:r w:rsidRPr="006B3444">
        <w:rPr>
          <w:sz w:val="24"/>
          <w:szCs w:val="24"/>
          <w:vertAlign w:val="subscript"/>
        </w:rPr>
        <w:t>0-∞</w:t>
      </w:r>
      <w:r w:rsidRPr="006B3444">
        <w:rPr>
          <w:sz w:val="24"/>
          <w:szCs w:val="24"/>
        </w:rPr>
        <w:t xml:space="preserve"> og 0,918 (0,750; 1,12) for C</w:t>
      </w:r>
      <w:r w:rsidRPr="006B3444">
        <w:rPr>
          <w:sz w:val="24"/>
          <w:szCs w:val="24"/>
          <w:vertAlign w:val="subscript"/>
        </w:rPr>
        <w:t>max</w:t>
      </w:r>
      <w:r w:rsidRPr="006B3444">
        <w:rPr>
          <w:sz w:val="24"/>
          <w:szCs w:val="24"/>
        </w:rPr>
        <w:t>. Virkningen af mad på absorptionen af ivacaftor er tilsvarende for begge formuleringer, dvs. tabletter og granulat.</w:t>
      </w:r>
    </w:p>
    <w:p w14:paraId="07A8C1E4" w14:textId="77777777" w:rsidR="006B3444" w:rsidRPr="006B3444" w:rsidRDefault="006B3444" w:rsidP="00094965">
      <w:pPr>
        <w:ind w:left="851"/>
        <w:rPr>
          <w:sz w:val="24"/>
          <w:szCs w:val="24"/>
        </w:rPr>
      </w:pPr>
    </w:p>
    <w:p w14:paraId="7022EE9A" w14:textId="77777777" w:rsidR="006B3444" w:rsidRPr="006B3444" w:rsidRDefault="006B3444" w:rsidP="00094965">
      <w:pPr>
        <w:ind w:left="851"/>
        <w:rPr>
          <w:sz w:val="24"/>
          <w:szCs w:val="24"/>
        </w:rPr>
      </w:pPr>
      <w:r w:rsidRPr="006B3444">
        <w:rPr>
          <w:sz w:val="24"/>
          <w:szCs w:val="24"/>
          <w:u w:val="single"/>
        </w:rPr>
        <w:t>Fordeling</w:t>
      </w:r>
    </w:p>
    <w:p w14:paraId="072876EF" w14:textId="77777777" w:rsidR="006B3444" w:rsidRPr="006B3444" w:rsidRDefault="006B3444" w:rsidP="00094965">
      <w:pPr>
        <w:ind w:left="851"/>
        <w:rPr>
          <w:sz w:val="24"/>
          <w:szCs w:val="24"/>
        </w:rPr>
      </w:pPr>
    </w:p>
    <w:p w14:paraId="366756C3" w14:textId="77777777" w:rsidR="006B3444" w:rsidRPr="006B3444" w:rsidRDefault="006B3444" w:rsidP="00094965">
      <w:pPr>
        <w:ind w:left="851"/>
        <w:rPr>
          <w:sz w:val="24"/>
          <w:szCs w:val="24"/>
        </w:rPr>
      </w:pPr>
      <w:r w:rsidRPr="006B3444">
        <w:rPr>
          <w:sz w:val="24"/>
          <w:szCs w:val="24"/>
        </w:rPr>
        <w:t>Ca. 99 % af ivacaftor er bundet til plasmaproteiner, primært til alfa-1-syre glycoprotein og albumin. Ivacaftor bindes ikke til røde blodlegemer hos mennesker. Efter en oral administration af ivacaftor 150 mg hver 12. time i 7 dage hos raske frivillige, som havde indtaget mad, var det gennemsnitlige (±SD) tilsyneladende fordelingsvolumen 353 l (122).</w:t>
      </w:r>
    </w:p>
    <w:p w14:paraId="35784990" w14:textId="77777777" w:rsidR="006B3444" w:rsidRPr="006B3444" w:rsidRDefault="006B3444" w:rsidP="00094965">
      <w:pPr>
        <w:ind w:left="851"/>
        <w:rPr>
          <w:sz w:val="24"/>
          <w:szCs w:val="24"/>
        </w:rPr>
      </w:pPr>
    </w:p>
    <w:p w14:paraId="62AAE12B" w14:textId="77777777" w:rsidR="006B3444" w:rsidRPr="006B3444" w:rsidRDefault="006B3444" w:rsidP="00094965">
      <w:pPr>
        <w:ind w:left="851"/>
        <w:rPr>
          <w:sz w:val="24"/>
          <w:szCs w:val="24"/>
        </w:rPr>
      </w:pPr>
      <w:r w:rsidRPr="006B3444">
        <w:rPr>
          <w:sz w:val="24"/>
          <w:szCs w:val="24"/>
          <w:u w:val="single"/>
        </w:rPr>
        <w:t>Biotransformation</w:t>
      </w:r>
    </w:p>
    <w:p w14:paraId="508D0FE1" w14:textId="77777777" w:rsidR="006B3444" w:rsidRPr="006B3444" w:rsidRDefault="006B3444" w:rsidP="00094965">
      <w:pPr>
        <w:ind w:left="851"/>
        <w:rPr>
          <w:sz w:val="24"/>
          <w:szCs w:val="24"/>
        </w:rPr>
      </w:pPr>
    </w:p>
    <w:p w14:paraId="4EA6FBBC" w14:textId="77777777" w:rsidR="006B3444" w:rsidRPr="006B3444" w:rsidRDefault="006B3444" w:rsidP="00094965">
      <w:pPr>
        <w:ind w:left="851"/>
        <w:rPr>
          <w:sz w:val="24"/>
          <w:szCs w:val="24"/>
        </w:rPr>
      </w:pPr>
      <w:r w:rsidRPr="006B3444">
        <w:rPr>
          <w:sz w:val="24"/>
          <w:szCs w:val="24"/>
        </w:rPr>
        <w:t xml:space="preserve">Ivacaftor metaboliseres i udtalt grad hos mennesker. </w:t>
      </w:r>
      <w:r w:rsidRPr="006B3444">
        <w:rPr>
          <w:i/>
          <w:sz w:val="24"/>
          <w:szCs w:val="24"/>
        </w:rPr>
        <w:t xml:space="preserve">In vitro- </w:t>
      </w:r>
      <w:r w:rsidRPr="006B3444">
        <w:rPr>
          <w:sz w:val="24"/>
          <w:szCs w:val="24"/>
        </w:rPr>
        <w:t xml:space="preserve">og </w:t>
      </w:r>
      <w:r w:rsidRPr="006B3444">
        <w:rPr>
          <w:i/>
          <w:sz w:val="24"/>
          <w:szCs w:val="24"/>
        </w:rPr>
        <w:t>in vivo</w:t>
      </w:r>
      <w:r w:rsidRPr="006B3444">
        <w:rPr>
          <w:sz w:val="24"/>
          <w:szCs w:val="24"/>
        </w:rPr>
        <w:t>-data indikerer, at ivacaftor primært metaboliseres af CYP3A. M1 og M6 er to af ivacaftors hovedmetabolitter hos mennesker. M1 har ca. en sjettedel af ivacaftors styrke og anses for at være farmakologisk aktivt. M6 har under 1/50 af ivacaftors styrke og anses ikke for at være farmakologisk aktivt.</w:t>
      </w:r>
    </w:p>
    <w:p w14:paraId="771442B2" w14:textId="77777777" w:rsidR="006B3444" w:rsidRPr="006B3444" w:rsidRDefault="006B3444" w:rsidP="00094965">
      <w:pPr>
        <w:ind w:left="851"/>
        <w:rPr>
          <w:sz w:val="24"/>
          <w:szCs w:val="24"/>
        </w:rPr>
      </w:pPr>
    </w:p>
    <w:p w14:paraId="5F4F99FA" w14:textId="03551F07" w:rsidR="006B3444" w:rsidRPr="006B3444" w:rsidRDefault="006B3444" w:rsidP="00094965">
      <w:pPr>
        <w:ind w:left="851"/>
        <w:rPr>
          <w:sz w:val="24"/>
          <w:szCs w:val="24"/>
        </w:rPr>
      </w:pPr>
      <w:r w:rsidRPr="006B3444">
        <w:rPr>
          <w:sz w:val="24"/>
          <w:szCs w:val="24"/>
        </w:rPr>
        <w:t>Virkningen af den heterozygote CYP3A4*22-genotype på eksponeringen for ivacaftor svarer til virkningen af administration sammen med en svag CYP3A4-hæmmer, som ikke er klinisk relevant. Ingen dosisjustering af ivacaftor vurderes nødvendig. Virkningen hos patienter med den homozygote CYP3A4*22-genotype forventes at være kraftigere. Der foreligger imidlertid ingen data for sådanne patienter.</w:t>
      </w:r>
    </w:p>
    <w:p w14:paraId="0BD2FAA5" w14:textId="77777777" w:rsidR="006B3444" w:rsidRPr="006B3444" w:rsidRDefault="006B3444" w:rsidP="00094965">
      <w:pPr>
        <w:ind w:left="851"/>
        <w:rPr>
          <w:sz w:val="24"/>
          <w:szCs w:val="24"/>
        </w:rPr>
      </w:pPr>
    </w:p>
    <w:p w14:paraId="37E631DB" w14:textId="77777777" w:rsidR="006B3444" w:rsidRPr="006B3444" w:rsidRDefault="006B3444" w:rsidP="00094965">
      <w:pPr>
        <w:ind w:left="851"/>
        <w:rPr>
          <w:sz w:val="24"/>
          <w:szCs w:val="24"/>
        </w:rPr>
      </w:pPr>
      <w:r w:rsidRPr="006B3444">
        <w:rPr>
          <w:sz w:val="24"/>
          <w:szCs w:val="24"/>
          <w:u w:val="single"/>
        </w:rPr>
        <w:t>Elimination</w:t>
      </w:r>
    </w:p>
    <w:p w14:paraId="151374F4" w14:textId="77777777" w:rsidR="006B3444" w:rsidRPr="006B3444" w:rsidRDefault="006B3444" w:rsidP="00094965">
      <w:pPr>
        <w:ind w:left="851"/>
        <w:rPr>
          <w:sz w:val="24"/>
          <w:szCs w:val="24"/>
        </w:rPr>
      </w:pPr>
    </w:p>
    <w:p w14:paraId="267A78AD" w14:textId="77777777" w:rsidR="006B3444" w:rsidRPr="006B3444" w:rsidRDefault="006B3444" w:rsidP="00094965">
      <w:pPr>
        <w:ind w:left="851"/>
        <w:rPr>
          <w:sz w:val="24"/>
          <w:szCs w:val="24"/>
        </w:rPr>
      </w:pPr>
      <w:r w:rsidRPr="006B3444">
        <w:rPr>
          <w:sz w:val="24"/>
          <w:szCs w:val="24"/>
        </w:rPr>
        <w:t>Efter oral administration hos raske frivillige blev størstedelen af ivacaftor (87,8 %) elimineret i fæces efter metabolisk konvertering. Hovedmetabolitterne M1 og M6 udgjorde ca. 65 % af den totale eliminerede dosis, hvoraf 22 % var M1 og 43 % var M6. Der var en ubetydelig udskillelse af ivacaftor i urinen, som det uændrede udgangsstof. Den tilsyneladende terminale halveringstid var ca. 12 timer efter en enkeltdosis efter indtagelse af mad. Den tilsyneladende clearance (CL/F) for ivacaftor var sammenlignelig for raske personer og for patienter med CF. Gennemsnits-CL/F (±SD) for en enkelt 150 mg dosis var 17,3 (8,4) l/t hos raske personer.</w:t>
      </w:r>
    </w:p>
    <w:p w14:paraId="43745BFD" w14:textId="77777777" w:rsidR="006B3444" w:rsidRPr="006B3444" w:rsidRDefault="006B3444" w:rsidP="00094965">
      <w:pPr>
        <w:ind w:left="851"/>
        <w:rPr>
          <w:sz w:val="24"/>
          <w:szCs w:val="24"/>
        </w:rPr>
      </w:pPr>
    </w:p>
    <w:p w14:paraId="61F9DC43" w14:textId="77777777" w:rsidR="006B3444" w:rsidRPr="006B3444" w:rsidRDefault="006B3444" w:rsidP="00094965">
      <w:pPr>
        <w:ind w:left="851"/>
        <w:rPr>
          <w:sz w:val="24"/>
          <w:szCs w:val="24"/>
        </w:rPr>
      </w:pPr>
      <w:r w:rsidRPr="006B3444">
        <w:rPr>
          <w:sz w:val="24"/>
          <w:szCs w:val="24"/>
          <w:u w:val="single"/>
        </w:rPr>
        <w:t>Linearitet/non-linearitet</w:t>
      </w:r>
    </w:p>
    <w:p w14:paraId="4983F0FF" w14:textId="77777777" w:rsidR="006B3444" w:rsidRPr="006B3444" w:rsidRDefault="006B3444" w:rsidP="00094965">
      <w:pPr>
        <w:ind w:left="851"/>
        <w:rPr>
          <w:sz w:val="24"/>
          <w:szCs w:val="24"/>
        </w:rPr>
      </w:pPr>
    </w:p>
    <w:p w14:paraId="65C14DBC" w14:textId="77777777" w:rsidR="006B3444" w:rsidRPr="006B3444" w:rsidRDefault="006B3444" w:rsidP="00094965">
      <w:pPr>
        <w:ind w:left="851"/>
        <w:rPr>
          <w:sz w:val="24"/>
          <w:szCs w:val="24"/>
        </w:rPr>
      </w:pPr>
      <w:r w:rsidRPr="006B3444">
        <w:rPr>
          <w:sz w:val="24"/>
          <w:szCs w:val="24"/>
        </w:rPr>
        <w:t>Ivacaftors farmakokinetik er generelt lineær med hensyn til tid eller et dosisinterval fra 25 mg til 250 mg.</w:t>
      </w:r>
    </w:p>
    <w:p w14:paraId="43D0231A" w14:textId="77777777" w:rsidR="006B3444" w:rsidRPr="006B3444" w:rsidRDefault="006B3444" w:rsidP="00094965">
      <w:pPr>
        <w:ind w:left="851"/>
        <w:rPr>
          <w:sz w:val="24"/>
          <w:szCs w:val="24"/>
        </w:rPr>
      </w:pPr>
    </w:p>
    <w:p w14:paraId="22DF7550" w14:textId="73940CE8" w:rsidR="006B3444" w:rsidRPr="006B3444" w:rsidRDefault="006B3444" w:rsidP="00094965">
      <w:pPr>
        <w:ind w:left="851"/>
        <w:rPr>
          <w:sz w:val="24"/>
          <w:szCs w:val="24"/>
        </w:rPr>
      </w:pPr>
      <w:r w:rsidRPr="006B3444">
        <w:rPr>
          <w:sz w:val="24"/>
          <w:szCs w:val="24"/>
          <w:u w:val="single"/>
        </w:rPr>
        <w:t>Specielle populationer</w:t>
      </w:r>
    </w:p>
    <w:p w14:paraId="71A441DF" w14:textId="77777777" w:rsidR="006B3444" w:rsidRPr="006B3444" w:rsidRDefault="006B3444" w:rsidP="00094965">
      <w:pPr>
        <w:ind w:left="851"/>
        <w:rPr>
          <w:sz w:val="24"/>
          <w:szCs w:val="24"/>
        </w:rPr>
      </w:pPr>
    </w:p>
    <w:p w14:paraId="457FF09D" w14:textId="77777777" w:rsidR="006B3444" w:rsidRPr="006B3444" w:rsidRDefault="006B3444" w:rsidP="00094965">
      <w:pPr>
        <w:ind w:left="851"/>
        <w:rPr>
          <w:i/>
          <w:sz w:val="24"/>
          <w:szCs w:val="24"/>
        </w:rPr>
      </w:pPr>
      <w:r w:rsidRPr="006B3444">
        <w:rPr>
          <w:i/>
          <w:sz w:val="24"/>
          <w:szCs w:val="24"/>
        </w:rPr>
        <w:t>Nedsat leverfunktion</w:t>
      </w:r>
    </w:p>
    <w:p w14:paraId="583E8064" w14:textId="77777777" w:rsidR="006B3444" w:rsidRPr="006B3444" w:rsidRDefault="006B3444" w:rsidP="00094965">
      <w:pPr>
        <w:ind w:left="851"/>
        <w:rPr>
          <w:i/>
          <w:sz w:val="24"/>
          <w:szCs w:val="24"/>
        </w:rPr>
      </w:pPr>
    </w:p>
    <w:p w14:paraId="70D04F7F" w14:textId="5F3438B4" w:rsidR="006B3444" w:rsidRPr="006B3444" w:rsidRDefault="006B3444" w:rsidP="00094965">
      <w:pPr>
        <w:ind w:left="851"/>
        <w:rPr>
          <w:sz w:val="24"/>
          <w:szCs w:val="24"/>
        </w:rPr>
      </w:pPr>
      <w:r w:rsidRPr="006B3444">
        <w:rPr>
          <w:sz w:val="24"/>
          <w:szCs w:val="24"/>
        </w:rPr>
        <w:t>Efter en enkelt dosis af 150 mg ivacaftor havde voksne personer med moderat nedsat leverfunktion (Child-Pugh klasse B, score 7 til 9) en sammenlignelig ivacaftor C</w:t>
      </w:r>
      <w:r w:rsidRPr="006B3444">
        <w:rPr>
          <w:sz w:val="24"/>
          <w:szCs w:val="24"/>
          <w:vertAlign w:val="subscript"/>
        </w:rPr>
        <w:t>max</w:t>
      </w:r>
      <w:r w:rsidRPr="006B3444">
        <w:rPr>
          <w:sz w:val="24"/>
          <w:szCs w:val="24"/>
        </w:rPr>
        <w:t xml:space="preserve"> (gennemsnit [± SD] af 0,735 [0,331] µg/ml) men en ca. 2 gange forhøjelse i ivacaftor AUC</w:t>
      </w:r>
      <w:r w:rsidRPr="006B3444">
        <w:rPr>
          <w:sz w:val="24"/>
          <w:szCs w:val="24"/>
          <w:vertAlign w:val="subscript"/>
        </w:rPr>
        <w:t>0-∞</w:t>
      </w:r>
      <w:r w:rsidRPr="006B3444">
        <w:rPr>
          <w:sz w:val="24"/>
          <w:szCs w:val="24"/>
        </w:rPr>
        <w:t xml:space="preserve"> (gennemsnit [± SD] af 16,80 [6,14] µg∙t/ml), sammenlignet med raske personer med matchende demografi. Simuleringer for forudsigelse af </w:t>
      </w:r>
      <w:r w:rsidRPr="006B3444">
        <w:rPr>
          <w:i/>
          <w:sz w:val="24"/>
          <w:szCs w:val="24"/>
        </w:rPr>
        <w:t>steady-state</w:t>
      </w:r>
      <w:r w:rsidRPr="006B3444">
        <w:rPr>
          <w:sz w:val="24"/>
          <w:szCs w:val="24"/>
        </w:rPr>
        <w:t xml:space="preserve">-eksponeringen af ivacaftor viste, at ved at reducere dosis fra 150 mg hver 12. time til 150 mg én gang dagligt, ville voksne personer med moderat nedsat leverfunktion have </w:t>
      </w:r>
      <w:r w:rsidRPr="006B3444">
        <w:rPr>
          <w:i/>
          <w:sz w:val="24"/>
          <w:szCs w:val="24"/>
        </w:rPr>
        <w:t xml:space="preserve">steady-state </w:t>
      </w:r>
      <w:r w:rsidRPr="006B3444">
        <w:rPr>
          <w:sz w:val="24"/>
          <w:szCs w:val="24"/>
        </w:rPr>
        <w:t>C</w:t>
      </w:r>
      <w:r w:rsidRPr="006B3444">
        <w:rPr>
          <w:sz w:val="24"/>
          <w:szCs w:val="24"/>
          <w:vertAlign w:val="subscript"/>
        </w:rPr>
        <w:t>min</w:t>
      </w:r>
      <w:r w:rsidRPr="006B3444">
        <w:rPr>
          <w:sz w:val="24"/>
          <w:szCs w:val="24"/>
        </w:rPr>
        <w:t>-værdier, som var sammenlignelige med de værdier, der blev opnået med en dosis på 150</w:t>
      </w:r>
      <w:r w:rsidR="00286CAA">
        <w:rPr>
          <w:sz w:val="24"/>
          <w:szCs w:val="24"/>
        </w:rPr>
        <w:t> </w:t>
      </w:r>
      <w:r w:rsidRPr="006B3444">
        <w:rPr>
          <w:sz w:val="24"/>
          <w:szCs w:val="24"/>
        </w:rPr>
        <w:t>mg hver 12. time hos voksne uden nedsat leverfunktion.</w:t>
      </w:r>
    </w:p>
    <w:p w14:paraId="0286ACCF" w14:textId="77777777" w:rsidR="006B3444" w:rsidRPr="006B3444" w:rsidRDefault="006B3444" w:rsidP="00094965">
      <w:pPr>
        <w:ind w:left="851"/>
        <w:rPr>
          <w:sz w:val="24"/>
          <w:szCs w:val="24"/>
        </w:rPr>
      </w:pPr>
    </w:p>
    <w:p w14:paraId="105195DA" w14:textId="77777777" w:rsidR="006B3444" w:rsidRPr="006B3444" w:rsidRDefault="006B3444" w:rsidP="00094965">
      <w:pPr>
        <w:ind w:left="851"/>
        <w:rPr>
          <w:sz w:val="24"/>
          <w:szCs w:val="24"/>
        </w:rPr>
      </w:pPr>
      <w:r w:rsidRPr="006B3444">
        <w:rPr>
          <w:sz w:val="24"/>
          <w:szCs w:val="24"/>
        </w:rPr>
        <w:t>Påvirkningen af svært nedsat leverfunktion (Child Pugh klasse C, score 10 til 15) på farmakokinetikken for ivacaftor er ikke undersøgt. Størrelsesordenen af den øgede eksponering hos disse patienter er ukendt, men den forventes at være højere end den observerede størrelsesorden hos patienter med moderat nedsat leverfunktion.</w:t>
      </w:r>
    </w:p>
    <w:p w14:paraId="24EE78AB" w14:textId="77777777" w:rsidR="006B3444" w:rsidRPr="006B3444" w:rsidRDefault="006B3444" w:rsidP="00094965">
      <w:pPr>
        <w:ind w:left="851"/>
        <w:rPr>
          <w:sz w:val="24"/>
          <w:szCs w:val="24"/>
        </w:rPr>
      </w:pPr>
    </w:p>
    <w:p w14:paraId="6B97F73F" w14:textId="77777777" w:rsidR="006B3444" w:rsidRPr="006B3444" w:rsidRDefault="006B3444" w:rsidP="00094965">
      <w:pPr>
        <w:ind w:left="851"/>
        <w:rPr>
          <w:sz w:val="24"/>
          <w:szCs w:val="24"/>
        </w:rPr>
      </w:pPr>
      <w:r w:rsidRPr="006B3444">
        <w:rPr>
          <w:sz w:val="24"/>
          <w:szCs w:val="24"/>
        </w:rPr>
        <w:t>For vejledning i passende anvendelse samt dosisændring henvises til tabel 3 i pkt. 4.2.</w:t>
      </w:r>
    </w:p>
    <w:p w14:paraId="3FF51A25" w14:textId="77777777" w:rsidR="006B3444" w:rsidRPr="006B3444" w:rsidRDefault="006B3444" w:rsidP="00094965">
      <w:pPr>
        <w:ind w:left="851"/>
        <w:rPr>
          <w:sz w:val="24"/>
          <w:szCs w:val="24"/>
        </w:rPr>
      </w:pPr>
    </w:p>
    <w:p w14:paraId="38F8CF0A" w14:textId="77777777" w:rsidR="006B3444" w:rsidRPr="006B3444" w:rsidRDefault="006B3444" w:rsidP="00094965">
      <w:pPr>
        <w:ind w:left="851"/>
        <w:rPr>
          <w:i/>
          <w:sz w:val="24"/>
          <w:szCs w:val="24"/>
        </w:rPr>
      </w:pPr>
      <w:r w:rsidRPr="006B3444">
        <w:rPr>
          <w:i/>
          <w:sz w:val="24"/>
          <w:szCs w:val="24"/>
        </w:rPr>
        <w:t>Nedsat nyrefunktion</w:t>
      </w:r>
    </w:p>
    <w:p w14:paraId="3C2B850E" w14:textId="77777777" w:rsidR="006B3444" w:rsidRPr="006B3444" w:rsidRDefault="006B3444" w:rsidP="00094965">
      <w:pPr>
        <w:ind w:left="851"/>
        <w:rPr>
          <w:i/>
          <w:sz w:val="24"/>
          <w:szCs w:val="24"/>
        </w:rPr>
      </w:pPr>
    </w:p>
    <w:p w14:paraId="6C9C3C6E" w14:textId="77777777" w:rsidR="006B3444" w:rsidRPr="006B3444" w:rsidRDefault="006B3444" w:rsidP="00094965">
      <w:pPr>
        <w:ind w:left="851"/>
        <w:rPr>
          <w:sz w:val="24"/>
          <w:szCs w:val="24"/>
        </w:rPr>
      </w:pPr>
      <w:r w:rsidRPr="006B3444">
        <w:rPr>
          <w:sz w:val="24"/>
          <w:szCs w:val="24"/>
        </w:rPr>
        <w:t>Der er ikke udført farmakokinetiske studier med ivacaftor hos patienter med nedsat nyrefunktion. I et farmakokinetisk studie hos mennesker med ivacaftor-monoterapi, var der minimal elimination af ivacaftor og metabolitter i urinen (kun 6,6 % af den totale radioaktivitet blev genfundet i urinen). Der var en ubetydelig udskillelse af ivacaftor i urinen som uændret udgangsstof (under 0,01 % efter en enkelt oral dosis med 500 mg).</w:t>
      </w:r>
    </w:p>
    <w:p w14:paraId="40C739B4" w14:textId="77777777" w:rsidR="006B3444" w:rsidRPr="006B3444" w:rsidRDefault="006B3444" w:rsidP="00094965">
      <w:pPr>
        <w:ind w:left="851"/>
        <w:rPr>
          <w:sz w:val="24"/>
          <w:szCs w:val="24"/>
        </w:rPr>
      </w:pPr>
    </w:p>
    <w:p w14:paraId="35FD7E0A" w14:textId="77777777" w:rsidR="006B3444" w:rsidRPr="006B3444" w:rsidRDefault="006B3444" w:rsidP="00094965">
      <w:pPr>
        <w:ind w:left="851"/>
        <w:rPr>
          <w:sz w:val="24"/>
          <w:szCs w:val="24"/>
        </w:rPr>
      </w:pPr>
      <w:r w:rsidRPr="006B3444">
        <w:rPr>
          <w:sz w:val="24"/>
          <w:szCs w:val="24"/>
        </w:rPr>
        <w:t>Dosisjusteringer anbefales ikke for patienter med let til moderat nedsat nyrefunktion. Der rådes til forsigtighed, når ivacaftor administreres til patienter med svært nedsat nyrefunktion (kreatininclearance under eller lig med 30 ml/min), eller med nyresygdom i slutstadiet (se pkt. 4.2 og 4.4).</w:t>
      </w:r>
    </w:p>
    <w:p w14:paraId="58D922B1" w14:textId="77777777" w:rsidR="006B3444" w:rsidRPr="006B3444" w:rsidRDefault="006B3444" w:rsidP="00094965">
      <w:pPr>
        <w:ind w:left="851"/>
        <w:rPr>
          <w:sz w:val="24"/>
          <w:szCs w:val="24"/>
        </w:rPr>
      </w:pPr>
    </w:p>
    <w:p w14:paraId="1D14D112" w14:textId="77777777" w:rsidR="006B3444" w:rsidRPr="006B3444" w:rsidRDefault="006B3444" w:rsidP="00094965">
      <w:pPr>
        <w:ind w:left="851"/>
        <w:rPr>
          <w:i/>
          <w:sz w:val="24"/>
          <w:szCs w:val="24"/>
        </w:rPr>
      </w:pPr>
      <w:r w:rsidRPr="006B3444">
        <w:rPr>
          <w:i/>
          <w:sz w:val="24"/>
          <w:szCs w:val="24"/>
        </w:rPr>
        <w:t>Race</w:t>
      </w:r>
    </w:p>
    <w:p w14:paraId="42A5612D" w14:textId="77777777" w:rsidR="006B3444" w:rsidRPr="006B3444" w:rsidRDefault="006B3444" w:rsidP="00094965">
      <w:pPr>
        <w:ind w:left="851"/>
        <w:rPr>
          <w:i/>
          <w:sz w:val="24"/>
          <w:szCs w:val="24"/>
        </w:rPr>
      </w:pPr>
    </w:p>
    <w:p w14:paraId="5D8DD9AE" w14:textId="77777777" w:rsidR="006B3444" w:rsidRPr="006B3444" w:rsidRDefault="006B3444" w:rsidP="00094965">
      <w:pPr>
        <w:ind w:left="851"/>
        <w:rPr>
          <w:sz w:val="24"/>
          <w:szCs w:val="24"/>
        </w:rPr>
      </w:pPr>
      <w:r w:rsidRPr="006B3444">
        <w:rPr>
          <w:sz w:val="24"/>
          <w:szCs w:val="24"/>
        </w:rPr>
        <w:t>Racen havde ingen klinisk betydningsfuld virkning på farmakokinetikken af ivacaftor hos hvide (n=379) og ikke-hvide (n=29) patienter baseret på en populationsfarmakokinetisk analyse.</w:t>
      </w:r>
    </w:p>
    <w:p w14:paraId="25E4DC5A" w14:textId="77777777" w:rsidR="006B3444" w:rsidRPr="006B3444" w:rsidRDefault="006B3444" w:rsidP="00094965">
      <w:pPr>
        <w:ind w:left="851"/>
        <w:rPr>
          <w:sz w:val="24"/>
          <w:szCs w:val="24"/>
        </w:rPr>
      </w:pPr>
    </w:p>
    <w:p w14:paraId="57E63100" w14:textId="77777777" w:rsidR="006B3444" w:rsidRPr="006B3444" w:rsidRDefault="006B3444" w:rsidP="00094965">
      <w:pPr>
        <w:ind w:left="851"/>
        <w:rPr>
          <w:i/>
          <w:sz w:val="24"/>
          <w:szCs w:val="24"/>
        </w:rPr>
      </w:pPr>
      <w:r w:rsidRPr="006B3444">
        <w:rPr>
          <w:i/>
          <w:sz w:val="24"/>
          <w:szCs w:val="24"/>
        </w:rPr>
        <w:t>Køn</w:t>
      </w:r>
    </w:p>
    <w:p w14:paraId="34F2B1B4" w14:textId="77777777" w:rsidR="006B3444" w:rsidRPr="006B3444" w:rsidRDefault="006B3444" w:rsidP="00094965">
      <w:pPr>
        <w:ind w:left="851"/>
        <w:rPr>
          <w:i/>
          <w:sz w:val="24"/>
          <w:szCs w:val="24"/>
        </w:rPr>
      </w:pPr>
    </w:p>
    <w:p w14:paraId="5D982506" w14:textId="77777777" w:rsidR="006B3444" w:rsidRPr="006B3444" w:rsidRDefault="006B3444" w:rsidP="00094965">
      <w:pPr>
        <w:ind w:left="851"/>
        <w:rPr>
          <w:sz w:val="24"/>
          <w:szCs w:val="24"/>
        </w:rPr>
      </w:pPr>
      <w:r w:rsidRPr="006B3444">
        <w:rPr>
          <w:sz w:val="24"/>
          <w:szCs w:val="24"/>
        </w:rPr>
        <w:t>De farmakokinetiske parametre for ivacaftor er sammenlignelige for mænd og kvinder.</w:t>
      </w:r>
    </w:p>
    <w:p w14:paraId="30D140D4" w14:textId="77777777" w:rsidR="006B3444" w:rsidRPr="006B3444" w:rsidRDefault="006B3444" w:rsidP="00094965">
      <w:pPr>
        <w:ind w:left="851"/>
        <w:rPr>
          <w:sz w:val="24"/>
          <w:szCs w:val="24"/>
        </w:rPr>
      </w:pPr>
    </w:p>
    <w:p w14:paraId="66B0E333" w14:textId="77777777" w:rsidR="006B3444" w:rsidRPr="006B3444" w:rsidRDefault="006B3444" w:rsidP="00094965">
      <w:pPr>
        <w:ind w:left="851"/>
        <w:rPr>
          <w:i/>
          <w:sz w:val="24"/>
          <w:szCs w:val="24"/>
        </w:rPr>
      </w:pPr>
      <w:r w:rsidRPr="006B3444">
        <w:rPr>
          <w:i/>
          <w:sz w:val="24"/>
          <w:szCs w:val="24"/>
        </w:rPr>
        <w:t>Ældre</w:t>
      </w:r>
    </w:p>
    <w:p w14:paraId="2B0901BB" w14:textId="77777777" w:rsidR="006B3444" w:rsidRPr="006B3444" w:rsidRDefault="006B3444" w:rsidP="00094965">
      <w:pPr>
        <w:ind w:left="851"/>
        <w:rPr>
          <w:i/>
          <w:sz w:val="24"/>
          <w:szCs w:val="24"/>
        </w:rPr>
      </w:pPr>
    </w:p>
    <w:p w14:paraId="1394337C" w14:textId="77777777" w:rsidR="006B3444" w:rsidRPr="006B3444" w:rsidRDefault="006B3444" w:rsidP="00094965">
      <w:pPr>
        <w:ind w:left="851"/>
        <w:rPr>
          <w:sz w:val="24"/>
          <w:szCs w:val="24"/>
        </w:rPr>
      </w:pPr>
      <w:r w:rsidRPr="006B3444">
        <w:rPr>
          <w:sz w:val="24"/>
          <w:szCs w:val="24"/>
        </w:rPr>
        <w:t>Kliniske studier af ivacaftor omfattede ikke et tilstrækkeligt antal patienter i alderen 65 år og ældre til at bestemme, om de farmakokinetiske parametre svarer til dem for yngre voksne.</w:t>
      </w:r>
    </w:p>
    <w:p w14:paraId="3787D9A4" w14:textId="77777777" w:rsidR="006B3444" w:rsidRPr="006B3444" w:rsidRDefault="006B3444" w:rsidP="00094965">
      <w:pPr>
        <w:ind w:left="851"/>
        <w:rPr>
          <w:sz w:val="24"/>
          <w:szCs w:val="24"/>
        </w:rPr>
      </w:pPr>
    </w:p>
    <w:p w14:paraId="16A54498" w14:textId="77777777" w:rsidR="006B3444" w:rsidRPr="006B3444" w:rsidRDefault="006B3444" w:rsidP="00094965">
      <w:pPr>
        <w:ind w:left="851"/>
        <w:rPr>
          <w:sz w:val="24"/>
          <w:szCs w:val="24"/>
        </w:rPr>
      </w:pPr>
      <w:r w:rsidRPr="006B3444">
        <w:rPr>
          <w:sz w:val="24"/>
          <w:szCs w:val="24"/>
          <w:u w:val="single"/>
        </w:rPr>
        <w:t>Pædiatrisk population</w:t>
      </w:r>
    </w:p>
    <w:p w14:paraId="5D4537E9" w14:textId="77777777" w:rsidR="006B3444" w:rsidRPr="006B3444" w:rsidRDefault="006B3444" w:rsidP="00094965">
      <w:pPr>
        <w:ind w:left="851"/>
        <w:rPr>
          <w:sz w:val="24"/>
          <w:szCs w:val="24"/>
        </w:rPr>
      </w:pPr>
    </w:p>
    <w:p w14:paraId="437EC46E" w14:textId="20A66098" w:rsidR="006B3444" w:rsidRPr="006B3444" w:rsidRDefault="006B3444" w:rsidP="00094965">
      <w:pPr>
        <w:ind w:left="851"/>
        <w:rPr>
          <w:sz w:val="24"/>
          <w:szCs w:val="24"/>
        </w:rPr>
      </w:pPr>
      <w:r w:rsidRPr="006B3444">
        <w:rPr>
          <w:sz w:val="24"/>
          <w:szCs w:val="24"/>
        </w:rPr>
        <w:t>Den forventede ivacaftor-eksponering, der er baseret på observerede ivacaftor-koncentrationer i fase 2- og 3-studier, bestemt ved hjælp af kompartmental analyse er vist pr. aldersgruppe i tabel 9.</w:t>
      </w:r>
    </w:p>
    <w:p w14:paraId="7142812E" w14:textId="77777777" w:rsidR="006B3444" w:rsidRPr="006B3444" w:rsidRDefault="006B3444" w:rsidP="00094965">
      <w:pPr>
        <w:ind w:left="851"/>
        <w:rPr>
          <w:sz w:val="24"/>
          <w:szCs w:val="24"/>
        </w:rPr>
      </w:pPr>
    </w:p>
    <w:p w14:paraId="1F62BE05" w14:textId="29D4633D" w:rsidR="006B3444" w:rsidRPr="006B3444" w:rsidRDefault="006B3444" w:rsidP="006B3444">
      <w:pPr>
        <w:tabs>
          <w:tab w:val="left" w:pos="851"/>
        </w:tabs>
        <w:ind w:left="851"/>
        <w:rPr>
          <w:b/>
          <w:bCs/>
          <w:sz w:val="24"/>
          <w:szCs w:val="24"/>
        </w:rPr>
      </w:pPr>
      <w:r w:rsidRPr="006B3444">
        <w:rPr>
          <w:b/>
          <w:bCs/>
          <w:sz w:val="24"/>
          <w:szCs w:val="24"/>
        </w:rPr>
        <w:t>Tabel 9: Gennemsnitlig (SD) ivacaftor-eksponering pr. aldersgruppe</w:t>
      </w:r>
    </w:p>
    <w:p w14:paraId="2A20867B" w14:textId="77777777" w:rsidR="006B3444" w:rsidRPr="006B3444" w:rsidRDefault="006B3444" w:rsidP="006B3444">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18"/>
        <w:gridCol w:w="2709"/>
        <w:gridCol w:w="1606"/>
        <w:gridCol w:w="1695"/>
      </w:tblGrid>
      <w:tr w:rsidR="006B3444" w:rsidRPr="00C52CC5" w14:paraId="1754E7D8"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3CD3ED28" w14:textId="77777777" w:rsidR="006B3444" w:rsidRPr="006B3444" w:rsidRDefault="006B3444" w:rsidP="00094965">
            <w:pPr>
              <w:ind w:left="133"/>
              <w:rPr>
                <w:b/>
                <w:sz w:val="24"/>
                <w:szCs w:val="24"/>
                <w:lang w:val="en-US"/>
              </w:rPr>
            </w:pPr>
            <w:r w:rsidRPr="006B3444">
              <w:rPr>
                <w:b/>
                <w:sz w:val="24"/>
                <w:szCs w:val="24"/>
                <w:lang w:val="en-US"/>
              </w:rPr>
              <w:t>Aldersgruppe</w:t>
            </w:r>
          </w:p>
        </w:tc>
        <w:tc>
          <w:tcPr>
            <w:tcW w:w="1407" w:type="pct"/>
            <w:tcBorders>
              <w:top w:val="single" w:sz="4" w:space="0" w:color="000000"/>
              <w:left w:val="single" w:sz="4" w:space="0" w:color="000000"/>
              <w:bottom w:val="single" w:sz="4" w:space="0" w:color="000000"/>
              <w:right w:val="single" w:sz="4" w:space="0" w:color="000000"/>
            </w:tcBorders>
            <w:hideMark/>
          </w:tcPr>
          <w:p w14:paraId="293DF485" w14:textId="77777777" w:rsidR="006B3444" w:rsidRPr="006B3444" w:rsidRDefault="006B3444" w:rsidP="00094965">
            <w:pPr>
              <w:ind w:left="133"/>
              <w:rPr>
                <w:b/>
                <w:sz w:val="24"/>
                <w:szCs w:val="24"/>
                <w:lang w:val="en-US"/>
              </w:rPr>
            </w:pPr>
            <w:r w:rsidRPr="006B3444">
              <w:rPr>
                <w:b/>
                <w:sz w:val="24"/>
                <w:szCs w:val="24"/>
                <w:lang w:val="en-US"/>
              </w:rPr>
              <w:t>Dosis</w:t>
            </w:r>
          </w:p>
        </w:tc>
        <w:tc>
          <w:tcPr>
            <w:tcW w:w="834" w:type="pct"/>
            <w:tcBorders>
              <w:top w:val="single" w:sz="4" w:space="0" w:color="000000"/>
              <w:left w:val="single" w:sz="4" w:space="0" w:color="000000"/>
              <w:bottom w:val="single" w:sz="4" w:space="0" w:color="000000"/>
              <w:right w:val="single" w:sz="4" w:space="0" w:color="000000"/>
            </w:tcBorders>
            <w:hideMark/>
          </w:tcPr>
          <w:p w14:paraId="48DA55C0" w14:textId="77777777" w:rsidR="006B3444" w:rsidRPr="006B3444" w:rsidRDefault="006B3444" w:rsidP="00A249F1">
            <w:pPr>
              <w:ind w:left="133"/>
              <w:jc w:val="center"/>
              <w:rPr>
                <w:b/>
                <w:sz w:val="24"/>
                <w:szCs w:val="24"/>
                <w:lang w:val="en-US"/>
              </w:rPr>
            </w:pPr>
            <w:r w:rsidRPr="006B3444">
              <w:rPr>
                <w:b/>
                <w:sz w:val="24"/>
                <w:szCs w:val="24"/>
                <w:lang w:val="en-US"/>
              </w:rPr>
              <w:t>C</w:t>
            </w:r>
            <w:r w:rsidRPr="006B3444">
              <w:rPr>
                <w:b/>
                <w:sz w:val="24"/>
                <w:szCs w:val="24"/>
                <w:vertAlign w:val="subscript"/>
                <w:lang w:val="en-US"/>
              </w:rPr>
              <w:t>min, ss</w:t>
            </w:r>
          </w:p>
          <w:p w14:paraId="7B1892DE" w14:textId="77777777" w:rsidR="006B3444" w:rsidRPr="006B3444" w:rsidRDefault="006B3444" w:rsidP="00A249F1">
            <w:pPr>
              <w:ind w:left="133"/>
              <w:jc w:val="center"/>
              <w:rPr>
                <w:b/>
                <w:sz w:val="24"/>
                <w:szCs w:val="24"/>
                <w:lang w:val="en-US"/>
              </w:rPr>
            </w:pPr>
            <w:r w:rsidRPr="006B3444">
              <w:rPr>
                <w:b/>
                <w:sz w:val="24"/>
                <w:szCs w:val="24"/>
                <w:lang w:val="en-US"/>
              </w:rPr>
              <w:t>(</w:t>
            </w:r>
            <w:proofErr w:type="gramStart"/>
            <w:r w:rsidRPr="006B3444">
              <w:rPr>
                <w:b/>
                <w:sz w:val="24"/>
                <w:szCs w:val="24"/>
                <w:lang w:val="en-US"/>
              </w:rPr>
              <w:t>µg</w:t>
            </w:r>
            <w:proofErr w:type="gramEnd"/>
            <w:r w:rsidRPr="006B3444">
              <w:rPr>
                <w:b/>
                <w:sz w:val="24"/>
                <w:szCs w:val="24"/>
                <w:lang w:val="en-US"/>
              </w:rPr>
              <w:t>/ml)</w:t>
            </w:r>
          </w:p>
        </w:tc>
        <w:tc>
          <w:tcPr>
            <w:tcW w:w="880" w:type="pct"/>
            <w:tcBorders>
              <w:top w:val="single" w:sz="4" w:space="0" w:color="000000"/>
              <w:left w:val="single" w:sz="4" w:space="0" w:color="000000"/>
              <w:bottom w:val="single" w:sz="4" w:space="0" w:color="000000"/>
              <w:right w:val="single" w:sz="4" w:space="0" w:color="000000"/>
            </w:tcBorders>
            <w:hideMark/>
          </w:tcPr>
          <w:p w14:paraId="78C752F8" w14:textId="77777777" w:rsidR="006B3444" w:rsidRPr="006B3444" w:rsidRDefault="006B3444" w:rsidP="00A249F1">
            <w:pPr>
              <w:ind w:left="133"/>
              <w:jc w:val="center"/>
              <w:rPr>
                <w:b/>
                <w:sz w:val="24"/>
                <w:szCs w:val="24"/>
                <w:lang w:val="en-US"/>
              </w:rPr>
            </w:pPr>
            <w:r w:rsidRPr="006B3444">
              <w:rPr>
                <w:b/>
                <w:sz w:val="24"/>
                <w:szCs w:val="24"/>
                <w:lang w:val="en-US"/>
              </w:rPr>
              <w:t>AUC</w:t>
            </w:r>
            <w:r w:rsidRPr="006B3444">
              <w:rPr>
                <w:b/>
                <w:sz w:val="24"/>
                <w:szCs w:val="24"/>
                <w:vertAlign w:val="subscript"/>
                <w:lang w:val="en-US"/>
              </w:rPr>
              <w:t>τ0-12t, ss</w:t>
            </w:r>
          </w:p>
          <w:p w14:paraId="11C6EBE8" w14:textId="77777777" w:rsidR="006B3444" w:rsidRPr="006B3444" w:rsidRDefault="006B3444" w:rsidP="00A249F1">
            <w:pPr>
              <w:ind w:left="133"/>
              <w:jc w:val="center"/>
              <w:rPr>
                <w:b/>
                <w:sz w:val="24"/>
                <w:szCs w:val="24"/>
                <w:lang w:val="en-US"/>
              </w:rPr>
            </w:pPr>
            <w:r w:rsidRPr="006B3444">
              <w:rPr>
                <w:b/>
                <w:sz w:val="24"/>
                <w:szCs w:val="24"/>
                <w:lang w:val="en-US"/>
              </w:rPr>
              <w:t>(µg∙t/ml)</w:t>
            </w:r>
          </w:p>
        </w:tc>
      </w:tr>
      <w:tr w:rsidR="006B3444" w:rsidRPr="006B3444" w14:paraId="2ADEC469"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2F4F04AA" w14:textId="77777777" w:rsidR="006B3444" w:rsidRPr="006B3444" w:rsidRDefault="006B3444" w:rsidP="00094965">
            <w:pPr>
              <w:ind w:left="133"/>
              <w:rPr>
                <w:sz w:val="24"/>
                <w:szCs w:val="24"/>
              </w:rPr>
            </w:pPr>
            <w:r w:rsidRPr="006B3444">
              <w:rPr>
                <w:sz w:val="24"/>
                <w:szCs w:val="24"/>
              </w:rPr>
              <w:t>1 måned til under 2 måneder</w:t>
            </w:r>
          </w:p>
          <w:p w14:paraId="0572B445" w14:textId="77777777" w:rsidR="006B3444" w:rsidRPr="006B3444" w:rsidRDefault="006B3444" w:rsidP="00094965">
            <w:pPr>
              <w:ind w:left="133"/>
              <w:rPr>
                <w:sz w:val="24"/>
                <w:szCs w:val="24"/>
              </w:rPr>
            </w:pPr>
            <w:r w:rsidRPr="006B3444">
              <w:rPr>
                <w:sz w:val="24"/>
                <w:szCs w:val="24"/>
              </w:rPr>
              <w:t xml:space="preserve">(≥ 3 </w:t>
            </w:r>
            <w:proofErr w:type="gramStart"/>
            <w:r w:rsidRPr="006B3444">
              <w:rPr>
                <w:sz w:val="24"/>
                <w:szCs w:val="24"/>
              </w:rPr>
              <w:t>kg)</w:t>
            </w:r>
            <w:r w:rsidRPr="006B3444">
              <w:rPr>
                <w:sz w:val="24"/>
                <w:szCs w:val="24"/>
                <w:vertAlign w:val="superscript"/>
              </w:rPr>
              <w:t>*</w:t>
            </w:r>
            <w:proofErr w:type="gramEnd"/>
          </w:p>
        </w:tc>
        <w:tc>
          <w:tcPr>
            <w:tcW w:w="1407" w:type="pct"/>
            <w:tcBorders>
              <w:top w:val="single" w:sz="4" w:space="0" w:color="000000"/>
              <w:left w:val="single" w:sz="4" w:space="0" w:color="000000"/>
              <w:bottom w:val="single" w:sz="4" w:space="0" w:color="000000"/>
              <w:right w:val="single" w:sz="4" w:space="0" w:color="000000"/>
            </w:tcBorders>
            <w:hideMark/>
          </w:tcPr>
          <w:p w14:paraId="1C7A6B9F" w14:textId="77777777" w:rsidR="006B3444" w:rsidRPr="006B3444" w:rsidRDefault="006B3444" w:rsidP="00094965">
            <w:pPr>
              <w:ind w:left="133"/>
              <w:rPr>
                <w:sz w:val="24"/>
                <w:szCs w:val="24"/>
                <w:lang w:val="en-US"/>
              </w:rPr>
            </w:pPr>
            <w:r w:rsidRPr="006B3444">
              <w:rPr>
                <w:sz w:val="24"/>
                <w:szCs w:val="24"/>
                <w:lang w:val="en-US"/>
              </w:rPr>
              <w:t>13,4 mg hver 24. time</w:t>
            </w:r>
          </w:p>
        </w:tc>
        <w:tc>
          <w:tcPr>
            <w:tcW w:w="834" w:type="pct"/>
            <w:tcBorders>
              <w:top w:val="single" w:sz="4" w:space="0" w:color="000000"/>
              <w:left w:val="single" w:sz="4" w:space="0" w:color="000000"/>
              <w:bottom w:val="single" w:sz="4" w:space="0" w:color="000000"/>
              <w:right w:val="single" w:sz="4" w:space="0" w:color="000000"/>
            </w:tcBorders>
            <w:hideMark/>
          </w:tcPr>
          <w:p w14:paraId="1F7F8137" w14:textId="77777777" w:rsidR="006B3444" w:rsidRPr="006B3444" w:rsidRDefault="006B3444" w:rsidP="00A249F1">
            <w:pPr>
              <w:ind w:left="133"/>
              <w:jc w:val="center"/>
              <w:rPr>
                <w:sz w:val="24"/>
                <w:szCs w:val="24"/>
                <w:lang w:val="en-US"/>
              </w:rPr>
            </w:pPr>
            <w:r w:rsidRPr="006B3444">
              <w:rPr>
                <w:sz w:val="24"/>
                <w:szCs w:val="24"/>
                <w:lang w:val="en-US"/>
              </w:rPr>
              <w:t>0,300 (</w:t>
            </w:r>
            <w:proofErr w:type="gramStart"/>
            <w:r w:rsidRPr="006B3444">
              <w:rPr>
                <w:sz w:val="24"/>
                <w:szCs w:val="24"/>
                <w:lang w:val="en-US"/>
              </w:rPr>
              <w:t>0,221)</w:t>
            </w:r>
            <w:r w:rsidRPr="006B3444">
              <w:rPr>
                <w:sz w:val="24"/>
                <w:szCs w:val="24"/>
                <w:vertAlign w:val="superscript"/>
                <w:lang w:val="en-US"/>
              </w:rPr>
              <w:t>†</w:t>
            </w:r>
            <w:proofErr w:type="gramEnd"/>
          </w:p>
        </w:tc>
        <w:tc>
          <w:tcPr>
            <w:tcW w:w="880" w:type="pct"/>
            <w:tcBorders>
              <w:top w:val="single" w:sz="4" w:space="0" w:color="000000"/>
              <w:left w:val="single" w:sz="4" w:space="0" w:color="000000"/>
              <w:bottom w:val="single" w:sz="4" w:space="0" w:color="000000"/>
              <w:right w:val="single" w:sz="4" w:space="0" w:color="000000"/>
            </w:tcBorders>
            <w:hideMark/>
          </w:tcPr>
          <w:p w14:paraId="798CD546" w14:textId="77777777" w:rsidR="006B3444" w:rsidRPr="006B3444" w:rsidRDefault="006B3444" w:rsidP="00A249F1">
            <w:pPr>
              <w:ind w:left="133"/>
              <w:jc w:val="center"/>
              <w:rPr>
                <w:sz w:val="24"/>
                <w:szCs w:val="24"/>
                <w:lang w:val="en-US"/>
              </w:rPr>
            </w:pPr>
            <w:r w:rsidRPr="006B3444">
              <w:rPr>
                <w:sz w:val="24"/>
                <w:szCs w:val="24"/>
                <w:lang w:val="en-US"/>
              </w:rPr>
              <w:t>5,84 (2,</w:t>
            </w:r>
            <w:proofErr w:type="gramStart"/>
            <w:r w:rsidRPr="006B3444">
              <w:rPr>
                <w:sz w:val="24"/>
                <w:szCs w:val="24"/>
                <w:lang w:val="en-US"/>
              </w:rPr>
              <w:t>98)</w:t>
            </w:r>
            <w:r w:rsidRPr="006B3444">
              <w:rPr>
                <w:sz w:val="24"/>
                <w:szCs w:val="24"/>
                <w:vertAlign w:val="superscript"/>
                <w:lang w:val="en-US"/>
              </w:rPr>
              <w:t>†</w:t>
            </w:r>
            <w:proofErr w:type="gramEnd"/>
          </w:p>
        </w:tc>
      </w:tr>
      <w:tr w:rsidR="006B3444" w:rsidRPr="006B3444" w14:paraId="34ABF2EA" w14:textId="77777777" w:rsidTr="00094965">
        <w:trPr>
          <w:trHeight w:val="501"/>
        </w:trPr>
        <w:tc>
          <w:tcPr>
            <w:tcW w:w="1879" w:type="pct"/>
            <w:tcBorders>
              <w:top w:val="single" w:sz="4" w:space="0" w:color="000000"/>
              <w:left w:val="single" w:sz="4" w:space="0" w:color="000000"/>
              <w:bottom w:val="single" w:sz="4" w:space="0" w:color="000000"/>
              <w:right w:val="single" w:sz="4" w:space="0" w:color="000000"/>
            </w:tcBorders>
            <w:hideMark/>
          </w:tcPr>
          <w:p w14:paraId="3F21ABDD" w14:textId="77777777" w:rsidR="006B3444" w:rsidRPr="006B3444" w:rsidRDefault="006B3444" w:rsidP="00094965">
            <w:pPr>
              <w:ind w:left="133"/>
              <w:rPr>
                <w:sz w:val="24"/>
                <w:szCs w:val="24"/>
              </w:rPr>
            </w:pPr>
            <w:r w:rsidRPr="006B3444">
              <w:rPr>
                <w:sz w:val="24"/>
                <w:szCs w:val="24"/>
              </w:rPr>
              <w:t>2 måneder til under 4 måneder</w:t>
            </w:r>
          </w:p>
          <w:p w14:paraId="09CB0E36" w14:textId="77777777" w:rsidR="006B3444" w:rsidRPr="006B3444" w:rsidRDefault="006B3444" w:rsidP="00094965">
            <w:pPr>
              <w:ind w:left="133"/>
              <w:rPr>
                <w:sz w:val="24"/>
                <w:szCs w:val="24"/>
              </w:rPr>
            </w:pPr>
            <w:r w:rsidRPr="006B3444">
              <w:rPr>
                <w:sz w:val="24"/>
                <w:szCs w:val="24"/>
              </w:rPr>
              <w:t xml:space="preserve">(≥ 3 </w:t>
            </w:r>
            <w:proofErr w:type="gramStart"/>
            <w:r w:rsidRPr="006B3444">
              <w:rPr>
                <w:sz w:val="24"/>
                <w:szCs w:val="24"/>
              </w:rPr>
              <w:t>kg)</w:t>
            </w:r>
            <w:r w:rsidRPr="006B3444">
              <w:rPr>
                <w:sz w:val="24"/>
                <w:szCs w:val="24"/>
                <w:vertAlign w:val="superscript"/>
              </w:rPr>
              <w:t>*</w:t>
            </w:r>
            <w:proofErr w:type="gramEnd"/>
          </w:p>
        </w:tc>
        <w:tc>
          <w:tcPr>
            <w:tcW w:w="1407" w:type="pct"/>
            <w:tcBorders>
              <w:top w:val="single" w:sz="4" w:space="0" w:color="000000"/>
              <w:left w:val="single" w:sz="4" w:space="0" w:color="000000"/>
              <w:bottom w:val="single" w:sz="4" w:space="0" w:color="000000"/>
              <w:right w:val="single" w:sz="4" w:space="0" w:color="000000"/>
            </w:tcBorders>
            <w:hideMark/>
          </w:tcPr>
          <w:p w14:paraId="4DECE7B0" w14:textId="77777777" w:rsidR="006B3444" w:rsidRPr="006B3444" w:rsidRDefault="006B3444" w:rsidP="00094965">
            <w:pPr>
              <w:ind w:left="133"/>
              <w:rPr>
                <w:sz w:val="24"/>
                <w:szCs w:val="24"/>
                <w:lang w:val="en-US"/>
              </w:rPr>
            </w:pPr>
            <w:r w:rsidRPr="006B3444">
              <w:rPr>
                <w:sz w:val="24"/>
                <w:szCs w:val="24"/>
                <w:lang w:val="en-US"/>
              </w:rPr>
              <w:t>13,4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14811C03" w14:textId="77777777" w:rsidR="006B3444" w:rsidRPr="006B3444" w:rsidRDefault="006B3444" w:rsidP="00A249F1">
            <w:pPr>
              <w:ind w:left="133"/>
              <w:jc w:val="center"/>
              <w:rPr>
                <w:sz w:val="24"/>
                <w:szCs w:val="24"/>
                <w:lang w:val="en-US"/>
              </w:rPr>
            </w:pPr>
            <w:r w:rsidRPr="006B3444">
              <w:rPr>
                <w:sz w:val="24"/>
                <w:szCs w:val="24"/>
                <w:lang w:val="en-US"/>
              </w:rPr>
              <w:t>0,406 (</w:t>
            </w:r>
            <w:proofErr w:type="gramStart"/>
            <w:r w:rsidRPr="006B3444">
              <w:rPr>
                <w:sz w:val="24"/>
                <w:szCs w:val="24"/>
                <w:lang w:val="en-US"/>
              </w:rPr>
              <w:t>0,266)</w:t>
            </w:r>
            <w:r w:rsidRPr="006B3444">
              <w:rPr>
                <w:sz w:val="24"/>
                <w:szCs w:val="24"/>
                <w:vertAlign w:val="superscript"/>
                <w:lang w:val="en-US"/>
              </w:rPr>
              <w:t>†</w:t>
            </w:r>
            <w:proofErr w:type="gramEnd"/>
          </w:p>
        </w:tc>
        <w:tc>
          <w:tcPr>
            <w:tcW w:w="880" w:type="pct"/>
            <w:tcBorders>
              <w:top w:val="single" w:sz="4" w:space="0" w:color="000000"/>
              <w:left w:val="single" w:sz="4" w:space="0" w:color="000000"/>
              <w:bottom w:val="single" w:sz="4" w:space="0" w:color="000000"/>
              <w:right w:val="single" w:sz="4" w:space="0" w:color="000000"/>
            </w:tcBorders>
            <w:hideMark/>
          </w:tcPr>
          <w:p w14:paraId="381C6719" w14:textId="77777777" w:rsidR="006B3444" w:rsidRPr="006B3444" w:rsidRDefault="006B3444" w:rsidP="00A249F1">
            <w:pPr>
              <w:ind w:left="133"/>
              <w:jc w:val="center"/>
              <w:rPr>
                <w:sz w:val="24"/>
                <w:szCs w:val="24"/>
                <w:lang w:val="en-US"/>
              </w:rPr>
            </w:pPr>
            <w:r w:rsidRPr="006B3444">
              <w:rPr>
                <w:sz w:val="24"/>
                <w:szCs w:val="24"/>
                <w:lang w:val="en-US"/>
              </w:rPr>
              <w:t>6,45 (3,</w:t>
            </w:r>
            <w:proofErr w:type="gramStart"/>
            <w:r w:rsidRPr="006B3444">
              <w:rPr>
                <w:sz w:val="24"/>
                <w:szCs w:val="24"/>
                <w:lang w:val="en-US"/>
              </w:rPr>
              <w:t>43)</w:t>
            </w:r>
            <w:r w:rsidRPr="006B3444">
              <w:rPr>
                <w:sz w:val="24"/>
                <w:szCs w:val="24"/>
                <w:vertAlign w:val="superscript"/>
                <w:lang w:val="en-US"/>
              </w:rPr>
              <w:t>†</w:t>
            </w:r>
            <w:proofErr w:type="gramEnd"/>
          </w:p>
        </w:tc>
      </w:tr>
      <w:tr w:rsidR="006B3444" w:rsidRPr="006B3444" w14:paraId="784B311E"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4392C3C3" w14:textId="77777777" w:rsidR="006B3444" w:rsidRPr="006B3444" w:rsidRDefault="006B3444" w:rsidP="00094965">
            <w:pPr>
              <w:ind w:left="133"/>
              <w:rPr>
                <w:sz w:val="24"/>
                <w:szCs w:val="24"/>
              </w:rPr>
            </w:pPr>
            <w:r w:rsidRPr="006B3444">
              <w:rPr>
                <w:sz w:val="24"/>
                <w:szCs w:val="24"/>
              </w:rPr>
              <w:t>4 måneder til under 6 måneder</w:t>
            </w:r>
          </w:p>
          <w:p w14:paraId="706CF7FD" w14:textId="77777777" w:rsidR="006B3444" w:rsidRPr="006B3444" w:rsidRDefault="006B3444" w:rsidP="00094965">
            <w:pPr>
              <w:ind w:left="133"/>
              <w:rPr>
                <w:sz w:val="24"/>
                <w:szCs w:val="24"/>
              </w:rPr>
            </w:pPr>
            <w:r w:rsidRPr="006B3444">
              <w:rPr>
                <w:sz w:val="24"/>
                <w:szCs w:val="24"/>
              </w:rPr>
              <w:t xml:space="preserve">(≥ 5 </w:t>
            </w:r>
            <w:proofErr w:type="gramStart"/>
            <w:r w:rsidRPr="006B3444">
              <w:rPr>
                <w:sz w:val="24"/>
                <w:szCs w:val="24"/>
              </w:rPr>
              <w:t>kg)</w:t>
            </w:r>
            <w:r w:rsidRPr="006B3444">
              <w:rPr>
                <w:sz w:val="24"/>
                <w:szCs w:val="24"/>
                <w:vertAlign w:val="superscript"/>
              </w:rPr>
              <w:t>*</w:t>
            </w:r>
            <w:proofErr w:type="gramEnd"/>
          </w:p>
        </w:tc>
        <w:tc>
          <w:tcPr>
            <w:tcW w:w="1407" w:type="pct"/>
            <w:tcBorders>
              <w:top w:val="single" w:sz="4" w:space="0" w:color="000000"/>
              <w:left w:val="single" w:sz="4" w:space="0" w:color="000000"/>
              <w:bottom w:val="single" w:sz="4" w:space="0" w:color="000000"/>
              <w:right w:val="single" w:sz="4" w:space="0" w:color="000000"/>
            </w:tcBorders>
            <w:hideMark/>
          </w:tcPr>
          <w:p w14:paraId="1F72912F" w14:textId="77777777" w:rsidR="006B3444" w:rsidRPr="006B3444" w:rsidRDefault="006B3444" w:rsidP="00094965">
            <w:pPr>
              <w:ind w:left="133"/>
              <w:rPr>
                <w:sz w:val="24"/>
                <w:szCs w:val="24"/>
                <w:lang w:val="en-US"/>
              </w:rPr>
            </w:pPr>
            <w:r w:rsidRPr="006B3444">
              <w:rPr>
                <w:sz w:val="24"/>
                <w:szCs w:val="24"/>
                <w:lang w:val="en-US"/>
              </w:rPr>
              <w:t>25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09387DB0" w14:textId="77777777" w:rsidR="006B3444" w:rsidRPr="006B3444" w:rsidRDefault="006B3444" w:rsidP="00A249F1">
            <w:pPr>
              <w:ind w:left="133"/>
              <w:jc w:val="center"/>
              <w:rPr>
                <w:sz w:val="24"/>
                <w:szCs w:val="24"/>
                <w:lang w:val="en-US"/>
              </w:rPr>
            </w:pPr>
            <w:r w:rsidRPr="006B3444">
              <w:rPr>
                <w:sz w:val="24"/>
                <w:szCs w:val="24"/>
                <w:lang w:val="en-US"/>
              </w:rPr>
              <w:t>0,371 (0,183)</w:t>
            </w:r>
          </w:p>
        </w:tc>
        <w:tc>
          <w:tcPr>
            <w:tcW w:w="880" w:type="pct"/>
            <w:tcBorders>
              <w:top w:val="single" w:sz="4" w:space="0" w:color="000000"/>
              <w:left w:val="single" w:sz="4" w:space="0" w:color="000000"/>
              <w:bottom w:val="single" w:sz="4" w:space="0" w:color="000000"/>
              <w:right w:val="single" w:sz="4" w:space="0" w:color="000000"/>
            </w:tcBorders>
            <w:hideMark/>
          </w:tcPr>
          <w:p w14:paraId="573A7299" w14:textId="77777777" w:rsidR="006B3444" w:rsidRPr="006B3444" w:rsidRDefault="006B3444" w:rsidP="00A249F1">
            <w:pPr>
              <w:ind w:left="133"/>
              <w:jc w:val="center"/>
              <w:rPr>
                <w:sz w:val="24"/>
                <w:szCs w:val="24"/>
                <w:lang w:val="en-US"/>
              </w:rPr>
            </w:pPr>
            <w:r w:rsidRPr="006B3444">
              <w:rPr>
                <w:sz w:val="24"/>
                <w:szCs w:val="24"/>
                <w:lang w:val="en-US"/>
              </w:rPr>
              <w:t>6,48 (2,52)</w:t>
            </w:r>
          </w:p>
        </w:tc>
      </w:tr>
      <w:tr w:rsidR="006B3444" w:rsidRPr="006B3444" w14:paraId="49F204A9"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2D1F4E96" w14:textId="77777777" w:rsidR="00A249F1" w:rsidRDefault="006B3444" w:rsidP="00094965">
            <w:pPr>
              <w:ind w:left="133"/>
              <w:rPr>
                <w:sz w:val="24"/>
                <w:szCs w:val="24"/>
              </w:rPr>
            </w:pPr>
            <w:r w:rsidRPr="006B3444">
              <w:rPr>
                <w:sz w:val="24"/>
                <w:szCs w:val="24"/>
              </w:rPr>
              <w:t xml:space="preserve">6 måneder til under 12 måneder </w:t>
            </w:r>
          </w:p>
          <w:p w14:paraId="77A84E6C" w14:textId="54507181" w:rsidR="006B3444" w:rsidRPr="006B3444" w:rsidRDefault="006B3444" w:rsidP="00094965">
            <w:pPr>
              <w:ind w:left="133"/>
              <w:rPr>
                <w:sz w:val="24"/>
                <w:szCs w:val="24"/>
              </w:rPr>
            </w:pPr>
            <w:r w:rsidRPr="006B3444">
              <w:rPr>
                <w:sz w:val="24"/>
                <w:szCs w:val="24"/>
              </w:rPr>
              <w:t xml:space="preserve">(≥ 5 kg til &lt; 7 </w:t>
            </w:r>
            <w:proofErr w:type="gramStart"/>
            <w:r w:rsidRPr="006B3444">
              <w:rPr>
                <w:sz w:val="24"/>
                <w:szCs w:val="24"/>
              </w:rPr>
              <w:t>kg)</w:t>
            </w:r>
            <w:r w:rsidRPr="006B3444">
              <w:rPr>
                <w:sz w:val="24"/>
                <w:szCs w:val="24"/>
                <w:vertAlign w:val="superscript"/>
              </w:rPr>
              <w:t>‡</w:t>
            </w:r>
            <w:proofErr w:type="gramEnd"/>
          </w:p>
        </w:tc>
        <w:tc>
          <w:tcPr>
            <w:tcW w:w="1407" w:type="pct"/>
            <w:tcBorders>
              <w:top w:val="single" w:sz="4" w:space="0" w:color="000000"/>
              <w:left w:val="single" w:sz="4" w:space="0" w:color="000000"/>
              <w:bottom w:val="single" w:sz="4" w:space="0" w:color="000000"/>
              <w:right w:val="single" w:sz="4" w:space="0" w:color="000000"/>
            </w:tcBorders>
            <w:hideMark/>
          </w:tcPr>
          <w:p w14:paraId="0ED56F43" w14:textId="77777777" w:rsidR="006B3444" w:rsidRPr="006B3444" w:rsidRDefault="006B3444" w:rsidP="00094965">
            <w:pPr>
              <w:ind w:left="133"/>
              <w:rPr>
                <w:sz w:val="24"/>
                <w:szCs w:val="24"/>
                <w:lang w:val="en-US"/>
              </w:rPr>
            </w:pPr>
            <w:r w:rsidRPr="006B3444">
              <w:rPr>
                <w:sz w:val="24"/>
                <w:szCs w:val="24"/>
                <w:lang w:val="en-US"/>
              </w:rPr>
              <w:t>25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2D1A11B7" w14:textId="77777777" w:rsidR="006B3444" w:rsidRPr="006B3444" w:rsidRDefault="006B3444" w:rsidP="00A249F1">
            <w:pPr>
              <w:ind w:left="133"/>
              <w:jc w:val="center"/>
              <w:rPr>
                <w:sz w:val="24"/>
                <w:szCs w:val="24"/>
                <w:lang w:val="en-US"/>
              </w:rPr>
            </w:pPr>
            <w:r w:rsidRPr="006B3444">
              <w:rPr>
                <w:sz w:val="24"/>
                <w:szCs w:val="24"/>
                <w:lang w:val="en-US"/>
              </w:rPr>
              <w:t>0,336</w:t>
            </w:r>
          </w:p>
        </w:tc>
        <w:tc>
          <w:tcPr>
            <w:tcW w:w="880" w:type="pct"/>
            <w:tcBorders>
              <w:top w:val="single" w:sz="4" w:space="0" w:color="000000"/>
              <w:left w:val="single" w:sz="4" w:space="0" w:color="000000"/>
              <w:bottom w:val="single" w:sz="4" w:space="0" w:color="000000"/>
              <w:right w:val="single" w:sz="4" w:space="0" w:color="000000"/>
            </w:tcBorders>
            <w:hideMark/>
          </w:tcPr>
          <w:p w14:paraId="5C26720B" w14:textId="77777777" w:rsidR="006B3444" w:rsidRPr="006B3444" w:rsidRDefault="006B3444" w:rsidP="00A249F1">
            <w:pPr>
              <w:ind w:left="133"/>
              <w:jc w:val="center"/>
              <w:rPr>
                <w:sz w:val="24"/>
                <w:szCs w:val="24"/>
                <w:lang w:val="en-US"/>
              </w:rPr>
            </w:pPr>
            <w:r w:rsidRPr="006B3444">
              <w:rPr>
                <w:sz w:val="24"/>
                <w:szCs w:val="24"/>
                <w:lang w:val="en-US"/>
              </w:rPr>
              <w:t>5,41</w:t>
            </w:r>
          </w:p>
        </w:tc>
      </w:tr>
      <w:tr w:rsidR="006B3444" w:rsidRPr="006B3444" w14:paraId="15A37571" w14:textId="77777777" w:rsidTr="00094965">
        <w:trPr>
          <w:trHeight w:val="501"/>
        </w:trPr>
        <w:tc>
          <w:tcPr>
            <w:tcW w:w="1879" w:type="pct"/>
            <w:tcBorders>
              <w:top w:val="single" w:sz="4" w:space="0" w:color="000000"/>
              <w:left w:val="single" w:sz="4" w:space="0" w:color="000000"/>
              <w:bottom w:val="single" w:sz="4" w:space="0" w:color="000000"/>
              <w:right w:val="single" w:sz="4" w:space="0" w:color="000000"/>
            </w:tcBorders>
            <w:hideMark/>
          </w:tcPr>
          <w:p w14:paraId="64A99A1D" w14:textId="77777777" w:rsidR="006B3444" w:rsidRPr="006B3444" w:rsidRDefault="006B3444" w:rsidP="00094965">
            <w:pPr>
              <w:ind w:left="133"/>
              <w:rPr>
                <w:sz w:val="24"/>
                <w:szCs w:val="24"/>
              </w:rPr>
            </w:pPr>
            <w:r w:rsidRPr="006B3444">
              <w:rPr>
                <w:sz w:val="24"/>
                <w:szCs w:val="24"/>
              </w:rPr>
              <w:t>6 måneder til under 12 måneder</w:t>
            </w:r>
          </w:p>
          <w:p w14:paraId="598A38C1" w14:textId="77777777" w:rsidR="006B3444" w:rsidRPr="006B3444" w:rsidRDefault="006B3444" w:rsidP="00094965">
            <w:pPr>
              <w:ind w:left="133"/>
              <w:rPr>
                <w:sz w:val="24"/>
                <w:szCs w:val="24"/>
              </w:rPr>
            </w:pPr>
            <w:r w:rsidRPr="006B3444">
              <w:rPr>
                <w:sz w:val="24"/>
                <w:szCs w:val="24"/>
              </w:rPr>
              <w:t>(7 kg til &lt; 14 kg)</w:t>
            </w:r>
          </w:p>
        </w:tc>
        <w:tc>
          <w:tcPr>
            <w:tcW w:w="1407" w:type="pct"/>
            <w:tcBorders>
              <w:top w:val="single" w:sz="4" w:space="0" w:color="000000"/>
              <w:left w:val="single" w:sz="4" w:space="0" w:color="000000"/>
              <w:bottom w:val="single" w:sz="4" w:space="0" w:color="000000"/>
              <w:right w:val="single" w:sz="4" w:space="0" w:color="000000"/>
            </w:tcBorders>
            <w:hideMark/>
          </w:tcPr>
          <w:p w14:paraId="26B0255F" w14:textId="77777777" w:rsidR="006B3444" w:rsidRPr="006B3444" w:rsidRDefault="006B3444" w:rsidP="00094965">
            <w:pPr>
              <w:ind w:left="133"/>
              <w:rPr>
                <w:sz w:val="24"/>
                <w:szCs w:val="24"/>
                <w:lang w:val="en-US"/>
              </w:rPr>
            </w:pPr>
            <w:r w:rsidRPr="006B3444">
              <w:rPr>
                <w:sz w:val="24"/>
                <w:szCs w:val="24"/>
                <w:lang w:val="en-US"/>
              </w:rPr>
              <w:t>50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4E967E82" w14:textId="77777777" w:rsidR="006B3444" w:rsidRPr="006B3444" w:rsidRDefault="006B3444" w:rsidP="00A249F1">
            <w:pPr>
              <w:ind w:left="133"/>
              <w:jc w:val="center"/>
              <w:rPr>
                <w:sz w:val="24"/>
                <w:szCs w:val="24"/>
                <w:lang w:val="en-US"/>
              </w:rPr>
            </w:pPr>
            <w:r w:rsidRPr="006B3444">
              <w:rPr>
                <w:sz w:val="24"/>
                <w:szCs w:val="24"/>
                <w:lang w:val="en-US"/>
              </w:rPr>
              <w:t>0,508 (0,252)</w:t>
            </w:r>
          </w:p>
        </w:tc>
        <w:tc>
          <w:tcPr>
            <w:tcW w:w="880" w:type="pct"/>
            <w:tcBorders>
              <w:top w:val="single" w:sz="4" w:space="0" w:color="000000"/>
              <w:left w:val="single" w:sz="4" w:space="0" w:color="000000"/>
              <w:bottom w:val="single" w:sz="4" w:space="0" w:color="000000"/>
              <w:right w:val="single" w:sz="4" w:space="0" w:color="000000"/>
            </w:tcBorders>
            <w:hideMark/>
          </w:tcPr>
          <w:p w14:paraId="7E8028A0" w14:textId="77777777" w:rsidR="006B3444" w:rsidRPr="006B3444" w:rsidRDefault="006B3444" w:rsidP="00A249F1">
            <w:pPr>
              <w:ind w:left="133"/>
              <w:jc w:val="center"/>
              <w:rPr>
                <w:sz w:val="24"/>
                <w:szCs w:val="24"/>
                <w:lang w:val="en-US"/>
              </w:rPr>
            </w:pPr>
            <w:r w:rsidRPr="006B3444">
              <w:rPr>
                <w:sz w:val="24"/>
                <w:szCs w:val="24"/>
                <w:lang w:val="en-US"/>
              </w:rPr>
              <w:t>9,14 (4,20)</w:t>
            </w:r>
          </w:p>
        </w:tc>
      </w:tr>
      <w:tr w:rsidR="006B3444" w:rsidRPr="006B3444" w14:paraId="5EC82ADD"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3ADD3882" w14:textId="77777777" w:rsidR="006B3444" w:rsidRPr="006B3444" w:rsidRDefault="006B3444" w:rsidP="00094965">
            <w:pPr>
              <w:ind w:left="133"/>
              <w:rPr>
                <w:sz w:val="24"/>
                <w:szCs w:val="24"/>
              </w:rPr>
            </w:pPr>
            <w:r w:rsidRPr="006B3444">
              <w:rPr>
                <w:sz w:val="24"/>
                <w:szCs w:val="24"/>
              </w:rPr>
              <w:t>12 måneder til under 24 måneder</w:t>
            </w:r>
          </w:p>
          <w:p w14:paraId="53CD9F81" w14:textId="77777777" w:rsidR="006B3444" w:rsidRPr="006B3444" w:rsidRDefault="006B3444" w:rsidP="00094965">
            <w:pPr>
              <w:ind w:left="133"/>
              <w:rPr>
                <w:sz w:val="24"/>
                <w:szCs w:val="24"/>
              </w:rPr>
            </w:pPr>
            <w:r w:rsidRPr="006B3444">
              <w:rPr>
                <w:sz w:val="24"/>
                <w:szCs w:val="24"/>
              </w:rPr>
              <w:t>(7 kg til &lt; 14 kg)</w:t>
            </w:r>
          </w:p>
        </w:tc>
        <w:tc>
          <w:tcPr>
            <w:tcW w:w="1407" w:type="pct"/>
            <w:tcBorders>
              <w:top w:val="single" w:sz="4" w:space="0" w:color="000000"/>
              <w:left w:val="single" w:sz="4" w:space="0" w:color="000000"/>
              <w:bottom w:val="single" w:sz="4" w:space="0" w:color="000000"/>
              <w:right w:val="single" w:sz="4" w:space="0" w:color="000000"/>
            </w:tcBorders>
            <w:hideMark/>
          </w:tcPr>
          <w:p w14:paraId="126CEE42" w14:textId="77777777" w:rsidR="006B3444" w:rsidRPr="006B3444" w:rsidRDefault="006B3444" w:rsidP="00094965">
            <w:pPr>
              <w:ind w:left="133"/>
              <w:rPr>
                <w:sz w:val="24"/>
                <w:szCs w:val="24"/>
                <w:lang w:val="en-US"/>
              </w:rPr>
            </w:pPr>
            <w:r w:rsidRPr="006B3444">
              <w:rPr>
                <w:sz w:val="24"/>
                <w:szCs w:val="24"/>
                <w:lang w:val="en-US"/>
              </w:rPr>
              <w:t>50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77FD1E02" w14:textId="77777777" w:rsidR="006B3444" w:rsidRPr="006B3444" w:rsidRDefault="006B3444" w:rsidP="00A249F1">
            <w:pPr>
              <w:ind w:left="133"/>
              <w:jc w:val="center"/>
              <w:rPr>
                <w:sz w:val="24"/>
                <w:szCs w:val="24"/>
                <w:lang w:val="en-US"/>
              </w:rPr>
            </w:pPr>
            <w:r w:rsidRPr="006B3444">
              <w:rPr>
                <w:sz w:val="24"/>
                <w:szCs w:val="24"/>
                <w:lang w:val="en-US"/>
              </w:rPr>
              <w:t>0,440 (0,212)</w:t>
            </w:r>
          </w:p>
        </w:tc>
        <w:tc>
          <w:tcPr>
            <w:tcW w:w="880" w:type="pct"/>
            <w:tcBorders>
              <w:top w:val="single" w:sz="4" w:space="0" w:color="000000"/>
              <w:left w:val="single" w:sz="4" w:space="0" w:color="000000"/>
              <w:bottom w:val="single" w:sz="4" w:space="0" w:color="000000"/>
              <w:right w:val="single" w:sz="4" w:space="0" w:color="000000"/>
            </w:tcBorders>
            <w:hideMark/>
          </w:tcPr>
          <w:p w14:paraId="4475303B" w14:textId="77777777" w:rsidR="006B3444" w:rsidRPr="006B3444" w:rsidRDefault="006B3444" w:rsidP="00A249F1">
            <w:pPr>
              <w:ind w:left="133"/>
              <w:jc w:val="center"/>
              <w:rPr>
                <w:sz w:val="24"/>
                <w:szCs w:val="24"/>
                <w:lang w:val="en-US"/>
              </w:rPr>
            </w:pPr>
            <w:r w:rsidRPr="006B3444">
              <w:rPr>
                <w:sz w:val="24"/>
                <w:szCs w:val="24"/>
                <w:lang w:val="en-US"/>
              </w:rPr>
              <w:t>9,05 (3,05)</w:t>
            </w:r>
          </w:p>
        </w:tc>
      </w:tr>
      <w:tr w:rsidR="006B3444" w:rsidRPr="006B3444" w14:paraId="2BC79ED6"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6F0A8DA6" w14:textId="77777777" w:rsidR="00A249F1" w:rsidRDefault="006B3444" w:rsidP="00094965">
            <w:pPr>
              <w:ind w:left="133"/>
              <w:rPr>
                <w:sz w:val="24"/>
                <w:szCs w:val="24"/>
              </w:rPr>
            </w:pPr>
            <w:r w:rsidRPr="006B3444">
              <w:rPr>
                <w:sz w:val="24"/>
                <w:szCs w:val="24"/>
              </w:rPr>
              <w:t xml:space="preserve">12 måneder til under 24 måneder </w:t>
            </w:r>
          </w:p>
          <w:p w14:paraId="40213B8C" w14:textId="25169979" w:rsidR="006B3444" w:rsidRPr="006B3444" w:rsidRDefault="006B3444" w:rsidP="00094965">
            <w:pPr>
              <w:ind w:left="133"/>
              <w:rPr>
                <w:sz w:val="24"/>
                <w:szCs w:val="24"/>
              </w:rPr>
            </w:pPr>
            <w:r w:rsidRPr="006B3444">
              <w:rPr>
                <w:sz w:val="24"/>
                <w:szCs w:val="24"/>
              </w:rPr>
              <w:t>(≥ 14 kg til &lt; 25 kg)</w:t>
            </w:r>
          </w:p>
        </w:tc>
        <w:tc>
          <w:tcPr>
            <w:tcW w:w="1407" w:type="pct"/>
            <w:tcBorders>
              <w:top w:val="single" w:sz="4" w:space="0" w:color="000000"/>
              <w:left w:val="single" w:sz="4" w:space="0" w:color="000000"/>
              <w:bottom w:val="single" w:sz="4" w:space="0" w:color="000000"/>
              <w:right w:val="single" w:sz="4" w:space="0" w:color="000000"/>
            </w:tcBorders>
            <w:hideMark/>
          </w:tcPr>
          <w:p w14:paraId="55F64CD7" w14:textId="77777777" w:rsidR="006B3444" w:rsidRPr="006B3444" w:rsidRDefault="006B3444" w:rsidP="00094965">
            <w:pPr>
              <w:ind w:left="133"/>
              <w:rPr>
                <w:sz w:val="24"/>
                <w:szCs w:val="24"/>
                <w:lang w:val="en-US"/>
              </w:rPr>
            </w:pPr>
            <w:r w:rsidRPr="006B3444">
              <w:rPr>
                <w:sz w:val="24"/>
                <w:szCs w:val="24"/>
                <w:lang w:val="en-US"/>
              </w:rPr>
              <w:t>75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64EEABEB" w14:textId="77777777" w:rsidR="006B3444" w:rsidRPr="006B3444" w:rsidRDefault="006B3444" w:rsidP="00A249F1">
            <w:pPr>
              <w:ind w:left="133"/>
              <w:jc w:val="center"/>
              <w:rPr>
                <w:sz w:val="24"/>
                <w:szCs w:val="24"/>
                <w:lang w:val="en-US"/>
              </w:rPr>
            </w:pPr>
            <w:r w:rsidRPr="006B3444">
              <w:rPr>
                <w:sz w:val="24"/>
                <w:szCs w:val="24"/>
                <w:lang w:val="en-US"/>
              </w:rPr>
              <w:t>0,451 (0,125)</w:t>
            </w:r>
          </w:p>
        </w:tc>
        <w:tc>
          <w:tcPr>
            <w:tcW w:w="880" w:type="pct"/>
            <w:tcBorders>
              <w:top w:val="single" w:sz="4" w:space="0" w:color="000000"/>
              <w:left w:val="single" w:sz="4" w:space="0" w:color="000000"/>
              <w:bottom w:val="single" w:sz="4" w:space="0" w:color="000000"/>
              <w:right w:val="single" w:sz="4" w:space="0" w:color="000000"/>
            </w:tcBorders>
            <w:hideMark/>
          </w:tcPr>
          <w:p w14:paraId="33465214" w14:textId="77777777" w:rsidR="006B3444" w:rsidRPr="006B3444" w:rsidRDefault="006B3444" w:rsidP="00A249F1">
            <w:pPr>
              <w:ind w:left="133"/>
              <w:jc w:val="center"/>
              <w:rPr>
                <w:sz w:val="24"/>
                <w:szCs w:val="24"/>
                <w:lang w:val="en-US"/>
              </w:rPr>
            </w:pPr>
            <w:r w:rsidRPr="006B3444">
              <w:rPr>
                <w:sz w:val="24"/>
                <w:szCs w:val="24"/>
                <w:lang w:val="en-US"/>
              </w:rPr>
              <w:t>9,60 (1,80)</w:t>
            </w:r>
          </w:p>
        </w:tc>
      </w:tr>
      <w:tr w:rsidR="006B3444" w:rsidRPr="006B3444" w14:paraId="00401D15" w14:textId="77777777" w:rsidTr="00094965">
        <w:trPr>
          <w:trHeight w:val="501"/>
        </w:trPr>
        <w:tc>
          <w:tcPr>
            <w:tcW w:w="1879" w:type="pct"/>
            <w:tcBorders>
              <w:top w:val="single" w:sz="4" w:space="0" w:color="000000"/>
              <w:left w:val="single" w:sz="4" w:space="0" w:color="000000"/>
              <w:bottom w:val="single" w:sz="4" w:space="0" w:color="000000"/>
              <w:right w:val="single" w:sz="4" w:space="0" w:color="000000"/>
            </w:tcBorders>
            <w:hideMark/>
          </w:tcPr>
          <w:p w14:paraId="24253BDB" w14:textId="77777777" w:rsidR="006B3444" w:rsidRPr="006B3444" w:rsidRDefault="006B3444" w:rsidP="00094965">
            <w:pPr>
              <w:ind w:left="133"/>
              <w:rPr>
                <w:sz w:val="24"/>
                <w:szCs w:val="24"/>
                <w:lang w:val="en-US"/>
              </w:rPr>
            </w:pPr>
            <w:r w:rsidRPr="006B3444">
              <w:rPr>
                <w:sz w:val="24"/>
                <w:szCs w:val="24"/>
                <w:lang w:val="en-US"/>
              </w:rPr>
              <w:t>2- til 5-årige</w:t>
            </w:r>
          </w:p>
          <w:p w14:paraId="4375F84E" w14:textId="77777777" w:rsidR="006B3444" w:rsidRPr="006B3444" w:rsidRDefault="006B3444" w:rsidP="00094965">
            <w:pPr>
              <w:ind w:left="133"/>
              <w:rPr>
                <w:sz w:val="24"/>
                <w:szCs w:val="24"/>
                <w:lang w:val="en-US"/>
              </w:rPr>
            </w:pPr>
            <w:r w:rsidRPr="006B3444">
              <w:rPr>
                <w:sz w:val="24"/>
                <w:szCs w:val="24"/>
                <w:lang w:val="en-US"/>
              </w:rPr>
              <w:t>(&lt; 14 kg)</w:t>
            </w:r>
          </w:p>
        </w:tc>
        <w:tc>
          <w:tcPr>
            <w:tcW w:w="1407" w:type="pct"/>
            <w:tcBorders>
              <w:top w:val="single" w:sz="4" w:space="0" w:color="000000"/>
              <w:left w:val="single" w:sz="4" w:space="0" w:color="000000"/>
              <w:bottom w:val="single" w:sz="4" w:space="0" w:color="000000"/>
              <w:right w:val="single" w:sz="4" w:space="0" w:color="000000"/>
            </w:tcBorders>
            <w:hideMark/>
          </w:tcPr>
          <w:p w14:paraId="1FC3A792" w14:textId="77777777" w:rsidR="006B3444" w:rsidRPr="006B3444" w:rsidRDefault="006B3444" w:rsidP="00094965">
            <w:pPr>
              <w:ind w:left="133"/>
              <w:rPr>
                <w:sz w:val="24"/>
                <w:szCs w:val="24"/>
                <w:lang w:val="en-US"/>
              </w:rPr>
            </w:pPr>
            <w:r w:rsidRPr="006B3444">
              <w:rPr>
                <w:sz w:val="24"/>
                <w:szCs w:val="24"/>
                <w:lang w:val="en-US"/>
              </w:rPr>
              <w:t>50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300060B6" w14:textId="77777777" w:rsidR="006B3444" w:rsidRPr="006B3444" w:rsidRDefault="006B3444" w:rsidP="00A249F1">
            <w:pPr>
              <w:ind w:left="133"/>
              <w:jc w:val="center"/>
              <w:rPr>
                <w:sz w:val="24"/>
                <w:szCs w:val="24"/>
                <w:lang w:val="en-US"/>
              </w:rPr>
            </w:pPr>
            <w:r w:rsidRPr="006B3444">
              <w:rPr>
                <w:sz w:val="24"/>
                <w:szCs w:val="24"/>
                <w:lang w:val="en-US"/>
              </w:rPr>
              <w:t>0,577 (0,317)</w:t>
            </w:r>
          </w:p>
        </w:tc>
        <w:tc>
          <w:tcPr>
            <w:tcW w:w="880" w:type="pct"/>
            <w:tcBorders>
              <w:top w:val="single" w:sz="4" w:space="0" w:color="000000"/>
              <w:left w:val="single" w:sz="4" w:space="0" w:color="000000"/>
              <w:bottom w:val="single" w:sz="4" w:space="0" w:color="000000"/>
              <w:right w:val="single" w:sz="4" w:space="0" w:color="000000"/>
            </w:tcBorders>
            <w:hideMark/>
          </w:tcPr>
          <w:p w14:paraId="198AE356" w14:textId="77777777" w:rsidR="006B3444" w:rsidRPr="006B3444" w:rsidRDefault="006B3444" w:rsidP="00A249F1">
            <w:pPr>
              <w:ind w:left="133"/>
              <w:jc w:val="center"/>
              <w:rPr>
                <w:sz w:val="24"/>
                <w:szCs w:val="24"/>
                <w:lang w:val="en-US"/>
              </w:rPr>
            </w:pPr>
            <w:r w:rsidRPr="006B3444">
              <w:rPr>
                <w:sz w:val="24"/>
                <w:szCs w:val="24"/>
                <w:lang w:val="en-US"/>
              </w:rPr>
              <w:t>10,50 (4,26)</w:t>
            </w:r>
          </w:p>
        </w:tc>
      </w:tr>
      <w:tr w:rsidR="006B3444" w:rsidRPr="006B3444" w14:paraId="74F52F91"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36A86301" w14:textId="77777777" w:rsidR="006B3444" w:rsidRPr="006B3444" w:rsidRDefault="006B3444" w:rsidP="00094965">
            <w:pPr>
              <w:ind w:left="133"/>
              <w:rPr>
                <w:sz w:val="24"/>
                <w:szCs w:val="24"/>
              </w:rPr>
            </w:pPr>
            <w:r w:rsidRPr="006B3444">
              <w:rPr>
                <w:sz w:val="24"/>
                <w:szCs w:val="24"/>
              </w:rPr>
              <w:t>2- til 5-årige</w:t>
            </w:r>
          </w:p>
          <w:p w14:paraId="74EAF5ED" w14:textId="77777777" w:rsidR="006B3444" w:rsidRPr="006B3444" w:rsidRDefault="006B3444" w:rsidP="00094965">
            <w:pPr>
              <w:ind w:left="133"/>
              <w:rPr>
                <w:sz w:val="24"/>
                <w:szCs w:val="24"/>
              </w:rPr>
            </w:pPr>
            <w:r w:rsidRPr="006B3444">
              <w:rPr>
                <w:sz w:val="24"/>
                <w:szCs w:val="24"/>
              </w:rPr>
              <w:t>(≥ 14 kg til &lt; 25 kg)</w:t>
            </w:r>
          </w:p>
        </w:tc>
        <w:tc>
          <w:tcPr>
            <w:tcW w:w="1407" w:type="pct"/>
            <w:tcBorders>
              <w:top w:val="single" w:sz="4" w:space="0" w:color="000000"/>
              <w:left w:val="single" w:sz="4" w:space="0" w:color="000000"/>
              <w:bottom w:val="single" w:sz="4" w:space="0" w:color="000000"/>
              <w:right w:val="single" w:sz="4" w:space="0" w:color="000000"/>
            </w:tcBorders>
            <w:hideMark/>
          </w:tcPr>
          <w:p w14:paraId="74E98825" w14:textId="77777777" w:rsidR="006B3444" w:rsidRPr="006B3444" w:rsidRDefault="006B3444" w:rsidP="00094965">
            <w:pPr>
              <w:ind w:left="133"/>
              <w:rPr>
                <w:sz w:val="24"/>
                <w:szCs w:val="24"/>
                <w:lang w:val="en-US"/>
              </w:rPr>
            </w:pPr>
            <w:r w:rsidRPr="006B3444">
              <w:rPr>
                <w:sz w:val="24"/>
                <w:szCs w:val="24"/>
                <w:lang w:val="en-US"/>
              </w:rPr>
              <w:t>75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3E18E7CE" w14:textId="77777777" w:rsidR="006B3444" w:rsidRPr="006B3444" w:rsidRDefault="006B3444" w:rsidP="00A249F1">
            <w:pPr>
              <w:ind w:left="133"/>
              <w:jc w:val="center"/>
              <w:rPr>
                <w:sz w:val="24"/>
                <w:szCs w:val="24"/>
                <w:lang w:val="en-US"/>
              </w:rPr>
            </w:pPr>
            <w:r w:rsidRPr="006B3444">
              <w:rPr>
                <w:sz w:val="24"/>
                <w:szCs w:val="24"/>
                <w:lang w:val="en-US"/>
              </w:rPr>
              <w:t>0,629 (0,296)</w:t>
            </w:r>
          </w:p>
        </w:tc>
        <w:tc>
          <w:tcPr>
            <w:tcW w:w="880" w:type="pct"/>
            <w:tcBorders>
              <w:top w:val="single" w:sz="4" w:space="0" w:color="000000"/>
              <w:left w:val="single" w:sz="4" w:space="0" w:color="000000"/>
              <w:bottom w:val="single" w:sz="4" w:space="0" w:color="000000"/>
              <w:right w:val="single" w:sz="4" w:space="0" w:color="000000"/>
            </w:tcBorders>
            <w:hideMark/>
          </w:tcPr>
          <w:p w14:paraId="5C81A71F" w14:textId="77777777" w:rsidR="006B3444" w:rsidRPr="006B3444" w:rsidRDefault="006B3444" w:rsidP="00A249F1">
            <w:pPr>
              <w:ind w:left="133"/>
              <w:jc w:val="center"/>
              <w:rPr>
                <w:sz w:val="24"/>
                <w:szCs w:val="24"/>
                <w:lang w:val="en-US"/>
              </w:rPr>
            </w:pPr>
            <w:r w:rsidRPr="006B3444">
              <w:rPr>
                <w:sz w:val="24"/>
                <w:szCs w:val="24"/>
                <w:lang w:val="en-US"/>
              </w:rPr>
              <w:t>11,30 (3,82)</w:t>
            </w:r>
          </w:p>
        </w:tc>
      </w:tr>
      <w:tr w:rsidR="006B3444" w:rsidRPr="006B3444" w14:paraId="045337A3"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7D2ECFAC" w14:textId="77777777" w:rsidR="006B3444" w:rsidRPr="006B3444" w:rsidRDefault="006B3444" w:rsidP="00094965">
            <w:pPr>
              <w:ind w:left="133"/>
              <w:rPr>
                <w:sz w:val="24"/>
                <w:szCs w:val="24"/>
              </w:rPr>
            </w:pPr>
            <w:r w:rsidRPr="006B3444">
              <w:rPr>
                <w:sz w:val="24"/>
                <w:szCs w:val="24"/>
              </w:rPr>
              <w:t>6- til 11-årige</w:t>
            </w:r>
            <w:r w:rsidRPr="006B3444">
              <w:rPr>
                <w:sz w:val="24"/>
                <w:szCs w:val="24"/>
                <w:vertAlign w:val="superscript"/>
              </w:rPr>
              <w:t>§</w:t>
            </w:r>
          </w:p>
          <w:p w14:paraId="07E1FF63" w14:textId="77777777" w:rsidR="006B3444" w:rsidRPr="006B3444" w:rsidRDefault="006B3444" w:rsidP="00094965">
            <w:pPr>
              <w:ind w:left="133"/>
              <w:rPr>
                <w:sz w:val="24"/>
                <w:szCs w:val="24"/>
              </w:rPr>
            </w:pPr>
            <w:r w:rsidRPr="006B3444">
              <w:rPr>
                <w:sz w:val="24"/>
                <w:szCs w:val="24"/>
              </w:rPr>
              <w:t>(≥ 14 kg til &lt; 25 kg)</w:t>
            </w:r>
          </w:p>
        </w:tc>
        <w:tc>
          <w:tcPr>
            <w:tcW w:w="1407" w:type="pct"/>
            <w:tcBorders>
              <w:top w:val="single" w:sz="4" w:space="0" w:color="000000"/>
              <w:left w:val="single" w:sz="4" w:space="0" w:color="000000"/>
              <w:bottom w:val="single" w:sz="4" w:space="0" w:color="000000"/>
              <w:right w:val="single" w:sz="4" w:space="0" w:color="000000"/>
            </w:tcBorders>
            <w:hideMark/>
          </w:tcPr>
          <w:p w14:paraId="040F1CDC" w14:textId="77777777" w:rsidR="006B3444" w:rsidRPr="006B3444" w:rsidRDefault="006B3444" w:rsidP="00094965">
            <w:pPr>
              <w:ind w:left="133"/>
              <w:rPr>
                <w:sz w:val="24"/>
                <w:szCs w:val="24"/>
                <w:lang w:val="en-US"/>
              </w:rPr>
            </w:pPr>
            <w:r w:rsidRPr="006B3444">
              <w:rPr>
                <w:sz w:val="24"/>
                <w:szCs w:val="24"/>
                <w:lang w:val="en-US"/>
              </w:rPr>
              <w:t>75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52D2D79F" w14:textId="77777777" w:rsidR="006B3444" w:rsidRPr="006B3444" w:rsidRDefault="006B3444" w:rsidP="00A249F1">
            <w:pPr>
              <w:ind w:left="133"/>
              <w:jc w:val="center"/>
              <w:rPr>
                <w:sz w:val="24"/>
                <w:szCs w:val="24"/>
                <w:lang w:val="en-US"/>
              </w:rPr>
            </w:pPr>
            <w:r w:rsidRPr="006B3444">
              <w:rPr>
                <w:sz w:val="24"/>
                <w:szCs w:val="24"/>
                <w:lang w:val="en-US"/>
              </w:rPr>
              <w:t>0,641 (0,329)</w:t>
            </w:r>
          </w:p>
        </w:tc>
        <w:tc>
          <w:tcPr>
            <w:tcW w:w="880" w:type="pct"/>
            <w:tcBorders>
              <w:top w:val="single" w:sz="4" w:space="0" w:color="000000"/>
              <w:left w:val="single" w:sz="4" w:space="0" w:color="000000"/>
              <w:bottom w:val="single" w:sz="4" w:space="0" w:color="000000"/>
              <w:right w:val="single" w:sz="4" w:space="0" w:color="000000"/>
            </w:tcBorders>
            <w:hideMark/>
          </w:tcPr>
          <w:p w14:paraId="7DA6D556" w14:textId="77777777" w:rsidR="006B3444" w:rsidRPr="006B3444" w:rsidRDefault="006B3444" w:rsidP="00A249F1">
            <w:pPr>
              <w:ind w:left="133"/>
              <w:jc w:val="center"/>
              <w:rPr>
                <w:sz w:val="24"/>
                <w:szCs w:val="24"/>
                <w:lang w:val="en-US"/>
              </w:rPr>
            </w:pPr>
            <w:r w:rsidRPr="006B3444">
              <w:rPr>
                <w:sz w:val="24"/>
                <w:szCs w:val="24"/>
                <w:lang w:val="en-US"/>
              </w:rPr>
              <w:t>10,76 (4,47)</w:t>
            </w:r>
          </w:p>
        </w:tc>
      </w:tr>
      <w:tr w:rsidR="006B3444" w:rsidRPr="006B3444" w14:paraId="6FEEFCF7"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078A1134" w14:textId="77777777" w:rsidR="006B3444" w:rsidRPr="006B3444" w:rsidRDefault="006B3444" w:rsidP="00094965">
            <w:pPr>
              <w:ind w:left="133"/>
              <w:rPr>
                <w:sz w:val="24"/>
                <w:szCs w:val="24"/>
                <w:lang w:val="en-US"/>
              </w:rPr>
            </w:pPr>
            <w:r w:rsidRPr="006B3444">
              <w:rPr>
                <w:sz w:val="24"/>
                <w:szCs w:val="24"/>
                <w:lang w:val="en-US"/>
              </w:rPr>
              <w:t>6- til 11-årige</w:t>
            </w:r>
            <w:r w:rsidRPr="006B3444">
              <w:rPr>
                <w:sz w:val="24"/>
                <w:szCs w:val="24"/>
                <w:vertAlign w:val="superscript"/>
                <w:lang w:val="en-US"/>
              </w:rPr>
              <w:t>§</w:t>
            </w:r>
          </w:p>
          <w:p w14:paraId="56C2B914" w14:textId="77777777" w:rsidR="006B3444" w:rsidRPr="006B3444" w:rsidRDefault="006B3444" w:rsidP="00094965">
            <w:pPr>
              <w:ind w:left="133"/>
              <w:rPr>
                <w:sz w:val="24"/>
                <w:szCs w:val="24"/>
                <w:lang w:val="en-US"/>
              </w:rPr>
            </w:pPr>
            <w:r w:rsidRPr="006B3444">
              <w:rPr>
                <w:sz w:val="24"/>
                <w:szCs w:val="24"/>
                <w:lang w:val="en-US"/>
              </w:rPr>
              <w:t>(≥ 25 kg)</w:t>
            </w:r>
          </w:p>
        </w:tc>
        <w:tc>
          <w:tcPr>
            <w:tcW w:w="1407" w:type="pct"/>
            <w:tcBorders>
              <w:top w:val="single" w:sz="4" w:space="0" w:color="000000"/>
              <w:left w:val="single" w:sz="4" w:space="0" w:color="000000"/>
              <w:bottom w:val="single" w:sz="4" w:space="0" w:color="000000"/>
              <w:right w:val="single" w:sz="4" w:space="0" w:color="000000"/>
            </w:tcBorders>
            <w:hideMark/>
          </w:tcPr>
          <w:p w14:paraId="07430F28" w14:textId="77777777" w:rsidR="006B3444" w:rsidRPr="006B3444" w:rsidRDefault="006B3444" w:rsidP="00094965">
            <w:pPr>
              <w:ind w:left="133"/>
              <w:rPr>
                <w:sz w:val="24"/>
                <w:szCs w:val="24"/>
                <w:lang w:val="en-US"/>
              </w:rPr>
            </w:pPr>
            <w:r w:rsidRPr="006B3444">
              <w:rPr>
                <w:sz w:val="24"/>
                <w:szCs w:val="24"/>
                <w:lang w:val="en-US"/>
              </w:rPr>
              <w:t>150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32A931AC" w14:textId="77777777" w:rsidR="006B3444" w:rsidRPr="006B3444" w:rsidRDefault="006B3444" w:rsidP="00A249F1">
            <w:pPr>
              <w:ind w:left="133"/>
              <w:jc w:val="center"/>
              <w:rPr>
                <w:sz w:val="24"/>
                <w:szCs w:val="24"/>
                <w:lang w:val="en-US"/>
              </w:rPr>
            </w:pPr>
            <w:r w:rsidRPr="006B3444">
              <w:rPr>
                <w:sz w:val="24"/>
                <w:szCs w:val="24"/>
                <w:lang w:val="en-US"/>
              </w:rPr>
              <w:t>0,958 (0,546)</w:t>
            </w:r>
          </w:p>
        </w:tc>
        <w:tc>
          <w:tcPr>
            <w:tcW w:w="880" w:type="pct"/>
            <w:tcBorders>
              <w:top w:val="single" w:sz="4" w:space="0" w:color="000000"/>
              <w:left w:val="single" w:sz="4" w:space="0" w:color="000000"/>
              <w:bottom w:val="single" w:sz="4" w:space="0" w:color="000000"/>
              <w:right w:val="single" w:sz="4" w:space="0" w:color="000000"/>
            </w:tcBorders>
            <w:hideMark/>
          </w:tcPr>
          <w:p w14:paraId="1FE3598B" w14:textId="77777777" w:rsidR="006B3444" w:rsidRPr="006B3444" w:rsidRDefault="006B3444" w:rsidP="00A249F1">
            <w:pPr>
              <w:ind w:left="133"/>
              <w:jc w:val="center"/>
              <w:rPr>
                <w:sz w:val="24"/>
                <w:szCs w:val="24"/>
                <w:lang w:val="en-US"/>
              </w:rPr>
            </w:pPr>
            <w:r w:rsidRPr="006B3444">
              <w:rPr>
                <w:sz w:val="24"/>
                <w:szCs w:val="24"/>
                <w:lang w:val="en-US"/>
              </w:rPr>
              <w:t>15,30 (7,34)</w:t>
            </w:r>
          </w:p>
        </w:tc>
      </w:tr>
      <w:tr w:rsidR="006B3444" w:rsidRPr="006B3444" w14:paraId="17E14CDB"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3E6B76E8" w14:textId="77777777" w:rsidR="006B3444" w:rsidRPr="006B3444" w:rsidRDefault="006B3444" w:rsidP="00094965">
            <w:pPr>
              <w:ind w:left="133"/>
              <w:rPr>
                <w:sz w:val="24"/>
                <w:szCs w:val="24"/>
                <w:lang w:val="en-US"/>
              </w:rPr>
            </w:pPr>
            <w:r w:rsidRPr="006B3444">
              <w:rPr>
                <w:sz w:val="24"/>
                <w:szCs w:val="24"/>
                <w:lang w:val="en-US"/>
              </w:rPr>
              <w:t>12- til 17-årige</w:t>
            </w:r>
          </w:p>
        </w:tc>
        <w:tc>
          <w:tcPr>
            <w:tcW w:w="1407" w:type="pct"/>
            <w:tcBorders>
              <w:top w:val="single" w:sz="4" w:space="0" w:color="000000"/>
              <w:left w:val="single" w:sz="4" w:space="0" w:color="000000"/>
              <w:bottom w:val="single" w:sz="4" w:space="0" w:color="000000"/>
              <w:right w:val="single" w:sz="4" w:space="0" w:color="000000"/>
            </w:tcBorders>
            <w:hideMark/>
          </w:tcPr>
          <w:p w14:paraId="3BBD80C4" w14:textId="77777777" w:rsidR="006B3444" w:rsidRPr="006B3444" w:rsidRDefault="006B3444" w:rsidP="00094965">
            <w:pPr>
              <w:ind w:left="133"/>
              <w:rPr>
                <w:sz w:val="24"/>
                <w:szCs w:val="24"/>
                <w:lang w:val="en-US"/>
              </w:rPr>
            </w:pPr>
            <w:r w:rsidRPr="006B3444">
              <w:rPr>
                <w:sz w:val="24"/>
                <w:szCs w:val="24"/>
                <w:lang w:val="en-US"/>
              </w:rPr>
              <w:t>150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7001BAEA" w14:textId="77777777" w:rsidR="006B3444" w:rsidRPr="006B3444" w:rsidRDefault="006B3444" w:rsidP="00A249F1">
            <w:pPr>
              <w:ind w:left="133"/>
              <w:jc w:val="center"/>
              <w:rPr>
                <w:sz w:val="24"/>
                <w:szCs w:val="24"/>
                <w:lang w:val="en-US"/>
              </w:rPr>
            </w:pPr>
            <w:r w:rsidRPr="006B3444">
              <w:rPr>
                <w:sz w:val="24"/>
                <w:szCs w:val="24"/>
                <w:lang w:val="en-US"/>
              </w:rPr>
              <w:t>0,564 (0,242)</w:t>
            </w:r>
          </w:p>
        </w:tc>
        <w:tc>
          <w:tcPr>
            <w:tcW w:w="880" w:type="pct"/>
            <w:tcBorders>
              <w:top w:val="single" w:sz="4" w:space="0" w:color="000000"/>
              <w:left w:val="single" w:sz="4" w:space="0" w:color="000000"/>
              <w:bottom w:val="single" w:sz="4" w:space="0" w:color="000000"/>
              <w:right w:val="single" w:sz="4" w:space="0" w:color="000000"/>
            </w:tcBorders>
            <w:hideMark/>
          </w:tcPr>
          <w:p w14:paraId="0D6C8970" w14:textId="77777777" w:rsidR="006B3444" w:rsidRPr="006B3444" w:rsidRDefault="006B3444" w:rsidP="00A249F1">
            <w:pPr>
              <w:ind w:left="133"/>
              <w:jc w:val="center"/>
              <w:rPr>
                <w:sz w:val="24"/>
                <w:szCs w:val="24"/>
                <w:lang w:val="en-US"/>
              </w:rPr>
            </w:pPr>
            <w:r w:rsidRPr="006B3444">
              <w:rPr>
                <w:sz w:val="24"/>
                <w:szCs w:val="24"/>
                <w:lang w:val="en-US"/>
              </w:rPr>
              <w:t>9,24 (3,42)</w:t>
            </w:r>
          </w:p>
        </w:tc>
      </w:tr>
      <w:tr w:rsidR="006B3444" w:rsidRPr="006B3444" w14:paraId="779CE65D" w14:textId="77777777" w:rsidTr="00094965">
        <w:trPr>
          <w:trHeight w:val="506"/>
        </w:trPr>
        <w:tc>
          <w:tcPr>
            <w:tcW w:w="1879" w:type="pct"/>
            <w:tcBorders>
              <w:top w:val="single" w:sz="4" w:space="0" w:color="000000"/>
              <w:left w:val="single" w:sz="4" w:space="0" w:color="000000"/>
              <w:bottom w:val="single" w:sz="4" w:space="0" w:color="000000"/>
              <w:right w:val="single" w:sz="4" w:space="0" w:color="000000"/>
            </w:tcBorders>
            <w:hideMark/>
          </w:tcPr>
          <w:p w14:paraId="394E25C1" w14:textId="77777777" w:rsidR="006B3444" w:rsidRPr="006B3444" w:rsidRDefault="006B3444" w:rsidP="00094965">
            <w:pPr>
              <w:ind w:left="133"/>
              <w:rPr>
                <w:sz w:val="24"/>
                <w:szCs w:val="24"/>
                <w:lang w:val="en-US"/>
              </w:rPr>
            </w:pPr>
            <w:r w:rsidRPr="006B3444">
              <w:rPr>
                <w:sz w:val="24"/>
                <w:szCs w:val="24"/>
                <w:lang w:val="en-US"/>
              </w:rPr>
              <w:t>Voksne (≥ 18 år)</w:t>
            </w:r>
          </w:p>
        </w:tc>
        <w:tc>
          <w:tcPr>
            <w:tcW w:w="1407" w:type="pct"/>
            <w:tcBorders>
              <w:top w:val="single" w:sz="4" w:space="0" w:color="000000"/>
              <w:left w:val="single" w:sz="4" w:space="0" w:color="000000"/>
              <w:bottom w:val="single" w:sz="4" w:space="0" w:color="000000"/>
              <w:right w:val="single" w:sz="4" w:space="0" w:color="000000"/>
            </w:tcBorders>
            <w:hideMark/>
          </w:tcPr>
          <w:p w14:paraId="060B3FCC" w14:textId="77777777" w:rsidR="006B3444" w:rsidRPr="006B3444" w:rsidRDefault="006B3444" w:rsidP="00094965">
            <w:pPr>
              <w:ind w:left="133"/>
              <w:rPr>
                <w:sz w:val="24"/>
                <w:szCs w:val="24"/>
                <w:lang w:val="en-US"/>
              </w:rPr>
            </w:pPr>
            <w:r w:rsidRPr="006B3444">
              <w:rPr>
                <w:sz w:val="24"/>
                <w:szCs w:val="24"/>
                <w:lang w:val="en-US"/>
              </w:rPr>
              <w:t>150 mg hver 12. time</w:t>
            </w:r>
          </w:p>
        </w:tc>
        <w:tc>
          <w:tcPr>
            <w:tcW w:w="834" w:type="pct"/>
            <w:tcBorders>
              <w:top w:val="single" w:sz="4" w:space="0" w:color="000000"/>
              <w:left w:val="single" w:sz="4" w:space="0" w:color="000000"/>
              <w:bottom w:val="single" w:sz="4" w:space="0" w:color="000000"/>
              <w:right w:val="single" w:sz="4" w:space="0" w:color="000000"/>
            </w:tcBorders>
            <w:hideMark/>
          </w:tcPr>
          <w:p w14:paraId="789B310D" w14:textId="77777777" w:rsidR="006B3444" w:rsidRPr="006B3444" w:rsidRDefault="006B3444" w:rsidP="00A249F1">
            <w:pPr>
              <w:ind w:left="133"/>
              <w:jc w:val="center"/>
              <w:rPr>
                <w:sz w:val="24"/>
                <w:szCs w:val="24"/>
                <w:lang w:val="en-US"/>
              </w:rPr>
            </w:pPr>
            <w:r w:rsidRPr="006B3444">
              <w:rPr>
                <w:sz w:val="24"/>
                <w:szCs w:val="24"/>
                <w:lang w:val="en-US"/>
              </w:rPr>
              <w:t>0,701 (0,317)</w:t>
            </w:r>
          </w:p>
        </w:tc>
        <w:tc>
          <w:tcPr>
            <w:tcW w:w="880" w:type="pct"/>
            <w:tcBorders>
              <w:top w:val="single" w:sz="4" w:space="0" w:color="000000"/>
              <w:left w:val="single" w:sz="4" w:space="0" w:color="000000"/>
              <w:bottom w:val="single" w:sz="4" w:space="0" w:color="000000"/>
              <w:right w:val="single" w:sz="4" w:space="0" w:color="000000"/>
            </w:tcBorders>
            <w:hideMark/>
          </w:tcPr>
          <w:p w14:paraId="74B5A58C" w14:textId="77777777" w:rsidR="006B3444" w:rsidRPr="006B3444" w:rsidRDefault="006B3444" w:rsidP="00A249F1">
            <w:pPr>
              <w:ind w:left="133"/>
              <w:jc w:val="center"/>
              <w:rPr>
                <w:sz w:val="24"/>
                <w:szCs w:val="24"/>
                <w:lang w:val="en-US"/>
              </w:rPr>
            </w:pPr>
            <w:r w:rsidRPr="006B3444">
              <w:rPr>
                <w:sz w:val="24"/>
                <w:szCs w:val="24"/>
                <w:lang w:val="en-US"/>
              </w:rPr>
              <w:t>10,70 (4,10)</w:t>
            </w:r>
          </w:p>
        </w:tc>
      </w:tr>
    </w:tbl>
    <w:p w14:paraId="593E7D63" w14:textId="77777777" w:rsidR="006B3444" w:rsidRPr="006B3444" w:rsidRDefault="006B3444" w:rsidP="00094965">
      <w:pPr>
        <w:numPr>
          <w:ilvl w:val="0"/>
          <w:numId w:val="7"/>
        </w:numPr>
        <w:ind w:left="284" w:hanging="284"/>
        <w:rPr>
          <w:sz w:val="24"/>
          <w:szCs w:val="24"/>
        </w:rPr>
      </w:pPr>
      <w:r w:rsidRPr="006B3444">
        <w:rPr>
          <w:sz w:val="24"/>
          <w:szCs w:val="24"/>
        </w:rPr>
        <w:t>Patienter i alderen 1 måned til under 6 måneder havde en gestationsalder på ≥ 37 uger.</w:t>
      </w:r>
    </w:p>
    <w:p w14:paraId="4D5D25B1" w14:textId="77777777" w:rsidR="006B3444" w:rsidRPr="006B3444" w:rsidRDefault="006B3444" w:rsidP="00094965">
      <w:pPr>
        <w:ind w:left="284" w:hanging="284"/>
        <w:rPr>
          <w:sz w:val="24"/>
          <w:szCs w:val="24"/>
        </w:rPr>
      </w:pPr>
      <w:r w:rsidRPr="006B3444">
        <w:rPr>
          <w:sz w:val="24"/>
          <w:szCs w:val="24"/>
        </w:rPr>
        <w:t>†</w:t>
      </w:r>
      <w:r w:rsidRPr="006B3444">
        <w:rPr>
          <w:sz w:val="24"/>
          <w:szCs w:val="24"/>
        </w:rPr>
        <w:tab/>
        <w:t>Eksponeringer for alderen 1 måned til under 4 måneder er projektioner baseret på simuleringer fra den fysiologisk baserede populationsfarmakokinetiske model med data opnået for denne aldersgruppe.</w:t>
      </w:r>
    </w:p>
    <w:p w14:paraId="097BD244" w14:textId="77777777" w:rsidR="006B3444" w:rsidRPr="006B3444" w:rsidRDefault="006B3444" w:rsidP="00094965">
      <w:pPr>
        <w:ind w:left="284" w:hanging="284"/>
        <w:rPr>
          <w:sz w:val="24"/>
          <w:szCs w:val="24"/>
        </w:rPr>
      </w:pPr>
      <w:r w:rsidRPr="006B3444">
        <w:rPr>
          <w:sz w:val="24"/>
          <w:szCs w:val="24"/>
        </w:rPr>
        <w:t>‡</w:t>
      </w:r>
      <w:r w:rsidRPr="006B3444">
        <w:rPr>
          <w:sz w:val="24"/>
          <w:szCs w:val="24"/>
        </w:rPr>
        <w:tab/>
        <w:t>Værdier baseret på data fra en enkelt patient; standardafvigelse ikke rapporteret.</w:t>
      </w:r>
    </w:p>
    <w:p w14:paraId="6E3E41CF" w14:textId="77777777" w:rsidR="006B3444" w:rsidRPr="006B3444" w:rsidRDefault="006B3444" w:rsidP="00094965">
      <w:pPr>
        <w:ind w:left="284" w:hanging="284"/>
        <w:rPr>
          <w:sz w:val="24"/>
          <w:szCs w:val="24"/>
        </w:rPr>
      </w:pPr>
      <w:r w:rsidRPr="006B3444">
        <w:rPr>
          <w:sz w:val="24"/>
          <w:szCs w:val="24"/>
        </w:rPr>
        <w:t>§</w:t>
      </w:r>
      <w:r w:rsidRPr="006B3444">
        <w:rPr>
          <w:sz w:val="24"/>
          <w:szCs w:val="24"/>
        </w:rPr>
        <w:tab/>
        <w:t>Eksponeringer hos 6- til 11-årige er projektioner baseret på simuleringer fra den populationsfarmakokinetiske model med data opnået for denne aldersgruppe.</w:t>
      </w:r>
    </w:p>
    <w:p w14:paraId="712C4D68" w14:textId="77777777" w:rsidR="009260DE" w:rsidRPr="00286CAA" w:rsidRDefault="009260DE" w:rsidP="009260DE">
      <w:pPr>
        <w:tabs>
          <w:tab w:val="left" w:pos="851"/>
        </w:tabs>
        <w:ind w:left="851"/>
        <w:rPr>
          <w:sz w:val="24"/>
          <w:szCs w:val="24"/>
        </w:rPr>
      </w:pPr>
    </w:p>
    <w:p w14:paraId="4BA29401" w14:textId="77777777" w:rsidR="009260DE" w:rsidRPr="00286CAA" w:rsidRDefault="009260DE" w:rsidP="009260DE">
      <w:pPr>
        <w:tabs>
          <w:tab w:val="left" w:pos="851"/>
        </w:tabs>
        <w:ind w:left="851" w:hanging="851"/>
        <w:rPr>
          <w:b/>
          <w:sz w:val="24"/>
          <w:szCs w:val="24"/>
        </w:rPr>
      </w:pPr>
      <w:r w:rsidRPr="00286CAA">
        <w:rPr>
          <w:b/>
          <w:sz w:val="24"/>
          <w:szCs w:val="24"/>
        </w:rPr>
        <w:t>5.3</w:t>
      </w:r>
      <w:r w:rsidRPr="00286CAA">
        <w:rPr>
          <w:b/>
          <w:sz w:val="24"/>
          <w:szCs w:val="24"/>
        </w:rPr>
        <w:tab/>
      </w:r>
      <w:r w:rsidR="00BD7931" w:rsidRPr="00286CAA">
        <w:rPr>
          <w:b/>
          <w:sz w:val="24"/>
          <w:szCs w:val="24"/>
        </w:rPr>
        <w:t>Non-</w:t>
      </w:r>
      <w:r w:rsidRPr="00286CAA">
        <w:rPr>
          <w:b/>
          <w:sz w:val="24"/>
          <w:szCs w:val="24"/>
        </w:rPr>
        <w:t>kliniske sikkerhedsdata</w:t>
      </w:r>
    </w:p>
    <w:p w14:paraId="543B19BC" w14:textId="77777777" w:rsidR="006B3444" w:rsidRPr="006B3444" w:rsidRDefault="006B3444" w:rsidP="00094965">
      <w:pPr>
        <w:ind w:left="851"/>
        <w:rPr>
          <w:sz w:val="24"/>
          <w:szCs w:val="24"/>
        </w:rPr>
      </w:pPr>
      <w:r w:rsidRPr="006B3444">
        <w:rPr>
          <w:sz w:val="24"/>
          <w:szCs w:val="24"/>
        </w:rPr>
        <w:t>Non-kliniske data viser ingen speciel risiko for mennesker vurderet ud fra konventionelle studier af sikkerhedsfarmakologi, toksicitet efter gentagne doser, genotoksicitet og karcinogent potentiale.</w:t>
      </w:r>
    </w:p>
    <w:p w14:paraId="7A5730C9" w14:textId="77777777" w:rsidR="006B3444" w:rsidRPr="006B3444" w:rsidRDefault="006B3444" w:rsidP="00094965">
      <w:pPr>
        <w:ind w:left="851"/>
        <w:rPr>
          <w:sz w:val="24"/>
          <w:szCs w:val="24"/>
        </w:rPr>
      </w:pPr>
    </w:p>
    <w:p w14:paraId="7DF79A02" w14:textId="77777777" w:rsidR="006B3444" w:rsidRPr="006B3444" w:rsidRDefault="006B3444" w:rsidP="00094965">
      <w:pPr>
        <w:ind w:left="851"/>
        <w:rPr>
          <w:sz w:val="24"/>
          <w:szCs w:val="24"/>
        </w:rPr>
      </w:pPr>
      <w:r w:rsidRPr="006B3444">
        <w:rPr>
          <w:sz w:val="24"/>
          <w:szCs w:val="24"/>
          <w:u w:val="single"/>
        </w:rPr>
        <w:t>Drægtighed og fertilitet</w:t>
      </w:r>
    </w:p>
    <w:p w14:paraId="1EDC3CD5" w14:textId="77777777" w:rsidR="006B3444" w:rsidRPr="006B3444" w:rsidRDefault="006B3444" w:rsidP="00094965">
      <w:pPr>
        <w:ind w:left="851"/>
        <w:rPr>
          <w:sz w:val="24"/>
          <w:szCs w:val="24"/>
        </w:rPr>
      </w:pPr>
    </w:p>
    <w:p w14:paraId="3518F6AD" w14:textId="66F37231" w:rsidR="006B3444" w:rsidRPr="006B3444" w:rsidRDefault="006B3444" w:rsidP="00094965">
      <w:pPr>
        <w:ind w:left="851"/>
        <w:rPr>
          <w:sz w:val="24"/>
          <w:szCs w:val="24"/>
        </w:rPr>
      </w:pPr>
      <w:r w:rsidRPr="006B3444">
        <w:rPr>
          <w:sz w:val="24"/>
          <w:szCs w:val="24"/>
        </w:rPr>
        <w:t xml:space="preserve">Ivacaftor var forbundet med en let reduktion i sædblærevægten, en reduktion i det samlede fertilitetsindeks og antallet af drægtighedsperioder hos hunner, der blev parret med behandlede hanner, og med signifikante reduktioner i antallet af </w:t>
      </w:r>
      <w:r w:rsidRPr="006B3444">
        <w:rPr>
          <w:i/>
          <w:iCs/>
          <w:sz w:val="24"/>
          <w:szCs w:val="24"/>
        </w:rPr>
        <w:t>corpora lutea</w:t>
      </w:r>
      <w:r w:rsidRPr="006B3444">
        <w:rPr>
          <w:sz w:val="24"/>
          <w:szCs w:val="24"/>
        </w:rPr>
        <w:t xml:space="preserve"> og implantationssteder med efterfølgende reduktioner i gennemsnitlig kuldstørrelse og det gennemsnitlige antal levedygtige embryoer pr. kuld hos behandlede hunner. Niveauet for ingen observerede bivirkninger</w:t>
      </w:r>
      <w:r w:rsidR="00094965" w:rsidRPr="00286CAA">
        <w:rPr>
          <w:sz w:val="24"/>
          <w:szCs w:val="24"/>
        </w:rPr>
        <w:t xml:space="preserve"> </w:t>
      </w:r>
      <w:r w:rsidRPr="006B3444">
        <w:rPr>
          <w:sz w:val="24"/>
          <w:szCs w:val="24"/>
        </w:rPr>
        <w:t>(</w:t>
      </w:r>
      <w:r w:rsidRPr="006B3444">
        <w:rPr>
          <w:i/>
          <w:sz w:val="24"/>
          <w:szCs w:val="24"/>
        </w:rPr>
        <w:t>no-observed-adverse-effect-level</w:t>
      </w:r>
      <w:r w:rsidRPr="006B3444">
        <w:rPr>
          <w:sz w:val="24"/>
          <w:szCs w:val="24"/>
        </w:rPr>
        <w:t>, NOAEL) for fertilitetsfund giver et eksponeringsniveau på ca. 4 gange den systemiske eksponering for ivacaftor og dets metabolitter, når det administreres som ivacaftor-monoterapi hos voksne mennesker ved den maksimale anbefalede dosis til mennesker (</w:t>
      </w:r>
      <w:r w:rsidRPr="006B3444">
        <w:rPr>
          <w:i/>
          <w:sz w:val="24"/>
          <w:szCs w:val="24"/>
        </w:rPr>
        <w:t>maximum recommended human dose</w:t>
      </w:r>
      <w:r w:rsidRPr="006B3444">
        <w:rPr>
          <w:sz w:val="24"/>
          <w:szCs w:val="24"/>
        </w:rPr>
        <w:t>, MRHD). Der blev observeret placental overførsel af ivacaftor hos drægtige rotter og kaniner.</w:t>
      </w:r>
    </w:p>
    <w:p w14:paraId="19BC0A77" w14:textId="77777777" w:rsidR="006B3444" w:rsidRPr="006B3444" w:rsidRDefault="006B3444" w:rsidP="00094965">
      <w:pPr>
        <w:ind w:left="851"/>
        <w:rPr>
          <w:sz w:val="24"/>
          <w:szCs w:val="24"/>
        </w:rPr>
      </w:pPr>
    </w:p>
    <w:p w14:paraId="5DEA49E0" w14:textId="77777777" w:rsidR="006B3444" w:rsidRPr="006B3444" w:rsidRDefault="006B3444" w:rsidP="00094965">
      <w:pPr>
        <w:ind w:left="851"/>
        <w:rPr>
          <w:sz w:val="24"/>
          <w:szCs w:val="24"/>
        </w:rPr>
      </w:pPr>
      <w:r w:rsidRPr="006B3444">
        <w:rPr>
          <w:sz w:val="24"/>
          <w:szCs w:val="24"/>
          <w:u w:val="single"/>
        </w:rPr>
        <w:t>Peri- og postnatal udvikling</w:t>
      </w:r>
    </w:p>
    <w:p w14:paraId="0020FDA1" w14:textId="77777777" w:rsidR="006B3444" w:rsidRPr="006B3444" w:rsidRDefault="006B3444" w:rsidP="00094965">
      <w:pPr>
        <w:ind w:left="851"/>
        <w:rPr>
          <w:sz w:val="24"/>
          <w:szCs w:val="24"/>
        </w:rPr>
      </w:pPr>
    </w:p>
    <w:p w14:paraId="0CAEC882" w14:textId="02E8F938" w:rsidR="006B3444" w:rsidRPr="006B3444" w:rsidRDefault="006B3444" w:rsidP="00094965">
      <w:pPr>
        <w:ind w:left="851"/>
        <w:rPr>
          <w:sz w:val="24"/>
          <w:szCs w:val="24"/>
        </w:rPr>
      </w:pPr>
      <w:r w:rsidRPr="006B3444">
        <w:rPr>
          <w:sz w:val="24"/>
          <w:szCs w:val="24"/>
        </w:rPr>
        <w:t>Ivacaftor nedsatte overlevelse og diegivning og forårsagede en reduktion af afkommets kropsvægt. NOAEL for levedygtighed og vækst af afkommet giver et eksponeringsniveau på ca. 3 gange den systemiske eksponering for ivacaftor og dets metabolitter, når det administreres som ivacaftor-monoterapi hos voksne mennesker ved MRHD.</w:t>
      </w:r>
    </w:p>
    <w:p w14:paraId="284ECD7D" w14:textId="77777777" w:rsidR="006B3444" w:rsidRPr="006B3444" w:rsidRDefault="006B3444" w:rsidP="00094965">
      <w:pPr>
        <w:ind w:left="851"/>
        <w:rPr>
          <w:sz w:val="24"/>
          <w:szCs w:val="24"/>
        </w:rPr>
      </w:pPr>
    </w:p>
    <w:p w14:paraId="722E0758" w14:textId="53EFE198" w:rsidR="006B3444" w:rsidRPr="006B3444" w:rsidRDefault="006B3444" w:rsidP="00094965">
      <w:pPr>
        <w:ind w:left="851"/>
        <w:rPr>
          <w:sz w:val="24"/>
          <w:szCs w:val="24"/>
        </w:rPr>
      </w:pPr>
      <w:r w:rsidRPr="006B3444">
        <w:rPr>
          <w:sz w:val="24"/>
          <w:szCs w:val="24"/>
          <w:u w:val="single"/>
        </w:rPr>
        <w:t>Forsøg med unge dyr</w:t>
      </w:r>
    </w:p>
    <w:p w14:paraId="6ADCAED8" w14:textId="77777777" w:rsidR="006B3444" w:rsidRPr="006B3444" w:rsidRDefault="006B3444" w:rsidP="00094965">
      <w:pPr>
        <w:ind w:left="851"/>
        <w:rPr>
          <w:sz w:val="24"/>
          <w:szCs w:val="24"/>
        </w:rPr>
      </w:pPr>
    </w:p>
    <w:p w14:paraId="2F2C7E0B" w14:textId="77777777" w:rsidR="006B3444" w:rsidRPr="006B3444" w:rsidRDefault="006B3444" w:rsidP="00094965">
      <w:pPr>
        <w:ind w:left="851"/>
        <w:rPr>
          <w:sz w:val="24"/>
          <w:szCs w:val="24"/>
        </w:rPr>
      </w:pPr>
      <w:r w:rsidRPr="006B3444">
        <w:rPr>
          <w:sz w:val="24"/>
          <w:szCs w:val="24"/>
        </w:rPr>
        <w:t>Der blev observeret fund af grå stær hos unge rotter doseret fra dag 7 efter fødslen til og med dag 35 ved eksponeringsniveauer af ivacaftor på 0,22 gange MRHD baseret på den systemiske eksponering for ivacaftor og dets metabolitter, når det administreres som ivacaftor-monoterapi. Dette fund er ikke blevet observeret hos fostre fra rottekuld behandlet med ivacaftor på gestationsdag 7 til 17, hos rotteunger eksponeret for ivacaftor via mælkeindtagelse op til dag 20 efter fødslen, hos 7 uger gamle rotter eller hos 3,5-5 måneder gamle hunde behandlet med ivacaftor. Den mulige relevans af disse fund for mennesker er ukendt.</w:t>
      </w:r>
    </w:p>
    <w:p w14:paraId="327E5326" w14:textId="77777777" w:rsidR="009260DE" w:rsidRPr="00286CAA" w:rsidRDefault="009260DE" w:rsidP="009260DE">
      <w:pPr>
        <w:tabs>
          <w:tab w:val="left" w:pos="851"/>
        </w:tabs>
        <w:ind w:left="851"/>
        <w:rPr>
          <w:sz w:val="24"/>
          <w:szCs w:val="24"/>
        </w:rPr>
      </w:pPr>
    </w:p>
    <w:p w14:paraId="3348B7E4" w14:textId="77777777" w:rsidR="009260DE" w:rsidRPr="00286CAA" w:rsidRDefault="009260DE" w:rsidP="009260DE">
      <w:pPr>
        <w:tabs>
          <w:tab w:val="left" w:pos="851"/>
        </w:tabs>
        <w:ind w:left="851"/>
        <w:rPr>
          <w:sz w:val="24"/>
          <w:szCs w:val="24"/>
        </w:rPr>
      </w:pPr>
    </w:p>
    <w:p w14:paraId="07C36C90" w14:textId="77777777" w:rsidR="009260DE" w:rsidRPr="00286CAA" w:rsidRDefault="009260DE" w:rsidP="009260DE">
      <w:pPr>
        <w:tabs>
          <w:tab w:val="left" w:pos="851"/>
        </w:tabs>
        <w:ind w:left="851" w:hanging="851"/>
        <w:rPr>
          <w:b/>
          <w:sz w:val="24"/>
          <w:szCs w:val="24"/>
        </w:rPr>
      </w:pPr>
      <w:r w:rsidRPr="00286CAA">
        <w:rPr>
          <w:b/>
          <w:sz w:val="24"/>
          <w:szCs w:val="24"/>
        </w:rPr>
        <w:t>6.</w:t>
      </w:r>
      <w:r w:rsidRPr="00286CAA">
        <w:rPr>
          <w:b/>
          <w:sz w:val="24"/>
          <w:szCs w:val="24"/>
        </w:rPr>
        <w:tab/>
        <w:t>FARMACEUTISKE OPLYSNINGER</w:t>
      </w:r>
    </w:p>
    <w:p w14:paraId="6F2895C5" w14:textId="77777777" w:rsidR="009260DE" w:rsidRPr="00286CAA" w:rsidRDefault="009260DE" w:rsidP="009260DE">
      <w:pPr>
        <w:tabs>
          <w:tab w:val="left" w:pos="851"/>
        </w:tabs>
        <w:ind w:left="851"/>
        <w:rPr>
          <w:sz w:val="24"/>
          <w:szCs w:val="24"/>
        </w:rPr>
      </w:pPr>
    </w:p>
    <w:p w14:paraId="03068F05" w14:textId="77777777" w:rsidR="009260DE" w:rsidRPr="00286CAA" w:rsidRDefault="009260DE" w:rsidP="009260DE">
      <w:pPr>
        <w:tabs>
          <w:tab w:val="left" w:pos="851"/>
        </w:tabs>
        <w:ind w:left="851" w:hanging="851"/>
        <w:rPr>
          <w:b/>
          <w:sz w:val="24"/>
          <w:szCs w:val="24"/>
        </w:rPr>
      </w:pPr>
      <w:r w:rsidRPr="00286CAA">
        <w:rPr>
          <w:b/>
          <w:sz w:val="24"/>
          <w:szCs w:val="24"/>
        </w:rPr>
        <w:t>6.1</w:t>
      </w:r>
      <w:r w:rsidRPr="00286CAA">
        <w:rPr>
          <w:b/>
          <w:sz w:val="24"/>
          <w:szCs w:val="24"/>
        </w:rPr>
        <w:tab/>
        <w:t>Hjælpestoffer</w:t>
      </w:r>
    </w:p>
    <w:p w14:paraId="7B1F9B19" w14:textId="77777777" w:rsidR="00286CAA" w:rsidRDefault="00286CAA" w:rsidP="00094965">
      <w:pPr>
        <w:ind w:left="851"/>
        <w:rPr>
          <w:sz w:val="24"/>
          <w:szCs w:val="24"/>
          <w:u w:val="single"/>
        </w:rPr>
      </w:pPr>
    </w:p>
    <w:p w14:paraId="67FCD8C8" w14:textId="7170454D" w:rsidR="006B3444" w:rsidRPr="006B3444" w:rsidRDefault="006B3444" w:rsidP="00094965">
      <w:pPr>
        <w:ind w:left="851"/>
        <w:rPr>
          <w:sz w:val="24"/>
          <w:szCs w:val="24"/>
          <w:u w:val="single"/>
        </w:rPr>
      </w:pPr>
      <w:r w:rsidRPr="006B3444">
        <w:rPr>
          <w:sz w:val="24"/>
          <w:szCs w:val="24"/>
          <w:u w:val="single"/>
        </w:rPr>
        <w:t>Tabletkerne</w:t>
      </w:r>
    </w:p>
    <w:p w14:paraId="6A1561B9" w14:textId="34AE542B" w:rsidR="006B3444" w:rsidRPr="006B3444" w:rsidRDefault="006B3444" w:rsidP="00094965">
      <w:pPr>
        <w:ind w:left="851"/>
        <w:rPr>
          <w:sz w:val="24"/>
          <w:szCs w:val="24"/>
        </w:rPr>
      </w:pPr>
      <w:r w:rsidRPr="006B3444">
        <w:rPr>
          <w:sz w:val="24"/>
          <w:szCs w:val="24"/>
        </w:rPr>
        <w:t>Cellulose, mikrokrystallinsk (E460(i))</w:t>
      </w:r>
    </w:p>
    <w:p w14:paraId="5152D3B8" w14:textId="77777777" w:rsidR="006B3444" w:rsidRPr="006B3444" w:rsidRDefault="006B3444" w:rsidP="00094965">
      <w:pPr>
        <w:ind w:left="851"/>
        <w:rPr>
          <w:sz w:val="24"/>
          <w:szCs w:val="24"/>
          <w:lang w:val="en-US"/>
        </w:rPr>
      </w:pPr>
      <w:r w:rsidRPr="006B3444">
        <w:rPr>
          <w:sz w:val="24"/>
          <w:szCs w:val="24"/>
          <w:lang w:val="en-US"/>
        </w:rPr>
        <w:t>Lactosemonohydrat</w:t>
      </w:r>
    </w:p>
    <w:p w14:paraId="719107B1" w14:textId="77777777" w:rsidR="006B3444" w:rsidRPr="006B3444" w:rsidRDefault="006B3444" w:rsidP="00094965">
      <w:pPr>
        <w:ind w:left="851"/>
        <w:rPr>
          <w:sz w:val="24"/>
          <w:szCs w:val="24"/>
          <w:lang w:val="en-US"/>
        </w:rPr>
      </w:pPr>
      <w:r w:rsidRPr="006B3444">
        <w:rPr>
          <w:sz w:val="24"/>
          <w:szCs w:val="24"/>
          <w:lang w:val="en-US"/>
        </w:rPr>
        <w:t>Povidon</w:t>
      </w:r>
    </w:p>
    <w:p w14:paraId="63E106F0" w14:textId="77777777" w:rsidR="006B3444" w:rsidRPr="006B3444" w:rsidRDefault="006B3444" w:rsidP="00094965">
      <w:pPr>
        <w:ind w:left="851"/>
        <w:rPr>
          <w:sz w:val="24"/>
          <w:szCs w:val="24"/>
          <w:lang w:val="en-US"/>
        </w:rPr>
      </w:pPr>
      <w:r w:rsidRPr="006B3444">
        <w:rPr>
          <w:sz w:val="24"/>
          <w:szCs w:val="24"/>
          <w:lang w:val="en-US"/>
        </w:rPr>
        <w:t>Poloxamer</w:t>
      </w:r>
    </w:p>
    <w:p w14:paraId="4AD405EB" w14:textId="77777777" w:rsidR="006B3444" w:rsidRPr="006B3444" w:rsidRDefault="006B3444" w:rsidP="00094965">
      <w:pPr>
        <w:ind w:left="851"/>
        <w:rPr>
          <w:sz w:val="24"/>
          <w:szCs w:val="24"/>
          <w:lang w:val="en-US"/>
        </w:rPr>
      </w:pPr>
      <w:r w:rsidRPr="006B3444">
        <w:rPr>
          <w:sz w:val="24"/>
          <w:szCs w:val="24"/>
          <w:lang w:val="en-US"/>
        </w:rPr>
        <w:t>Croscarmellosenatrium (E468)</w:t>
      </w:r>
    </w:p>
    <w:p w14:paraId="42F3F551" w14:textId="77777777" w:rsidR="006B3444" w:rsidRPr="006B3444" w:rsidRDefault="006B3444" w:rsidP="00094965">
      <w:pPr>
        <w:ind w:left="851"/>
        <w:rPr>
          <w:sz w:val="24"/>
          <w:szCs w:val="24"/>
        </w:rPr>
      </w:pPr>
      <w:r w:rsidRPr="006B3444">
        <w:rPr>
          <w:sz w:val="24"/>
          <w:szCs w:val="24"/>
        </w:rPr>
        <w:t>Natriumlaurilsulfat (E487)</w:t>
      </w:r>
    </w:p>
    <w:p w14:paraId="24170250" w14:textId="77777777" w:rsidR="006B3444" w:rsidRPr="006B3444" w:rsidRDefault="006B3444" w:rsidP="00094965">
      <w:pPr>
        <w:ind w:left="851"/>
        <w:rPr>
          <w:sz w:val="24"/>
          <w:szCs w:val="24"/>
        </w:rPr>
      </w:pPr>
      <w:r w:rsidRPr="006B3444">
        <w:rPr>
          <w:sz w:val="24"/>
          <w:szCs w:val="24"/>
        </w:rPr>
        <w:t>Silica, kolloid vandfri (E551)</w:t>
      </w:r>
    </w:p>
    <w:p w14:paraId="21C08165" w14:textId="77777777" w:rsidR="006B3444" w:rsidRPr="006B3444" w:rsidRDefault="006B3444" w:rsidP="00094965">
      <w:pPr>
        <w:ind w:left="851"/>
        <w:rPr>
          <w:sz w:val="24"/>
          <w:szCs w:val="24"/>
        </w:rPr>
      </w:pPr>
      <w:r w:rsidRPr="006B3444">
        <w:rPr>
          <w:sz w:val="24"/>
          <w:szCs w:val="24"/>
        </w:rPr>
        <w:t>Magnesiumstearat</w:t>
      </w:r>
    </w:p>
    <w:p w14:paraId="7130BA5C" w14:textId="77777777" w:rsidR="006B3444" w:rsidRPr="006B3444" w:rsidRDefault="006B3444" w:rsidP="00094965">
      <w:pPr>
        <w:ind w:left="851"/>
        <w:rPr>
          <w:sz w:val="24"/>
          <w:szCs w:val="24"/>
        </w:rPr>
      </w:pPr>
    </w:p>
    <w:p w14:paraId="756A3DE0" w14:textId="1EDFC832" w:rsidR="006B3444" w:rsidRPr="006B3444" w:rsidRDefault="006B3444" w:rsidP="00094965">
      <w:pPr>
        <w:ind w:left="851"/>
        <w:rPr>
          <w:sz w:val="24"/>
          <w:szCs w:val="24"/>
          <w:u w:val="single"/>
        </w:rPr>
      </w:pPr>
      <w:r w:rsidRPr="006B3444">
        <w:rPr>
          <w:sz w:val="24"/>
          <w:szCs w:val="24"/>
          <w:u w:val="single"/>
        </w:rPr>
        <w:t>Tablet filmovertræk</w:t>
      </w:r>
    </w:p>
    <w:p w14:paraId="07D4AE4B" w14:textId="1E146F21" w:rsidR="006B3444" w:rsidRPr="006B3444" w:rsidRDefault="006B3444" w:rsidP="00094965">
      <w:pPr>
        <w:ind w:left="851"/>
        <w:rPr>
          <w:sz w:val="24"/>
          <w:szCs w:val="24"/>
        </w:rPr>
      </w:pPr>
      <w:r w:rsidRPr="006B3444">
        <w:rPr>
          <w:sz w:val="24"/>
          <w:szCs w:val="24"/>
        </w:rPr>
        <w:t>Polyvinylalkohol, delvist hydrolyseret (E1203)</w:t>
      </w:r>
    </w:p>
    <w:p w14:paraId="052F26BA" w14:textId="77777777" w:rsidR="006B3444" w:rsidRPr="00286CAA" w:rsidRDefault="006B3444" w:rsidP="00094965">
      <w:pPr>
        <w:ind w:left="851"/>
        <w:rPr>
          <w:sz w:val="24"/>
          <w:szCs w:val="24"/>
          <w:lang w:val="en-US"/>
        </w:rPr>
      </w:pPr>
      <w:r w:rsidRPr="00286CAA">
        <w:rPr>
          <w:sz w:val="24"/>
          <w:szCs w:val="24"/>
          <w:lang w:val="en-US"/>
        </w:rPr>
        <w:t>Calciumcarbonat (E170)</w:t>
      </w:r>
    </w:p>
    <w:p w14:paraId="7CED58E0" w14:textId="77777777" w:rsidR="006B3444" w:rsidRPr="00286CAA" w:rsidRDefault="006B3444" w:rsidP="00094965">
      <w:pPr>
        <w:ind w:left="851"/>
        <w:rPr>
          <w:sz w:val="24"/>
          <w:szCs w:val="24"/>
          <w:lang w:val="en-US"/>
        </w:rPr>
      </w:pPr>
      <w:r w:rsidRPr="00286CAA">
        <w:rPr>
          <w:sz w:val="24"/>
          <w:szCs w:val="24"/>
          <w:lang w:val="en-US"/>
        </w:rPr>
        <w:t>Macrogol (E1521)</w:t>
      </w:r>
    </w:p>
    <w:p w14:paraId="38778921" w14:textId="77777777" w:rsidR="006B3444" w:rsidRPr="00286CAA" w:rsidRDefault="006B3444" w:rsidP="00094965">
      <w:pPr>
        <w:ind w:left="851"/>
        <w:rPr>
          <w:sz w:val="24"/>
          <w:szCs w:val="24"/>
          <w:lang w:val="en-US"/>
        </w:rPr>
      </w:pPr>
      <w:r w:rsidRPr="00286CAA">
        <w:rPr>
          <w:sz w:val="24"/>
          <w:szCs w:val="24"/>
          <w:lang w:val="en-US"/>
        </w:rPr>
        <w:t>Talcum (E553b)</w:t>
      </w:r>
    </w:p>
    <w:p w14:paraId="5CD48549" w14:textId="77777777" w:rsidR="006B3444" w:rsidRPr="006B3444" w:rsidRDefault="006B3444" w:rsidP="00094965">
      <w:pPr>
        <w:ind w:left="851"/>
        <w:rPr>
          <w:sz w:val="24"/>
          <w:szCs w:val="24"/>
        </w:rPr>
      </w:pPr>
      <w:r w:rsidRPr="006B3444">
        <w:rPr>
          <w:sz w:val="24"/>
          <w:szCs w:val="24"/>
        </w:rPr>
        <w:t>Indigocarmin aluminium lake (E132).</w:t>
      </w:r>
    </w:p>
    <w:p w14:paraId="57FC8EF4" w14:textId="77777777" w:rsidR="009260DE" w:rsidRPr="00286CAA" w:rsidRDefault="009260DE" w:rsidP="009260DE">
      <w:pPr>
        <w:tabs>
          <w:tab w:val="left" w:pos="851"/>
        </w:tabs>
        <w:ind w:left="851"/>
        <w:rPr>
          <w:sz w:val="24"/>
          <w:szCs w:val="24"/>
        </w:rPr>
      </w:pPr>
    </w:p>
    <w:p w14:paraId="0F04FFF5" w14:textId="77777777" w:rsidR="009260DE" w:rsidRPr="00286CAA" w:rsidRDefault="009260DE" w:rsidP="009260DE">
      <w:pPr>
        <w:tabs>
          <w:tab w:val="left" w:pos="851"/>
        </w:tabs>
        <w:ind w:left="851" w:hanging="851"/>
        <w:rPr>
          <w:b/>
          <w:sz w:val="24"/>
          <w:szCs w:val="24"/>
        </w:rPr>
      </w:pPr>
      <w:r w:rsidRPr="00286CAA">
        <w:rPr>
          <w:b/>
          <w:sz w:val="24"/>
          <w:szCs w:val="24"/>
        </w:rPr>
        <w:t>6.2</w:t>
      </w:r>
      <w:r w:rsidRPr="00286CAA">
        <w:rPr>
          <w:b/>
          <w:sz w:val="24"/>
          <w:szCs w:val="24"/>
        </w:rPr>
        <w:tab/>
        <w:t>Uforligeligheder</w:t>
      </w:r>
    </w:p>
    <w:p w14:paraId="2DA85137" w14:textId="77777777" w:rsidR="006B3444" w:rsidRPr="006B3444" w:rsidRDefault="006B3444" w:rsidP="00094965">
      <w:pPr>
        <w:ind w:left="851"/>
        <w:rPr>
          <w:sz w:val="24"/>
          <w:szCs w:val="24"/>
        </w:rPr>
      </w:pPr>
      <w:r w:rsidRPr="006B3444">
        <w:rPr>
          <w:sz w:val="24"/>
          <w:szCs w:val="24"/>
        </w:rPr>
        <w:t>Ikke relevant.</w:t>
      </w:r>
    </w:p>
    <w:p w14:paraId="10F4D737" w14:textId="77777777" w:rsidR="009260DE" w:rsidRPr="00286CAA" w:rsidRDefault="009260DE" w:rsidP="009260DE">
      <w:pPr>
        <w:tabs>
          <w:tab w:val="left" w:pos="851"/>
        </w:tabs>
        <w:ind w:left="851"/>
        <w:rPr>
          <w:sz w:val="24"/>
          <w:szCs w:val="24"/>
        </w:rPr>
      </w:pPr>
    </w:p>
    <w:p w14:paraId="1BF12496" w14:textId="77777777" w:rsidR="009260DE" w:rsidRPr="00286CAA" w:rsidRDefault="009260DE" w:rsidP="009260DE">
      <w:pPr>
        <w:tabs>
          <w:tab w:val="left" w:pos="851"/>
        </w:tabs>
        <w:ind w:left="851" w:hanging="851"/>
        <w:rPr>
          <w:b/>
          <w:sz w:val="24"/>
          <w:szCs w:val="24"/>
        </w:rPr>
      </w:pPr>
      <w:r w:rsidRPr="00286CAA">
        <w:rPr>
          <w:b/>
          <w:sz w:val="24"/>
          <w:szCs w:val="24"/>
        </w:rPr>
        <w:t>6.3</w:t>
      </w:r>
      <w:r w:rsidRPr="00286CAA">
        <w:rPr>
          <w:b/>
          <w:sz w:val="24"/>
          <w:szCs w:val="24"/>
        </w:rPr>
        <w:tab/>
        <w:t>Opbevaringstid</w:t>
      </w:r>
    </w:p>
    <w:p w14:paraId="4D5E64DB" w14:textId="77777777" w:rsidR="006B3444" w:rsidRPr="006B3444" w:rsidRDefault="006B3444" w:rsidP="00094965">
      <w:pPr>
        <w:ind w:left="851"/>
        <w:rPr>
          <w:sz w:val="24"/>
          <w:szCs w:val="24"/>
        </w:rPr>
      </w:pPr>
      <w:r w:rsidRPr="006B3444">
        <w:rPr>
          <w:sz w:val="24"/>
          <w:szCs w:val="24"/>
        </w:rPr>
        <w:t>2 år.</w:t>
      </w:r>
    </w:p>
    <w:p w14:paraId="0525E689" w14:textId="77777777" w:rsidR="009260DE" w:rsidRPr="00286CAA" w:rsidRDefault="009260DE" w:rsidP="009260DE">
      <w:pPr>
        <w:tabs>
          <w:tab w:val="left" w:pos="851"/>
        </w:tabs>
        <w:ind w:left="851"/>
        <w:rPr>
          <w:sz w:val="24"/>
          <w:szCs w:val="24"/>
        </w:rPr>
      </w:pPr>
    </w:p>
    <w:p w14:paraId="1A09C32E" w14:textId="77777777" w:rsidR="009260DE" w:rsidRPr="00286CAA" w:rsidRDefault="009260DE" w:rsidP="009260DE">
      <w:pPr>
        <w:tabs>
          <w:tab w:val="left" w:pos="851"/>
        </w:tabs>
        <w:ind w:left="851" w:hanging="851"/>
        <w:rPr>
          <w:b/>
          <w:sz w:val="24"/>
          <w:szCs w:val="24"/>
        </w:rPr>
      </w:pPr>
      <w:r w:rsidRPr="00286CAA">
        <w:rPr>
          <w:b/>
          <w:sz w:val="24"/>
          <w:szCs w:val="24"/>
        </w:rPr>
        <w:t>6.4</w:t>
      </w:r>
      <w:r w:rsidRPr="00286CAA">
        <w:rPr>
          <w:b/>
          <w:sz w:val="24"/>
          <w:szCs w:val="24"/>
        </w:rPr>
        <w:tab/>
        <w:t>Særlige opbevaringsforhold</w:t>
      </w:r>
    </w:p>
    <w:p w14:paraId="5A07AAC5" w14:textId="77777777" w:rsidR="006B3444" w:rsidRPr="006B3444" w:rsidRDefault="006B3444" w:rsidP="00094965">
      <w:pPr>
        <w:ind w:left="851"/>
        <w:rPr>
          <w:sz w:val="24"/>
          <w:szCs w:val="24"/>
        </w:rPr>
      </w:pPr>
      <w:r w:rsidRPr="006B3444">
        <w:rPr>
          <w:sz w:val="24"/>
          <w:szCs w:val="24"/>
        </w:rPr>
        <w:t>Dette lægemiddel kræver ingen særlige forholdsregler vedrørende opbevaringen.</w:t>
      </w:r>
    </w:p>
    <w:p w14:paraId="7DD09131" w14:textId="77777777" w:rsidR="009260DE" w:rsidRPr="00286CAA" w:rsidRDefault="009260DE" w:rsidP="009260DE">
      <w:pPr>
        <w:tabs>
          <w:tab w:val="left" w:pos="851"/>
        </w:tabs>
        <w:ind w:left="851"/>
        <w:rPr>
          <w:sz w:val="24"/>
          <w:szCs w:val="24"/>
        </w:rPr>
      </w:pPr>
    </w:p>
    <w:p w14:paraId="455F0168" w14:textId="77777777" w:rsidR="009260DE" w:rsidRPr="00286CAA" w:rsidRDefault="009260DE" w:rsidP="009260DE">
      <w:pPr>
        <w:tabs>
          <w:tab w:val="left" w:pos="851"/>
        </w:tabs>
        <w:ind w:left="851" w:hanging="851"/>
        <w:rPr>
          <w:b/>
          <w:sz w:val="24"/>
          <w:szCs w:val="24"/>
        </w:rPr>
      </w:pPr>
      <w:r w:rsidRPr="00286CAA">
        <w:rPr>
          <w:b/>
          <w:sz w:val="24"/>
          <w:szCs w:val="24"/>
        </w:rPr>
        <w:t>6.5</w:t>
      </w:r>
      <w:r w:rsidRPr="00286CAA">
        <w:rPr>
          <w:b/>
          <w:sz w:val="24"/>
          <w:szCs w:val="24"/>
        </w:rPr>
        <w:tab/>
        <w:t>Emballagetype og pakningsstørrelser</w:t>
      </w:r>
    </w:p>
    <w:p w14:paraId="1EAB04EB" w14:textId="77777777" w:rsidR="006B3444" w:rsidRPr="006B3444" w:rsidRDefault="006B3444" w:rsidP="00094965">
      <w:pPr>
        <w:ind w:left="851"/>
        <w:rPr>
          <w:sz w:val="24"/>
          <w:szCs w:val="24"/>
        </w:rPr>
      </w:pPr>
      <w:r w:rsidRPr="006B3444">
        <w:rPr>
          <w:sz w:val="24"/>
          <w:szCs w:val="24"/>
        </w:rPr>
        <w:t>PVC/PCTFE/PVC//Alu-blistre i en æske med 28 og 56 filmovertrukne tabletter.</w:t>
      </w:r>
    </w:p>
    <w:p w14:paraId="21E86511" w14:textId="16A04D44" w:rsidR="006B3444" w:rsidRPr="006B3444" w:rsidRDefault="006B3444" w:rsidP="00094965">
      <w:pPr>
        <w:ind w:left="851"/>
        <w:rPr>
          <w:sz w:val="24"/>
          <w:szCs w:val="24"/>
        </w:rPr>
      </w:pPr>
      <w:r w:rsidRPr="006B3444">
        <w:rPr>
          <w:sz w:val="24"/>
          <w:szCs w:val="24"/>
        </w:rPr>
        <w:t>PVC/PCTFE/PVC//Alu-enkeltdosisblistre i en æske med 28</w:t>
      </w:r>
      <w:r w:rsidR="00094965" w:rsidRPr="00286CAA">
        <w:rPr>
          <w:sz w:val="24"/>
          <w:szCs w:val="24"/>
        </w:rPr>
        <w:t>×</w:t>
      </w:r>
      <w:r w:rsidRPr="006B3444">
        <w:rPr>
          <w:sz w:val="24"/>
          <w:szCs w:val="24"/>
        </w:rPr>
        <w:t>1 og 56</w:t>
      </w:r>
      <w:r w:rsidR="00094965" w:rsidRPr="00286CAA">
        <w:rPr>
          <w:sz w:val="24"/>
          <w:szCs w:val="24"/>
        </w:rPr>
        <w:t>×</w:t>
      </w:r>
      <w:r w:rsidRPr="006B3444">
        <w:rPr>
          <w:sz w:val="24"/>
          <w:szCs w:val="24"/>
        </w:rPr>
        <w:t>1 filmovertrukne tabletter.</w:t>
      </w:r>
    </w:p>
    <w:p w14:paraId="6B7A11C4" w14:textId="77777777" w:rsidR="006B3444" w:rsidRPr="006B3444" w:rsidRDefault="006B3444" w:rsidP="00094965">
      <w:pPr>
        <w:ind w:left="851"/>
        <w:rPr>
          <w:sz w:val="24"/>
          <w:szCs w:val="24"/>
        </w:rPr>
      </w:pPr>
    </w:p>
    <w:p w14:paraId="45088F2E" w14:textId="77777777" w:rsidR="006B3444" w:rsidRPr="006B3444" w:rsidRDefault="006B3444" w:rsidP="00094965">
      <w:pPr>
        <w:ind w:left="851"/>
        <w:rPr>
          <w:sz w:val="24"/>
          <w:szCs w:val="24"/>
        </w:rPr>
      </w:pPr>
      <w:r w:rsidRPr="006B3444">
        <w:rPr>
          <w:sz w:val="24"/>
          <w:szCs w:val="24"/>
        </w:rPr>
        <w:t>Ikke alle pakningsstørrelser er nødvendigvis markedsført.</w:t>
      </w:r>
    </w:p>
    <w:p w14:paraId="07AF3CC8" w14:textId="77777777" w:rsidR="009260DE" w:rsidRPr="00286CAA" w:rsidRDefault="009260DE" w:rsidP="009260DE">
      <w:pPr>
        <w:tabs>
          <w:tab w:val="left" w:pos="851"/>
        </w:tabs>
        <w:ind w:left="851"/>
        <w:rPr>
          <w:sz w:val="24"/>
          <w:szCs w:val="24"/>
        </w:rPr>
      </w:pPr>
    </w:p>
    <w:p w14:paraId="68BB7CC6" w14:textId="77777777" w:rsidR="009260DE" w:rsidRPr="00286CAA" w:rsidRDefault="009260DE" w:rsidP="009260DE">
      <w:pPr>
        <w:tabs>
          <w:tab w:val="left" w:pos="851"/>
        </w:tabs>
        <w:ind w:left="851" w:hanging="851"/>
        <w:rPr>
          <w:b/>
          <w:sz w:val="24"/>
          <w:szCs w:val="24"/>
        </w:rPr>
      </w:pPr>
      <w:r w:rsidRPr="00286CAA">
        <w:rPr>
          <w:b/>
          <w:sz w:val="24"/>
          <w:szCs w:val="24"/>
        </w:rPr>
        <w:t>6.6</w:t>
      </w:r>
      <w:r w:rsidRPr="00286CAA">
        <w:rPr>
          <w:b/>
          <w:sz w:val="24"/>
          <w:szCs w:val="24"/>
        </w:rPr>
        <w:tab/>
        <w:t xml:space="preserve">Regler for </w:t>
      </w:r>
      <w:r w:rsidR="00BD7931" w:rsidRPr="00286CAA">
        <w:rPr>
          <w:b/>
          <w:sz w:val="24"/>
          <w:szCs w:val="24"/>
        </w:rPr>
        <w:t>bortskaffelse</w:t>
      </w:r>
      <w:r w:rsidRPr="00286CAA">
        <w:rPr>
          <w:b/>
          <w:sz w:val="24"/>
          <w:szCs w:val="24"/>
        </w:rPr>
        <w:t xml:space="preserve"> og anden håndtering</w:t>
      </w:r>
    </w:p>
    <w:p w14:paraId="6E757600" w14:textId="77777777" w:rsidR="006B3444" w:rsidRPr="006B3444" w:rsidRDefault="006B3444" w:rsidP="00094965">
      <w:pPr>
        <w:ind w:left="851"/>
        <w:rPr>
          <w:sz w:val="24"/>
          <w:szCs w:val="24"/>
        </w:rPr>
      </w:pPr>
      <w:r w:rsidRPr="006B3444">
        <w:rPr>
          <w:sz w:val="24"/>
          <w:szCs w:val="24"/>
        </w:rPr>
        <w:t>Ikke anvendt lægemiddel samt affald heraf skal bortskaffes i henhold til lokale retningslinjer.</w:t>
      </w:r>
    </w:p>
    <w:p w14:paraId="79229EC9" w14:textId="77777777" w:rsidR="009260DE" w:rsidRPr="00286CAA" w:rsidRDefault="009260DE" w:rsidP="000730CA">
      <w:pPr>
        <w:tabs>
          <w:tab w:val="left" w:pos="851"/>
        </w:tabs>
        <w:ind w:left="851"/>
        <w:rPr>
          <w:sz w:val="24"/>
          <w:szCs w:val="24"/>
        </w:rPr>
      </w:pPr>
    </w:p>
    <w:p w14:paraId="403290E9" w14:textId="77777777" w:rsidR="009260DE" w:rsidRPr="00286CAA" w:rsidRDefault="009260DE" w:rsidP="009260DE">
      <w:pPr>
        <w:tabs>
          <w:tab w:val="left" w:pos="851"/>
        </w:tabs>
        <w:ind w:left="851" w:hanging="851"/>
        <w:rPr>
          <w:b/>
          <w:sz w:val="24"/>
          <w:szCs w:val="24"/>
        </w:rPr>
      </w:pPr>
      <w:r w:rsidRPr="00286CAA">
        <w:rPr>
          <w:b/>
          <w:sz w:val="24"/>
          <w:szCs w:val="24"/>
        </w:rPr>
        <w:t>7.</w:t>
      </w:r>
      <w:r w:rsidRPr="00286CAA">
        <w:rPr>
          <w:b/>
          <w:sz w:val="24"/>
          <w:szCs w:val="24"/>
        </w:rPr>
        <w:tab/>
        <w:t>INDEHAVER AF MARKEDSFØRINGSTILLADELSEN</w:t>
      </w:r>
    </w:p>
    <w:p w14:paraId="1D906BD4" w14:textId="77777777" w:rsidR="006B3444" w:rsidRPr="006B3444" w:rsidRDefault="006B3444" w:rsidP="00094965">
      <w:pPr>
        <w:ind w:left="851"/>
        <w:rPr>
          <w:sz w:val="24"/>
          <w:szCs w:val="24"/>
        </w:rPr>
      </w:pPr>
      <w:r w:rsidRPr="006B3444">
        <w:rPr>
          <w:sz w:val="24"/>
          <w:szCs w:val="24"/>
        </w:rPr>
        <w:t>Teva B.V.</w:t>
      </w:r>
    </w:p>
    <w:p w14:paraId="48855A1D" w14:textId="77777777" w:rsidR="006B3444" w:rsidRPr="006B3444" w:rsidRDefault="006B3444" w:rsidP="00094965">
      <w:pPr>
        <w:ind w:left="851"/>
        <w:rPr>
          <w:sz w:val="24"/>
          <w:szCs w:val="24"/>
        </w:rPr>
      </w:pPr>
      <w:r w:rsidRPr="006B3444">
        <w:rPr>
          <w:sz w:val="24"/>
          <w:szCs w:val="24"/>
        </w:rPr>
        <w:t>Swensweg 5</w:t>
      </w:r>
    </w:p>
    <w:p w14:paraId="3EDEE9EB" w14:textId="77777777" w:rsidR="006B3444" w:rsidRPr="006B3444" w:rsidRDefault="006B3444" w:rsidP="00094965">
      <w:pPr>
        <w:ind w:left="851"/>
        <w:rPr>
          <w:sz w:val="24"/>
          <w:szCs w:val="24"/>
        </w:rPr>
      </w:pPr>
      <w:r w:rsidRPr="006B3444">
        <w:rPr>
          <w:sz w:val="24"/>
          <w:szCs w:val="24"/>
        </w:rPr>
        <w:t>2031 GA Haarlem</w:t>
      </w:r>
    </w:p>
    <w:p w14:paraId="08C0BEFB" w14:textId="77777777" w:rsidR="006B3444" w:rsidRPr="006B3444" w:rsidRDefault="006B3444" w:rsidP="00094965">
      <w:pPr>
        <w:ind w:left="851"/>
        <w:rPr>
          <w:sz w:val="24"/>
          <w:szCs w:val="24"/>
        </w:rPr>
      </w:pPr>
      <w:r w:rsidRPr="006B3444">
        <w:rPr>
          <w:sz w:val="24"/>
          <w:szCs w:val="24"/>
        </w:rPr>
        <w:t>Holland</w:t>
      </w:r>
    </w:p>
    <w:p w14:paraId="3F4CA271" w14:textId="77777777" w:rsidR="009260DE" w:rsidRPr="00286CAA" w:rsidRDefault="009260DE" w:rsidP="00094965">
      <w:pPr>
        <w:ind w:left="851"/>
        <w:rPr>
          <w:sz w:val="24"/>
          <w:szCs w:val="24"/>
        </w:rPr>
      </w:pPr>
    </w:p>
    <w:p w14:paraId="7A00A762" w14:textId="77777777" w:rsidR="00641C65" w:rsidRPr="00286CAA" w:rsidRDefault="00641C65" w:rsidP="00094965">
      <w:pPr>
        <w:ind w:left="851"/>
        <w:rPr>
          <w:sz w:val="24"/>
          <w:szCs w:val="24"/>
        </w:rPr>
      </w:pPr>
      <w:r w:rsidRPr="00286CAA">
        <w:rPr>
          <w:b/>
          <w:sz w:val="24"/>
          <w:szCs w:val="24"/>
        </w:rPr>
        <w:t>Repræsentant</w:t>
      </w:r>
    </w:p>
    <w:p w14:paraId="3433BD37" w14:textId="77777777" w:rsidR="006B3444" w:rsidRPr="006B3444" w:rsidRDefault="006B3444" w:rsidP="00094965">
      <w:pPr>
        <w:ind w:left="851"/>
        <w:rPr>
          <w:sz w:val="24"/>
          <w:szCs w:val="24"/>
        </w:rPr>
      </w:pPr>
      <w:r w:rsidRPr="006B3444">
        <w:rPr>
          <w:sz w:val="24"/>
          <w:szCs w:val="24"/>
        </w:rPr>
        <w:t>Teva Denmark A/S</w:t>
      </w:r>
    </w:p>
    <w:p w14:paraId="3FEEA792" w14:textId="77777777" w:rsidR="006B3444" w:rsidRPr="006B3444" w:rsidRDefault="006B3444" w:rsidP="00094965">
      <w:pPr>
        <w:ind w:left="851"/>
        <w:rPr>
          <w:sz w:val="24"/>
          <w:szCs w:val="24"/>
        </w:rPr>
      </w:pPr>
      <w:r w:rsidRPr="006B3444">
        <w:rPr>
          <w:sz w:val="24"/>
          <w:szCs w:val="24"/>
        </w:rPr>
        <w:t>Vandtårnsvej 83A</w:t>
      </w:r>
    </w:p>
    <w:p w14:paraId="419F558B" w14:textId="77777777" w:rsidR="006B3444" w:rsidRPr="006B3444" w:rsidRDefault="006B3444" w:rsidP="00094965">
      <w:pPr>
        <w:ind w:left="851"/>
        <w:rPr>
          <w:sz w:val="24"/>
          <w:szCs w:val="24"/>
        </w:rPr>
      </w:pPr>
      <w:r w:rsidRPr="006B3444">
        <w:rPr>
          <w:sz w:val="24"/>
          <w:szCs w:val="24"/>
        </w:rPr>
        <w:t>2860 Søborg</w:t>
      </w:r>
    </w:p>
    <w:p w14:paraId="6D33977A" w14:textId="77777777" w:rsidR="00641C65" w:rsidRPr="00286CAA" w:rsidRDefault="00641C65" w:rsidP="009260DE">
      <w:pPr>
        <w:tabs>
          <w:tab w:val="left" w:pos="851"/>
        </w:tabs>
        <w:ind w:left="851"/>
        <w:rPr>
          <w:sz w:val="24"/>
          <w:szCs w:val="24"/>
        </w:rPr>
      </w:pPr>
    </w:p>
    <w:p w14:paraId="6F4715F5" w14:textId="77777777" w:rsidR="009260DE" w:rsidRPr="00286CAA" w:rsidRDefault="009260DE" w:rsidP="009260DE">
      <w:pPr>
        <w:tabs>
          <w:tab w:val="left" w:pos="851"/>
        </w:tabs>
        <w:ind w:left="851" w:hanging="851"/>
        <w:rPr>
          <w:b/>
          <w:sz w:val="24"/>
          <w:szCs w:val="24"/>
        </w:rPr>
      </w:pPr>
      <w:r w:rsidRPr="00286CAA">
        <w:rPr>
          <w:b/>
          <w:sz w:val="24"/>
          <w:szCs w:val="24"/>
        </w:rPr>
        <w:t>8.</w:t>
      </w:r>
      <w:r w:rsidRPr="00286CAA">
        <w:rPr>
          <w:b/>
          <w:sz w:val="24"/>
          <w:szCs w:val="24"/>
        </w:rPr>
        <w:tab/>
        <w:t>MARKEDSFØRINGSTILLADELSESNUMMER (</w:t>
      </w:r>
      <w:r w:rsidR="00BF6243" w:rsidRPr="00286CAA">
        <w:rPr>
          <w:b/>
          <w:sz w:val="24"/>
          <w:szCs w:val="24"/>
        </w:rPr>
        <w:t>-</w:t>
      </w:r>
      <w:r w:rsidRPr="00286CAA">
        <w:rPr>
          <w:b/>
          <w:sz w:val="24"/>
          <w:szCs w:val="24"/>
        </w:rPr>
        <w:t>NUMRE)</w:t>
      </w:r>
    </w:p>
    <w:p w14:paraId="152254EA" w14:textId="1C3D16D5" w:rsidR="009260DE" w:rsidRPr="00286CAA" w:rsidRDefault="006B3444" w:rsidP="009260DE">
      <w:pPr>
        <w:tabs>
          <w:tab w:val="left" w:pos="851"/>
        </w:tabs>
        <w:ind w:left="851"/>
        <w:rPr>
          <w:sz w:val="24"/>
          <w:szCs w:val="24"/>
        </w:rPr>
      </w:pPr>
      <w:r w:rsidRPr="00286CAA">
        <w:rPr>
          <w:sz w:val="24"/>
          <w:szCs w:val="24"/>
        </w:rPr>
        <w:t>73915</w:t>
      </w:r>
    </w:p>
    <w:p w14:paraId="612040B0" w14:textId="77777777" w:rsidR="009260DE" w:rsidRPr="00286CAA" w:rsidRDefault="009260DE" w:rsidP="009260DE">
      <w:pPr>
        <w:tabs>
          <w:tab w:val="left" w:pos="851"/>
        </w:tabs>
        <w:ind w:left="851"/>
        <w:jc w:val="both"/>
        <w:rPr>
          <w:sz w:val="24"/>
          <w:szCs w:val="24"/>
        </w:rPr>
      </w:pPr>
    </w:p>
    <w:p w14:paraId="2D5E9C2C" w14:textId="77777777" w:rsidR="009260DE" w:rsidRPr="00286CAA" w:rsidRDefault="009260DE" w:rsidP="009260DE">
      <w:pPr>
        <w:tabs>
          <w:tab w:val="left" w:pos="851"/>
        </w:tabs>
        <w:ind w:left="851" w:hanging="851"/>
        <w:rPr>
          <w:b/>
          <w:sz w:val="24"/>
          <w:szCs w:val="24"/>
        </w:rPr>
      </w:pPr>
      <w:r w:rsidRPr="00286CAA">
        <w:rPr>
          <w:b/>
          <w:sz w:val="24"/>
          <w:szCs w:val="24"/>
        </w:rPr>
        <w:t>9.</w:t>
      </w:r>
      <w:r w:rsidRPr="00286CAA">
        <w:rPr>
          <w:b/>
          <w:sz w:val="24"/>
          <w:szCs w:val="24"/>
        </w:rPr>
        <w:tab/>
        <w:t>DATO FOR FØRSTE MARKEDSFØRINGSTILLADELSE</w:t>
      </w:r>
    </w:p>
    <w:p w14:paraId="2199FD9B" w14:textId="3B6922D1" w:rsidR="009260DE" w:rsidRPr="00286CAA" w:rsidRDefault="00C52CC5" w:rsidP="009260DE">
      <w:pPr>
        <w:tabs>
          <w:tab w:val="left" w:pos="851"/>
        </w:tabs>
        <w:ind w:left="851"/>
        <w:rPr>
          <w:sz w:val="24"/>
          <w:szCs w:val="24"/>
        </w:rPr>
      </w:pPr>
      <w:r>
        <w:rPr>
          <w:sz w:val="24"/>
          <w:szCs w:val="24"/>
        </w:rPr>
        <w:t>16. juni 2026</w:t>
      </w:r>
    </w:p>
    <w:p w14:paraId="2BA2F0F0" w14:textId="77777777" w:rsidR="009260DE" w:rsidRPr="00286CAA" w:rsidRDefault="009260DE" w:rsidP="009260DE">
      <w:pPr>
        <w:tabs>
          <w:tab w:val="left" w:pos="851"/>
        </w:tabs>
        <w:ind w:left="851"/>
        <w:rPr>
          <w:sz w:val="24"/>
          <w:szCs w:val="24"/>
        </w:rPr>
      </w:pPr>
    </w:p>
    <w:p w14:paraId="2501E18F" w14:textId="77777777" w:rsidR="009260DE" w:rsidRPr="00286CAA" w:rsidRDefault="009260DE" w:rsidP="009260DE">
      <w:pPr>
        <w:tabs>
          <w:tab w:val="left" w:pos="851"/>
        </w:tabs>
        <w:ind w:left="851" w:hanging="851"/>
        <w:rPr>
          <w:b/>
          <w:sz w:val="24"/>
          <w:szCs w:val="24"/>
        </w:rPr>
      </w:pPr>
      <w:r w:rsidRPr="00286CAA">
        <w:rPr>
          <w:b/>
          <w:sz w:val="24"/>
          <w:szCs w:val="24"/>
        </w:rPr>
        <w:t>10.</w:t>
      </w:r>
      <w:r w:rsidRPr="00286CAA">
        <w:rPr>
          <w:b/>
          <w:sz w:val="24"/>
          <w:szCs w:val="24"/>
        </w:rPr>
        <w:tab/>
        <w:t>DATO FOR ÆNDRING AF TEKSTEN</w:t>
      </w:r>
    </w:p>
    <w:p w14:paraId="5436F188" w14:textId="0DBE87F7" w:rsidR="009260DE" w:rsidRPr="00286CAA" w:rsidRDefault="006B3444" w:rsidP="009260DE">
      <w:pPr>
        <w:tabs>
          <w:tab w:val="left" w:pos="851"/>
        </w:tabs>
        <w:ind w:left="851"/>
        <w:rPr>
          <w:sz w:val="24"/>
          <w:szCs w:val="24"/>
        </w:rPr>
      </w:pPr>
      <w:r w:rsidRPr="00286CAA">
        <w:rPr>
          <w:sz w:val="24"/>
          <w:szCs w:val="24"/>
        </w:rPr>
        <w:t>-</w:t>
      </w:r>
    </w:p>
    <w:sectPr w:rsidR="009260DE" w:rsidRPr="00286CAA"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199E9" w14:textId="77777777" w:rsidR="00095D04" w:rsidRDefault="00095D04">
      <w:r>
        <w:separator/>
      </w:r>
    </w:p>
  </w:endnote>
  <w:endnote w:type="continuationSeparator" w:id="0">
    <w:p w14:paraId="72B68D0C" w14:textId="77777777" w:rsidR="00095D04" w:rsidRDefault="0009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DFEE" w14:textId="77777777" w:rsidR="000259B9" w:rsidRDefault="000259B9">
    <w:pPr>
      <w:pStyle w:val="Sidefod"/>
      <w:pBdr>
        <w:bottom w:val="single" w:sz="6" w:space="1" w:color="auto"/>
      </w:pBdr>
    </w:pPr>
  </w:p>
  <w:p w14:paraId="64BA655B" w14:textId="77777777" w:rsidR="000259B9" w:rsidRDefault="000259B9" w:rsidP="00C42586">
    <w:pPr>
      <w:pStyle w:val="Sidefod"/>
      <w:tabs>
        <w:tab w:val="clear" w:pos="4819"/>
        <w:tab w:val="left" w:pos="8505"/>
      </w:tabs>
      <w:rPr>
        <w:i/>
        <w:sz w:val="18"/>
        <w:szCs w:val="18"/>
      </w:rPr>
    </w:pPr>
  </w:p>
  <w:p w14:paraId="5DCF413A" w14:textId="05379BA1"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4673DB">
      <w:rPr>
        <w:i/>
        <w:noProof/>
        <w:sz w:val="18"/>
        <w:szCs w:val="18"/>
      </w:rPr>
      <w:t>Ivacaftor Teva, filmovertrukne tabletter 150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C3500" w14:textId="77777777" w:rsidR="00095D04" w:rsidRDefault="00095D04">
      <w:r>
        <w:separator/>
      </w:r>
    </w:p>
  </w:footnote>
  <w:footnote w:type="continuationSeparator" w:id="0">
    <w:p w14:paraId="69D40FF3" w14:textId="77777777" w:rsidR="00095D04" w:rsidRDefault="00095D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4A62585A"/>
    <w:multiLevelType w:val="multilevel"/>
    <w:tmpl w:val="92DC7F98"/>
    <w:lvl w:ilvl="0">
      <w:start w:val="1"/>
      <w:numFmt w:val="decimal"/>
      <w:lvlText w:val="%1."/>
      <w:lvlJc w:val="left"/>
      <w:pPr>
        <w:ind w:left="686" w:hanging="568"/>
      </w:pPr>
      <w:rPr>
        <w:rFonts w:ascii="Times New Roman" w:eastAsia="Times New Roman" w:hAnsi="Times New Roman" w:cs="Times New Roman" w:hint="default"/>
        <w:b/>
        <w:bCs/>
        <w:w w:val="99"/>
        <w:sz w:val="22"/>
        <w:szCs w:val="22"/>
      </w:rPr>
    </w:lvl>
    <w:lvl w:ilvl="1">
      <w:start w:val="1"/>
      <w:numFmt w:val="decimal"/>
      <w:lvlText w:val="%1.%2"/>
      <w:lvlJc w:val="left"/>
      <w:pPr>
        <w:ind w:left="685" w:hanging="568"/>
      </w:pPr>
      <w:rPr>
        <w:rFonts w:ascii="Times New Roman" w:eastAsia="Times New Roman" w:hAnsi="Times New Roman" w:cs="Times New Roman" w:hint="default"/>
        <w:b/>
        <w:bCs/>
        <w:w w:val="99"/>
        <w:sz w:val="22"/>
        <w:szCs w:val="22"/>
      </w:rPr>
    </w:lvl>
    <w:lvl w:ilvl="2">
      <w:numFmt w:val="bullet"/>
      <w:lvlText w:val=""/>
      <w:lvlJc w:val="left"/>
      <w:pPr>
        <w:ind w:left="838" w:hanging="360"/>
      </w:pPr>
      <w:rPr>
        <w:rFonts w:ascii="Symbol" w:eastAsia="Symbol" w:hAnsi="Symbol" w:cs="Symbol" w:hint="default"/>
        <w:w w:val="99"/>
        <w:sz w:val="22"/>
        <w:szCs w:val="22"/>
      </w:rPr>
    </w:lvl>
    <w:lvl w:ilvl="3">
      <w:numFmt w:val="bullet"/>
      <w:lvlText w:val="•"/>
      <w:lvlJc w:val="left"/>
      <w:pPr>
        <w:ind w:left="2793" w:hanging="360"/>
      </w:pPr>
    </w:lvl>
    <w:lvl w:ilvl="4">
      <w:numFmt w:val="bullet"/>
      <w:lvlText w:val="•"/>
      <w:lvlJc w:val="left"/>
      <w:pPr>
        <w:ind w:left="3769" w:hanging="360"/>
      </w:pPr>
    </w:lvl>
    <w:lvl w:ilvl="5">
      <w:numFmt w:val="bullet"/>
      <w:lvlText w:val="•"/>
      <w:lvlJc w:val="left"/>
      <w:pPr>
        <w:ind w:left="4746" w:hanging="360"/>
      </w:pPr>
    </w:lvl>
    <w:lvl w:ilvl="6">
      <w:numFmt w:val="bullet"/>
      <w:lvlText w:val="•"/>
      <w:lvlJc w:val="left"/>
      <w:pPr>
        <w:ind w:left="5722" w:hanging="360"/>
      </w:pPr>
    </w:lvl>
    <w:lvl w:ilvl="7">
      <w:numFmt w:val="bullet"/>
      <w:lvlText w:val="•"/>
      <w:lvlJc w:val="left"/>
      <w:pPr>
        <w:ind w:left="6699" w:hanging="360"/>
      </w:pPr>
    </w:lvl>
    <w:lvl w:ilvl="8">
      <w:numFmt w:val="bullet"/>
      <w:lvlText w:val="•"/>
      <w:lvlJc w:val="left"/>
      <w:pPr>
        <w:ind w:left="7675" w:hanging="360"/>
      </w:p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661A5321"/>
    <w:multiLevelType w:val="hybridMultilevel"/>
    <w:tmpl w:val="CF78EEB8"/>
    <w:lvl w:ilvl="0" w:tplc="B6B0EE54">
      <w:numFmt w:val="bullet"/>
      <w:lvlText w:val="*"/>
      <w:lvlJc w:val="left"/>
      <w:pPr>
        <w:ind w:left="118" w:hanging="116"/>
      </w:pPr>
      <w:rPr>
        <w:w w:val="99"/>
        <w:position w:val="7"/>
      </w:rPr>
    </w:lvl>
    <w:lvl w:ilvl="1" w:tplc="BD1EE0E0">
      <w:numFmt w:val="bullet"/>
      <w:lvlText w:val="•"/>
      <w:lvlJc w:val="left"/>
      <w:pPr>
        <w:ind w:left="1070" w:hanging="116"/>
      </w:pPr>
    </w:lvl>
    <w:lvl w:ilvl="2" w:tplc="82986C38">
      <w:numFmt w:val="bullet"/>
      <w:lvlText w:val="•"/>
      <w:lvlJc w:val="left"/>
      <w:pPr>
        <w:ind w:left="2021" w:hanging="116"/>
      </w:pPr>
    </w:lvl>
    <w:lvl w:ilvl="3" w:tplc="1124CE2C">
      <w:numFmt w:val="bullet"/>
      <w:lvlText w:val="•"/>
      <w:lvlJc w:val="left"/>
      <w:pPr>
        <w:ind w:left="2972" w:hanging="116"/>
      </w:pPr>
    </w:lvl>
    <w:lvl w:ilvl="4" w:tplc="00287DC2">
      <w:numFmt w:val="bullet"/>
      <w:lvlText w:val="•"/>
      <w:lvlJc w:val="left"/>
      <w:pPr>
        <w:ind w:left="3923" w:hanging="116"/>
      </w:pPr>
    </w:lvl>
    <w:lvl w:ilvl="5" w:tplc="FD5EAF5A">
      <w:numFmt w:val="bullet"/>
      <w:lvlText w:val="•"/>
      <w:lvlJc w:val="left"/>
      <w:pPr>
        <w:ind w:left="4874" w:hanging="116"/>
      </w:pPr>
    </w:lvl>
    <w:lvl w:ilvl="6" w:tplc="C56E9C22">
      <w:numFmt w:val="bullet"/>
      <w:lvlText w:val="•"/>
      <w:lvlJc w:val="left"/>
      <w:pPr>
        <w:ind w:left="5825" w:hanging="116"/>
      </w:pPr>
    </w:lvl>
    <w:lvl w:ilvl="7" w:tplc="6F56BBCE">
      <w:numFmt w:val="bullet"/>
      <w:lvlText w:val="•"/>
      <w:lvlJc w:val="left"/>
      <w:pPr>
        <w:ind w:left="6776" w:hanging="116"/>
      </w:pPr>
    </w:lvl>
    <w:lvl w:ilvl="8" w:tplc="73E46AC0">
      <w:numFmt w:val="bullet"/>
      <w:lvlText w:val="•"/>
      <w:lvlJc w:val="left"/>
      <w:pPr>
        <w:ind w:left="7727" w:hanging="116"/>
      </w:pPr>
    </w:lvl>
  </w:abstractNum>
  <w:num w:numId="1" w16cid:durableId="161208400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713567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388134">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852060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742809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991380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670723613">
    <w:abstractNumId w:val="6"/>
  </w:num>
  <w:num w:numId="8" w16cid:durableId="1079714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04"/>
    <w:rsid w:val="000259B9"/>
    <w:rsid w:val="00041491"/>
    <w:rsid w:val="00050D16"/>
    <w:rsid w:val="000730CA"/>
    <w:rsid w:val="00074F2A"/>
    <w:rsid w:val="00094965"/>
    <w:rsid w:val="00095D04"/>
    <w:rsid w:val="000A1CA8"/>
    <w:rsid w:val="000A466B"/>
    <w:rsid w:val="000B058C"/>
    <w:rsid w:val="000D68B0"/>
    <w:rsid w:val="000E4EE6"/>
    <w:rsid w:val="001454E2"/>
    <w:rsid w:val="00206CE8"/>
    <w:rsid w:val="0021526C"/>
    <w:rsid w:val="00283A2B"/>
    <w:rsid w:val="00286CAA"/>
    <w:rsid w:val="002B30AD"/>
    <w:rsid w:val="002C1EC0"/>
    <w:rsid w:val="002C2C01"/>
    <w:rsid w:val="003A29AE"/>
    <w:rsid w:val="003A32D7"/>
    <w:rsid w:val="003B4074"/>
    <w:rsid w:val="003C769A"/>
    <w:rsid w:val="003D3A90"/>
    <w:rsid w:val="003F1838"/>
    <w:rsid w:val="004251C1"/>
    <w:rsid w:val="0045746C"/>
    <w:rsid w:val="004673DB"/>
    <w:rsid w:val="0049104B"/>
    <w:rsid w:val="004E3B12"/>
    <w:rsid w:val="00532310"/>
    <w:rsid w:val="00565F0F"/>
    <w:rsid w:val="00594A86"/>
    <w:rsid w:val="00596D86"/>
    <w:rsid w:val="005C19C3"/>
    <w:rsid w:val="00637F5A"/>
    <w:rsid w:val="00641C65"/>
    <w:rsid w:val="006560B1"/>
    <w:rsid w:val="006756DD"/>
    <w:rsid w:val="006B3444"/>
    <w:rsid w:val="0071241E"/>
    <w:rsid w:val="00723BA5"/>
    <w:rsid w:val="00737275"/>
    <w:rsid w:val="00740EEC"/>
    <w:rsid w:val="0078011A"/>
    <w:rsid w:val="00782AF4"/>
    <w:rsid w:val="00790EE7"/>
    <w:rsid w:val="007B6649"/>
    <w:rsid w:val="0082576E"/>
    <w:rsid w:val="0089346F"/>
    <w:rsid w:val="00907F75"/>
    <w:rsid w:val="009260DE"/>
    <w:rsid w:val="0093258A"/>
    <w:rsid w:val="009C7BA3"/>
    <w:rsid w:val="009D1F5A"/>
    <w:rsid w:val="00A10294"/>
    <w:rsid w:val="00A249F1"/>
    <w:rsid w:val="00A63D59"/>
    <w:rsid w:val="00A956DD"/>
    <w:rsid w:val="00B003BF"/>
    <w:rsid w:val="00B32690"/>
    <w:rsid w:val="00B373D7"/>
    <w:rsid w:val="00B55271"/>
    <w:rsid w:val="00B67369"/>
    <w:rsid w:val="00B76914"/>
    <w:rsid w:val="00BD7931"/>
    <w:rsid w:val="00BF6243"/>
    <w:rsid w:val="00C36276"/>
    <w:rsid w:val="00C42586"/>
    <w:rsid w:val="00C45F6B"/>
    <w:rsid w:val="00C52CC5"/>
    <w:rsid w:val="00C60CCD"/>
    <w:rsid w:val="00C84483"/>
    <w:rsid w:val="00C95551"/>
    <w:rsid w:val="00CB20D7"/>
    <w:rsid w:val="00D020B0"/>
    <w:rsid w:val="00D11748"/>
    <w:rsid w:val="00D237F6"/>
    <w:rsid w:val="00D34D98"/>
    <w:rsid w:val="00D366CF"/>
    <w:rsid w:val="00D93992"/>
    <w:rsid w:val="00DA15B6"/>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CC3E8A"/>
  <w15:chartTrackingRefBased/>
  <w15:docId w15:val="{ED027227-26D8-45BC-8A49-00E5B2A3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9"/>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semiHidden/>
    <w:rsid w:val="00790EE7"/>
    <w:rPr>
      <w:sz w:val="20"/>
      <w:lang w:eastAsia="da-DK"/>
    </w:rPr>
  </w:style>
  <w:style w:type="paragraph" w:styleId="Sidehoved">
    <w:name w:val="header"/>
    <w:basedOn w:val="Normal"/>
    <w:link w:val="SidehovedTegn"/>
    <w:uiPriority w:val="99"/>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link w:val="SidefodTegn"/>
    <w:uiPriority w:val="99"/>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semiHidden/>
    <w:rsid w:val="00B003BF"/>
  </w:style>
  <w:style w:type="character" w:customStyle="1" w:styleId="SidehovedTegn">
    <w:name w:val="Sidehoved Tegn"/>
    <w:link w:val="Sidehoved"/>
    <w:uiPriority w:val="99"/>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6B3444"/>
    <w:rPr>
      <w:color w:val="0563C1" w:themeColor="hyperlink"/>
      <w:u w:val="single"/>
    </w:rPr>
  </w:style>
  <w:style w:type="character" w:styleId="Ulstomtale">
    <w:name w:val="Unresolved Mention"/>
    <w:basedOn w:val="Standardskrifttypeiafsnit"/>
    <w:uiPriority w:val="99"/>
    <w:semiHidden/>
    <w:unhideWhenUsed/>
    <w:rsid w:val="006B3444"/>
    <w:rPr>
      <w:color w:val="605E5C"/>
      <w:shd w:val="clear" w:color="auto" w:fill="E1DFDD"/>
    </w:rPr>
  </w:style>
  <w:style w:type="character" w:customStyle="1" w:styleId="Overskrift1Tegn">
    <w:name w:val="Overskrift 1 Tegn"/>
    <w:basedOn w:val="Standardskrifttypeiafsnit"/>
    <w:link w:val="Overskrift1"/>
    <w:uiPriority w:val="9"/>
    <w:rsid w:val="006B3444"/>
    <w:rPr>
      <w:rFonts w:ascii="Arial" w:hAnsi="Arial"/>
      <w:b/>
      <w:kern w:val="28"/>
      <w:sz w:val="28"/>
      <w:lang w:eastAsia="en-US"/>
    </w:rPr>
  </w:style>
  <w:style w:type="character" w:styleId="BesgtLink">
    <w:name w:val="FollowedHyperlink"/>
    <w:basedOn w:val="Standardskrifttypeiafsnit"/>
    <w:uiPriority w:val="99"/>
    <w:semiHidden/>
    <w:unhideWhenUsed/>
    <w:rsid w:val="006B3444"/>
    <w:rPr>
      <w:color w:val="954F72" w:themeColor="followedHyperlink"/>
      <w:u w:val="single"/>
    </w:rPr>
  </w:style>
  <w:style w:type="paragraph" w:customStyle="1" w:styleId="msonormal0">
    <w:name w:val="msonormal"/>
    <w:basedOn w:val="Normal"/>
    <w:uiPriority w:val="99"/>
    <w:semiHidden/>
    <w:rsid w:val="006B3444"/>
    <w:pPr>
      <w:spacing w:before="45" w:after="100" w:afterAutospacing="1"/>
    </w:pPr>
    <w:rPr>
      <w:sz w:val="22"/>
      <w:szCs w:val="22"/>
      <w:lang w:eastAsia="da-DK"/>
    </w:rPr>
  </w:style>
  <w:style w:type="paragraph" w:styleId="NormalWeb">
    <w:name w:val="Normal (Web)"/>
    <w:basedOn w:val="Normal"/>
    <w:uiPriority w:val="99"/>
    <w:semiHidden/>
    <w:unhideWhenUsed/>
    <w:rsid w:val="006B3444"/>
    <w:pPr>
      <w:spacing w:before="45" w:after="100" w:afterAutospacing="1"/>
    </w:pPr>
    <w:rPr>
      <w:sz w:val="22"/>
      <w:szCs w:val="22"/>
      <w:lang w:eastAsia="da-DK"/>
    </w:rPr>
  </w:style>
  <w:style w:type="character" w:customStyle="1" w:styleId="SidefodTegn">
    <w:name w:val="Sidefod Tegn"/>
    <w:basedOn w:val="Standardskrifttypeiafsnit"/>
    <w:link w:val="Sidefod"/>
    <w:uiPriority w:val="99"/>
    <w:rsid w:val="006B3444"/>
    <w:rPr>
      <w:sz w:val="23"/>
      <w:lang w:eastAsia="en-US"/>
    </w:rPr>
  </w:style>
  <w:style w:type="paragraph" w:styleId="Brdtekst">
    <w:name w:val="Body Text"/>
    <w:basedOn w:val="Normal"/>
    <w:link w:val="BrdtekstTegn"/>
    <w:uiPriority w:val="1"/>
    <w:unhideWhenUsed/>
    <w:qFormat/>
    <w:rsid w:val="006B3444"/>
    <w:pPr>
      <w:widowControl w:val="0"/>
      <w:autoSpaceDE w:val="0"/>
      <w:autoSpaceDN w:val="0"/>
    </w:pPr>
    <w:rPr>
      <w:sz w:val="22"/>
      <w:szCs w:val="22"/>
    </w:rPr>
  </w:style>
  <w:style w:type="character" w:customStyle="1" w:styleId="BrdtekstTegn">
    <w:name w:val="Brødtekst Tegn"/>
    <w:basedOn w:val="Standardskrifttypeiafsnit"/>
    <w:link w:val="Brdtekst"/>
    <w:uiPriority w:val="1"/>
    <w:rsid w:val="006B3444"/>
    <w:rPr>
      <w:sz w:val="22"/>
      <w:szCs w:val="22"/>
      <w:lang w:eastAsia="en-US"/>
    </w:rPr>
  </w:style>
  <w:style w:type="paragraph" w:styleId="Korrektur">
    <w:name w:val="Revision"/>
    <w:uiPriority w:val="99"/>
    <w:semiHidden/>
    <w:rsid w:val="006B3444"/>
    <w:rPr>
      <w:sz w:val="22"/>
      <w:szCs w:val="22"/>
      <w:lang w:val="en-US" w:eastAsia="en-US"/>
    </w:rPr>
  </w:style>
  <w:style w:type="paragraph" w:styleId="Listeafsnit">
    <w:name w:val="List Paragraph"/>
    <w:basedOn w:val="Normal"/>
    <w:uiPriority w:val="1"/>
    <w:qFormat/>
    <w:rsid w:val="006B3444"/>
    <w:pPr>
      <w:widowControl w:val="0"/>
      <w:autoSpaceDE w:val="0"/>
      <w:autoSpaceDN w:val="0"/>
      <w:ind w:left="686" w:hanging="568"/>
    </w:pPr>
    <w:rPr>
      <w:sz w:val="22"/>
      <w:szCs w:val="22"/>
    </w:rPr>
  </w:style>
  <w:style w:type="paragraph" w:customStyle="1" w:styleId="TableParagraph">
    <w:name w:val="Table Paragraph"/>
    <w:basedOn w:val="Normal"/>
    <w:uiPriority w:val="1"/>
    <w:qFormat/>
    <w:rsid w:val="006B3444"/>
    <w:pPr>
      <w:widowControl w:val="0"/>
      <w:autoSpaceDE w:val="0"/>
      <w:autoSpaceDN w:val="0"/>
      <w:ind w:left="107"/>
    </w:pPr>
    <w:rPr>
      <w:sz w:val="22"/>
      <w:szCs w:val="22"/>
    </w:rPr>
  </w:style>
  <w:style w:type="paragraph" w:customStyle="1" w:styleId="EMEAEnBodyText">
    <w:name w:val="EMEA En Body Text"/>
    <w:basedOn w:val="Normal"/>
    <w:uiPriority w:val="99"/>
    <w:semiHidden/>
    <w:rsid w:val="006B3444"/>
    <w:pPr>
      <w:spacing w:before="120" w:after="120"/>
      <w:jc w:val="both"/>
    </w:pPr>
    <w:rPr>
      <w:sz w:val="22"/>
    </w:rPr>
  </w:style>
  <w:style w:type="paragraph" w:customStyle="1" w:styleId="Default">
    <w:name w:val="Default"/>
    <w:uiPriority w:val="99"/>
    <w:semiHidden/>
    <w:rsid w:val="006B3444"/>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501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61186705">
      <w:bodyDiv w:val="1"/>
      <w:marLeft w:val="0"/>
      <w:marRight w:val="0"/>
      <w:marTop w:val="0"/>
      <w:marBottom w:val="0"/>
      <w:divBdr>
        <w:top w:val="none" w:sz="0" w:space="0" w:color="auto"/>
        <w:left w:val="none" w:sz="0" w:space="0" w:color="auto"/>
        <w:bottom w:val="none" w:sz="0" w:space="0" w:color="auto"/>
        <w:right w:val="none" w:sz="0" w:space="0" w:color="auto"/>
      </w:divBdr>
    </w:div>
    <w:div w:id="282883764">
      <w:bodyDiv w:val="1"/>
      <w:marLeft w:val="0"/>
      <w:marRight w:val="0"/>
      <w:marTop w:val="0"/>
      <w:marBottom w:val="0"/>
      <w:divBdr>
        <w:top w:val="none" w:sz="0" w:space="0" w:color="auto"/>
        <w:left w:val="none" w:sz="0" w:space="0" w:color="auto"/>
        <w:bottom w:val="none" w:sz="0" w:space="0" w:color="auto"/>
        <w:right w:val="none" w:sz="0" w:space="0" w:color="auto"/>
      </w:divBdr>
    </w:div>
    <w:div w:id="317804355">
      <w:bodyDiv w:val="1"/>
      <w:marLeft w:val="0"/>
      <w:marRight w:val="0"/>
      <w:marTop w:val="0"/>
      <w:marBottom w:val="0"/>
      <w:divBdr>
        <w:top w:val="none" w:sz="0" w:space="0" w:color="auto"/>
        <w:left w:val="none" w:sz="0" w:space="0" w:color="auto"/>
        <w:bottom w:val="none" w:sz="0" w:space="0" w:color="auto"/>
        <w:right w:val="none" w:sz="0" w:space="0" w:color="auto"/>
      </w:divBdr>
    </w:div>
    <w:div w:id="386297249">
      <w:bodyDiv w:val="1"/>
      <w:marLeft w:val="0"/>
      <w:marRight w:val="0"/>
      <w:marTop w:val="0"/>
      <w:marBottom w:val="0"/>
      <w:divBdr>
        <w:top w:val="none" w:sz="0" w:space="0" w:color="auto"/>
        <w:left w:val="none" w:sz="0" w:space="0" w:color="auto"/>
        <w:bottom w:val="none" w:sz="0" w:space="0" w:color="auto"/>
        <w:right w:val="none" w:sz="0" w:space="0" w:color="auto"/>
      </w:divBdr>
    </w:div>
    <w:div w:id="507134120">
      <w:bodyDiv w:val="1"/>
      <w:marLeft w:val="0"/>
      <w:marRight w:val="0"/>
      <w:marTop w:val="0"/>
      <w:marBottom w:val="0"/>
      <w:divBdr>
        <w:top w:val="none" w:sz="0" w:space="0" w:color="auto"/>
        <w:left w:val="none" w:sz="0" w:space="0" w:color="auto"/>
        <w:bottom w:val="none" w:sz="0" w:space="0" w:color="auto"/>
        <w:right w:val="none" w:sz="0" w:space="0" w:color="auto"/>
      </w:divBdr>
    </w:div>
    <w:div w:id="564755325">
      <w:bodyDiv w:val="1"/>
      <w:marLeft w:val="0"/>
      <w:marRight w:val="0"/>
      <w:marTop w:val="0"/>
      <w:marBottom w:val="0"/>
      <w:divBdr>
        <w:top w:val="none" w:sz="0" w:space="0" w:color="auto"/>
        <w:left w:val="none" w:sz="0" w:space="0" w:color="auto"/>
        <w:bottom w:val="none" w:sz="0" w:space="0" w:color="auto"/>
        <w:right w:val="none" w:sz="0" w:space="0" w:color="auto"/>
      </w:divBdr>
    </w:div>
    <w:div w:id="601187597">
      <w:bodyDiv w:val="1"/>
      <w:marLeft w:val="0"/>
      <w:marRight w:val="0"/>
      <w:marTop w:val="0"/>
      <w:marBottom w:val="0"/>
      <w:divBdr>
        <w:top w:val="none" w:sz="0" w:space="0" w:color="auto"/>
        <w:left w:val="none" w:sz="0" w:space="0" w:color="auto"/>
        <w:bottom w:val="none" w:sz="0" w:space="0" w:color="auto"/>
        <w:right w:val="none" w:sz="0" w:space="0" w:color="auto"/>
      </w:divBdr>
    </w:div>
    <w:div w:id="654144250">
      <w:bodyDiv w:val="1"/>
      <w:marLeft w:val="0"/>
      <w:marRight w:val="0"/>
      <w:marTop w:val="0"/>
      <w:marBottom w:val="0"/>
      <w:divBdr>
        <w:top w:val="none" w:sz="0" w:space="0" w:color="auto"/>
        <w:left w:val="none" w:sz="0" w:space="0" w:color="auto"/>
        <w:bottom w:val="none" w:sz="0" w:space="0" w:color="auto"/>
        <w:right w:val="none" w:sz="0" w:space="0" w:color="auto"/>
      </w:divBdr>
    </w:div>
    <w:div w:id="676661101">
      <w:bodyDiv w:val="1"/>
      <w:marLeft w:val="0"/>
      <w:marRight w:val="0"/>
      <w:marTop w:val="0"/>
      <w:marBottom w:val="0"/>
      <w:divBdr>
        <w:top w:val="none" w:sz="0" w:space="0" w:color="auto"/>
        <w:left w:val="none" w:sz="0" w:space="0" w:color="auto"/>
        <w:bottom w:val="none" w:sz="0" w:space="0" w:color="auto"/>
        <w:right w:val="none" w:sz="0" w:space="0" w:color="auto"/>
      </w:divBdr>
    </w:div>
    <w:div w:id="692652411">
      <w:bodyDiv w:val="1"/>
      <w:marLeft w:val="0"/>
      <w:marRight w:val="0"/>
      <w:marTop w:val="0"/>
      <w:marBottom w:val="0"/>
      <w:divBdr>
        <w:top w:val="none" w:sz="0" w:space="0" w:color="auto"/>
        <w:left w:val="none" w:sz="0" w:space="0" w:color="auto"/>
        <w:bottom w:val="none" w:sz="0" w:space="0" w:color="auto"/>
        <w:right w:val="none" w:sz="0" w:space="0" w:color="auto"/>
      </w:divBdr>
    </w:div>
    <w:div w:id="795946326">
      <w:bodyDiv w:val="1"/>
      <w:marLeft w:val="0"/>
      <w:marRight w:val="0"/>
      <w:marTop w:val="0"/>
      <w:marBottom w:val="0"/>
      <w:divBdr>
        <w:top w:val="none" w:sz="0" w:space="0" w:color="auto"/>
        <w:left w:val="none" w:sz="0" w:space="0" w:color="auto"/>
        <w:bottom w:val="none" w:sz="0" w:space="0" w:color="auto"/>
        <w:right w:val="none" w:sz="0" w:space="0" w:color="auto"/>
      </w:divBdr>
    </w:div>
    <w:div w:id="830751188">
      <w:bodyDiv w:val="1"/>
      <w:marLeft w:val="0"/>
      <w:marRight w:val="0"/>
      <w:marTop w:val="0"/>
      <w:marBottom w:val="0"/>
      <w:divBdr>
        <w:top w:val="none" w:sz="0" w:space="0" w:color="auto"/>
        <w:left w:val="none" w:sz="0" w:space="0" w:color="auto"/>
        <w:bottom w:val="none" w:sz="0" w:space="0" w:color="auto"/>
        <w:right w:val="none" w:sz="0" w:space="0" w:color="auto"/>
      </w:divBdr>
    </w:div>
    <w:div w:id="843475554">
      <w:bodyDiv w:val="1"/>
      <w:marLeft w:val="0"/>
      <w:marRight w:val="0"/>
      <w:marTop w:val="0"/>
      <w:marBottom w:val="0"/>
      <w:divBdr>
        <w:top w:val="none" w:sz="0" w:space="0" w:color="auto"/>
        <w:left w:val="none" w:sz="0" w:space="0" w:color="auto"/>
        <w:bottom w:val="none" w:sz="0" w:space="0" w:color="auto"/>
        <w:right w:val="none" w:sz="0" w:space="0" w:color="auto"/>
      </w:divBdr>
    </w:div>
    <w:div w:id="853685633">
      <w:bodyDiv w:val="1"/>
      <w:marLeft w:val="0"/>
      <w:marRight w:val="0"/>
      <w:marTop w:val="0"/>
      <w:marBottom w:val="0"/>
      <w:divBdr>
        <w:top w:val="none" w:sz="0" w:space="0" w:color="auto"/>
        <w:left w:val="none" w:sz="0" w:space="0" w:color="auto"/>
        <w:bottom w:val="none" w:sz="0" w:space="0" w:color="auto"/>
        <w:right w:val="none" w:sz="0" w:space="0" w:color="auto"/>
      </w:divBdr>
    </w:div>
    <w:div w:id="958952890">
      <w:bodyDiv w:val="1"/>
      <w:marLeft w:val="0"/>
      <w:marRight w:val="0"/>
      <w:marTop w:val="0"/>
      <w:marBottom w:val="0"/>
      <w:divBdr>
        <w:top w:val="none" w:sz="0" w:space="0" w:color="auto"/>
        <w:left w:val="none" w:sz="0" w:space="0" w:color="auto"/>
        <w:bottom w:val="none" w:sz="0" w:space="0" w:color="auto"/>
        <w:right w:val="none" w:sz="0" w:space="0" w:color="auto"/>
      </w:divBdr>
    </w:div>
    <w:div w:id="996230325">
      <w:bodyDiv w:val="1"/>
      <w:marLeft w:val="0"/>
      <w:marRight w:val="0"/>
      <w:marTop w:val="0"/>
      <w:marBottom w:val="0"/>
      <w:divBdr>
        <w:top w:val="none" w:sz="0" w:space="0" w:color="auto"/>
        <w:left w:val="none" w:sz="0" w:space="0" w:color="auto"/>
        <w:bottom w:val="none" w:sz="0" w:space="0" w:color="auto"/>
        <w:right w:val="none" w:sz="0" w:space="0" w:color="auto"/>
      </w:divBdr>
    </w:div>
    <w:div w:id="1089813056">
      <w:bodyDiv w:val="1"/>
      <w:marLeft w:val="0"/>
      <w:marRight w:val="0"/>
      <w:marTop w:val="0"/>
      <w:marBottom w:val="0"/>
      <w:divBdr>
        <w:top w:val="none" w:sz="0" w:space="0" w:color="auto"/>
        <w:left w:val="none" w:sz="0" w:space="0" w:color="auto"/>
        <w:bottom w:val="none" w:sz="0" w:space="0" w:color="auto"/>
        <w:right w:val="none" w:sz="0" w:space="0" w:color="auto"/>
      </w:divBdr>
    </w:div>
    <w:div w:id="1238325143">
      <w:bodyDiv w:val="1"/>
      <w:marLeft w:val="0"/>
      <w:marRight w:val="0"/>
      <w:marTop w:val="0"/>
      <w:marBottom w:val="0"/>
      <w:divBdr>
        <w:top w:val="none" w:sz="0" w:space="0" w:color="auto"/>
        <w:left w:val="none" w:sz="0" w:space="0" w:color="auto"/>
        <w:bottom w:val="none" w:sz="0" w:space="0" w:color="auto"/>
        <w:right w:val="none" w:sz="0" w:space="0" w:color="auto"/>
      </w:divBdr>
    </w:div>
    <w:div w:id="1337542011">
      <w:bodyDiv w:val="1"/>
      <w:marLeft w:val="0"/>
      <w:marRight w:val="0"/>
      <w:marTop w:val="0"/>
      <w:marBottom w:val="0"/>
      <w:divBdr>
        <w:top w:val="none" w:sz="0" w:space="0" w:color="auto"/>
        <w:left w:val="none" w:sz="0" w:space="0" w:color="auto"/>
        <w:bottom w:val="none" w:sz="0" w:space="0" w:color="auto"/>
        <w:right w:val="none" w:sz="0" w:space="0" w:color="auto"/>
      </w:divBdr>
    </w:div>
    <w:div w:id="1427338759">
      <w:bodyDiv w:val="1"/>
      <w:marLeft w:val="0"/>
      <w:marRight w:val="0"/>
      <w:marTop w:val="0"/>
      <w:marBottom w:val="0"/>
      <w:divBdr>
        <w:top w:val="none" w:sz="0" w:space="0" w:color="auto"/>
        <w:left w:val="none" w:sz="0" w:space="0" w:color="auto"/>
        <w:bottom w:val="none" w:sz="0" w:space="0" w:color="auto"/>
        <w:right w:val="none" w:sz="0" w:space="0" w:color="auto"/>
      </w:divBdr>
    </w:div>
    <w:div w:id="1454519330">
      <w:bodyDiv w:val="1"/>
      <w:marLeft w:val="0"/>
      <w:marRight w:val="0"/>
      <w:marTop w:val="0"/>
      <w:marBottom w:val="0"/>
      <w:divBdr>
        <w:top w:val="none" w:sz="0" w:space="0" w:color="auto"/>
        <w:left w:val="none" w:sz="0" w:space="0" w:color="auto"/>
        <w:bottom w:val="none" w:sz="0" w:space="0" w:color="auto"/>
        <w:right w:val="none" w:sz="0" w:space="0" w:color="auto"/>
      </w:divBdr>
    </w:div>
    <w:div w:id="1466006670">
      <w:bodyDiv w:val="1"/>
      <w:marLeft w:val="0"/>
      <w:marRight w:val="0"/>
      <w:marTop w:val="0"/>
      <w:marBottom w:val="0"/>
      <w:divBdr>
        <w:top w:val="none" w:sz="0" w:space="0" w:color="auto"/>
        <w:left w:val="none" w:sz="0" w:space="0" w:color="auto"/>
        <w:bottom w:val="none" w:sz="0" w:space="0" w:color="auto"/>
        <w:right w:val="none" w:sz="0" w:space="0" w:color="auto"/>
      </w:divBdr>
    </w:div>
    <w:div w:id="1472481743">
      <w:bodyDiv w:val="1"/>
      <w:marLeft w:val="0"/>
      <w:marRight w:val="0"/>
      <w:marTop w:val="0"/>
      <w:marBottom w:val="0"/>
      <w:divBdr>
        <w:top w:val="none" w:sz="0" w:space="0" w:color="auto"/>
        <w:left w:val="none" w:sz="0" w:space="0" w:color="auto"/>
        <w:bottom w:val="none" w:sz="0" w:space="0" w:color="auto"/>
        <w:right w:val="none" w:sz="0" w:space="0" w:color="auto"/>
      </w:divBdr>
    </w:div>
    <w:div w:id="1475879038">
      <w:bodyDiv w:val="1"/>
      <w:marLeft w:val="0"/>
      <w:marRight w:val="0"/>
      <w:marTop w:val="0"/>
      <w:marBottom w:val="0"/>
      <w:divBdr>
        <w:top w:val="none" w:sz="0" w:space="0" w:color="auto"/>
        <w:left w:val="none" w:sz="0" w:space="0" w:color="auto"/>
        <w:bottom w:val="none" w:sz="0" w:space="0" w:color="auto"/>
        <w:right w:val="none" w:sz="0" w:space="0" w:color="auto"/>
      </w:divBdr>
    </w:div>
    <w:div w:id="1509825477">
      <w:bodyDiv w:val="1"/>
      <w:marLeft w:val="0"/>
      <w:marRight w:val="0"/>
      <w:marTop w:val="0"/>
      <w:marBottom w:val="0"/>
      <w:divBdr>
        <w:top w:val="none" w:sz="0" w:space="0" w:color="auto"/>
        <w:left w:val="none" w:sz="0" w:space="0" w:color="auto"/>
        <w:bottom w:val="none" w:sz="0" w:space="0" w:color="auto"/>
        <w:right w:val="none" w:sz="0" w:space="0" w:color="auto"/>
      </w:divBdr>
    </w:div>
    <w:div w:id="1581518976">
      <w:bodyDiv w:val="1"/>
      <w:marLeft w:val="0"/>
      <w:marRight w:val="0"/>
      <w:marTop w:val="0"/>
      <w:marBottom w:val="0"/>
      <w:divBdr>
        <w:top w:val="none" w:sz="0" w:space="0" w:color="auto"/>
        <w:left w:val="none" w:sz="0" w:space="0" w:color="auto"/>
        <w:bottom w:val="none" w:sz="0" w:space="0" w:color="auto"/>
        <w:right w:val="none" w:sz="0" w:space="0" w:color="auto"/>
      </w:divBdr>
    </w:div>
    <w:div w:id="1588077807">
      <w:bodyDiv w:val="1"/>
      <w:marLeft w:val="0"/>
      <w:marRight w:val="0"/>
      <w:marTop w:val="0"/>
      <w:marBottom w:val="0"/>
      <w:divBdr>
        <w:top w:val="none" w:sz="0" w:space="0" w:color="auto"/>
        <w:left w:val="none" w:sz="0" w:space="0" w:color="auto"/>
        <w:bottom w:val="none" w:sz="0" w:space="0" w:color="auto"/>
        <w:right w:val="none" w:sz="0" w:space="0" w:color="auto"/>
      </w:divBdr>
    </w:div>
    <w:div w:id="1631476749">
      <w:bodyDiv w:val="1"/>
      <w:marLeft w:val="0"/>
      <w:marRight w:val="0"/>
      <w:marTop w:val="0"/>
      <w:marBottom w:val="0"/>
      <w:divBdr>
        <w:top w:val="none" w:sz="0" w:space="0" w:color="auto"/>
        <w:left w:val="none" w:sz="0" w:space="0" w:color="auto"/>
        <w:bottom w:val="none" w:sz="0" w:space="0" w:color="auto"/>
        <w:right w:val="none" w:sz="0" w:space="0" w:color="auto"/>
      </w:divBdr>
    </w:div>
    <w:div w:id="1637222681">
      <w:bodyDiv w:val="1"/>
      <w:marLeft w:val="0"/>
      <w:marRight w:val="0"/>
      <w:marTop w:val="0"/>
      <w:marBottom w:val="0"/>
      <w:divBdr>
        <w:top w:val="none" w:sz="0" w:space="0" w:color="auto"/>
        <w:left w:val="none" w:sz="0" w:space="0" w:color="auto"/>
        <w:bottom w:val="none" w:sz="0" w:space="0" w:color="auto"/>
        <w:right w:val="none" w:sz="0" w:space="0" w:color="auto"/>
      </w:divBdr>
    </w:div>
    <w:div w:id="1644120384">
      <w:bodyDiv w:val="1"/>
      <w:marLeft w:val="0"/>
      <w:marRight w:val="0"/>
      <w:marTop w:val="0"/>
      <w:marBottom w:val="0"/>
      <w:divBdr>
        <w:top w:val="none" w:sz="0" w:space="0" w:color="auto"/>
        <w:left w:val="none" w:sz="0" w:space="0" w:color="auto"/>
        <w:bottom w:val="none" w:sz="0" w:space="0" w:color="auto"/>
        <w:right w:val="none" w:sz="0" w:space="0" w:color="auto"/>
      </w:divBdr>
    </w:div>
    <w:div w:id="1704286938">
      <w:bodyDiv w:val="1"/>
      <w:marLeft w:val="0"/>
      <w:marRight w:val="0"/>
      <w:marTop w:val="0"/>
      <w:marBottom w:val="0"/>
      <w:divBdr>
        <w:top w:val="none" w:sz="0" w:space="0" w:color="auto"/>
        <w:left w:val="none" w:sz="0" w:space="0" w:color="auto"/>
        <w:bottom w:val="none" w:sz="0" w:space="0" w:color="auto"/>
        <w:right w:val="none" w:sz="0" w:space="0" w:color="auto"/>
      </w:divBdr>
    </w:div>
    <w:div w:id="1734356257">
      <w:bodyDiv w:val="1"/>
      <w:marLeft w:val="0"/>
      <w:marRight w:val="0"/>
      <w:marTop w:val="0"/>
      <w:marBottom w:val="0"/>
      <w:divBdr>
        <w:top w:val="none" w:sz="0" w:space="0" w:color="auto"/>
        <w:left w:val="none" w:sz="0" w:space="0" w:color="auto"/>
        <w:bottom w:val="none" w:sz="0" w:space="0" w:color="auto"/>
        <w:right w:val="none" w:sz="0" w:space="0" w:color="auto"/>
      </w:divBdr>
    </w:div>
    <w:div w:id="1734935545">
      <w:bodyDiv w:val="1"/>
      <w:marLeft w:val="0"/>
      <w:marRight w:val="0"/>
      <w:marTop w:val="0"/>
      <w:marBottom w:val="0"/>
      <w:divBdr>
        <w:top w:val="none" w:sz="0" w:space="0" w:color="auto"/>
        <w:left w:val="none" w:sz="0" w:space="0" w:color="auto"/>
        <w:bottom w:val="none" w:sz="0" w:space="0" w:color="auto"/>
        <w:right w:val="none" w:sz="0" w:space="0" w:color="auto"/>
      </w:divBdr>
    </w:div>
    <w:div w:id="1775398372">
      <w:bodyDiv w:val="1"/>
      <w:marLeft w:val="0"/>
      <w:marRight w:val="0"/>
      <w:marTop w:val="0"/>
      <w:marBottom w:val="0"/>
      <w:divBdr>
        <w:top w:val="none" w:sz="0" w:space="0" w:color="auto"/>
        <w:left w:val="none" w:sz="0" w:space="0" w:color="auto"/>
        <w:bottom w:val="none" w:sz="0" w:space="0" w:color="auto"/>
        <w:right w:val="none" w:sz="0" w:space="0" w:color="auto"/>
      </w:divBdr>
    </w:div>
    <w:div w:id="1830905108">
      <w:bodyDiv w:val="1"/>
      <w:marLeft w:val="0"/>
      <w:marRight w:val="0"/>
      <w:marTop w:val="0"/>
      <w:marBottom w:val="0"/>
      <w:divBdr>
        <w:top w:val="none" w:sz="0" w:space="0" w:color="auto"/>
        <w:left w:val="none" w:sz="0" w:space="0" w:color="auto"/>
        <w:bottom w:val="none" w:sz="0" w:space="0" w:color="auto"/>
        <w:right w:val="none" w:sz="0" w:space="0" w:color="auto"/>
      </w:divBdr>
    </w:div>
    <w:div w:id="1832259916">
      <w:bodyDiv w:val="1"/>
      <w:marLeft w:val="0"/>
      <w:marRight w:val="0"/>
      <w:marTop w:val="0"/>
      <w:marBottom w:val="0"/>
      <w:divBdr>
        <w:top w:val="none" w:sz="0" w:space="0" w:color="auto"/>
        <w:left w:val="none" w:sz="0" w:space="0" w:color="auto"/>
        <w:bottom w:val="none" w:sz="0" w:space="0" w:color="auto"/>
        <w:right w:val="none" w:sz="0" w:space="0" w:color="auto"/>
      </w:divBdr>
    </w:div>
    <w:div w:id="1862694699">
      <w:bodyDiv w:val="1"/>
      <w:marLeft w:val="0"/>
      <w:marRight w:val="0"/>
      <w:marTop w:val="0"/>
      <w:marBottom w:val="0"/>
      <w:divBdr>
        <w:top w:val="none" w:sz="0" w:space="0" w:color="auto"/>
        <w:left w:val="none" w:sz="0" w:space="0" w:color="auto"/>
        <w:bottom w:val="none" w:sz="0" w:space="0" w:color="auto"/>
        <w:right w:val="none" w:sz="0" w:space="0" w:color="auto"/>
      </w:divBdr>
    </w:div>
    <w:div w:id="1862817242">
      <w:bodyDiv w:val="1"/>
      <w:marLeft w:val="0"/>
      <w:marRight w:val="0"/>
      <w:marTop w:val="0"/>
      <w:marBottom w:val="0"/>
      <w:divBdr>
        <w:top w:val="none" w:sz="0" w:space="0" w:color="auto"/>
        <w:left w:val="none" w:sz="0" w:space="0" w:color="auto"/>
        <w:bottom w:val="none" w:sz="0" w:space="0" w:color="auto"/>
        <w:right w:val="none" w:sz="0" w:space="0" w:color="auto"/>
      </w:divBdr>
    </w:div>
    <w:div w:id="1866366025">
      <w:bodyDiv w:val="1"/>
      <w:marLeft w:val="0"/>
      <w:marRight w:val="0"/>
      <w:marTop w:val="0"/>
      <w:marBottom w:val="0"/>
      <w:divBdr>
        <w:top w:val="none" w:sz="0" w:space="0" w:color="auto"/>
        <w:left w:val="none" w:sz="0" w:space="0" w:color="auto"/>
        <w:bottom w:val="none" w:sz="0" w:space="0" w:color="auto"/>
        <w:right w:val="none" w:sz="0" w:space="0" w:color="auto"/>
      </w:divBdr>
    </w:div>
    <w:div w:id="1902055067">
      <w:bodyDiv w:val="1"/>
      <w:marLeft w:val="0"/>
      <w:marRight w:val="0"/>
      <w:marTop w:val="0"/>
      <w:marBottom w:val="0"/>
      <w:divBdr>
        <w:top w:val="none" w:sz="0" w:space="0" w:color="auto"/>
        <w:left w:val="none" w:sz="0" w:space="0" w:color="auto"/>
        <w:bottom w:val="none" w:sz="0" w:space="0" w:color="auto"/>
        <w:right w:val="none" w:sz="0" w:space="0" w:color="auto"/>
      </w:divBdr>
    </w:div>
    <w:div w:id="2116172110">
      <w:bodyDiv w:val="1"/>
      <w:marLeft w:val="0"/>
      <w:marRight w:val="0"/>
      <w:marTop w:val="0"/>
      <w:marBottom w:val="0"/>
      <w:divBdr>
        <w:top w:val="none" w:sz="0" w:space="0" w:color="auto"/>
        <w:left w:val="none" w:sz="0" w:space="0" w:color="auto"/>
        <w:bottom w:val="none" w:sz="0" w:space="0" w:color="auto"/>
        <w:right w:val="none" w:sz="0" w:space="0" w:color="auto"/>
      </w:divBdr>
    </w:div>
    <w:div w:id="2134514445">
      <w:bodyDiv w:val="1"/>
      <w:marLeft w:val="0"/>
      <w:marRight w:val="0"/>
      <w:marTop w:val="0"/>
      <w:marBottom w:val="0"/>
      <w:divBdr>
        <w:top w:val="none" w:sz="0" w:space="0" w:color="auto"/>
        <w:left w:val="none" w:sz="0" w:space="0" w:color="auto"/>
        <w:bottom w:val="none" w:sz="0" w:space="0" w:color="auto"/>
        <w:right w:val="none" w:sz="0" w:space="0" w:color="auto"/>
      </w:divBdr>
    </w:div>
    <w:div w:id="214284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63</TotalTime>
  <Pages>26</Pages>
  <Words>9156</Words>
  <Characters>54896</Characters>
  <Application>Microsoft Office Word</Application>
  <DocSecurity>0</DocSecurity>
  <Lines>457</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2025051180, MT</dc:description>
  <cp:lastModifiedBy>Gitte Jørgensen</cp:lastModifiedBy>
  <cp:revision>9</cp:revision>
  <cp:lastPrinted>2012-08-22T08:53:00Z</cp:lastPrinted>
  <dcterms:created xsi:type="dcterms:W3CDTF">2026-06-15T12:56:00Z</dcterms:created>
  <dcterms:modified xsi:type="dcterms:W3CDTF">2026-06-16T11:48:00Z</dcterms:modified>
</cp:coreProperties>
</file>