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CAFE15" w14:textId="229E4FFC" w:rsidR="009260DE" w:rsidRPr="002748AE" w:rsidRDefault="0021526C" w:rsidP="00F526B8">
      <w:pPr>
        <w:rPr>
          <w:b/>
          <w:sz w:val="24"/>
          <w:szCs w:val="24"/>
        </w:rPr>
      </w:pPr>
      <w:bookmarkStart w:id="0" w:name="_GoBack"/>
      <w:bookmarkEnd w:id="0"/>
      <w:r w:rsidRPr="002748AE">
        <w:rPr>
          <w:noProof/>
          <w:sz w:val="24"/>
          <w:szCs w:val="24"/>
          <w:lang w:eastAsia="da-DK"/>
        </w:rPr>
        <w:drawing>
          <wp:anchor distT="0" distB="0" distL="114300" distR="114300" simplePos="0" relativeHeight="251658240" behindDoc="0" locked="0" layoutInCell="1" allowOverlap="1" wp14:anchorId="15F5E7E1" wp14:editId="15CD6461">
            <wp:simplePos x="0" y="0"/>
            <wp:positionH relativeFrom="column">
              <wp:posOffset>0</wp:posOffset>
            </wp:positionH>
            <wp:positionV relativeFrom="paragraph">
              <wp:posOffset>76200</wp:posOffset>
            </wp:positionV>
            <wp:extent cx="2428875" cy="685800"/>
            <wp:effectExtent l="0" t="0" r="9525" b="0"/>
            <wp:wrapSquare wrapText="bothSides"/>
            <wp:docPr id="1" name="Billede 3" descr="C:\Users\marh\AppData\Local\Microsoft\Windows\Temporary Internet Files\Content.Outlook\3DQ1N8R9\LMST_auto_st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3" descr="C:\Users\marh\AppData\Local\Microsoft\Windows\Temporary Internet Files\Content.Outlook\3DQ1N8R9\LMST_auto_stor.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28875" cy="685800"/>
                    </a:xfrm>
                    <a:prstGeom prst="rect">
                      <a:avLst/>
                    </a:prstGeom>
                    <a:noFill/>
                    <a:ln>
                      <a:noFill/>
                    </a:ln>
                  </pic:spPr>
                </pic:pic>
              </a:graphicData>
            </a:graphic>
          </wp:anchor>
        </w:drawing>
      </w:r>
      <w:r w:rsidR="00C60CCD" w:rsidRPr="002748AE">
        <w:rPr>
          <w:sz w:val="24"/>
          <w:szCs w:val="24"/>
        </w:rPr>
        <w:br w:type="textWrapping" w:clear="all"/>
      </w:r>
    </w:p>
    <w:p w14:paraId="0C824E63" w14:textId="4CAD429D" w:rsidR="009260DE" w:rsidRPr="002748AE" w:rsidRDefault="009260DE" w:rsidP="009260DE">
      <w:pPr>
        <w:pStyle w:val="Titel"/>
        <w:tabs>
          <w:tab w:val="right" w:pos="9356"/>
        </w:tabs>
        <w:jc w:val="left"/>
        <w:rPr>
          <w:b w:val="0"/>
          <w:szCs w:val="24"/>
          <w:lang w:eastAsia="en-US"/>
        </w:rPr>
      </w:pPr>
      <w:r w:rsidRPr="002748AE">
        <w:rPr>
          <w:b w:val="0"/>
          <w:szCs w:val="24"/>
          <w:lang w:eastAsia="en-US"/>
        </w:rPr>
        <w:tab/>
      </w:r>
      <w:r w:rsidR="003906CC">
        <w:rPr>
          <w:szCs w:val="24"/>
        </w:rPr>
        <w:t>3. marts 2026</w:t>
      </w:r>
    </w:p>
    <w:p w14:paraId="7E05EEDF" w14:textId="77777777" w:rsidR="009260DE" w:rsidRPr="002748AE" w:rsidRDefault="009260DE" w:rsidP="009260DE">
      <w:pPr>
        <w:pStyle w:val="Titel"/>
        <w:tabs>
          <w:tab w:val="left" w:pos="8222"/>
        </w:tabs>
        <w:jc w:val="left"/>
        <w:rPr>
          <w:b w:val="0"/>
          <w:szCs w:val="24"/>
        </w:rPr>
      </w:pPr>
    </w:p>
    <w:p w14:paraId="44A9E915" w14:textId="77777777" w:rsidR="009260DE" w:rsidRPr="002748AE" w:rsidRDefault="009260DE" w:rsidP="009260DE">
      <w:pPr>
        <w:pStyle w:val="Titel"/>
        <w:jc w:val="left"/>
        <w:rPr>
          <w:b w:val="0"/>
          <w:szCs w:val="24"/>
        </w:rPr>
      </w:pPr>
    </w:p>
    <w:p w14:paraId="455F9F13" w14:textId="77777777" w:rsidR="009260DE" w:rsidRPr="002748AE" w:rsidRDefault="009260DE" w:rsidP="009260DE">
      <w:pPr>
        <w:pStyle w:val="Titel"/>
        <w:jc w:val="left"/>
        <w:rPr>
          <w:b w:val="0"/>
          <w:szCs w:val="24"/>
        </w:rPr>
      </w:pPr>
    </w:p>
    <w:p w14:paraId="00666A95" w14:textId="77777777" w:rsidR="009260DE" w:rsidRPr="002748AE" w:rsidRDefault="009260DE" w:rsidP="009260DE">
      <w:pPr>
        <w:jc w:val="center"/>
        <w:rPr>
          <w:b/>
          <w:sz w:val="24"/>
          <w:szCs w:val="24"/>
        </w:rPr>
      </w:pPr>
      <w:r w:rsidRPr="002748AE">
        <w:rPr>
          <w:b/>
          <w:sz w:val="24"/>
          <w:szCs w:val="24"/>
        </w:rPr>
        <w:t>PRODUKTRESUMÉ</w:t>
      </w:r>
    </w:p>
    <w:p w14:paraId="74137EF6" w14:textId="77777777" w:rsidR="009260DE" w:rsidRPr="002748AE" w:rsidRDefault="009260DE" w:rsidP="009260DE">
      <w:pPr>
        <w:jc w:val="center"/>
        <w:rPr>
          <w:b/>
          <w:sz w:val="24"/>
          <w:szCs w:val="24"/>
        </w:rPr>
      </w:pPr>
    </w:p>
    <w:p w14:paraId="2AFAA359" w14:textId="77777777" w:rsidR="009260DE" w:rsidRPr="002748AE" w:rsidRDefault="009260DE" w:rsidP="009260DE">
      <w:pPr>
        <w:jc w:val="center"/>
        <w:rPr>
          <w:b/>
          <w:sz w:val="24"/>
          <w:szCs w:val="24"/>
        </w:rPr>
      </w:pPr>
      <w:r w:rsidRPr="002748AE">
        <w:rPr>
          <w:b/>
          <w:sz w:val="24"/>
          <w:szCs w:val="24"/>
        </w:rPr>
        <w:t>for</w:t>
      </w:r>
    </w:p>
    <w:p w14:paraId="6C59587C" w14:textId="77777777" w:rsidR="000B058C" w:rsidRPr="002748AE" w:rsidRDefault="000B058C" w:rsidP="009260DE">
      <w:pPr>
        <w:jc w:val="center"/>
        <w:rPr>
          <w:b/>
          <w:sz w:val="24"/>
          <w:szCs w:val="24"/>
        </w:rPr>
      </w:pPr>
    </w:p>
    <w:p w14:paraId="3AA46E01" w14:textId="77E3EBF9" w:rsidR="009260DE" w:rsidRPr="002748AE" w:rsidRDefault="00D74631" w:rsidP="009260DE">
      <w:pPr>
        <w:jc w:val="center"/>
        <w:rPr>
          <w:b/>
          <w:sz w:val="24"/>
          <w:szCs w:val="24"/>
        </w:rPr>
      </w:pPr>
      <w:r w:rsidRPr="002748AE">
        <w:rPr>
          <w:b/>
          <w:sz w:val="24"/>
          <w:szCs w:val="24"/>
        </w:rPr>
        <w:t xml:space="preserve">Ivacaftor </w:t>
      </w:r>
      <w:r w:rsidR="00527126">
        <w:rPr>
          <w:b/>
          <w:sz w:val="24"/>
          <w:szCs w:val="24"/>
        </w:rPr>
        <w:t>"</w:t>
      </w:r>
      <w:r w:rsidRPr="002748AE">
        <w:rPr>
          <w:b/>
          <w:sz w:val="24"/>
          <w:szCs w:val="24"/>
        </w:rPr>
        <w:t>Zentiva</w:t>
      </w:r>
      <w:r w:rsidR="00527126">
        <w:rPr>
          <w:b/>
          <w:sz w:val="24"/>
          <w:szCs w:val="24"/>
        </w:rPr>
        <w:t>"</w:t>
      </w:r>
      <w:r w:rsidRPr="002748AE">
        <w:rPr>
          <w:b/>
          <w:sz w:val="24"/>
          <w:szCs w:val="24"/>
        </w:rPr>
        <w:t>, filmovertrukne tabletter</w:t>
      </w:r>
    </w:p>
    <w:p w14:paraId="511CF800" w14:textId="77777777" w:rsidR="009260DE" w:rsidRPr="002748AE" w:rsidRDefault="009260DE" w:rsidP="009260DE">
      <w:pPr>
        <w:jc w:val="both"/>
        <w:rPr>
          <w:sz w:val="24"/>
          <w:szCs w:val="24"/>
        </w:rPr>
      </w:pPr>
    </w:p>
    <w:p w14:paraId="5F62F775" w14:textId="77777777" w:rsidR="009260DE" w:rsidRPr="002748AE" w:rsidRDefault="009260DE" w:rsidP="009260DE">
      <w:pPr>
        <w:jc w:val="both"/>
        <w:rPr>
          <w:sz w:val="24"/>
          <w:szCs w:val="24"/>
        </w:rPr>
      </w:pPr>
    </w:p>
    <w:p w14:paraId="72BC2D13" w14:textId="77777777" w:rsidR="009260DE" w:rsidRPr="002748AE" w:rsidRDefault="009260DE" w:rsidP="009260DE">
      <w:pPr>
        <w:tabs>
          <w:tab w:val="left" w:pos="851"/>
        </w:tabs>
        <w:ind w:left="851" w:hanging="851"/>
        <w:rPr>
          <w:b/>
          <w:sz w:val="24"/>
          <w:szCs w:val="24"/>
        </w:rPr>
      </w:pPr>
      <w:r w:rsidRPr="002748AE">
        <w:rPr>
          <w:b/>
          <w:sz w:val="24"/>
          <w:szCs w:val="24"/>
        </w:rPr>
        <w:t>0.</w:t>
      </w:r>
      <w:r w:rsidRPr="002748AE">
        <w:rPr>
          <w:b/>
          <w:sz w:val="24"/>
          <w:szCs w:val="24"/>
        </w:rPr>
        <w:tab/>
        <w:t>D.SP.NR.</w:t>
      </w:r>
    </w:p>
    <w:p w14:paraId="381A2F7C" w14:textId="59AFB090" w:rsidR="009260DE" w:rsidRPr="002748AE" w:rsidRDefault="00D74631" w:rsidP="009260DE">
      <w:pPr>
        <w:tabs>
          <w:tab w:val="left" w:pos="851"/>
        </w:tabs>
        <w:ind w:left="851"/>
        <w:rPr>
          <w:sz w:val="24"/>
          <w:szCs w:val="24"/>
        </w:rPr>
      </w:pPr>
      <w:r w:rsidRPr="002748AE">
        <w:rPr>
          <w:sz w:val="24"/>
          <w:szCs w:val="24"/>
        </w:rPr>
        <w:t>34236</w:t>
      </w:r>
    </w:p>
    <w:p w14:paraId="5F9C6C01" w14:textId="77777777" w:rsidR="009260DE" w:rsidRPr="002748AE" w:rsidRDefault="009260DE" w:rsidP="009260DE">
      <w:pPr>
        <w:tabs>
          <w:tab w:val="left" w:pos="851"/>
        </w:tabs>
        <w:ind w:left="851"/>
        <w:rPr>
          <w:sz w:val="24"/>
          <w:szCs w:val="24"/>
        </w:rPr>
      </w:pPr>
    </w:p>
    <w:p w14:paraId="0EE858E7" w14:textId="77777777" w:rsidR="009260DE" w:rsidRPr="002748AE" w:rsidRDefault="009260DE" w:rsidP="009260DE">
      <w:pPr>
        <w:tabs>
          <w:tab w:val="left" w:pos="851"/>
        </w:tabs>
        <w:ind w:left="851" w:hanging="851"/>
        <w:rPr>
          <w:b/>
          <w:sz w:val="24"/>
          <w:szCs w:val="24"/>
        </w:rPr>
      </w:pPr>
      <w:r w:rsidRPr="002748AE">
        <w:rPr>
          <w:b/>
          <w:sz w:val="24"/>
          <w:szCs w:val="24"/>
        </w:rPr>
        <w:t>1.</w:t>
      </w:r>
      <w:r w:rsidRPr="002748AE">
        <w:rPr>
          <w:b/>
          <w:sz w:val="24"/>
          <w:szCs w:val="24"/>
        </w:rPr>
        <w:tab/>
        <w:t>LÆGEMIDLETS NAVN</w:t>
      </w:r>
    </w:p>
    <w:p w14:paraId="02A75709" w14:textId="5E6A2285" w:rsidR="009260DE" w:rsidRPr="002748AE" w:rsidRDefault="00D74631" w:rsidP="009260DE">
      <w:pPr>
        <w:tabs>
          <w:tab w:val="left" w:pos="851"/>
        </w:tabs>
        <w:ind w:left="851"/>
        <w:rPr>
          <w:sz w:val="24"/>
          <w:szCs w:val="24"/>
        </w:rPr>
      </w:pPr>
      <w:r w:rsidRPr="002748AE">
        <w:rPr>
          <w:sz w:val="24"/>
          <w:szCs w:val="24"/>
        </w:rPr>
        <w:t xml:space="preserve">Ivacaftor </w:t>
      </w:r>
      <w:r w:rsidR="00527126">
        <w:rPr>
          <w:sz w:val="24"/>
          <w:szCs w:val="24"/>
        </w:rPr>
        <w:t>"</w:t>
      </w:r>
      <w:r w:rsidRPr="002748AE">
        <w:rPr>
          <w:sz w:val="24"/>
          <w:szCs w:val="24"/>
        </w:rPr>
        <w:t>Zentiva</w:t>
      </w:r>
      <w:r w:rsidR="00527126">
        <w:rPr>
          <w:sz w:val="24"/>
          <w:szCs w:val="24"/>
        </w:rPr>
        <w:t>"</w:t>
      </w:r>
    </w:p>
    <w:p w14:paraId="68C2A1D3" w14:textId="77777777" w:rsidR="009260DE" w:rsidRPr="002748AE" w:rsidRDefault="009260DE" w:rsidP="009260DE">
      <w:pPr>
        <w:tabs>
          <w:tab w:val="left" w:pos="851"/>
        </w:tabs>
        <w:ind w:left="851"/>
        <w:rPr>
          <w:sz w:val="24"/>
          <w:szCs w:val="24"/>
        </w:rPr>
      </w:pPr>
    </w:p>
    <w:p w14:paraId="0DC70648" w14:textId="77777777" w:rsidR="009260DE" w:rsidRPr="002748AE" w:rsidRDefault="009260DE" w:rsidP="009260DE">
      <w:pPr>
        <w:tabs>
          <w:tab w:val="left" w:pos="851"/>
        </w:tabs>
        <w:ind w:left="851" w:hanging="851"/>
        <w:rPr>
          <w:b/>
          <w:sz w:val="24"/>
          <w:szCs w:val="24"/>
        </w:rPr>
      </w:pPr>
      <w:r w:rsidRPr="002748AE">
        <w:rPr>
          <w:b/>
          <w:sz w:val="24"/>
          <w:szCs w:val="24"/>
        </w:rPr>
        <w:t>2.</w:t>
      </w:r>
      <w:r w:rsidRPr="002748AE">
        <w:rPr>
          <w:b/>
          <w:sz w:val="24"/>
          <w:szCs w:val="24"/>
        </w:rPr>
        <w:tab/>
        <w:t>KVALITATIV OG KVANTITATIV SAMMENSÆTNING</w:t>
      </w:r>
    </w:p>
    <w:p w14:paraId="62CDA471" w14:textId="77777777" w:rsidR="00D41138" w:rsidRPr="002748AE" w:rsidRDefault="00D41138" w:rsidP="00F526B8">
      <w:pPr>
        <w:ind w:left="851"/>
        <w:rPr>
          <w:sz w:val="24"/>
          <w:szCs w:val="24"/>
          <w:lang w:eastAsia="da-DK"/>
        </w:rPr>
      </w:pPr>
      <w:r w:rsidRPr="002748AE">
        <w:rPr>
          <w:sz w:val="24"/>
          <w:szCs w:val="24"/>
        </w:rPr>
        <w:t xml:space="preserve">Hver filmovertrukket tablet indeholder 150 mg ivacaftor.  </w:t>
      </w:r>
    </w:p>
    <w:p w14:paraId="062A8102" w14:textId="77777777" w:rsidR="00D41138" w:rsidRPr="002748AE" w:rsidRDefault="00D41138" w:rsidP="00F526B8">
      <w:pPr>
        <w:ind w:left="851"/>
        <w:rPr>
          <w:sz w:val="24"/>
          <w:szCs w:val="24"/>
        </w:rPr>
      </w:pPr>
    </w:p>
    <w:p w14:paraId="27A3EA2B" w14:textId="77777777" w:rsidR="00D41138" w:rsidRPr="002748AE" w:rsidRDefault="00D41138" w:rsidP="00F526B8">
      <w:pPr>
        <w:ind w:left="851"/>
        <w:rPr>
          <w:sz w:val="24"/>
          <w:szCs w:val="24"/>
        </w:rPr>
      </w:pPr>
      <w:r w:rsidRPr="002748AE">
        <w:rPr>
          <w:sz w:val="24"/>
          <w:szCs w:val="24"/>
        </w:rPr>
        <w:t>Alle hjælpestoffer er anført under pkt. 6.1.</w:t>
      </w:r>
    </w:p>
    <w:p w14:paraId="2A5A729C" w14:textId="77777777" w:rsidR="009260DE" w:rsidRPr="002748AE" w:rsidRDefault="009260DE" w:rsidP="009260DE">
      <w:pPr>
        <w:tabs>
          <w:tab w:val="left" w:pos="851"/>
        </w:tabs>
        <w:ind w:left="851"/>
        <w:rPr>
          <w:sz w:val="24"/>
          <w:szCs w:val="24"/>
        </w:rPr>
      </w:pPr>
    </w:p>
    <w:p w14:paraId="6AEBA0E9" w14:textId="77777777" w:rsidR="009260DE" w:rsidRPr="002748AE" w:rsidRDefault="009260DE" w:rsidP="009260DE">
      <w:pPr>
        <w:tabs>
          <w:tab w:val="left" w:pos="851"/>
        </w:tabs>
        <w:ind w:left="851" w:hanging="851"/>
        <w:rPr>
          <w:b/>
          <w:sz w:val="24"/>
          <w:szCs w:val="24"/>
        </w:rPr>
      </w:pPr>
      <w:r w:rsidRPr="002748AE">
        <w:rPr>
          <w:b/>
          <w:sz w:val="24"/>
          <w:szCs w:val="24"/>
        </w:rPr>
        <w:t>3.</w:t>
      </w:r>
      <w:r w:rsidRPr="002748AE">
        <w:rPr>
          <w:b/>
          <w:sz w:val="24"/>
          <w:szCs w:val="24"/>
        </w:rPr>
        <w:tab/>
        <w:t>LÆGEMIDDELFORM</w:t>
      </w:r>
    </w:p>
    <w:p w14:paraId="7F1FAB97" w14:textId="77777777" w:rsidR="00D41138" w:rsidRPr="002748AE" w:rsidRDefault="00D41138" w:rsidP="00F526B8">
      <w:pPr>
        <w:ind w:left="851"/>
        <w:rPr>
          <w:sz w:val="24"/>
          <w:szCs w:val="24"/>
          <w:lang w:eastAsia="da-DK"/>
        </w:rPr>
      </w:pPr>
      <w:r w:rsidRPr="002748AE">
        <w:rPr>
          <w:sz w:val="24"/>
          <w:szCs w:val="24"/>
        </w:rPr>
        <w:t xml:space="preserve">Filmovertrukne tabletter </w:t>
      </w:r>
    </w:p>
    <w:p w14:paraId="7D06C380" w14:textId="77777777" w:rsidR="00D41138" w:rsidRPr="002748AE" w:rsidRDefault="00D41138" w:rsidP="00F526B8">
      <w:pPr>
        <w:ind w:left="851"/>
        <w:rPr>
          <w:sz w:val="24"/>
          <w:szCs w:val="24"/>
        </w:rPr>
      </w:pPr>
    </w:p>
    <w:p w14:paraId="07870B40" w14:textId="375A0CB7" w:rsidR="00D41138" w:rsidRPr="002748AE" w:rsidRDefault="00D41138" w:rsidP="00F526B8">
      <w:pPr>
        <w:ind w:left="851"/>
        <w:rPr>
          <w:sz w:val="24"/>
          <w:szCs w:val="24"/>
        </w:rPr>
      </w:pPr>
      <w:r w:rsidRPr="002748AE">
        <w:rPr>
          <w:sz w:val="24"/>
          <w:szCs w:val="24"/>
        </w:rPr>
        <w:t xml:space="preserve">Lyseblå, kapselformede filmovertrukne tabletter, med præget </w:t>
      </w:r>
      <w:r w:rsidR="00527126">
        <w:rPr>
          <w:sz w:val="24"/>
          <w:szCs w:val="24"/>
        </w:rPr>
        <w:t>"</w:t>
      </w:r>
      <w:r w:rsidRPr="002748AE">
        <w:rPr>
          <w:sz w:val="24"/>
          <w:szCs w:val="24"/>
        </w:rPr>
        <w:t>150</w:t>
      </w:r>
      <w:r w:rsidR="00527126">
        <w:rPr>
          <w:sz w:val="24"/>
          <w:szCs w:val="24"/>
        </w:rPr>
        <w:t>"</w:t>
      </w:r>
      <w:r w:rsidRPr="002748AE">
        <w:rPr>
          <w:sz w:val="24"/>
          <w:szCs w:val="24"/>
        </w:rPr>
        <w:t xml:space="preserve"> på den ene side og glatte på den anden side, med dimensionerne 16,5 </w:t>
      </w:r>
      <w:r w:rsidR="003906CC">
        <w:rPr>
          <w:sz w:val="24"/>
          <w:szCs w:val="24"/>
        </w:rPr>
        <w:t>×</w:t>
      </w:r>
      <w:r w:rsidRPr="002748AE">
        <w:rPr>
          <w:sz w:val="24"/>
          <w:szCs w:val="24"/>
        </w:rPr>
        <w:t xml:space="preserve"> 8,4 mm.</w:t>
      </w:r>
    </w:p>
    <w:p w14:paraId="60D69420" w14:textId="77777777" w:rsidR="009260DE" w:rsidRPr="002748AE" w:rsidRDefault="009260DE" w:rsidP="009260DE">
      <w:pPr>
        <w:tabs>
          <w:tab w:val="left" w:pos="851"/>
        </w:tabs>
        <w:ind w:left="851"/>
        <w:rPr>
          <w:sz w:val="24"/>
          <w:szCs w:val="24"/>
        </w:rPr>
      </w:pPr>
    </w:p>
    <w:p w14:paraId="22FD803F" w14:textId="77777777" w:rsidR="009260DE" w:rsidRPr="002748AE" w:rsidRDefault="009260DE" w:rsidP="009260DE">
      <w:pPr>
        <w:tabs>
          <w:tab w:val="left" w:pos="851"/>
        </w:tabs>
        <w:ind w:left="851"/>
        <w:rPr>
          <w:sz w:val="24"/>
          <w:szCs w:val="24"/>
        </w:rPr>
      </w:pPr>
    </w:p>
    <w:p w14:paraId="722DA496" w14:textId="77777777" w:rsidR="009260DE" w:rsidRPr="002748AE" w:rsidRDefault="009260DE" w:rsidP="009260DE">
      <w:pPr>
        <w:tabs>
          <w:tab w:val="left" w:pos="851"/>
        </w:tabs>
        <w:ind w:left="851" w:hanging="851"/>
        <w:rPr>
          <w:b/>
          <w:sz w:val="24"/>
          <w:szCs w:val="24"/>
        </w:rPr>
      </w:pPr>
      <w:r w:rsidRPr="002748AE">
        <w:rPr>
          <w:b/>
          <w:sz w:val="24"/>
          <w:szCs w:val="24"/>
        </w:rPr>
        <w:t>4.</w:t>
      </w:r>
      <w:r w:rsidRPr="002748AE">
        <w:rPr>
          <w:b/>
          <w:sz w:val="24"/>
          <w:szCs w:val="24"/>
        </w:rPr>
        <w:tab/>
        <w:t>KLINISKE OPLYSNINGER</w:t>
      </w:r>
    </w:p>
    <w:p w14:paraId="5C0FF511" w14:textId="77777777" w:rsidR="009260DE" w:rsidRPr="002748AE" w:rsidRDefault="009260DE" w:rsidP="009260DE">
      <w:pPr>
        <w:tabs>
          <w:tab w:val="left" w:pos="851"/>
        </w:tabs>
        <w:ind w:left="851"/>
        <w:rPr>
          <w:b/>
          <w:sz w:val="24"/>
          <w:szCs w:val="24"/>
        </w:rPr>
      </w:pPr>
    </w:p>
    <w:p w14:paraId="6B3980A3" w14:textId="77777777" w:rsidR="009260DE" w:rsidRPr="002748AE" w:rsidRDefault="009260DE" w:rsidP="009260DE">
      <w:pPr>
        <w:tabs>
          <w:tab w:val="left" w:pos="851"/>
        </w:tabs>
        <w:ind w:left="851" w:hanging="851"/>
        <w:rPr>
          <w:b/>
          <w:sz w:val="24"/>
          <w:szCs w:val="24"/>
          <w:u w:val="single"/>
        </w:rPr>
      </w:pPr>
      <w:r w:rsidRPr="002748AE">
        <w:rPr>
          <w:b/>
          <w:sz w:val="24"/>
          <w:szCs w:val="24"/>
        </w:rPr>
        <w:t>4.1</w:t>
      </w:r>
      <w:r w:rsidRPr="002748AE">
        <w:rPr>
          <w:b/>
          <w:sz w:val="24"/>
          <w:szCs w:val="24"/>
        </w:rPr>
        <w:tab/>
        <w:t>Terapeutiske indikationer</w:t>
      </w:r>
    </w:p>
    <w:p w14:paraId="0044193E" w14:textId="36DA4C92" w:rsidR="00D41138" w:rsidRPr="002748AE" w:rsidRDefault="00D41138" w:rsidP="00F526B8">
      <w:pPr>
        <w:ind w:left="851"/>
        <w:rPr>
          <w:sz w:val="24"/>
          <w:szCs w:val="24"/>
          <w:lang w:eastAsia="da-DK"/>
        </w:rPr>
      </w:pPr>
      <w:r w:rsidRPr="002748AE">
        <w:rPr>
          <w:sz w:val="24"/>
          <w:szCs w:val="24"/>
        </w:rPr>
        <w:t xml:space="preserve">Ivacaftor </w:t>
      </w:r>
      <w:r w:rsidR="00527126">
        <w:rPr>
          <w:sz w:val="24"/>
          <w:szCs w:val="24"/>
        </w:rPr>
        <w:t>"</w:t>
      </w:r>
      <w:r w:rsidRPr="002748AE">
        <w:rPr>
          <w:sz w:val="24"/>
          <w:szCs w:val="24"/>
        </w:rPr>
        <w:t>Zentiva</w:t>
      </w:r>
      <w:r w:rsidR="00527126">
        <w:rPr>
          <w:sz w:val="24"/>
          <w:szCs w:val="24"/>
        </w:rPr>
        <w:t>"</w:t>
      </w:r>
      <w:r w:rsidRPr="002748AE">
        <w:rPr>
          <w:sz w:val="24"/>
          <w:szCs w:val="24"/>
        </w:rPr>
        <w:t xml:space="preserve"> tabletter er indiceret: </w:t>
      </w:r>
    </w:p>
    <w:p w14:paraId="4F88FDA5" w14:textId="77777777" w:rsidR="00D41138" w:rsidRPr="002748AE" w:rsidRDefault="00D41138" w:rsidP="002748AE">
      <w:pPr>
        <w:pStyle w:val="Listeafsnit"/>
        <w:numPr>
          <w:ilvl w:val="0"/>
          <w:numId w:val="27"/>
        </w:numPr>
        <w:ind w:left="1276" w:hanging="425"/>
      </w:pPr>
      <w:r w:rsidRPr="002748AE">
        <w:t xml:space="preserve">Som monoterapi til behandling af voksne, unge og børn i alderen 6 år og derover, der vejer 25 kg eller mere, med cystisk fibrose (CF), som har en </w:t>
      </w:r>
      <w:r w:rsidRPr="002748AE">
        <w:rPr>
          <w:i/>
        </w:rPr>
        <w:t>R117H-CFTR</w:t>
      </w:r>
      <w:r w:rsidRPr="002748AE">
        <w:t xml:space="preserve">-mutation eller en af de følgende </w:t>
      </w:r>
      <w:r w:rsidRPr="002748AE">
        <w:rPr>
          <w:i/>
        </w:rPr>
        <w:t>gating</w:t>
      </w:r>
      <w:r w:rsidRPr="002748AE">
        <w:t xml:space="preserve"> (klasse </w:t>
      </w:r>
      <w:proofErr w:type="gramStart"/>
      <w:r w:rsidRPr="002748AE">
        <w:t>III)-</w:t>
      </w:r>
      <w:proofErr w:type="gramEnd"/>
      <w:r w:rsidRPr="002748AE">
        <w:t>mutationer i cystisk fibrose-transmembran-konduktansregulator (</w:t>
      </w:r>
      <w:r w:rsidRPr="002748AE">
        <w:rPr>
          <w:i/>
        </w:rPr>
        <w:t>CFTR</w:t>
      </w:r>
      <w:r w:rsidRPr="002748AE">
        <w:t xml:space="preserve">)-genet: </w:t>
      </w:r>
      <w:r w:rsidRPr="002748AE">
        <w:rPr>
          <w:i/>
        </w:rPr>
        <w:t>G551D</w:t>
      </w:r>
      <w:r w:rsidRPr="002748AE">
        <w:t xml:space="preserve">, </w:t>
      </w:r>
      <w:r w:rsidRPr="002748AE">
        <w:rPr>
          <w:i/>
        </w:rPr>
        <w:t>G1244E</w:t>
      </w:r>
      <w:r w:rsidRPr="002748AE">
        <w:t xml:space="preserve">, </w:t>
      </w:r>
      <w:r w:rsidRPr="002748AE">
        <w:rPr>
          <w:i/>
        </w:rPr>
        <w:t>G1349D</w:t>
      </w:r>
      <w:r w:rsidRPr="002748AE">
        <w:t xml:space="preserve">, </w:t>
      </w:r>
      <w:r w:rsidRPr="002748AE">
        <w:rPr>
          <w:i/>
        </w:rPr>
        <w:t>G178R</w:t>
      </w:r>
      <w:r w:rsidRPr="002748AE">
        <w:t xml:space="preserve">, </w:t>
      </w:r>
      <w:r w:rsidRPr="002748AE">
        <w:rPr>
          <w:i/>
        </w:rPr>
        <w:t>G551S</w:t>
      </w:r>
      <w:r w:rsidRPr="002748AE">
        <w:t xml:space="preserve">, </w:t>
      </w:r>
      <w:r w:rsidRPr="002748AE">
        <w:rPr>
          <w:i/>
        </w:rPr>
        <w:t>S1251N</w:t>
      </w:r>
      <w:r w:rsidRPr="002748AE">
        <w:t xml:space="preserve">, </w:t>
      </w:r>
      <w:r w:rsidRPr="002748AE">
        <w:rPr>
          <w:i/>
        </w:rPr>
        <w:t>S1255P</w:t>
      </w:r>
      <w:r w:rsidRPr="002748AE">
        <w:t xml:space="preserve">, </w:t>
      </w:r>
      <w:r w:rsidRPr="002748AE">
        <w:rPr>
          <w:i/>
        </w:rPr>
        <w:t>S549N</w:t>
      </w:r>
      <w:r w:rsidRPr="002748AE">
        <w:t xml:space="preserve"> eller </w:t>
      </w:r>
      <w:r w:rsidRPr="002748AE">
        <w:rPr>
          <w:i/>
        </w:rPr>
        <w:t>S549R</w:t>
      </w:r>
      <w:r w:rsidRPr="002748AE">
        <w:t xml:space="preserve"> (se pkt. 4.4 og 5.1).</w:t>
      </w:r>
    </w:p>
    <w:p w14:paraId="55777D88" w14:textId="6FB85920" w:rsidR="00D41138" w:rsidRPr="002748AE" w:rsidRDefault="00D41138" w:rsidP="002748AE">
      <w:pPr>
        <w:pStyle w:val="Listeafsnit"/>
        <w:numPr>
          <w:ilvl w:val="0"/>
          <w:numId w:val="27"/>
        </w:numPr>
        <w:ind w:left="1276" w:hanging="425"/>
      </w:pPr>
      <w:r w:rsidRPr="002748AE">
        <w:t>I et kombinationsregime med tezacaftor/ivacaftor tabletter til behandling af voksne, unge og børn i alderen 6 år og ældre med cystisk fibrose (CF), som er homozygote for F508del-mutationen, eller som er heterozygote for F508del-mutationen og har en af de følgende mutationer i CFTR-genet: P67L, R117C, L206W, R352Q, A455E, D579G, 711+3A→G, S945L, S977F, R1070W, D1152H, 2789+5G→A, 3272-26A→G og 3849+10kbC→T.</w:t>
      </w:r>
    </w:p>
    <w:p w14:paraId="6417A36B" w14:textId="77777777" w:rsidR="00D41138" w:rsidRPr="002748AE" w:rsidRDefault="00D41138" w:rsidP="002748AE">
      <w:pPr>
        <w:pStyle w:val="Listeafsnit"/>
        <w:numPr>
          <w:ilvl w:val="0"/>
          <w:numId w:val="27"/>
        </w:numPr>
        <w:ind w:left="1276" w:hanging="425"/>
      </w:pPr>
      <w:r w:rsidRPr="002748AE">
        <w:t xml:space="preserve">I et kombinationsregime med ivacaftor/tezacaftor/elexacaftor tabletter til behandling af voksne, unge og børn i alderen 6 år og ældre med cystisk fibrose (CF), som har mindst </w:t>
      </w:r>
      <w:r w:rsidRPr="002748AE">
        <w:lastRenderedPageBreak/>
        <w:t xml:space="preserve">én ikke-klasse I-mutation i CFTR-genet (se pkt. 4.2 og 5.1). </w:t>
      </w:r>
    </w:p>
    <w:p w14:paraId="2901D99F" w14:textId="77777777" w:rsidR="009260DE" w:rsidRPr="002748AE" w:rsidRDefault="009260DE" w:rsidP="009260DE">
      <w:pPr>
        <w:tabs>
          <w:tab w:val="left" w:pos="851"/>
        </w:tabs>
        <w:ind w:left="851"/>
        <w:rPr>
          <w:sz w:val="24"/>
          <w:szCs w:val="24"/>
        </w:rPr>
      </w:pPr>
    </w:p>
    <w:p w14:paraId="47068406" w14:textId="77777777" w:rsidR="009260DE" w:rsidRPr="002748AE" w:rsidRDefault="009260DE" w:rsidP="009260DE">
      <w:pPr>
        <w:tabs>
          <w:tab w:val="left" w:pos="851"/>
        </w:tabs>
        <w:ind w:left="851" w:hanging="851"/>
        <w:rPr>
          <w:b/>
          <w:sz w:val="24"/>
          <w:szCs w:val="24"/>
        </w:rPr>
      </w:pPr>
      <w:r w:rsidRPr="002748AE">
        <w:rPr>
          <w:b/>
          <w:sz w:val="24"/>
          <w:szCs w:val="24"/>
        </w:rPr>
        <w:t>4.2</w:t>
      </w:r>
      <w:r w:rsidRPr="002748AE">
        <w:rPr>
          <w:b/>
          <w:sz w:val="24"/>
          <w:szCs w:val="24"/>
        </w:rPr>
        <w:tab/>
        <w:t xml:space="preserve">Dosering og </w:t>
      </w:r>
      <w:r w:rsidR="002C1EC0" w:rsidRPr="002748AE">
        <w:rPr>
          <w:b/>
          <w:sz w:val="24"/>
          <w:szCs w:val="24"/>
        </w:rPr>
        <w:t>administration</w:t>
      </w:r>
    </w:p>
    <w:p w14:paraId="032D201E" w14:textId="732B5E68" w:rsidR="00D41138" w:rsidRPr="002748AE" w:rsidRDefault="00D41138" w:rsidP="00F526B8">
      <w:pPr>
        <w:ind w:left="851"/>
        <w:rPr>
          <w:sz w:val="24"/>
          <w:szCs w:val="24"/>
          <w:lang w:eastAsia="da-DK"/>
        </w:rPr>
      </w:pPr>
      <w:r w:rsidRPr="002748AE">
        <w:rPr>
          <w:sz w:val="24"/>
          <w:szCs w:val="24"/>
        </w:rPr>
        <w:t xml:space="preserve">Ivacaftor </w:t>
      </w:r>
      <w:r w:rsidR="00527126">
        <w:rPr>
          <w:sz w:val="24"/>
          <w:szCs w:val="24"/>
        </w:rPr>
        <w:t>"</w:t>
      </w:r>
      <w:r w:rsidRPr="002748AE">
        <w:rPr>
          <w:sz w:val="24"/>
          <w:szCs w:val="24"/>
        </w:rPr>
        <w:t>Zentiva</w:t>
      </w:r>
      <w:r w:rsidR="00527126">
        <w:rPr>
          <w:sz w:val="24"/>
          <w:szCs w:val="24"/>
        </w:rPr>
        <w:t>"</w:t>
      </w:r>
      <w:r w:rsidRPr="002748AE">
        <w:rPr>
          <w:sz w:val="24"/>
          <w:szCs w:val="24"/>
        </w:rPr>
        <w:t xml:space="preserve"> bør kun ordineres af læger med erfaring i behandling af cystisk fibrose. Hvis patientens genotype er ukendt, skal genotypebestemmelse udføres ved en præcis og valideret metode før behandlingsstart, så tilstedeværelsen af en indiceret</w:t>
      </w:r>
      <w:r w:rsidRPr="002748AE">
        <w:rPr>
          <w:i/>
          <w:sz w:val="24"/>
          <w:szCs w:val="24"/>
        </w:rPr>
        <w:t xml:space="preserve"> </w:t>
      </w:r>
      <w:r w:rsidRPr="002748AE">
        <w:rPr>
          <w:sz w:val="24"/>
          <w:szCs w:val="24"/>
        </w:rPr>
        <w:t xml:space="preserve">mutation i </w:t>
      </w:r>
      <w:r w:rsidRPr="002748AE">
        <w:rPr>
          <w:i/>
          <w:sz w:val="24"/>
          <w:szCs w:val="24"/>
        </w:rPr>
        <w:t>CFTR</w:t>
      </w:r>
      <w:r w:rsidRPr="002748AE">
        <w:rPr>
          <w:sz w:val="24"/>
          <w:szCs w:val="24"/>
        </w:rPr>
        <w:t xml:space="preserve">-genet bekræftes (se pkt. 4.1). Hvilken fase af poly-T-varianten, der er identificeret sammen med </w:t>
      </w:r>
      <w:r w:rsidRPr="002748AE">
        <w:rPr>
          <w:i/>
          <w:sz w:val="24"/>
          <w:szCs w:val="24"/>
        </w:rPr>
        <w:t>R117H</w:t>
      </w:r>
      <w:r w:rsidRPr="002748AE">
        <w:rPr>
          <w:sz w:val="24"/>
          <w:szCs w:val="24"/>
        </w:rPr>
        <w:t xml:space="preserve">-mutationen, skal bestemmes i henhold til lokale kliniske anbefalinger. </w:t>
      </w:r>
    </w:p>
    <w:p w14:paraId="7535DFDC" w14:textId="072F5E17" w:rsidR="00D41138" w:rsidRPr="002748AE" w:rsidRDefault="00D41138" w:rsidP="00F526B8">
      <w:pPr>
        <w:ind w:left="851"/>
        <w:rPr>
          <w:sz w:val="24"/>
          <w:szCs w:val="24"/>
        </w:rPr>
      </w:pPr>
    </w:p>
    <w:p w14:paraId="2ED9E746" w14:textId="42DB4A43" w:rsidR="00D41138" w:rsidRPr="002748AE" w:rsidRDefault="00D41138" w:rsidP="00F526B8">
      <w:pPr>
        <w:ind w:left="851"/>
        <w:rPr>
          <w:sz w:val="24"/>
          <w:szCs w:val="24"/>
        </w:rPr>
      </w:pPr>
      <w:r w:rsidRPr="002748AE">
        <w:rPr>
          <w:i/>
          <w:sz w:val="24"/>
          <w:szCs w:val="24"/>
        </w:rPr>
        <w:t xml:space="preserve">Ivacaftor </w:t>
      </w:r>
      <w:r w:rsidR="00527126">
        <w:rPr>
          <w:i/>
          <w:sz w:val="24"/>
          <w:szCs w:val="24"/>
        </w:rPr>
        <w:t>"</w:t>
      </w:r>
      <w:r w:rsidRPr="002748AE">
        <w:rPr>
          <w:i/>
          <w:sz w:val="24"/>
          <w:szCs w:val="24"/>
        </w:rPr>
        <w:t>Zentiva</w:t>
      </w:r>
      <w:r w:rsidR="00527126">
        <w:rPr>
          <w:i/>
          <w:sz w:val="24"/>
          <w:szCs w:val="24"/>
        </w:rPr>
        <w:t>"</w:t>
      </w:r>
      <w:r w:rsidRPr="002748AE">
        <w:rPr>
          <w:i/>
          <w:sz w:val="24"/>
          <w:szCs w:val="24"/>
        </w:rPr>
        <w:t xml:space="preserve"> i kombination med ivacaftor/tezacaftor/elexacaftor</w:t>
      </w:r>
    </w:p>
    <w:p w14:paraId="788A25A5" w14:textId="77777777" w:rsidR="00D41138" w:rsidRPr="002748AE" w:rsidRDefault="00D41138" w:rsidP="00F526B8">
      <w:pPr>
        <w:ind w:left="851"/>
        <w:rPr>
          <w:sz w:val="24"/>
          <w:szCs w:val="24"/>
        </w:rPr>
      </w:pPr>
      <w:r w:rsidRPr="002748AE">
        <w:rPr>
          <w:sz w:val="24"/>
          <w:szCs w:val="24"/>
        </w:rPr>
        <w:t xml:space="preserve">Der er et begrænset antal patienter, der bærer mutationer, som ikke er anført i tabel 6, og som muligvis kan respondere på ivacaftor/tezacaftor/elexacaftor (IVA/TEZ/ELX). I disse tilfælde kan ivacaftor (IVA) i kombination med IVA/TEZ/ELX overvejes, hvis lægen mener, at de potentielle fordele opvejer de potentielle risici, og under tæt lægelig supervision. Dette udelukker patienter med to klasse I (null)-mutationer (mutationer, der vides ikke at producere CFTR-protein), da de ikke forventes at respondere på modulatorterapi (se pkt. 4.1, 4.4 og 5.1). </w:t>
      </w:r>
    </w:p>
    <w:p w14:paraId="66D31424" w14:textId="77777777" w:rsidR="00D41138" w:rsidRPr="002748AE" w:rsidRDefault="00D41138" w:rsidP="00F526B8">
      <w:pPr>
        <w:ind w:left="851"/>
        <w:rPr>
          <w:sz w:val="24"/>
          <w:szCs w:val="24"/>
        </w:rPr>
      </w:pPr>
    </w:p>
    <w:p w14:paraId="4AB883D1" w14:textId="77777777" w:rsidR="00D41138" w:rsidRPr="002748AE" w:rsidRDefault="00D41138" w:rsidP="00F526B8">
      <w:pPr>
        <w:ind w:left="851"/>
        <w:rPr>
          <w:sz w:val="24"/>
          <w:szCs w:val="24"/>
        </w:rPr>
      </w:pPr>
      <w:r w:rsidRPr="002748AE">
        <w:rPr>
          <w:sz w:val="24"/>
          <w:szCs w:val="24"/>
          <w:u w:val="single"/>
        </w:rPr>
        <w:t>Dosering</w:t>
      </w:r>
    </w:p>
    <w:p w14:paraId="23A5C17E" w14:textId="77777777" w:rsidR="00D41138" w:rsidRPr="002748AE" w:rsidRDefault="00D41138" w:rsidP="00F526B8">
      <w:pPr>
        <w:ind w:left="851"/>
        <w:rPr>
          <w:sz w:val="24"/>
          <w:szCs w:val="24"/>
        </w:rPr>
      </w:pPr>
    </w:p>
    <w:p w14:paraId="28FCCD13" w14:textId="77777777" w:rsidR="00D41138" w:rsidRPr="002748AE" w:rsidRDefault="00D41138" w:rsidP="00F526B8">
      <w:pPr>
        <w:ind w:left="851"/>
        <w:rPr>
          <w:sz w:val="24"/>
          <w:szCs w:val="24"/>
        </w:rPr>
      </w:pPr>
      <w:r w:rsidRPr="002748AE">
        <w:rPr>
          <w:sz w:val="24"/>
          <w:szCs w:val="24"/>
        </w:rPr>
        <w:t xml:space="preserve">Voksne, unge og børn i alderen 6 år og ældre skal doseres ifølge tabel 1. </w:t>
      </w:r>
    </w:p>
    <w:p w14:paraId="055424A1" w14:textId="77777777" w:rsidR="00D41138" w:rsidRPr="002748AE" w:rsidRDefault="00D41138" w:rsidP="00F526B8">
      <w:pPr>
        <w:ind w:left="851"/>
        <w:rPr>
          <w:sz w:val="24"/>
          <w:szCs w:val="24"/>
        </w:rPr>
      </w:pPr>
    </w:p>
    <w:p w14:paraId="080DD5FC" w14:textId="77777777" w:rsidR="00D41138" w:rsidRPr="002748AE" w:rsidRDefault="00D41138" w:rsidP="009420E8">
      <w:pPr>
        <w:ind w:left="851"/>
        <w:rPr>
          <w:b/>
          <w:sz w:val="24"/>
          <w:szCs w:val="24"/>
        </w:rPr>
      </w:pPr>
      <w:r w:rsidRPr="002748AE">
        <w:rPr>
          <w:b/>
          <w:sz w:val="24"/>
          <w:szCs w:val="24"/>
        </w:rPr>
        <w:t xml:space="preserve">Tabel 1: Doseringsanbefalinger </w:t>
      </w:r>
    </w:p>
    <w:p w14:paraId="15D6DF72" w14:textId="77777777" w:rsidR="00D41138" w:rsidRPr="002748AE" w:rsidRDefault="00D41138" w:rsidP="00D41138">
      <w:pPr>
        <w:pStyle w:val="Brdtekst"/>
        <w:suppressAutoHyphens/>
        <w:kinsoku w:val="0"/>
        <w:overflowPunct w:val="0"/>
        <w:ind w:left="0"/>
        <w:rPr>
          <w:b/>
          <w:color w:val="000000" w:themeColor="text1"/>
        </w:rPr>
      </w:pPr>
    </w:p>
    <w:tbl>
      <w:tblPr>
        <w:tblStyle w:val="TableGrid"/>
        <w:tblW w:w="5000" w:type="pct"/>
        <w:jc w:val="center"/>
        <w:tblInd w:w="0" w:type="dxa"/>
        <w:tblCellMar>
          <w:top w:w="58" w:type="dxa"/>
          <w:left w:w="107" w:type="dxa"/>
          <w:right w:w="71" w:type="dxa"/>
        </w:tblCellMar>
        <w:tblLook w:val="04A0" w:firstRow="1" w:lastRow="0" w:firstColumn="1" w:lastColumn="0" w:noHBand="0" w:noVBand="1"/>
      </w:tblPr>
      <w:tblGrid>
        <w:gridCol w:w="2176"/>
        <w:gridCol w:w="4506"/>
        <w:gridCol w:w="2946"/>
      </w:tblGrid>
      <w:tr w:rsidR="00D41138" w:rsidRPr="00527126" w14:paraId="09985F21" w14:textId="77777777" w:rsidTr="00F526B8">
        <w:trPr>
          <w:trHeight w:val="227"/>
          <w:jc w:val="center"/>
        </w:trPr>
        <w:tc>
          <w:tcPr>
            <w:tcW w:w="1130" w:type="pct"/>
            <w:tcBorders>
              <w:top w:val="single" w:sz="4" w:space="0" w:color="000000"/>
              <w:left w:val="single" w:sz="4" w:space="0" w:color="000000"/>
              <w:bottom w:val="single" w:sz="4" w:space="0" w:color="000000"/>
              <w:right w:val="single" w:sz="4" w:space="0" w:color="000000"/>
            </w:tcBorders>
            <w:tcMar>
              <w:top w:w="28" w:type="dxa"/>
              <w:left w:w="0" w:type="dxa"/>
              <w:bottom w:w="28" w:type="dxa"/>
              <w:right w:w="0" w:type="dxa"/>
            </w:tcMar>
            <w:hideMark/>
          </w:tcPr>
          <w:p w14:paraId="6F46C30C" w14:textId="77777777" w:rsidR="00D41138" w:rsidRPr="00527126" w:rsidRDefault="00D41138" w:rsidP="002748AE">
            <w:pPr>
              <w:ind w:left="132" w:right="53"/>
              <w:rPr>
                <w:rFonts w:ascii="Times New Roman" w:hAnsi="Times New Roman" w:cs="Times New Roman"/>
                <w:b/>
                <w:sz w:val="22"/>
                <w:szCs w:val="22"/>
                <w:lang w:eastAsia="ru-RU"/>
              </w:rPr>
            </w:pPr>
            <w:r w:rsidRPr="00527126">
              <w:rPr>
                <w:rFonts w:ascii="Times New Roman" w:hAnsi="Times New Roman" w:cs="Times New Roman"/>
                <w:b/>
                <w:sz w:val="22"/>
                <w:szCs w:val="22"/>
                <w:lang w:eastAsia="ru-RU"/>
              </w:rPr>
              <w:t>Alder/vægt</w:t>
            </w:r>
          </w:p>
        </w:tc>
        <w:tc>
          <w:tcPr>
            <w:tcW w:w="2340" w:type="pct"/>
            <w:tcBorders>
              <w:top w:val="single" w:sz="4" w:space="0" w:color="000000"/>
              <w:left w:val="single" w:sz="4" w:space="0" w:color="000000"/>
              <w:bottom w:val="single" w:sz="4" w:space="0" w:color="000000"/>
              <w:right w:val="single" w:sz="4" w:space="0" w:color="000000"/>
            </w:tcBorders>
            <w:tcMar>
              <w:top w:w="28" w:type="dxa"/>
              <w:left w:w="0" w:type="dxa"/>
              <w:bottom w:w="28" w:type="dxa"/>
              <w:right w:w="0" w:type="dxa"/>
            </w:tcMar>
            <w:hideMark/>
          </w:tcPr>
          <w:p w14:paraId="08B58AC4" w14:textId="77777777" w:rsidR="00D41138" w:rsidRPr="00527126" w:rsidRDefault="00D41138" w:rsidP="002748AE">
            <w:pPr>
              <w:ind w:left="132" w:right="53"/>
              <w:jc w:val="center"/>
              <w:rPr>
                <w:rFonts w:ascii="Times New Roman" w:hAnsi="Times New Roman" w:cs="Times New Roman"/>
                <w:b/>
                <w:sz w:val="22"/>
                <w:szCs w:val="22"/>
                <w:lang w:eastAsia="ru-RU"/>
              </w:rPr>
            </w:pPr>
            <w:r w:rsidRPr="00527126">
              <w:rPr>
                <w:rFonts w:ascii="Times New Roman" w:hAnsi="Times New Roman" w:cs="Times New Roman"/>
                <w:b/>
                <w:sz w:val="22"/>
                <w:szCs w:val="22"/>
                <w:lang w:eastAsia="ru-RU"/>
              </w:rPr>
              <w:t>Morgendosis</w:t>
            </w:r>
          </w:p>
        </w:tc>
        <w:tc>
          <w:tcPr>
            <w:tcW w:w="1530" w:type="pct"/>
            <w:tcBorders>
              <w:top w:val="single" w:sz="4" w:space="0" w:color="000000"/>
              <w:left w:val="single" w:sz="4" w:space="0" w:color="000000"/>
              <w:bottom w:val="single" w:sz="4" w:space="0" w:color="000000"/>
              <w:right w:val="single" w:sz="4" w:space="0" w:color="000000"/>
            </w:tcBorders>
            <w:tcMar>
              <w:top w:w="28" w:type="dxa"/>
              <w:left w:w="0" w:type="dxa"/>
              <w:bottom w:w="28" w:type="dxa"/>
              <w:right w:w="0" w:type="dxa"/>
            </w:tcMar>
            <w:hideMark/>
          </w:tcPr>
          <w:p w14:paraId="379927CB" w14:textId="77777777" w:rsidR="00D41138" w:rsidRPr="00527126" w:rsidRDefault="00D41138" w:rsidP="002748AE">
            <w:pPr>
              <w:ind w:left="132" w:right="53"/>
              <w:jc w:val="center"/>
              <w:rPr>
                <w:rFonts w:ascii="Times New Roman" w:hAnsi="Times New Roman" w:cs="Times New Roman"/>
                <w:b/>
                <w:sz w:val="22"/>
                <w:szCs w:val="22"/>
                <w:lang w:eastAsia="ru-RU"/>
              </w:rPr>
            </w:pPr>
            <w:r w:rsidRPr="00527126">
              <w:rPr>
                <w:rFonts w:ascii="Times New Roman" w:hAnsi="Times New Roman" w:cs="Times New Roman"/>
                <w:b/>
                <w:sz w:val="22"/>
                <w:szCs w:val="22"/>
                <w:lang w:eastAsia="ru-RU"/>
              </w:rPr>
              <w:t>Aftendosis</w:t>
            </w:r>
          </w:p>
        </w:tc>
      </w:tr>
      <w:tr w:rsidR="00D41138" w:rsidRPr="00527126" w14:paraId="71499F48" w14:textId="77777777" w:rsidTr="00F526B8">
        <w:trPr>
          <w:trHeight w:val="227"/>
          <w:jc w:val="center"/>
        </w:trPr>
        <w:tc>
          <w:tcPr>
            <w:tcW w:w="3470" w:type="pct"/>
            <w:gridSpan w:val="2"/>
            <w:tcBorders>
              <w:top w:val="single" w:sz="4" w:space="0" w:color="000000"/>
              <w:left w:val="single" w:sz="4" w:space="0" w:color="000000"/>
              <w:bottom w:val="single" w:sz="4" w:space="0" w:color="000000"/>
              <w:right w:val="nil"/>
            </w:tcBorders>
            <w:tcMar>
              <w:top w:w="28" w:type="dxa"/>
              <w:left w:w="0" w:type="dxa"/>
              <w:bottom w:w="28" w:type="dxa"/>
              <w:right w:w="0" w:type="dxa"/>
            </w:tcMar>
            <w:hideMark/>
          </w:tcPr>
          <w:p w14:paraId="35863A4C" w14:textId="77777777" w:rsidR="00D41138" w:rsidRPr="00527126" w:rsidRDefault="00D41138" w:rsidP="002748AE">
            <w:pPr>
              <w:ind w:left="132" w:right="53"/>
              <w:rPr>
                <w:rFonts w:ascii="Times New Roman" w:hAnsi="Times New Roman" w:cs="Times New Roman"/>
                <w:b/>
                <w:sz w:val="22"/>
                <w:szCs w:val="22"/>
                <w:lang w:eastAsia="ru-RU"/>
              </w:rPr>
            </w:pPr>
            <w:r w:rsidRPr="00527126">
              <w:rPr>
                <w:rFonts w:ascii="Times New Roman" w:hAnsi="Times New Roman" w:cs="Times New Roman"/>
                <w:b/>
                <w:sz w:val="22"/>
                <w:szCs w:val="22"/>
                <w:lang w:eastAsia="ru-RU"/>
              </w:rPr>
              <w:t xml:space="preserve">Ivacaftor som monoterapi </w:t>
            </w:r>
          </w:p>
        </w:tc>
        <w:tc>
          <w:tcPr>
            <w:tcW w:w="1530" w:type="pct"/>
            <w:tcBorders>
              <w:top w:val="single" w:sz="4" w:space="0" w:color="000000"/>
              <w:left w:val="nil"/>
              <w:bottom w:val="single" w:sz="4" w:space="0" w:color="000000"/>
              <w:right w:val="single" w:sz="4" w:space="0" w:color="000000"/>
            </w:tcBorders>
            <w:tcMar>
              <w:top w:w="28" w:type="dxa"/>
              <w:left w:w="0" w:type="dxa"/>
              <w:bottom w:w="28" w:type="dxa"/>
              <w:right w:w="0" w:type="dxa"/>
            </w:tcMar>
          </w:tcPr>
          <w:p w14:paraId="7977501F" w14:textId="77777777" w:rsidR="00D41138" w:rsidRPr="00527126" w:rsidRDefault="00D41138" w:rsidP="002748AE">
            <w:pPr>
              <w:ind w:left="132" w:right="53"/>
              <w:rPr>
                <w:rFonts w:ascii="Times New Roman" w:hAnsi="Times New Roman" w:cs="Times New Roman"/>
                <w:b/>
                <w:sz w:val="22"/>
                <w:szCs w:val="22"/>
                <w:lang w:eastAsia="ru-RU"/>
              </w:rPr>
            </w:pPr>
          </w:p>
        </w:tc>
      </w:tr>
      <w:tr w:rsidR="00D41138" w:rsidRPr="00527126" w14:paraId="416E2370" w14:textId="77777777" w:rsidTr="00F526B8">
        <w:trPr>
          <w:trHeight w:val="227"/>
          <w:jc w:val="center"/>
        </w:trPr>
        <w:tc>
          <w:tcPr>
            <w:tcW w:w="1130" w:type="pct"/>
            <w:tcBorders>
              <w:top w:val="single" w:sz="4" w:space="0" w:color="000000"/>
              <w:left w:val="single" w:sz="4" w:space="0" w:color="000000"/>
              <w:bottom w:val="single" w:sz="4" w:space="0" w:color="000000"/>
              <w:right w:val="single" w:sz="4" w:space="0" w:color="000000"/>
            </w:tcBorders>
            <w:tcMar>
              <w:top w:w="28" w:type="dxa"/>
              <w:left w:w="0" w:type="dxa"/>
              <w:bottom w:w="28" w:type="dxa"/>
              <w:right w:w="0" w:type="dxa"/>
            </w:tcMar>
            <w:hideMark/>
          </w:tcPr>
          <w:p w14:paraId="30708E42" w14:textId="77777777" w:rsidR="00D41138" w:rsidRPr="00527126" w:rsidRDefault="00D41138" w:rsidP="002748AE">
            <w:pPr>
              <w:ind w:left="132" w:right="53"/>
              <w:rPr>
                <w:rFonts w:ascii="Times New Roman" w:hAnsi="Times New Roman" w:cs="Times New Roman"/>
                <w:sz w:val="22"/>
                <w:szCs w:val="22"/>
                <w:lang w:eastAsia="ru-RU"/>
              </w:rPr>
            </w:pPr>
            <w:r w:rsidRPr="00527126">
              <w:rPr>
                <w:rFonts w:ascii="Times New Roman" w:hAnsi="Times New Roman" w:cs="Times New Roman"/>
                <w:sz w:val="22"/>
                <w:szCs w:val="22"/>
                <w:lang w:eastAsia="ru-RU"/>
              </w:rPr>
              <w:t xml:space="preserve">6 år og ældre, </w:t>
            </w:r>
          </w:p>
          <w:p w14:paraId="690E529D" w14:textId="77777777" w:rsidR="00D41138" w:rsidRPr="00527126" w:rsidRDefault="00D41138" w:rsidP="002748AE">
            <w:pPr>
              <w:ind w:left="132" w:right="53"/>
              <w:rPr>
                <w:rFonts w:ascii="Times New Roman" w:hAnsi="Times New Roman" w:cs="Times New Roman"/>
                <w:sz w:val="22"/>
                <w:szCs w:val="22"/>
                <w:lang w:eastAsia="ru-RU"/>
              </w:rPr>
            </w:pPr>
            <w:r w:rsidRPr="00527126">
              <w:rPr>
                <w:rFonts w:ascii="Times New Roman" w:hAnsi="Times New Roman" w:cs="Times New Roman"/>
                <w:sz w:val="22"/>
                <w:szCs w:val="22"/>
                <w:lang w:eastAsia="ru-RU"/>
              </w:rPr>
              <w:t xml:space="preserve">≥ 25 kg </w:t>
            </w:r>
          </w:p>
        </w:tc>
        <w:tc>
          <w:tcPr>
            <w:tcW w:w="2340" w:type="pct"/>
            <w:tcBorders>
              <w:top w:val="single" w:sz="4" w:space="0" w:color="000000"/>
              <w:left w:val="single" w:sz="4" w:space="0" w:color="000000"/>
              <w:bottom w:val="single" w:sz="4" w:space="0" w:color="000000"/>
              <w:right w:val="single" w:sz="4" w:space="0" w:color="000000"/>
            </w:tcBorders>
            <w:tcMar>
              <w:top w:w="28" w:type="dxa"/>
              <w:left w:w="0" w:type="dxa"/>
              <w:bottom w:w="28" w:type="dxa"/>
              <w:right w:w="0" w:type="dxa"/>
            </w:tcMar>
            <w:vAlign w:val="center"/>
            <w:hideMark/>
          </w:tcPr>
          <w:p w14:paraId="65844CAA" w14:textId="77777777" w:rsidR="00D41138" w:rsidRPr="00527126" w:rsidRDefault="00D41138" w:rsidP="002748AE">
            <w:pPr>
              <w:ind w:left="132" w:right="53"/>
              <w:rPr>
                <w:rFonts w:ascii="Times New Roman" w:hAnsi="Times New Roman" w:cs="Times New Roman"/>
                <w:sz w:val="22"/>
                <w:szCs w:val="22"/>
                <w:lang w:eastAsia="ru-RU"/>
              </w:rPr>
            </w:pPr>
            <w:r w:rsidRPr="00527126">
              <w:rPr>
                <w:rFonts w:ascii="Times New Roman" w:hAnsi="Times New Roman" w:cs="Times New Roman"/>
                <w:sz w:val="22"/>
                <w:szCs w:val="22"/>
                <w:lang w:eastAsia="ru-RU"/>
              </w:rPr>
              <w:t xml:space="preserve">Én ivacaftor 150 mg tablet </w:t>
            </w:r>
          </w:p>
        </w:tc>
        <w:tc>
          <w:tcPr>
            <w:tcW w:w="1530" w:type="pct"/>
            <w:tcBorders>
              <w:top w:val="single" w:sz="4" w:space="0" w:color="000000"/>
              <w:left w:val="single" w:sz="4" w:space="0" w:color="000000"/>
              <w:bottom w:val="single" w:sz="4" w:space="0" w:color="000000"/>
              <w:right w:val="single" w:sz="4" w:space="0" w:color="000000"/>
            </w:tcBorders>
            <w:tcMar>
              <w:top w:w="28" w:type="dxa"/>
              <w:left w:w="0" w:type="dxa"/>
              <w:bottom w:w="28" w:type="dxa"/>
              <w:right w:w="0" w:type="dxa"/>
            </w:tcMar>
            <w:vAlign w:val="center"/>
            <w:hideMark/>
          </w:tcPr>
          <w:p w14:paraId="1F7E0AB9" w14:textId="77777777" w:rsidR="00D41138" w:rsidRPr="00527126" w:rsidRDefault="00D41138" w:rsidP="002748AE">
            <w:pPr>
              <w:ind w:left="132" w:right="53"/>
              <w:rPr>
                <w:rFonts w:ascii="Times New Roman" w:hAnsi="Times New Roman" w:cs="Times New Roman"/>
                <w:sz w:val="22"/>
                <w:szCs w:val="22"/>
                <w:lang w:eastAsia="ru-RU"/>
              </w:rPr>
            </w:pPr>
            <w:r w:rsidRPr="00527126">
              <w:rPr>
                <w:rFonts w:ascii="Times New Roman" w:hAnsi="Times New Roman" w:cs="Times New Roman"/>
                <w:sz w:val="22"/>
                <w:szCs w:val="22"/>
                <w:lang w:eastAsia="ru-RU"/>
              </w:rPr>
              <w:t xml:space="preserve">Én ivacaftor 150 mg tablet </w:t>
            </w:r>
          </w:p>
        </w:tc>
      </w:tr>
      <w:tr w:rsidR="00D41138" w:rsidRPr="00527126" w14:paraId="789C052E" w14:textId="77777777" w:rsidTr="00F526B8">
        <w:trPr>
          <w:trHeight w:val="227"/>
          <w:jc w:val="center"/>
        </w:trPr>
        <w:tc>
          <w:tcPr>
            <w:tcW w:w="3470" w:type="pct"/>
            <w:gridSpan w:val="2"/>
            <w:tcBorders>
              <w:top w:val="single" w:sz="4" w:space="0" w:color="000000"/>
              <w:left w:val="single" w:sz="4" w:space="0" w:color="000000"/>
              <w:bottom w:val="single" w:sz="4" w:space="0" w:color="000000"/>
              <w:right w:val="nil"/>
            </w:tcBorders>
            <w:tcMar>
              <w:top w:w="28" w:type="dxa"/>
              <w:left w:w="0" w:type="dxa"/>
              <w:bottom w:w="28" w:type="dxa"/>
              <w:right w:w="0" w:type="dxa"/>
            </w:tcMar>
            <w:hideMark/>
          </w:tcPr>
          <w:p w14:paraId="39525D6C" w14:textId="77777777" w:rsidR="00D41138" w:rsidRPr="00527126" w:rsidRDefault="00D41138" w:rsidP="002748AE">
            <w:pPr>
              <w:ind w:left="132" w:right="53"/>
              <w:rPr>
                <w:rFonts w:ascii="Times New Roman" w:hAnsi="Times New Roman" w:cs="Times New Roman"/>
                <w:b/>
                <w:sz w:val="22"/>
                <w:szCs w:val="22"/>
                <w:lang w:eastAsia="ru-RU"/>
              </w:rPr>
            </w:pPr>
            <w:r w:rsidRPr="00527126">
              <w:rPr>
                <w:rFonts w:ascii="Times New Roman" w:hAnsi="Times New Roman" w:cs="Times New Roman"/>
                <w:b/>
                <w:sz w:val="22"/>
                <w:szCs w:val="22"/>
                <w:lang w:eastAsia="ru-RU"/>
              </w:rPr>
              <w:t xml:space="preserve">Ivacaftor i kombination med tezacaftor/ivacaftor </w:t>
            </w:r>
          </w:p>
        </w:tc>
        <w:tc>
          <w:tcPr>
            <w:tcW w:w="1530" w:type="pct"/>
            <w:tcBorders>
              <w:top w:val="single" w:sz="4" w:space="0" w:color="000000"/>
              <w:left w:val="nil"/>
              <w:bottom w:val="single" w:sz="4" w:space="0" w:color="000000"/>
              <w:right w:val="single" w:sz="4" w:space="0" w:color="000000"/>
            </w:tcBorders>
            <w:tcMar>
              <w:top w:w="28" w:type="dxa"/>
              <w:left w:w="0" w:type="dxa"/>
              <w:bottom w:w="28" w:type="dxa"/>
              <w:right w:w="0" w:type="dxa"/>
            </w:tcMar>
          </w:tcPr>
          <w:p w14:paraId="27D6DAFE" w14:textId="77777777" w:rsidR="00D41138" w:rsidRPr="00527126" w:rsidRDefault="00D41138" w:rsidP="002748AE">
            <w:pPr>
              <w:ind w:left="132" w:right="53"/>
              <w:rPr>
                <w:rFonts w:ascii="Times New Roman" w:hAnsi="Times New Roman" w:cs="Times New Roman"/>
                <w:b/>
                <w:sz w:val="22"/>
                <w:szCs w:val="22"/>
                <w:lang w:eastAsia="ru-RU"/>
              </w:rPr>
            </w:pPr>
          </w:p>
        </w:tc>
      </w:tr>
      <w:tr w:rsidR="00D41138" w:rsidRPr="00527126" w14:paraId="19014E7C" w14:textId="77777777" w:rsidTr="00F526B8">
        <w:trPr>
          <w:trHeight w:val="227"/>
          <w:jc w:val="center"/>
        </w:trPr>
        <w:tc>
          <w:tcPr>
            <w:tcW w:w="1130" w:type="pct"/>
            <w:tcBorders>
              <w:top w:val="single" w:sz="4" w:space="0" w:color="000000"/>
              <w:left w:val="single" w:sz="4" w:space="0" w:color="000000"/>
              <w:bottom w:val="single" w:sz="4" w:space="0" w:color="000000"/>
              <w:right w:val="single" w:sz="4" w:space="0" w:color="000000"/>
            </w:tcBorders>
            <w:tcMar>
              <w:top w:w="28" w:type="dxa"/>
              <w:left w:w="0" w:type="dxa"/>
              <w:bottom w:w="28" w:type="dxa"/>
              <w:right w:w="0" w:type="dxa"/>
            </w:tcMar>
            <w:hideMark/>
          </w:tcPr>
          <w:p w14:paraId="147FBDC9" w14:textId="77777777" w:rsidR="00D41138" w:rsidRPr="00527126" w:rsidRDefault="00D41138" w:rsidP="002748AE">
            <w:pPr>
              <w:ind w:left="132" w:right="53"/>
              <w:rPr>
                <w:rFonts w:ascii="Times New Roman" w:hAnsi="Times New Roman" w:cs="Times New Roman"/>
                <w:sz w:val="22"/>
                <w:szCs w:val="22"/>
                <w:lang w:eastAsia="ru-RU"/>
              </w:rPr>
            </w:pPr>
            <w:r w:rsidRPr="00527126">
              <w:rPr>
                <w:rFonts w:ascii="Times New Roman" w:hAnsi="Times New Roman" w:cs="Times New Roman"/>
                <w:sz w:val="22"/>
                <w:szCs w:val="22"/>
                <w:lang w:eastAsia="ru-RU"/>
              </w:rPr>
              <w:t xml:space="preserve">6 år til &lt; 12 år, </w:t>
            </w:r>
          </w:p>
          <w:p w14:paraId="03A0761B" w14:textId="77777777" w:rsidR="00D41138" w:rsidRPr="00527126" w:rsidRDefault="00D41138" w:rsidP="002748AE">
            <w:pPr>
              <w:ind w:left="132" w:right="53"/>
              <w:rPr>
                <w:rFonts w:ascii="Times New Roman" w:hAnsi="Times New Roman" w:cs="Times New Roman"/>
                <w:sz w:val="22"/>
                <w:szCs w:val="22"/>
                <w:lang w:eastAsia="ru-RU"/>
              </w:rPr>
            </w:pPr>
            <w:r w:rsidRPr="00527126">
              <w:rPr>
                <w:rFonts w:ascii="Times New Roman" w:hAnsi="Times New Roman" w:cs="Times New Roman"/>
                <w:sz w:val="22"/>
                <w:szCs w:val="22"/>
                <w:lang w:eastAsia="ru-RU"/>
              </w:rPr>
              <w:t xml:space="preserve">&lt; 30 kg </w:t>
            </w:r>
          </w:p>
        </w:tc>
        <w:tc>
          <w:tcPr>
            <w:tcW w:w="2340" w:type="pct"/>
            <w:tcBorders>
              <w:top w:val="single" w:sz="4" w:space="0" w:color="000000"/>
              <w:left w:val="single" w:sz="4" w:space="0" w:color="000000"/>
              <w:bottom w:val="single" w:sz="4" w:space="0" w:color="000000"/>
              <w:right w:val="single" w:sz="4" w:space="0" w:color="000000"/>
            </w:tcBorders>
            <w:tcMar>
              <w:top w:w="28" w:type="dxa"/>
              <w:left w:w="0" w:type="dxa"/>
              <w:bottom w:w="28" w:type="dxa"/>
              <w:right w:w="0" w:type="dxa"/>
            </w:tcMar>
            <w:vAlign w:val="center"/>
            <w:hideMark/>
          </w:tcPr>
          <w:p w14:paraId="3DDF921F" w14:textId="77777777" w:rsidR="00D41138" w:rsidRPr="00527126" w:rsidRDefault="00D41138" w:rsidP="002748AE">
            <w:pPr>
              <w:ind w:left="132" w:right="53"/>
              <w:rPr>
                <w:rFonts w:ascii="Times New Roman" w:hAnsi="Times New Roman" w:cs="Times New Roman"/>
                <w:sz w:val="22"/>
                <w:szCs w:val="22"/>
                <w:lang w:eastAsia="ru-RU"/>
              </w:rPr>
            </w:pPr>
            <w:r w:rsidRPr="00527126">
              <w:rPr>
                <w:rFonts w:ascii="Times New Roman" w:hAnsi="Times New Roman" w:cs="Times New Roman"/>
                <w:sz w:val="22"/>
                <w:szCs w:val="22"/>
                <w:lang w:eastAsia="ru-RU"/>
              </w:rPr>
              <w:t xml:space="preserve">Én tezacaftor 50 mg/ivacaftor 75 mg tablet </w:t>
            </w:r>
          </w:p>
        </w:tc>
        <w:tc>
          <w:tcPr>
            <w:tcW w:w="1530" w:type="pct"/>
            <w:tcBorders>
              <w:top w:val="single" w:sz="4" w:space="0" w:color="000000"/>
              <w:left w:val="single" w:sz="4" w:space="0" w:color="000000"/>
              <w:bottom w:val="single" w:sz="4" w:space="0" w:color="000000"/>
              <w:right w:val="single" w:sz="4" w:space="0" w:color="000000"/>
            </w:tcBorders>
            <w:tcMar>
              <w:top w:w="28" w:type="dxa"/>
              <w:left w:w="0" w:type="dxa"/>
              <w:bottom w:w="28" w:type="dxa"/>
              <w:right w:w="0" w:type="dxa"/>
            </w:tcMar>
            <w:vAlign w:val="center"/>
            <w:hideMark/>
          </w:tcPr>
          <w:p w14:paraId="44F57E76" w14:textId="77777777" w:rsidR="00D41138" w:rsidRPr="00527126" w:rsidRDefault="00D41138" w:rsidP="002748AE">
            <w:pPr>
              <w:ind w:left="132" w:right="53"/>
              <w:rPr>
                <w:rFonts w:ascii="Times New Roman" w:hAnsi="Times New Roman" w:cs="Times New Roman"/>
                <w:sz w:val="22"/>
                <w:szCs w:val="22"/>
                <w:lang w:eastAsia="ru-RU"/>
              </w:rPr>
            </w:pPr>
            <w:r w:rsidRPr="00527126">
              <w:rPr>
                <w:rFonts w:ascii="Times New Roman" w:hAnsi="Times New Roman" w:cs="Times New Roman"/>
                <w:sz w:val="22"/>
                <w:szCs w:val="22"/>
                <w:lang w:eastAsia="ru-RU"/>
              </w:rPr>
              <w:t>Én ivacaftor 75 mg tablet</w:t>
            </w:r>
            <w:r w:rsidRPr="00527126">
              <w:rPr>
                <w:rFonts w:ascii="Times New Roman" w:hAnsi="Times New Roman" w:cs="Times New Roman"/>
                <w:sz w:val="22"/>
                <w:szCs w:val="22"/>
                <w:vertAlign w:val="superscript"/>
                <w:lang w:eastAsia="ru-RU"/>
              </w:rPr>
              <w:t>*</w:t>
            </w:r>
          </w:p>
        </w:tc>
      </w:tr>
      <w:tr w:rsidR="00D41138" w:rsidRPr="00527126" w14:paraId="1431F5DB" w14:textId="77777777" w:rsidTr="00F526B8">
        <w:trPr>
          <w:trHeight w:val="227"/>
          <w:jc w:val="center"/>
        </w:trPr>
        <w:tc>
          <w:tcPr>
            <w:tcW w:w="1130" w:type="pct"/>
            <w:tcBorders>
              <w:top w:val="single" w:sz="4" w:space="0" w:color="000000"/>
              <w:left w:val="single" w:sz="4" w:space="0" w:color="000000"/>
              <w:bottom w:val="single" w:sz="4" w:space="0" w:color="000000"/>
              <w:right w:val="single" w:sz="4" w:space="0" w:color="000000"/>
            </w:tcBorders>
            <w:tcMar>
              <w:top w:w="28" w:type="dxa"/>
              <w:left w:w="0" w:type="dxa"/>
              <w:bottom w:w="28" w:type="dxa"/>
              <w:right w:w="0" w:type="dxa"/>
            </w:tcMar>
            <w:hideMark/>
          </w:tcPr>
          <w:p w14:paraId="622CA7D0" w14:textId="77777777" w:rsidR="00D41138" w:rsidRPr="00527126" w:rsidRDefault="00D41138" w:rsidP="002748AE">
            <w:pPr>
              <w:ind w:left="132" w:right="53"/>
              <w:rPr>
                <w:rFonts w:ascii="Times New Roman" w:hAnsi="Times New Roman" w:cs="Times New Roman"/>
                <w:sz w:val="22"/>
                <w:szCs w:val="22"/>
                <w:lang w:eastAsia="ru-RU"/>
              </w:rPr>
            </w:pPr>
            <w:r w:rsidRPr="00527126">
              <w:rPr>
                <w:rFonts w:ascii="Times New Roman" w:hAnsi="Times New Roman" w:cs="Times New Roman"/>
                <w:sz w:val="22"/>
                <w:szCs w:val="22"/>
                <w:lang w:eastAsia="ru-RU"/>
              </w:rPr>
              <w:t>6 år til &lt; 12 år,</w:t>
            </w:r>
          </w:p>
          <w:p w14:paraId="662EBC50" w14:textId="6D72B281" w:rsidR="00D41138" w:rsidRPr="00527126" w:rsidRDefault="00D41138" w:rsidP="002748AE">
            <w:pPr>
              <w:ind w:left="132" w:right="53"/>
              <w:rPr>
                <w:rFonts w:ascii="Times New Roman" w:hAnsi="Times New Roman" w:cs="Times New Roman"/>
                <w:sz w:val="22"/>
                <w:szCs w:val="22"/>
                <w:lang w:eastAsia="ru-RU"/>
              </w:rPr>
            </w:pPr>
            <w:r w:rsidRPr="00527126">
              <w:rPr>
                <w:rFonts w:ascii="Times New Roman" w:hAnsi="Times New Roman" w:cs="Times New Roman"/>
                <w:sz w:val="22"/>
                <w:szCs w:val="22"/>
                <w:lang w:eastAsia="ru-RU"/>
              </w:rPr>
              <w:t xml:space="preserve">≥ 30 kg </w:t>
            </w:r>
          </w:p>
        </w:tc>
        <w:tc>
          <w:tcPr>
            <w:tcW w:w="2340" w:type="pct"/>
            <w:tcBorders>
              <w:top w:val="single" w:sz="4" w:space="0" w:color="000000"/>
              <w:left w:val="single" w:sz="4" w:space="0" w:color="000000"/>
              <w:bottom w:val="single" w:sz="4" w:space="0" w:color="000000"/>
              <w:right w:val="single" w:sz="4" w:space="0" w:color="000000"/>
            </w:tcBorders>
            <w:tcMar>
              <w:top w:w="28" w:type="dxa"/>
              <w:left w:w="0" w:type="dxa"/>
              <w:bottom w:w="28" w:type="dxa"/>
              <w:right w:w="0" w:type="dxa"/>
            </w:tcMar>
            <w:vAlign w:val="center"/>
            <w:hideMark/>
          </w:tcPr>
          <w:p w14:paraId="29FB3C87" w14:textId="77777777" w:rsidR="00D41138" w:rsidRPr="00527126" w:rsidRDefault="00D41138" w:rsidP="002748AE">
            <w:pPr>
              <w:ind w:left="132" w:right="53"/>
              <w:rPr>
                <w:rFonts w:ascii="Times New Roman" w:hAnsi="Times New Roman" w:cs="Times New Roman"/>
                <w:sz w:val="22"/>
                <w:szCs w:val="22"/>
                <w:lang w:eastAsia="ru-RU"/>
              </w:rPr>
            </w:pPr>
            <w:r w:rsidRPr="00527126">
              <w:rPr>
                <w:rFonts w:ascii="Times New Roman" w:hAnsi="Times New Roman" w:cs="Times New Roman"/>
                <w:sz w:val="22"/>
                <w:szCs w:val="22"/>
                <w:lang w:eastAsia="ru-RU"/>
              </w:rPr>
              <w:t xml:space="preserve">Én tezacaftor 100 mg/ivacaftor 150 mg tablet </w:t>
            </w:r>
          </w:p>
        </w:tc>
        <w:tc>
          <w:tcPr>
            <w:tcW w:w="1530" w:type="pct"/>
            <w:tcBorders>
              <w:top w:val="single" w:sz="4" w:space="0" w:color="000000"/>
              <w:left w:val="single" w:sz="4" w:space="0" w:color="000000"/>
              <w:bottom w:val="single" w:sz="4" w:space="0" w:color="000000"/>
              <w:right w:val="single" w:sz="4" w:space="0" w:color="000000"/>
            </w:tcBorders>
            <w:tcMar>
              <w:top w:w="28" w:type="dxa"/>
              <w:left w:w="0" w:type="dxa"/>
              <w:bottom w:w="28" w:type="dxa"/>
              <w:right w:w="0" w:type="dxa"/>
            </w:tcMar>
            <w:vAlign w:val="center"/>
            <w:hideMark/>
          </w:tcPr>
          <w:p w14:paraId="264DDD5D" w14:textId="77777777" w:rsidR="00D41138" w:rsidRPr="00527126" w:rsidRDefault="00D41138" w:rsidP="002748AE">
            <w:pPr>
              <w:ind w:left="132" w:right="53"/>
              <w:rPr>
                <w:rFonts w:ascii="Times New Roman" w:hAnsi="Times New Roman" w:cs="Times New Roman"/>
                <w:sz w:val="22"/>
                <w:szCs w:val="22"/>
                <w:lang w:eastAsia="ru-RU"/>
              </w:rPr>
            </w:pPr>
            <w:r w:rsidRPr="00527126">
              <w:rPr>
                <w:rFonts w:ascii="Times New Roman" w:hAnsi="Times New Roman" w:cs="Times New Roman"/>
                <w:sz w:val="22"/>
                <w:szCs w:val="22"/>
                <w:lang w:eastAsia="ru-RU"/>
              </w:rPr>
              <w:t xml:space="preserve">Én ivacaftor 150 mg tablet </w:t>
            </w:r>
          </w:p>
        </w:tc>
      </w:tr>
      <w:tr w:rsidR="00D41138" w:rsidRPr="00527126" w14:paraId="7570D5A0" w14:textId="77777777" w:rsidTr="00F526B8">
        <w:trPr>
          <w:trHeight w:val="227"/>
          <w:jc w:val="center"/>
        </w:trPr>
        <w:tc>
          <w:tcPr>
            <w:tcW w:w="1130" w:type="pct"/>
            <w:tcBorders>
              <w:top w:val="single" w:sz="4" w:space="0" w:color="000000"/>
              <w:left w:val="single" w:sz="4" w:space="0" w:color="000000"/>
              <w:bottom w:val="single" w:sz="4" w:space="0" w:color="000000"/>
              <w:right w:val="single" w:sz="4" w:space="0" w:color="000000"/>
            </w:tcBorders>
            <w:tcMar>
              <w:top w:w="28" w:type="dxa"/>
              <w:left w:w="0" w:type="dxa"/>
              <w:bottom w:w="28" w:type="dxa"/>
              <w:right w:w="0" w:type="dxa"/>
            </w:tcMar>
            <w:hideMark/>
          </w:tcPr>
          <w:p w14:paraId="5BB18775" w14:textId="77777777" w:rsidR="00D41138" w:rsidRPr="00527126" w:rsidRDefault="00D41138" w:rsidP="002748AE">
            <w:pPr>
              <w:ind w:left="132" w:right="53"/>
              <w:rPr>
                <w:rFonts w:ascii="Times New Roman" w:hAnsi="Times New Roman" w:cs="Times New Roman"/>
                <w:sz w:val="22"/>
                <w:szCs w:val="22"/>
                <w:lang w:eastAsia="ru-RU"/>
              </w:rPr>
            </w:pPr>
            <w:r w:rsidRPr="00527126">
              <w:rPr>
                <w:rFonts w:ascii="Times New Roman" w:hAnsi="Times New Roman" w:cs="Times New Roman"/>
                <w:sz w:val="22"/>
                <w:szCs w:val="22"/>
                <w:lang w:eastAsia="ru-RU"/>
              </w:rPr>
              <w:t xml:space="preserve">12 år og ældre </w:t>
            </w:r>
          </w:p>
        </w:tc>
        <w:tc>
          <w:tcPr>
            <w:tcW w:w="2340" w:type="pct"/>
            <w:tcBorders>
              <w:top w:val="single" w:sz="4" w:space="0" w:color="000000"/>
              <w:left w:val="single" w:sz="4" w:space="0" w:color="000000"/>
              <w:bottom w:val="single" w:sz="4" w:space="0" w:color="000000"/>
              <w:right w:val="single" w:sz="4" w:space="0" w:color="000000"/>
            </w:tcBorders>
            <w:tcMar>
              <w:top w:w="28" w:type="dxa"/>
              <w:left w:w="0" w:type="dxa"/>
              <w:bottom w:w="28" w:type="dxa"/>
              <w:right w:w="0" w:type="dxa"/>
            </w:tcMar>
            <w:hideMark/>
          </w:tcPr>
          <w:p w14:paraId="44A6767C" w14:textId="77777777" w:rsidR="00D41138" w:rsidRPr="00527126" w:rsidRDefault="00D41138" w:rsidP="002748AE">
            <w:pPr>
              <w:ind w:left="132" w:right="53"/>
              <w:rPr>
                <w:rFonts w:ascii="Times New Roman" w:hAnsi="Times New Roman" w:cs="Times New Roman"/>
                <w:sz w:val="22"/>
                <w:szCs w:val="22"/>
                <w:lang w:eastAsia="ru-RU"/>
              </w:rPr>
            </w:pPr>
            <w:r w:rsidRPr="00527126">
              <w:rPr>
                <w:rFonts w:ascii="Times New Roman" w:hAnsi="Times New Roman" w:cs="Times New Roman"/>
                <w:sz w:val="22"/>
                <w:szCs w:val="22"/>
                <w:lang w:eastAsia="ru-RU"/>
              </w:rPr>
              <w:t xml:space="preserve">Én tezacaftor 100 mg/ivacaftor 150 mg tablet </w:t>
            </w:r>
          </w:p>
        </w:tc>
        <w:tc>
          <w:tcPr>
            <w:tcW w:w="1530" w:type="pct"/>
            <w:tcBorders>
              <w:top w:val="single" w:sz="4" w:space="0" w:color="000000"/>
              <w:left w:val="single" w:sz="4" w:space="0" w:color="000000"/>
              <w:bottom w:val="single" w:sz="4" w:space="0" w:color="000000"/>
              <w:right w:val="single" w:sz="4" w:space="0" w:color="000000"/>
            </w:tcBorders>
            <w:tcMar>
              <w:top w:w="28" w:type="dxa"/>
              <w:left w:w="0" w:type="dxa"/>
              <w:bottom w:w="28" w:type="dxa"/>
              <w:right w:w="0" w:type="dxa"/>
            </w:tcMar>
            <w:hideMark/>
          </w:tcPr>
          <w:p w14:paraId="411C4ADD" w14:textId="77777777" w:rsidR="00D41138" w:rsidRPr="00527126" w:rsidRDefault="00D41138" w:rsidP="002748AE">
            <w:pPr>
              <w:ind w:left="132" w:right="53"/>
              <w:rPr>
                <w:rFonts w:ascii="Times New Roman" w:hAnsi="Times New Roman" w:cs="Times New Roman"/>
                <w:sz w:val="22"/>
                <w:szCs w:val="22"/>
                <w:lang w:eastAsia="ru-RU"/>
              </w:rPr>
            </w:pPr>
            <w:r w:rsidRPr="00527126">
              <w:rPr>
                <w:rFonts w:ascii="Times New Roman" w:hAnsi="Times New Roman" w:cs="Times New Roman"/>
                <w:sz w:val="22"/>
                <w:szCs w:val="22"/>
                <w:lang w:eastAsia="ru-RU"/>
              </w:rPr>
              <w:t xml:space="preserve">Én ivacaftor 150 mg tablet </w:t>
            </w:r>
          </w:p>
        </w:tc>
      </w:tr>
      <w:tr w:rsidR="00D41138" w:rsidRPr="00527126" w14:paraId="4E4D71CD" w14:textId="77777777" w:rsidTr="00F526B8">
        <w:trPr>
          <w:trHeight w:val="227"/>
          <w:jc w:val="center"/>
        </w:trPr>
        <w:tc>
          <w:tcPr>
            <w:tcW w:w="3470" w:type="pct"/>
            <w:gridSpan w:val="2"/>
            <w:tcBorders>
              <w:top w:val="single" w:sz="4" w:space="0" w:color="000000"/>
              <w:left w:val="single" w:sz="4" w:space="0" w:color="000000"/>
              <w:bottom w:val="single" w:sz="4" w:space="0" w:color="000000"/>
              <w:right w:val="nil"/>
            </w:tcBorders>
            <w:tcMar>
              <w:top w:w="28" w:type="dxa"/>
              <w:left w:w="0" w:type="dxa"/>
              <w:bottom w:w="28" w:type="dxa"/>
              <w:right w:w="0" w:type="dxa"/>
            </w:tcMar>
            <w:hideMark/>
          </w:tcPr>
          <w:p w14:paraId="04C0570F" w14:textId="77777777" w:rsidR="00D41138" w:rsidRPr="00527126" w:rsidRDefault="00D41138" w:rsidP="002748AE">
            <w:pPr>
              <w:ind w:left="132" w:right="53"/>
              <w:rPr>
                <w:rFonts w:ascii="Times New Roman" w:hAnsi="Times New Roman" w:cs="Times New Roman"/>
                <w:b/>
                <w:sz w:val="22"/>
                <w:szCs w:val="22"/>
                <w:lang w:eastAsia="ru-RU"/>
              </w:rPr>
            </w:pPr>
            <w:r w:rsidRPr="00527126">
              <w:rPr>
                <w:rFonts w:ascii="Times New Roman" w:hAnsi="Times New Roman" w:cs="Times New Roman"/>
                <w:b/>
                <w:sz w:val="22"/>
                <w:szCs w:val="22"/>
                <w:lang w:eastAsia="ru-RU"/>
              </w:rPr>
              <w:t xml:space="preserve">Ivacaftor i kombination med ivacaftor/tezacaftor/elexacaftor </w:t>
            </w:r>
          </w:p>
        </w:tc>
        <w:tc>
          <w:tcPr>
            <w:tcW w:w="1530" w:type="pct"/>
            <w:tcBorders>
              <w:top w:val="single" w:sz="4" w:space="0" w:color="000000"/>
              <w:left w:val="nil"/>
              <w:bottom w:val="single" w:sz="4" w:space="0" w:color="000000"/>
              <w:right w:val="single" w:sz="4" w:space="0" w:color="000000"/>
            </w:tcBorders>
            <w:tcMar>
              <w:top w:w="28" w:type="dxa"/>
              <w:left w:w="0" w:type="dxa"/>
              <w:bottom w:w="28" w:type="dxa"/>
              <w:right w:w="0" w:type="dxa"/>
            </w:tcMar>
          </w:tcPr>
          <w:p w14:paraId="61D89EB5" w14:textId="77777777" w:rsidR="00D41138" w:rsidRPr="00527126" w:rsidRDefault="00D41138" w:rsidP="002748AE">
            <w:pPr>
              <w:ind w:left="132" w:right="53"/>
              <w:rPr>
                <w:rFonts w:ascii="Times New Roman" w:hAnsi="Times New Roman" w:cs="Times New Roman"/>
                <w:b/>
                <w:sz w:val="22"/>
                <w:szCs w:val="22"/>
                <w:lang w:eastAsia="ru-RU"/>
              </w:rPr>
            </w:pPr>
          </w:p>
        </w:tc>
      </w:tr>
      <w:tr w:rsidR="00D41138" w:rsidRPr="00527126" w14:paraId="779296FC" w14:textId="77777777" w:rsidTr="00F526B8">
        <w:trPr>
          <w:trHeight w:val="227"/>
          <w:jc w:val="center"/>
        </w:trPr>
        <w:tc>
          <w:tcPr>
            <w:tcW w:w="1130" w:type="pct"/>
            <w:tcBorders>
              <w:top w:val="single" w:sz="4" w:space="0" w:color="000000"/>
              <w:left w:val="single" w:sz="4" w:space="0" w:color="000000"/>
              <w:bottom w:val="single" w:sz="4" w:space="0" w:color="000000"/>
              <w:right w:val="single" w:sz="4" w:space="0" w:color="000000"/>
            </w:tcBorders>
            <w:tcMar>
              <w:top w:w="28" w:type="dxa"/>
              <w:left w:w="0" w:type="dxa"/>
              <w:bottom w:w="28" w:type="dxa"/>
              <w:right w:w="0" w:type="dxa"/>
            </w:tcMar>
            <w:hideMark/>
          </w:tcPr>
          <w:p w14:paraId="0C139C78" w14:textId="77777777" w:rsidR="00D41138" w:rsidRPr="00527126" w:rsidRDefault="00D41138" w:rsidP="002748AE">
            <w:pPr>
              <w:ind w:left="132" w:right="53"/>
              <w:rPr>
                <w:rFonts w:ascii="Times New Roman" w:hAnsi="Times New Roman" w:cs="Times New Roman"/>
                <w:sz w:val="22"/>
                <w:szCs w:val="22"/>
                <w:lang w:eastAsia="ru-RU"/>
              </w:rPr>
            </w:pPr>
            <w:r w:rsidRPr="00527126">
              <w:rPr>
                <w:rFonts w:ascii="Times New Roman" w:hAnsi="Times New Roman" w:cs="Times New Roman"/>
                <w:sz w:val="22"/>
                <w:szCs w:val="22"/>
                <w:lang w:eastAsia="ru-RU"/>
              </w:rPr>
              <w:t xml:space="preserve">6 år til &lt; 12 år, </w:t>
            </w:r>
          </w:p>
          <w:p w14:paraId="676656A6" w14:textId="77777777" w:rsidR="00D41138" w:rsidRPr="00527126" w:rsidRDefault="00D41138" w:rsidP="002748AE">
            <w:pPr>
              <w:ind w:left="132" w:right="53"/>
              <w:rPr>
                <w:rFonts w:ascii="Times New Roman" w:hAnsi="Times New Roman" w:cs="Times New Roman"/>
                <w:sz w:val="22"/>
                <w:szCs w:val="22"/>
                <w:lang w:eastAsia="ru-RU"/>
              </w:rPr>
            </w:pPr>
            <w:r w:rsidRPr="00527126">
              <w:rPr>
                <w:rFonts w:ascii="Times New Roman" w:hAnsi="Times New Roman" w:cs="Times New Roman"/>
                <w:sz w:val="22"/>
                <w:szCs w:val="22"/>
                <w:lang w:eastAsia="ru-RU"/>
              </w:rPr>
              <w:t xml:space="preserve">&lt; 30 kg </w:t>
            </w:r>
          </w:p>
        </w:tc>
        <w:tc>
          <w:tcPr>
            <w:tcW w:w="2340" w:type="pct"/>
            <w:tcBorders>
              <w:top w:val="single" w:sz="4" w:space="0" w:color="000000"/>
              <w:left w:val="single" w:sz="4" w:space="0" w:color="000000"/>
              <w:bottom w:val="single" w:sz="4" w:space="0" w:color="000000"/>
              <w:right w:val="single" w:sz="4" w:space="0" w:color="000000"/>
            </w:tcBorders>
            <w:tcMar>
              <w:top w:w="28" w:type="dxa"/>
              <w:left w:w="0" w:type="dxa"/>
              <w:bottom w:w="28" w:type="dxa"/>
              <w:right w:w="0" w:type="dxa"/>
            </w:tcMar>
            <w:hideMark/>
          </w:tcPr>
          <w:p w14:paraId="5C16FAD7" w14:textId="28A743EE" w:rsidR="00D41138" w:rsidRPr="00527126" w:rsidRDefault="00D41138" w:rsidP="002748AE">
            <w:pPr>
              <w:ind w:left="132" w:right="53"/>
              <w:rPr>
                <w:rFonts w:ascii="Times New Roman" w:hAnsi="Times New Roman" w:cs="Times New Roman"/>
                <w:sz w:val="22"/>
                <w:szCs w:val="22"/>
                <w:lang w:eastAsia="ru-RU"/>
              </w:rPr>
            </w:pPr>
            <w:r w:rsidRPr="00527126">
              <w:rPr>
                <w:rFonts w:ascii="Times New Roman" w:hAnsi="Times New Roman" w:cs="Times New Roman"/>
                <w:sz w:val="22"/>
                <w:szCs w:val="22"/>
                <w:lang w:eastAsia="ru-RU"/>
              </w:rPr>
              <w:t>To ivacaftor 37,5 mg/tezacaftor 25</w:t>
            </w:r>
            <w:r w:rsidR="00BA4C12">
              <w:rPr>
                <w:rFonts w:ascii="Times New Roman" w:hAnsi="Times New Roman" w:cs="Times New Roman"/>
                <w:sz w:val="22"/>
                <w:szCs w:val="22"/>
                <w:lang w:val="da-DK" w:eastAsia="ru-RU"/>
              </w:rPr>
              <w:t> </w:t>
            </w:r>
            <w:r w:rsidRPr="00527126">
              <w:rPr>
                <w:rFonts w:ascii="Times New Roman" w:hAnsi="Times New Roman" w:cs="Times New Roman"/>
                <w:sz w:val="22"/>
                <w:szCs w:val="22"/>
                <w:lang w:eastAsia="ru-RU"/>
              </w:rPr>
              <w:t xml:space="preserve">mg/elexacaftor 50 mg tabletter </w:t>
            </w:r>
          </w:p>
        </w:tc>
        <w:tc>
          <w:tcPr>
            <w:tcW w:w="1530" w:type="pct"/>
            <w:tcBorders>
              <w:top w:val="single" w:sz="4" w:space="0" w:color="000000"/>
              <w:left w:val="single" w:sz="4" w:space="0" w:color="000000"/>
              <w:bottom w:val="single" w:sz="4" w:space="0" w:color="000000"/>
              <w:right w:val="single" w:sz="4" w:space="0" w:color="000000"/>
            </w:tcBorders>
            <w:tcMar>
              <w:top w:w="28" w:type="dxa"/>
              <w:left w:w="0" w:type="dxa"/>
              <w:bottom w:w="28" w:type="dxa"/>
              <w:right w:w="0" w:type="dxa"/>
            </w:tcMar>
            <w:vAlign w:val="center"/>
            <w:hideMark/>
          </w:tcPr>
          <w:p w14:paraId="78A1F074" w14:textId="77777777" w:rsidR="00D41138" w:rsidRPr="00527126" w:rsidRDefault="00D41138" w:rsidP="002748AE">
            <w:pPr>
              <w:ind w:left="132" w:right="53"/>
              <w:rPr>
                <w:rFonts w:ascii="Times New Roman" w:hAnsi="Times New Roman" w:cs="Times New Roman"/>
                <w:sz w:val="22"/>
                <w:szCs w:val="22"/>
                <w:lang w:eastAsia="ru-RU"/>
              </w:rPr>
            </w:pPr>
            <w:r w:rsidRPr="00527126">
              <w:rPr>
                <w:rFonts w:ascii="Times New Roman" w:hAnsi="Times New Roman" w:cs="Times New Roman"/>
                <w:sz w:val="22"/>
                <w:szCs w:val="22"/>
                <w:lang w:eastAsia="ru-RU"/>
              </w:rPr>
              <w:t>Én ivacaftor 75 mg tablet</w:t>
            </w:r>
            <w:r w:rsidRPr="00527126">
              <w:rPr>
                <w:rFonts w:ascii="Times New Roman" w:hAnsi="Times New Roman" w:cs="Times New Roman"/>
                <w:sz w:val="22"/>
                <w:szCs w:val="22"/>
                <w:vertAlign w:val="superscript"/>
                <w:lang w:eastAsia="ru-RU"/>
              </w:rPr>
              <w:t>*</w:t>
            </w:r>
            <w:r w:rsidRPr="00527126">
              <w:rPr>
                <w:rFonts w:ascii="Times New Roman" w:hAnsi="Times New Roman" w:cs="Times New Roman"/>
                <w:sz w:val="22"/>
                <w:szCs w:val="22"/>
                <w:lang w:eastAsia="ru-RU"/>
              </w:rPr>
              <w:t xml:space="preserve"> </w:t>
            </w:r>
          </w:p>
        </w:tc>
      </w:tr>
      <w:tr w:rsidR="00D41138" w:rsidRPr="00527126" w14:paraId="16076C3F" w14:textId="77777777" w:rsidTr="00F526B8">
        <w:trPr>
          <w:trHeight w:val="227"/>
          <w:jc w:val="center"/>
        </w:trPr>
        <w:tc>
          <w:tcPr>
            <w:tcW w:w="1130" w:type="pct"/>
            <w:tcBorders>
              <w:top w:val="single" w:sz="4" w:space="0" w:color="000000"/>
              <w:left w:val="single" w:sz="4" w:space="0" w:color="000000"/>
              <w:bottom w:val="single" w:sz="4" w:space="0" w:color="000000"/>
              <w:right w:val="single" w:sz="4" w:space="0" w:color="000000"/>
            </w:tcBorders>
            <w:tcMar>
              <w:top w:w="28" w:type="dxa"/>
              <w:left w:w="0" w:type="dxa"/>
              <w:bottom w:w="28" w:type="dxa"/>
              <w:right w:w="0" w:type="dxa"/>
            </w:tcMar>
            <w:hideMark/>
          </w:tcPr>
          <w:p w14:paraId="4DB743B2" w14:textId="77777777" w:rsidR="00D41138" w:rsidRPr="00527126" w:rsidRDefault="00D41138" w:rsidP="002748AE">
            <w:pPr>
              <w:ind w:left="132" w:right="53"/>
              <w:rPr>
                <w:rFonts w:ascii="Times New Roman" w:hAnsi="Times New Roman" w:cs="Times New Roman"/>
                <w:sz w:val="22"/>
                <w:szCs w:val="22"/>
                <w:lang w:eastAsia="ru-RU"/>
              </w:rPr>
            </w:pPr>
            <w:r w:rsidRPr="00527126">
              <w:rPr>
                <w:rFonts w:ascii="Times New Roman" w:hAnsi="Times New Roman" w:cs="Times New Roman"/>
                <w:sz w:val="22"/>
                <w:szCs w:val="22"/>
                <w:lang w:eastAsia="ru-RU"/>
              </w:rPr>
              <w:t xml:space="preserve">6 år til &lt; 12 år, </w:t>
            </w:r>
          </w:p>
          <w:p w14:paraId="0AACF123" w14:textId="77777777" w:rsidR="00D41138" w:rsidRPr="00527126" w:rsidRDefault="00D41138" w:rsidP="002748AE">
            <w:pPr>
              <w:ind w:left="132" w:right="53"/>
              <w:rPr>
                <w:rFonts w:ascii="Times New Roman" w:hAnsi="Times New Roman" w:cs="Times New Roman"/>
                <w:sz w:val="22"/>
                <w:szCs w:val="22"/>
                <w:lang w:eastAsia="ru-RU"/>
              </w:rPr>
            </w:pPr>
            <w:r w:rsidRPr="00527126">
              <w:rPr>
                <w:rFonts w:ascii="Times New Roman" w:hAnsi="Times New Roman" w:cs="Times New Roman"/>
                <w:sz w:val="22"/>
                <w:szCs w:val="22"/>
                <w:lang w:eastAsia="ru-RU"/>
              </w:rPr>
              <w:t xml:space="preserve">≥ 30 kg </w:t>
            </w:r>
          </w:p>
        </w:tc>
        <w:tc>
          <w:tcPr>
            <w:tcW w:w="2340" w:type="pct"/>
            <w:tcBorders>
              <w:top w:val="single" w:sz="4" w:space="0" w:color="000000"/>
              <w:left w:val="single" w:sz="4" w:space="0" w:color="000000"/>
              <w:bottom w:val="single" w:sz="4" w:space="0" w:color="000000"/>
              <w:right w:val="single" w:sz="4" w:space="0" w:color="000000"/>
            </w:tcBorders>
            <w:tcMar>
              <w:top w:w="28" w:type="dxa"/>
              <w:left w:w="0" w:type="dxa"/>
              <w:bottom w:w="28" w:type="dxa"/>
              <w:right w:w="0" w:type="dxa"/>
            </w:tcMar>
            <w:hideMark/>
          </w:tcPr>
          <w:p w14:paraId="27AB8DA7" w14:textId="1C49B702" w:rsidR="00D41138" w:rsidRPr="00527126" w:rsidRDefault="00D41138" w:rsidP="002748AE">
            <w:pPr>
              <w:ind w:left="132" w:right="53"/>
              <w:rPr>
                <w:rFonts w:ascii="Times New Roman" w:hAnsi="Times New Roman" w:cs="Times New Roman"/>
                <w:sz w:val="22"/>
                <w:szCs w:val="22"/>
                <w:lang w:eastAsia="ru-RU"/>
              </w:rPr>
            </w:pPr>
            <w:r w:rsidRPr="00527126">
              <w:rPr>
                <w:rFonts w:ascii="Times New Roman" w:hAnsi="Times New Roman" w:cs="Times New Roman"/>
                <w:sz w:val="22"/>
                <w:szCs w:val="22"/>
                <w:lang w:eastAsia="ru-RU"/>
              </w:rPr>
              <w:t xml:space="preserve">To ivacaftor 75 mg/tezacaftor 50 mg/elexacaftor 100 mg tabletter </w:t>
            </w:r>
          </w:p>
        </w:tc>
        <w:tc>
          <w:tcPr>
            <w:tcW w:w="1530" w:type="pct"/>
            <w:tcBorders>
              <w:top w:val="single" w:sz="4" w:space="0" w:color="000000"/>
              <w:left w:val="single" w:sz="4" w:space="0" w:color="000000"/>
              <w:bottom w:val="single" w:sz="4" w:space="0" w:color="000000"/>
              <w:right w:val="single" w:sz="4" w:space="0" w:color="000000"/>
            </w:tcBorders>
            <w:tcMar>
              <w:top w:w="28" w:type="dxa"/>
              <w:left w:w="0" w:type="dxa"/>
              <w:bottom w:w="28" w:type="dxa"/>
              <w:right w:w="0" w:type="dxa"/>
            </w:tcMar>
            <w:vAlign w:val="center"/>
            <w:hideMark/>
          </w:tcPr>
          <w:p w14:paraId="7B661382" w14:textId="77777777" w:rsidR="00D41138" w:rsidRPr="00527126" w:rsidRDefault="00D41138" w:rsidP="002748AE">
            <w:pPr>
              <w:ind w:left="132" w:right="53"/>
              <w:rPr>
                <w:rFonts w:ascii="Times New Roman" w:hAnsi="Times New Roman" w:cs="Times New Roman"/>
                <w:sz w:val="22"/>
                <w:szCs w:val="22"/>
                <w:lang w:eastAsia="ru-RU"/>
              </w:rPr>
            </w:pPr>
            <w:r w:rsidRPr="00527126">
              <w:rPr>
                <w:rFonts w:ascii="Times New Roman" w:hAnsi="Times New Roman" w:cs="Times New Roman"/>
                <w:sz w:val="22"/>
                <w:szCs w:val="22"/>
                <w:lang w:eastAsia="ru-RU"/>
              </w:rPr>
              <w:t xml:space="preserve">Én ivacaftor 150 mg tablet </w:t>
            </w:r>
          </w:p>
        </w:tc>
      </w:tr>
      <w:tr w:rsidR="00D41138" w:rsidRPr="00527126" w14:paraId="549CC23F" w14:textId="77777777" w:rsidTr="00F526B8">
        <w:trPr>
          <w:trHeight w:val="227"/>
          <w:jc w:val="center"/>
        </w:trPr>
        <w:tc>
          <w:tcPr>
            <w:tcW w:w="1130" w:type="pct"/>
            <w:tcBorders>
              <w:top w:val="single" w:sz="4" w:space="0" w:color="000000"/>
              <w:left w:val="single" w:sz="4" w:space="0" w:color="000000"/>
              <w:bottom w:val="single" w:sz="4" w:space="0" w:color="000000"/>
              <w:right w:val="single" w:sz="4" w:space="0" w:color="000000"/>
            </w:tcBorders>
            <w:tcMar>
              <w:top w:w="28" w:type="dxa"/>
              <w:left w:w="0" w:type="dxa"/>
              <w:bottom w:w="28" w:type="dxa"/>
              <w:right w:w="0" w:type="dxa"/>
            </w:tcMar>
            <w:vAlign w:val="center"/>
            <w:hideMark/>
          </w:tcPr>
          <w:p w14:paraId="35D076D8" w14:textId="77777777" w:rsidR="00D41138" w:rsidRPr="00527126" w:rsidRDefault="00D41138" w:rsidP="002748AE">
            <w:pPr>
              <w:ind w:left="132" w:right="53"/>
              <w:rPr>
                <w:rFonts w:ascii="Times New Roman" w:hAnsi="Times New Roman" w:cs="Times New Roman"/>
                <w:sz w:val="22"/>
                <w:szCs w:val="22"/>
                <w:lang w:eastAsia="ru-RU"/>
              </w:rPr>
            </w:pPr>
            <w:r w:rsidRPr="00527126">
              <w:rPr>
                <w:rFonts w:ascii="Times New Roman" w:hAnsi="Times New Roman" w:cs="Times New Roman"/>
                <w:sz w:val="22"/>
                <w:szCs w:val="22"/>
                <w:lang w:eastAsia="ru-RU"/>
              </w:rPr>
              <w:t xml:space="preserve">12 år og ældre </w:t>
            </w:r>
          </w:p>
        </w:tc>
        <w:tc>
          <w:tcPr>
            <w:tcW w:w="2340" w:type="pct"/>
            <w:tcBorders>
              <w:top w:val="single" w:sz="4" w:space="0" w:color="000000"/>
              <w:left w:val="single" w:sz="4" w:space="0" w:color="000000"/>
              <w:bottom w:val="single" w:sz="4" w:space="0" w:color="000000"/>
              <w:right w:val="single" w:sz="4" w:space="0" w:color="000000"/>
            </w:tcBorders>
            <w:tcMar>
              <w:top w:w="28" w:type="dxa"/>
              <w:left w:w="0" w:type="dxa"/>
              <w:bottom w:w="28" w:type="dxa"/>
              <w:right w:w="0" w:type="dxa"/>
            </w:tcMar>
            <w:hideMark/>
          </w:tcPr>
          <w:p w14:paraId="196BFAA9" w14:textId="33E5CA24" w:rsidR="00D41138" w:rsidRPr="00527126" w:rsidRDefault="00D41138" w:rsidP="002748AE">
            <w:pPr>
              <w:ind w:left="132" w:right="53"/>
              <w:rPr>
                <w:rFonts w:ascii="Times New Roman" w:hAnsi="Times New Roman" w:cs="Times New Roman"/>
                <w:sz w:val="22"/>
                <w:szCs w:val="22"/>
                <w:lang w:eastAsia="ru-RU"/>
              </w:rPr>
            </w:pPr>
            <w:r w:rsidRPr="00527126">
              <w:rPr>
                <w:rFonts w:ascii="Times New Roman" w:hAnsi="Times New Roman" w:cs="Times New Roman"/>
                <w:sz w:val="22"/>
                <w:szCs w:val="22"/>
                <w:lang w:eastAsia="ru-RU"/>
              </w:rPr>
              <w:t xml:space="preserve">To ivacaftor 75 mg/tezacaftor 50 mg/elexacaftor 100 mg tabletter </w:t>
            </w:r>
          </w:p>
        </w:tc>
        <w:tc>
          <w:tcPr>
            <w:tcW w:w="1530" w:type="pct"/>
            <w:tcBorders>
              <w:top w:val="single" w:sz="4" w:space="0" w:color="000000"/>
              <w:left w:val="single" w:sz="4" w:space="0" w:color="000000"/>
              <w:bottom w:val="single" w:sz="4" w:space="0" w:color="000000"/>
              <w:right w:val="single" w:sz="4" w:space="0" w:color="000000"/>
            </w:tcBorders>
            <w:tcMar>
              <w:top w:w="28" w:type="dxa"/>
              <w:left w:w="0" w:type="dxa"/>
              <w:bottom w:w="28" w:type="dxa"/>
              <w:right w:w="0" w:type="dxa"/>
            </w:tcMar>
            <w:vAlign w:val="center"/>
            <w:hideMark/>
          </w:tcPr>
          <w:p w14:paraId="5E7BF617" w14:textId="77777777" w:rsidR="00D41138" w:rsidRPr="00527126" w:rsidRDefault="00D41138" w:rsidP="002748AE">
            <w:pPr>
              <w:ind w:left="132" w:right="53"/>
              <w:rPr>
                <w:rFonts w:ascii="Times New Roman" w:hAnsi="Times New Roman" w:cs="Times New Roman"/>
                <w:sz w:val="22"/>
                <w:szCs w:val="22"/>
                <w:lang w:eastAsia="ru-RU"/>
              </w:rPr>
            </w:pPr>
            <w:r w:rsidRPr="00527126">
              <w:rPr>
                <w:rFonts w:ascii="Times New Roman" w:hAnsi="Times New Roman" w:cs="Times New Roman"/>
                <w:sz w:val="22"/>
                <w:szCs w:val="22"/>
                <w:lang w:eastAsia="ru-RU"/>
              </w:rPr>
              <w:t xml:space="preserve">Én ivacaftor 150 mg tablet </w:t>
            </w:r>
          </w:p>
        </w:tc>
      </w:tr>
    </w:tbl>
    <w:p w14:paraId="1CD4C853" w14:textId="710BCFE4" w:rsidR="00D41138" w:rsidRPr="002748AE" w:rsidRDefault="00D41138" w:rsidP="002748AE">
      <w:pPr>
        <w:ind w:left="284" w:hanging="284"/>
        <w:rPr>
          <w:sz w:val="20"/>
          <w:lang w:eastAsia="da-DK"/>
        </w:rPr>
      </w:pPr>
      <w:r w:rsidRPr="002748AE">
        <w:rPr>
          <w:sz w:val="20"/>
          <w:vertAlign w:val="superscript"/>
        </w:rPr>
        <w:t>*</w:t>
      </w:r>
      <w:r w:rsidR="002748AE" w:rsidRPr="002748AE">
        <w:rPr>
          <w:sz w:val="20"/>
          <w:vertAlign w:val="superscript"/>
        </w:rPr>
        <w:tab/>
      </w:r>
      <w:r w:rsidRPr="002748AE">
        <w:rPr>
          <w:sz w:val="20"/>
        </w:rPr>
        <w:t xml:space="preserve">Ivacaftor </w:t>
      </w:r>
      <w:r w:rsidR="00527126">
        <w:rPr>
          <w:sz w:val="20"/>
        </w:rPr>
        <w:t>"</w:t>
      </w:r>
      <w:r w:rsidRPr="002748AE">
        <w:rPr>
          <w:sz w:val="20"/>
        </w:rPr>
        <w:t>Zentiva</w:t>
      </w:r>
      <w:r w:rsidR="00527126">
        <w:rPr>
          <w:sz w:val="20"/>
        </w:rPr>
        <w:t>"</w:t>
      </w:r>
      <w:r w:rsidRPr="002748AE">
        <w:rPr>
          <w:sz w:val="20"/>
        </w:rPr>
        <w:t xml:space="preserve"> fås kun som 150 mg tabletter. Det er derfor ikke muligt at administrere Ivacaftor </w:t>
      </w:r>
      <w:r w:rsidR="00527126">
        <w:rPr>
          <w:sz w:val="20"/>
        </w:rPr>
        <w:t>"</w:t>
      </w:r>
      <w:r w:rsidRPr="002748AE">
        <w:rPr>
          <w:sz w:val="20"/>
        </w:rPr>
        <w:t>Zentiva</w:t>
      </w:r>
      <w:r w:rsidR="00527126">
        <w:rPr>
          <w:sz w:val="20"/>
        </w:rPr>
        <w:t>"</w:t>
      </w:r>
      <w:r w:rsidRPr="002748AE">
        <w:rPr>
          <w:sz w:val="20"/>
        </w:rPr>
        <w:t xml:space="preserve"> til pædiatriske patienter, der har behov for mindre end en fuld dosis på 150 mg. I disse tilfælde bør andre ivacaftor-produkter, der tilbyder en sådan mulighed, anvendes.</w:t>
      </w:r>
    </w:p>
    <w:p w14:paraId="2A15DF09" w14:textId="77777777" w:rsidR="00D41138" w:rsidRPr="002748AE" w:rsidRDefault="00D41138" w:rsidP="00F526B8">
      <w:pPr>
        <w:ind w:left="851"/>
        <w:rPr>
          <w:sz w:val="24"/>
          <w:szCs w:val="24"/>
        </w:rPr>
      </w:pPr>
    </w:p>
    <w:p w14:paraId="241A2FAB" w14:textId="77777777" w:rsidR="00D41138" w:rsidRPr="002748AE" w:rsidRDefault="00D41138" w:rsidP="00F526B8">
      <w:pPr>
        <w:ind w:left="851"/>
        <w:rPr>
          <w:sz w:val="24"/>
          <w:szCs w:val="24"/>
        </w:rPr>
      </w:pPr>
      <w:r w:rsidRPr="002748AE">
        <w:rPr>
          <w:sz w:val="24"/>
          <w:szCs w:val="24"/>
        </w:rPr>
        <w:t xml:space="preserve">Morgen- og aftendosen skal tages med et interval på ca. 12 timer med et fedtholdigt måltid (se Administration). </w:t>
      </w:r>
    </w:p>
    <w:p w14:paraId="1BA36CF8" w14:textId="77777777" w:rsidR="00D41138" w:rsidRPr="002748AE" w:rsidRDefault="00D41138" w:rsidP="00F526B8">
      <w:pPr>
        <w:ind w:left="851"/>
        <w:rPr>
          <w:sz w:val="24"/>
          <w:szCs w:val="24"/>
        </w:rPr>
      </w:pPr>
      <w:r w:rsidRPr="002748AE">
        <w:rPr>
          <w:sz w:val="24"/>
          <w:szCs w:val="24"/>
        </w:rPr>
        <w:t xml:space="preserve"> </w:t>
      </w:r>
    </w:p>
    <w:p w14:paraId="67982242" w14:textId="77777777" w:rsidR="00D41138" w:rsidRPr="002748AE" w:rsidRDefault="00D41138" w:rsidP="00F526B8">
      <w:pPr>
        <w:ind w:left="851"/>
        <w:rPr>
          <w:sz w:val="24"/>
          <w:szCs w:val="24"/>
        </w:rPr>
      </w:pPr>
      <w:r w:rsidRPr="002748AE">
        <w:rPr>
          <w:i/>
          <w:sz w:val="24"/>
          <w:szCs w:val="24"/>
        </w:rPr>
        <w:t>Glemt dosis</w:t>
      </w:r>
    </w:p>
    <w:p w14:paraId="526738B5" w14:textId="77777777" w:rsidR="00D41138" w:rsidRPr="002748AE" w:rsidRDefault="00D41138" w:rsidP="00F526B8">
      <w:pPr>
        <w:ind w:left="851"/>
        <w:rPr>
          <w:sz w:val="24"/>
          <w:szCs w:val="24"/>
        </w:rPr>
      </w:pPr>
      <w:r w:rsidRPr="002748AE">
        <w:rPr>
          <w:sz w:val="24"/>
          <w:szCs w:val="24"/>
        </w:rPr>
        <w:t xml:space="preserve">Hvis der er gået 6 timer eller mindre siden den glemte morgen- eller aftendosis, skal patienten have besked om at tage dosen så snart som muligt og derefter tage den næste </w:t>
      </w:r>
      <w:r w:rsidRPr="002748AE">
        <w:rPr>
          <w:sz w:val="24"/>
          <w:szCs w:val="24"/>
        </w:rPr>
        <w:lastRenderedPageBreak/>
        <w:t xml:space="preserve">dosis på det normale planlagte tidspunkt. Hvis der er gået over 6 timer fra det tidspunkt, dosen normalt tages på, skal patienten have besked om at vente til den næste planlagte dosis. </w:t>
      </w:r>
    </w:p>
    <w:p w14:paraId="5CF765D2" w14:textId="77777777" w:rsidR="00D41138" w:rsidRPr="002748AE" w:rsidRDefault="00D41138" w:rsidP="00F526B8">
      <w:pPr>
        <w:ind w:left="851"/>
        <w:rPr>
          <w:sz w:val="24"/>
          <w:szCs w:val="24"/>
        </w:rPr>
      </w:pPr>
      <w:r w:rsidRPr="002748AE">
        <w:rPr>
          <w:i/>
          <w:sz w:val="24"/>
          <w:szCs w:val="24"/>
        </w:rPr>
        <w:t xml:space="preserve"> </w:t>
      </w:r>
    </w:p>
    <w:p w14:paraId="1A0A22FA" w14:textId="64160865" w:rsidR="00D41138" w:rsidRDefault="00D41138" w:rsidP="00F526B8">
      <w:pPr>
        <w:ind w:left="851"/>
        <w:rPr>
          <w:sz w:val="24"/>
          <w:szCs w:val="24"/>
        </w:rPr>
      </w:pPr>
      <w:r w:rsidRPr="002748AE">
        <w:rPr>
          <w:sz w:val="24"/>
          <w:szCs w:val="24"/>
        </w:rPr>
        <w:t xml:space="preserve">Patienter, der får Ivacaftor </w:t>
      </w:r>
      <w:r w:rsidR="00527126">
        <w:rPr>
          <w:sz w:val="24"/>
          <w:szCs w:val="24"/>
        </w:rPr>
        <w:t>"</w:t>
      </w:r>
      <w:r w:rsidRPr="002748AE">
        <w:rPr>
          <w:sz w:val="24"/>
          <w:szCs w:val="24"/>
        </w:rPr>
        <w:t>Zentiva</w:t>
      </w:r>
      <w:r w:rsidR="00527126">
        <w:rPr>
          <w:sz w:val="24"/>
          <w:szCs w:val="24"/>
        </w:rPr>
        <w:t>"</w:t>
      </w:r>
      <w:r w:rsidRPr="002748AE">
        <w:rPr>
          <w:sz w:val="24"/>
          <w:szCs w:val="24"/>
        </w:rPr>
        <w:t xml:space="preserve"> i et kombinationsregime, skal have besked om ikke at tage mere end én dosis af hvert lægemiddel på samme tid. </w:t>
      </w:r>
    </w:p>
    <w:p w14:paraId="4AC8E694" w14:textId="77777777" w:rsidR="002748AE" w:rsidRPr="002748AE" w:rsidRDefault="002748AE" w:rsidP="00F526B8">
      <w:pPr>
        <w:ind w:left="851"/>
        <w:rPr>
          <w:sz w:val="24"/>
          <w:szCs w:val="24"/>
        </w:rPr>
      </w:pPr>
    </w:p>
    <w:p w14:paraId="11EC83B3" w14:textId="77777777" w:rsidR="00D41138" w:rsidRPr="002748AE" w:rsidRDefault="00D41138" w:rsidP="00F526B8">
      <w:pPr>
        <w:ind w:left="851"/>
        <w:rPr>
          <w:sz w:val="24"/>
          <w:szCs w:val="24"/>
        </w:rPr>
      </w:pPr>
      <w:r w:rsidRPr="002748AE">
        <w:rPr>
          <w:i/>
          <w:sz w:val="24"/>
          <w:szCs w:val="24"/>
        </w:rPr>
        <w:t>Anvendelse sammen med CYP3A-hæmmere</w:t>
      </w:r>
    </w:p>
    <w:p w14:paraId="39852A51" w14:textId="77777777" w:rsidR="00D41138" w:rsidRPr="002748AE" w:rsidRDefault="00D41138" w:rsidP="00F526B8">
      <w:pPr>
        <w:ind w:left="851"/>
        <w:rPr>
          <w:sz w:val="24"/>
          <w:szCs w:val="24"/>
        </w:rPr>
      </w:pPr>
      <w:r w:rsidRPr="002748AE">
        <w:rPr>
          <w:sz w:val="24"/>
          <w:szCs w:val="24"/>
        </w:rPr>
        <w:t>Ved administration sammen med moderate eller potente CYP3A-hæmmere bør ivacaftor-dosen justeres som beskrevet i tabel 2. Doseringsintervaller bør modificeres i overensstemmelse med klinisk respons og tolerabilitet (se pkt. 4.4 og 4.5).</w:t>
      </w:r>
    </w:p>
    <w:p w14:paraId="44B5396C" w14:textId="77777777" w:rsidR="00D41138" w:rsidRPr="002748AE" w:rsidRDefault="00D41138" w:rsidP="00F526B8">
      <w:pPr>
        <w:ind w:left="851"/>
        <w:rPr>
          <w:sz w:val="24"/>
          <w:szCs w:val="24"/>
        </w:rPr>
      </w:pPr>
    </w:p>
    <w:p w14:paraId="7768AF76" w14:textId="77777777" w:rsidR="00D41138" w:rsidRPr="002748AE" w:rsidRDefault="00D41138" w:rsidP="00F526B8">
      <w:pPr>
        <w:ind w:left="851"/>
        <w:rPr>
          <w:b/>
          <w:bCs/>
          <w:sz w:val="24"/>
          <w:szCs w:val="24"/>
        </w:rPr>
      </w:pPr>
      <w:r w:rsidRPr="002748AE">
        <w:rPr>
          <w:b/>
          <w:bCs/>
          <w:sz w:val="24"/>
          <w:szCs w:val="24"/>
        </w:rPr>
        <w:t>Tabel 2: Doseringsanbefalinger ved anvendelse sammen med moderate eller potente CYP3A-hæmmere</w:t>
      </w:r>
    </w:p>
    <w:p w14:paraId="062029CC" w14:textId="77777777" w:rsidR="00D41138" w:rsidRPr="002748AE" w:rsidRDefault="00D41138" w:rsidP="00D41138">
      <w:pPr>
        <w:pStyle w:val="Brdtekst"/>
        <w:widowControl/>
        <w:suppressAutoHyphens/>
        <w:kinsoku w:val="0"/>
        <w:overflowPunct w:val="0"/>
        <w:ind w:left="0"/>
        <w:rPr>
          <w:b/>
          <w:bCs/>
          <w:color w:val="000000" w:themeColor="text1"/>
        </w:rPr>
      </w:pPr>
    </w:p>
    <w:tbl>
      <w:tblPr>
        <w:tblStyle w:val="TableGrid"/>
        <w:tblW w:w="5000" w:type="pct"/>
        <w:jc w:val="center"/>
        <w:tblInd w:w="0" w:type="dxa"/>
        <w:tblCellMar>
          <w:top w:w="58" w:type="dxa"/>
          <w:left w:w="107" w:type="dxa"/>
          <w:right w:w="21" w:type="dxa"/>
        </w:tblCellMar>
        <w:tblLook w:val="04A0" w:firstRow="1" w:lastRow="0" w:firstColumn="1" w:lastColumn="0" w:noHBand="0" w:noVBand="1"/>
      </w:tblPr>
      <w:tblGrid>
        <w:gridCol w:w="1770"/>
        <w:gridCol w:w="4109"/>
        <w:gridCol w:w="3749"/>
      </w:tblGrid>
      <w:tr w:rsidR="00D41138" w:rsidRPr="00315477" w14:paraId="363B3A0B" w14:textId="77777777" w:rsidTr="002748AE">
        <w:trPr>
          <w:trHeight w:val="227"/>
          <w:jc w:val="center"/>
        </w:trPr>
        <w:tc>
          <w:tcPr>
            <w:tcW w:w="919" w:type="pct"/>
            <w:tcBorders>
              <w:top w:val="single" w:sz="4" w:space="0" w:color="000000"/>
              <w:left w:val="single" w:sz="4" w:space="0" w:color="000000"/>
              <w:bottom w:val="single" w:sz="4" w:space="0" w:color="000000"/>
              <w:right w:val="single" w:sz="4" w:space="0" w:color="000000"/>
            </w:tcBorders>
            <w:tcMar>
              <w:top w:w="28" w:type="dxa"/>
              <w:left w:w="0" w:type="dxa"/>
              <w:bottom w:w="28" w:type="dxa"/>
              <w:right w:w="0" w:type="dxa"/>
            </w:tcMar>
            <w:vAlign w:val="center"/>
            <w:hideMark/>
          </w:tcPr>
          <w:p w14:paraId="1AF02831" w14:textId="77777777" w:rsidR="00D41138" w:rsidRPr="00315477" w:rsidRDefault="00D41138" w:rsidP="002748AE">
            <w:pPr>
              <w:ind w:left="113"/>
              <w:rPr>
                <w:rFonts w:ascii="Times New Roman" w:hAnsi="Times New Roman" w:cs="Times New Roman"/>
                <w:sz w:val="22"/>
                <w:szCs w:val="22"/>
                <w:lang w:eastAsia="ru-RU"/>
              </w:rPr>
            </w:pPr>
            <w:r w:rsidRPr="00315477">
              <w:rPr>
                <w:rFonts w:ascii="Times New Roman" w:hAnsi="Times New Roman" w:cs="Times New Roman"/>
                <w:b/>
                <w:sz w:val="22"/>
                <w:szCs w:val="22"/>
                <w:lang w:eastAsia="ru-RU"/>
              </w:rPr>
              <w:t>Alder/vægt</w:t>
            </w:r>
          </w:p>
        </w:tc>
        <w:tc>
          <w:tcPr>
            <w:tcW w:w="2134" w:type="pct"/>
            <w:tcBorders>
              <w:top w:val="single" w:sz="4" w:space="0" w:color="000000"/>
              <w:left w:val="single" w:sz="4" w:space="0" w:color="000000"/>
              <w:bottom w:val="single" w:sz="4" w:space="0" w:color="000000"/>
              <w:right w:val="single" w:sz="4" w:space="0" w:color="000000"/>
            </w:tcBorders>
            <w:tcMar>
              <w:top w:w="28" w:type="dxa"/>
              <w:left w:w="0" w:type="dxa"/>
              <w:bottom w:w="28" w:type="dxa"/>
              <w:right w:w="0" w:type="dxa"/>
            </w:tcMar>
            <w:vAlign w:val="center"/>
            <w:hideMark/>
          </w:tcPr>
          <w:p w14:paraId="0A42924E" w14:textId="77777777" w:rsidR="00D41138" w:rsidRPr="00315477" w:rsidRDefault="00D41138" w:rsidP="005B3408">
            <w:pPr>
              <w:ind w:left="63" w:right="57"/>
              <w:jc w:val="center"/>
              <w:rPr>
                <w:rFonts w:ascii="Times New Roman" w:hAnsi="Times New Roman" w:cs="Times New Roman"/>
                <w:sz w:val="22"/>
                <w:szCs w:val="22"/>
                <w:lang w:eastAsia="ru-RU"/>
              </w:rPr>
            </w:pPr>
            <w:r w:rsidRPr="00315477">
              <w:rPr>
                <w:rFonts w:ascii="Times New Roman" w:hAnsi="Times New Roman" w:cs="Times New Roman"/>
                <w:b/>
                <w:sz w:val="22"/>
                <w:szCs w:val="22"/>
                <w:lang w:eastAsia="ru-RU"/>
              </w:rPr>
              <w:t>Moderate CYP3A-hæmmere</w:t>
            </w:r>
          </w:p>
        </w:tc>
        <w:tc>
          <w:tcPr>
            <w:tcW w:w="1947" w:type="pct"/>
            <w:tcBorders>
              <w:top w:val="single" w:sz="4" w:space="0" w:color="000000"/>
              <w:left w:val="single" w:sz="4" w:space="0" w:color="000000"/>
              <w:bottom w:val="single" w:sz="4" w:space="0" w:color="000000"/>
              <w:right w:val="single" w:sz="4" w:space="0" w:color="000000"/>
            </w:tcBorders>
            <w:tcMar>
              <w:top w:w="28" w:type="dxa"/>
              <w:left w:w="0" w:type="dxa"/>
              <w:bottom w:w="28" w:type="dxa"/>
              <w:right w:w="0" w:type="dxa"/>
            </w:tcMar>
            <w:vAlign w:val="center"/>
            <w:hideMark/>
          </w:tcPr>
          <w:p w14:paraId="36F37E26" w14:textId="77777777" w:rsidR="00D41138" w:rsidRPr="00315477" w:rsidRDefault="00D41138" w:rsidP="005B3408">
            <w:pPr>
              <w:ind w:left="74" w:right="52"/>
              <w:jc w:val="center"/>
              <w:rPr>
                <w:rFonts w:ascii="Times New Roman" w:hAnsi="Times New Roman" w:cs="Times New Roman"/>
                <w:sz w:val="22"/>
                <w:szCs w:val="22"/>
                <w:lang w:eastAsia="ru-RU"/>
              </w:rPr>
            </w:pPr>
            <w:r w:rsidRPr="00315477">
              <w:rPr>
                <w:rFonts w:ascii="Times New Roman" w:hAnsi="Times New Roman" w:cs="Times New Roman"/>
                <w:b/>
                <w:sz w:val="22"/>
                <w:szCs w:val="22"/>
                <w:lang w:eastAsia="ru-RU"/>
              </w:rPr>
              <w:t>Potente CYP3A-hæmmere</w:t>
            </w:r>
          </w:p>
        </w:tc>
      </w:tr>
      <w:tr w:rsidR="00D41138" w:rsidRPr="00315477" w14:paraId="28252CDE" w14:textId="77777777" w:rsidTr="002748AE">
        <w:trPr>
          <w:trHeight w:val="227"/>
          <w:jc w:val="center"/>
        </w:trPr>
        <w:tc>
          <w:tcPr>
            <w:tcW w:w="5000" w:type="pct"/>
            <w:gridSpan w:val="3"/>
            <w:tcBorders>
              <w:top w:val="single" w:sz="4" w:space="0" w:color="000000"/>
              <w:left w:val="single" w:sz="4" w:space="0" w:color="000000"/>
              <w:bottom w:val="single" w:sz="4" w:space="0" w:color="000000"/>
              <w:right w:val="single" w:sz="4" w:space="0" w:color="000000"/>
            </w:tcBorders>
            <w:tcMar>
              <w:top w:w="28" w:type="dxa"/>
              <w:left w:w="0" w:type="dxa"/>
              <w:bottom w:w="28" w:type="dxa"/>
              <w:right w:w="0" w:type="dxa"/>
            </w:tcMar>
            <w:hideMark/>
          </w:tcPr>
          <w:p w14:paraId="192E815B" w14:textId="77777777" w:rsidR="00D41138" w:rsidRPr="00315477" w:rsidRDefault="00D41138" w:rsidP="005B3408">
            <w:pPr>
              <w:ind w:left="74"/>
              <w:rPr>
                <w:rFonts w:ascii="Times New Roman" w:hAnsi="Times New Roman" w:cs="Times New Roman"/>
                <w:sz w:val="22"/>
                <w:szCs w:val="22"/>
                <w:lang w:eastAsia="ru-RU"/>
              </w:rPr>
            </w:pPr>
            <w:r w:rsidRPr="00315477">
              <w:rPr>
                <w:rFonts w:ascii="Times New Roman" w:hAnsi="Times New Roman" w:cs="Times New Roman"/>
                <w:b/>
                <w:sz w:val="22"/>
                <w:szCs w:val="22"/>
                <w:lang w:eastAsia="ru-RU"/>
              </w:rPr>
              <w:t xml:space="preserve">Ivacaftor som monoterapi </w:t>
            </w:r>
          </w:p>
        </w:tc>
      </w:tr>
      <w:tr w:rsidR="00D41138" w:rsidRPr="00315477" w14:paraId="2FEC22A6" w14:textId="77777777" w:rsidTr="002748AE">
        <w:trPr>
          <w:trHeight w:val="227"/>
          <w:jc w:val="center"/>
        </w:trPr>
        <w:tc>
          <w:tcPr>
            <w:tcW w:w="919" w:type="pct"/>
            <w:tcBorders>
              <w:top w:val="single" w:sz="4" w:space="0" w:color="000000"/>
              <w:left w:val="single" w:sz="4" w:space="0" w:color="000000"/>
              <w:bottom w:val="single" w:sz="4" w:space="0" w:color="000000"/>
              <w:right w:val="single" w:sz="4" w:space="0" w:color="000000"/>
            </w:tcBorders>
            <w:tcMar>
              <w:top w:w="28" w:type="dxa"/>
              <w:left w:w="0" w:type="dxa"/>
              <w:bottom w:w="28" w:type="dxa"/>
              <w:right w:w="0" w:type="dxa"/>
            </w:tcMar>
            <w:hideMark/>
          </w:tcPr>
          <w:p w14:paraId="35370BF4" w14:textId="77777777" w:rsidR="00D41138" w:rsidRPr="00315477" w:rsidRDefault="00D41138" w:rsidP="002748AE">
            <w:pPr>
              <w:ind w:left="113"/>
              <w:rPr>
                <w:rFonts w:ascii="Times New Roman" w:hAnsi="Times New Roman" w:cs="Times New Roman"/>
                <w:sz w:val="22"/>
                <w:szCs w:val="22"/>
                <w:lang w:eastAsia="ru-RU"/>
              </w:rPr>
            </w:pPr>
            <w:r w:rsidRPr="00315477">
              <w:rPr>
                <w:rFonts w:ascii="Times New Roman" w:hAnsi="Times New Roman" w:cs="Times New Roman"/>
                <w:sz w:val="22"/>
                <w:szCs w:val="22"/>
                <w:lang w:eastAsia="ru-RU"/>
              </w:rPr>
              <w:t xml:space="preserve">6 år og ældre, </w:t>
            </w:r>
          </w:p>
          <w:p w14:paraId="1BD2582C" w14:textId="77777777" w:rsidR="00D41138" w:rsidRPr="00315477" w:rsidRDefault="00D41138" w:rsidP="002748AE">
            <w:pPr>
              <w:ind w:left="113"/>
              <w:rPr>
                <w:rFonts w:ascii="Times New Roman" w:hAnsi="Times New Roman" w:cs="Times New Roman"/>
                <w:sz w:val="22"/>
                <w:szCs w:val="22"/>
                <w:lang w:eastAsia="ru-RU"/>
              </w:rPr>
            </w:pPr>
            <w:r w:rsidRPr="00315477">
              <w:rPr>
                <w:rFonts w:ascii="Times New Roman" w:hAnsi="Times New Roman" w:cs="Times New Roman"/>
                <w:sz w:val="22"/>
                <w:szCs w:val="22"/>
                <w:lang w:eastAsia="ru-RU"/>
              </w:rPr>
              <w:t xml:space="preserve">≥ 25 kg </w:t>
            </w:r>
          </w:p>
        </w:tc>
        <w:tc>
          <w:tcPr>
            <w:tcW w:w="2134" w:type="pct"/>
            <w:tcBorders>
              <w:top w:val="single" w:sz="4" w:space="0" w:color="000000"/>
              <w:left w:val="single" w:sz="4" w:space="0" w:color="000000"/>
              <w:bottom w:val="single" w:sz="4" w:space="0" w:color="000000"/>
              <w:right w:val="single" w:sz="4" w:space="0" w:color="000000"/>
            </w:tcBorders>
            <w:tcMar>
              <w:top w:w="28" w:type="dxa"/>
              <w:left w:w="0" w:type="dxa"/>
              <w:bottom w:w="28" w:type="dxa"/>
              <w:right w:w="0" w:type="dxa"/>
            </w:tcMar>
            <w:hideMark/>
          </w:tcPr>
          <w:p w14:paraId="6F8D633A" w14:textId="77777777" w:rsidR="00D41138" w:rsidRPr="00315477" w:rsidRDefault="00D41138" w:rsidP="005B3408">
            <w:pPr>
              <w:ind w:left="63"/>
              <w:rPr>
                <w:rFonts w:ascii="Times New Roman" w:hAnsi="Times New Roman" w:cs="Times New Roman"/>
                <w:sz w:val="22"/>
                <w:szCs w:val="22"/>
                <w:lang w:eastAsia="ru-RU"/>
              </w:rPr>
            </w:pPr>
            <w:r w:rsidRPr="00315477">
              <w:rPr>
                <w:rFonts w:ascii="Times New Roman" w:hAnsi="Times New Roman" w:cs="Times New Roman"/>
                <w:sz w:val="22"/>
                <w:szCs w:val="22"/>
                <w:lang w:eastAsia="ru-RU"/>
              </w:rPr>
              <w:t xml:space="preserve">Én morgentablet med ivacaftor 150 mg én gang dagligt.  </w:t>
            </w:r>
          </w:p>
          <w:p w14:paraId="1E24A0B5" w14:textId="77777777" w:rsidR="00D41138" w:rsidRPr="00315477" w:rsidRDefault="00D41138" w:rsidP="005B3408">
            <w:pPr>
              <w:ind w:left="63"/>
              <w:rPr>
                <w:rFonts w:ascii="Times New Roman" w:hAnsi="Times New Roman" w:cs="Times New Roman"/>
                <w:sz w:val="22"/>
                <w:szCs w:val="22"/>
                <w:lang w:eastAsia="ru-RU"/>
              </w:rPr>
            </w:pPr>
            <w:r w:rsidRPr="00315477">
              <w:rPr>
                <w:rFonts w:ascii="Times New Roman" w:hAnsi="Times New Roman" w:cs="Times New Roman"/>
                <w:sz w:val="22"/>
                <w:szCs w:val="22"/>
                <w:lang w:eastAsia="ru-RU"/>
              </w:rPr>
              <w:t xml:space="preserve"> </w:t>
            </w:r>
          </w:p>
          <w:p w14:paraId="7E36044F" w14:textId="77777777" w:rsidR="00D41138" w:rsidRPr="00315477" w:rsidRDefault="00D41138" w:rsidP="005B3408">
            <w:pPr>
              <w:ind w:left="63"/>
              <w:rPr>
                <w:rFonts w:ascii="Times New Roman" w:hAnsi="Times New Roman" w:cs="Times New Roman"/>
                <w:sz w:val="22"/>
                <w:szCs w:val="22"/>
                <w:lang w:eastAsia="ru-RU"/>
              </w:rPr>
            </w:pPr>
            <w:r w:rsidRPr="00315477">
              <w:rPr>
                <w:rFonts w:ascii="Times New Roman" w:hAnsi="Times New Roman" w:cs="Times New Roman"/>
                <w:sz w:val="22"/>
                <w:szCs w:val="22"/>
                <w:lang w:eastAsia="ru-RU"/>
              </w:rPr>
              <w:t xml:space="preserve">Ingen aftendosis af ivacaftor. </w:t>
            </w:r>
          </w:p>
        </w:tc>
        <w:tc>
          <w:tcPr>
            <w:tcW w:w="1947" w:type="pct"/>
            <w:tcBorders>
              <w:top w:val="single" w:sz="4" w:space="0" w:color="000000"/>
              <w:left w:val="single" w:sz="4" w:space="0" w:color="000000"/>
              <w:bottom w:val="single" w:sz="4" w:space="0" w:color="000000"/>
              <w:right w:val="single" w:sz="4" w:space="0" w:color="000000"/>
            </w:tcBorders>
            <w:tcMar>
              <w:top w:w="28" w:type="dxa"/>
              <w:left w:w="0" w:type="dxa"/>
              <w:bottom w:w="28" w:type="dxa"/>
              <w:right w:w="0" w:type="dxa"/>
            </w:tcMar>
            <w:hideMark/>
          </w:tcPr>
          <w:p w14:paraId="7950529E" w14:textId="77777777" w:rsidR="00D41138" w:rsidRPr="00315477" w:rsidRDefault="00D41138" w:rsidP="005B3408">
            <w:pPr>
              <w:ind w:left="74"/>
              <w:rPr>
                <w:rFonts w:ascii="Times New Roman" w:hAnsi="Times New Roman" w:cs="Times New Roman"/>
                <w:sz w:val="22"/>
                <w:szCs w:val="22"/>
                <w:lang w:eastAsia="ru-RU"/>
              </w:rPr>
            </w:pPr>
            <w:r w:rsidRPr="00315477">
              <w:rPr>
                <w:rFonts w:ascii="Times New Roman" w:hAnsi="Times New Roman" w:cs="Times New Roman"/>
                <w:sz w:val="22"/>
                <w:szCs w:val="22"/>
                <w:lang w:eastAsia="ru-RU"/>
              </w:rPr>
              <w:t xml:space="preserve">Én morgentablet med ivacaftor 150 mg to gange om ugen med ca. 3 til 4 dages mellemrum. </w:t>
            </w:r>
          </w:p>
          <w:p w14:paraId="197E646C" w14:textId="77777777" w:rsidR="00D41138" w:rsidRPr="00315477" w:rsidRDefault="00D41138" w:rsidP="005B3408">
            <w:pPr>
              <w:ind w:left="74"/>
              <w:rPr>
                <w:rFonts w:ascii="Times New Roman" w:hAnsi="Times New Roman" w:cs="Times New Roman"/>
                <w:sz w:val="22"/>
                <w:szCs w:val="22"/>
                <w:lang w:eastAsia="ru-RU"/>
              </w:rPr>
            </w:pPr>
            <w:r w:rsidRPr="00315477">
              <w:rPr>
                <w:rFonts w:ascii="Times New Roman" w:hAnsi="Times New Roman" w:cs="Times New Roman"/>
                <w:sz w:val="22"/>
                <w:szCs w:val="22"/>
                <w:lang w:eastAsia="ru-RU"/>
              </w:rPr>
              <w:t xml:space="preserve"> </w:t>
            </w:r>
          </w:p>
          <w:p w14:paraId="20DF41CD" w14:textId="77777777" w:rsidR="00D41138" w:rsidRPr="00315477" w:rsidRDefault="00D41138" w:rsidP="005B3408">
            <w:pPr>
              <w:ind w:left="74"/>
              <w:rPr>
                <w:rFonts w:ascii="Times New Roman" w:hAnsi="Times New Roman" w:cs="Times New Roman"/>
                <w:sz w:val="22"/>
                <w:szCs w:val="22"/>
                <w:lang w:eastAsia="ru-RU"/>
              </w:rPr>
            </w:pPr>
            <w:r w:rsidRPr="00315477">
              <w:rPr>
                <w:rFonts w:ascii="Times New Roman" w:hAnsi="Times New Roman" w:cs="Times New Roman"/>
                <w:sz w:val="22"/>
                <w:szCs w:val="22"/>
                <w:lang w:eastAsia="ru-RU"/>
              </w:rPr>
              <w:t xml:space="preserve">Ingen aftendosis af ivacaftor. </w:t>
            </w:r>
          </w:p>
        </w:tc>
      </w:tr>
      <w:tr w:rsidR="00D41138" w:rsidRPr="00315477" w14:paraId="6567DB2A" w14:textId="77777777" w:rsidTr="002748AE">
        <w:trPr>
          <w:trHeight w:val="227"/>
          <w:jc w:val="center"/>
        </w:trPr>
        <w:tc>
          <w:tcPr>
            <w:tcW w:w="5000" w:type="pct"/>
            <w:gridSpan w:val="3"/>
            <w:tcBorders>
              <w:top w:val="single" w:sz="4" w:space="0" w:color="000000"/>
              <w:left w:val="single" w:sz="4" w:space="0" w:color="000000"/>
              <w:bottom w:val="single" w:sz="4" w:space="0" w:color="000000"/>
              <w:right w:val="single" w:sz="4" w:space="0" w:color="000000"/>
            </w:tcBorders>
            <w:tcMar>
              <w:top w:w="28" w:type="dxa"/>
              <w:left w:w="0" w:type="dxa"/>
              <w:bottom w:w="28" w:type="dxa"/>
              <w:right w:w="0" w:type="dxa"/>
            </w:tcMar>
            <w:hideMark/>
          </w:tcPr>
          <w:p w14:paraId="10FA1798" w14:textId="77777777" w:rsidR="00D41138" w:rsidRPr="00315477" w:rsidRDefault="00D41138" w:rsidP="005B3408">
            <w:pPr>
              <w:ind w:left="74"/>
              <w:rPr>
                <w:rFonts w:ascii="Times New Roman" w:hAnsi="Times New Roman" w:cs="Times New Roman"/>
                <w:sz w:val="22"/>
                <w:szCs w:val="22"/>
                <w:lang w:eastAsia="ru-RU"/>
              </w:rPr>
            </w:pPr>
            <w:r w:rsidRPr="00315477">
              <w:rPr>
                <w:rFonts w:ascii="Times New Roman" w:hAnsi="Times New Roman" w:cs="Times New Roman"/>
                <w:b/>
                <w:sz w:val="22"/>
                <w:szCs w:val="22"/>
                <w:lang w:eastAsia="ru-RU"/>
              </w:rPr>
              <w:t xml:space="preserve">Ivacaftor i et kombinationsregime med tezacaftor/ivacaftor </w:t>
            </w:r>
          </w:p>
        </w:tc>
      </w:tr>
      <w:tr w:rsidR="00D41138" w:rsidRPr="00315477" w14:paraId="45ECFB94" w14:textId="77777777" w:rsidTr="002748AE">
        <w:trPr>
          <w:trHeight w:val="227"/>
          <w:jc w:val="center"/>
        </w:trPr>
        <w:tc>
          <w:tcPr>
            <w:tcW w:w="919" w:type="pct"/>
            <w:tcBorders>
              <w:top w:val="single" w:sz="4" w:space="0" w:color="000000"/>
              <w:left w:val="single" w:sz="4" w:space="0" w:color="000000"/>
              <w:bottom w:val="single" w:sz="4" w:space="0" w:color="000000"/>
              <w:right w:val="single" w:sz="4" w:space="0" w:color="000000"/>
            </w:tcBorders>
            <w:tcMar>
              <w:top w:w="28" w:type="dxa"/>
              <w:left w:w="0" w:type="dxa"/>
              <w:bottom w:w="28" w:type="dxa"/>
              <w:right w:w="0" w:type="dxa"/>
            </w:tcMar>
            <w:hideMark/>
          </w:tcPr>
          <w:p w14:paraId="5C4FB5E5" w14:textId="77777777" w:rsidR="00D41138" w:rsidRPr="00315477" w:rsidRDefault="00D41138" w:rsidP="002748AE">
            <w:pPr>
              <w:ind w:left="113"/>
              <w:rPr>
                <w:rFonts w:ascii="Times New Roman" w:hAnsi="Times New Roman" w:cs="Times New Roman"/>
                <w:sz w:val="22"/>
                <w:szCs w:val="22"/>
                <w:lang w:eastAsia="ru-RU"/>
              </w:rPr>
            </w:pPr>
            <w:r w:rsidRPr="00315477">
              <w:rPr>
                <w:rFonts w:ascii="Times New Roman" w:hAnsi="Times New Roman" w:cs="Times New Roman"/>
                <w:sz w:val="22"/>
                <w:szCs w:val="22"/>
                <w:lang w:eastAsia="ru-RU"/>
              </w:rPr>
              <w:t xml:space="preserve">6 år til &lt; 12 år,  </w:t>
            </w:r>
          </w:p>
          <w:p w14:paraId="7901F1A6" w14:textId="77777777" w:rsidR="00D41138" w:rsidRPr="00315477" w:rsidRDefault="00D41138" w:rsidP="002748AE">
            <w:pPr>
              <w:ind w:left="113"/>
              <w:rPr>
                <w:rFonts w:ascii="Times New Roman" w:hAnsi="Times New Roman" w:cs="Times New Roman"/>
                <w:sz w:val="22"/>
                <w:szCs w:val="22"/>
                <w:lang w:eastAsia="ru-RU"/>
              </w:rPr>
            </w:pPr>
            <w:r w:rsidRPr="00315477">
              <w:rPr>
                <w:rFonts w:ascii="Times New Roman" w:hAnsi="Times New Roman" w:cs="Times New Roman"/>
                <w:sz w:val="22"/>
                <w:szCs w:val="22"/>
                <w:lang w:eastAsia="ru-RU"/>
              </w:rPr>
              <w:t xml:space="preserve">&lt; 30 kg </w:t>
            </w:r>
          </w:p>
        </w:tc>
        <w:tc>
          <w:tcPr>
            <w:tcW w:w="2134" w:type="pct"/>
            <w:tcBorders>
              <w:top w:val="single" w:sz="4" w:space="0" w:color="000000"/>
              <w:left w:val="single" w:sz="4" w:space="0" w:color="000000"/>
              <w:bottom w:val="single" w:sz="4" w:space="0" w:color="000000"/>
              <w:right w:val="single" w:sz="4" w:space="0" w:color="000000"/>
            </w:tcBorders>
            <w:tcMar>
              <w:top w:w="28" w:type="dxa"/>
              <w:left w:w="0" w:type="dxa"/>
              <w:bottom w:w="28" w:type="dxa"/>
              <w:right w:w="0" w:type="dxa"/>
            </w:tcMar>
            <w:hideMark/>
          </w:tcPr>
          <w:p w14:paraId="5AA056E1" w14:textId="77777777" w:rsidR="00D41138" w:rsidRPr="00315477" w:rsidRDefault="00D41138" w:rsidP="005B3408">
            <w:pPr>
              <w:ind w:left="63"/>
              <w:rPr>
                <w:rFonts w:ascii="Times New Roman" w:hAnsi="Times New Roman" w:cs="Times New Roman"/>
                <w:sz w:val="22"/>
                <w:szCs w:val="22"/>
                <w:lang w:eastAsia="ru-RU"/>
              </w:rPr>
            </w:pPr>
            <w:r w:rsidRPr="00315477">
              <w:rPr>
                <w:rFonts w:ascii="Times New Roman" w:hAnsi="Times New Roman" w:cs="Times New Roman"/>
                <w:sz w:val="22"/>
                <w:szCs w:val="22"/>
                <w:lang w:eastAsia="ru-RU"/>
              </w:rPr>
              <w:t xml:space="preserve">Skiftevis hver dag:  </w:t>
            </w:r>
          </w:p>
          <w:p w14:paraId="5431CD07" w14:textId="77777777" w:rsidR="00D41138" w:rsidRPr="00315477" w:rsidRDefault="00D41138" w:rsidP="005B3408">
            <w:pPr>
              <w:numPr>
                <w:ilvl w:val="0"/>
                <w:numId w:val="7"/>
              </w:numPr>
              <w:autoSpaceDN w:val="0"/>
              <w:ind w:left="347" w:hanging="284"/>
              <w:rPr>
                <w:rFonts w:ascii="Times New Roman" w:hAnsi="Times New Roman" w:cs="Times New Roman"/>
                <w:sz w:val="22"/>
                <w:szCs w:val="22"/>
                <w:lang w:eastAsia="ru-RU"/>
              </w:rPr>
            </w:pPr>
            <w:r w:rsidRPr="00315477">
              <w:rPr>
                <w:rFonts w:ascii="Times New Roman" w:hAnsi="Times New Roman" w:cs="Times New Roman"/>
                <w:sz w:val="22"/>
                <w:szCs w:val="22"/>
                <w:lang w:eastAsia="ru-RU"/>
              </w:rPr>
              <w:t xml:space="preserve">én morgentablet med tezacaftor </w:t>
            </w:r>
            <w:r w:rsidRPr="00315477">
              <w:rPr>
                <w:rFonts w:ascii="Times New Roman" w:hAnsi="Times New Roman" w:cs="Times New Roman"/>
                <w:sz w:val="22"/>
                <w:szCs w:val="22"/>
                <w:lang w:eastAsia="ru-RU"/>
              </w:rPr>
              <w:br/>
              <w:t>50 mg/ivacaftor 75 mg den første dag</w:t>
            </w:r>
          </w:p>
          <w:p w14:paraId="159376D6" w14:textId="77777777" w:rsidR="00D41138" w:rsidRPr="00315477" w:rsidRDefault="00D41138" w:rsidP="005B3408">
            <w:pPr>
              <w:numPr>
                <w:ilvl w:val="0"/>
                <w:numId w:val="7"/>
              </w:numPr>
              <w:autoSpaceDN w:val="0"/>
              <w:ind w:left="347" w:right="35" w:hanging="284"/>
              <w:rPr>
                <w:rFonts w:ascii="Times New Roman" w:hAnsi="Times New Roman" w:cs="Times New Roman"/>
                <w:sz w:val="22"/>
                <w:szCs w:val="22"/>
                <w:lang w:eastAsia="ru-RU"/>
              </w:rPr>
            </w:pPr>
            <w:r w:rsidRPr="00315477">
              <w:rPr>
                <w:rFonts w:ascii="Times New Roman" w:hAnsi="Times New Roman" w:cs="Times New Roman"/>
                <w:sz w:val="22"/>
                <w:szCs w:val="22"/>
                <w:lang w:eastAsia="ru-RU"/>
              </w:rPr>
              <w:t xml:space="preserve">én morgentablet med ivacaftor </w:t>
            </w:r>
            <w:r w:rsidRPr="00315477">
              <w:rPr>
                <w:rFonts w:ascii="Times New Roman" w:hAnsi="Times New Roman" w:cs="Times New Roman"/>
                <w:sz w:val="22"/>
                <w:szCs w:val="22"/>
                <w:lang w:eastAsia="ru-RU"/>
              </w:rPr>
              <w:br/>
              <w:t>75 mg den næste dag.</w:t>
            </w:r>
            <w:r w:rsidRPr="00315477">
              <w:rPr>
                <w:rFonts w:ascii="Times New Roman" w:hAnsi="Times New Roman" w:cs="Times New Roman"/>
                <w:sz w:val="22"/>
                <w:szCs w:val="22"/>
                <w:vertAlign w:val="superscript"/>
                <w:lang w:eastAsia="ru-RU"/>
              </w:rPr>
              <w:t>*</w:t>
            </w:r>
          </w:p>
          <w:p w14:paraId="5542BBCB" w14:textId="77777777" w:rsidR="00D41138" w:rsidRPr="00315477" w:rsidRDefault="00D41138" w:rsidP="005B3408">
            <w:pPr>
              <w:ind w:left="63"/>
              <w:rPr>
                <w:rFonts w:ascii="Times New Roman" w:hAnsi="Times New Roman" w:cs="Times New Roman"/>
                <w:sz w:val="22"/>
                <w:szCs w:val="22"/>
                <w:lang w:eastAsia="ru-RU"/>
              </w:rPr>
            </w:pPr>
            <w:r w:rsidRPr="00315477">
              <w:rPr>
                <w:rFonts w:ascii="Times New Roman" w:hAnsi="Times New Roman" w:cs="Times New Roman"/>
                <w:sz w:val="22"/>
                <w:szCs w:val="22"/>
                <w:lang w:eastAsia="ru-RU"/>
              </w:rPr>
              <w:t xml:space="preserve"> </w:t>
            </w:r>
          </w:p>
          <w:p w14:paraId="7C2B4298" w14:textId="77777777" w:rsidR="00D41138" w:rsidRPr="00315477" w:rsidRDefault="00D41138" w:rsidP="005B3408">
            <w:pPr>
              <w:ind w:left="63"/>
              <w:rPr>
                <w:rFonts w:ascii="Times New Roman" w:hAnsi="Times New Roman" w:cs="Times New Roman"/>
                <w:sz w:val="22"/>
                <w:szCs w:val="22"/>
                <w:lang w:eastAsia="ru-RU"/>
              </w:rPr>
            </w:pPr>
            <w:r w:rsidRPr="00315477">
              <w:rPr>
                <w:rFonts w:ascii="Times New Roman" w:hAnsi="Times New Roman" w:cs="Times New Roman"/>
                <w:sz w:val="22"/>
                <w:szCs w:val="22"/>
                <w:lang w:eastAsia="ru-RU"/>
              </w:rPr>
              <w:t xml:space="preserve">Ingen aftendosis af ivacaftor. </w:t>
            </w:r>
          </w:p>
        </w:tc>
        <w:tc>
          <w:tcPr>
            <w:tcW w:w="1947" w:type="pct"/>
            <w:tcBorders>
              <w:top w:val="single" w:sz="4" w:space="0" w:color="000000"/>
              <w:left w:val="single" w:sz="4" w:space="0" w:color="000000"/>
              <w:bottom w:val="single" w:sz="4" w:space="0" w:color="000000"/>
              <w:right w:val="single" w:sz="4" w:space="0" w:color="000000"/>
            </w:tcBorders>
            <w:tcMar>
              <w:top w:w="28" w:type="dxa"/>
              <w:left w:w="0" w:type="dxa"/>
              <w:bottom w:w="28" w:type="dxa"/>
              <w:right w:w="0" w:type="dxa"/>
            </w:tcMar>
            <w:hideMark/>
          </w:tcPr>
          <w:p w14:paraId="22A6B7FB" w14:textId="77777777" w:rsidR="00D41138" w:rsidRPr="00315477" w:rsidRDefault="00D41138" w:rsidP="005B3408">
            <w:pPr>
              <w:ind w:left="74"/>
              <w:rPr>
                <w:rFonts w:ascii="Times New Roman" w:hAnsi="Times New Roman" w:cs="Times New Roman"/>
                <w:sz w:val="22"/>
                <w:szCs w:val="22"/>
                <w:lang w:eastAsia="ru-RU"/>
              </w:rPr>
            </w:pPr>
            <w:r w:rsidRPr="00315477">
              <w:rPr>
                <w:rFonts w:ascii="Times New Roman" w:hAnsi="Times New Roman" w:cs="Times New Roman"/>
                <w:sz w:val="22"/>
                <w:szCs w:val="22"/>
                <w:lang w:eastAsia="ru-RU"/>
              </w:rPr>
              <w:t xml:space="preserve">Én morgentablet med tezacaftor </w:t>
            </w:r>
            <w:r w:rsidRPr="00315477">
              <w:rPr>
                <w:rFonts w:ascii="Times New Roman" w:hAnsi="Times New Roman" w:cs="Times New Roman"/>
                <w:sz w:val="22"/>
                <w:szCs w:val="22"/>
                <w:lang w:eastAsia="ru-RU"/>
              </w:rPr>
              <w:br/>
              <w:t xml:space="preserve">50 mg/ivacaftor 75 mg to gange om </w:t>
            </w:r>
          </w:p>
          <w:p w14:paraId="70ECEE46" w14:textId="77777777" w:rsidR="00D41138" w:rsidRPr="00315477" w:rsidRDefault="00D41138" w:rsidP="005B3408">
            <w:pPr>
              <w:ind w:left="74"/>
              <w:rPr>
                <w:rFonts w:ascii="Times New Roman" w:hAnsi="Times New Roman" w:cs="Times New Roman"/>
                <w:sz w:val="22"/>
                <w:szCs w:val="22"/>
                <w:lang w:eastAsia="ru-RU"/>
              </w:rPr>
            </w:pPr>
            <w:r w:rsidRPr="00315477">
              <w:rPr>
                <w:rFonts w:ascii="Times New Roman" w:hAnsi="Times New Roman" w:cs="Times New Roman"/>
                <w:sz w:val="22"/>
                <w:szCs w:val="22"/>
                <w:lang w:eastAsia="ru-RU"/>
              </w:rPr>
              <w:t xml:space="preserve">ugen med ca. 3 til 4 dages mellemrum.  </w:t>
            </w:r>
          </w:p>
          <w:p w14:paraId="4C7DE851" w14:textId="77777777" w:rsidR="00D41138" w:rsidRPr="00315477" w:rsidRDefault="00D41138" w:rsidP="005B3408">
            <w:pPr>
              <w:ind w:left="74"/>
              <w:rPr>
                <w:rFonts w:ascii="Times New Roman" w:hAnsi="Times New Roman" w:cs="Times New Roman"/>
                <w:sz w:val="22"/>
                <w:szCs w:val="22"/>
                <w:lang w:eastAsia="ru-RU"/>
              </w:rPr>
            </w:pPr>
            <w:r w:rsidRPr="00315477">
              <w:rPr>
                <w:rFonts w:ascii="Times New Roman" w:hAnsi="Times New Roman" w:cs="Times New Roman"/>
                <w:sz w:val="22"/>
                <w:szCs w:val="22"/>
                <w:lang w:eastAsia="ru-RU"/>
              </w:rPr>
              <w:t xml:space="preserve"> </w:t>
            </w:r>
          </w:p>
          <w:p w14:paraId="1546530E" w14:textId="77777777" w:rsidR="00D41138" w:rsidRPr="00315477" w:rsidRDefault="00D41138" w:rsidP="005B3408">
            <w:pPr>
              <w:ind w:left="74"/>
              <w:rPr>
                <w:rFonts w:ascii="Times New Roman" w:hAnsi="Times New Roman" w:cs="Times New Roman"/>
                <w:sz w:val="22"/>
                <w:szCs w:val="22"/>
                <w:lang w:eastAsia="ru-RU"/>
              </w:rPr>
            </w:pPr>
            <w:r w:rsidRPr="00315477">
              <w:rPr>
                <w:rFonts w:ascii="Times New Roman" w:hAnsi="Times New Roman" w:cs="Times New Roman"/>
                <w:sz w:val="22"/>
                <w:szCs w:val="22"/>
                <w:lang w:eastAsia="ru-RU"/>
              </w:rPr>
              <w:t xml:space="preserve">Ingen aftendosis af ivacaftor. </w:t>
            </w:r>
          </w:p>
        </w:tc>
      </w:tr>
      <w:tr w:rsidR="00D41138" w:rsidRPr="00315477" w14:paraId="6C1BDF53" w14:textId="77777777" w:rsidTr="002748AE">
        <w:trPr>
          <w:trHeight w:val="227"/>
          <w:jc w:val="center"/>
        </w:trPr>
        <w:tc>
          <w:tcPr>
            <w:tcW w:w="919" w:type="pct"/>
            <w:tcBorders>
              <w:top w:val="single" w:sz="4" w:space="0" w:color="000000"/>
              <w:left w:val="single" w:sz="4" w:space="0" w:color="000000"/>
              <w:bottom w:val="single" w:sz="4" w:space="0" w:color="000000"/>
              <w:right w:val="single" w:sz="4" w:space="0" w:color="000000"/>
            </w:tcBorders>
            <w:tcMar>
              <w:top w:w="28" w:type="dxa"/>
              <w:left w:w="0" w:type="dxa"/>
              <w:bottom w:w="28" w:type="dxa"/>
              <w:right w:w="0" w:type="dxa"/>
            </w:tcMar>
            <w:hideMark/>
          </w:tcPr>
          <w:p w14:paraId="2F7C3F26" w14:textId="77777777" w:rsidR="00D41138" w:rsidRPr="00315477" w:rsidRDefault="00D41138" w:rsidP="002748AE">
            <w:pPr>
              <w:ind w:left="113"/>
              <w:rPr>
                <w:rFonts w:ascii="Times New Roman" w:hAnsi="Times New Roman" w:cs="Times New Roman"/>
                <w:sz w:val="22"/>
                <w:szCs w:val="22"/>
                <w:lang w:eastAsia="ru-RU"/>
              </w:rPr>
            </w:pPr>
            <w:r w:rsidRPr="00315477">
              <w:rPr>
                <w:rFonts w:ascii="Times New Roman" w:hAnsi="Times New Roman" w:cs="Times New Roman"/>
                <w:sz w:val="22"/>
                <w:szCs w:val="22"/>
                <w:lang w:eastAsia="ru-RU"/>
              </w:rPr>
              <w:t xml:space="preserve">6 år til &lt; 12 år, </w:t>
            </w:r>
          </w:p>
          <w:p w14:paraId="4C8F5B3D" w14:textId="77777777" w:rsidR="00D41138" w:rsidRPr="00315477" w:rsidRDefault="00D41138" w:rsidP="002748AE">
            <w:pPr>
              <w:ind w:left="113"/>
              <w:rPr>
                <w:rFonts w:ascii="Times New Roman" w:hAnsi="Times New Roman" w:cs="Times New Roman"/>
                <w:sz w:val="22"/>
                <w:szCs w:val="22"/>
                <w:lang w:eastAsia="ru-RU"/>
              </w:rPr>
            </w:pPr>
            <w:r w:rsidRPr="00315477">
              <w:rPr>
                <w:rFonts w:ascii="Times New Roman" w:hAnsi="Times New Roman" w:cs="Times New Roman"/>
                <w:sz w:val="22"/>
                <w:szCs w:val="22"/>
                <w:lang w:eastAsia="ru-RU"/>
              </w:rPr>
              <w:t xml:space="preserve">≥ 30 kg </w:t>
            </w:r>
          </w:p>
        </w:tc>
        <w:tc>
          <w:tcPr>
            <w:tcW w:w="2134" w:type="pct"/>
            <w:tcBorders>
              <w:top w:val="single" w:sz="4" w:space="0" w:color="000000"/>
              <w:left w:val="single" w:sz="4" w:space="0" w:color="000000"/>
              <w:bottom w:val="single" w:sz="4" w:space="0" w:color="000000"/>
              <w:right w:val="single" w:sz="4" w:space="0" w:color="000000"/>
            </w:tcBorders>
            <w:tcMar>
              <w:top w:w="28" w:type="dxa"/>
              <w:left w:w="0" w:type="dxa"/>
              <w:bottom w:w="28" w:type="dxa"/>
              <w:right w:w="0" w:type="dxa"/>
            </w:tcMar>
            <w:hideMark/>
          </w:tcPr>
          <w:p w14:paraId="32AC031C" w14:textId="77777777" w:rsidR="00D41138" w:rsidRPr="00315477" w:rsidRDefault="00D41138" w:rsidP="005B3408">
            <w:pPr>
              <w:ind w:left="63"/>
              <w:rPr>
                <w:rFonts w:ascii="Times New Roman" w:hAnsi="Times New Roman" w:cs="Times New Roman"/>
                <w:sz w:val="22"/>
                <w:szCs w:val="22"/>
                <w:lang w:eastAsia="ru-RU"/>
              </w:rPr>
            </w:pPr>
            <w:r w:rsidRPr="00315477">
              <w:rPr>
                <w:rFonts w:ascii="Times New Roman" w:hAnsi="Times New Roman" w:cs="Times New Roman"/>
                <w:sz w:val="22"/>
                <w:szCs w:val="22"/>
                <w:lang w:eastAsia="ru-RU"/>
              </w:rPr>
              <w:t xml:space="preserve">Skiftevis hver dag:  </w:t>
            </w:r>
          </w:p>
          <w:p w14:paraId="0C001BBF" w14:textId="77777777" w:rsidR="00D41138" w:rsidRPr="00315477" w:rsidRDefault="00D41138" w:rsidP="005B3408">
            <w:pPr>
              <w:numPr>
                <w:ilvl w:val="0"/>
                <w:numId w:val="8"/>
              </w:numPr>
              <w:autoSpaceDN w:val="0"/>
              <w:ind w:left="347" w:hanging="284"/>
              <w:rPr>
                <w:rFonts w:ascii="Times New Roman" w:hAnsi="Times New Roman" w:cs="Times New Roman"/>
                <w:sz w:val="22"/>
                <w:szCs w:val="22"/>
                <w:lang w:eastAsia="ru-RU"/>
              </w:rPr>
            </w:pPr>
            <w:r w:rsidRPr="00315477">
              <w:rPr>
                <w:rFonts w:ascii="Times New Roman" w:hAnsi="Times New Roman" w:cs="Times New Roman"/>
                <w:sz w:val="22"/>
                <w:szCs w:val="22"/>
                <w:lang w:eastAsia="ru-RU"/>
              </w:rPr>
              <w:t xml:space="preserve">én morgentablet med tezacaftor </w:t>
            </w:r>
            <w:r w:rsidRPr="00315477">
              <w:rPr>
                <w:rFonts w:ascii="Times New Roman" w:hAnsi="Times New Roman" w:cs="Times New Roman"/>
                <w:sz w:val="22"/>
                <w:szCs w:val="22"/>
                <w:lang w:eastAsia="ru-RU"/>
              </w:rPr>
              <w:br/>
              <w:t xml:space="preserve">100 mg/ivacaftor 150 mg den første dag </w:t>
            </w:r>
          </w:p>
          <w:p w14:paraId="7B35284E" w14:textId="77777777" w:rsidR="00D41138" w:rsidRPr="00315477" w:rsidRDefault="00D41138" w:rsidP="005B3408">
            <w:pPr>
              <w:numPr>
                <w:ilvl w:val="0"/>
                <w:numId w:val="8"/>
              </w:numPr>
              <w:autoSpaceDN w:val="0"/>
              <w:ind w:left="347" w:hanging="284"/>
              <w:rPr>
                <w:rFonts w:ascii="Times New Roman" w:hAnsi="Times New Roman" w:cs="Times New Roman"/>
                <w:sz w:val="22"/>
                <w:szCs w:val="22"/>
                <w:lang w:eastAsia="ru-RU"/>
              </w:rPr>
            </w:pPr>
            <w:r w:rsidRPr="00315477">
              <w:rPr>
                <w:rFonts w:ascii="Times New Roman" w:hAnsi="Times New Roman" w:cs="Times New Roman"/>
                <w:sz w:val="22"/>
                <w:szCs w:val="22"/>
                <w:lang w:eastAsia="ru-RU"/>
              </w:rPr>
              <w:t xml:space="preserve">én morgentablet med ivacaftor </w:t>
            </w:r>
            <w:r w:rsidRPr="00315477">
              <w:rPr>
                <w:rFonts w:ascii="Times New Roman" w:hAnsi="Times New Roman" w:cs="Times New Roman"/>
                <w:sz w:val="22"/>
                <w:szCs w:val="22"/>
                <w:lang w:eastAsia="ru-RU"/>
              </w:rPr>
              <w:br/>
              <w:t xml:space="preserve">150 mg den næste dag.  </w:t>
            </w:r>
          </w:p>
          <w:p w14:paraId="415821D6" w14:textId="77777777" w:rsidR="00D41138" w:rsidRPr="00315477" w:rsidRDefault="00D41138" w:rsidP="005B3408">
            <w:pPr>
              <w:ind w:left="63"/>
              <w:rPr>
                <w:rFonts w:ascii="Times New Roman" w:hAnsi="Times New Roman" w:cs="Times New Roman"/>
                <w:sz w:val="22"/>
                <w:szCs w:val="22"/>
                <w:lang w:eastAsia="ru-RU"/>
              </w:rPr>
            </w:pPr>
            <w:r w:rsidRPr="00315477">
              <w:rPr>
                <w:rFonts w:ascii="Times New Roman" w:hAnsi="Times New Roman" w:cs="Times New Roman"/>
                <w:sz w:val="22"/>
                <w:szCs w:val="22"/>
                <w:lang w:eastAsia="ru-RU"/>
              </w:rPr>
              <w:t xml:space="preserve"> </w:t>
            </w:r>
          </w:p>
          <w:p w14:paraId="6D16DEFD" w14:textId="77777777" w:rsidR="00D41138" w:rsidRPr="00315477" w:rsidRDefault="00D41138" w:rsidP="005B3408">
            <w:pPr>
              <w:ind w:left="63"/>
              <w:rPr>
                <w:rFonts w:ascii="Times New Roman" w:hAnsi="Times New Roman" w:cs="Times New Roman"/>
                <w:sz w:val="22"/>
                <w:szCs w:val="22"/>
                <w:lang w:eastAsia="ru-RU"/>
              </w:rPr>
            </w:pPr>
            <w:r w:rsidRPr="00315477">
              <w:rPr>
                <w:rFonts w:ascii="Times New Roman" w:hAnsi="Times New Roman" w:cs="Times New Roman"/>
                <w:sz w:val="22"/>
                <w:szCs w:val="22"/>
                <w:lang w:eastAsia="ru-RU"/>
              </w:rPr>
              <w:t xml:space="preserve">Ingen aftendosis af ivacaftor. </w:t>
            </w:r>
          </w:p>
        </w:tc>
        <w:tc>
          <w:tcPr>
            <w:tcW w:w="1947" w:type="pct"/>
            <w:tcBorders>
              <w:top w:val="single" w:sz="4" w:space="0" w:color="000000"/>
              <w:left w:val="single" w:sz="4" w:space="0" w:color="000000"/>
              <w:bottom w:val="single" w:sz="4" w:space="0" w:color="000000"/>
              <w:right w:val="single" w:sz="4" w:space="0" w:color="000000"/>
            </w:tcBorders>
            <w:tcMar>
              <w:top w:w="28" w:type="dxa"/>
              <w:left w:w="0" w:type="dxa"/>
              <w:bottom w:w="28" w:type="dxa"/>
              <w:right w:w="0" w:type="dxa"/>
            </w:tcMar>
            <w:hideMark/>
          </w:tcPr>
          <w:p w14:paraId="21757E5B" w14:textId="77777777" w:rsidR="00D41138" w:rsidRPr="00315477" w:rsidRDefault="00D41138" w:rsidP="005B3408">
            <w:pPr>
              <w:ind w:left="74"/>
              <w:rPr>
                <w:rFonts w:ascii="Times New Roman" w:hAnsi="Times New Roman" w:cs="Times New Roman"/>
                <w:sz w:val="22"/>
                <w:szCs w:val="22"/>
                <w:lang w:eastAsia="ru-RU"/>
              </w:rPr>
            </w:pPr>
            <w:r w:rsidRPr="00315477">
              <w:rPr>
                <w:rFonts w:ascii="Times New Roman" w:hAnsi="Times New Roman" w:cs="Times New Roman"/>
                <w:sz w:val="22"/>
                <w:szCs w:val="22"/>
                <w:lang w:eastAsia="ru-RU"/>
              </w:rPr>
              <w:t xml:space="preserve">Én morgentablet med tezacaftor </w:t>
            </w:r>
            <w:r w:rsidRPr="00315477">
              <w:rPr>
                <w:rFonts w:ascii="Times New Roman" w:hAnsi="Times New Roman" w:cs="Times New Roman"/>
                <w:sz w:val="22"/>
                <w:szCs w:val="22"/>
                <w:lang w:eastAsia="ru-RU"/>
              </w:rPr>
              <w:br/>
              <w:t xml:space="preserve">100 mg/ivacaftor 150 mg to gange om </w:t>
            </w:r>
          </w:p>
          <w:p w14:paraId="337D3902" w14:textId="77777777" w:rsidR="00D41138" w:rsidRPr="00315477" w:rsidRDefault="00D41138" w:rsidP="005B3408">
            <w:pPr>
              <w:ind w:left="74"/>
              <w:rPr>
                <w:rFonts w:ascii="Times New Roman" w:hAnsi="Times New Roman" w:cs="Times New Roman"/>
                <w:sz w:val="22"/>
                <w:szCs w:val="22"/>
                <w:lang w:eastAsia="ru-RU"/>
              </w:rPr>
            </w:pPr>
            <w:r w:rsidRPr="00315477">
              <w:rPr>
                <w:rFonts w:ascii="Times New Roman" w:hAnsi="Times New Roman" w:cs="Times New Roman"/>
                <w:sz w:val="22"/>
                <w:szCs w:val="22"/>
                <w:lang w:eastAsia="ru-RU"/>
              </w:rPr>
              <w:t xml:space="preserve">ugen med ca. 3 til 4 dages mellemrum. </w:t>
            </w:r>
          </w:p>
          <w:p w14:paraId="6600D44C" w14:textId="77777777" w:rsidR="00D41138" w:rsidRPr="00315477" w:rsidRDefault="00D41138" w:rsidP="005B3408">
            <w:pPr>
              <w:ind w:left="74"/>
              <w:rPr>
                <w:rFonts w:ascii="Times New Roman" w:hAnsi="Times New Roman" w:cs="Times New Roman"/>
                <w:sz w:val="22"/>
                <w:szCs w:val="22"/>
                <w:lang w:eastAsia="ru-RU"/>
              </w:rPr>
            </w:pPr>
            <w:r w:rsidRPr="00315477">
              <w:rPr>
                <w:rFonts w:ascii="Times New Roman" w:hAnsi="Times New Roman" w:cs="Times New Roman"/>
                <w:sz w:val="22"/>
                <w:szCs w:val="22"/>
                <w:lang w:eastAsia="ru-RU"/>
              </w:rPr>
              <w:t xml:space="preserve"> </w:t>
            </w:r>
          </w:p>
          <w:p w14:paraId="48DD47E4" w14:textId="77777777" w:rsidR="00D41138" w:rsidRPr="00315477" w:rsidRDefault="00D41138" w:rsidP="005B3408">
            <w:pPr>
              <w:ind w:left="74"/>
              <w:rPr>
                <w:rFonts w:ascii="Times New Roman" w:hAnsi="Times New Roman" w:cs="Times New Roman"/>
                <w:sz w:val="22"/>
                <w:szCs w:val="22"/>
                <w:lang w:eastAsia="ru-RU"/>
              </w:rPr>
            </w:pPr>
            <w:r w:rsidRPr="00315477">
              <w:rPr>
                <w:rFonts w:ascii="Times New Roman" w:hAnsi="Times New Roman" w:cs="Times New Roman"/>
                <w:sz w:val="22"/>
                <w:szCs w:val="22"/>
                <w:lang w:eastAsia="ru-RU"/>
              </w:rPr>
              <w:t xml:space="preserve">Ingen aftendosis af ivacaftor. </w:t>
            </w:r>
          </w:p>
        </w:tc>
      </w:tr>
      <w:tr w:rsidR="00D41138" w:rsidRPr="00315477" w14:paraId="752CE841" w14:textId="77777777" w:rsidTr="002748AE">
        <w:trPr>
          <w:trHeight w:val="227"/>
          <w:jc w:val="center"/>
        </w:trPr>
        <w:tc>
          <w:tcPr>
            <w:tcW w:w="919" w:type="pct"/>
            <w:tcBorders>
              <w:top w:val="single" w:sz="4" w:space="0" w:color="000000"/>
              <w:left w:val="single" w:sz="4" w:space="0" w:color="000000"/>
              <w:bottom w:val="single" w:sz="4" w:space="0" w:color="000000"/>
              <w:right w:val="single" w:sz="4" w:space="0" w:color="000000"/>
            </w:tcBorders>
            <w:tcMar>
              <w:top w:w="28" w:type="dxa"/>
              <w:left w:w="0" w:type="dxa"/>
              <w:bottom w:w="28" w:type="dxa"/>
              <w:right w:w="0" w:type="dxa"/>
            </w:tcMar>
            <w:hideMark/>
          </w:tcPr>
          <w:p w14:paraId="045369C5" w14:textId="77777777" w:rsidR="00D41138" w:rsidRPr="00315477" w:rsidRDefault="00D41138" w:rsidP="002748AE">
            <w:pPr>
              <w:ind w:left="113"/>
              <w:rPr>
                <w:rFonts w:ascii="Times New Roman" w:hAnsi="Times New Roman" w:cs="Times New Roman"/>
                <w:sz w:val="22"/>
                <w:szCs w:val="22"/>
                <w:lang w:eastAsia="ru-RU"/>
              </w:rPr>
            </w:pPr>
            <w:r w:rsidRPr="00315477">
              <w:rPr>
                <w:rFonts w:ascii="Times New Roman" w:hAnsi="Times New Roman" w:cs="Times New Roman"/>
                <w:sz w:val="22"/>
                <w:szCs w:val="22"/>
                <w:lang w:eastAsia="ru-RU"/>
              </w:rPr>
              <w:t xml:space="preserve">12 år og ældre </w:t>
            </w:r>
          </w:p>
        </w:tc>
        <w:tc>
          <w:tcPr>
            <w:tcW w:w="2134" w:type="pct"/>
            <w:tcBorders>
              <w:top w:val="single" w:sz="4" w:space="0" w:color="000000"/>
              <w:left w:val="single" w:sz="4" w:space="0" w:color="000000"/>
              <w:bottom w:val="single" w:sz="4" w:space="0" w:color="000000"/>
              <w:right w:val="single" w:sz="4" w:space="0" w:color="000000"/>
            </w:tcBorders>
            <w:tcMar>
              <w:top w:w="28" w:type="dxa"/>
              <w:left w:w="0" w:type="dxa"/>
              <w:bottom w:w="28" w:type="dxa"/>
              <w:right w:w="0" w:type="dxa"/>
            </w:tcMar>
            <w:hideMark/>
          </w:tcPr>
          <w:p w14:paraId="0F0D4C5D" w14:textId="77777777" w:rsidR="00D41138" w:rsidRPr="00315477" w:rsidRDefault="00D41138" w:rsidP="005B3408">
            <w:pPr>
              <w:ind w:left="63"/>
              <w:rPr>
                <w:rFonts w:ascii="Times New Roman" w:hAnsi="Times New Roman" w:cs="Times New Roman"/>
                <w:sz w:val="22"/>
                <w:szCs w:val="22"/>
                <w:lang w:eastAsia="ru-RU"/>
              </w:rPr>
            </w:pPr>
            <w:r w:rsidRPr="00315477">
              <w:rPr>
                <w:rFonts w:ascii="Times New Roman" w:hAnsi="Times New Roman" w:cs="Times New Roman"/>
                <w:sz w:val="22"/>
                <w:szCs w:val="22"/>
                <w:lang w:eastAsia="ru-RU"/>
              </w:rPr>
              <w:t xml:space="preserve">Skiftevis hver dag: </w:t>
            </w:r>
          </w:p>
          <w:p w14:paraId="0C373C31" w14:textId="77777777" w:rsidR="00D41138" w:rsidRPr="00315477" w:rsidRDefault="00D41138" w:rsidP="005B3408">
            <w:pPr>
              <w:numPr>
                <w:ilvl w:val="0"/>
                <w:numId w:val="9"/>
              </w:numPr>
              <w:autoSpaceDN w:val="0"/>
              <w:ind w:left="347" w:hanging="284"/>
              <w:rPr>
                <w:rFonts w:ascii="Times New Roman" w:hAnsi="Times New Roman" w:cs="Times New Roman"/>
                <w:sz w:val="22"/>
                <w:szCs w:val="22"/>
                <w:lang w:eastAsia="ru-RU"/>
              </w:rPr>
            </w:pPr>
            <w:r w:rsidRPr="00315477">
              <w:rPr>
                <w:rFonts w:ascii="Times New Roman" w:hAnsi="Times New Roman" w:cs="Times New Roman"/>
                <w:sz w:val="22"/>
                <w:szCs w:val="22"/>
                <w:lang w:eastAsia="ru-RU"/>
              </w:rPr>
              <w:t xml:space="preserve">én morgentablet med tezacaftor </w:t>
            </w:r>
            <w:r w:rsidRPr="00315477">
              <w:rPr>
                <w:rFonts w:ascii="Times New Roman" w:hAnsi="Times New Roman" w:cs="Times New Roman"/>
                <w:sz w:val="22"/>
                <w:szCs w:val="22"/>
                <w:lang w:eastAsia="ru-RU"/>
              </w:rPr>
              <w:br/>
              <w:t xml:space="preserve">100 mg/ivacaftor 150 mg den første dag </w:t>
            </w:r>
          </w:p>
          <w:p w14:paraId="3E0CE451" w14:textId="77777777" w:rsidR="00D41138" w:rsidRPr="00315477" w:rsidRDefault="00D41138" w:rsidP="005B3408">
            <w:pPr>
              <w:numPr>
                <w:ilvl w:val="0"/>
                <w:numId w:val="9"/>
              </w:numPr>
              <w:autoSpaceDN w:val="0"/>
              <w:ind w:left="347" w:hanging="284"/>
              <w:rPr>
                <w:rFonts w:ascii="Times New Roman" w:hAnsi="Times New Roman" w:cs="Times New Roman"/>
                <w:sz w:val="22"/>
                <w:szCs w:val="22"/>
                <w:lang w:eastAsia="ru-RU"/>
              </w:rPr>
            </w:pPr>
            <w:r w:rsidRPr="00315477">
              <w:rPr>
                <w:rFonts w:ascii="Times New Roman" w:hAnsi="Times New Roman" w:cs="Times New Roman"/>
                <w:sz w:val="22"/>
                <w:szCs w:val="22"/>
                <w:lang w:eastAsia="ru-RU"/>
              </w:rPr>
              <w:t xml:space="preserve">én morgentablet med ivacaftor </w:t>
            </w:r>
            <w:r w:rsidRPr="00315477">
              <w:rPr>
                <w:rFonts w:ascii="Times New Roman" w:hAnsi="Times New Roman" w:cs="Times New Roman"/>
                <w:sz w:val="22"/>
                <w:szCs w:val="22"/>
                <w:lang w:eastAsia="ru-RU"/>
              </w:rPr>
              <w:br/>
              <w:t xml:space="preserve">150 mg den næste dag. </w:t>
            </w:r>
          </w:p>
          <w:p w14:paraId="0F9FB9F7" w14:textId="77777777" w:rsidR="00D41138" w:rsidRPr="00315477" w:rsidRDefault="00D41138" w:rsidP="005B3408">
            <w:pPr>
              <w:ind w:left="63"/>
              <w:rPr>
                <w:rFonts w:ascii="Times New Roman" w:hAnsi="Times New Roman" w:cs="Times New Roman"/>
                <w:sz w:val="22"/>
                <w:szCs w:val="22"/>
                <w:lang w:eastAsia="ru-RU"/>
              </w:rPr>
            </w:pPr>
            <w:r w:rsidRPr="00315477">
              <w:rPr>
                <w:rFonts w:ascii="Times New Roman" w:hAnsi="Times New Roman" w:cs="Times New Roman"/>
                <w:sz w:val="22"/>
                <w:szCs w:val="22"/>
                <w:lang w:eastAsia="ru-RU"/>
              </w:rPr>
              <w:t xml:space="preserve"> </w:t>
            </w:r>
          </w:p>
          <w:p w14:paraId="7DADF798" w14:textId="77777777" w:rsidR="00D41138" w:rsidRPr="00315477" w:rsidRDefault="00D41138" w:rsidP="005B3408">
            <w:pPr>
              <w:ind w:left="63"/>
              <w:rPr>
                <w:rFonts w:ascii="Times New Roman" w:hAnsi="Times New Roman" w:cs="Times New Roman"/>
                <w:sz w:val="22"/>
                <w:szCs w:val="22"/>
                <w:lang w:eastAsia="ru-RU"/>
              </w:rPr>
            </w:pPr>
            <w:r w:rsidRPr="00315477">
              <w:rPr>
                <w:rFonts w:ascii="Times New Roman" w:hAnsi="Times New Roman" w:cs="Times New Roman"/>
                <w:sz w:val="22"/>
                <w:szCs w:val="22"/>
                <w:lang w:eastAsia="ru-RU"/>
              </w:rPr>
              <w:t xml:space="preserve">Ingen aftendosis af ivacaftor. </w:t>
            </w:r>
          </w:p>
        </w:tc>
        <w:tc>
          <w:tcPr>
            <w:tcW w:w="1947" w:type="pct"/>
            <w:tcBorders>
              <w:top w:val="single" w:sz="4" w:space="0" w:color="000000"/>
              <w:left w:val="single" w:sz="4" w:space="0" w:color="000000"/>
              <w:bottom w:val="single" w:sz="4" w:space="0" w:color="000000"/>
              <w:right w:val="single" w:sz="4" w:space="0" w:color="000000"/>
            </w:tcBorders>
            <w:tcMar>
              <w:top w:w="28" w:type="dxa"/>
              <w:left w:w="0" w:type="dxa"/>
              <w:bottom w:w="28" w:type="dxa"/>
              <w:right w:w="0" w:type="dxa"/>
            </w:tcMar>
            <w:hideMark/>
          </w:tcPr>
          <w:p w14:paraId="16006B45" w14:textId="77777777" w:rsidR="00D41138" w:rsidRPr="00315477" w:rsidRDefault="00D41138" w:rsidP="005B3408">
            <w:pPr>
              <w:ind w:left="74"/>
              <w:rPr>
                <w:rFonts w:ascii="Times New Roman" w:hAnsi="Times New Roman" w:cs="Times New Roman"/>
                <w:sz w:val="22"/>
                <w:szCs w:val="22"/>
                <w:lang w:eastAsia="ru-RU"/>
              </w:rPr>
            </w:pPr>
            <w:r w:rsidRPr="00315477">
              <w:rPr>
                <w:rFonts w:ascii="Times New Roman" w:hAnsi="Times New Roman" w:cs="Times New Roman"/>
                <w:sz w:val="22"/>
                <w:szCs w:val="22"/>
                <w:lang w:eastAsia="ru-RU"/>
              </w:rPr>
              <w:t xml:space="preserve">Én morgentablet med tezacaftor </w:t>
            </w:r>
            <w:r w:rsidRPr="00315477">
              <w:rPr>
                <w:rFonts w:ascii="Times New Roman" w:hAnsi="Times New Roman" w:cs="Times New Roman"/>
                <w:sz w:val="22"/>
                <w:szCs w:val="22"/>
                <w:lang w:eastAsia="ru-RU"/>
              </w:rPr>
              <w:br/>
              <w:t xml:space="preserve">100 mg/ivacaftor 150 mg to gange om </w:t>
            </w:r>
          </w:p>
          <w:p w14:paraId="29200305" w14:textId="77777777" w:rsidR="00D41138" w:rsidRPr="00315477" w:rsidRDefault="00D41138" w:rsidP="005B3408">
            <w:pPr>
              <w:ind w:left="74"/>
              <w:rPr>
                <w:rFonts w:ascii="Times New Roman" w:hAnsi="Times New Roman" w:cs="Times New Roman"/>
                <w:sz w:val="22"/>
                <w:szCs w:val="22"/>
                <w:lang w:eastAsia="ru-RU"/>
              </w:rPr>
            </w:pPr>
            <w:r w:rsidRPr="00315477">
              <w:rPr>
                <w:rFonts w:ascii="Times New Roman" w:hAnsi="Times New Roman" w:cs="Times New Roman"/>
                <w:sz w:val="22"/>
                <w:szCs w:val="22"/>
                <w:lang w:eastAsia="ru-RU"/>
              </w:rPr>
              <w:t xml:space="preserve">ugen med ca. 3 til 4 dages mellemrum. </w:t>
            </w:r>
          </w:p>
          <w:p w14:paraId="4C209F32" w14:textId="77777777" w:rsidR="00D41138" w:rsidRPr="00315477" w:rsidRDefault="00D41138" w:rsidP="005B3408">
            <w:pPr>
              <w:ind w:left="74"/>
              <w:rPr>
                <w:rFonts w:ascii="Times New Roman" w:hAnsi="Times New Roman" w:cs="Times New Roman"/>
                <w:sz w:val="22"/>
                <w:szCs w:val="22"/>
                <w:lang w:eastAsia="ru-RU"/>
              </w:rPr>
            </w:pPr>
            <w:r w:rsidRPr="00315477">
              <w:rPr>
                <w:rFonts w:ascii="Times New Roman" w:hAnsi="Times New Roman" w:cs="Times New Roman"/>
                <w:sz w:val="22"/>
                <w:szCs w:val="22"/>
                <w:lang w:eastAsia="ru-RU"/>
              </w:rPr>
              <w:t xml:space="preserve"> </w:t>
            </w:r>
          </w:p>
          <w:p w14:paraId="1A882CD7" w14:textId="77777777" w:rsidR="00D41138" w:rsidRPr="00315477" w:rsidRDefault="00D41138" w:rsidP="005B3408">
            <w:pPr>
              <w:ind w:left="74"/>
              <w:rPr>
                <w:rFonts w:ascii="Times New Roman" w:hAnsi="Times New Roman" w:cs="Times New Roman"/>
                <w:sz w:val="22"/>
                <w:szCs w:val="22"/>
                <w:lang w:eastAsia="ru-RU"/>
              </w:rPr>
            </w:pPr>
            <w:r w:rsidRPr="00315477">
              <w:rPr>
                <w:rFonts w:ascii="Times New Roman" w:hAnsi="Times New Roman" w:cs="Times New Roman"/>
                <w:sz w:val="22"/>
                <w:szCs w:val="22"/>
                <w:lang w:eastAsia="ru-RU"/>
              </w:rPr>
              <w:t xml:space="preserve">Ingen aftendosis af ivacaftor. </w:t>
            </w:r>
          </w:p>
        </w:tc>
      </w:tr>
      <w:tr w:rsidR="00D41138" w:rsidRPr="00315477" w14:paraId="0EB41AF5" w14:textId="77777777" w:rsidTr="002748AE">
        <w:trPr>
          <w:trHeight w:val="227"/>
          <w:jc w:val="center"/>
        </w:trPr>
        <w:tc>
          <w:tcPr>
            <w:tcW w:w="5000" w:type="pct"/>
            <w:gridSpan w:val="3"/>
            <w:tcBorders>
              <w:top w:val="single" w:sz="4" w:space="0" w:color="000000"/>
              <w:left w:val="single" w:sz="4" w:space="0" w:color="000000"/>
              <w:bottom w:val="single" w:sz="4" w:space="0" w:color="000000"/>
              <w:right w:val="single" w:sz="4" w:space="0" w:color="000000"/>
            </w:tcBorders>
            <w:tcMar>
              <w:top w:w="28" w:type="dxa"/>
              <w:left w:w="0" w:type="dxa"/>
              <w:bottom w:w="28" w:type="dxa"/>
              <w:right w:w="0" w:type="dxa"/>
            </w:tcMar>
            <w:hideMark/>
          </w:tcPr>
          <w:p w14:paraId="56D6EFA3" w14:textId="77777777" w:rsidR="00D41138" w:rsidRPr="00315477" w:rsidRDefault="00D41138" w:rsidP="005B3408">
            <w:pPr>
              <w:ind w:left="74"/>
              <w:rPr>
                <w:rFonts w:ascii="Times New Roman" w:hAnsi="Times New Roman" w:cs="Times New Roman"/>
                <w:sz w:val="22"/>
                <w:szCs w:val="22"/>
                <w:lang w:eastAsia="ru-RU"/>
              </w:rPr>
            </w:pPr>
            <w:r w:rsidRPr="00315477">
              <w:rPr>
                <w:rFonts w:ascii="Times New Roman" w:hAnsi="Times New Roman" w:cs="Times New Roman"/>
                <w:b/>
                <w:sz w:val="22"/>
                <w:szCs w:val="22"/>
                <w:lang w:eastAsia="ru-RU"/>
              </w:rPr>
              <w:t xml:space="preserve">Ivacaftor i et kombinationregime med ivacaftor/tezacaftor/elexacaftor </w:t>
            </w:r>
          </w:p>
        </w:tc>
      </w:tr>
      <w:tr w:rsidR="00D41138" w:rsidRPr="00315477" w14:paraId="2ED78212" w14:textId="77777777" w:rsidTr="002748AE">
        <w:trPr>
          <w:trHeight w:val="227"/>
          <w:jc w:val="center"/>
        </w:trPr>
        <w:tc>
          <w:tcPr>
            <w:tcW w:w="919" w:type="pct"/>
            <w:tcBorders>
              <w:top w:val="single" w:sz="4" w:space="0" w:color="000000"/>
              <w:left w:val="single" w:sz="4" w:space="0" w:color="000000"/>
              <w:bottom w:val="single" w:sz="4" w:space="0" w:color="000000"/>
              <w:right w:val="single" w:sz="4" w:space="0" w:color="000000"/>
            </w:tcBorders>
            <w:tcMar>
              <w:top w:w="28" w:type="dxa"/>
              <w:left w:w="0" w:type="dxa"/>
              <w:bottom w:w="28" w:type="dxa"/>
              <w:right w:w="0" w:type="dxa"/>
            </w:tcMar>
            <w:hideMark/>
          </w:tcPr>
          <w:p w14:paraId="2E7ADB35" w14:textId="77777777" w:rsidR="00D41138" w:rsidRPr="00315477" w:rsidRDefault="00D41138" w:rsidP="002748AE">
            <w:pPr>
              <w:ind w:left="113"/>
              <w:rPr>
                <w:rFonts w:ascii="Times New Roman" w:hAnsi="Times New Roman" w:cs="Times New Roman"/>
                <w:sz w:val="22"/>
                <w:szCs w:val="22"/>
                <w:lang w:eastAsia="ru-RU"/>
              </w:rPr>
            </w:pPr>
            <w:r w:rsidRPr="00315477">
              <w:rPr>
                <w:rFonts w:ascii="Times New Roman" w:hAnsi="Times New Roman" w:cs="Times New Roman"/>
                <w:sz w:val="22"/>
                <w:szCs w:val="22"/>
                <w:lang w:eastAsia="ru-RU"/>
              </w:rPr>
              <w:t xml:space="preserve">6 år til &lt; 12 år, </w:t>
            </w:r>
            <w:r w:rsidRPr="00315477">
              <w:rPr>
                <w:rFonts w:ascii="Times New Roman" w:hAnsi="Times New Roman" w:cs="Times New Roman"/>
                <w:sz w:val="22"/>
                <w:szCs w:val="22"/>
                <w:lang w:eastAsia="ru-RU"/>
              </w:rPr>
              <w:br/>
              <w:t xml:space="preserve">&lt; 30 kg </w:t>
            </w:r>
          </w:p>
        </w:tc>
        <w:tc>
          <w:tcPr>
            <w:tcW w:w="2134" w:type="pct"/>
            <w:tcBorders>
              <w:top w:val="single" w:sz="4" w:space="0" w:color="000000"/>
              <w:left w:val="single" w:sz="4" w:space="0" w:color="000000"/>
              <w:bottom w:val="single" w:sz="4" w:space="0" w:color="000000"/>
              <w:right w:val="single" w:sz="4" w:space="0" w:color="000000"/>
            </w:tcBorders>
            <w:tcMar>
              <w:top w:w="28" w:type="dxa"/>
              <w:left w:w="0" w:type="dxa"/>
              <w:bottom w:w="28" w:type="dxa"/>
              <w:right w:w="0" w:type="dxa"/>
            </w:tcMar>
            <w:hideMark/>
          </w:tcPr>
          <w:p w14:paraId="3A384E8E" w14:textId="77777777" w:rsidR="00D41138" w:rsidRPr="00315477" w:rsidRDefault="00D41138" w:rsidP="005B3408">
            <w:pPr>
              <w:ind w:left="63"/>
              <w:rPr>
                <w:rFonts w:ascii="Times New Roman" w:hAnsi="Times New Roman" w:cs="Times New Roman"/>
                <w:sz w:val="22"/>
                <w:szCs w:val="22"/>
                <w:lang w:eastAsia="ru-RU"/>
              </w:rPr>
            </w:pPr>
            <w:r w:rsidRPr="00315477">
              <w:rPr>
                <w:rFonts w:ascii="Times New Roman" w:hAnsi="Times New Roman" w:cs="Times New Roman"/>
                <w:sz w:val="22"/>
                <w:szCs w:val="22"/>
                <w:lang w:eastAsia="ru-RU"/>
              </w:rPr>
              <w:t xml:space="preserve">Skiftevis hver dag:  </w:t>
            </w:r>
          </w:p>
          <w:p w14:paraId="1D2A704F" w14:textId="76CFF28E" w:rsidR="00D41138" w:rsidRPr="00315477" w:rsidRDefault="00D41138" w:rsidP="005B3408">
            <w:pPr>
              <w:numPr>
                <w:ilvl w:val="0"/>
                <w:numId w:val="10"/>
              </w:numPr>
              <w:autoSpaceDN w:val="0"/>
              <w:ind w:left="347" w:hanging="284"/>
              <w:rPr>
                <w:rFonts w:ascii="Times New Roman" w:hAnsi="Times New Roman" w:cs="Times New Roman"/>
                <w:sz w:val="22"/>
                <w:szCs w:val="22"/>
                <w:lang w:eastAsia="ru-RU"/>
              </w:rPr>
            </w:pPr>
            <w:r w:rsidRPr="00315477">
              <w:rPr>
                <w:rFonts w:ascii="Times New Roman" w:hAnsi="Times New Roman" w:cs="Times New Roman"/>
                <w:sz w:val="22"/>
                <w:szCs w:val="22"/>
                <w:lang w:eastAsia="ru-RU"/>
              </w:rPr>
              <w:t xml:space="preserve">to morgentabletter med ivacaftor </w:t>
            </w:r>
            <w:r w:rsidRPr="00315477">
              <w:rPr>
                <w:rFonts w:ascii="Times New Roman" w:hAnsi="Times New Roman" w:cs="Times New Roman"/>
                <w:sz w:val="22"/>
                <w:szCs w:val="22"/>
                <w:lang w:eastAsia="ru-RU"/>
              </w:rPr>
              <w:br/>
              <w:t>37,5 mg/tezacaftor 25 mg/elexacaftor 50</w:t>
            </w:r>
            <w:r w:rsidR="005B3408">
              <w:rPr>
                <w:rFonts w:ascii="Times New Roman" w:hAnsi="Times New Roman" w:cs="Times New Roman"/>
                <w:sz w:val="22"/>
                <w:szCs w:val="22"/>
                <w:lang w:val="da-DK" w:eastAsia="ru-RU"/>
              </w:rPr>
              <w:t> </w:t>
            </w:r>
            <w:r w:rsidRPr="00315477">
              <w:rPr>
                <w:rFonts w:ascii="Times New Roman" w:hAnsi="Times New Roman" w:cs="Times New Roman"/>
                <w:sz w:val="22"/>
                <w:szCs w:val="22"/>
                <w:lang w:eastAsia="ru-RU"/>
              </w:rPr>
              <w:t xml:space="preserve">mg den første dag  </w:t>
            </w:r>
          </w:p>
          <w:p w14:paraId="00234E8F" w14:textId="77777777" w:rsidR="00D41138" w:rsidRPr="00315477" w:rsidRDefault="00D41138" w:rsidP="005B3408">
            <w:pPr>
              <w:numPr>
                <w:ilvl w:val="0"/>
                <w:numId w:val="10"/>
              </w:numPr>
              <w:autoSpaceDN w:val="0"/>
              <w:ind w:left="347" w:hanging="284"/>
              <w:rPr>
                <w:rFonts w:ascii="Times New Roman" w:hAnsi="Times New Roman" w:cs="Times New Roman"/>
                <w:sz w:val="22"/>
                <w:szCs w:val="22"/>
                <w:lang w:eastAsia="ru-RU"/>
              </w:rPr>
            </w:pPr>
            <w:r w:rsidRPr="00315477">
              <w:rPr>
                <w:rFonts w:ascii="Times New Roman" w:hAnsi="Times New Roman" w:cs="Times New Roman"/>
                <w:sz w:val="22"/>
                <w:szCs w:val="22"/>
                <w:lang w:eastAsia="ru-RU"/>
              </w:rPr>
              <w:t xml:space="preserve">én morgentablet med ivacaftor </w:t>
            </w:r>
            <w:r w:rsidRPr="00315477">
              <w:rPr>
                <w:rFonts w:ascii="Times New Roman" w:hAnsi="Times New Roman" w:cs="Times New Roman"/>
                <w:sz w:val="22"/>
                <w:szCs w:val="22"/>
                <w:lang w:eastAsia="ru-RU"/>
              </w:rPr>
              <w:br/>
              <w:t>75 mg den næste dag.</w:t>
            </w:r>
            <w:r w:rsidRPr="00315477">
              <w:rPr>
                <w:rFonts w:ascii="Times New Roman" w:hAnsi="Times New Roman" w:cs="Times New Roman"/>
                <w:sz w:val="22"/>
                <w:szCs w:val="22"/>
                <w:vertAlign w:val="superscript"/>
                <w:lang w:eastAsia="ru-RU"/>
              </w:rPr>
              <w:t>*</w:t>
            </w:r>
          </w:p>
          <w:p w14:paraId="65897ED7" w14:textId="77777777" w:rsidR="00D41138" w:rsidRPr="00315477" w:rsidRDefault="00D41138" w:rsidP="005B3408">
            <w:pPr>
              <w:ind w:left="63"/>
              <w:rPr>
                <w:rFonts w:ascii="Times New Roman" w:hAnsi="Times New Roman" w:cs="Times New Roman"/>
                <w:sz w:val="22"/>
                <w:szCs w:val="22"/>
                <w:lang w:eastAsia="ru-RU"/>
              </w:rPr>
            </w:pPr>
            <w:r w:rsidRPr="00315477">
              <w:rPr>
                <w:rFonts w:ascii="Times New Roman" w:hAnsi="Times New Roman" w:cs="Times New Roman"/>
                <w:sz w:val="22"/>
                <w:szCs w:val="22"/>
                <w:lang w:eastAsia="ru-RU"/>
              </w:rPr>
              <w:t xml:space="preserve"> </w:t>
            </w:r>
          </w:p>
          <w:p w14:paraId="66D3F577" w14:textId="77777777" w:rsidR="00D41138" w:rsidRPr="00315477" w:rsidRDefault="00D41138" w:rsidP="005B3408">
            <w:pPr>
              <w:ind w:left="63"/>
              <w:rPr>
                <w:rFonts w:ascii="Times New Roman" w:hAnsi="Times New Roman" w:cs="Times New Roman"/>
                <w:sz w:val="22"/>
                <w:szCs w:val="22"/>
                <w:lang w:eastAsia="ru-RU"/>
              </w:rPr>
            </w:pPr>
            <w:r w:rsidRPr="00315477">
              <w:rPr>
                <w:rFonts w:ascii="Times New Roman" w:hAnsi="Times New Roman" w:cs="Times New Roman"/>
                <w:sz w:val="22"/>
                <w:szCs w:val="22"/>
                <w:lang w:eastAsia="ru-RU"/>
              </w:rPr>
              <w:lastRenderedPageBreak/>
              <w:t xml:space="preserve">Ingen aftendosis af ivacaftor. </w:t>
            </w:r>
          </w:p>
        </w:tc>
        <w:tc>
          <w:tcPr>
            <w:tcW w:w="1947" w:type="pct"/>
            <w:tcBorders>
              <w:top w:val="single" w:sz="4" w:space="0" w:color="000000"/>
              <w:left w:val="single" w:sz="4" w:space="0" w:color="000000"/>
              <w:bottom w:val="single" w:sz="4" w:space="0" w:color="000000"/>
              <w:right w:val="single" w:sz="4" w:space="0" w:color="000000"/>
            </w:tcBorders>
            <w:tcMar>
              <w:top w:w="28" w:type="dxa"/>
              <w:left w:w="0" w:type="dxa"/>
              <w:bottom w:w="28" w:type="dxa"/>
              <w:right w:w="0" w:type="dxa"/>
            </w:tcMar>
            <w:hideMark/>
          </w:tcPr>
          <w:p w14:paraId="6C7CCC04" w14:textId="77777777" w:rsidR="00D41138" w:rsidRPr="00315477" w:rsidRDefault="00D41138" w:rsidP="005B3408">
            <w:pPr>
              <w:ind w:left="74"/>
              <w:rPr>
                <w:rFonts w:ascii="Times New Roman" w:hAnsi="Times New Roman" w:cs="Times New Roman"/>
                <w:sz w:val="22"/>
                <w:szCs w:val="22"/>
                <w:lang w:eastAsia="ru-RU"/>
              </w:rPr>
            </w:pPr>
            <w:r w:rsidRPr="00315477">
              <w:rPr>
                <w:rFonts w:ascii="Times New Roman" w:hAnsi="Times New Roman" w:cs="Times New Roman"/>
                <w:sz w:val="22"/>
                <w:szCs w:val="22"/>
                <w:lang w:eastAsia="ru-RU"/>
              </w:rPr>
              <w:lastRenderedPageBreak/>
              <w:t xml:space="preserve">To morgentabletter med </w:t>
            </w:r>
          </w:p>
          <w:p w14:paraId="0AABA3FA" w14:textId="77777777" w:rsidR="00D41138" w:rsidRPr="00315477" w:rsidRDefault="00D41138" w:rsidP="005B3408">
            <w:pPr>
              <w:ind w:left="74"/>
              <w:rPr>
                <w:rFonts w:ascii="Times New Roman" w:hAnsi="Times New Roman" w:cs="Times New Roman"/>
                <w:sz w:val="22"/>
                <w:szCs w:val="22"/>
                <w:lang w:eastAsia="ru-RU"/>
              </w:rPr>
            </w:pPr>
            <w:r w:rsidRPr="00315477">
              <w:rPr>
                <w:rFonts w:ascii="Times New Roman" w:hAnsi="Times New Roman" w:cs="Times New Roman"/>
                <w:sz w:val="22"/>
                <w:szCs w:val="22"/>
                <w:lang w:eastAsia="ru-RU"/>
              </w:rPr>
              <w:t xml:space="preserve">ivacaftor 37,5 mg/tezacaftor 25 mg/ elexacaftor 50 mg to gange om ugen med ca. 3 til 4 dages mellemrum. </w:t>
            </w:r>
          </w:p>
          <w:p w14:paraId="75BE5E4C" w14:textId="77777777" w:rsidR="00D41138" w:rsidRPr="00315477" w:rsidRDefault="00D41138" w:rsidP="005B3408">
            <w:pPr>
              <w:ind w:left="74"/>
              <w:rPr>
                <w:rFonts w:ascii="Times New Roman" w:hAnsi="Times New Roman" w:cs="Times New Roman"/>
                <w:sz w:val="22"/>
                <w:szCs w:val="22"/>
                <w:lang w:eastAsia="ru-RU"/>
              </w:rPr>
            </w:pPr>
            <w:r w:rsidRPr="00315477">
              <w:rPr>
                <w:rFonts w:ascii="Times New Roman" w:hAnsi="Times New Roman" w:cs="Times New Roman"/>
                <w:sz w:val="22"/>
                <w:szCs w:val="22"/>
                <w:lang w:eastAsia="ru-RU"/>
              </w:rPr>
              <w:t xml:space="preserve"> </w:t>
            </w:r>
          </w:p>
          <w:p w14:paraId="23347775" w14:textId="77777777" w:rsidR="00D41138" w:rsidRPr="00315477" w:rsidRDefault="00D41138" w:rsidP="005B3408">
            <w:pPr>
              <w:ind w:left="74"/>
              <w:rPr>
                <w:rFonts w:ascii="Times New Roman" w:hAnsi="Times New Roman" w:cs="Times New Roman"/>
                <w:sz w:val="22"/>
                <w:szCs w:val="22"/>
                <w:lang w:eastAsia="ru-RU"/>
              </w:rPr>
            </w:pPr>
            <w:r w:rsidRPr="00315477">
              <w:rPr>
                <w:rFonts w:ascii="Times New Roman" w:hAnsi="Times New Roman" w:cs="Times New Roman"/>
                <w:sz w:val="22"/>
                <w:szCs w:val="22"/>
                <w:lang w:eastAsia="ru-RU"/>
              </w:rPr>
              <w:t xml:space="preserve">Ingen aftendosis af ivacaftor. </w:t>
            </w:r>
          </w:p>
        </w:tc>
      </w:tr>
      <w:tr w:rsidR="00D41138" w:rsidRPr="00315477" w14:paraId="57F71DE5" w14:textId="77777777" w:rsidTr="002748AE">
        <w:trPr>
          <w:trHeight w:val="227"/>
          <w:jc w:val="center"/>
        </w:trPr>
        <w:tc>
          <w:tcPr>
            <w:tcW w:w="919" w:type="pct"/>
            <w:tcBorders>
              <w:top w:val="single" w:sz="4" w:space="0" w:color="000000"/>
              <w:left w:val="single" w:sz="4" w:space="0" w:color="000000"/>
              <w:bottom w:val="single" w:sz="4" w:space="0" w:color="000000"/>
              <w:right w:val="single" w:sz="4" w:space="0" w:color="000000"/>
            </w:tcBorders>
            <w:tcMar>
              <w:top w:w="28" w:type="dxa"/>
              <w:left w:w="0" w:type="dxa"/>
              <w:bottom w:w="28" w:type="dxa"/>
              <w:right w:w="0" w:type="dxa"/>
            </w:tcMar>
            <w:hideMark/>
          </w:tcPr>
          <w:p w14:paraId="1CA5B9B8" w14:textId="77777777" w:rsidR="00D41138" w:rsidRPr="00315477" w:rsidRDefault="00D41138" w:rsidP="002748AE">
            <w:pPr>
              <w:keepNext/>
              <w:ind w:left="113"/>
              <w:rPr>
                <w:rFonts w:ascii="Times New Roman" w:hAnsi="Times New Roman" w:cs="Times New Roman"/>
                <w:sz w:val="22"/>
                <w:szCs w:val="22"/>
                <w:lang w:eastAsia="ru-RU"/>
              </w:rPr>
            </w:pPr>
            <w:r w:rsidRPr="00315477">
              <w:rPr>
                <w:rFonts w:ascii="Times New Roman" w:hAnsi="Times New Roman" w:cs="Times New Roman"/>
                <w:sz w:val="22"/>
                <w:szCs w:val="22"/>
                <w:lang w:eastAsia="ru-RU"/>
              </w:rPr>
              <w:t xml:space="preserve">6 år til &lt; 12 år, </w:t>
            </w:r>
            <w:r w:rsidRPr="00315477">
              <w:rPr>
                <w:rFonts w:ascii="Times New Roman" w:hAnsi="Times New Roman" w:cs="Times New Roman"/>
                <w:sz w:val="22"/>
                <w:szCs w:val="22"/>
                <w:lang w:eastAsia="ru-RU"/>
              </w:rPr>
              <w:br/>
              <w:t xml:space="preserve">≥ 30 kg </w:t>
            </w:r>
          </w:p>
        </w:tc>
        <w:tc>
          <w:tcPr>
            <w:tcW w:w="2134" w:type="pct"/>
            <w:tcBorders>
              <w:top w:val="single" w:sz="4" w:space="0" w:color="000000"/>
              <w:left w:val="single" w:sz="4" w:space="0" w:color="000000"/>
              <w:bottom w:val="single" w:sz="4" w:space="0" w:color="000000"/>
              <w:right w:val="single" w:sz="4" w:space="0" w:color="000000"/>
            </w:tcBorders>
            <w:tcMar>
              <w:top w:w="28" w:type="dxa"/>
              <w:left w:w="0" w:type="dxa"/>
              <w:bottom w:w="28" w:type="dxa"/>
              <w:right w:w="0" w:type="dxa"/>
            </w:tcMar>
            <w:hideMark/>
          </w:tcPr>
          <w:p w14:paraId="1CD27EC5" w14:textId="77777777" w:rsidR="00D41138" w:rsidRPr="00315477" w:rsidRDefault="00D41138" w:rsidP="005B3408">
            <w:pPr>
              <w:keepNext/>
              <w:ind w:left="63"/>
              <w:rPr>
                <w:rFonts w:ascii="Times New Roman" w:hAnsi="Times New Roman" w:cs="Times New Roman"/>
                <w:sz w:val="22"/>
                <w:szCs w:val="22"/>
                <w:lang w:eastAsia="ru-RU"/>
              </w:rPr>
            </w:pPr>
            <w:r w:rsidRPr="00315477">
              <w:rPr>
                <w:rFonts w:ascii="Times New Roman" w:hAnsi="Times New Roman" w:cs="Times New Roman"/>
                <w:sz w:val="22"/>
                <w:szCs w:val="22"/>
                <w:lang w:eastAsia="ru-RU"/>
              </w:rPr>
              <w:t xml:space="preserve">Skiftevis hver dag:  </w:t>
            </w:r>
          </w:p>
          <w:p w14:paraId="52560483" w14:textId="68B3742A" w:rsidR="00D41138" w:rsidRPr="00315477" w:rsidRDefault="00D41138" w:rsidP="005B3408">
            <w:pPr>
              <w:keepNext/>
              <w:numPr>
                <w:ilvl w:val="0"/>
                <w:numId w:val="11"/>
              </w:numPr>
              <w:autoSpaceDN w:val="0"/>
              <w:ind w:left="347" w:hanging="284"/>
              <w:rPr>
                <w:rFonts w:ascii="Times New Roman" w:hAnsi="Times New Roman" w:cs="Times New Roman"/>
                <w:sz w:val="22"/>
                <w:szCs w:val="22"/>
                <w:lang w:eastAsia="ru-RU"/>
              </w:rPr>
            </w:pPr>
            <w:r w:rsidRPr="00315477">
              <w:rPr>
                <w:rFonts w:ascii="Times New Roman" w:hAnsi="Times New Roman" w:cs="Times New Roman"/>
                <w:sz w:val="22"/>
                <w:szCs w:val="22"/>
                <w:lang w:eastAsia="ru-RU"/>
              </w:rPr>
              <w:t xml:space="preserve">to morgentabletter med ivacaftor </w:t>
            </w:r>
            <w:r w:rsidRPr="00315477">
              <w:rPr>
                <w:rFonts w:ascii="Times New Roman" w:hAnsi="Times New Roman" w:cs="Times New Roman"/>
                <w:sz w:val="22"/>
                <w:szCs w:val="22"/>
                <w:lang w:eastAsia="ru-RU"/>
              </w:rPr>
              <w:br/>
              <w:t>75 mg/tezacaftor 50 mg/elexacaftor 100</w:t>
            </w:r>
            <w:r w:rsidR="005B3408">
              <w:rPr>
                <w:rFonts w:ascii="Times New Roman" w:hAnsi="Times New Roman" w:cs="Times New Roman"/>
                <w:sz w:val="22"/>
                <w:szCs w:val="22"/>
                <w:lang w:val="da-DK" w:eastAsia="ru-RU"/>
              </w:rPr>
              <w:t> </w:t>
            </w:r>
            <w:r w:rsidRPr="00315477">
              <w:rPr>
                <w:rFonts w:ascii="Times New Roman" w:hAnsi="Times New Roman" w:cs="Times New Roman"/>
                <w:sz w:val="22"/>
                <w:szCs w:val="22"/>
                <w:lang w:eastAsia="ru-RU"/>
              </w:rPr>
              <w:t xml:space="preserve">mg den første dag  </w:t>
            </w:r>
          </w:p>
          <w:p w14:paraId="48F7F13A" w14:textId="77777777" w:rsidR="00D41138" w:rsidRPr="00315477" w:rsidRDefault="00D41138" w:rsidP="005B3408">
            <w:pPr>
              <w:keepNext/>
              <w:numPr>
                <w:ilvl w:val="0"/>
                <w:numId w:val="11"/>
              </w:numPr>
              <w:autoSpaceDN w:val="0"/>
              <w:ind w:left="347" w:hanging="284"/>
              <w:rPr>
                <w:rFonts w:ascii="Times New Roman" w:hAnsi="Times New Roman" w:cs="Times New Roman"/>
                <w:sz w:val="22"/>
                <w:szCs w:val="22"/>
                <w:lang w:eastAsia="ru-RU"/>
              </w:rPr>
            </w:pPr>
            <w:r w:rsidRPr="00315477">
              <w:rPr>
                <w:rFonts w:ascii="Times New Roman" w:hAnsi="Times New Roman" w:cs="Times New Roman"/>
                <w:sz w:val="22"/>
                <w:szCs w:val="22"/>
                <w:lang w:eastAsia="ru-RU"/>
              </w:rPr>
              <w:t xml:space="preserve">én morgentablet med ivacaftor </w:t>
            </w:r>
            <w:r w:rsidRPr="00315477">
              <w:rPr>
                <w:rFonts w:ascii="Times New Roman" w:hAnsi="Times New Roman" w:cs="Times New Roman"/>
                <w:sz w:val="22"/>
                <w:szCs w:val="22"/>
                <w:lang w:eastAsia="ru-RU"/>
              </w:rPr>
              <w:br/>
              <w:t xml:space="preserve">150 mg den næste dag.  </w:t>
            </w:r>
          </w:p>
          <w:p w14:paraId="6AEE1D87" w14:textId="77777777" w:rsidR="00D41138" w:rsidRPr="00315477" w:rsidRDefault="00D41138" w:rsidP="005B3408">
            <w:pPr>
              <w:keepNext/>
              <w:ind w:left="63"/>
              <w:rPr>
                <w:rFonts w:ascii="Times New Roman" w:hAnsi="Times New Roman" w:cs="Times New Roman"/>
                <w:sz w:val="22"/>
                <w:szCs w:val="22"/>
                <w:lang w:eastAsia="ru-RU"/>
              </w:rPr>
            </w:pPr>
            <w:r w:rsidRPr="00315477">
              <w:rPr>
                <w:rFonts w:ascii="Times New Roman" w:hAnsi="Times New Roman" w:cs="Times New Roman"/>
                <w:sz w:val="22"/>
                <w:szCs w:val="22"/>
                <w:lang w:eastAsia="ru-RU"/>
              </w:rPr>
              <w:t xml:space="preserve"> </w:t>
            </w:r>
          </w:p>
          <w:p w14:paraId="4BEFAD9E" w14:textId="77777777" w:rsidR="00D41138" w:rsidRPr="00315477" w:rsidRDefault="00D41138" w:rsidP="005B3408">
            <w:pPr>
              <w:keepNext/>
              <w:ind w:left="63"/>
              <w:rPr>
                <w:rFonts w:ascii="Times New Roman" w:hAnsi="Times New Roman" w:cs="Times New Roman"/>
                <w:sz w:val="22"/>
                <w:szCs w:val="22"/>
                <w:lang w:eastAsia="ru-RU"/>
              </w:rPr>
            </w:pPr>
            <w:r w:rsidRPr="00315477">
              <w:rPr>
                <w:rFonts w:ascii="Times New Roman" w:hAnsi="Times New Roman" w:cs="Times New Roman"/>
                <w:sz w:val="22"/>
                <w:szCs w:val="22"/>
                <w:lang w:eastAsia="ru-RU"/>
              </w:rPr>
              <w:t xml:space="preserve">Ingen aftendosis af ivacaftor. </w:t>
            </w:r>
          </w:p>
        </w:tc>
        <w:tc>
          <w:tcPr>
            <w:tcW w:w="1947" w:type="pct"/>
            <w:tcBorders>
              <w:top w:val="single" w:sz="4" w:space="0" w:color="000000"/>
              <w:left w:val="single" w:sz="4" w:space="0" w:color="000000"/>
              <w:bottom w:val="single" w:sz="4" w:space="0" w:color="000000"/>
              <w:right w:val="single" w:sz="4" w:space="0" w:color="000000"/>
            </w:tcBorders>
            <w:tcMar>
              <w:top w:w="28" w:type="dxa"/>
              <w:left w:w="0" w:type="dxa"/>
              <w:bottom w:w="28" w:type="dxa"/>
              <w:right w:w="0" w:type="dxa"/>
            </w:tcMar>
            <w:hideMark/>
          </w:tcPr>
          <w:p w14:paraId="44E45DB1" w14:textId="08DE954C" w:rsidR="00D41138" w:rsidRPr="00315477" w:rsidRDefault="00D41138" w:rsidP="005B3408">
            <w:pPr>
              <w:keepNext/>
              <w:ind w:left="74"/>
              <w:rPr>
                <w:rFonts w:ascii="Times New Roman" w:hAnsi="Times New Roman" w:cs="Times New Roman"/>
                <w:sz w:val="22"/>
                <w:szCs w:val="22"/>
                <w:lang w:eastAsia="ru-RU"/>
              </w:rPr>
            </w:pPr>
            <w:r w:rsidRPr="00315477">
              <w:rPr>
                <w:rFonts w:ascii="Times New Roman" w:hAnsi="Times New Roman" w:cs="Times New Roman"/>
                <w:sz w:val="22"/>
                <w:szCs w:val="22"/>
                <w:lang w:eastAsia="ru-RU"/>
              </w:rPr>
              <w:t xml:space="preserve">To morgentabletter med ivacaftor </w:t>
            </w:r>
            <w:r w:rsidRPr="00315477">
              <w:rPr>
                <w:rFonts w:ascii="Times New Roman" w:hAnsi="Times New Roman" w:cs="Times New Roman"/>
                <w:sz w:val="22"/>
                <w:szCs w:val="22"/>
                <w:lang w:eastAsia="ru-RU"/>
              </w:rPr>
              <w:br/>
              <w:t>75 mg/tezacaftor 50 mg/elexacaftor 100</w:t>
            </w:r>
            <w:r w:rsidR="005B3408">
              <w:rPr>
                <w:rFonts w:ascii="Times New Roman" w:hAnsi="Times New Roman" w:cs="Times New Roman"/>
                <w:sz w:val="22"/>
                <w:szCs w:val="22"/>
                <w:lang w:val="da-DK" w:eastAsia="ru-RU"/>
              </w:rPr>
              <w:t> </w:t>
            </w:r>
            <w:r w:rsidRPr="00315477">
              <w:rPr>
                <w:rFonts w:ascii="Times New Roman" w:hAnsi="Times New Roman" w:cs="Times New Roman"/>
                <w:sz w:val="22"/>
                <w:szCs w:val="22"/>
                <w:lang w:eastAsia="ru-RU"/>
              </w:rPr>
              <w:t xml:space="preserve">mg to gange om ugen med ca. 3 til 4 dages mellemrum. </w:t>
            </w:r>
          </w:p>
          <w:p w14:paraId="07EB1A3C" w14:textId="77777777" w:rsidR="00D41138" w:rsidRPr="00315477" w:rsidRDefault="00D41138" w:rsidP="005B3408">
            <w:pPr>
              <w:keepNext/>
              <w:ind w:left="74"/>
              <w:rPr>
                <w:rFonts w:ascii="Times New Roman" w:hAnsi="Times New Roman" w:cs="Times New Roman"/>
                <w:sz w:val="22"/>
                <w:szCs w:val="22"/>
                <w:lang w:eastAsia="ru-RU"/>
              </w:rPr>
            </w:pPr>
            <w:r w:rsidRPr="00315477">
              <w:rPr>
                <w:rFonts w:ascii="Times New Roman" w:hAnsi="Times New Roman" w:cs="Times New Roman"/>
                <w:sz w:val="22"/>
                <w:szCs w:val="22"/>
                <w:lang w:eastAsia="ru-RU"/>
              </w:rPr>
              <w:t xml:space="preserve"> </w:t>
            </w:r>
          </w:p>
          <w:p w14:paraId="615A157C" w14:textId="77777777" w:rsidR="00D41138" w:rsidRPr="00315477" w:rsidRDefault="00D41138" w:rsidP="005B3408">
            <w:pPr>
              <w:keepNext/>
              <w:ind w:left="74"/>
              <w:rPr>
                <w:rFonts w:ascii="Times New Roman" w:hAnsi="Times New Roman" w:cs="Times New Roman"/>
                <w:sz w:val="22"/>
                <w:szCs w:val="22"/>
                <w:lang w:eastAsia="ru-RU"/>
              </w:rPr>
            </w:pPr>
            <w:r w:rsidRPr="00315477">
              <w:rPr>
                <w:rFonts w:ascii="Times New Roman" w:hAnsi="Times New Roman" w:cs="Times New Roman"/>
                <w:sz w:val="22"/>
                <w:szCs w:val="22"/>
                <w:lang w:eastAsia="ru-RU"/>
              </w:rPr>
              <w:t xml:space="preserve">Ingen aftendosis af ivacaftor. </w:t>
            </w:r>
          </w:p>
        </w:tc>
      </w:tr>
      <w:tr w:rsidR="00D41138" w:rsidRPr="00315477" w14:paraId="4B5D0BD5" w14:textId="77777777" w:rsidTr="002748AE">
        <w:trPr>
          <w:trHeight w:val="227"/>
          <w:jc w:val="center"/>
        </w:trPr>
        <w:tc>
          <w:tcPr>
            <w:tcW w:w="919" w:type="pct"/>
            <w:tcBorders>
              <w:top w:val="single" w:sz="4" w:space="0" w:color="000000"/>
              <w:left w:val="single" w:sz="4" w:space="0" w:color="000000"/>
              <w:bottom w:val="single" w:sz="4" w:space="0" w:color="000000"/>
              <w:right w:val="single" w:sz="4" w:space="0" w:color="000000"/>
            </w:tcBorders>
            <w:tcMar>
              <w:top w:w="28" w:type="dxa"/>
              <w:left w:w="0" w:type="dxa"/>
              <w:bottom w:w="28" w:type="dxa"/>
              <w:right w:w="0" w:type="dxa"/>
            </w:tcMar>
            <w:hideMark/>
          </w:tcPr>
          <w:p w14:paraId="3E42D0F4" w14:textId="77777777" w:rsidR="00D41138" w:rsidRPr="00315477" w:rsidRDefault="00D41138" w:rsidP="002748AE">
            <w:pPr>
              <w:ind w:left="113"/>
              <w:rPr>
                <w:rFonts w:ascii="Times New Roman" w:hAnsi="Times New Roman" w:cs="Times New Roman"/>
                <w:sz w:val="22"/>
                <w:szCs w:val="22"/>
                <w:lang w:eastAsia="ru-RU"/>
              </w:rPr>
            </w:pPr>
            <w:r w:rsidRPr="00315477">
              <w:rPr>
                <w:rFonts w:ascii="Times New Roman" w:hAnsi="Times New Roman" w:cs="Times New Roman"/>
                <w:sz w:val="22"/>
                <w:szCs w:val="22"/>
                <w:lang w:eastAsia="ru-RU"/>
              </w:rPr>
              <w:t xml:space="preserve">12 år og ældre </w:t>
            </w:r>
          </w:p>
        </w:tc>
        <w:tc>
          <w:tcPr>
            <w:tcW w:w="2134" w:type="pct"/>
            <w:tcBorders>
              <w:top w:val="single" w:sz="4" w:space="0" w:color="000000"/>
              <w:left w:val="single" w:sz="4" w:space="0" w:color="000000"/>
              <w:bottom w:val="single" w:sz="4" w:space="0" w:color="000000"/>
              <w:right w:val="single" w:sz="4" w:space="0" w:color="000000"/>
            </w:tcBorders>
            <w:tcMar>
              <w:top w:w="28" w:type="dxa"/>
              <w:left w:w="0" w:type="dxa"/>
              <w:bottom w:w="28" w:type="dxa"/>
              <w:right w:w="0" w:type="dxa"/>
            </w:tcMar>
            <w:hideMark/>
          </w:tcPr>
          <w:p w14:paraId="2456F6A9" w14:textId="77777777" w:rsidR="00D41138" w:rsidRPr="00315477" w:rsidRDefault="00D41138" w:rsidP="005B3408">
            <w:pPr>
              <w:ind w:left="63"/>
              <w:rPr>
                <w:rFonts w:ascii="Times New Roman" w:hAnsi="Times New Roman" w:cs="Times New Roman"/>
                <w:sz w:val="22"/>
                <w:szCs w:val="22"/>
                <w:lang w:eastAsia="ru-RU"/>
              </w:rPr>
            </w:pPr>
            <w:r w:rsidRPr="00315477">
              <w:rPr>
                <w:rFonts w:ascii="Times New Roman" w:hAnsi="Times New Roman" w:cs="Times New Roman"/>
                <w:sz w:val="22"/>
                <w:szCs w:val="22"/>
                <w:lang w:eastAsia="ru-RU"/>
              </w:rPr>
              <w:t xml:space="preserve">Skiftevis hver dag:  </w:t>
            </w:r>
          </w:p>
          <w:p w14:paraId="374178F4" w14:textId="7C23D3FB" w:rsidR="00D41138" w:rsidRPr="00315477" w:rsidRDefault="00D41138" w:rsidP="005B3408">
            <w:pPr>
              <w:numPr>
                <w:ilvl w:val="0"/>
                <w:numId w:val="12"/>
              </w:numPr>
              <w:autoSpaceDN w:val="0"/>
              <w:ind w:left="347" w:hanging="284"/>
              <w:rPr>
                <w:rFonts w:ascii="Times New Roman" w:hAnsi="Times New Roman" w:cs="Times New Roman"/>
                <w:sz w:val="22"/>
                <w:szCs w:val="22"/>
                <w:lang w:eastAsia="ru-RU"/>
              </w:rPr>
            </w:pPr>
            <w:r w:rsidRPr="00315477">
              <w:rPr>
                <w:rFonts w:ascii="Times New Roman" w:hAnsi="Times New Roman" w:cs="Times New Roman"/>
                <w:sz w:val="22"/>
                <w:szCs w:val="22"/>
                <w:lang w:eastAsia="ru-RU"/>
              </w:rPr>
              <w:t xml:space="preserve">to morgentabletter med ivacaftor </w:t>
            </w:r>
            <w:r w:rsidRPr="00315477">
              <w:rPr>
                <w:rFonts w:ascii="Times New Roman" w:hAnsi="Times New Roman" w:cs="Times New Roman"/>
                <w:sz w:val="22"/>
                <w:szCs w:val="22"/>
                <w:lang w:eastAsia="ru-RU"/>
              </w:rPr>
              <w:br/>
              <w:t>75 mg/tezacaftor 50 mg/elexacaftor 100</w:t>
            </w:r>
            <w:r w:rsidR="005B3408">
              <w:rPr>
                <w:rFonts w:ascii="Times New Roman" w:hAnsi="Times New Roman" w:cs="Times New Roman"/>
                <w:sz w:val="22"/>
                <w:szCs w:val="22"/>
                <w:lang w:val="da-DK" w:eastAsia="ru-RU"/>
              </w:rPr>
              <w:t> </w:t>
            </w:r>
            <w:r w:rsidRPr="00315477">
              <w:rPr>
                <w:rFonts w:ascii="Times New Roman" w:hAnsi="Times New Roman" w:cs="Times New Roman"/>
                <w:sz w:val="22"/>
                <w:szCs w:val="22"/>
                <w:lang w:eastAsia="ru-RU"/>
              </w:rPr>
              <w:t xml:space="preserve">mg den første dag  </w:t>
            </w:r>
          </w:p>
          <w:p w14:paraId="65C9EE06" w14:textId="77777777" w:rsidR="00D41138" w:rsidRPr="00315477" w:rsidRDefault="00D41138" w:rsidP="005B3408">
            <w:pPr>
              <w:numPr>
                <w:ilvl w:val="0"/>
                <w:numId w:val="12"/>
              </w:numPr>
              <w:autoSpaceDN w:val="0"/>
              <w:ind w:left="347" w:hanging="284"/>
              <w:rPr>
                <w:rFonts w:ascii="Times New Roman" w:hAnsi="Times New Roman" w:cs="Times New Roman"/>
                <w:sz w:val="22"/>
                <w:szCs w:val="22"/>
                <w:lang w:eastAsia="ru-RU"/>
              </w:rPr>
            </w:pPr>
            <w:r w:rsidRPr="00315477">
              <w:rPr>
                <w:rFonts w:ascii="Times New Roman" w:hAnsi="Times New Roman" w:cs="Times New Roman"/>
                <w:sz w:val="22"/>
                <w:szCs w:val="22"/>
                <w:lang w:eastAsia="ru-RU"/>
              </w:rPr>
              <w:t xml:space="preserve">én morgentablet med ivacaftor </w:t>
            </w:r>
            <w:r w:rsidRPr="00315477">
              <w:rPr>
                <w:rFonts w:ascii="Times New Roman" w:hAnsi="Times New Roman" w:cs="Times New Roman"/>
                <w:sz w:val="22"/>
                <w:szCs w:val="22"/>
                <w:lang w:eastAsia="ru-RU"/>
              </w:rPr>
              <w:br/>
              <w:t xml:space="preserve">150 mg den næste dag.  </w:t>
            </w:r>
          </w:p>
          <w:p w14:paraId="0EBD3DAA" w14:textId="77777777" w:rsidR="00D41138" w:rsidRPr="00315477" w:rsidRDefault="00D41138" w:rsidP="005B3408">
            <w:pPr>
              <w:ind w:left="63"/>
              <w:rPr>
                <w:rFonts w:ascii="Times New Roman" w:hAnsi="Times New Roman" w:cs="Times New Roman"/>
                <w:sz w:val="22"/>
                <w:szCs w:val="22"/>
                <w:lang w:eastAsia="ru-RU"/>
              </w:rPr>
            </w:pPr>
            <w:r w:rsidRPr="00315477">
              <w:rPr>
                <w:rFonts w:ascii="Times New Roman" w:hAnsi="Times New Roman" w:cs="Times New Roman"/>
                <w:sz w:val="22"/>
                <w:szCs w:val="22"/>
                <w:lang w:eastAsia="ru-RU"/>
              </w:rPr>
              <w:t xml:space="preserve"> </w:t>
            </w:r>
          </w:p>
          <w:p w14:paraId="0CF3624D" w14:textId="77777777" w:rsidR="00D41138" w:rsidRPr="00315477" w:rsidRDefault="00D41138" w:rsidP="005B3408">
            <w:pPr>
              <w:ind w:left="63"/>
              <w:rPr>
                <w:rFonts w:ascii="Times New Roman" w:hAnsi="Times New Roman" w:cs="Times New Roman"/>
                <w:sz w:val="22"/>
                <w:szCs w:val="22"/>
                <w:lang w:eastAsia="ru-RU"/>
              </w:rPr>
            </w:pPr>
            <w:r w:rsidRPr="00315477">
              <w:rPr>
                <w:rFonts w:ascii="Times New Roman" w:hAnsi="Times New Roman" w:cs="Times New Roman"/>
                <w:sz w:val="22"/>
                <w:szCs w:val="22"/>
                <w:lang w:eastAsia="ru-RU"/>
              </w:rPr>
              <w:t xml:space="preserve">Ingen aftendosis af ivacaftor. </w:t>
            </w:r>
          </w:p>
        </w:tc>
        <w:tc>
          <w:tcPr>
            <w:tcW w:w="1947" w:type="pct"/>
            <w:tcBorders>
              <w:top w:val="single" w:sz="4" w:space="0" w:color="000000"/>
              <w:left w:val="single" w:sz="4" w:space="0" w:color="000000"/>
              <w:bottom w:val="single" w:sz="4" w:space="0" w:color="000000"/>
              <w:right w:val="single" w:sz="4" w:space="0" w:color="000000"/>
            </w:tcBorders>
            <w:tcMar>
              <w:top w:w="28" w:type="dxa"/>
              <w:left w:w="0" w:type="dxa"/>
              <w:bottom w:w="28" w:type="dxa"/>
              <w:right w:w="0" w:type="dxa"/>
            </w:tcMar>
            <w:hideMark/>
          </w:tcPr>
          <w:p w14:paraId="700ED8A5" w14:textId="555B96D1" w:rsidR="00D41138" w:rsidRPr="00315477" w:rsidRDefault="00D41138" w:rsidP="005B3408">
            <w:pPr>
              <w:ind w:left="74"/>
              <w:rPr>
                <w:rFonts w:ascii="Times New Roman" w:hAnsi="Times New Roman" w:cs="Times New Roman"/>
                <w:sz w:val="22"/>
                <w:szCs w:val="22"/>
                <w:lang w:eastAsia="ru-RU"/>
              </w:rPr>
            </w:pPr>
            <w:r w:rsidRPr="00315477">
              <w:rPr>
                <w:rFonts w:ascii="Times New Roman" w:hAnsi="Times New Roman" w:cs="Times New Roman"/>
                <w:sz w:val="22"/>
                <w:szCs w:val="22"/>
                <w:lang w:eastAsia="ru-RU"/>
              </w:rPr>
              <w:t xml:space="preserve">To morgentabletter med ivacaftor </w:t>
            </w:r>
            <w:r w:rsidRPr="00315477">
              <w:rPr>
                <w:rFonts w:ascii="Times New Roman" w:hAnsi="Times New Roman" w:cs="Times New Roman"/>
                <w:sz w:val="22"/>
                <w:szCs w:val="22"/>
                <w:lang w:eastAsia="ru-RU"/>
              </w:rPr>
              <w:br/>
              <w:t>75 mg/tezacaftor 50 mg/elexacaftor 100</w:t>
            </w:r>
            <w:r w:rsidR="005B3408">
              <w:rPr>
                <w:rFonts w:ascii="Times New Roman" w:hAnsi="Times New Roman" w:cs="Times New Roman"/>
                <w:sz w:val="22"/>
                <w:szCs w:val="22"/>
                <w:lang w:val="da-DK" w:eastAsia="ru-RU"/>
              </w:rPr>
              <w:t> </w:t>
            </w:r>
            <w:r w:rsidRPr="00315477">
              <w:rPr>
                <w:rFonts w:ascii="Times New Roman" w:hAnsi="Times New Roman" w:cs="Times New Roman"/>
                <w:sz w:val="22"/>
                <w:szCs w:val="22"/>
                <w:lang w:eastAsia="ru-RU"/>
              </w:rPr>
              <w:t xml:space="preserve">mg to gange om ugen med ca. 3 til 4 dages mellemrum. </w:t>
            </w:r>
          </w:p>
          <w:p w14:paraId="049A2662" w14:textId="77777777" w:rsidR="00D41138" w:rsidRPr="00315477" w:rsidRDefault="00D41138" w:rsidP="005B3408">
            <w:pPr>
              <w:ind w:left="74"/>
              <w:rPr>
                <w:rFonts w:ascii="Times New Roman" w:hAnsi="Times New Roman" w:cs="Times New Roman"/>
                <w:sz w:val="22"/>
                <w:szCs w:val="22"/>
                <w:lang w:eastAsia="ru-RU"/>
              </w:rPr>
            </w:pPr>
            <w:r w:rsidRPr="00315477">
              <w:rPr>
                <w:rFonts w:ascii="Times New Roman" w:hAnsi="Times New Roman" w:cs="Times New Roman"/>
                <w:sz w:val="22"/>
                <w:szCs w:val="22"/>
                <w:lang w:eastAsia="ru-RU"/>
              </w:rPr>
              <w:t xml:space="preserve"> </w:t>
            </w:r>
          </w:p>
          <w:p w14:paraId="28BF3B92" w14:textId="77777777" w:rsidR="00D41138" w:rsidRPr="00315477" w:rsidRDefault="00D41138" w:rsidP="005B3408">
            <w:pPr>
              <w:ind w:left="74"/>
              <w:rPr>
                <w:rFonts w:ascii="Times New Roman" w:hAnsi="Times New Roman" w:cs="Times New Roman"/>
                <w:sz w:val="22"/>
                <w:szCs w:val="22"/>
                <w:lang w:eastAsia="ru-RU"/>
              </w:rPr>
            </w:pPr>
            <w:r w:rsidRPr="00315477">
              <w:rPr>
                <w:rFonts w:ascii="Times New Roman" w:hAnsi="Times New Roman" w:cs="Times New Roman"/>
                <w:sz w:val="22"/>
                <w:szCs w:val="22"/>
                <w:lang w:eastAsia="ru-RU"/>
              </w:rPr>
              <w:t xml:space="preserve">Ingen aftendosis af ivacaftor. </w:t>
            </w:r>
          </w:p>
        </w:tc>
      </w:tr>
    </w:tbl>
    <w:p w14:paraId="4B9BC245" w14:textId="1E74ED94" w:rsidR="00D41138" w:rsidRPr="002748AE" w:rsidRDefault="00D41138" w:rsidP="002748AE">
      <w:pPr>
        <w:ind w:left="284" w:hanging="284"/>
        <w:rPr>
          <w:sz w:val="20"/>
          <w:lang w:eastAsia="da-DK"/>
        </w:rPr>
      </w:pPr>
      <w:r w:rsidRPr="002748AE">
        <w:rPr>
          <w:sz w:val="20"/>
          <w:vertAlign w:val="superscript"/>
        </w:rPr>
        <w:t>*</w:t>
      </w:r>
      <w:r w:rsidR="002748AE" w:rsidRPr="002748AE">
        <w:rPr>
          <w:sz w:val="20"/>
          <w:vertAlign w:val="superscript"/>
        </w:rPr>
        <w:tab/>
      </w:r>
      <w:r w:rsidRPr="002748AE">
        <w:rPr>
          <w:sz w:val="20"/>
        </w:rPr>
        <w:t xml:space="preserve">Ivacaftor </w:t>
      </w:r>
      <w:r w:rsidR="00527126">
        <w:rPr>
          <w:sz w:val="20"/>
        </w:rPr>
        <w:t>"</w:t>
      </w:r>
      <w:r w:rsidRPr="002748AE">
        <w:rPr>
          <w:sz w:val="20"/>
        </w:rPr>
        <w:t>Zentiva</w:t>
      </w:r>
      <w:r w:rsidR="00527126">
        <w:rPr>
          <w:sz w:val="20"/>
        </w:rPr>
        <w:t>"</w:t>
      </w:r>
      <w:r w:rsidRPr="002748AE">
        <w:rPr>
          <w:sz w:val="20"/>
        </w:rPr>
        <w:t xml:space="preserve"> fås kun som 150 mg tabletter. Det er derfor ikke muligt at administrere Ivacaftor </w:t>
      </w:r>
      <w:r w:rsidR="00527126">
        <w:rPr>
          <w:sz w:val="20"/>
        </w:rPr>
        <w:t>"</w:t>
      </w:r>
      <w:r w:rsidRPr="002748AE">
        <w:rPr>
          <w:sz w:val="20"/>
        </w:rPr>
        <w:t>Zentiva</w:t>
      </w:r>
      <w:r w:rsidR="00527126">
        <w:rPr>
          <w:sz w:val="20"/>
        </w:rPr>
        <w:t>"</w:t>
      </w:r>
      <w:r w:rsidRPr="002748AE">
        <w:rPr>
          <w:sz w:val="20"/>
        </w:rPr>
        <w:t xml:space="preserve"> til pædiatriske patienter, der har behov for mindre end en fuld dosis på 150 mg. I disse tilfælde bør andre ivacaftor-produkter, der tilbyder en sådan mulighed, anvendes.</w:t>
      </w:r>
    </w:p>
    <w:p w14:paraId="3178AD61" w14:textId="77777777" w:rsidR="00D41138" w:rsidRPr="002748AE" w:rsidRDefault="00D41138" w:rsidP="00F526B8">
      <w:pPr>
        <w:ind w:left="851"/>
        <w:rPr>
          <w:sz w:val="24"/>
          <w:szCs w:val="24"/>
        </w:rPr>
      </w:pPr>
    </w:p>
    <w:p w14:paraId="7DA033AF" w14:textId="77777777" w:rsidR="00D41138" w:rsidRPr="002748AE" w:rsidRDefault="00D41138" w:rsidP="00F526B8">
      <w:pPr>
        <w:ind w:left="851"/>
        <w:rPr>
          <w:sz w:val="24"/>
          <w:szCs w:val="24"/>
        </w:rPr>
      </w:pPr>
      <w:r w:rsidRPr="002748AE">
        <w:rPr>
          <w:sz w:val="24"/>
          <w:szCs w:val="24"/>
          <w:u w:val="single"/>
        </w:rPr>
        <w:t>Specielle populationer</w:t>
      </w:r>
      <w:r w:rsidRPr="002748AE">
        <w:rPr>
          <w:sz w:val="24"/>
          <w:szCs w:val="24"/>
        </w:rPr>
        <w:t xml:space="preserve"> </w:t>
      </w:r>
    </w:p>
    <w:p w14:paraId="05EBAB6D" w14:textId="2DD81E51" w:rsidR="00D41138" w:rsidRPr="002748AE" w:rsidRDefault="00D41138" w:rsidP="00F526B8">
      <w:pPr>
        <w:ind w:left="851"/>
        <w:rPr>
          <w:sz w:val="24"/>
          <w:szCs w:val="24"/>
        </w:rPr>
      </w:pPr>
    </w:p>
    <w:p w14:paraId="3D1C28F9" w14:textId="77777777" w:rsidR="00D41138" w:rsidRPr="002748AE" w:rsidRDefault="00D41138" w:rsidP="00F526B8">
      <w:pPr>
        <w:ind w:left="851"/>
        <w:rPr>
          <w:sz w:val="24"/>
          <w:szCs w:val="24"/>
        </w:rPr>
      </w:pPr>
      <w:r w:rsidRPr="002748AE">
        <w:rPr>
          <w:i/>
          <w:sz w:val="24"/>
          <w:szCs w:val="24"/>
        </w:rPr>
        <w:t>Ældre</w:t>
      </w:r>
    </w:p>
    <w:p w14:paraId="7C5CB105" w14:textId="77777777" w:rsidR="00D41138" w:rsidRPr="002748AE" w:rsidRDefault="00D41138" w:rsidP="00F526B8">
      <w:pPr>
        <w:ind w:left="851"/>
        <w:rPr>
          <w:sz w:val="24"/>
          <w:szCs w:val="24"/>
        </w:rPr>
      </w:pPr>
      <w:r w:rsidRPr="002748AE">
        <w:rPr>
          <w:sz w:val="24"/>
          <w:szCs w:val="24"/>
        </w:rPr>
        <w:t xml:space="preserve">Meget begrænsede data er tilgængelige vedrørende ældre patienter behandlet med ivacaftor (administreret som monoterapi eller i et kombinationsregime). Der kræves ingen dosisjustering specifikt for denne patientpopulation (se pkt. 5.2). </w:t>
      </w:r>
    </w:p>
    <w:p w14:paraId="0B00017C" w14:textId="77777777" w:rsidR="00D41138" w:rsidRPr="002748AE" w:rsidRDefault="00D41138" w:rsidP="00F526B8">
      <w:pPr>
        <w:ind w:left="851"/>
        <w:rPr>
          <w:sz w:val="24"/>
          <w:szCs w:val="24"/>
        </w:rPr>
      </w:pPr>
      <w:r w:rsidRPr="002748AE">
        <w:rPr>
          <w:i/>
          <w:sz w:val="24"/>
          <w:szCs w:val="24"/>
        </w:rPr>
        <w:t xml:space="preserve"> </w:t>
      </w:r>
    </w:p>
    <w:p w14:paraId="1A459E7B" w14:textId="77777777" w:rsidR="00D41138" w:rsidRPr="002748AE" w:rsidRDefault="00D41138" w:rsidP="00F526B8">
      <w:pPr>
        <w:ind w:left="851"/>
        <w:rPr>
          <w:sz w:val="24"/>
          <w:szCs w:val="24"/>
        </w:rPr>
      </w:pPr>
      <w:r w:rsidRPr="002748AE">
        <w:rPr>
          <w:i/>
          <w:sz w:val="24"/>
          <w:szCs w:val="24"/>
        </w:rPr>
        <w:t>Nedsat nyrefunktion</w:t>
      </w:r>
    </w:p>
    <w:p w14:paraId="7BDDA381" w14:textId="695E0292" w:rsidR="00D41138" w:rsidRPr="002748AE" w:rsidRDefault="00D41138" w:rsidP="00F526B8">
      <w:pPr>
        <w:ind w:left="851"/>
        <w:rPr>
          <w:sz w:val="24"/>
          <w:szCs w:val="24"/>
        </w:rPr>
      </w:pPr>
      <w:r w:rsidRPr="002748AE">
        <w:rPr>
          <w:sz w:val="24"/>
          <w:szCs w:val="24"/>
        </w:rPr>
        <w:t xml:space="preserve">Ingen dosisjustering er nødvendig for patienter med let til moderat nedsat nyrefunktion. Der rådes til forsigtighed hos patienter med svært nedsat nyrefunktion (kreatininclearance under eller lig med 30 ml/min), eller med nyresygdom i slutstadiet (se pkt. 4.4 og 5.2). </w:t>
      </w:r>
    </w:p>
    <w:p w14:paraId="00D68F5E" w14:textId="77777777" w:rsidR="00D41138" w:rsidRPr="002748AE" w:rsidRDefault="00D41138" w:rsidP="00F526B8">
      <w:pPr>
        <w:ind w:left="851"/>
        <w:rPr>
          <w:sz w:val="24"/>
          <w:szCs w:val="24"/>
        </w:rPr>
      </w:pPr>
      <w:r w:rsidRPr="002748AE">
        <w:rPr>
          <w:sz w:val="24"/>
          <w:szCs w:val="24"/>
        </w:rPr>
        <w:t xml:space="preserve"> </w:t>
      </w:r>
    </w:p>
    <w:p w14:paraId="4246B43B" w14:textId="77777777" w:rsidR="00D41138" w:rsidRPr="002748AE" w:rsidRDefault="00D41138" w:rsidP="00F526B8">
      <w:pPr>
        <w:ind w:left="851"/>
        <w:rPr>
          <w:sz w:val="24"/>
          <w:szCs w:val="24"/>
        </w:rPr>
      </w:pPr>
      <w:r w:rsidRPr="002748AE">
        <w:rPr>
          <w:i/>
          <w:sz w:val="24"/>
          <w:szCs w:val="24"/>
        </w:rPr>
        <w:t>Nedsat leverfunktion</w:t>
      </w:r>
    </w:p>
    <w:p w14:paraId="2D7D2649" w14:textId="77777777" w:rsidR="00D41138" w:rsidRPr="002748AE" w:rsidRDefault="00D41138" w:rsidP="00F526B8">
      <w:pPr>
        <w:ind w:left="851"/>
        <w:rPr>
          <w:sz w:val="24"/>
          <w:szCs w:val="24"/>
        </w:rPr>
      </w:pPr>
      <w:r w:rsidRPr="002748AE">
        <w:rPr>
          <w:sz w:val="24"/>
          <w:szCs w:val="24"/>
        </w:rPr>
        <w:t xml:space="preserve">Ingen dosisjustering er nødvendig hos patienter med let nedsat leverfunktion (Child-Pugh klasse A). </w:t>
      </w:r>
    </w:p>
    <w:p w14:paraId="35327E36" w14:textId="77777777" w:rsidR="00D41138" w:rsidRPr="002748AE" w:rsidRDefault="00D41138" w:rsidP="00F526B8">
      <w:pPr>
        <w:ind w:left="851"/>
        <w:rPr>
          <w:sz w:val="24"/>
          <w:szCs w:val="24"/>
        </w:rPr>
      </w:pPr>
      <w:r w:rsidRPr="002748AE">
        <w:rPr>
          <w:sz w:val="24"/>
          <w:szCs w:val="24"/>
        </w:rPr>
        <w:t xml:space="preserve"> </w:t>
      </w:r>
    </w:p>
    <w:p w14:paraId="6D20A03A" w14:textId="77777777" w:rsidR="00D41138" w:rsidRPr="002748AE" w:rsidRDefault="00D41138" w:rsidP="00F526B8">
      <w:pPr>
        <w:ind w:left="851"/>
        <w:rPr>
          <w:sz w:val="24"/>
          <w:szCs w:val="24"/>
        </w:rPr>
      </w:pPr>
      <w:r w:rsidRPr="002748AE">
        <w:rPr>
          <w:sz w:val="24"/>
          <w:szCs w:val="24"/>
        </w:rPr>
        <w:t xml:space="preserve">Hos patienter med moderat nedsat leverfunktion (Child-Pugh klasse B) eller svært nedsat leverfunktion (Child-Pugh klasse C) skal ivacaftor-dosen justeres som beskrevet i tabel 3 (se pkt. 4.4, 4.8 og 5.2). </w:t>
      </w:r>
    </w:p>
    <w:p w14:paraId="17AFBD45" w14:textId="77777777" w:rsidR="00D41138" w:rsidRPr="002748AE" w:rsidRDefault="00D41138" w:rsidP="00F526B8">
      <w:pPr>
        <w:ind w:left="851"/>
        <w:rPr>
          <w:sz w:val="24"/>
          <w:szCs w:val="24"/>
        </w:rPr>
      </w:pPr>
    </w:p>
    <w:p w14:paraId="4BFCBEA2" w14:textId="77777777" w:rsidR="00D41138" w:rsidRPr="002748AE" w:rsidRDefault="00D41138" w:rsidP="00F526B8">
      <w:pPr>
        <w:ind w:left="851"/>
        <w:rPr>
          <w:sz w:val="24"/>
          <w:szCs w:val="24"/>
        </w:rPr>
      </w:pPr>
      <w:r w:rsidRPr="002748AE">
        <w:rPr>
          <w:b/>
          <w:sz w:val="24"/>
          <w:szCs w:val="24"/>
        </w:rPr>
        <w:t>Tabel 3: Doseringsanbefalinger for patienter med moderat eller svært nedsat leverfunktion</w:t>
      </w:r>
    </w:p>
    <w:p w14:paraId="3A2A1A07" w14:textId="77777777" w:rsidR="00D41138" w:rsidRPr="002748AE" w:rsidRDefault="00D41138" w:rsidP="00F526B8">
      <w:pPr>
        <w:ind w:left="851"/>
        <w:rPr>
          <w:b/>
          <w:sz w:val="24"/>
          <w:szCs w:val="24"/>
        </w:rPr>
      </w:pPr>
    </w:p>
    <w:tbl>
      <w:tblPr>
        <w:tblStyle w:val="TableGrid"/>
        <w:tblW w:w="5000" w:type="pct"/>
        <w:jc w:val="center"/>
        <w:tblInd w:w="0" w:type="dxa"/>
        <w:tblCellMar>
          <w:top w:w="58" w:type="dxa"/>
          <w:left w:w="107" w:type="dxa"/>
          <w:right w:w="110" w:type="dxa"/>
        </w:tblCellMar>
        <w:tblLook w:val="06A0" w:firstRow="1" w:lastRow="0" w:firstColumn="1" w:lastColumn="0" w:noHBand="1" w:noVBand="1"/>
      </w:tblPr>
      <w:tblGrid>
        <w:gridCol w:w="1626"/>
        <w:gridCol w:w="3999"/>
        <w:gridCol w:w="4003"/>
      </w:tblGrid>
      <w:tr w:rsidR="00D41138" w:rsidRPr="00401ECA" w14:paraId="78C0EED7" w14:textId="77777777" w:rsidTr="00F526B8">
        <w:trPr>
          <w:trHeight w:val="227"/>
          <w:jc w:val="center"/>
        </w:trPr>
        <w:tc>
          <w:tcPr>
            <w:tcW w:w="844" w:type="pct"/>
            <w:tcBorders>
              <w:top w:val="single" w:sz="4" w:space="0" w:color="000000"/>
              <w:left w:val="single" w:sz="4" w:space="0" w:color="000000"/>
              <w:bottom w:val="single" w:sz="4" w:space="0" w:color="000000"/>
              <w:right w:val="single" w:sz="4" w:space="0" w:color="000000"/>
            </w:tcBorders>
            <w:tcMar>
              <w:top w:w="28" w:type="dxa"/>
              <w:left w:w="113" w:type="dxa"/>
              <w:bottom w:w="28" w:type="dxa"/>
              <w:right w:w="0" w:type="dxa"/>
            </w:tcMar>
            <w:hideMark/>
          </w:tcPr>
          <w:p w14:paraId="7C355BD3" w14:textId="77777777" w:rsidR="00D41138" w:rsidRPr="00401ECA" w:rsidRDefault="00D41138" w:rsidP="00F526B8">
            <w:pPr>
              <w:rPr>
                <w:rFonts w:ascii="Times New Roman" w:hAnsi="Times New Roman" w:cs="Times New Roman"/>
                <w:b/>
                <w:sz w:val="22"/>
                <w:szCs w:val="22"/>
                <w:lang w:eastAsia="ru-RU"/>
              </w:rPr>
            </w:pPr>
            <w:r w:rsidRPr="00401ECA">
              <w:rPr>
                <w:rFonts w:ascii="Times New Roman" w:hAnsi="Times New Roman" w:cs="Times New Roman"/>
                <w:b/>
                <w:sz w:val="22"/>
                <w:szCs w:val="22"/>
                <w:lang w:eastAsia="ru-RU"/>
              </w:rPr>
              <w:t>Alder/vægt</w:t>
            </w:r>
          </w:p>
        </w:tc>
        <w:tc>
          <w:tcPr>
            <w:tcW w:w="2077" w:type="pct"/>
            <w:tcBorders>
              <w:top w:val="single" w:sz="4" w:space="0" w:color="000000"/>
              <w:left w:val="single" w:sz="4" w:space="0" w:color="000000"/>
              <w:bottom w:val="single" w:sz="4" w:space="0" w:color="000000"/>
              <w:right w:val="single" w:sz="4" w:space="0" w:color="000000"/>
            </w:tcBorders>
            <w:tcMar>
              <w:top w:w="28" w:type="dxa"/>
              <w:left w:w="113" w:type="dxa"/>
              <w:bottom w:w="28" w:type="dxa"/>
              <w:right w:w="110" w:type="dxa"/>
            </w:tcMar>
            <w:hideMark/>
          </w:tcPr>
          <w:p w14:paraId="2610B354" w14:textId="77777777" w:rsidR="00D41138" w:rsidRPr="00401ECA" w:rsidRDefault="00D41138" w:rsidP="002748AE">
            <w:pPr>
              <w:jc w:val="center"/>
              <w:rPr>
                <w:rFonts w:ascii="Times New Roman" w:hAnsi="Times New Roman" w:cs="Times New Roman"/>
                <w:b/>
                <w:sz w:val="22"/>
                <w:szCs w:val="22"/>
                <w:lang w:val="en-US" w:eastAsia="ru-RU"/>
              </w:rPr>
            </w:pPr>
            <w:r w:rsidRPr="00401ECA">
              <w:rPr>
                <w:rFonts w:ascii="Times New Roman" w:hAnsi="Times New Roman" w:cs="Times New Roman"/>
                <w:b/>
                <w:sz w:val="22"/>
                <w:szCs w:val="22"/>
                <w:lang w:val="en-US" w:eastAsia="ru-RU"/>
              </w:rPr>
              <w:t>Moderat (Child-Pugh klasse B)</w:t>
            </w:r>
          </w:p>
        </w:tc>
        <w:tc>
          <w:tcPr>
            <w:tcW w:w="2080" w:type="pct"/>
            <w:tcBorders>
              <w:top w:val="single" w:sz="4" w:space="0" w:color="000000"/>
              <w:left w:val="single" w:sz="4" w:space="0" w:color="000000"/>
              <w:bottom w:val="single" w:sz="4" w:space="0" w:color="000000"/>
              <w:right w:val="single" w:sz="4" w:space="0" w:color="000000"/>
            </w:tcBorders>
            <w:tcMar>
              <w:top w:w="28" w:type="dxa"/>
              <w:left w:w="113" w:type="dxa"/>
              <w:bottom w:w="28" w:type="dxa"/>
              <w:right w:w="110" w:type="dxa"/>
            </w:tcMar>
            <w:hideMark/>
          </w:tcPr>
          <w:p w14:paraId="69BC52CA" w14:textId="77777777" w:rsidR="00D41138" w:rsidRPr="00401ECA" w:rsidRDefault="00D41138" w:rsidP="002748AE">
            <w:pPr>
              <w:jc w:val="center"/>
              <w:rPr>
                <w:rFonts w:ascii="Times New Roman" w:hAnsi="Times New Roman" w:cs="Times New Roman"/>
                <w:b/>
                <w:sz w:val="22"/>
                <w:szCs w:val="22"/>
                <w:lang w:eastAsia="ru-RU"/>
              </w:rPr>
            </w:pPr>
            <w:r w:rsidRPr="00401ECA">
              <w:rPr>
                <w:rFonts w:ascii="Times New Roman" w:hAnsi="Times New Roman" w:cs="Times New Roman"/>
                <w:b/>
                <w:sz w:val="22"/>
                <w:szCs w:val="22"/>
                <w:lang w:eastAsia="ru-RU"/>
              </w:rPr>
              <w:t>Svært (Child-Pugh klasse C)</w:t>
            </w:r>
          </w:p>
        </w:tc>
      </w:tr>
      <w:tr w:rsidR="00D41138" w:rsidRPr="00401ECA" w14:paraId="457FB0CB" w14:textId="77777777" w:rsidTr="00F526B8">
        <w:trPr>
          <w:trHeight w:val="227"/>
          <w:jc w:val="center"/>
        </w:trPr>
        <w:tc>
          <w:tcPr>
            <w:tcW w:w="2920" w:type="pct"/>
            <w:gridSpan w:val="2"/>
            <w:tcBorders>
              <w:top w:val="single" w:sz="4" w:space="0" w:color="000000"/>
              <w:left w:val="single" w:sz="4" w:space="0" w:color="000000"/>
              <w:bottom w:val="single" w:sz="4" w:space="0" w:color="000000"/>
              <w:right w:val="nil"/>
            </w:tcBorders>
            <w:tcMar>
              <w:top w:w="28" w:type="dxa"/>
              <w:left w:w="113" w:type="dxa"/>
              <w:bottom w:w="28" w:type="dxa"/>
              <w:right w:w="0" w:type="dxa"/>
            </w:tcMar>
            <w:hideMark/>
          </w:tcPr>
          <w:p w14:paraId="1C9797AF" w14:textId="77777777" w:rsidR="00D41138" w:rsidRPr="00401ECA" w:rsidRDefault="00D41138" w:rsidP="00F526B8">
            <w:pPr>
              <w:rPr>
                <w:rFonts w:ascii="Times New Roman" w:hAnsi="Times New Roman" w:cs="Times New Roman"/>
                <w:b/>
                <w:sz w:val="22"/>
                <w:szCs w:val="22"/>
                <w:lang w:eastAsia="ru-RU"/>
              </w:rPr>
            </w:pPr>
            <w:r w:rsidRPr="00401ECA">
              <w:rPr>
                <w:rFonts w:ascii="Times New Roman" w:hAnsi="Times New Roman" w:cs="Times New Roman"/>
                <w:b/>
                <w:sz w:val="22"/>
                <w:szCs w:val="22"/>
                <w:lang w:eastAsia="ru-RU"/>
              </w:rPr>
              <w:t xml:space="preserve">Ivacaftor som monoterapi </w:t>
            </w:r>
          </w:p>
        </w:tc>
        <w:tc>
          <w:tcPr>
            <w:tcW w:w="2080" w:type="pct"/>
            <w:tcBorders>
              <w:top w:val="single" w:sz="4" w:space="0" w:color="000000"/>
              <w:left w:val="nil"/>
              <w:bottom w:val="single" w:sz="4" w:space="0" w:color="000000"/>
              <w:right w:val="single" w:sz="4" w:space="0" w:color="000000"/>
            </w:tcBorders>
            <w:tcMar>
              <w:top w:w="28" w:type="dxa"/>
              <w:left w:w="113" w:type="dxa"/>
              <w:bottom w:w="28" w:type="dxa"/>
              <w:right w:w="110" w:type="dxa"/>
            </w:tcMar>
          </w:tcPr>
          <w:p w14:paraId="7EA2C580" w14:textId="77777777" w:rsidR="00D41138" w:rsidRPr="00401ECA" w:rsidRDefault="00D41138" w:rsidP="00F526B8">
            <w:pPr>
              <w:rPr>
                <w:rFonts w:ascii="Times New Roman" w:hAnsi="Times New Roman" w:cs="Times New Roman"/>
                <w:b/>
                <w:sz w:val="22"/>
                <w:szCs w:val="22"/>
                <w:lang w:eastAsia="ru-RU"/>
              </w:rPr>
            </w:pPr>
          </w:p>
        </w:tc>
      </w:tr>
      <w:tr w:rsidR="00D41138" w:rsidRPr="00401ECA" w14:paraId="5D1F8E19" w14:textId="77777777" w:rsidTr="00F526B8">
        <w:trPr>
          <w:trHeight w:val="227"/>
          <w:jc w:val="center"/>
        </w:trPr>
        <w:tc>
          <w:tcPr>
            <w:tcW w:w="844" w:type="pct"/>
            <w:tcBorders>
              <w:top w:val="single" w:sz="4" w:space="0" w:color="000000"/>
              <w:left w:val="single" w:sz="4" w:space="0" w:color="000000"/>
              <w:bottom w:val="single" w:sz="4" w:space="0" w:color="000000"/>
              <w:right w:val="single" w:sz="4" w:space="0" w:color="000000"/>
            </w:tcBorders>
            <w:tcMar>
              <w:top w:w="28" w:type="dxa"/>
              <w:left w:w="113" w:type="dxa"/>
              <w:bottom w:w="28" w:type="dxa"/>
              <w:right w:w="110" w:type="dxa"/>
            </w:tcMar>
            <w:hideMark/>
          </w:tcPr>
          <w:p w14:paraId="4EAE27CC" w14:textId="77777777" w:rsidR="00D41138" w:rsidRPr="00401ECA" w:rsidRDefault="00D41138" w:rsidP="00F526B8">
            <w:pPr>
              <w:rPr>
                <w:rFonts w:ascii="Times New Roman" w:hAnsi="Times New Roman" w:cs="Times New Roman"/>
                <w:sz w:val="22"/>
                <w:szCs w:val="22"/>
                <w:lang w:eastAsia="ru-RU"/>
              </w:rPr>
            </w:pPr>
            <w:r w:rsidRPr="00401ECA">
              <w:rPr>
                <w:rFonts w:ascii="Times New Roman" w:hAnsi="Times New Roman" w:cs="Times New Roman"/>
                <w:sz w:val="22"/>
                <w:szCs w:val="22"/>
                <w:lang w:eastAsia="ru-RU"/>
              </w:rPr>
              <w:t xml:space="preserve">6 år og ældre, </w:t>
            </w:r>
          </w:p>
          <w:p w14:paraId="0A39A4F7" w14:textId="77777777" w:rsidR="00D41138" w:rsidRPr="00401ECA" w:rsidRDefault="00D41138" w:rsidP="00F526B8">
            <w:pPr>
              <w:rPr>
                <w:rFonts w:ascii="Times New Roman" w:hAnsi="Times New Roman" w:cs="Times New Roman"/>
                <w:sz w:val="22"/>
                <w:szCs w:val="22"/>
                <w:lang w:eastAsia="ru-RU"/>
              </w:rPr>
            </w:pPr>
            <w:r w:rsidRPr="00401ECA">
              <w:rPr>
                <w:rFonts w:ascii="Times New Roman" w:hAnsi="Times New Roman" w:cs="Times New Roman"/>
                <w:sz w:val="22"/>
                <w:szCs w:val="22"/>
                <w:lang w:eastAsia="ru-RU"/>
              </w:rPr>
              <w:t xml:space="preserve">≥ 25 kg </w:t>
            </w:r>
          </w:p>
        </w:tc>
        <w:tc>
          <w:tcPr>
            <w:tcW w:w="2077" w:type="pct"/>
            <w:tcBorders>
              <w:top w:val="single" w:sz="4" w:space="0" w:color="000000"/>
              <w:left w:val="single" w:sz="4" w:space="0" w:color="000000"/>
              <w:bottom w:val="single" w:sz="4" w:space="0" w:color="000000"/>
              <w:right w:val="single" w:sz="4" w:space="0" w:color="000000"/>
            </w:tcBorders>
            <w:tcMar>
              <w:top w:w="28" w:type="dxa"/>
              <w:left w:w="113" w:type="dxa"/>
              <w:bottom w:w="28" w:type="dxa"/>
              <w:right w:w="110" w:type="dxa"/>
            </w:tcMar>
            <w:hideMark/>
          </w:tcPr>
          <w:p w14:paraId="607A41C3" w14:textId="77777777" w:rsidR="00D41138" w:rsidRPr="00401ECA" w:rsidRDefault="00D41138" w:rsidP="00F526B8">
            <w:pPr>
              <w:rPr>
                <w:rFonts w:ascii="Times New Roman" w:hAnsi="Times New Roman" w:cs="Times New Roman"/>
                <w:sz w:val="22"/>
                <w:szCs w:val="22"/>
                <w:lang w:eastAsia="ru-RU"/>
              </w:rPr>
            </w:pPr>
            <w:r w:rsidRPr="00401ECA">
              <w:rPr>
                <w:rFonts w:ascii="Times New Roman" w:hAnsi="Times New Roman" w:cs="Times New Roman"/>
                <w:sz w:val="22"/>
                <w:szCs w:val="22"/>
                <w:lang w:eastAsia="ru-RU"/>
              </w:rPr>
              <w:t xml:space="preserve">Én morgentablet med ivacaftor 150 mg én gang dagligt.  </w:t>
            </w:r>
          </w:p>
          <w:p w14:paraId="4D39D238" w14:textId="77777777" w:rsidR="00D41138" w:rsidRPr="00401ECA" w:rsidRDefault="00D41138" w:rsidP="00F526B8">
            <w:pPr>
              <w:rPr>
                <w:rFonts w:ascii="Times New Roman" w:hAnsi="Times New Roman" w:cs="Times New Roman"/>
                <w:sz w:val="22"/>
                <w:szCs w:val="22"/>
                <w:lang w:eastAsia="ru-RU"/>
              </w:rPr>
            </w:pPr>
            <w:r w:rsidRPr="00401ECA">
              <w:rPr>
                <w:rFonts w:ascii="Times New Roman" w:hAnsi="Times New Roman" w:cs="Times New Roman"/>
                <w:sz w:val="22"/>
                <w:szCs w:val="22"/>
                <w:lang w:eastAsia="ru-RU"/>
              </w:rPr>
              <w:t xml:space="preserve"> </w:t>
            </w:r>
          </w:p>
          <w:p w14:paraId="3E429C44" w14:textId="77777777" w:rsidR="00D41138" w:rsidRPr="00401ECA" w:rsidRDefault="00D41138" w:rsidP="00F526B8">
            <w:pPr>
              <w:rPr>
                <w:rFonts w:ascii="Times New Roman" w:hAnsi="Times New Roman" w:cs="Times New Roman"/>
                <w:sz w:val="22"/>
                <w:szCs w:val="22"/>
                <w:lang w:eastAsia="ru-RU"/>
              </w:rPr>
            </w:pPr>
            <w:r w:rsidRPr="00401ECA">
              <w:rPr>
                <w:rFonts w:ascii="Times New Roman" w:hAnsi="Times New Roman" w:cs="Times New Roman"/>
                <w:sz w:val="22"/>
                <w:szCs w:val="22"/>
                <w:lang w:eastAsia="ru-RU"/>
              </w:rPr>
              <w:t xml:space="preserve">Ingen aftendosis af ivacaftor. </w:t>
            </w:r>
          </w:p>
        </w:tc>
        <w:tc>
          <w:tcPr>
            <w:tcW w:w="2080" w:type="pct"/>
            <w:tcBorders>
              <w:top w:val="single" w:sz="4" w:space="0" w:color="000000"/>
              <w:left w:val="single" w:sz="4" w:space="0" w:color="000000"/>
              <w:bottom w:val="single" w:sz="4" w:space="0" w:color="000000"/>
              <w:right w:val="single" w:sz="4" w:space="0" w:color="000000"/>
            </w:tcBorders>
            <w:tcMar>
              <w:top w:w="28" w:type="dxa"/>
              <w:left w:w="113" w:type="dxa"/>
              <w:bottom w:w="28" w:type="dxa"/>
              <w:right w:w="110" w:type="dxa"/>
            </w:tcMar>
            <w:hideMark/>
          </w:tcPr>
          <w:p w14:paraId="1C71A217" w14:textId="77777777" w:rsidR="00D41138" w:rsidRPr="00401ECA" w:rsidRDefault="00D41138" w:rsidP="00F526B8">
            <w:pPr>
              <w:rPr>
                <w:rFonts w:ascii="Times New Roman" w:hAnsi="Times New Roman" w:cs="Times New Roman"/>
                <w:sz w:val="22"/>
                <w:szCs w:val="22"/>
                <w:lang w:eastAsia="ru-RU"/>
              </w:rPr>
            </w:pPr>
            <w:r w:rsidRPr="00401ECA">
              <w:rPr>
                <w:rFonts w:ascii="Times New Roman" w:hAnsi="Times New Roman" w:cs="Times New Roman"/>
                <w:b/>
                <w:bCs/>
                <w:sz w:val="22"/>
                <w:szCs w:val="22"/>
                <w:lang w:eastAsia="ru-RU"/>
              </w:rPr>
              <w:t>Bør ikke anvendes</w:t>
            </w:r>
            <w:r w:rsidRPr="00401ECA">
              <w:rPr>
                <w:rFonts w:ascii="Times New Roman" w:hAnsi="Times New Roman" w:cs="Times New Roman"/>
                <w:bCs/>
                <w:sz w:val="22"/>
                <w:szCs w:val="22"/>
                <w:lang w:eastAsia="ru-RU"/>
              </w:rPr>
              <w:t>,</w:t>
            </w:r>
            <w:r w:rsidRPr="00401ECA">
              <w:rPr>
                <w:rFonts w:ascii="Times New Roman" w:hAnsi="Times New Roman" w:cs="Times New Roman"/>
                <w:sz w:val="22"/>
                <w:szCs w:val="22"/>
                <w:lang w:eastAsia="ru-RU"/>
              </w:rPr>
              <w:t xml:space="preserve"> medmindre fordelene forventes at opveje risiciene. </w:t>
            </w:r>
          </w:p>
          <w:p w14:paraId="4E640779" w14:textId="77777777" w:rsidR="00D41138" w:rsidRPr="00401ECA" w:rsidRDefault="00D41138" w:rsidP="00F526B8">
            <w:pPr>
              <w:rPr>
                <w:rFonts w:ascii="Times New Roman" w:hAnsi="Times New Roman" w:cs="Times New Roman"/>
                <w:sz w:val="22"/>
                <w:szCs w:val="22"/>
                <w:lang w:eastAsia="ru-RU"/>
              </w:rPr>
            </w:pPr>
            <w:r w:rsidRPr="00401ECA">
              <w:rPr>
                <w:rFonts w:ascii="Times New Roman" w:hAnsi="Times New Roman" w:cs="Times New Roman"/>
                <w:sz w:val="22"/>
                <w:szCs w:val="22"/>
                <w:lang w:eastAsia="ru-RU"/>
              </w:rPr>
              <w:t xml:space="preserve"> </w:t>
            </w:r>
          </w:p>
          <w:p w14:paraId="6E7F92DB" w14:textId="77777777" w:rsidR="00D41138" w:rsidRPr="00401ECA" w:rsidRDefault="00D41138" w:rsidP="00F526B8">
            <w:pPr>
              <w:rPr>
                <w:rFonts w:ascii="Times New Roman" w:hAnsi="Times New Roman" w:cs="Times New Roman"/>
                <w:sz w:val="22"/>
                <w:szCs w:val="22"/>
                <w:lang w:eastAsia="ru-RU"/>
              </w:rPr>
            </w:pPr>
            <w:r w:rsidRPr="00401ECA">
              <w:rPr>
                <w:rFonts w:ascii="Times New Roman" w:hAnsi="Times New Roman" w:cs="Times New Roman"/>
                <w:sz w:val="22"/>
                <w:szCs w:val="22"/>
                <w:lang w:eastAsia="ru-RU"/>
              </w:rPr>
              <w:t xml:space="preserve">Ved anvendelse, én morgentablet med ivacaftor 150 mg hver anden dag eller </w:t>
            </w:r>
            <w:r w:rsidRPr="00401ECA">
              <w:rPr>
                <w:rFonts w:ascii="Times New Roman" w:hAnsi="Times New Roman" w:cs="Times New Roman"/>
                <w:sz w:val="22"/>
                <w:szCs w:val="22"/>
                <w:lang w:eastAsia="ru-RU"/>
              </w:rPr>
              <w:lastRenderedPageBreak/>
              <w:t xml:space="preserve">mindre hyppigt i henhold til klinisk respons og tolerabilitet. </w:t>
            </w:r>
          </w:p>
          <w:p w14:paraId="2F31DCF6" w14:textId="77777777" w:rsidR="00D41138" w:rsidRPr="00401ECA" w:rsidRDefault="00D41138" w:rsidP="00F526B8">
            <w:pPr>
              <w:rPr>
                <w:rFonts w:ascii="Times New Roman" w:hAnsi="Times New Roman" w:cs="Times New Roman"/>
                <w:sz w:val="22"/>
                <w:szCs w:val="22"/>
                <w:lang w:eastAsia="ru-RU"/>
              </w:rPr>
            </w:pPr>
            <w:r w:rsidRPr="00401ECA">
              <w:rPr>
                <w:rFonts w:ascii="Times New Roman" w:hAnsi="Times New Roman" w:cs="Times New Roman"/>
                <w:sz w:val="22"/>
                <w:szCs w:val="22"/>
                <w:lang w:eastAsia="ru-RU"/>
              </w:rPr>
              <w:t xml:space="preserve"> </w:t>
            </w:r>
          </w:p>
          <w:p w14:paraId="26F69785" w14:textId="77777777" w:rsidR="00D41138" w:rsidRPr="00401ECA" w:rsidRDefault="00D41138" w:rsidP="00F526B8">
            <w:pPr>
              <w:rPr>
                <w:rFonts w:ascii="Times New Roman" w:hAnsi="Times New Roman" w:cs="Times New Roman"/>
                <w:sz w:val="22"/>
                <w:szCs w:val="22"/>
                <w:lang w:eastAsia="ru-RU"/>
              </w:rPr>
            </w:pPr>
            <w:r w:rsidRPr="00401ECA">
              <w:rPr>
                <w:rFonts w:ascii="Times New Roman" w:hAnsi="Times New Roman" w:cs="Times New Roman"/>
                <w:sz w:val="22"/>
                <w:szCs w:val="22"/>
                <w:lang w:eastAsia="ru-RU"/>
              </w:rPr>
              <w:t xml:space="preserve">Ingen aftendosis af ivacaftor. </w:t>
            </w:r>
          </w:p>
        </w:tc>
      </w:tr>
      <w:tr w:rsidR="00D41138" w:rsidRPr="00401ECA" w14:paraId="46ADF401" w14:textId="77777777" w:rsidTr="00F526B8">
        <w:trPr>
          <w:trHeight w:val="227"/>
          <w:jc w:val="center"/>
        </w:trPr>
        <w:tc>
          <w:tcPr>
            <w:tcW w:w="5000" w:type="pct"/>
            <w:gridSpan w:val="3"/>
            <w:tcBorders>
              <w:top w:val="single" w:sz="4" w:space="0" w:color="000000"/>
              <w:left w:val="single" w:sz="4" w:space="0" w:color="000000"/>
              <w:bottom w:val="single" w:sz="4" w:space="0" w:color="000000"/>
              <w:right w:val="single" w:sz="4" w:space="0" w:color="000000"/>
            </w:tcBorders>
            <w:tcMar>
              <w:top w:w="28" w:type="dxa"/>
              <w:left w:w="113" w:type="dxa"/>
              <w:bottom w:w="28" w:type="dxa"/>
              <w:right w:w="110" w:type="dxa"/>
            </w:tcMar>
            <w:hideMark/>
          </w:tcPr>
          <w:p w14:paraId="1E9B4B8C" w14:textId="77777777" w:rsidR="00D41138" w:rsidRPr="00401ECA" w:rsidRDefault="00D41138" w:rsidP="00F526B8">
            <w:pPr>
              <w:rPr>
                <w:rFonts w:ascii="Times New Roman" w:hAnsi="Times New Roman" w:cs="Times New Roman"/>
                <w:b/>
                <w:sz w:val="22"/>
                <w:szCs w:val="22"/>
                <w:lang w:eastAsia="ru-RU"/>
              </w:rPr>
            </w:pPr>
            <w:r w:rsidRPr="00401ECA">
              <w:rPr>
                <w:rFonts w:ascii="Times New Roman" w:hAnsi="Times New Roman" w:cs="Times New Roman"/>
                <w:b/>
                <w:sz w:val="22"/>
                <w:szCs w:val="22"/>
                <w:lang w:eastAsia="ru-RU"/>
              </w:rPr>
              <w:lastRenderedPageBreak/>
              <w:t>Ivacaftor i et kombinationsregime med tezacaftor/ivacaftor</w:t>
            </w:r>
          </w:p>
        </w:tc>
      </w:tr>
      <w:tr w:rsidR="00D41138" w:rsidRPr="00401ECA" w14:paraId="461BEE4D" w14:textId="77777777" w:rsidTr="00F526B8">
        <w:trPr>
          <w:trHeight w:val="227"/>
          <w:jc w:val="center"/>
        </w:trPr>
        <w:tc>
          <w:tcPr>
            <w:tcW w:w="844" w:type="pct"/>
            <w:tcBorders>
              <w:top w:val="single" w:sz="4" w:space="0" w:color="000000"/>
              <w:left w:val="single" w:sz="4" w:space="0" w:color="000000"/>
              <w:bottom w:val="single" w:sz="4" w:space="0" w:color="000000"/>
              <w:right w:val="single" w:sz="4" w:space="0" w:color="000000"/>
            </w:tcBorders>
            <w:tcMar>
              <w:top w:w="28" w:type="dxa"/>
              <w:left w:w="113" w:type="dxa"/>
              <w:bottom w:w="28" w:type="dxa"/>
              <w:right w:w="110" w:type="dxa"/>
            </w:tcMar>
            <w:hideMark/>
          </w:tcPr>
          <w:p w14:paraId="1A76A268" w14:textId="77777777" w:rsidR="00D41138" w:rsidRPr="00401ECA" w:rsidRDefault="00D41138" w:rsidP="00F526B8">
            <w:pPr>
              <w:rPr>
                <w:rFonts w:ascii="Times New Roman" w:hAnsi="Times New Roman" w:cs="Times New Roman"/>
                <w:sz w:val="22"/>
                <w:szCs w:val="22"/>
                <w:lang w:eastAsia="ru-RU"/>
              </w:rPr>
            </w:pPr>
            <w:r w:rsidRPr="00401ECA">
              <w:rPr>
                <w:rFonts w:ascii="Times New Roman" w:hAnsi="Times New Roman" w:cs="Times New Roman"/>
                <w:sz w:val="22"/>
                <w:szCs w:val="22"/>
                <w:lang w:eastAsia="ru-RU"/>
              </w:rPr>
              <w:t xml:space="preserve">6 år til &lt; 12 år,  </w:t>
            </w:r>
          </w:p>
          <w:p w14:paraId="544133AA" w14:textId="77777777" w:rsidR="00D41138" w:rsidRPr="00401ECA" w:rsidRDefault="00D41138" w:rsidP="00F526B8">
            <w:pPr>
              <w:rPr>
                <w:rFonts w:ascii="Times New Roman" w:hAnsi="Times New Roman" w:cs="Times New Roman"/>
                <w:sz w:val="22"/>
                <w:szCs w:val="22"/>
                <w:lang w:eastAsia="ru-RU"/>
              </w:rPr>
            </w:pPr>
            <w:r w:rsidRPr="00401ECA">
              <w:rPr>
                <w:rFonts w:ascii="Times New Roman" w:hAnsi="Times New Roman" w:cs="Times New Roman"/>
                <w:sz w:val="22"/>
                <w:szCs w:val="22"/>
                <w:lang w:eastAsia="ru-RU"/>
              </w:rPr>
              <w:t xml:space="preserve">&lt; 30 kg </w:t>
            </w:r>
          </w:p>
        </w:tc>
        <w:tc>
          <w:tcPr>
            <w:tcW w:w="2077" w:type="pct"/>
            <w:tcBorders>
              <w:top w:val="single" w:sz="4" w:space="0" w:color="000000"/>
              <w:left w:val="single" w:sz="4" w:space="0" w:color="000000"/>
              <w:bottom w:val="single" w:sz="4" w:space="0" w:color="000000"/>
              <w:right w:val="single" w:sz="4" w:space="0" w:color="000000"/>
            </w:tcBorders>
            <w:tcMar>
              <w:top w:w="28" w:type="dxa"/>
              <w:left w:w="113" w:type="dxa"/>
              <w:bottom w:w="28" w:type="dxa"/>
              <w:right w:w="110" w:type="dxa"/>
            </w:tcMar>
            <w:hideMark/>
          </w:tcPr>
          <w:p w14:paraId="6467F053" w14:textId="77777777" w:rsidR="00D41138" w:rsidRPr="00401ECA" w:rsidRDefault="00D41138" w:rsidP="00F526B8">
            <w:pPr>
              <w:rPr>
                <w:rFonts w:ascii="Times New Roman" w:hAnsi="Times New Roman" w:cs="Times New Roman"/>
                <w:sz w:val="22"/>
                <w:szCs w:val="22"/>
                <w:lang w:eastAsia="ru-RU"/>
              </w:rPr>
            </w:pPr>
            <w:r w:rsidRPr="00401ECA">
              <w:rPr>
                <w:rFonts w:ascii="Times New Roman" w:hAnsi="Times New Roman" w:cs="Times New Roman"/>
                <w:sz w:val="22"/>
                <w:szCs w:val="22"/>
                <w:lang w:eastAsia="ru-RU"/>
              </w:rPr>
              <w:t xml:space="preserve">Én morgentablet med tezacaftor 50 mg/ ivacaftor 75 mg én gang dagligt.  </w:t>
            </w:r>
          </w:p>
          <w:p w14:paraId="027B8BC1" w14:textId="77777777" w:rsidR="00D41138" w:rsidRPr="00401ECA" w:rsidRDefault="00D41138" w:rsidP="00F526B8">
            <w:pPr>
              <w:rPr>
                <w:rFonts w:ascii="Times New Roman" w:hAnsi="Times New Roman" w:cs="Times New Roman"/>
                <w:sz w:val="22"/>
                <w:szCs w:val="22"/>
                <w:lang w:eastAsia="ru-RU"/>
              </w:rPr>
            </w:pPr>
            <w:r w:rsidRPr="00401ECA">
              <w:rPr>
                <w:rFonts w:ascii="Times New Roman" w:hAnsi="Times New Roman" w:cs="Times New Roman"/>
                <w:sz w:val="22"/>
                <w:szCs w:val="22"/>
                <w:lang w:eastAsia="ru-RU"/>
              </w:rPr>
              <w:t xml:space="preserve"> </w:t>
            </w:r>
          </w:p>
          <w:p w14:paraId="58AD184B" w14:textId="77777777" w:rsidR="00D41138" w:rsidRPr="00401ECA" w:rsidRDefault="00D41138" w:rsidP="00F526B8">
            <w:pPr>
              <w:rPr>
                <w:rFonts w:ascii="Times New Roman" w:hAnsi="Times New Roman" w:cs="Times New Roman"/>
                <w:sz w:val="22"/>
                <w:szCs w:val="22"/>
                <w:lang w:eastAsia="ru-RU"/>
              </w:rPr>
            </w:pPr>
            <w:r w:rsidRPr="00401ECA">
              <w:rPr>
                <w:rFonts w:ascii="Times New Roman" w:hAnsi="Times New Roman" w:cs="Times New Roman"/>
                <w:sz w:val="22"/>
                <w:szCs w:val="22"/>
                <w:lang w:eastAsia="ru-RU"/>
              </w:rPr>
              <w:t xml:space="preserve">Ingen aftendosis af ivacaftor. </w:t>
            </w:r>
          </w:p>
        </w:tc>
        <w:tc>
          <w:tcPr>
            <w:tcW w:w="2080" w:type="pct"/>
            <w:tcBorders>
              <w:top w:val="single" w:sz="4" w:space="0" w:color="000000"/>
              <w:left w:val="single" w:sz="4" w:space="0" w:color="000000"/>
              <w:bottom w:val="single" w:sz="4" w:space="0" w:color="000000"/>
              <w:right w:val="single" w:sz="4" w:space="0" w:color="000000"/>
            </w:tcBorders>
            <w:tcMar>
              <w:top w:w="28" w:type="dxa"/>
              <w:left w:w="113" w:type="dxa"/>
              <w:bottom w:w="28" w:type="dxa"/>
              <w:right w:w="110" w:type="dxa"/>
            </w:tcMar>
            <w:hideMark/>
          </w:tcPr>
          <w:p w14:paraId="0389E366" w14:textId="77777777" w:rsidR="00D41138" w:rsidRPr="00401ECA" w:rsidRDefault="00D41138" w:rsidP="00F526B8">
            <w:pPr>
              <w:rPr>
                <w:rFonts w:ascii="Times New Roman" w:hAnsi="Times New Roman" w:cs="Times New Roman"/>
                <w:sz w:val="22"/>
                <w:szCs w:val="22"/>
                <w:lang w:eastAsia="ru-RU"/>
              </w:rPr>
            </w:pPr>
            <w:r w:rsidRPr="00401ECA">
              <w:rPr>
                <w:rFonts w:ascii="Times New Roman" w:hAnsi="Times New Roman" w:cs="Times New Roman"/>
                <w:b/>
                <w:sz w:val="22"/>
                <w:szCs w:val="22"/>
                <w:lang w:eastAsia="ru-RU"/>
              </w:rPr>
              <w:t>Bør ikke anvendes</w:t>
            </w:r>
            <w:r w:rsidRPr="00401ECA">
              <w:rPr>
                <w:rFonts w:ascii="Times New Roman" w:hAnsi="Times New Roman" w:cs="Times New Roman"/>
                <w:sz w:val="22"/>
                <w:szCs w:val="22"/>
                <w:lang w:eastAsia="ru-RU"/>
              </w:rPr>
              <w:t xml:space="preserve">, medmindre fordelene forventes at opveje risiciene.  </w:t>
            </w:r>
          </w:p>
          <w:p w14:paraId="5BE5649E" w14:textId="77777777" w:rsidR="00D41138" w:rsidRPr="00401ECA" w:rsidRDefault="00D41138" w:rsidP="00F526B8">
            <w:pPr>
              <w:rPr>
                <w:rFonts w:ascii="Times New Roman" w:hAnsi="Times New Roman" w:cs="Times New Roman"/>
                <w:sz w:val="22"/>
                <w:szCs w:val="22"/>
                <w:lang w:eastAsia="ru-RU"/>
              </w:rPr>
            </w:pPr>
            <w:r w:rsidRPr="00401ECA">
              <w:rPr>
                <w:rFonts w:ascii="Times New Roman" w:hAnsi="Times New Roman" w:cs="Times New Roman"/>
                <w:sz w:val="22"/>
                <w:szCs w:val="22"/>
                <w:lang w:eastAsia="ru-RU"/>
              </w:rPr>
              <w:t xml:space="preserve"> </w:t>
            </w:r>
          </w:p>
          <w:p w14:paraId="0A51F3D1" w14:textId="77777777" w:rsidR="00D41138" w:rsidRPr="00401ECA" w:rsidRDefault="00D41138" w:rsidP="00F526B8">
            <w:pPr>
              <w:rPr>
                <w:rFonts w:ascii="Times New Roman" w:hAnsi="Times New Roman" w:cs="Times New Roman"/>
                <w:sz w:val="22"/>
                <w:szCs w:val="22"/>
                <w:lang w:eastAsia="ru-RU"/>
              </w:rPr>
            </w:pPr>
            <w:r w:rsidRPr="00401ECA">
              <w:rPr>
                <w:rFonts w:ascii="Times New Roman" w:hAnsi="Times New Roman" w:cs="Times New Roman"/>
                <w:sz w:val="22"/>
                <w:szCs w:val="22"/>
                <w:lang w:eastAsia="ru-RU"/>
              </w:rPr>
              <w:t xml:space="preserve">Ved anvendelse, én morgentablet med tezacaftor 50 mg/ivacaftor 75 mg én gang dagligt eller mindre hyppigt i henhold til klinisk respons og tolerabilitet. </w:t>
            </w:r>
          </w:p>
          <w:p w14:paraId="05035A6B" w14:textId="77777777" w:rsidR="00D41138" w:rsidRPr="00401ECA" w:rsidRDefault="00D41138" w:rsidP="00F526B8">
            <w:pPr>
              <w:rPr>
                <w:rFonts w:ascii="Times New Roman" w:hAnsi="Times New Roman" w:cs="Times New Roman"/>
                <w:sz w:val="22"/>
                <w:szCs w:val="22"/>
                <w:lang w:eastAsia="ru-RU"/>
              </w:rPr>
            </w:pPr>
            <w:r w:rsidRPr="00401ECA">
              <w:rPr>
                <w:rFonts w:ascii="Times New Roman" w:hAnsi="Times New Roman" w:cs="Times New Roman"/>
                <w:sz w:val="22"/>
                <w:szCs w:val="22"/>
                <w:lang w:eastAsia="ru-RU"/>
              </w:rPr>
              <w:t xml:space="preserve"> </w:t>
            </w:r>
          </w:p>
          <w:p w14:paraId="6CB064E7" w14:textId="77777777" w:rsidR="00D41138" w:rsidRPr="00401ECA" w:rsidRDefault="00D41138" w:rsidP="00F526B8">
            <w:pPr>
              <w:rPr>
                <w:rFonts w:ascii="Times New Roman" w:hAnsi="Times New Roman" w:cs="Times New Roman"/>
                <w:sz w:val="22"/>
                <w:szCs w:val="22"/>
                <w:lang w:eastAsia="ru-RU"/>
              </w:rPr>
            </w:pPr>
            <w:r w:rsidRPr="00401ECA">
              <w:rPr>
                <w:rFonts w:ascii="Times New Roman" w:hAnsi="Times New Roman" w:cs="Times New Roman"/>
                <w:sz w:val="22"/>
                <w:szCs w:val="22"/>
                <w:lang w:eastAsia="ru-RU"/>
              </w:rPr>
              <w:t xml:space="preserve">Ingen aftendosis af ivacaftor. </w:t>
            </w:r>
          </w:p>
        </w:tc>
      </w:tr>
      <w:tr w:rsidR="00D41138" w:rsidRPr="00401ECA" w14:paraId="28C53BA7" w14:textId="77777777" w:rsidTr="00F526B8">
        <w:trPr>
          <w:trHeight w:val="227"/>
          <w:jc w:val="center"/>
        </w:trPr>
        <w:tc>
          <w:tcPr>
            <w:tcW w:w="844" w:type="pct"/>
            <w:tcBorders>
              <w:top w:val="single" w:sz="4" w:space="0" w:color="000000"/>
              <w:left w:val="single" w:sz="4" w:space="0" w:color="000000"/>
              <w:bottom w:val="single" w:sz="4" w:space="0" w:color="000000"/>
              <w:right w:val="single" w:sz="4" w:space="0" w:color="000000"/>
            </w:tcBorders>
            <w:tcMar>
              <w:top w:w="28" w:type="dxa"/>
              <w:left w:w="113" w:type="dxa"/>
              <w:bottom w:w="28" w:type="dxa"/>
              <w:right w:w="110" w:type="dxa"/>
            </w:tcMar>
            <w:hideMark/>
          </w:tcPr>
          <w:p w14:paraId="3891C788" w14:textId="77777777" w:rsidR="00D41138" w:rsidRPr="00401ECA" w:rsidRDefault="00D41138" w:rsidP="00F526B8">
            <w:pPr>
              <w:rPr>
                <w:rFonts w:ascii="Times New Roman" w:hAnsi="Times New Roman" w:cs="Times New Roman"/>
                <w:sz w:val="22"/>
                <w:szCs w:val="22"/>
                <w:lang w:eastAsia="ru-RU"/>
              </w:rPr>
            </w:pPr>
            <w:r w:rsidRPr="00401ECA">
              <w:rPr>
                <w:rFonts w:ascii="Times New Roman" w:hAnsi="Times New Roman" w:cs="Times New Roman"/>
                <w:sz w:val="22"/>
                <w:szCs w:val="22"/>
                <w:lang w:eastAsia="ru-RU"/>
              </w:rPr>
              <w:t xml:space="preserve">6 år til &lt; 12 år, </w:t>
            </w:r>
          </w:p>
          <w:p w14:paraId="4BA071CA" w14:textId="77777777" w:rsidR="00D41138" w:rsidRPr="00401ECA" w:rsidRDefault="00D41138" w:rsidP="00F526B8">
            <w:pPr>
              <w:rPr>
                <w:rFonts w:ascii="Times New Roman" w:hAnsi="Times New Roman" w:cs="Times New Roman"/>
                <w:sz w:val="22"/>
                <w:szCs w:val="22"/>
                <w:lang w:eastAsia="ru-RU"/>
              </w:rPr>
            </w:pPr>
            <w:r w:rsidRPr="00401ECA">
              <w:rPr>
                <w:rFonts w:ascii="Times New Roman" w:hAnsi="Times New Roman" w:cs="Times New Roman"/>
                <w:sz w:val="22"/>
                <w:szCs w:val="22"/>
                <w:lang w:eastAsia="ru-RU"/>
              </w:rPr>
              <w:t xml:space="preserve">≥ 30 kg </w:t>
            </w:r>
          </w:p>
        </w:tc>
        <w:tc>
          <w:tcPr>
            <w:tcW w:w="2077" w:type="pct"/>
            <w:tcBorders>
              <w:top w:val="single" w:sz="4" w:space="0" w:color="000000"/>
              <w:left w:val="single" w:sz="4" w:space="0" w:color="000000"/>
              <w:bottom w:val="single" w:sz="4" w:space="0" w:color="000000"/>
              <w:right w:val="single" w:sz="4" w:space="0" w:color="000000"/>
            </w:tcBorders>
            <w:tcMar>
              <w:top w:w="28" w:type="dxa"/>
              <w:left w:w="113" w:type="dxa"/>
              <w:bottom w:w="28" w:type="dxa"/>
              <w:right w:w="110" w:type="dxa"/>
            </w:tcMar>
            <w:hideMark/>
          </w:tcPr>
          <w:p w14:paraId="653A33DD" w14:textId="77777777" w:rsidR="00D41138" w:rsidRPr="00401ECA" w:rsidRDefault="00D41138" w:rsidP="00F526B8">
            <w:pPr>
              <w:rPr>
                <w:rFonts w:ascii="Times New Roman" w:hAnsi="Times New Roman" w:cs="Times New Roman"/>
                <w:sz w:val="22"/>
                <w:szCs w:val="22"/>
                <w:lang w:eastAsia="ru-RU"/>
              </w:rPr>
            </w:pPr>
            <w:r w:rsidRPr="00401ECA">
              <w:rPr>
                <w:rFonts w:ascii="Times New Roman" w:hAnsi="Times New Roman" w:cs="Times New Roman"/>
                <w:sz w:val="22"/>
                <w:szCs w:val="22"/>
                <w:lang w:eastAsia="ru-RU"/>
              </w:rPr>
              <w:t xml:space="preserve">Én morgentablet med tezacaftor 100 mg/ ivacaftor 150 mg én gang dagligt.  </w:t>
            </w:r>
          </w:p>
          <w:p w14:paraId="04E48B31" w14:textId="77777777" w:rsidR="00D41138" w:rsidRPr="00401ECA" w:rsidRDefault="00D41138" w:rsidP="00F526B8">
            <w:pPr>
              <w:rPr>
                <w:rFonts w:ascii="Times New Roman" w:hAnsi="Times New Roman" w:cs="Times New Roman"/>
                <w:sz w:val="22"/>
                <w:szCs w:val="22"/>
                <w:lang w:eastAsia="ru-RU"/>
              </w:rPr>
            </w:pPr>
            <w:r w:rsidRPr="00401ECA">
              <w:rPr>
                <w:rFonts w:ascii="Times New Roman" w:hAnsi="Times New Roman" w:cs="Times New Roman"/>
                <w:sz w:val="22"/>
                <w:szCs w:val="22"/>
                <w:lang w:eastAsia="ru-RU"/>
              </w:rPr>
              <w:t xml:space="preserve"> </w:t>
            </w:r>
          </w:p>
          <w:p w14:paraId="4EBC8B7A" w14:textId="77777777" w:rsidR="00D41138" w:rsidRPr="00401ECA" w:rsidRDefault="00D41138" w:rsidP="00F526B8">
            <w:pPr>
              <w:rPr>
                <w:rFonts w:ascii="Times New Roman" w:hAnsi="Times New Roman" w:cs="Times New Roman"/>
                <w:sz w:val="22"/>
                <w:szCs w:val="22"/>
                <w:lang w:eastAsia="ru-RU"/>
              </w:rPr>
            </w:pPr>
            <w:r w:rsidRPr="00401ECA">
              <w:rPr>
                <w:rFonts w:ascii="Times New Roman" w:hAnsi="Times New Roman" w:cs="Times New Roman"/>
                <w:sz w:val="22"/>
                <w:szCs w:val="22"/>
                <w:lang w:eastAsia="ru-RU"/>
              </w:rPr>
              <w:t xml:space="preserve">Ingen aftendosis af ivacaftor. </w:t>
            </w:r>
          </w:p>
        </w:tc>
        <w:tc>
          <w:tcPr>
            <w:tcW w:w="2080" w:type="pct"/>
            <w:tcBorders>
              <w:top w:val="single" w:sz="4" w:space="0" w:color="000000"/>
              <w:left w:val="single" w:sz="4" w:space="0" w:color="000000"/>
              <w:bottom w:val="single" w:sz="4" w:space="0" w:color="000000"/>
              <w:right w:val="single" w:sz="4" w:space="0" w:color="000000"/>
            </w:tcBorders>
            <w:tcMar>
              <w:top w:w="28" w:type="dxa"/>
              <w:left w:w="113" w:type="dxa"/>
              <w:bottom w:w="28" w:type="dxa"/>
              <w:right w:w="110" w:type="dxa"/>
            </w:tcMar>
            <w:hideMark/>
          </w:tcPr>
          <w:p w14:paraId="323F9566" w14:textId="77777777" w:rsidR="00D41138" w:rsidRPr="00401ECA" w:rsidRDefault="00D41138" w:rsidP="00F526B8">
            <w:pPr>
              <w:rPr>
                <w:rFonts w:ascii="Times New Roman" w:hAnsi="Times New Roman" w:cs="Times New Roman"/>
                <w:sz w:val="22"/>
                <w:szCs w:val="22"/>
                <w:lang w:eastAsia="ru-RU"/>
              </w:rPr>
            </w:pPr>
            <w:r w:rsidRPr="00401ECA">
              <w:rPr>
                <w:rFonts w:ascii="Times New Roman" w:hAnsi="Times New Roman" w:cs="Times New Roman"/>
                <w:b/>
                <w:sz w:val="22"/>
                <w:szCs w:val="22"/>
                <w:lang w:eastAsia="ru-RU"/>
              </w:rPr>
              <w:t>Bør ikke anvendes</w:t>
            </w:r>
            <w:r w:rsidRPr="00401ECA">
              <w:rPr>
                <w:rFonts w:ascii="Times New Roman" w:hAnsi="Times New Roman" w:cs="Times New Roman"/>
                <w:sz w:val="22"/>
                <w:szCs w:val="22"/>
                <w:lang w:eastAsia="ru-RU"/>
              </w:rPr>
              <w:t xml:space="preserve">, medmindre fordelene forventes at opveje risiciene.  </w:t>
            </w:r>
          </w:p>
          <w:p w14:paraId="4C5327DF" w14:textId="77777777" w:rsidR="00D41138" w:rsidRPr="00401ECA" w:rsidRDefault="00D41138" w:rsidP="00F526B8">
            <w:pPr>
              <w:rPr>
                <w:rFonts w:ascii="Times New Roman" w:hAnsi="Times New Roman" w:cs="Times New Roman"/>
                <w:sz w:val="22"/>
                <w:szCs w:val="22"/>
                <w:lang w:eastAsia="ru-RU"/>
              </w:rPr>
            </w:pPr>
            <w:r w:rsidRPr="00401ECA">
              <w:rPr>
                <w:rFonts w:ascii="Times New Roman" w:hAnsi="Times New Roman" w:cs="Times New Roman"/>
                <w:sz w:val="22"/>
                <w:szCs w:val="22"/>
                <w:lang w:eastAsia="ru-RU"/>
              </w:rPr>
              <w:t xml:space="preserve"> </w:t>
            </w:r>
          </w:p>
          <w:p w14:paraId="2D2D6A3C" w14:textId="77777777" w:rsidR="00D41138" w:rsidRPr="00401ECA" w:rsidRDefault="00D41138" w:rsidP="00F526B8">
            <w:pPr>
              <w:rPr>
                <w:rFonts w:ascii="Times New Roman" w:hAnsi="Times New Roman" w:cs="Times New Roman"/>
                <w:sz w:val="22"/>
                <w:szCs w:val="22"/>
                <w:lang w:eastAsia="ru-RU"/>
              </w:rPr>
            </w:pPr>
            <w:r w:rsidRPr="00401ECA">
              <w:rPr>
                <w:rFonts w:ascii="Times New Roman" w:hAnsi="Times New Roman" w:cs="Times New Roman"/>
                <w:sz w:val="22"/>
                <w:szCs w:val="22"/>
                <w:lang w:eastAsia="ru-RU"/>
              </w:rPr>
              <w:t xml:space="preserve">Ved anvendelse, én morgentablet med tezacaftor 100 mg/ivacaftor 150 mg én gang dagligt eller mindre hyppigt i henhold til klinisk respons og tolerabilitet. </w:t>
            </w:r>
          </w:p>
          <w:p w14:paraId="42513991" w14:textId="77777777" w:rsidR="00D41138" w:rsidRPr="00401ECA" w:rsidRDefault="00D41138" w:rsidP="00F526B8">
            <w:pPr>
              <w:rPr>
                <w:rFonts w:ascii="Times New Roman" w:hAnsi="Times New Roman" w:cs="Times New Roman"/>
                <w:sz w:val="22"/>
                <w:szCs w:val="22"/>
                <w:lang w:eastAsia="ru-RU"/>
              </w:rPr>
            </w:pPr>
            <w:r w:rsidRPr="00401ECA">
              <w:rPr>
                <w:rFonts w:ascii="Times New Roman" w:hAnsi="Times New Roman" w:cs="Times New Roman"/>
                <w:sz w:val="22"/>
                <w:szCs w:val="22"/>
                <w:lang w:eastAsia="ru-RU"/>
              </w:rPr>
              <w:t xml:space="preserve"> </w:t>
            </w:r>
          </w:p>
          <w:p w14:paraId="411A4B3D" w14:textId="77777777" w:rsidR="00D41138" w:rsidRPr="00401ECA" w:rsidRDefault="00D41138" w:rsidP="00F526B8">
            <w:pPr>
              <w:rPr>
                <w:rFonts w:ascii="Times New Roman" w:hAnsi="Times New Roman" w:cs="Times New Roman"/>
                <w:sz w:val="22"/>
                <w:szCs w:val="22"/>
                <w:lang w:eastAsia="ru-RU"/>
              </w:rPr>
            </w:pPr>
            <w:r w:rsidRPr="00401ECA">
              <w:rPr>
                <w:rFonts w:ascii="Times New Roman" w:hAnsi="Times New Roman" w:cs="Times New Roman"/>
                <w:sz w:val="22"/>
                <w:szCs w:val="22"/>
                <w:lang w:eastAsia="ru-RU"/>
              </w:rPr>
              <w:t xml:space="preserve">Ingen aftendosis af ivacaftor. </w:t>
            </w:r>
          </w:p>
        </w:tc>
      </w:tr>
      <w:tr w:rsidR="00D41138" w:rsidRPr="00401ECA" w14:paraId="2160E1A9" w14:textId="77777777" w:rsidTr="00F526B8">
        <w:trPr>
          <w:trHeight w:val="227"/>
          <w:jc w:val="center"/>
        </w:trPr>
        <w:tc>
          <w:tcPr>
            <w:tcW w:w="844" w:type="pct"/>
            <w:tcBorders>
              <w:top w:val="single" w:sz="4" w:space="0" w:color="000000"/>
              <w:left w:val="single" w:sz="4" w:space="0" w:color="000000"/>
              <w:bottom w:val="single" w:sz="4" w:space="0" w:color="000000"/>
              <w:right w:val="single" w:sz="4" w:space="0" w:color="000000"/>
            </w:tcBorders>
            <w:tcMar>
              <w:top w:w="28" w:type="dxa"/>
              <w:left w:w="113" w:type="dxa"/>
              <w:bottom w:w="28" w:type="dxa"/>
              <w:right w:w="110" w:type="dxa"/>
            </w:tcMar>
            <w:hideMark/>
          </w:tcPr>
          <w:p w14:paraId="318E3D00" w14:textId="77777777" w:rsidR="00D41138" w:rsidRPr="00401ECA" w:rsidRDefault="00D41138" w:rsidP="00F526B8">
            <w:pPr>
              <w:rPr>
                <w:rFonts w:ascii="Times New Roman" w:hAnsi="Times New Roman" w:cs="Times New Roman"/>
                <w:sz w:val="22"/>
                <w:szCs w:val="22"/>
                <w:lang w:eastAsia="ru-RU"/>
              </w:rPr>
            </w:pPr>
            <w:r w:rsidRPr="00401ECA">
              <w:rPr>
                <w:rFonts w:ascii="Times New Roman" w:hAnsi="Times New Roman" w:cs="Times New Roman"/>
                <w:sz w:val="22"/>
                <w:szCs w:val="22"/>
                <w:lang w:eastAsia="ru-RU"/>
              </w:rPr>
              <w:t xml:space="preserve">12 år og ældre </w:t>
            </w:r>
          </w:p>
        </w:tc>
        <w:tc>
          <w:tcPr>
            <w:tcW w:w="2077" w:type="pct"/>
            <w:tcBorders>
              <w:top w:val="single" w:sz="4" w:space="0" w:color="000000"/>
              <w:left w:val="single" w:sz="4" w:space="0" w:color="000000"/>
              <w:bottom w:val="single" w:sz="4" w:space="0" w:color="000000"/>
              <w:right w:val="single" w:sz="4" w:space="0" w:color="000000"/>
            </w:tcBorders>
            <w:tcMar>
              <w:top w:w="28" w:type="dxa"/>
              <w:left w:w="113" w:type="dxa"/>
              <w:bottom w:w="28" w:type="dxa"/>
              <w:right w:w="110" w:type="dxa"/>
            </w:tcMar>
            <w:hideMark/>
          </w:tcPr>
          <w:p w14:paraId="38C6FFD8" w14:textId="77777777" w:rsidR="00D41138" w:rsidRPr="00401ECA" w:rsidRDefault="00D41138" w:rsidP="00F526B8">
            <w:pPr>
              <w:rPr>
                <w:rFonts w:ascii="Times New Roman" w:hAnsi="Times New Roman" w:cs="Times New Roman"/>
                <w:sz w:val="22"/>
                <w:szCs w:val="22"/>
                <w:lang w:eastAsia="ru-RU"/>
              </w:rPr>
            </w:pPr>
            <w:r w:rsidRPr="00401ECA">
              <w:rPr>
                <w:rFonts w:ascii="Times New Roman" w:hAnsi="Times New Roman" w:cs="Times New Roman"/>
                <w:sz w:val="22"/>
                <w:szCs w:val="22"/>
                <w:lang w:eastAsia="ru-RU"/>
              </w:rPr>
              <w:t xml:space="preserve">Én morgentablet med tezacaftor 100 mg/ ivacaftor 150 mg én gang dagligt. </w:t>
            </w:r>
          </w:p>
          <w:p w14:paraId="4551C8F3" w14:textId="77777777" w:rsidR="00D41138" w:rsidRPr="00401ECA" w:rsidRDefault="00D41138" w:rsidP="00F526B8">
            <w:pPr>
              <w:rPr>
                <w:rFonts w:ascii="Times New Roman" w:hAnsi="Times New Roman" w:cs="Times New Roman"/>
                <w:sz w:val="22"/>
                <w:szCs w:val="22"/>
                <w:lang w:eastAsia="ru-RU"/>
              </w:rPr>
            </w:pPr>
            <w:r w:rsidRPr="00401ECA">
              <w:rPr>
                <w:rFonts w:ascii="Times New Roman" w:hAnsi="Times New Roman" w:cs="Times New Roman"/>
                <w:sz w:val="22"/>
                <w:szCs w:val="22"/>
                <w:lang w:eastAsia="ru-RU"/>
              </w:rPr>
              <w:t xml:space="preserve"> </w:t>
            </w:r>
          </w:p>
          <w:p w14:paraId="6D96F70E" w14:textId="77777777" w:rsidR="00D41138" w:rsidRPr="00401ECA" w:rsidRDefault="00D41138" w:rsidP="00F526B8">
            <w:pPr>
              <w:rPr>
                <w:rFonts w:ascii="Times New Roman" w:hAnsi="Times New Roman" w:cs="Times New Roman"/>
                <w:sz w:val="22"/>
                <w:szCs w:val="22"/>
                <w:lang w:eastAsia="ru-RU"/>
              </w:rPr>
            </w:pPr>
            <w:r w:rsidRPr="00401ECA">
              <w:rPr>
                <w:rFonts w:ascii="Times New Roman" w:hAnsi="Times New Roman" w:cs="Times New Roman"/>
                <w:sz w:val="22"/>
                <w:szCs w:val="22"/>
                <w:lang w:eastAsia="ru-RU"/>
              </w:rPr>
              <w:t xml:space="preserve">Ingen aftendosis af ivacaftor. </w:t>
            </w:r>
          </w:p>
        </w:tc>
        <w:tc>
          <w:tcPr>
            <w:tcW w:w="2080" w:type="pct"/>
            <w:tcBorders>
              <w:top w:val="single" w:sz="4" w:space="0" w:color="000000"/>
              <w:left w:val="single" w:sz="4" w:space="0" w:color="000000"/>
              <w:bottom w:val="single" w:sz="4" w:space="0" w:color="000000"/>
              <w:right w:val="single" w:sz="4" w:space="0" w:color="000000"/>
            </w:tcBorders>
            <w:tcMar>
              <w:top w:w="28" w:type="dxa"/>
              <w:left w:w="113" w:type="dxa"/>
              <w:bottom w:w="28" w:type="dxa"/>
              <w:right w:w="110" w:type="dxa"/>
            </w:tcMar>
            <w:hideMark/>
          </w:tcPr>
          <w:p w14:paraId="5390B9B0" w14:textId="77777777" w:rsidR="00D41138" w:rsidRPr="00401ECA" w:rsidRDefault="00D41138" w:rsidP="00F526B8">
            <w:pPr>
              <w:rPr>
                <w:rFonts w:ascii="Times New Roman" w:hAnsi="Times New Roman" w:cs="Times New Roman"/>
                <w:sz w:val="22"/>
                <w:szCs w:val="22"/>
                <w:lang w:eastAsia="ru-RU"/>
              </w:rPr>
            </w:pPr>
            <w:r w:rsidRPr="00401ECA">
              <w:rPr>
                <w:rFonts w:ascii="Times New Roman" w:hAnsi="Times New Roman" w:cs="Times New Roman"/>
                <w:b/>
                <w:bCs/>
                <w:sz w:val="22"/>
                <w:szCs w:val="22"/>
                <w:lang w:eastAsia="ru-RU"/>
              </w:rPr>
              <w:t>Bør ikke anvendes</w:t>
            </w:r>
            <w:r w:rsidRPr="00401ECA">
              <w:rPr>
                <w:rFonts w:ascii="Times New Roman" w:hAnsi="Times New Roman" w:cs="Times New Roman"/>
                <w:sz w:val="22"/>
                <w:szCs w:val="22"/>
                <w:lang w:eastAsia="ru-RU"/>
              </w:rPr>
              <w:t xml:space="preserve">, medmindre fordelene forventes at opveje risiciene.  </w:t>
            </w:r>
          </w:p>
          <w:p w14:paraId="72307A76" w14:textId="77777777" w:rsidR="00D41138" w:rsidRPr="00401ECA" w:rsidRDefault="00D41138" w:rsidP="00F526B8">
            <w:pPr>
              <w:rPr>
                <w:rFonts w:ascii="Times New Roman" w:hAnsi="Times New Roman" w:cs="Times New Roman"/>
                <w:sz w:val="22"/>
                <w:szCs w:val="22"/>
                <w:lang w:eastAsia="ru-RU"/>
              </w:rPr>
            </w:pPr>
            <w:r w:rsidRPr="00401ECA">
              <w:rPr>
                <w:rFonts w:ascii="Times New Roman" w:hAnsi="Times New Roman" w:cs="Times New Roman"/>
                <w:sz w:val="22"/>
                <w:szCs w:val="22"/>
                <w:lang w:eastAsia="ru-RU"/>
              </w:rPr>
              <w:t xml:space="preserve"> </w:t>
            </w:r>
          </w:p>
          <w:p w14:paraId="48D705CA" w14:textId="77777777" w:rsidR="00D41138" w:rsidRPr="00401ECA" w:rsidRDefault="00D41138" w:rsidP="00F526B8">
            <w:pPr>
              <w:rPr>
                <w:rFonts w:ascii="Times New Roman" w:hAnsi="Times New Roman" w:cs="Times New Roman"/>
                <w:sz w:val="22"/>
                <w:szCs w:val="22"/>
                <w:lang w:eastAsia="ru-RU"/>
              </w:rPr>
            </w:pPr>
            <w:r w:rsidRPr="00401ECA">
              <w:rPr>
                <w:rFonts w:ascii="Times New Roman" w:hAnsi="Times New Roman" w:cs="Times New Roman"/>
                <w:sz w:val="22"/>
                <w:szCs w:val="22"/>
                <w:lang w:eastAsia="ru-RU"/>
              </w:rPr>
              <w:t xml:space="preserve">Ved anvendelse, én morgentablet med tezacaftor 100 mg/ivacaftor 150 mg én gang dagligt eller mindre hyppigt i henhold til klinisk respons og tolerabilitet.  </w:t>
            </w:r>
          </w:p>
          <w:p w14:paraId="7C05F936" w14:textId="77777777" w:rsidR="00D41138" w:rsidRPr="00401ECA" w:rsidRDefault="00D41138" w:rsidP="00F526B8">
            <w:pPr>
              <w:rPr>
                <w:rFonts w:ascii="Times New Roman" w:hAnsi="Times New Roman" w:cs="Times New Roman"/>
                <w:sz w:val="22"/>
                <w:szCs w:val="22"/>
                <w:lang w:eastAsia="ru-RU"/>
              </w:rPr>
            </w:pPr>
            <w:r w:rsidRPr="00401ECA">
              <w:rPr>
                <w:rFonts w:ascii="Times New Roman" w:hAnsi="Times New Roman" w:cs="Times New Roman"/>
                <w:sz w:val="22"/>
                <w:szCs w:val="22"/>
                <w:lang w:eastAsia="ru-RU"/>
              </w:rPr>
              <w:t xml:space="preserve"> </w:t>
            </w:r>
          </w:p>
          <w:p w14:paraId="0C367CDD" w14:textId="77777777" w:rsidR="00D41138" w:rsidRPr="00401ECA" w:rsidRDefault="00D41138" w:rsidP="00F526B8">
            <w:pPr>
              <w:rPr>
                <w:rFonts w:ascii="Times New Roman" w:hAnsi="Times New Roman" w:cs="Times New Roman"/>
                <w:sz w:val="22"/>
                <w:szCs w:val="22"/>
                <w:lang w:eastAsia="ru-RU"/>
              </w:rPr>
            </w:pPr>
            <w:r w:rsidRPr="00401ECA">
              <w:rPr>
                <w:rFonts w:ascii="Times New Roman" w:hAnsi="Times New Roman" w:cs="Times New Roman"/>
                <w:sz w:val="22"/>
                <w:szCs w:val="22"/>
                <w:lang w:eastAsia="ru-RU"/>
              </w:rPr>
              <w:t xml:space="preserve">Ingen aftendosis af ivacaftor. </w:t>
            </w:r>
          </w:p>
        </w:tc>
      </w:tr>
      <w:tr w:rsidR="00D41138" w:rsidRPr="00401ECA" w14:paraId="3866244B" w14:textId="77777777" w:rsidTr="00F526B8">
        <w:trPr>
          <w:trHeight w:val="227"/>
          <w:jc w:val="center"/>
        </w:trPr>
        <w:tc>
          <w:tcPr>
            <w:tcW w:w="5000" w:type="pct"/>
            <w:gridSpan w:val="3"/>
            <w:tcBorders>
              <w:top w:val="single" w:sz="4" w:space="0" w:color="000000"/>
              <w:left w:val="single" w:sz="4" w:space="0" w:color="000000"/>
              <w:bottom w:val="single" w:sz="4" w:space="0" w:color="000000"/>
              <w:right w:val="single" w:sz="4" w:space="0" w:color="000000"/>
            </w:tcBorders>
            <w:tcMar>
              <w:top w:w="28" w:type="dxa"/>
              <w:left w:w="113" w:type="dxa"/>
              <w:bottom w:w="28" w:type="dxa"/>
              <w:right w:w="110" w:type="dxa"/>
            </w:tcMar>
            <w:hideMark/>
          </w:tcPr>
          <w:p w14:paraId="1CBDCCCA" w14:textId="77777777" w:rsidR="00D41138" w:rsidRPr="00401ECA" w:rsidRDefault="00D41138" w:rsidP="00F526B8">
            <w:pPr>
              <w:rPr>
                <w:rFonts w:ascii="Times New Roman" w:hAnsi="Times New Roman" w:cs="Times New Roman"/>
                <w:b/>
                <w:sz w:val="22"/>
                <w:szCs w:val="22"/>
                <w:lang w:eastAsia="ru-RU"/>
              </w:rPr>
            </w:pPr>
            <w:r w:rsidRPr="00401ECA">
              <w:rPr>
                <w:rFonts w:ascii="Times New Roman" w:hAnsi="Times New Roman" w:cs="Times New Roman"/>
                <w:b/>
                <w:sz w:val="22"/>
                <w:szCs w:val="22"/>
                <w:lang w:eastAsia="ru-RU"/>
              </w:rPr>
              <w:t>Ivacaftor i et kombinationsregime med ivacaftor/tezacaftor/elexacaftor</w:t>
            </w:r>
          </w:p>
        </w:tc>
      </w:tr>
      <w:tr w:rsidR="00D41138" w:rsidRPr="00401ECA" w14:paraId="157154DE" w14:textId="77777777" w:rsidTr="00F526B8">
        <w:trPr>
          <w:trHeight w:val="227"/>
          <w:jc w:val="center"/>
        </w:trPr>
        <w:tc>
          <w:tcPr>
            <w:tcW w:w="844" w:type="pct"/>
            <w:tcBorders>
              <w:top w:val="single" w:sz="4" w:space="0" w:color="000000"/>
              <w:left w:val="single" w:sz="4" w:space="0" w:color="000000"/>
              <w:bottom w:val="single" w:sz="4" w:space="0" w:color="000000"/>
              <w:right w:val="single" w:sz="4" w:space="0" w:color="000000"/>
            </w:tcBorders>
            <w:tcMar>
              <w:top w:w="28" w:type="dxa"/>
              <w:left w:w="113" w:type="dxa"/>
              <w:bottom w:w="28" w:type="dxa"/>
              <w:right w:w="110" w:type="dxa"/>
            </w:tcMar>
            <w:hideMark/>
          </w:tcPr>
          <w:p w14:paraId="418B32F4" w14:textId="77777777" w:rsidR="00D41138" w:rsidRPr="00401ECA" w:rsidRDefault="00D41138" w:rsidP="00F526B8">
            <w:pPr>
              <w:rPr>
                <w:rFonts w:ascii="Times New Roman" w:hAnsi="Times New Roman" w:cs="Times New Roman"/>
                <w:sz w:val="22"/>
                <w:szCs w:val="22"/>
                <w:lang w:eastAsia="ru-RU"/>
              </w:rPr>
            </w:pPr>
            <w:r w:rsidRPr="00401ECA">
              <w:rPr>
                <w:rFonts w:ascii="Times New Roman" w:hAnsi="Times New Roman" w:cs="Times New Roman"/>
                <w:sz w:val="22"/>
                <w:szCs w:val="22"/>
                <w:lang w:eastAsia="ru-RU"/>
              </w:rPr>
              <w:t xml:space="preserve">6 år til &lt; 12 år, </w:t>
            </w:r>
          </w:p>
          <w:p w14:paraId="142E8F16" w14:textId="77777777" w:rsidR="00D41138" w:rsidRPr="00401ECA" w:rsidRDefault="00D41138" w:rsidP="00F526B8">
            <w:pPr>
              <w:rPr>
                <w:rFonts w:ascii="Times New Roman" w:hAnsi="Times New Roman" w:cs="Times New Roman"/>
                <w:sz w:val="22"/>
                <w:szCs w:val="22"/>
                <w:lang w:eastAsia="ru-RU"/>
              </w:rPr>
            </w:pPr>
            <w:r w:rsidRPr="00401ECA">
              <w:rPr>
                <w:rFonts w:ascii="Times New Roman" w:hAnsi="Times New Roman" w:cs="Times New Roman"/>
                <w:sz w:val="22"/>
                <w:szCs w:val="22"/>
                <w:lang w:eastAsia="ru-RU"/>
              </w:rPr>
              <w:t xml:space="preserve">&lt; 30 kg </w:t>
            </w:r>
          </w:p>
        </w:tc>
        <w:tc>
          <w:tcPr>
            <w:tcW w:w="2077" w:type="pct"/>
            <w:tcBorders>
              <w:top w:val="single" w:sz="4" w:space="0" w:color="000000"/>
              <w:left w:val="single" w:sz="4" w:space="0" w:color="000000"/>
              <w:bottom w:val="single" w:sz="4" w:space="0" w:color="000000"/>
              <w:right w:val="single" w:sz="4" w:space="0" w:color="000000"/>
            </w:tcBorders>
            <w:tcMar>
              <w:top w:w="28" w:type="dxa"/>
              <w:left w:w="113" w:type="dxa"/>
              <w:bottom w:w="28" w:type="dxa"/>
              <w:right w:w="110" w:type="dxa"/>
            </w:tcMar>
            <w:hideMark/>
          </w:tcPr>
          <w:p w14:paraId="59340DAA" w14:textId="77777777" w:rsidR="00D41138" w:rsidRPr="00401ECA" w:rsidRDefault="00D41138" w:rsidP="00F526B8">
            <w:pPr>
              <w:rPr>
                <w:rFonts w:ascii="Times New Roman" w:hAnsi="Times New Roman" w:cs="Times New Roman"/>
                <w:sz w:val="22"/>
                <w:szCs w:val="22"/>
                <w:lang w:eastAsia="ru-RU"/>
              </w:rPr>
            </w:pPr>
            <w:r w:rsidRPr="00401ECA">
              <w:rPr>
                <w:rFonts w:ascii="Times New Roman" w:hAnsi="Times New Roman" w:cs="Times New Roman"/>
                <w:sz w:val="22"/>
                <w:szCs w:val="22"/>
                <w:lang w:eastAsia="ru-RU"/>
              </w:rPr>
              <w:t xml:space="preserve">Bør ikke anvendes, medmindre fordelene forventes at opveje risiciene. </w:t>
            </w:r>
          </w:p>
          <w:p w14:paraId="3CFD2852" w14:textId="77777777" w:rsidR="00D41138" w:rsidRPr="00401ECA" w:rsidRDefault="00D41138" w:rsidP="00F526B8">
            <w:pPr>
              <w:rPr>
                <w:rFonts w:ascii="Times New Roman" w:hAnsi="Times New Roman" w:cs="Times New Roman"/>
                <w:sz w:val="22"/>
                <w:szCs w:val="22"/>
                <w:lang w:eastAsia="ru-RU"/>
              </w:rPr>
            </w:pPr>
            <w:r w:rsidRPr="00401ECA">
              <w:rPr>
                <w:rFonts w:ascii="Times New Roman" w:hAnsi="Times New Roman" w:cs="Times New Roman"/>
                <w:sz w:val="22"/>
                <w:szCs w:val="22"/>
                <w:lang w:eastAsia="ru-RU"/>
              </w:rPr>
              <w:t xml:space="preserve"> </w:t>
            </w:r>
          </w:p>
          <w:p w14:paraId="5700AB67" w14:textId="77777777" w:rsidR="00D41138" w:rsidRPr="00401ECA" w:rsidRDefault="00D41138" w:rsidP="00F526B8">
            <w:pPr>
              <w:rPr>
                <w:rFonts w:ascii="Times New Roman" w:hAnsi="Times New Roman" w:cs="Times New Roman"/>
                <w:sz w:val="22"/>
                <w:szCs w:val="22"/>
                <w:lang w:eastAsia="ru-RU"/>
              </w:rPr>
            </w:pPr>
            <w:r w:rsidRPr="00401ECA">
              <w:rPr>
                <w:rFonts w:ascii="Times New Roman" w:hAnsi="Times New Roman" w:cs="Times New Roman"/>
                <w:sz w:val="22"/>
                <w:szCs w:val="22"/>
                <w:lang w:eastAsia="ru-RU"/>
              </w:rPr>
              <w:t xml:space="preserve">Ved anvendelse skal dosen justeres som følger:  </w:t>
            </w:r>
          </w:p>
          <w:p w14:paraId="4FBC718C" w14:textId="77777777" w:rsidR="00D41138" w:rsidRPr="00401ECA" w:rsidRDefault="00D41138" w:rsidP="007F25A0">
            <w:pPr>
              <w:pStyle w:val="Listeafsnit"/>
              <w:numPr>
                <w:ilvl w:val="0"/>
                <w:numId w:val="28"/>
              </w:numPr>
              <w:ind w:left="387"/>
              <w:rPr>
                <w:rFonts w:ascii="Times New Roman" w:hAnsi="Times New Roman" w:cs="Times New Roman"/>
                <w:sz w:val="22"/>
                <w:szCs w:val="22"/>
                <w:lang w:eastAsia="ru-RU"/>
              </w:rPr>
            </w:pPr>
            <w:r w:rsidRPr="00401ECA">
              <w:rPr>
                <w:rFonts w:ascii="Times New Roman" w:hAnsi="Times New Roman" w:cs="Times New Roman"/>
                <w:sz w:val="22"/>
                <w:szCs w:val="22"/>
                <w:lang w:eastAsia="ru-RU"/>
              </w:rPr>
              <w:t>Dag 1: to morgentabletter med ivacaftor 37,5 mg/tezacaftor 25 mg/ elexacaftor 50 mg</w:t>
            </w:r>
          </w:p>
          <w:p w14:paraId="0B5CED9E" w14:textId="0F4BA901" w:rsidR="00D41138" w:rsidRPr="00401ECA" w:rsidRDefault="00D41138" w:rsidP="007F25A0">
            <w:pPr>
              <w:pStyle w:val="Listeafsnit"/>
              <w:numPr>
                <w:ilvl w:val="0"/>
                <w:numId w:val="28"/>
              </w:numPr>
              <w:ind w:left="387"/>
              <w:rPr>
                <w:rFonts w:ascii="Times New Roman" w:hAnsi="Times New Roman" w:cs="Times New Roman"/>
                <w:sz w:val="22"/>
                <w:szCs w:val="22"/>
                <w:lang w:eastAsia="ru-RU"/>
              </w:rPr>
            </w:pPr>
            <w:r w:rsidRPr="00401ECA">
              <w:rPr>
                <w:rFonts w:ascii="Times New Roman" w:hAnsi="Times New Roman" w:cs="Times New Roman"/>
                <w:sz w:val="22"/>
                <w:szCs w:val="22"/>
                <w:lang w:eastAsia="ru-RU"/>
              </w:rPr>
              <w:t xml:space="preserve">Dag 2: én morgentablet med ivacaftor 37,5 mg/tezacaftor 25 mg/elexacaftor 50 mg </w:t>
            </w:r>
          </w:p>
          <w:p w14:paraId="07146D24" w14:textId="77777777" w:rsidR="00D41138" w:rsidRPr="00401ECA" w:rsidRDefault="00D41138" w:rsidP="00F526B8">
            <w:pPr>
              <w:rPr>
                <w:rFonts w:ascii="Times New Roman" w:hAnsi="Times New Roman" w:cs="Times New Roman"/>
                <w:sz w:val="22"/>
                <w:szCs w:val="22"/>
                <w:lang w:eastAsia="ru-RU"/>
              </w:rPr>
            </w:pPr>
            <w:r w:rsidRPr="00401ECA">
              <w:rPr>
                <w:rFonts w:ascii="Times New Roman" w:hAnsi="Times New Roman" w:cs="Times New Roman"/>
                <w:sz w:val="22"/>
                <w:szCs w:val="22"/>
                <w:lang w:eastAsia="ru-RU"/>
              </w:rPr>
              <w:t xml:space="preserve"> </w:t>
            </w:r>
          </w:p>
          <w:p w14:paraId="35ABAE08" w14:textId="77777777" w:rsidR="00D41138" w:rsidRPr="00401ECA" w:rsidRDefault="00D41138" w:rsidP="00F526B8">
            <w:pPr>
              <w:rPr>
                <w:rFonts w:ascii="Times New Roman" w:hAnsi="Times New Roman" w:cs="Times New Roman"/>
                <w:sz w:val="22"/>
                <w:szCs w:val="22"/>
                <w:lang w:eastAsia="ru-RU"/>
              </w:rPr>
            </w:pPr>
            <w:r w:rsidRPr="00401ECA">
              <w:rPr>
                <w:rFonts w:ascii="Times New Roman" w:hAnsi="Times New Roman" w:cs="Times New Roman"/>
                <w:sz w:val="22"/>
                <w:szCs w:val="22"/>
                <w:lang w:eastAsia="ru-RU"/>
              </w:rPr>
              <w:t xml:space="preserve">Fortsæt derefter med skiftevis dag 1- og dag 2-dosering. </w:t>
            </w:r>
          </w:p>
          <w:p w14:paraId="16404C57" w14:textId="77777777" w:rsidR="00D41138" w:rsidRPr="00401ECA" w:rsidRDefault="00D41138" w:rsidP="00F526B8">
            <w:pPr>
              <w:rPr>
                <w:rFonts w:ascii="Times New Roman" w:hAnsi="Times New Roman" w:cs="Times New Roman"/>
                <w:sz w:val="22"/>
                <w:szCs w:val="22"/>
                <w:lang w:eastAsia="ru-RU"/>
              </w:rPr>
            </w:pPr>
            <w:r w:rsidRPr="00401ECA">
              <w:rPr>
                <w:rFonts w:ascii="Times New Roman" w:hAnsi="Times New Roman" w:cs="Times New Roman"/>
                <w:sz w:val="22"/>
                <w:szCs w:val="22"/>
                <w:lang w:eastAsia="ru-RU"/>
              </w:rPr>
              <w:t xml:space="preserve"> </w:t>
            </w:r>
          </w:p>
          <w:p w14:paraId="3BBD5A81" w14:textId="77777777" w:rsidR="00D41138" w:rsidRPr="00401ECA" w:rsidRDefault="00D41138" w:rsidP="00F526B8">
            <w:pPr>
              <w:rPr>
                <w:rFonts w:ascii="Times New Roman" w:hAnsi="Times New Roman" w:cs="Times New Roman"/>
                <w:sz w:val="22"/>
                <w:szCs w:val="22"/>
                <w:lang w:eastAsia="ru-RU"/>
              </w:rPr>
            </w:pPr>
            <w:r w:rsidRPr="00401ECA">
              <w:rPr>
                <w:rFonts w:ascii="Times New Roman" w:hAnsi="Times New Roman" w:cs="Times New Roman"/>
                <w:sz w:val="22"/>
                <w:szCs w:val="22"/>
                <w:lang w:eastAsia="ru-RU"/>
              </w:rPr>
              <w:t xml:space="preserve">Ingen aftendosis af ivacaftor. </w:t>
            </w:r>
          </w:p>
        </w:tc>
        <w:tc>
          <w:tcPr>
            <w:tcW w:w="2080" w:type="pct"/>
            <w:tcBorders>
              <w:top w:val="single" w:sz="4" w:space="0" w:color="000000"/>
              <w:left w:val="single" w:sz="4" w:space="0" w:color="000000"/>
              <w:bottom w:val="single" w:sz="4" w:space="0" w:color="000000"/>
              <w:right w:val="single" w:sz="4" w:space="0" w:color="000000"/>
            </w:tcBorders>
            <w:tcMar>
              <w:top w:w="28" w:type="dxa"/>
              <w:left w:w="113" w:type="dxa"/>
              <w:bottom w:w="28" w:type="dxa"/>
              <w:right w:w="110" w:type="dxa"/>
            </w:tcMar>
            <w:hideMark/>
          </w:tcPr>
          <w:p w14:paraId="6A45E9D7" w14:textId="77777777" w:rsidR="00D41138" w:rsidRPr="00401ECA" w:rsidRDefault="00D41138" w:rsidP="00F526B8">
            <w:pPr>
              <w:rPr>
                <w:rFonts w:ascii="Times New Roman" w:hAnsi="Times New Roman" w:cs="Times New Roman"/>
                <w:sz w:val="22"/>
                <w:szCs w:val="22"/>
                <w:lang w:eastAsia="ru-RU"/>
              </w:rPr>
            </w:pPr>
            <w:r w:rsidRPr="00401ECA">
              <w:rPr>
                <w:rFonts w:ascii="Times New Roman" w:hAnsi="Times New Roman" w:cs="Times New Roman"/>
                <w:sz w:val="22"/>
                <w:szCs w:val="22"/>
                <w:lang w:eastAsia="ru-RU"/>
              </w:rPr>
              <w:t xml:space="preserve">Bør ikke anvendes. </w:t>
            </w:r>
          </w:p>
          <w:p w14:paraId="1728DB4A" w14:textId="77777777" w:rsidR="00D41138" w:rsidRPr="00401ECA" w:rsidRDefault="00D41138" w:rsidP="00F526B8">
            <w:pPr>
              <w:rPr>
                <w:rFonts w:ascii="Times New Roman" w:hAnsi="Times New Roman" w:cs="Times New Roman"/>
                <w:sz w:val="22"/>
                <w:szCs w:val="22"/>
                <w:lang w:eastAsia="ru-RU"/>
              </w:rPr>
            </w:pPr>
            <w:r w:rsidRPr="00401ECA">
              <w:rPr>
                <w:rFonts w:ascii="Times New Roman" w:hAnsi="Times New Roman" w:cs="Times New Roman"/>
                <w:sz w:val="22"/>
                <w:szCs w:val="22"/>
                <w:lang w:eastAsia="ru-RU"/>
              </w:rPr>
              <w:t xml:space="preserve"> </w:t>
            </w:r>
          </w:p>
        </w:tc>
      </w:tr>
      <w:tr w:rsidR="00D41138" w:rsidRPr="00401ECA" w14:paraId="652A3CB0" w14:textId="77777777" w:rsidTr="00F526B8">
        <w:trPr>
          <w:trHeight w:val="227"/>
          <w:jc w:val="center"/>
        </w:trPr>
        <w:tc>
          <w:tcPr>
            <w:tcW w:w="844" w:type="pct"/>
            <w:tcBorders>
              <w:top w:val="single" w:sz="4" w:space="0" w:color="000000"/>
              <w:left w:val="single" w:sz="4" w:space="0" w:color="000000"/>
              <w:bottom w:val="single" w:sz="4" w:space="0" w:color="000000"/>
              <w:right w:val="single" w:sz="4" w:space="0" w:color="000000"/>
            </w:tcBorders>
            <w:tcMar>
              <w:top w:w="28" w:type="dxa"/>
              <w:left w:w="113" w:type="dxa"/>
              <w:bottom w:w="28" w:type="dxa"/>
              <w:right w:w="110" w:type="dxa"/>
            </w:tcMar>
            <w:hideMark/>
          </w:tcPr>
          <w:p w14:paraId="37D177DB" w14:textId="77777777" w:rsidR="00D41138" w:rsidRPr="00401ECA" w:rsidRDefault="00D41138" w:rsidP="00F526B8">
            <w:pPr>
              <w:rPr>
                <w:rFonts w:ascii="Times New Roman" w:hAnsi="Times New Roman" w:cs="Times New Roman"/>
                <w:sz w:val="22"/>
                <w:szCs w:val="22"/>
                <w:lang w:eastAsia="ru-RU"/>
              </w:rPr>
            </w:pPr>
            <w:r w:rsidRPr="00401ECA">
              <w:rPr>
                <w:rFonts w:ascii="Times New Roman" w:hAnsi="Times New Roman" w:cs="Times New Roman"/>
                <w:sz w:val="22"/>
                <w:szCs w:val="22"/>
                <w:lang w:eastAsia="ru-RU"/>
              </w:rPr>
              <w:t xml:space="preserve">6 år til &lt; 12 år, </w:t>
            </w:r>
          </w:p>
          <w:p w14:paraId="79EFD0AA" w14:textId="77777777" w:rsidR="00D41138" w:rsidRPr="00401ECA" w:rsidRDefault="00D41138" w:rsidP="00F526B8">
            <w:pPr>
              <w:rPr>
                <w:rFonts w:ascii="Times New Roman" w:hAnsi="Times New Roman" w:cs="Times New Roman"/>
                <w:sz w:val="22"/>
                <w:szCs w:val="22"/>
                <w:lang w:eastAsia="ru-RU"/>
              </w:rPr>
            </w:pPr>
            <w:r w:rsidRPr="00401ECA">
              <w:rPr>
                <w:rFonts w:ascii="Times New Roman" w:hAnsi="Times New Roman" w:cs="Times New Roman"/>
                <w:sz w:val="22"/>
                <w:szCs w:val="22"/>
                <w:lang w:eastAsia="ru-RU"/>
              </w:rPr>
              <w:t xml:space="preserve">≥ 30 kg </w:t>
            </w:r>
          </w:p>
        </w:tc>
        <w:tc>
          <w:tcPr>
            <w:tcW w:w="2077" w:type="pct"/>
            <w:tcBorders>
              <w:top w:val="single" w:sz="4" w:space="0" w:color="000000"/>
              <w:left w:val="single" w:sz="4" w:space="0" w:color="000000"/>
              <w:bottom w:val="single" w:sz="4" w:space="0" w:color="000000"/>
              <w:right w:val="single" w:sz="4" w:space="0" w:color="000000"/>
            </w:tcBorders>
            <w:tcMar>
              <w:top w:w="28" w:type="dxa"/>
              <w:left w:w="113" w:type="dxa"/>
              <w:bottom w:w="28" w:type="dxa"/>
              <w:right w:w="110" w:type="dxa"/>
            </w:tcMar>
            <w:hideMark/>
          </w:tcPr>
          <w:p w14:paraId="00250E3C" w14:textId="77777777" w:rsidR="00D41138" w:rsidRPr="00401ECA" w:rsidRDefault="00D41138" w:rsidP="00F526B8">
            <w:pPr>
              <w:rPr>
                <w:rFonts w:ascii="Times New Roman" w:hAnsi="Times New Roman" w:cs="Times New Roman"/>
                <w:sz w:val="22"/>
                <w:szCs w:val="22"/>
                <w:lang w:eastAsia="ru-RU"/>
              </w:rPr>
            </w:pPr>
            <w:r w:rsidRPr="00401ECA">
              <w:rPr>
                <w:rFonts w:ascii="Times New Roman" w:hAnsi="Times New Roman" w:cs="Times New Roman"/>
                <w:sz w:val="22"/>
                <w:szCs w:val="22"/>
                <w:lang w:eastAsia="ru-RU"/>
              </w:rPr>
              <w:t xml:space="preserve">Bør ikke anvendes, medmindre fordelene forventes at opveje risiciene. </w:t>
            </w:r>
          </w:p>
          <w:p w14:paraId="289FCCAB" w14:textId="77777777" w:rsidR="00D41138" w:rsidRPr="00401ECA" w:rsidRDefault="00D41138" w:rsidP="00F526B8">
            <w:pPr>
              <w:rPr>
                <w:rFonts w:ascii="Times New Roman" w:hAnsi="Times New Roman" w:cs="Times New Roman"/>
                <w:sz w:val="22"/>
                <w:szCs w:val="22"/>
                <w:lang w:eastAsia="ru-RU"/>
              </w:rPr>
            </w:pPr>
            <w:r w:rsidRPr="00401ECA">
              <w:rPr>
                <w:rFonts w:ascii="Times New Roman" w:hAnsi="Times New Roman" w:cs="Times New Roman"/>
                <w:sz w:val="22"/>
                <w:szCs w:val="22"/>
                <w:lang w:eastAsia="ru-RU"/>
              </w:rPr>
              <w:t xml:space="preserve"> </w:t>
            </w:r>
          </w:p>
          <w:p w14:paraId="157B90CB" w14:textId="77777777" w:rsidR="00D41138" w:rsidRPr="00401ECA" w:rsidRDefault="00D41138" w:rsidP="00F526B8">
            <w:pPr>
              <w:rPr>
                <w:rFonts w:ascii="Times New Roman" w:hAnsi="Times New Roman" w:cs="Times New Roman"/>
                <w:sz w:val="22"/>
                <w:szCs w:val="22"/>
                <w:lang w:eastAsia="ru-RU"/>
              </w:rPr>
            </w:pPr>
            <w:r w:rsidRPr="00401ECA">
              <w:rPr>
                <w:rFonts w:ascii="Times New Roman" w:hAnsi="Times New Roman" w:cs="Times New Roman"/>
                <w:sz w:val="22"/>
                <w:szCs w:val="22"/>
                <w:lang w:eastAsia="ru-RU"/>
              </w:rPr>
              <w:t xml:space="preserve">Ved anvendelse skal dosen justeres som følger:  </w:t>
            </w:r>
          </w:p>
          <w:p w14:paraId="406E8759" w14:textId="77777777" w:rsidR="00D41138" w:rsidRPr="00401ECA" w:rsidRDefault="00D41138" w:rsidP="007F25A0">
            <w:pPr>
              <w:pStyle w:val="Listeafsnit"/>
              <w:numPr>
                <w:ilvl w:val="0"/>
                <w:numId w:val="29"/>
              </w:numPr>
              <w:ind w:left="387" w:hanging="387"/>
              <w:rPr>
                <w:rFonts w:ascii="Times New Roman" w:hAnsi="Times New Roman" w:cs="Times New Roman"/>
                <w:sz w:val="22"/>
                <w:szCs w:val="22"/>
                <w:lang w:eastAsia="ru-RU"/>
              </w:rPr>
            </w:pPr>
            <w:r w:rsidRPr="00401ECA">
              <w:rPr>
                <w:rFonts w:ascii="Times New Roman" w:hAnsi="Times New Roman" w:cs="Times New Roman"/>
                <w:sz w:val="22"/>
                <w:szCs w:val="22"/>
                <w:lang w:eastAsia="ru-RU"/>
              </w:rPr>
              <w:lastRenderedPageBreak/>
              <w:t xml:space="preserve">Dag 1: to morgentabletter med ivacaftor 75 mg/tezacaftor 50 mg/ elexacaftor 100 mg  </w:t>
            </w:r>
          </w:p>
          <w:p w14:paraId="6B4B45BC" w14:textId="649F3DA3" w:rsidR="00D41138" w:rsidRPr="00401ECA" w:rsidRDefault="00D41138" w:rsidP="007F25A0">
            <w:pPr>
              <w:pStyle w:val="Listeafsnit"/>
              <w:numPr>
                <w:ilvl w:val="0"/>
                <w:numId w:val="29"/>
              </w:numPr>
              <w:ind w:left="387" w:hanging="387"/>
              <w:rPr>
                <w:rFonts w:ascii="Times New Roman" w:hAnsi="Times New Roman" w:cs="Times New Roman"/>
                <w:sz w:val="22"/>
                <w:szCs w:val="22"/>
                <w:lang w:eastAsia="ru-RU"/>
              </w:rPr>
            </w:pPr>
            <w:r w:rsidRPr="00401ECA">
              <w:rPr>
                <w:rFonts w:ascii="Times New Roman" w:hAnsi="Times New Roman" w:cs="Times New Roman"/>
                <w:sz w:val="22"/>
                <w:szCs w:val="22"/>
                <w:lang w:eastAsia="ru-RU"/>
              </w:rPr>
              <w:t xml:space="preserve">Dag 2: én morgentablet med ivacaftor 75 mg/tezacaftor 50 mg/elexacaftor 100 mg </w:t>
            </w:r>
          </w:p>
          <w:p w14:paraId="41BF266C" w14:textId="77777777" w:rsidR="00D41138" w:rsidRPr="00401ECA" w:rsidRDefault="00D41138" w:rsidP="00F526B8">
            <w:pPr>
              <w:rPr>
                <w:rFonts w:ascii="Times New Roman" w:hAnsi="Times New Roman" w:cs="Times New Roman"/>
                <w:sz w:val="22"/>
                <w:szCs w:val="22"/>
                <w:lang w:eastAsia="ru-RU"/>
              </w:rPr>
            </w:pPr>
            <w:r w:rsidRPr="00401ECA">
              <w:rPr>
                <w:rFonts w:ascii="Times New Roman" w:hAnsi="Times New Roman" w:cs="Times New Roman"/>
                <w:sz w:val="22"/>
                <w:szCs w:val="22"/>
                <w:lang w:eastAsia="ru-RU"/>
              </w:rPr>
              <w:t xml:space="preserve"> </w:t>
            </w:r>
          </w:p>
          <w:p w14:paraId="5D31D114" w14:textId="77777777" w:rsidR="00D41138" w:rsidRPr="00401ECA" w:rsidRDefault="00D41138" w:rsidP="00F526B8">
            <w:pPr>
              <w:rPr>
                <w:rFonts w:ascii="Times New Roman" w:hAnsi="Times New Roman" w:cs="Times New Roman"/>
                <w:sz w:val="22"/>
                <w:szCs w:val="22"/>
                <w:lang w:eastAsia="ru-RU"/>
              </w:rPr>
            </w:pPr>
            <w:r w:rsidRPr="00401ECA">
              <w:rPr>
                <w:rFonts w:ascii="Times New Roman" w:hAnsi="Times New Roman" w:cs="Times New Roman"/>
                <w:sz w:val="22"/>
                <w:szCs w:val="22"/>
                <w:lang w:eastAsia="ru-RU"/>
              </w:rPr>
              <w:t xml:space="preserve">Fortsæt derefter med skiftevis dag 1- og dag 2-dosering. </w:t>
            </w:r>
          </w:p>
          <w:p w14:paraId="5B2ECFEB" w14:textId="77777777" w:rsidR="00D41138" w:rsidRPr="00401ECA" w:rsidRDefault="00D41138" w:rsidP="00F526B8">
            <w:pPr>
              <w:rPr>
                <w:rFonts w:ascii="Times New Roman" w:hAnsi="Times New Roman" w:cs="Times New Roman"/>
                <w:sz w:val="22"/>
                <w:szCs w:val="22"/>
                <w:lang w:eastAsia="ru-RU"/>
              </w:rPr>
            </w:pPr>
            <w:r w:rsidRPr="00401ECA">
              <w:rPr>
                <w:rFonts w:ascii="Times New Roman" w:hAnsi="Times New Roman" w:cs="Times New Roman"/>
                <w:sz w:val="22"/>
                <w:szCs w:val="22"/>
                <w:lang w:eastAsia="ru-RU"/>
              </w:rPr>
              <w:t xml:space="preserve"> </w:t>
            </w:r>
          </w:p>
          <w:p w14:paraId="2DEB5A8A" w14:textId="77777777" w:rsidR="00D41138" w:rsidRPr="00401ECA" w:rsidRDefault="00D41138" w:rsidP="00F526B8">
            <w:pPr>
              <w:rPr>
                <w:rFonts w:ascii="Times New Roman" w:hAnsi="Times New Roman" w:cs="Times New Roman"/>
                <w:sz w:val="22"/>
                <w:szCs w:val="22"/>
                <w:lang w:eastAsia="ru-RU"/>
              </w:rPr>
            </w:pPr>
            <w:r w:rsidRPr="00401ECA">
              <w:rPr>
                <w:rFonts w:ascii="Times New Roman" w:hAnsi="Times New Roman" w:cs="Times New Roman"/>
                <w:sz w:val="22"/>
                <w:szCs w:val="22"/>
                <w:lang w:eastAsia="ru-RU"/>
              </w:rPr>
              <w:t xml:space="preserve">Ingen aftendosis af ivacaftor. </w:t>
            </w:r>
          </w:p>
        </w:tc>
        <w:tc>
          <w:tcPr>
            <w:tcW w:w="2080" w:type="pct"/>
            <w:tcBorders>
              <w:top w:val="single" w:sz="4" w:space="0" w:color="000000"/>
              <w:left w:val="single" w:sz="4" w:space="0" w:color="000000"/>
              <w:bottom w:val="single" w:sz="4" w:space="0" w:color="000000"/>
              <w:right w:val="single" w:sz="4" w:space="0" w:color="000000"/>
            </w:tcBorders>
            <w:tcMar>
              <w:top w:w="28" w:type="dxa"/>
              <w:left w:w="113" w:type="dxa"/>
              <w:bottom w:w="28" w:type="dxa"/>
              <w:right w:w="110" w:type="dxa"/>
            </w:tcMar>
            <w:hideMark/>
          </w:tcPr>
          <w:p w14:paraId="38FD36C0" w14:textId="77777777" w:rsidR="00D41138" w:rsidRPr="00401ECA" w:rsidRDefault="00D41138" w:rsidP="00F526B8">
            <w:pPr>
              <w:rPr>
                <w:rFonts w:ascii="Times New Roman" w:hAnsi="Times New Roman" w:cs="Times New Roman"/>
                <w:sz w:val="22"/>
                <w:szCs w:val="22"/>
                <w:lang w:eastAsia="ru-RU"/>
              </w:rPr>
            </w:pPr>
            <w:r w:rsidRPr="00401ECA">
              <w:rPr>
                <w:rFonts w:ascii="Times New Roman" w:hAnsi="Times New Roman" w:cs="Times New Roman"/>
                <w:sz w:val="22"/>
                <w:szCs w:val="22"/>
                <w:lang w:eastAsia="ru-RU"/>
              </w:rPr>
              <w:lastRenderedPageBreak/>
              <w:t xml:space="preserve">Bør ikke anvendes. </w:t>
            </w:r>
          </w:p>
        </w:tc>
      </w:tr>
      <w:tr w:rsidR="00D41138" w:rsidRPr="00401ECA" w14:paraId="54ACEBF2" w14:textId="77777777" w:rsidTr="00F526B8">
        <w:trPr>
          <w:trHeight w:val="227"/>
          <w:jc w:val="center"/>
        </w:trPr>
        <w:tc>
          <w:tcPr>
            <w:tcW w:w="844" w:type="pct"/>
            <w:tcBorders>
              <w:top w:val="single" w:sz="4" w:space="0" w:color="000000"/>
              <w:left w:val="single" w:sz="4" w:space="0" w:color="000000"/>
              <w:bottom w:val="single" w:sz="4" w:space="0" w:color="000000"/>
              <w:right w:val="single" w:sz="4" w:space="0" w:color="000000"/>
            </w:tcBorders>
            <w:tcMar>
              <w:top w:w="28" w:type="dxa"/>
              <w:left w:w="113" w:type="dxa"/>
              <w:bottom w:w="28" w:type="dxa"/>
              <w:right w:w="110" w:type="dxa"/>
            </w:tcMar>
            <w:hideMark/>
          </w:tcPr>
          <w:p w14:paraId="20671D15" w14:textId="77777777" w:rsidR="00D41138" w:rsidRPr="00401ECA" w:rsidRDefault="00D41138" w:rsidP="00F526B8">
            <w:pPr>
              <w:rPr>
                <w:rFonts w:ascii="Times New Roman" w:hAnsi="Times New Roman" w:cs="Times New Roman"/>
                <w:sz w:val="22"/>
                <w:szCs w:val="22"/>
                <w:lang w:eastAsia="ru-RU"/>
              </w:rPr>
            </w:pPr>
            <w:r w:rsidRPr="00401ECA">
              <w:rPr>
                <w:rFonts w:ascii="Times New Roman" w:hAnsi="Times New Roman" w:cs="Times New Roman"/>
                <w:sz w:val="22"/>
                <w:szCs w:val="22"/>
                <w:lang w:eastAsia="ru-RU"/>
              </w:rPr>
              <w:t xml:space="preserve">12 år og ældre </w:t>
            </w:r>
          </w:p>
        </w:tc>
        <w:tc>
          <w:tcPr>
            <w:tcW w:w="2077" w:type="pct"/>
            <w:tcBorders>
              <w:top w:val="single" w:sz="4" w:space="0" w:color="000000"/>
              <w:left w:val="single" w:sz="4" w:space="0" w:color="000000"/>
              <w:bottom w:val="single" w:sz="4" w:space="0" w:color="000000"/>
              <w:right w:val="single" w:sz="4" w:space="0" w:color="000000"/>
            </w:tcBorders>
            <w:tcMar>
              <w:top w:w="28" w:type="dxa"/>
              <w:left w:w="113" w:type="dxa"/>
              <w:bottom w:w="28" w:type="dxa"/>
              <w:right w:w="110" w:type="dxa"/>
            </w:tcMar>
            <w:hideMark/>
          </w:tcPr>
          <w:p w14:paraId="2ED36CBF" w14:textId="77777777" w:rsidR="00D41138" w:rsidRPr="00401ECA" w:rsidRDefault="00D41138" w:rsidP="00F526B8">
            <w:pPr>
              <w:rPr>
                <w:rFonts w:ascii="Times New Roman" w:hAnsi="Times New Roman" w:cs="Times New Roman"/>
                <w:sz w:val="22"/>
                <w:szCs w:val="22"/>
                <w:lang w:eastAsia="ru-RU"/>
              </w:rPr>
            </w:pPr>
            <w:r w:rsidRPr="00401ECA">
              <w:rPr>
                <w:rFonts w:ascii="Times New Roman" w:hAnsi="Times New Roman" w:cs="Times New Roman"/>
                <w:sz w:val="22"/>
                <w:szCs w:val="22"/>
                <w:lang w:eastAsia="ru-RU"/>
              </w:rPr>
              <w:t xml:space="preserve">Bør ikke anvendes, medmindre fordelene forventes at opveje risiciene. </w:t>
            </w:r>
          </w:p>
          <w:p w14:paraId="7FFFA51D" w14:textId="77777777" w:rsidR="00D41138" w:rsidRPr="00401ECA" w:rsidRDefault="00D41138" w:rsidP="00F526B8">
            <w:pPr>
              <w:rPr>
                <w:rFonts w:ascii="Times New Roman" w:hAnsi="Times New Roman" w:cs="Times New Roman"/>
                <w:sz w:val="22"/>
                <w:szCs w:val="22"/>
                <w:lang w:eastAsia="ru-RU"/>
              </w:rPr>
            </w:pPr>
            <w:r w:rsidRPr="00401ECA">
              <w:rPr>
                <w:rFonts w:ascii="Times New Roman" w:hAnsi="Times New Roman" w:cs="Times New Roman"/>
                <w:sz w:val="22"/>
                <w:szCs w:val="22"/>
                <w:lang w:eastAsia="ru-RU"/>
              </w:rPr>
              <w:t xml:space="preserve"> </w:t>
            </w:r>
          </w:p>
          <w:p w14:paraId="0D6E3F8D" w14:textId="77777777" w:rsidR="00D41138" w:rsidRPr="00401ECA" w:rsidRDefault="00D41138" w:rsidP="00F526B8">
            <w:pPr>
              <w:rPr>
                <w:rFonts w:ascii="Times New Roman" w:hAnsi="Times New Roman" w:cs="Times New Roman"/>
                <w:sz w:val="22"/>
                <w:szCs w:val="22"/>
                <w:lang w:eastAsia="ru-RU"/>
              </w:rPr>
            </w:pPr>
            <w:r w:rsidRPr="00401ECA">
              <w:rPr>
                <w:rFonts w:ascii="Times New Roman" w:hAnsi="Times New Roman" w:cs="Times New Roman"/>
                <w:sz w:val="22"/>
                <w:szCs w:val="22"/>
                <w:lang w:eastAsia="ru-RU"/>
              </w:rPr>
              <w:t xml:space="preserve">Ved anvendelse skal dosen justeres som følger:  </w:t>
            </w:r>
          </w:p>
          <w:p w14:paraId="5988BAFE" w14:textId="77777777" w:rsidR="00D41138" w:rsidRPr="00401ECA" w:rsidRDefault="00D41138" w:rsidP="007F25A0">
            <w:pPr>
              <w:pStyle w:val="Listeafsnit"/>
              <w:numPr>
                <w:ilvl w:val="0"/>
                <w:numId w:val="30"/>
              </w:numPr>
              <w:ind w:left="387"/>
              <w:rPr>
                <w:rFonts w:ascii="Times New Roman" w:hAnsi="Times New Roman" w:cs="Times New Roman"/>
                <w:sz w:val="22"/>
                <w:szCs w:val="22"/>
                <w:lang w:eastAsia="ru-RU"/>
              </w:rPr>
            </w:pPr>
            <w:r w:rsidRPr="00401ECA">
              <w:rPr>
                <w:rFonts w:ascii="Times New Roman" w:hAnsi="Times New Roman" w:cs="Times New Roman"/>
                <w:sz w:val="22"/>
                <w:szCs w:val="22"/>
                <w:lang w:eastAsia="ru-RU"/>
              </w:rPr>
              <w:t xml:space="preserve">Dag 1: to morgentabletter med ivacaftor 75 mg/tezacaftor 50 mg/ elexacaftor 100 mg  </w:t>
            </w:r>
          </w:p>
          <w:p w14:paraId="6D7A9A02" w14:textId="4C0C91D9" w:rsidR="00D41138" w:rsidRPr="00401ECA" w:rsidRDefault="00D41138" w:rsidP="007F25A0">
            <w:pPr>
              <w:pStyle w:val="Listeafsnit"/>
              <w:numPr>
                <w:ilvl w:val="0"/>
                <w:numId w:val="30"/>
              </w:numPr>
              <w:ind w:left="387"/>
              <w:rPr>
                <w:rFonts w:ascii="Times New Roman" w:hAnsi="Times New Roman" w:cs="Times New Roman"/>
                <w:sz w:val="22"/>
                <w:szCs w:val="22"/>
                <w:lang w:eastAsia="ru-RU"/>
              </w:rPr>
            </w:pPr>
            <w:r w:rsidRPr="00401ECA">
              <w:rPr>
                <w:rFonts w:ascii="Times New Roman" w:hAnsi="Times New Roman" w:cs="Times New Roman"/>
                <w:sz w:val="22"/>
                <w:szCs w:val="22"/>
                <w:lang w:eastAsia="ru-RU"/>
              </w:rPr>
              <w:t xml:space="preserve">Dag 2: én morgentablet med ivacaftor 75 mg/tezacaftor 50 mg/elexacaftor 100 mg </w:t>
            </w:r>
          </w:p>
          <w:p w14:paraId="1373229C" w14:textId="77777777" w:rsidR="00D41138" w:rsidRPr="00401ECA" w:rsidRDefault="00D41138" w:rsidP="00F526B8">
            <w:pPr>
              <w:rPr>
                <w:rFonts w:ascii="Times New Roman" w:hAnsi="Times New Roman" w:cs="Times New Roman"/>
                <w:sz w:val="22"/>
                <w:szCs w:val="22"/>
                <w:lang w:eastAsia="ru-RU"/>
              </w:rPr>
            </w:pPr>
            <w:r w:rsidRPr="00401ECA">
              <w:rPr>
                <w:rFonts w:ascii="Times New Roman" w:hAnsi="Times New Roman" w:cs="Times New Roman"/>
                <w:sz w:val="22"/>
                <w:szCs w:val="22"/>
                <w:lang w:eastAsia="ru-RU"/>
              </w:rPr>
              <w:t xml:space="preserve"> </w:t>
            </w:r>
          </w:p>
          <w:p w14:paraId="43037318" w14:textId="77777777" w:rsidR="00D41138" w:rsidRPr="00401ECA" w:rsidRDefault="00D41138" w:rsidP="00F526B8">
            <w:pPr>
              <w:rPr>
                <w:rFonts w:ascii="Times New Roman" w:hAnsi="Times New Roman" w:cs="Times New Roman"/>
                <w:sz w:val="22"/>
                <w:szCs w:val="22"/>
                <w:lang w:eastAsia="ru-RU"/>
              </w:rPr>
            </w:pPr>
            <w:r w:rsidRPr="00401ECA">
              <w:rPr>
                <w:rFonts w:ascii="Times New Roman" w:hAnsi="Times New Roman" w:cs="Times New Roman"/>
                <w:sz w:val="22"/>
                <w:szCs w:val="22"/>
                <w:lang w:eastAsia="ru-RU"/>
              </w:rPr>
              <w:t xml:space="preserve">Fortsæt derefter med skiftevis dag 1- og dag 2-dosering. </w:t>
            </w:r>
          </w:p>
          <w:p w14:paraId="766330F0" w14:textId="77777777" w:rsidR="00D41138" w:rsidRPr="00401ECA" w:rsidRDefault="00D41138" w:rsidP="00F526B8">
            <w:pPr>
              <w:rPr>
                <w:rFonts w:ascii="Times New Roman" w:hAnsi="Times New Roman" w:cs="Times New Roman"/>
                <w:sz w:val="22"/>
                <w:szCs w:val="22"/>
                <w:lang w:eastAsia="ru-RU"/>
              </w:rPr>
            </w:pPr>
            <w:r w:rsidRPr="00401ECA">
              <w:rPr>
                <w:rFonts w:ascii="Times New Roman" w:hAnsi="Times New Roman" w:cs="Times New Roman"/>
                <w:sz w:val="22"/>
                <w:szCs w:val="22"/>
                <w:lang w:eastAsia="ru-RU"/>
              </w:rPr>
              <w:t xml:space="preserve"> </w:t>
            </w:r>
          </w:p>
          <w:p w14:paraId="5659637E" w14:textId="77777777" w:rsidR="00D41138" w:rsidRPr="00401ECA" w:rsidRDefault="00D41138" w:rsidP="00F526B8">
            <w:pPr>
              <w:rPr>
                <w:rFonts w:ascii="Times New Roman" w:hAnsi="Times New Roman" w:cs="Times New Roman"/>
                <w:sz w:val="22"/>
                <w:szCs w:val="22"/>
                <w:lang w:eastAsia="ru-RU"/>
              </w:rPr>
            </w:pPr>
            <w:r w:rsidRPr="00401ECA">
              <w:rPr>
                <w:rFonts w:ascii="Times New Roman" w:hAnsi="Times New Roman" w:cs="Times New Roman"/>
                <w:sz w:val="22"/>
                <w:szCs w:val="22"/>
                <w:lang w:eastAsia="ru-RU"/>
              </w:rPr>
              <w:t xml:space="preserve">Ingen aftendosis af ivacaftor. </w:t>
            </w:r>
          </w:p>
        </w:tc>
        <w:tc>
          <w:tcPr>
            <w:tcW w:w="2080" w:type="pct"/>
            <w:tcBorders>
              <w:top w:val="single" w:sz="4" w:space="0" w:color="000000"/>
              <w:left w:val="single" w:sz="4" w:space="0" w:color="000000"/>
              <w:bottom w:val="single" w:sz="4" w:space="0" w:color="000000"/>
              <w:right w:val="single" w:sz="4" w:space="0" w:color="000000"/>
            </w:tcBorders>
            <w:tcMar>
              <w:top w:w="28" w:type="dxa"/>
              <w:left w:w="113" w:type="dxa"/>
              <w:bottom w:w="28" w:type="dxa"/>
              <w:right w:w="110" w:type="dxa"/>
            </w:tcMar>
            <w:hideMark/>
          </w:tcPr>
          <w:p w14:paraId="3E4ABFCD" w14:textId="32CBA9C3" w:rsidR="00D41138" w:rsidRPr="00401ECA" w:rsidRDefault="00D41138" w:rsidP="00F526B8">
            <w:pPr>
              <w:rPr>
                <w:rFonts w:ascii="Times New Roman" w:hAnsi="Times New Roman" w:cs="Times New Roman"/>
                <w:sz w:val="22"/>
                <w:szCs w:val="22"/>
                <w:lang w:eastAsia="ru-RU"/>
              </w:rPr>
            </w:pPr>
            <w:r w:rsidRPr="00401ECA">
              <w:rPr>
                <w:rFonts w:ascii="Times New Roman" w:hAnsi="Times New Roman" w:cs="Times New Roman"/>
                <w:sz w:val="22"/>
                <w:szCs w:val="22"/>
                <w:lang w:eastAsia="ru-RU"/>
              </w:rPr>
              <w:t>Bør ikke anvendes.</w:t>
            </w:r>
          </w:p>
        </w:tc>
      </w:tr>
    </w:tbl>
    <w:p w14:paraId="08E47FE7" w14:textId="77777777" w:rsidR="00D41138" w:rsidRPr="002748AE" w:rsidRDefault="00D41138" w:rsidP="00D41138">
      <w:pPr>
        <w:pStyle w:val="Brdtekst"/>
        <w:widowControl/>
        <w:suppressAutoHyphens/>
        <w:kinsoku w:val="0"/>
        <w:overflowPunct w:val="0"/>
        <w:ind w:left="0"/>
        <w:rPr>
          <w:color w:val="000000" w:themeColor="text1"/>
        </w:rPr>
      </w:pPr>
    </w:p>
    <w:p w14:paraId="410B845B" w14:textId="77777777" w:rsidR="00D41138" w:rsidRPr="00BA22F2" w:rsidRDefault="00D41138" w:rsidP="00F526B8">
      <w:pPr>
        <w:ind w:left="851"/>
        <w:rPr>
          <w:sz w:val="24"/>
          <w:szCs w:val="24"/>
          <w:u w:val="single"/>
        </w:rPr>
      </w:pPr>
      <w:r w:rsidRPr="00BA22F2">
        <w:rPr>
          <w:sz w:val="24"/>
          <w:szCs w:val="24"/>
          <w:u w:val="single"/>
        </w:rPr>
        <w:t>Pædiatrisk population</w:t>
      </w:r>
      <w:r w:rsidRPr="00BA22F2">
        <w:rPr>
          <w:b/>
          <w:sz w:val="24"/>
          <w:szCs w:val="24"/>
          <w:u w:val="single"/>
        </w:rPr>
        <w:t xml:space="preserve"> </w:t>
      </w:r>
    </w:p>
    <w:p w14:paraId="5EA36234" w14:textId="77777777" w:rsidR="00BA22F2" w:rsidRDefault="00BA22F2" w:rsidP="00F526B8">
      <w:pPr>
        <w:ind w:left="851"/>
        <w:rPr>
          <w:sz w:val="24"/>
          <w:szCs w:val="24"/>
        </w:rPr>
      </w:pPr>
    </w:p>
    <w:p w14:paraId="6DB29BE2" w14:textId="41946C2C" w:rsidR="00D41138" w:rsidRPr="002748AE" w:rsidRDefault="00D41138" w:rsidP="00F526B8">
      <w:pPr>
        <w:ind w:left="851"/>
        <w:rPr>
          <w:sz w:val="24"/>
          <w:szCs w:val="24"/>
        </w:rPr>
      </w:pPr>
      <w:r w:rsidRPr="002748AE">
        <w:rPr>
          <w:sz w:val="24"/>
          <w:szCs w:val="24"/>
        </w:rPr>
        <w:t>Sikkerheden og virkningen af ivacaftor som monoterapi er ikke klarlagt hos børn under 1</w:t>
      </w:r>
      <w:r w:rsidR="009420E8">
        <w:rPr>
          <w:sz w:val="24"/>
          <w:szCs w:val="24"/>
        </w:rPr>
        <w:t> </w:t>
      </w:r>
      <w:r w:rsidRPr="002748AE">
        <w:rPr>
          <w:sz w:val="24"/>
          <w:szCs w:val="24"/>
        </w:rPr>
        <w:t xml:space="preserve">måned eller hos børn under 6 måneder, der er født præmaturt (før 37. svangerskabsuge), hverken i kombination med tezacaftor/ivacaftor hos børn under 6 år eller i kombination med ivacaftor/tezacaftor/elexacaftor hos børn under 2 år. Der foreligger ingen data. </w:t>
      </w:r>
    </w:p>
    <w:p w14:paraId="781324E9" w14:textId="77777777" w:rsidR="00D41138" w:rsidRPr="002748AE" w:rsidRDefault="00D41138" w:rsidP="00F526B8">
      <w:pPr>
        <w:ind w:left="851"/>
        <w:rPr>
          <w:sz w:val="24"/>
          <w:szCs w:val="24"/>
        </w:rPr>
      </w:pPr>
      <w:r w:rsidRPr="002748AE">
        <w:rPr>
          <w:sz w:val="24"/>
          <w:szCs w:val="24"/>
        </w:rPr>
        <w:t xml:space="preserve"> </w:t>
      </w:r>
    </w:p>
    <w:p w14:paraId="117BE992" w14:textId="77777777" w:rsidR="00D41138" w:rsidRPr="002748AE" w:rsidRDefault="00D41138" w:rsidP="00F526B8">
      <w:pPr>
        <w:ind w:left="851"/>
        <w:rPr>
          <w:sz w:val="24"/>
          <w:szCs w:val="24"/>
        </w:rPr>
      </w:pPr>
      <w:r w:rsidRPr="002748AE">
        <w:rPr>
          <w:sz w:val="24"/>
          <w:szCs w:val="24"/>
        </w:rPr>
        <w:t xml:space="preserve">Der foreligger begrænsede data hos patienter under 6 år med en </w:t>
      </w:r>
      <w:r w:rsidRPr="002748AE">
        <w:rPr>
          <w:i/>
          <w:sz w:val="24"/>
          <w:szCs w:val="24"/>
        </w:rPr>
        <w:t>R117H</w:t>
      </w:r>
      <w:r w:rsidRPr="002748AE">
        <w:rPr>
          <w:sz w:val="24"/>
          <w:szCs w:val="24"/>
        </w:rPr>
        <w:t xml:space="preserve">-mutation i </w:t>
      </w:r>
      <w:r w:rsidRPr="002748AE">
        <w:rPr>
          <w:i/>
          <w:sz w:val="24"/>
          <w:szCs w:val="24"/>
        </w:rPr>
        <w:t>CFTR</w:t>
      </w:r>
      <w:r w:rsidRPr="002748AE">
        <w:rPr>
          <w:sz w:val="24"/>
          <w:szCs w:val="24"/>
        </w:rPr>
        <w:t xml:space="preserve">-genet. Foreliggende data hos patienter i alderen 6 år og ældre er beskrevet i pkt. 4.8, 5.1 og 5.2. </w:t>
      </w:r>
    </w:p>
    <w:p w14:paraId="59BC414E" w14:textId="77777777" w:rsidR="00D41138" w:rsidRPr="002748AE" w:rsidRDefault="00D41138" w:rsidP="00F526B8">
      <w:pPr>
        <w:ind w:left="851"/>
        <w:rPr>
          <w:sz w:val="24"/>
          <w:szCs w:val="24"/>
        </w:rPr>
      </w:pPr>
      <w:r w:rsidRPr="002748AE">
        <w:rPr>
          <w:sz w:val="24"/>
          <w:szCs w:val="24"/>
        </w:rPr>
        <w:t xml:space="preserve"> </w:t>
      </w:r>
    </w:p>
    <w:p w14:paraId="2622412D" w14:textId="77777777" w:rsidR="00D41138" w:rsidRPr="00BA22F2" w:rsidRDefault="00D41138" w:rsidP="00F526B8">
      <w:pPr>
        <w:ind w:left="851"/>
        <w:rPr>
          <w:sz w:val="24"/>
          <w:szCs w:val="24"/>
          <w:u w:val="single"/>
        </w:rPr>
      </w:pPr>
      <w:r w:rsidRPr="00BA22F2">
        <w:rPr>
          <w:sz w:val="24"/>
          <w:szCs w:val="24"/>
          <w:u w:val="single"/>
        </w:rPr>
        <w:t xml:space="preserve">Administration  </w:t>
      </w:r>
    </w:p>
    <w:p w14:paraId="12961045" w14:textId="77777777" w:rsidR="00D41138" w:rsidRPr="002748AE" w:rsidRDefault="00D41138" w:rsidP="00F526B8">
      <w:pPr>
        <w:ind w:left="851"/>
        <w:rPr>
          <w:sz w:val="24"/>
          <w:szCs w:val="24"/>
        </w:rPr>
      </w:pPr>
      <w:r w:rsidRPr="002748AE">
        <w:rPr>
          <w:sz w:val="24"/>
          <w:szCs w:val="24"/>
        </w:rPr>
        <w:t xml:space="preserve">Oral anvendelse.  </w:t>
      </w:r>
    </w:p>
    <w:p w14:paraId="21FADDD7" w14:textId="10B8DA0B" w:rsidR="00D41138" w:rsidRPr="002748AE" w:rsidRDefault="00D41138" w:rsidP="00F526B8">
      <w:pPr>
        <w:ind w:left="851"/>
        <w:rPr>
          <w:sz w:val="24"/>
          <w:szCs w:val="24"/>
        </w:rPr>
      </w:pPr>
    </w:p>
    <w:p w14:paraId="301D527B" w14:textId="77777777" w:rsidR="00D41138" w:rsidRPr="002748AE" w:rsidRDefault="00D41138" w:rsidP="00F526B8">
      <w:pPr>
        <w:ind w:left="851"/>
        <w:rPr>
          <w:sz w:val="24"/>
          <w:szCs w:val="24"/>
        </w:rPr>
      </w:pPr>
      <w:r w:rsidRPr="002748AE">
        <w:rPr>
          <w:sz w:val="24"/>
          <w:szCs w:val="24"/>
        </w:rPr>
        <w:t xml:space="preserve">Patienterne skal instrueres i at sluge tabletterne hele. Tabletterne må ikke tygges, knuses eller deles, før de sluges, da der aktuelt ikke foreligger nogen kliniske data til understøtning af andre administrationsmetoder. </w:t>
      </w:r>
    </w:p>
    <w:p w14:paraId="6FF1F632" w14:textId="77777777" w:rsidR="00D41138" w:rsidRPr="002748AE" w:rsidRDefault="00D41138" w:rsidP="00F526B8">
      <w:pPr>
        <w:ind w:left="851"/>
        <w:rPr>
          <w:sz w:val="24"/>
          <w:szCs w:val="24"/>
        </w:rPr>
      </w:pPr>
      <w:r w:rsidRPr="002748AE">
        <w:rPr>
          <w:sz w:val="24"/>
          <w:szCs w:val="24"/>
        </w:rPr>
        <w:t xml:space="preserve"> </w:t>
      </w:r>
    </w:p>
    <w:p w14:paraId="307EE13D" w14:textId="77777777" w:rsidR="00D41138" w:rsidRPr="002748AE" w:rsidRDefault="00D41138" w:rsidP="00F526B8">
      <w:pPr>
        <w:ind w:left="851"/>
        <w:rPr>
          <w:sz w:val="24"/>
          <w:szCs w:val="24"/>
        </w:rPr>
      </w:pPr>
      <w:r w:rsidRPr="002748AE">
        <w:rPr>
          <w:sz w:val="24"/>
          <w:szCs w:val="24"/>
        </w:rPr>
        <w:t xml:space="preserve">Ivacaftor tabletter skal tages sammen med fedtholdig mad.  </w:t>
      </w:r>
    </w:p>
    <w:p w14:paraId="0E93AB6B" w14:textId="77777777" w:rsidR="00D41138" w:rsidRPr="002748AE" w:rsidRDefault="00D41138" w:rsidP="00F526B8">
      <w:pPr>
        <w:ind w:left="851"/>
        <w:rPr>
          <w:sz w:val="24"/>
          <w:szCs w:val="24"/>
        </w:rPr>
      </w:pPr>
      <w:r w:rsidRPr="002748AE">
        <w:rPr>
          <w:sz w:val="24"/>
          <w:szCs w:val="24"/>
        </w:rPr>
        <w:t xml:space="preserve"> </w:t>
      </w:r>
    </w:p>
    <w:p w14:paraId="5223DB92" w14:textId="77777777" w:rsidR="00D41138" w:rsidRPr="002748AE" w:rsidRDefault="00D41138" w:rsidP="00F526B8">
      <w:pPr>
        <w:ind w:left="851"/>
        <w:rPr>
          <w:sz w:val="24"/>
          <w:szCs w:val="24"/>
        </w:rPr>
      </w:pPr>
      <w:r w:rsidRPr="002748AE">
        <w:rPr>
          <w:sz w:val="24"/>
          <w:szCs w:val="24"/>
        </w:rPr>
        <w:t>Mad eller drikke, der indeholder grapefrugt, bør undgås under behandlingen (se pkt. 4.5).</w:t>
      </w:r>
    </w:p>
    <w:p w14:paraId="0A7CA5B7" w14:textId="77777777" w:rsidR="009260DE" w:rsidRPr="002748AE" w:rsidRDefault="009260DE" w:rsidP="009260DE">
      <w:pPr>
        <w:tabs>
          <w:tab w:val="left" w:pos="851"/>
        </w:tabs>
        <w:ind w:left="851"/>
        <w:rPr>
          <w:sz w:val="24"/>
          <w:szCs w:val="24"/>
        </w:rPr>
      </w:pPr>
    </w:p>
    <w:p w14:paraId="6AEE0C75" w14:textId="77777777" w:rsidR="009260DE" w:rsidRPr="002748AE" w:rsidRDefault="009260DE" w:rsidP="009260DE">
      <w:pPr>
        <w:tabs>
          <w:tab w:val="left" w:pos="851"/>
        </w:tabs>
        <w:ind w:left="851" w:hanging="851"/>
        <w:rPr>
          <w:b/>
          <w:sz w:val="24"/>
          <w:szCs w:val="24"/>
        </w:rPr>
      </w:pPr>
      <w:r w:rsidRPr="002748AE">
        <w:rPr>
          <w:b/>
          <w:sz w:val="24"/>
          <w:szCs w:val="24"/>
        </w:rPr>
        <w:t>4.3</w:t>
      </w:r>
      <w:r w:rsidRPr="002748AE">
        <w:rPr>
          <w:b/>
          <w:sz w:val="24"/>
          <w:szCs w:val="24"/>
        </w:rPr>
        <w:tab/>
        <w:t>Kontraindikationer</w:t>
      </w:r>
    </w:p>
    <w:p w14:paraId="2B7ACB6C" w14:textId="77777777" w:rsidR="00D41138" w:rsidRPr="002748AE" w:rsidRDefault="00D41138" w:rsidP="00F526B8">
      <w:pPr>
        <w:ind w:left="851"/>
        <w:rPr>
          <w:sz w:val="24"/>
          <w:szCs w:val="24"/>
        </w:rPr>
      </w:pPr>
      <w:r w:rsidRPr="002748AE">
        <w:rPr>
          <w:sz w:val="24"/>
          <w:szCs w:val="24"/>
        </w:rPr>
        <w:t xml:space="preserve">Overfølsomhed over for det aktive stof eller over for et eller flere af hjælpestofferne anført i pkt. 6.1. </w:t>
      </w:r>
    </w:p>
    <w:p w14:paraId="248EECF3" w14:textId="77777777" w:rsidR="009260DE" w:rsidRPr="002748AE" w:rsidRDefault="009260DE" w:rsidP="009260DE">
      <w:pPr>
        <w:tabs>
          <w:tab w:val="left" w:pos="851"/>
        </w:tabs>
        <w:ind w:left="851"/>
        <w:rPr>
          <w:sz w:val="24"/>
          <w:szCs w:val="24"/>
        </w:rPr>
      </w:pPr>
    </w:p>
    <w:p w14:paraId="1A24EBF7" w14:textId="77777777" w:rsidR="009260DE" w:rsidRPr="002748AE" w:rsidRDefault="009260DE" w:rsidP="009260DE">
      <w:pPr>
        <w:tabs>
          <w:tab w:val="left" w:pos="851"/>
        </w:tabs>
        <w:ind w:left="851" w:hanging="851"/>
        <w:rPr>
          <w:b/>
          <w:sz w:val="24"/>
          <w:szCs w:val="24"/>
        </w:rPr>
      </w:pPr>
      <w:r w:rsidRPr="002748AE">
        <w:rPr>
          <w:b/>
          <w:sz w:val="24"/>
          <w:szCs w:val="24"/>
        </w:rPr>
        <w:t>4.4</w:t>
      </w:r>
      <w:r w:rsidRPr="002748AE">
        <w:rPr>
          <w:b/>
          <w:sz w:val="24"/>
          <w:szCs w:val="24"/>
        </w:rPr>
        <w:tab/>
        <w:t>Særlige advarsler og forsigtighedsregler vedrørende brugen</w:t>
      </w:r>
    </w:p>
    <w:p w14:paraId="457673BE" w14:textId="77777777" w:rsidR="00D41138" w:rsidRPr="002748AE" w:rsidRDefault="00D41138" w:rsidP="00F526B8">
      <w:pPr>
        <w:ind w:left="851"/>
        <w:rPr>
          <w:sz w:val="24"/>
          <w:szCs w:val="24"/>
          <w:lang w:eastAsia="da-DK"/>
        </w:rPr>
      </w:pPr>
      <w:r w:rsidRPr="002748AE">
        <w:rPr>
          <w:sz w:val="24"/>
          <w:szCs w:val="24"/>
        </w:rPr>
        <w:t xml:space="preserve">Kun patienter med CF, som havde en </w:t>
      </w:r>
      <w:r w:rsidRPr="002748AE">
        <w:rPr>
          <w:i/>
          <w:sz w:val="24"/>
          <w:szCs w:val="24"/>
        </w:rPr>
        <w:t>G551D, G1244E, G1349D, G178R, G551S, S1251N, S1255P, S549N, S549R</w:t>
      </w:r>
      <w:r w:rsidRPr="002748AE">
        <w:rPr>
          <w:sz w:val="24"/>
          <w:szCs w:val="24"/>
        </w:rPr>
        <w:t xml:space="preserve"> </w:t>
      </w:r>
      <w:r w:rsidRPr="002748AE">
        <w:rPr>
          <w:i/>
          <w:sz w:val="24"/>
          <w:szCs w:val="24"/>
        </w:rPr>
        <w:t>gating</w:t>
      </w:r>
      <w:r w:rsidRPr="002748AE">
        <w:rPr>
          <w:sz w:val="24"/>
          <w:szCs w:val="24"/>
        </w:rPr>
        <w:t xml:space="preserve">-mutation (klasse III), </w:t>
      </w:r>
      <w:r w:rsidRPr="002748AE">
        <w:rPr>
          <w:i/>
          <w:sz w:val="24"/>
          <w:szCs w:val="24"/>
        </w:rPr>
        <w:t xml:space="preserve">G970R </w:t>
      </w:r>
      <w:r w:rsidRPr="002748AE">
        <w:rPr>
          <w:sz w:val="24"/>
          <w:szCs w:val="24"/>
        </w:rPr>
        <w:t xml:space="preserve">eller </w:t>
      </w:r>
      <w:r w:rsidRPr="002748AE">
        <w:rPr>
          <w:i/>
          <w:sz w:val="24"/>
          <w:szCs w:val="24"/>
        </w:rPr>
        <w:t>R117H</w:t>
      </w:r>
      <w:r w:rsidRPr="002748AE">
        <w:rPr>
          <w:sz w:val="24"/>
          <w:szCs w:val="24"/>
        </w:rPr>
        <w:t xml:space="preserve">-mutation i mindst én allel på </w:t>
      </w:r>
      <w:r w:rsidRPr="002748AE">
        <w:rPr>
          <w:i/>
          <w:sz w:val="24"/>
          <w:szCs w:val="24"/>
        </w:rPr>
        <w:t>CFTR-</w:t>
      </w:r>
      <w:r w:rsidRPr="002748AE">
        <w:rPr>
          <w:sz w:val="24"/>
          <w:szCs w:val="24"/>
        </w:rPr>
        <w:t xml:space="preserve">genet, blev inkluderet i studie 770-102, 770-103, 770-111 og 770-110 (se pkt. 5.1). </w:t>
      </w:r>
    </w:p>
    <w:p w14:paraId="6C431A89" w14:textId="77777777" w:rsidR="00D41138" w:rsidRPr="002748AE" w:rsidRDefault="00D41138" w:rsidP="00F526B8">
      <w:pPr>
        <w:ind w:left="851"/>
        <w:rPr>
          <w:sz w:val="24"/>
          <w:szCs w:val="24"/>
        </w:rPr>
      </w:pPr>
      <w:r w:rsidRPr="002748AE">
        <w:rPr>
          <w:sz w:val="24"/>
          <w:szCs w:val="24"/>
        </w:rPr>
        <w:t xml:space="preserve"> </w:t>
      </w:r>
    </w:p>
    <w:p w14:paraId="655DE3CB" w14:textId="77777777" w:rsidR="00D41138" w:rsidRPr="002748AE" w:rsidRDefault="00D41138" w:rsidP="00F526B8">
      <w:pPr>
        <w:ind w:left="851"/>
        <w:rPr>
          <w:sz w:val="24"/>
          <w:szCs w:val="24"/>
        </w:rPr>
      </w:pPr>
      <w:r w:rsidRPr="002748AE">
        <w:rPr>
          <w:sz w:val="24"/>
          <w:szCs w:val="24"/>
        </w:rPr>
        <w:t xml:space="preserve">I studie 770-111 var fire patienter med </w:t>
      </w:r>
      <w:r w:rsidRPr="002748AE">
        <w:rPr>
          <w:i/>
          <w:sz w:val="24"/>
          <w:szCs w:val="24"/>
        </w:rPr>
        <w:t>G970R</w:t>
      </w:r>
      <w:r w:rsidRPr="002748AE">
        <w:rPr>
          <w:sz w:val="24"/>
          <w:szCs w:val="24"/>
        </w:rPr>
        <w:t>-mutationen inkluderet. Hos tre ud af fire patienter var ændringen i sved-chlorid-testen &lt;5 mmol/l, og denne gruppe udviste ikke en klinisk relevant forbedring i FEV</w:t>
      </w:r>
      <w:r w:rsidRPr="002748AE">
        <w:rPr>
          <w:sz w:val="24"/>
          <w:szCs w:val="24"/>
          <w:vertAlign w:val="subscript"/>
        </w:rPr>
        <w:t>1</w:t>
      </w:r>
      <w:r w:rsidRPr="002748AE">
        <w:rPr>
          <w:sz w:val="24"/>
          <w:szCs w:val="24"/>
        </w:rPr>
        <w:t xml:space="preserve"> efter 8 ugers behandling. Klinisk virkning hos patienter med </w:t>
      </w:r>
      <w:r w:rsidRPr="002748AE">
        <w:rPr>
          <w:i/>
          <w:sz w:val="24"/>
          <w:szCs w:val="24"/>
        </w:rPr>
        <w:t>G970R</w:t>
      </w:r>
      <w:r w:rsidRPr="002748AE">
        <w:rPr>
          <w:sz w:val="24"/>
          <w:szCs w:val="24"/>
        </w:rPr>
        <w:t xml:space="preserve">-mutationen i </w:t>
      </w:r>
      <w:r w:rsidRPr="002748AE">
        <w:rPr>
          <w:i/>
          <w:sz w:val="24"/>
          <w:szCs w:val="24"/>
        </w:rPr>
        <w:t>CFTR</w:t>
      </w:r>
      <w:r w:rsidRPr="002748AE">
        <w:rPr>
          <w:sz w:val="24"/>
          <w:szCs w:val="24"/>
        </w:rPr>
        <w:t xml:space="preserve">-genet kunne ikke klarlægges (se pkt. 5.1). </w:t>
      </w:r>
    </w:p>
    <w:p w14:paraId="5DF8BD7C" w14:textId="77777777" w:rsidR="00D41138" w:rsidRPr="002748AE" w:rsidRDefault="00D41138" w:rsidP="00F526B8">
      <w:pPr>
        <w:ind w:left="851"/>
        <w:rPr>
          <w:sz w:val="24"/>
          <w:szCs w:val="24"/>
        </w:rPr>
      </w:pPr>
      <w:r w:rsidRPr="002748AE">
        <w:rPr>
          <w:sz w:val="24"/>
          <w:szCs w:val="24"/>
        </w:rPr>
        <w:t xml:space="preserve"> </w:t>
      </w:r>
    </w:p>
    <w:p w14:paraId="2A8A169D" w14:textId="77777777" w:rsidR="00D41138" w:rsidRPr="002748AE" w:rsidRDefault="00D41138" w:rsidP="00F526B8">
      <w:pPr>
        <w:ind w:left="851"/>
        <w:rPr>
          <w:sz w:val="24"/>
          <w:szCs w:val="24"/>
        </w:rPr>
      </w:pPr>
      <w:r w:rsidRPr="002748AE">
        <w:rPr>
          <w:sz w:val="24"/>
          <w:szCs w:val="24"/>
        </w:rPr>
        <w:t xml:space="preserve">Resultater for virkning fra et fase 2-studie hos patienter med CF, som er homozygote for </w:t>
      </w:r>
      <w:r w:rsidRPr="002748AE">
        <w:rPr>
          <w:i/>
          <w:sz w:val="24"/>
          <w:szCs w:val="24"/>
        </w:rPr>
        <w:t>F508del-</w:t>
      </w:r>
      <w:r w:rsidRPr="002748AE">
        <w:rPr>
          <w:sz w:val="24"/>
          <w:szCs w:val="24"/>
        </w:rPr>
        <w:t xml:space="preserve">mutationen i </w:t>
      </w:r>
      <w:r w:rsidRPr="002748AE">
        <w:rPr>
          <w:i/>
          <w:sz w:val="24"/>
          <w:szCs w:val="24"/>
        </w:rPr>
        <w:t>CFTR</w:t>
      </w:r>
      <w:r w:rsidRPr="002748AE">
        <w:rPr>
          <w:sz w:val="24"/>
          <w:szCs w:val="24"/>
        </w:rPr>
        <w:t>-genet, viste ingen statistisk signifikant forskel i FEV</w:t>
      </w:r>
      <w:r w:rsidRPr="002748AE">
        <w:rPr>
          <w:sz w:val="24"/>
          <w:szCs w:val="24"/>
          <w:vertAlign w:val="subscript"/>
        </w:rPr>
        <w:t>1</w:t>
      </w:r>
      <w:r w:rsidRPr="002748AE">
        <w:rPr>
          <w:sz w:val="24"/>
          <w:szCs w:val="24"/>
        </w:rPr>
        <w:t xml:space="preserve"> i løbet af 16-ugers behandling med ivacaftor, sammenlignet med placebo (se pkt. 5.1). Derfor bør ivacaftor som monoterapi ikke anvendes til disse patienter. </w:t>
      </w:r>
    </w:p>
    <w:p w14:paraId="0E925357" w14:textId="77777777" w:rsidR="00D41138" w:rsidRPr="002748AE" w:rsidRDefault="00D41138" w:rsidP="00F526B8">
      <w:pPr>
        <w:ind w:left="851"/>
        <w:rPr>
          <w:sz w:val="24"/>
          <w:szCs w:val="24"/>
        </w:rPr>
      </w:pPr>
      <w:r w:rsidRPr="002748AE">
        <w:rPr>
          <w:sz w:val="24"/>
          <w:szCs w:val="24"/>
        </w:rPr>
        <w:t xml:space="preserve"> </w:t>
      </w:r>
    </w:p>
    <w:p w14:paraId="1E93DCF7" w14:textId="77777777" w:rsidR="00D41138" w:rsidRPr="002748AE" w:rsidRDefault="00D41138" w:rsidP="00F526B8">
      <w:pPr>
        <w:ind w:left="851"/>
        <w:rPr>
          <w:sz w:val="24"/>
          <w:szCs w:val="24"/>
        </w:rPr>
      </w:pPr>
      <w:r w:rsidRPr="002748AE">
        <w:rPr>
          <w:sz w:val="24"/>
          <w:szCs w:val="24"/>
        </w:rPr>
        <w:t xml:space="preserve">Der er påvist mindre evidens for en positiv virkning af ivacaftor hos patienter med en </w:t>
      </w:r>
      <w:r w:rsidRPr="002748AE">
        <w:rPr>
          <w:i/>
          <w:sz w:val="24"/>
          <w:szCs w:val="24"/>
        </w:rPr>
        <w:t xml:space="preserve">R117H-7T </w:t>
      </w:r>
      <w:r w:rsidRPr="002748AE">
        <w:rPr>
          <w:sz w:val="24"/>
          <w:szCs w:val="24"/>
        </w:rPr>
        <w:t xml:space="preserve">mutation, som er forbundet med sygdom af mindre sværhedsgrad, i studie 770-110 (se pkt. 5.1). </w:t>
      </w:r>
    </w:p>
    <w:p w14:paraId="2990B797" w14:textId="77777777" w:rsidR="00D41138" w:rsidRPr="002748AE" w:rsidRDefault="00D41138" w:rsidP="00F526B8">
      <w:pPr>
        <w:ind w:left="851"/>
        <w:rPr>
          <w:sz w:val="24"/>
          <w:szCs w:val="24"/>
        </w:rPr>
      </w:pPr>
      <w:r w:rsidRPr="002748AE">
        <w:rPr>
          <w:sz w:val="24"/>
          <w:szCs w:val="24"/>
        </w:rPr>
        <w:t xml:space="preserve"> </w:t>
      </w:r>
    </w:p>
    <w:p w14:paraId="2FDFD6C0" w14:textId="77777777" w:rsidR="00D41138" w:rsidRPr="002748AE" w:rsidRDefault="00D41138" w:rsidP="00F526B8">
      <w:pPr>
        <w:ind w:left="851"/>
        <w:rPr>
          <w:sz w:val="24"/>
          <w:szCs w:val="24"/>
        </w:rPr>
      </w:pPr>
      <w:r w:rsidRPr="002748AE">
        <w:rPr>
          <w:sz w:val="24"/>
          <w:szCs w:val="24"/>
        </w:rPr>
        <w:t xml:space="preserve">Ivacaftor i et kombinationsregime med tezacaftor/ivacaftor må ikke ordineres til patienter med CF, som er heterozygote for </w:t>
      </w:r>
      <w:r w:rsidRPr="002748AE">
        <w:rPr>
          <w:i/>
          <w:sz w:val="24"/>
          <w:szCs w:val="24"/>
        </w:rPr>
        <w:t>F508del</w:t>
      </w:r>
      <w:r w:rsidRPr="002748AE">
        <w:rPr>
          <w:sz w:val="24"/>
          <w:szCs w:val="24"/>
        </w:rPr>
        <w:t xml:space="preserve">-mutationen og har en anden </w:t>
      </w:r>
      <w:r w:rsidRPr="002748AE">
        <w:rPr>
          <w:i/>
          <w:sz w:val="24"/>
          <w:szCs w:val="24"/>
        </w:rPr>
        <w:t>CFTR</w:t>
      </w:r>
      <w:r w:rsidRPr="002748AE">
        <w:rPr>
          <w:sz w:val="24"/>
          <w:szCs w:val="24"/>
        </w:rPr>
        <w:t>-mutation, der ikke er anført i pkt. 4.1.</w:t>
      </w:r>
    </w:p>
    <w:p w14:paraId="393E54C0" w14:textId="77777777" w:rsidR="00D41138" w:rsidRPr="002748AE" w:rsidRDefault="00D41138" w:rsidP="00F526B8">
      <w:pPr>
        <w:ind w:left="851"/>
        <w:rPr>
          <w:sz w:val="24"/>
          <w:szCs w:val="24"/>
        </w:rPr>
      </w:pPr>
    </w:p>
    <w:p w14:paraId="27460ACA" w14:textId="77777777" w:rsidR="00D41138" w:rsidRPr="002748AE" w:rsidRDefault="00D41138" w:rsidP="00F526B8">
      <w:pPr>
        <w:ind w:left="851"/>
        <w:rPr>
          <w:sz w:val="24"/>
          <w:szCs w:val="24"/>
        </w:rPr>
      </w:pPr>
      <w:r w:rsidRPr="002748AE">
        <w:rPr>
          <w:sz w:val="24"/>
          <w:szCs w:val="24"/>
          <w:u w:val="single"/>
        </w:rPr>
        <w:t>Forhøjede aminotransferaser og leverskade</w:t>
      </w:r>
      <w:r w:rsidRPr="002748AE">
        <w:rPr>
          <w:sz w:val="24"/>
          <w:szCs w:val="24"/>
        </w:rPr>
        <w:t xml:space="preserve"> </w:t>
      </w:r>
    </w:p>
    <w:p w14:paraId="4518B456" w14:textId="77777777" w:rsidR="00D41138" w:rsidRPr="002748AE" w:rsidRDefault="00D41138" w:rsidP="00F526B8">
      <w:pPr>
        <w:ind w:left="851"/>
        <w:rPr>
          <w:sz w:val="24"/>
          <w:szCs w:val="24"/>
        </w:rPr>
      </w:pPr>
      <w:r w:rsidRPr="002748AE">
        <w:rPr>
          <w:sz w:val="24"/>
          <w:szCs w:val="24"/>
        </w:rPr>
        <w:t xml:space="preserve"> </w:t>
      </w:r>
    </w:p>
    <w:p w14:paraId="5FCB0F9F" w14:textId="77777777" w:rsidR="00D41138" w:rsidRPr="002748AE" w:rsidRDefault="00D41138" w:rsidP="00F526B8">
      <w:pPr>
        <w:ind w:left="851"/>
        <w:rPr>
          <w:sz w:val="24"/>
          <w:szCs w:val="24"/>
        </w:rPr>
      </w:pPr>
      <w:r w:rsidRPr="002748AE">
        <w:rPr>
          <w:sz w:val="24"/>
          <w:szCs w:val="24"/>
        </w:rPr>
        <w:t xml:space="preserve">Hos en patient med cirrose og portal hypertension er der blevet rapporteret leversvigt, der førte til transplantation, mens patienten fik ivacaftor i et kombinationsregime med ivacaftor/tezacaftor/elexacaftor. Dette lægemiddel skal anvendes med forsigtighed hos patienter med eksisterende fremskreden leversygdom (f.eks. cirrose, portal hypertension) og kun, hvis fordele forventes at opveje risici. Hvis det anvendes til disse patienter, skal de overvåges nøje, efter behandlingen påbegyndes (se pkt. 4.2, 4.8 og 5.2). </w:t>
      </w:r>
    </w:p>
    <w:p w14:paraId="0C233270" w14:textId="77777777" w:rsidR="00D41138" w:rsidRPr="002748AE" w:rsidRDefault="00D41138" w:rsidP="00F526B8">
      <w:pPr>
        <w:ind w:left="851"/>
        <w:rPr>
          <w:sz w:val="24"/>
          <w:szCs w:val="24"/>
        </w:rPr>
      </w:pPr>
      <w:r w:rsidRPr="002748AE">
        <w:rPr>
          <w:sz w:val="24"/>
          <w:szCs w:val="24"/>
        </w:rPr>
        <w:t xml:space="preserve"> </w:t>
      </w:r>
    </w:p>
    <w:p w14:paraId="3D52A6D7" w14:textId="77777777" w:rsidR="00D41138" w:rsidRPr="002748AE" w:rsidRDefault="00D41138" w:rsidP="00F526B8">
      <w:pPr>
        <w:ind w:left="851"/>
        <w:rPr>
          <w:sz w:val="24"/>
          <w:szCs w:val="24"/>
        </w:rPr>
      </w:pPr>
      <w:r w:rsidRPr="002748AE">
        <w:rPr>
          <w:sz w:val="24"/>
          <w:szCs w:val="24"/>
        </w:rPr>
        <w:t>Moderate forhøjelser af aminotransferaser (alaninaminotransferase [ALAT] eller aspartataminotransferase [ASAT]) er almindelige hos personer med CF. Der er blevet observeret forhøjelser af aminotransferaser hos nogle patienter i behandling med ivacaftor som monoterapi og i kombinationsregimer med tezacaftor/ivacaftor eller ivacaftor/tezacaftor/elexacaftor. Hos patienter, der tager ivacaftor i et kombinationsregime med ivacaftor/tezacaftor/elexacaftor, er disse forhøjelser nogle gange blevet forbundet med samtidige forhøjelser i totalt bilirubin. Derfor anbefales vurderinger af aminotransferaser (ALAT og ASAT) og totalt bilirubin for alle patienter, før ivacaftor påbegyndes, hver 3. måned i løbet af det første års behandling og derefter årligt. For alle patienter med tidligere leversygdom eller forhøjede aminotransferaser bør der overvejes en hyppigere monitorering af leverfunktionsprøverne. I tilfælde af signifikante forhøjelser af aminotransferaser (f.eks. patienter med ALAT eller ASAT &gt; 5 × den øvre normalgrænse (ULN) eller ALAT eller ASAT &gt; 3 × ULN med bilirubin &gt; 2 × ULN) bør doseringen afbrydes, og laboratorieprøver skal følges nøje, indtil anomalierne har fortaget sig. Efter aminotransferaseforhøjelserne er vendt tilbage til normalen, bør fordele og risici ved at genoptage behandlingen overvejes (se pkt. 4.2, 4.8 og 5.2).</w:t>
      </w:r>
    </w:p>
    <w:p w14:paraId="26D749C5" w14:textId="77777777" w:rsidR="00D41138" w:rsidRPr="002748AE" w:rsidRDefault="00D41138" w:rsidP="00F526B8">
      <w:pPr>
        <w:ind w:left="851"/>
        <w:rPr>
          <w:sz w:val="24"/>
          <w:szCs w:val="24"/>
        </w:rPr>
      </w:pPr>
    </w:p>
    <w:p w14:paraId="2C35BEDE" w14:textId="77777777" w:rsidR="00D41138" w:rsidRPr="002748AE" w:rsidRDefault="00D41138" w:rsidP="00F526B8">
      <w:pPr>
        <w:ind w:left="851"/>
        <w:rPr>
          <w:sz w:val="24"/>
          <w:szCs w:val="24"/>
        </w:rPr>
      </w:pPr>
      <w:r w:rsidRPr="002748AE">
        <w:rPr>
          <w:sz w:val="24"/>
          <w:szCs w:val="24"/>
          <w:u w:val="single"/>
        </w:rPr>
        <w:lastRenderedPageBreak/>
        <w:t>Nedsat leverfunktion</w:t>
      </w:r>
      <w:r w:rsidRPr="002748AE">
        <w:rPr>
          <w:sz w:val="24"/>
          <w:szCs w:val="24"/>
        </w:rPr>
        <w:t xml:space="preserve"> </w:t>
      </w:r>
    </w:p>
    <w:p w14:paraId="24E81C3F" w14:textId="77777777" w:rsidR="00D41138" w:rsidRPr="002748AE" w:rsidRDefault="00D41138" w:rsidP="00F526B8">
      <w:pPr>
        <w:ind w:left="851"/>
        <w:rPr>
          <w:sz w:val="24"/>
          <w:szCs w:val="24"/>
        </w:rPr>
      </w:pPr>
      <w:r w:rsidRPr="002748AE">
        <w:rPr>
          <w:sz w:val="24"/>
          <w:szCs w:val="24"/>
        </w:rPr>
        <w:t xml:space="preserve"> </w:t>
      </w:r>
    </w:p>
    <w:p w14:paraId="77906F4E" w14:textId="77777777" w:rsidR="00D41138" w:rsidRPr="002748AE" w:rsidRDefault="00D41138" w:rsidP="00F526B8">
      <w:pPr>
        <w:ind w:left="851"/>
        <w:rPr>
          <w:sz w:val="24"/>
          <w:szCs w:val="24"/>
        </w:rPr>
      </w:pPr>
      <w:r w:rsidRPr="002748AE">
        <w:rPr>
          <w:sz w:val="24"/>
          <w:szCs w:val="24"/>
        </w:rPr>
        <w:t xml:space="preserve">Ivacaftor, enten som monoterapi eller i et kombinationsregime med tezacaftor/ivacaftor, bør ikke anvendes til patienter i alderen 6 år og derover med svært nedsat leverfunktion, medmindre fordelene forventes at opveje risiciene. Disse patienter bør ikke behandles med ivacaftor i et kombinationsregime med ivacaftor/tezacaftor/elexacaftor (se tabel 3 i pkt. 4.2, pkt. 4.8 og 5.2). </w:t>
      </w:r>
    </w:p>
    <w:p w14:paraId="7B0AFC0B" w14:textId="77777777" w:rsidR="00D41138" w:rsidRPr="002748AE" w:rsidRDefault="00D41138" w:rsidP="00F526B8">
      <w:pPr>
        <w:ind w:left="851"/>
        <w:rPr>
          <w:sz w:val="24"/>
          <w:szCs w:val="24"/>
        </w:rPr>
      </w:pPr>
      <w:r w:rsidRPr="002748AE">
        <w:rPr>
          <w:sz w:val="24"/>
          <w:szCs w:val="24"/>
        </w:rPr>
        <w:t xml:space="preserve"> </w:t>
      </w:r>
    </w:p>
    <w:p w14:paraId="6F7423CF" w14:textId="77777777" w:rsidR="00D41138" w:rsidRPr="002748AE" w:rsidRDefault="00D41138" w:rsidP="00F526B8">
      <w:pPr>
        <w:ind w:left="851"/>
        <w:rPr>
          <w:sz w:val="24"/>
          <w:szCs w:val="24"/>
        </w:rPr>
      </w:pPr>
      <w:r w:rsidRPr="002748AE">
        <w:rPr>
          <w:sz w:val="24"/>
          <w:szCs w:val="24"/>
        </w:rPr>
        <w:t xml:space="preserve">Ivacaftor i et kombinationsregime med ivacaftor/tezacaftor/elexacaftor bør ikke anvendes til patienter i alderen 6 år og derover med moderat nedsat leverfunktion. Behandling bør kun overvejes, hvis der er et klart medicinsk behov, og fordelene forventes at opveje risiciene. Hvis det anvendes, skal det ske med forsigtighed ved en reduceret dosis (se tabel 3 i pkt. 4.2, pkt. 4.8 og 5.2). </w:t>
      </w:r>
    </w:p>
    <w:p w14:paraId="558EB91B" w14:textId="77777777" w:rsidR="00D41138" w:rsidRPr="002748AE" w:rsidRDefault="00D41138" w:rsidP="00F526B8">
      <w:pPr>
        <w:ind w:left="851"/>
        <w:rPr>
          <w:sz w:val="24"/>
          <w:szCs w:val="24"/>
        </w:rPr>
      </w:pPr>
      <w:r w:rsidRPr="002748AE">
        <w:rPr>
          <w:sz w:val="24"/>
          <w:szCs w:val="24"/>
        </w:rPr>
        <w:t xml:space="preserve"> </w:t>
      </w:r>
    </w:p>
    <w:p w14:paraId="5F6012DA" w14:textId="77777777" w:rsidR="00D41138" w:rsidRPr="002748AE" w:rsidRDefault="00D41138" w:rsidP="00F526B8">
      <w:pPr>
        <w:ind w:left="851"/>
        <w:rPr>
          <w:sz w:val="24"/>
          <w:szCs w:val="24"/>
        </w:rPr>
      </w:pPr>
      <w:r w:rsidRPr="002748AE">
        <w:rPr>
          <w:sz w:val="24"/>
          <w:szCs w:val="24"/>
          <w:u w:val="single"/>
        </w:rPr>
        <w:t>Depression</w:t>
      </w:r>
      <w:r w:rsidRPr="002748AE">
        <w:rPr>
          <w:sz w:val="24"/>
          <w:szCs w:val="24"/>
        </w:rPr>
        <w:t xml:space="preserve">  </w:t>
      </w:r>
    </w:p>
    <w:p w14:paraId="03C0316E" w14:textId="77777777" w:rsidR="00D41138" w:rsidRPr="002748AE" w:rsidRDefault="00D41138" w:rsidP="00F526B8">
      <w:pPr>
        <w:ind w:left="851"/>
        <w:rPr>
          <w:sz w:val="24"/>
          <w:szCs w:val="24"/>
        </w:rPr>
      </w:pPr>
      <w:r w:rsidRPr="002748AE">
        <w:rPr>
          <w:sz w:val="24"/>
          <w:szCs w:val="24"/>
        </w:rPr>
        <w:t xml:space="preserve"> </w:t>
      </w:r>
    </w:p>
    <w:p w14:paraId="7F350294" w14:textId="77777777" w:rsidR="00D41138" w:rsidRPr="002748AE" w:rsidRDefault="00D41138" w:rsidP="00F526B8">
      <w:pPr>
        <w:ind w:left="851"/>
        <w:rPr>
          <w:sz w:val="24"/>
          <w:szCs w:val="24"/>
        </w:rPr>
      </w:pPr>
      <w:r w:rsidRPr="002748AE">
        <w:rPr>
          <w:sz w:val="24"/>
          <w:szCs w:val="24"/>
        </w:rPr>
        <w:t xml:space="preserve">Der er rapporteret depression (herunder selvmordstanker og selvmordsforsøg) hos patienter i behandling med ivacaftor, hovedsagelig i et kombinationsregime med tezacaftor/ivacaftor eller ivacaftor/tezacaftor/elexacaftor, som sædvanligvis forekom inden for 3 måneder fra behandlingsstart og hos patienter med psykiske forstyrrelser i anamnesen. I nogle tilfælde blev der rapporteret symptomforbedring efter dosisreduktion eller behandlingsseponering. Patienter (og plejere) skal gøres opmærksomme på, at de skal overvåge for nedtrykthed, selvmordstanker eller usædvanlige ændringer i adfærd og straks søge lægehjælp, hvis disse symptomer opstår. </w:t>
      </w:r>
    </w:p>
    <w:p w14:paraId="2FB0DBC2" w14:textId="77777777" w:rsidR="00D41138" w:rsidRPr="002748AE" w:rsidRDefault="00D41138" w:rsidP="00F526B8">
      <w:pPr>
        <w:ind w:left="851"/>
        <w:rPr>
          <w:sz w:val="24"/>
          <w:szCs w:val="24"/>
        </w:rPr>
      </w:pPr>
      <w:r w:rsidRPr="002748AE">
        <w:rPr>
          <w:sz w:val="24"/>
          <w:szCs w:val="24"/>
        </w:rPr>
        <w:t xml:space="preserve"> </w:t>
      </w:r>
    </w:p>
    <w:p w14:paraId="2EEB5BD9" w14:textId="77777777" w:rsidR="00D41138" w:rsidRPr="002748AE" w:rsidRDefault="00D41138" w:rsidP="00F526B8">
      <w:pPr>
        <w:ind w:left="851"/>
        <w:rPr>
          <w:sz w:val="24"/>
          <w:szCs w:val="24"/>
        </w:rPr>
      </w:pPr>
      <w:r w:rsidRPr="002748AE">
        <w:rPr>
          <w:sz w:val="24"/>
          <w:szCs w:val="24"/>
          <w:u w:val="single"/>
        </w:rPr>
        <w:t>Nedsat nyrefunktion</w:t>
      </w:r>
      <w:r w:rsidRPr="002748AE">
        <w:rPr>
          <w:sz w:val="24"/>
          <w:szCs w:val="24"/>
        </w:rPr>
        <w:t xml:space="preserve"> </w:t>
      </w:r>
    </w:p>
    <w:p w14:paraId="162F5A6B" w14:textId="77777777" w:rsidR="00D41138" w:rsidRPr="002748AE" w:rsidRDefault="00D41138" w:rsidP="00F526B8">
      <w:pPr>
        <w:ind w:left="851"/>
        <w:rPr>
          <w:sz w:val="24"/>
          <w:szCs w:val="24"/>
        </w:rPr>
      </w:pPr>
      <w:r w:rsidRPr="002748AE">
        <w:rPr>
          <w:sz w:val="24"/>
          <w:szCs w:val="24"/>
        </w:rPr>
        <w:t xml:space="preserve"> </w:t>
      </w:r>
    </w:p>
    <w:p w14:paraId="31AC7265" w14:textId="77777777" w:rsidR="00D41138" w:rsidRPr="002748AE" w:rsidRDefault="00D41138" w:rsidP="00F526B8">
      <w:pPr>
        <w:ind w:left="851"/>
        <w:rPr>
          <w:sz w:val="24"/>
          <w:szCs w:val="24"/>
        </w:rPr>
      </w:pPr>
      <w:r w:rsidRPr="002748AE">
        <w:rPr>
          <w:sz w:val="24"/>
          <w:szCs w:val="24"/>
        </w:rPr>
        <w:t xml:space="preserve">Der bør udvises forsigtighed, når ivacaftor anvendes til patienter med svært nedsat nyrefunktion eller med nyresygdom i slutstadiet (se pkt. 4.2 og 5.2). </w:t>
      </w:r>
    </w:p>
    <w:p w14:paraId="3FAD5705" w14:textId="77777777" w:rsidR="00D41138" w:rsidRPr="002748AE" w:rsidRDefault="00D41138" w:rsidP="00F526B8">
      <w:pPr>
        <w:ind w:left="851"/>
        <w:rPr>
          <w:sz w:val="24"/>
          <w:szCs w:val="24"/>
        </w:rPr>
      </w:pPr>
      <w:r w:rsidRPr="002748AE">
        <w:rPr>
          <w:sz w:val="24"/>
          <w:szCs w:val="24"/>
        </w:rPr>
        <w:t xml:space="preserve"> </w:t>
      </w:r>
    </w:p>
    <w:p w14:paraId="77F03BD8" w14:textId="77777777" w:rsidR="00D41138" w:rsidRPr="002748AE" w:rsidRDefault="00D41138" w:rsidP="00F526B8">
      <w:pPr>
        <w:ind w:left="851"/>
        <w:rPr>
          <w:sz w:val="24"/>
          <w:szCs w:val="24"/>
        </w:rPr>
      </w:pPr>
      <w:r w:rsidRPr="002748AE">
        <w:rPr>
          <w:sz w:val="24"/>
          <w:szCs w:val="24"/>
          <w:u w:val="single"/>
        </w:rPr>
        <w:t>Mutationer, der sandsynligvis ikke responderer på modulatorterapi</w:t>
      </w:r>
      <w:r w:rsidRPr="002748AE">
        <w:rPr>
          <w:sz w:val="24"/>
          <w:szCs w:val="24"/>
        </w:rPr>
        <w:t xml:space="preserve"> </w:t>
      </w:r>
    </w:p>
    <w:p w14:paraId="5634D649" w14:textId="77777777" w:rsidR="00D41138" w:rsidRPr="002748AE" w:rsidRDefault="00D41138" w:rsidP="00F526B8">
      <w:pPr>
        <w:ind w:left="851"/>
        <w:rPr>
          <w:sz w:val="24"/>
          <w:szCs w:val="24"/>
        </w:rPr>
      </w:pPr>
      <w:r w:rsidRPr="002748AE">
        <w:rPr>
          <w:i/>
          <w:sz w:val="24"/>
          <w:szCs w:val="24"/>
        </w:rPr>
        <w:t xml:space="preserve"> </w:t>
      </w:r>
    </w:p>
    <w:p w14:paraId="440DA26F" w14:textId="77777777" w:rsidR="00D41138" w:rsidRPr="002748AE" w:rsidRDefault="00D41138" w:rsidP="00F526B8">
      <w:pPr>
        <w:ind w:left="851"/>
        <w:rPr>
          <w:sz w:val="24"/>
          <w:szCs w:val="24"/>
        </w:rPr>
      </w:pPr>
      <w:r w:rsidRPr="002748AE">
        <w:rPr>
          <w:sz w:val="24"/>
          <w:szCs w:val="24"/>
        </w:rPr>
        <w:t xml:space="preserve">Patienter med en genotype bestående af to </w:t>
      </w:r>
      <w:r w:rsidRPr="002748AE">
        <w:rPr>
          <w:i/>
          <w:sz w:val="24"/>
          <w:szCs w:val="24"/>
        </w:rPr>
        <w:t>CFTR</w:t>
      </w:r>
      <w:r w:rsidRPr="002748AE">
        <w:rPr>
          <w:sz w:val="24"/>
          <w:szCs w:val="24"/>
        </w:rPr>
        <w:t xml:space="preserve">-mutationer, der vides ikke at producere CFTR-protein (dvs. to klasse I-mutationer), forventes ikke at respondere på CFTR-modulatorterapi. </w:t>
      </w:r>
    </w:p>
    <w:p w14:paraId="5A1D5616" w14:textId="77777777" w:rsidR="00D41138" w:rsidRPr="002748AE" w:rsidRDefault="00D41138" w:rsidP="00F526B8">
      <w:pPr>
        <w:ind w:left="851"/>
        <w:rPr>
          <w:sz w:val="24"/>
          <w:szCs w:val="24"/>
        </w:rPr>
      </w:pPr>
      <w:r w:rsidRPr="002748AE">
        <w:rPr>
          <w:sz w:val="24"/>
          <w:szCs w:val="24"/>
        </w:rPr>
        <w:t xml:space="preserve"> </w:t>
      </w:r>
    </w:p>
    <w:p w14:paraId="327C7B0F" w14:textId="1E919CA2" w:rsidR="00D41138" w:rsidRPr="009420E8" w:rsidRDefault="00D41138" w:rsidP="00F526B8">
      <w:pPr>
        <w:ind w:left="851"/>
        <w:rPr>
          <w:sz w:val="24"/>
          <w:szCs w:val="24"/>
          <w:u w:val="single"/>
        </w:rPr>
      </w:pPr>
      <w:r w:rsidRPr="009420E8">
        <w:rPr>
          <w:sz w:val="24"/>
          <w:szCs w:val="24"/>
          <w:u w:val="single"/>
        </w:rPr>
        <w:t>Kliniske studier, der sammenligner ivacaftor/tezacaftor/elexacaftor med tezacaftor/iva</w:t>
      </w:r>
      <w:r w:rsidR="00BA22F2" w:rsidRPr="009420E8">
        <w:rPr>
          <w:sz w:val="24"/>
          <w:szCs w:val="24"/>
          <w:u w:val="single"/>
        </w:rPr>
        <w:softHyphen/>
      </w:r>
      <w:r w:rsidRPr="009420E8">
        <w:rPr>
          <w:sz w:val="24"/>
          <w:szCs w:val="24"/>
          <w:u w:val="single"/>
        </w:rPr>
        <w:t xml:space="preserve">caftor eller ivacaftor </w:t>
      </w:r>
    </w:p>
    <w:p w14:paraId="6C89CBF5" w14:textId="77777777" w:rsidR="00D41138" w:rsidRPr="002748AE" w:rsidRDefault="00D41138" w:rsidP="00F526B8">
      <w:pPr>
        <w:ind w:left="851"/>
        <w:rPr>
          <w:sz w:val="24"/>
          <w:szCs w:val="24"/>
        </w:rPr>
      </w:pPr>
      <w:r w:rsidRPr="002748AE">
        <w:rPr>
          <w:sz w:val="24"/>
          <w:szCs w:val="24"/>
        </w:rPr>
        <w:t xml:space="preserve"> </w:t>
      </w:r>
    </w:p>
    <w:p w14:paraId="7D626A37" w14:textId="5332B503" w:rsidR="00D41138" w:rsidRPr="002748AE" w:rsidRDefault="00D41138" w:rsidP="00F526B8">
      <w:pPr>
        <w:ind w:left="851"/>
        <w:rPr>
          <w:sz w:val="24"/>
          <w:szCs w:val="24"/>
        </w:rPr>
      </w:pPr>
      <w:r w:rsidRPr="002748AE">
        <w:rPr>
          <w:sz w:val="24"/>
          <w:szCs w:val="24"/>
        </w:rPr>
        <w:t>Der er ikke udført kliniske studier, der direkte sammenligner ivacaftor/tezacaftor/elexa</w:t>
      </w:r>
      <w:r w:rsidR="00BA22F2">
        <w:rPr>
          <w:sz w:val="24"/>
          <w:szCs w:val="24"/>
        </w:rPr>
        <w:softHyphen/>
      </w:r>
      <w:r w:rsidRPr="002748AE">
        <w:rPr>
          <w:sz w:val="24"/>
          <w:szCs w:val="24"/>
        </w:rPr>
        <w:t xml:space="preserve">caftor med tezacaftor/ivacaftor eller ivacaftor hos patienter, der ikke bærer </w:t>
      </w:r>
      <w:r w:rsidRPr="002748AE">
        <w:rPr>
          <w:i/>
          <w:sz w:val="24"/>
          <w:szCs w:val="24"/>
        </w:rPr>
        <w:t>F508del</w:t>
      </w:r>
      <w:r w:rsidRPr="002748AE">
        <w:rPr>
          <w:sz w:val="24"/>
          <w:szCs w:val="24"/>
        </w:rPr>
        <w:t xml:space="preserve">-varianter.  </w:t>
      </w:r>
    </w:p>
    <w:p w14:paraId="4391B5B1" w14:textId="77777777" w:rsidR="00D41138" w:rsidRPr="002748AE" w:rsidRDefault="00D41138" w:rsidP="00F526B8">
      <w:pPr>
        <w:ind w:left="851"/>
        <w:rPr>
          <w:sz w:val="24"/>
          <w:szCs w:val="24"/>
        </w:rPr>
      </w:pPr>
      <w:r w:rsidRPr="002748AE">
        <w:rPr>
          <w:sz w:val="24"/>
          <w:szCs w:val="24"/>
        </w:rPr>
        <w:t xml:space="preserve"> </w:t>
      </w:r>
    </w:p>
    <w:p w14:paraId="47F42EED" w14:textId="77777777" w:rsidR="00D41138" w:rsidRPr="002748AE" w:rsidRDefault="00D41138" w:rsidP="00F526B8">
      <w:pPr>
        <w:ind w:left="851"/>
        <w:rPr>
          <w:sz w:val="24"/>
          <w:szCs w:val="24"/>
        </w:rPr>
      </w:pPr>
      <w:r w:rsidRPr="002748AE">
        <w:rPr>
          <w:sz w:val="24"/>
          <w:szCs w:val="24"/>
          <w:u w:val="single"/>
        </w:rPr>
        <w:t>Patienter efter organtransplantation</w:t>
      </w:r>
    </w:p>
    <w:p w14:paraId="7DB91BF3" w14:textId="77777777" w:rsidR="00D41138" w:rsidRPr="002748AE" w:rsidRDefault="00D41138" w:rsidP="00F526B8">
      <w:pPr>
        <w:ind w:left="851"/>
        <w:rPr>
          <w:sz w:val="24"/>
          <w:szCs w:val="24"/>
        </w:rPr>
      </w:pPr>
    </w:p>
    <w:p w14:paraId="41724206" w14:textId="77777777" w:rsidR="00D41138" w:rsidRPr="002748AE" w:rsidRDefault="00D41138" w:rsidP="00F526B8">
      <w:pPr>
        <w:ind w:left="851"/>
        <w:rPr>
          <w:sz w:val="24"/>
          <w:szCs w:val="24"/>
        </w:rPr>
      </w:pPr>
      <w:r w:rsidRPr="002748AE">
        <w:rPr>
          <w:sz w:val="24"/>
          <w:szCs w:val="24"/>
        </w:rPr>
        <w:t xml:space="preserve">Ivacaftor er ikke blevet undersøgt hos patienter med CF, som har gennemgået organtransplantation. Derfor bør det ikke anvendes til patienter, der har gennemgået en transplantation. Se pkt. 4.5 for interaktioner med ciclosporin eller tacrolimus.  </w:t>
      </w:r>
    </w:p>
    <w:p w14:paraId="575BA6B0" w14:textId="60D16A8E" w:rsidR="00401ECA" w:rsidRDefault="00401ECA">
      <w:pPr>
        <w:rPr>
          <w:sz w:val="24"/>
          <w:szCs w:val="24"/>
        </w:rPr>
      </w:pPr>
      <w:r>
        <w:rPr>
          <w:sz w:val="24"/>
          <w:szCs w:val="24"/>
        </w:rPr>
        <w:br w:type="page"/>
      </w:r>
    </w:p>
    <w:p w14:paraId="5CF1A752" w14:textId="77777777" w:rsidR="00D41138" w:rsidRPr="002748AE" w:rsidRDefault="00D41138" w:rsidP="00F526B8">
      <w:pPr>
        <w:ind w:left="851"/>
        <w:rPr>
          <w:sz w:val="24"/>
          <w:szCs w:val="24"/>
        </w:rPr>
      </w:pPr>
    </w:p>
    <w:p w14:paraId="721684DA" w14:textId="77777777" w:rsidR="00D41138" w:rsidRPr="002748AE" w:rsidRDefault="00D41138" w:rsidP="00F526B8">
      <w:pPr>
        <w:ind w:left="851"/>
        <w:rPr>
          <w:sz w:val="24"/>
          <w:szCs w:val="24"/>
        </w:rPr>
      </w:pPr>
      <w:r w:rsidRPr="002748AE">
        <w:rPr>
          <w:sz w:val="24"/>
          <w:szCs w:val="24"/>
          <w:u w:val="single"/>
        </w:rPr>
        <w:t>Udslætshændelser</w:t>
      </w:r>
      <w:r w:rsidRPr="002748AE">
        <w:rPr>
          <w:sz w:val="24"/>
          <w:szCs w:val="24"/>
        </w:rPr>
        <w:t xml:space="preserve"> </w:t>
      </w:r>
    </w:p>
    <w:p w14:paraId="64F39402" w14:textId="77777777" w:rsidR="00D41138" w:rsidRPr="002748AE" w:rsidRDefault="00D41138" w:rsidP="00F526B8">
      <w:pPr>
        <w:ind w:left="851"/>
        <w:rPr>
          <w:sz w:val="24"/>
          <w:szCs w:val="24"/>
        </w:rPr>
      </w:pPr>
      <w:r w:rsidRPr="002748AE">
        <w:rPr>
          <w:sz w:val="24"/>
          <w:szCs w:val="24"/>
        </w:rPr>
        <w:t xml:space="preserve"> </w:t>
      </w:r>
    </w:p>
    <w:p w14:paraId="67190273" w14:textId="5B571CD7" w:rsidR="00D41138" w:rsidRPr="002748AE" w:rsidRDefault="00D41138" w:rsidP="00F526B8">
      <w:pPr>
        <w:ind w:left="851"/>
        <w:rPr>
          <w:sz w:val="24"/>
          <w:szCs w:val="24"/>
        </w:rPr>
      </w:pPr>
      <w:r w:rsidRPr="002748AE">
        <w:rPr>
          <w:sz w:val="24"/>
          <w:szCs w:val="24"/>
        </w:rPr>
        <w:t xml:space="preserve">Hyppigheden af udslætshændelser med ivacaftor i et kombinationsregime med ivacaftor/tezacaftor/elexacaftor var højere hos kvinder end hos mænd, især hos kvinder, der tog hormonel kontraception. Det kan ikke udelukkes, at hormonel kontraception spiller en rolle i forekomsten af udslæt. For patienter, der tager hormonel kontraception og udvikler udslæt, bør det overvejes at afbryde behandlingen med ivacaftor i et kombinationsregime med ivacaftor/tezacaftor/elexacaftor og hormonel kontraception. Når udslættet er forsvundet, bør det overvejes, om det er hensigtsmæssigt at genoptage ivacaftor i et kombinationsregime med ivacaftor/tezacaftor/elexacaftor uden hormonel kontraception. Hvis udslættet ikke kommer igen, kan genoptagelse af hormonel kontraception overvejes (se pkt. 4.8). </w:t>
      </w:r>
    </w:p>
    <w:p w14:paraId="457FD3D0" w14:textId="77777777" w:rsidR="00D41138" w:rsidRPr="002748AE" w:rsidRDefault="00D41138" w:rsidP="00F526B8">
      <w:pPr>
        <w:ind w:left="851"/>
        <w:rPr>
          <w:sz w:val="24"/>
          <w:szCs w:val="24"/>
        </w:rPr>
      </w:pPr>
      <w:r w:rsidRPr="002748AE">
        <w:rPr>
          <w:sz w:val="24"/>
          <w:szCs w:val="24"/>
        </w:rPr>
        <w:t xml:space="preserve"> </w:t>
      </w:r>
    </w:p>
    <w:p w14:paraId="53EDAAD4" w14:textId="77777777" w:rsidR="00D41138" w:rsidRPr="002748AE" w:rsidRDefault="00D41138" w:rsidP="00F526B8">
      <w:pPr>
        <w:ind w:left="851"/>
        <w:rPr>
          <w:sz w:val="24"/>
          <w:szCs w:val="24"/>
        </w:rPr>
      </w:pPr>
      <w:r w:rsidRPr="002748AE">
        <w:rPr>
          <w:sz w:val="24"/>
          <w:szCs w:val="24"/>
          <w:u w:val="single"/>
        </w:rPr>
        <w:t>Lægemiddelinteraktioner</w:t>
      </w:r>
      <w:r w:rsidRPr="002748AE">
        <w:rPr>
          <w:sz w:val="24"/>
          <w:szCs w:val="24"/>
        </w:rPr>
        <w:t xml:space="preserve"> </w:t>
      </w:r>
    </w:p>
    <w:p w14:paraId="5FBF5FCE" w14:textId="77777777" w:rsidR="00D41138" w:rsidRPr="002748AE" w:rsidRDefault="00D41138" w:rsidP="00F526B8">
      <w:pPr>
        <w:ind w:left="851"/>
        <w:rPr>
          <w:sz w:val="24"/>
          <w:szCs w:val="24"/>
        </w:rPr>
      </w:pPr>
      <w:r w:rsidRPr="002748AE">
        <w:rPr>
          <w:i/>
          <w:sz w:val="24"/>
          <w:szCs w:val="24"/>
        </w:rPr>
        <w:t xml:space="preserve"> </w:t>
      </w:r>
    </w:p>
    <w:p w14:paraId="4BCB450A" w14:textId="77777777" w:rsidR="00D41138" w:rsidRPr="002748AE" w:rsidRDefault="00D41138" w:rsidP="00F526B8">
      <w:pPr>
        <w:ind w:left="851"/>
        <w:rPr>
          <w:sz w:val="24"/>
          <w:szCs w:val="24"/>
        </w:rPr>
      </w:pPr>
      <w:r w:rsidRPr="002748AE">
        <w:rPr>
          <w:i/>
          <w:sz w:val="24"/>
          <w:szCs w:val="24"/>
        </w:rPr>
        <w:t xml:space="preserve">CYP3A-induktorer </w:t>
      </w:r>
    </w:p>
    <w:p w14:paraId="50247D5A" w14:textId="77777777" w:rsidR="00D41138" w:rsidRPr="002748AE" w:rsidRDefault="00D41138" w:rsidP="00F526B8">
      <w:pPr>
        <w:ind w:left="851"/>
        <w:rPr>
          <w:sz w:val="24"/>
          <w:szCs w:val="24"/>
        </w:rPr>
      </w:pPr>
      <w:r w:rsidRPr="002748AE">
        <w:rPr>
          <w:sz w:val="24"/>
          <w:szCs w:val="24"/>
        </w:rPr>
        <w:t xml:space="preserve">Eksponeringen for ivacaftor reduceres signifikant ved samtidig anvendelse af CYP3A-induktorer, hvilket muligvis resulterer i nedsat virkning af ivacaftor, derfor bør ivacaftor ikke administreres sammen med potente CYP3A-induktorer (se pkt. 4.5). </w:t>
      </w:r>
    </w:p>
    <w:p w14:paraId="22E9D50A" w14:textId="77777777" w:rsidR="00D41138" w:rsidRPr="002748AE" w:rsidRDefault="00D41138" w:rsidP="00F526B8">
      <w:pPr>
        <w:ind w:left="851"/>
        <w:rPr>
          <w:sz w:val="24"/>
          <w:szCs w:val="24"/>
        </w:rPr>
      </w:pPr>
      <w:r w:rsidRPr="002748AE">
        <w:rPr>
          <w:sz w:val="24"/>
          <w:szCs w:val="24"/>
        </w:rPr>
        <w:t xml:space="preserve"> </w:t>
      </w:r>
    </w:p>
    <w:p w14:paraId="7F9EB752" w14:textId="77777777" w:rsidR="00D41138" w:rsidRPr="002748AE" w:rsidRDefault="00D41138" w:rsidP="00F526B8">
      <w:pPr>
        <w:ind w:left="851"/>
        <w:rPr>
          <w:sz w:val="24"/>
          <w:szCs w:val="24"/>
        </w:rPr>
      </w:pPr>
      <w:r w:rsidRPr="002748AE">
        <w:rPr>
          <w:i/>
          <w:sz w:val="24"/>
          <w:szCs w:val="24"/>
        </w:rPr>
        <w:t>CYP3A-hæmmere</w:t>
      </w:r>
    </w:p>
    <w:p w14:paraId="06EBCB10" w14:textId="77777777" w:rsidR="00D41138" w:rsidRPr="002748AE" w:rsidRDefault="00D41138" w:rsidP="00F526B8">
      <w:pPr>
        <w:ind w:left="851"/>
        <w:rPr>
          <w:sz w:val="24"/>
          <w:szCs w:val="24"/>
        </w:rPr>
      </w:pPr>
      <w:r w:rsidRPr="002748AE">
        <w:rPr>
          <w:sz w:val="24"/>
          <w:szCs w:val="24"/>
        </w:rPr>
        <w:t xml:space="preserve">Eksponeringen for ivacaftor, tezacaftor og elexacaftor forøges ved administration sammen med potente eller moderate CYP3A-hæmmere. Dosis af ivacaftor skal justeres ved anvendelse sammen med potente eller moderate CYP3A-hæmmere (se tabel 2 i pkt. 4.2 og pkt. 4.5).  </w:t>
      </w:r>
    </w:p>
    <w:p w14:paraId="1ED9EB79" w14:textId="77777777" w:rsidR="00D41138" w:rsidRPr="002748AE" w:rsidRDefault="00D41138" w:rsidP="00F526B8">
      <w:pPr>
        <w:ind w:left="851"/>
        <w:rPr>
          <w:sz w:val="24"/>
          <w:szCs w:val="24"/>
        </w:rPr>
      </w:pPr>
      <w:r w:rsidRPr="002748AE">
        <w:rPr>
          <w:sz w:val="24"/>
          <w:szCs w:val="24"/>
        </w:rPr>
        <w:t xml:space="preserve"> </w:t>
      </w:r>
    </w:p>
    <w:p w14:paraId="292B3F73" w14:textId="77777777" w:rsidR="00D41138" w:rsidRPr="002748AE" w:rsidRDefault="00D41138" w:rsidP="00F526B8">
      <w:pPr>
        <w:ind w:left="851"/>
        <w:rPr>
          <w:sz w:val="24"/>
          <w:szCs w:val="24"/>
        </w:rPr>
      </w:pPr>
      <w:r w:rsidRPr="002748AE">
        <w:rPr>
          <w:sz w:val="24"/>
          <w:szCs w:val="24"/>
          <w:u w:val="single"/>
        </w:rPr>
        <w:t>Pædiatrisk population</w:t>
      </w:r>
      <w:r w:rsidRPr="002748AE">
        <w:rPr>
          <w:sz w:val="24"/>
          <w:szCs w:val="24"/>
        </w:rPr>
        <w:t xml:space="preserve"> </w:t>
      </w:r>
    </w:p>
    <w:p w14:paraId="7B2DE4FB" w14:textId="77777777" w:rsidR="00D41138" w:rsidRPr="002748AE" w:rsidRDefault="00D41138" w:rsidP="00F526B8">
      <w:pPr>
        <w:ind w:left="851"/>
        <w:rPr>
          <w:sz w:val="24"/>
          <w:szCs w:val="24"/>
        </w:rPr>
      </w:pPr>
      <w:r w:rsidRPr="002748AE">
        <w:rPr>
          <w:sz w:val="24"/>
          <w:szCs w:val="24"/>
        </w:rPr>
        <w:t xml:space="preserve"> </w:t>
      </w:r>
    </w:p>
    <w:p w14:paraId="2AB678F5" w14:textId="77777777" w:rsidR="00D41138" w:rsidRPr="002748AE" w:rsidRDefault="00D41138" w:rsidP="00F526B8">
      <w:pPr>
        <w:ind w:left="851"/>
        <w:rPr>
          <w:sz w:val="24"/>
          <w:szCs w:val="24"/>
        </w:rPr>
      </w:pPr>
      <w:r w:rsidRPr="002748AE">
        <w:rPr>
          <w:sz w:val="24"/>
          <w:szCs w:val="24"/>
        </w:rPr>
        <w:t>Tilfælde af ikke medfødte uigennemsigtigheder af linsen/grå stær, der ikke påvirker synet, er blevet rapporteret hos pædiatriske patienter i behandling med ivacaftor og ivacaftor-indeholdende regimer. Selvom andre risikofaktorer var til stede i nogle tilfælde (såsom anvendelse af kortikosteroider og eksponering for stråling), kan det ikke udelukkes, at en mulig risiko kan tilskrives behandlingen med ivacaftor. Oftalmologiske undersøgelser ved</w:t>
      </w:r>
      <w:r w:rsidRPr="002748AE">
        <w:rPr>
          <w:i/>
          <w:sz w:val="24"/>
          <w:szCs w:val="24"/>
        </w:rPr>
        <w:t xml:space="preserve"> </w:t>
      </w:r>
      <w:r w:rsidRPr="002748AE">
        <w:rPr>
          <w:sz w:val="24"/>
          <w:szCs w:val="24"/>
        </w:rPr>
        <w:t xml:space="preserve">start af behandlingen og som opfølgning anbefales hos pædiatriske patienter, der påbegynder behandling med ivacaftor (se pkt. 5.3). </w:t>
      </w:r>
    </w:p>
    <w:p w14:paraId="354B0793" w14:textId="77777777" w:rsidR="00D41138" w:rsidRPr="002748AE" w:rsidRDefault="00D41138" w:rsidP="00F526B8">
      <w:pPr>
        <w:ind w:left="851"/>
        <w:rPr>
          <w:sz w:val="24"/>
          <w:szCs w:val="24"/>
        </w:rPr>
      </w:pPr>
    </w:p>
    <w:p w14:paraId="1A6E7190" w14:textId="77777777" w:rsidR="00D41138" w:rsidRPr="002748AE" w:rsidRDefault="00D41138" w:rsidP="00F526B8">
      <w:pPr>
        <w:ind w:left="851"/>
        <w:rPr>
          <w:iCs/>
          <w:sz w:val="24"/>
          <w:szCs w:val="24"/>
          <w:u w:val="single"/>
        </w:rPr>
      </w:pPr>
      <w:r w:rsidRPr="002748AE">
        <w:rPr>
          <w:iCs/>
          <w:sz w:val="24"/>
          <w:szCs w:val="24"/>
          <w:u w:val="single"/>
        </w:rPr>
        <w:t>Natrium</w:t>
      </w:r>
    </w:p>
    <w:p w14:paraId="1A076F04" w14:textId="77777777" w:rsidR="00D41138" w:rsidRPr="002748AE" w:rsidRDefault="00D41138" w:rsidP="00F526B8">
      <w:pPr>
        <w:ind w:left="851"/>
        <w:rPr>
          <w:iCs/>
          <w:sz w:val="24"/>
          <w:szCs w:val="24"/>
          <w:u w:val="single"/>
        </w:rPr>
      </w:pPr>
    </w:p>
    <w:p w14:paraId="2A3AADCB" w14:textId="77777777" w:rsidR="00D41138" w:rsidRPr="002748AE" w:rsidRDefault="00D41138" w:rsidP="00F526B8">
      <w:pPr>
        <w:ind w:left="851"/>
        <w:rPr>
          <w:sz w:val="24"/>
          <w:szCs w:val="24"/>
        </w:rPr>
      </w:pPr>
      <w:r w:rsidRPr="002748AE">
        <w:rPr>
          <w:sz w:val="24"/>
          <w:szCs w:val="24"/>
        </w:rPr>
        <w:t xml:space="preserve">Dette lægemiddel indeholder mindre end 1 mmol (23 mg) natrium pr. tablet, dvs. det er i det væsentlige natriumfrit. </w:t>
      </w:r>
    </w:p>
    <w:p w14:paraId="7A5C85D6" w14:textId="77777777" w:rsidR="009260DE" w:rsidRPr="002748AE" w:rsidRDefault="009260DE" w:rsidP="009260DE">
      <w:pPr>
        <w:tabs>
          <w:tab w:val="left" w:pos="851"/>
        </w:tabs>
        <w:ind w:left="851"/>
        <w:rPr>
          <w:sz w:val="24"/>
          <w:szCs w:val="24"/>
        </w:rPr>
      </w:pPr>
    </w:p>
    <w:p w14:paraId="4A8765A4" w14:textId="77777777" w:rsidR="009260DE" w:rsidRPr="002748AE" w:rsidRDefault="009260DE" w:rsidP="009260DE">
      <w:pPr>
        <w:tabs>
          <w:tab w:val="left" w:pos="851"/>
        </w:tabs>
        <w:ind w:left="851" w:hanging="851"/>
        <w:rPr>
          <w:b/>
          <w:sz w:val="24"/>
          <w:szCs w:val="24"/>
        </w:rPr>
      </w:pPr>
      <w:r w:rsidRPr="002748AE">
        <w:rPr>
          <w:b/>
          <w:sz w:val="24"/>
          <w:szCs w:val="24"/>
        </w:rPr>
        <w:t>4.5</w:t>
      </w:r>
      <w:r w:rsidRPr="002748AE">
        <w:rPr>
          <w:b/>
          <w:sz w:val="24"/>
          <w:szCs w:val="24"/>
        </w:rPr>
        <w:tab/>
        <w:t>Interaktion med andre lægemidler og andre former for interaktion</w:t>
      </w:r>
    </w:p>
    <w:p w14:paraId="770A0C93" w14:textId="37FA3B66" w:rsidR="00D41138" w:rsidRPr="002748AE" w:rsidRDefault="00D41138" w:rsidP="00F526B8">
      <w:pPr>
        <w:ind w:left="851"/>
        <w:rPr>
          <w:sz w:val="24"/>
          <w:szCs w:val="24"/>
          <w:lang w:eastAsia="da-DK"/>
        </w:rPr>
      </w:pPr>
      <w:r w:rsidRPr="002748AE">
        <w:rPr>
          <w:sz w:val="24"/>
          <w:szCs w:val="24"/>
        </w:rPr>
        <w:t xml:space="preserve">Ivacaftor er et substrat for CYP3A4 og CYP3A5. Det er en svag hæmmer af CYP3A og P-glycoprotein (P-gp) og en potentiel hæmmer af CYP2C9. </w:t>
      </w:r>
      <w:r w:rsidRPr="002748AE">
        <w:rPr>
          <w:i/>
          <w:sz w:val="24"/>
          <w:szCs w:val="24"/>
        </w:rPr>
        <w:t>In vitro</w:t>
      </w:r>
      <w:r w:rsidRPr="002748AE">
        <w:rPr>
          <w:sz w:val="24"/>
          <w:szCs w:val="24"/>
        </w:rPr>
        <w:t>-studier har vist, at ivacaftor ikke er et substrat for P-gp.</w:t>
      </w:r>
    </w:p>
    <w:p w14:paraId="57915A9D" w14:textId="3DACD78C" w:rsidR="00401ECA" w:rsidRDefault="00401ECA">
      <w:pPr>
        <w:rPr>
          <w:sz w:val="24"/>
          <w:szCs w:val="24"/>
        </w:rPr>
      </w:pPr>
      <w:r>
        <w:rPr>
          <w:sz w:val="24"/>
          <w:szCs w:val="24"/>
        </w:rPr>
        <w:br w:type="page"/>
      </w:r>
    </w:p>
    <w:p w14:paraId="2AD5D8C6" w14:textId="77777777" w:rsidR="00D41138" w:rsidRPr="002748AE" w:rsidRDefault="00D41138" w:rsidP="00F526B8">
      <w:pPr>
        <w:ind w:left="851"/>
        <w:rPr>
          <w:sz w:val="24"/>
          <w:szCs w:val="24"/>
        </w:rPr>
      </w:pPr>
    </w:p>
    <w:p w14:paraId="7E4E1292" w14:textId="77777777" w:rsidR="00D41138" w:rsidRPr="002748AE" w:rsidRDefault="00D41138" w:rsidP="00F526B8">
      <w:pPr>
        <w:ind w:left="851"/>
        <w:rPr>
          <w:sz w:val="24"/>
          <w:szCs w:val="24"/>
        </w:rPr>
      </w:pPr>
      <w:r w:rsidRPr="002748AE">
        <w:rPr>
          <w:sz w:val="24"/>
          <w:szCs w:val="24"/>
          <w:u w:val="single"/>
        </w:rPr>
        <w:t>Lægemidler, der påvirker farmakokinetikken for ivacaftor</w:t>
      </w:r>
      <w:r w:rsidRPr="002748AE">
        <w:rPr>
          <w:sz w:val="24"/>
          <w:szCs w:val="24"/>
        </w:rPr>
        <w:t xml:space="preserve"> </w:t>
      </w:r>
    </w:p>
    <w:p w14:paraId="142B6D91" w14:textId="77777777" w:rsidR="00D41138" w:rsidRPr="002748AE" w:rsidRDefault="00D41138" w:rsidP="00F526B8">
      <w:pPr>
        <w:ind w:left="851"/>
        <w:rPr>
          <w:sz w:val="24"/>
          <w:szCs w:val="24"/>
        </w:rPr>
      </w:pPr>
      <w:r w:rsidRPr="002748AE">
        <w:rPr>
          <w:sz w:val="24"/>
          <w:szCs w:val="24"/>
        </w:rPr>
        <w:t xml:space="preserve"> </w:t>
      </w:r>
    </w:p>
    <w:p w14:paraId="61171756" w14:textId="77777777" w:rsidR="00D41138" w:rsidRPr="002748AE" w:rsidRDefault="00D41138" w:rsidP="00F526B8">
      <w:pPr>
        <w:ind w:left="851"/>
        <w:rPr>
          <w:sz w:val="24"/>
          <w:szCs w:val="24"/>
        </w:rPr>
      </w:pPr>
      <w:r w:rsidRPr="002748AE">
        <w:rPr>
          <w:i/>
          <w:sz w:val="24"/>
          <w:szCs w:val="24"/>
        </w:rPr>
        <w:t>CYP3A-induktorer</w:t>
      </w:r>
    </w:p>
    <w:p w14:paraId="4DE718E8" w14:textId="77777777" w:rsidR="00D41138" w:rsidRPr="002748AE" w:rsidRDefault="00D41138" w:rsidP="00F526B8">
      <w:pPr>
        <w:ind w:left="851"/>
        <w:rPr>
          <w:sz w:val="24"/>
          <w:szCs w:val="24"/>
        </w:rPr>
      </w:pPr>
      <w:r w:rsidRPr="002748AE">
        <w:rPr>
          <w:sz w:val="24"/>
          <w:szCs w:val="24"/>
        </w:rPr>
        <w:t>Administration af ivacaftor sammen med rifampicin, en potent CYP3A-induktor, nedsatte eksponeringen for ivacaftor (AUC) med 89 % og nedsatte hydroxymethyl-ivacaftor (M1) i mindre grad end ivacaftor. Administration af ivacaftor sammen med potente CYP3A-induktorer, såsom rifampicin, rifabutin, phenobarbital, carbamazepin, phenytoin og perikon (</w:t>
      </w:r>
      <w:r w:rsidRPr="002748AE">
        <w:rPr>
          <w:i/>
          <w:sz w:val="24"/>
          <w:szCs w:val="24"/>
        </w:rPr>
        <w:t>Hypericum perforatum</w:t>
      </w:r>
      <w:r w:rsidRPr="002748AE">
        <w:rPr>
          <w:sz w:val="24"/>
          <w:szCs w:val="24"/>
        </w:rPr>
        <w:t xml:space="preserve">), bør undgås (se pkt. 4.4).  </w:t>
      </w:r>
    </w:p>
    <w:p w14:paraId="35B34DE1" w14:textId="77777777" w:rsidR="00D41138" w:rsidRPr="002748AE" w:rsidRDefault="00D41138" w:rsidP="00F526B8">
      <w:pPr>
        <w:ind w:left="851"/>
        <w:rPr>
          <w:sz w:val="24"/>
          <w:szCs w:val="24"/>
        </w:rPr>
      </w:pPr>
      <w:r w:rsidRPr="002748AE">
        <w:rPr>
          <w:sz w:val="24"/>
          <w:szCs w:val="24"/>
        </w:rPr>
        <w:t xml:space="preserve"> </w:t>
      </w:r>
    </w:p>
    <w:p w14:paraId="3ABF8329" w14:textId="77777777" w:rsidR="00D41138" w:rsidRPr="002748AE" w:rsidRDefault="00D41138" w:rsidP="00F526B8">
      <w:pPr>
        <w:ind w:left="851"/>
        <w:rPr>
          <w:sz w:val="24"/>
          <w:szCs w:val="24"/>
        </w:rPr>
      </w:pPr>
      <w:r w:rsidRPr="002748AE">
        <w:rPr>
          <w:sz w:val="24"/>
          <w:szCs w:val="24"/>
        </w:rPr>
        <w:t xml:space="preserve">Ingen dosisjustering er nødvendig, når ivacaftor anvendes sammen med moderate eller svage CYP3A-induktorer.  </w:t>
      </w:r>
    </w:p>
    <w:p w14:paraId="60178E3D" w14:textId="77777777" w:rsidR="00D41138" w:rsidRPr="002748AE" w:rsidRDefault="00D41138" w:rsidP="00F526B8">
      <w:pPr>
        <w:ind w:left="851"/>
        <w:rPr>
          <w:sz w:val="24"/>
          <w:szCs w:val="24"/>
        </w:rPr>
      </w:pPr>
      <w:r w:rsidRPr="002748AE">
        <w:rPr>
          <w:sz w:val="24"/>
          <w:szCs w:val="24"/>
        </w:rPr>
        <w:t xml:space="preserve"> </w:t>
      </w:r>
    </w:p>
    <w:p w14:paraId="02B8ABE8" w14:textId="77777777" w:rsidR="00D41138" w:rsidRPr="002748AE" w:rsidRDefault="00D41138" w:rsidP="00F526B8">
      <w:pPr>
        <w:ind w:left="851"/>
        <w:rPr>
          <w:sz w:val="24"/>
          <w:szCs w:val="24"/>
        </w:rPr>
      </w:pPr>
      <w:r w:rsidRPr="002748AE">
        <w:rPr>
          <w:i/>
          <w:sz w:val="24"/>
          <w:szCs w:val="24"/>
        </w:rPr>
        <w:t>CYP3A-hæmmere</w:t>
      </w:r>
    </w:p>
    <w:p w14:paraId="01A78C6C" w14:textId="77777777" w:rsidR="00D41138" w:rsidRPr="002748AE" w:rsidRDefault="00D41138" w:rsidP="00F526B8">
      <w:pPr>
        <w:ind w:left="851"/>
        <w:rPr>
          <w:sz w:val="24"/>
          <w:szCs w:val="24"/>
        </w:rPr>
      </w:pPr>
      <w:r w:rsidRPr="002748AE">
        <w:rPr>
          <w:sz w:val="24"/>
          <w:szCs w:val="24"/>
        </w:rPr>
        <w:t xml:space="preserve">Ivacaftor er et følsomt CYP3A-substrat. Administration sammen med ketoconazol, en potent CYP3Ahæmmer, øgede eksponeringen for ivacaftor (målt som arealet under kurven [AUC]) 8,5 gange og øgede M1 i mindre grad end ivacaftor. Reduktion af ivacaftor-dosis anbefales ved administration sammen med potente CYP3A-hæmmere, såsom ketoconazol, itraconazol, posaconazol, voriconazol, telithromycin og clarithromycin (se tabel 2 i pkt. 4.2 og pkt. 4.4). </w:t>
      </w:r>
    </w:p>
    <w:p w14:paraId="13C2B400" w14:textId="77777777" w:rsidR="00D41138" w:rsidRPr="002748AE" w:rsidRDefault="00D41138" w:rsidP="00F526B8">
      <w:pPr>
        <w:ind w:left="851"/>
        <w:rPr>
          <w:sz w:val="24"/>
          <w:szCs w:val="24"/>
        </w:rPr>
      </w:pPr>
      <w:r w:rsidRPr="002748AE">
        <w:rPr>
          <w:sz w:val="24"/>
          <w:szCs w:val="24"/>
        </w:rPr>
        <w:t xml:space="preserve"> </w:t>
      </w:r>
    </w:p>
    <w:p w14:paraId="2F802748" w14:textId="77777777" w:rsidR="00D41138" w:rsidRPr="002748AE" w:rsidRDefault="00D41138" w:rsidP="00F526B8">
      <w:pPr>
        <w:ind w:left="851"/>
        <w:rPr>
          <w:sz w:val="24"/>
          <w:szCs w:val="24"/>
        </w:rPr>
      </w:pPr>
      <w:r w:rsidRPr="002748AE">
        <w:rPr>
          <w:sz w:val="24"/>
          <w:szCs w:val="24"/>
        </w:rPr>
        <w:t xml:space="preserve">Administration sammen med fluconazol, en moderat CYP3A-hæmmer, øgede eksponeringen for ivacaftor 3 gange og øgede M1 i mindre grad end ivacaftor. Reduktion af ivacaftor-dosis anbefales til patienter, der samtidig behandles med moderate CYP3A-hæmmere, såsom fluconazol, erythromycin og verapamil (se tabel 2 i pkt. 4.2 og pkt. 4.4).  </w:t>
      </w:r>
    </w:p>
    <w:p w14:paraId="626FC037" w14:textId="77777777" w:rsidR="00D41138" w:rsidRPr="002748AE" w:rsidRDefault="00D41138" w:rsidP="00F526B8">
      <w:pPr>
        <w:ind w:left="851"/>
        <w:rPr>
          <w:sz w:val="24"/>
          <w:szCs w:val="24"/>
        </w:rPr>
      </w:pPr>
      <w:r w:rsidRPr="002748AE">
        <w:rPr>
          <w:sz w:val="24"/>
          <w:szCs w:val="24"/>
        </w:rPr>
        <w:t xml:space="preserve"> </w:t>
      </w:r>
    </w:p>
    <w:p w14:paraId="742DDFD5" w14:textId="77777777" w:rsidR="00D41138" w:rsidRPr="002748AE" w:rsidRDefault="00D41138" w:rsidP="00F526B8">
      <w:pPr>
        <w:ind w:left="851"/>
        <w:rPr>
          <w:sz w:val="24"/>
          <w:szCs w:val="24"/>
        </w:rPr>
      </w:pPr>
      <w:r w:rsidRPr="002748AE">
        <w:rPr>
          <w:sz w:val="24"/>
          <w:szCs w:val="24"/>
        </w:rPr>
        <w:t xml:space="preserve">Administration af ivacaftor sammen med grapefrugtjuice, der indeholder et eller flere stoffer, som hæmmer CYP3A moderat, kan øge eksponeringen for ivacaftor. Mad eller drikke, der indeholder grapefrugt, bør undgås under behandling med ivacaftor (se pkt. 4.2). </w:t>
      </w:r>
    </w:p>
    <w:p w14:paraId="1EF0F720" w14:textId="77777777" w:rsidR="00D41138" w:rsidRPr="002748AE" w:rsidRDefault="00D41138" w:rsidP="00F526B8">
      <w:pPr>
        <w:ind w:left="851"/>
        <w:rPr>
          <w:sz w:val="24"/>
          <w:szCs w:val="24"/>
        </w:rPr>
      </w:pPr>
      <w:r w:rsidRPr="002748AE">
        <w:rPr>
          <w:sz w:val="24"/>
          <w:szCs w:val="24"/>
        </w:rPr>
        <w:t xml:space="preserve"> </w:t>
      </w:r>
    </w:p>
    <w:p w14:paraId="1D454D23" w14:textId="77777777" w:rsidR="00D41138" w:rsidRPr="002748AE" w:rsidRDefault="00D41138" w:rsidP="00F526B8">
      <w:pPr>
        <w:ind w:left="851"/>
        <w:rPr>
          <w:sz w:val="24"/>
          <w:szCs w:val="24"/>
        </w:rPr>
      </w:pPr>
      <w:r w:rsidRPr="002748AE">
        <w:rPr>
          <w:i/>
          <w:sz w:val="24"/>
          <w:szCs w:val="24"/>
        </w:rPr>
        <w:t>Ivacaftors potentiale til at interagere med transportører</w:t>
      </w:r>
    </w:p>
    <w:p w14:paraId="06ACE846" w14:textId="77777777" w:rsidR="00D41138" w:rsidRPr="002748AE" w:rsidRDefault="00D41138" w:rsidP="00F526B8">
      <w:pPr>
        <w:ind w:left="851"/>
        <w:rPr>
          <w:sz w:val="24"/>
          <w:szCs w:val="24"/>
        </w:rPr>
      </w:pPr>
      <w:r w:rsidRPr="002748AE">
        <w:rPr>
          <w:i/>
          <w:sz w:val="24"/>
          <w:szCs w:val="24"/>
        </w:rPr>
        <w:t>In vitro</w:t>
      </w:r>
      <w:r w:rsidRPr="002748AE">
        <w:rPr>
          <w:sz w:val="24"/>
          <w:szCs w:val="24"/>
        </w:rPr>
        <w:t xml:space="preserve">-studier har vist, at ivacaftor ikke er et substrat for OATP1B1 eller OATP1B3. Ivacaftor og dets metabolitter er substrater for BCRP </w:t>
      </w:r>
      <w:r w:rsidRPr="002748AE">
        <w:rPr>
          <w:i/>
          <w:sz w:val="24"/>
          <w:szCs w:val="24"/>
        </w:rPr>
        <w:t>in vitro</w:t>
      </w:r>
      <w:r w:rsidRPr="002748AE">
        <w:rPr>
          <w:sz w:val="24"/>
          <w:szCs w:val="24"/>
        </w:rPr>
        <w:t xml:space="preserve">. Som følge af den høje intrinsiske permeabilitet og lave sandsynlighed for at blive udskilt intakt forventes samtidig administration af BCRP-hæmmere ikke at ændre eksponeringen for ivacaftor og M1-IVA, mens potentielle ændringer i M6-IVA-eksponeringer ikke forventes at være klinisk relevante. </w:t>
      </w:r>
    </w:p>
    <w:p w14:paraId="32576D84" w14:textId="77777777" w:rsidR="00D41138" w:rsidRPr="002748AE" w:rsidRDefault="00D41138" w:rsidP="00F526B8">
      <w:pPr>
        <w:ind w:left="851"/>
        <w:rPr>
          <w:sz w:val="24"/>
          <w:szCs w:val="24"/>
        </w:rPr>
      </w:pPr>
      <w:r w:rsidRPr="002748AE">
        <w:rPr>
          <w:sz w:val="24"/>
          <w:szCs w:val="24"/>
        </w:rPr>
        <w:t xml:space="preserve"> </w:t>
      </w:r>
    </w:p>
    <w:p w14:paraId="5F11419C" w14:textId="77777777" w:rsidR="00D41138" w:rsidRPr="002748AE" w:rsidRDefault="00D41138" w:rsidP="00F526B8">
      <w:pPr>
        <w:ind w:left="851"/>
        <w:rPr>
          <w:sz w:val="24"/>
          <w:szCs w:val="24"/>
        </w:rPr>
      </w:pPr>
      <w:r w:rsidRPr="002748AE">
        <w:rPr>
          <w:i/>
          <w:sz w:val="24"/>
          <w:szCs w:val="24"/>
        </w:rPr>
        <w:t>Ciprofloxacin</w:t>
      </w:r>
    </w:p>
    <w:p w14:paraId="340EE3A6" w14:textId="77777777" w:rsidR="00D41138" w:rsidRPr="002748AE" w:rsidRDefault="00D41138" w:rsidP="00F526B8">
      <w:pPr>
        <w:ind w:left="851"/>
        <w:rPr>
          <w:sz w:val="24"/>
          <w:szCs w:val="24"/>
        </w:rPr>
      </w:pPr>
      <w:r w:rsidRPr="002748AE">
        <w:rPr>
          <w:sz w:val="24"/>
          <w:szCs w:val="24"/>
        </w:rPr>
        <w:t xml:space="preserve">Administration af ciprofloxacin sammen med ivacaftor påvirkede ikke eksponeringen for ivacaftor. Dosisjustering er ikke nødvendig, når ivacaftor administreres sammen med ciprofloxacin. </w:t>
      </w:r>
    </w:p>
    <w:p w14:paraId="3A403950" w14:textId="77777777" w:rsidR="00D41138" w:rsidRPr="002748AE" w:rsidRDefault="00D41138" w:rsidP="00F526B8">
      <w:pPr>
        <w:ind w:left="851"/>
        <w:rPr>
          <w:sz w:val="24"/>
          <w:szCs w:val="24"/>
        </w:rPr>
      </w:pPr>
      <w:r w:rsidRPr="002748AE">
        <w:rPr>
          <w:sz w:val="24"/>
          <w:szCs w:val="24"/>
        </w:rPr>
        <w:t xml:space="preserve"> </w:t>
      </w:r>
    </w:p>
    <w:p w14:paraId="4CE37C04" w14:textId="77777777" w:rsidR="00D41138" w:rsidRPr="002748AE" w:rsidRDefault="00D41138" w:rsidP="00F526B8">
      <w:pPr>
        <w:ind w:left="851"/>
        <w:rPr>
          <w:sz w:val="24"/>
          <w:szCs w:val="24"/>
        </w:rPr>
      </w:pPr>
      <w:r w:rsidRPr="002748AE">
        <w:rPr>
          <w:sz w:val="24"/>
          <w:szCs w:val="24"/>
          <w:u w:val="single"/>
        </w:rPr>
        <w:t>Lægemidler, der påvirkes af ivacaftor</w:t>
      </w:r>
      <w:r w:rsidRPr="002748AE">
        <w:rPr>
          <w:sz w:val="24"/>
          <w:szCs w:val="24"/>
        </w:rPr>
        <w:t xml:space="preserve"> </w:t>
      </w:r>
    </w:p>
    <w:p w14:paraId="4E198A02" w14:textId="77777777" w:rsidR="00D41138" w:rsidRPr="002748AE" w:rsidRDefault="00D41138" w:rsidP="00F526B8">
      <w:pPr>
        <w:ind w:left="851"/>
        <w:rPr>
          <w:sz w:val="24"/>
          <w:szCs w:val="24"/>
        </w:rPr>
      </w:pPr>
      <w:r w:rsidRPr="002748AE">
        <w:rPr>
          <w:sz w:val="24"/>
          <w:szCs w:val="24"/>
        </w:rPr>
        <w:t xml:space="preserve"> </w:t>
      </w:r>
    </w:p>
    <w:p w14:paraId="44D03F6D" w14:textId="77777777" w:rsidR="00D41138" w:rsidRPr="002748AE" w:rsidRDefault="00D41138" w:rsidP="00F526B8">
      <w:pPr>
        <w:ind w:left="851"/>
        <w:rPr>
          <w:sz w:val="24"/>
          <w:szCs w:val="24"/>
        </w:rPr>
      </w:pPr>
      <w:r w:rsidRPr="002748AE">
        <w:rPr>
          <w:sz w:val="24"/>
          <w:szCs w:val="24"/>
        </w:rPr>
        <w:t xml:space="preserve">Administration af ivacaftor kan forøge den systemiske eksponering af lægemidler, som er følsomme CYP2C9- og/eller P-gp- og/eller CYP3A-substrater, hvilket kan forøge eller forlænge deres terapeutiske virkning og bivirkninger. </w:t>
      </w:r>
    </w:p>
    <w:p w14:paraId="041E0421" w14:textId="52EFE40D" w:rsidR="00401ECA" w:rsidRDefault="00D41138" w:rsidP="00F526B8">
      <w:pPr>
        <w:ind w:left="851"/>
        <w:rPr>
          <w:sz w:val="24"/>
          <w:szCs w:val="24"/>
        </w:rPr>
      </w:pPr>
      <w:r w:rsidRPr="002748AE">
        <w:rPr>
          <w:sz w:val="24"/>
          <w:szCs w:val="24"/>
        </w:rPr>
        <w:t xml:space="preserve"> </w:t>
      </w:r>
    </w:p>
    <w:p w14:paraId="580C9612" w14:textId="77777777" w:rsidR="00401ECA" w:rsidRDefault="00401ECA">
      <w:pPr>
        <w:rPr>
          <w:sz w:val="24"/>
          <w:szCs w:val="24"/>
        </w:rPr>
      </w:pPr>
      <w:r>
        <w:rPr>
          <w:sz w:val="24"/>
          <w:szCs w:val="24"/>
        </w:rPr>
        <w:br w:type="page"/>
      </w:r>
    </w:p>
    <w:p w14:paraId="6F2754DF" w14:textId="77777777" w:rsidR="00D41138" w:rsidRPr="002748AE" w:rsidRDefault="00D41138" w:rsidP="00F526B8">
      <w:pPr>
        <w:ind w:left="851"/>
        <w:rPr>
          <w:sz w:val="24"/>
          <w:szCs w:val="24"/>
        </w:rPr>
      </w:pPr>
    </w:p>
    <w:p w14:paraId="0E911D10" w14:textId="77777777" w:rsidR="00D41138" w:rsidRPr="002748AE" w:rsidRDefault="00D41138" w:rsidP="00F526B8">
      <w:pPr>
        <w:ind w:left="851"/>
        <w:rPr>
          <w:sz w:val="24"/>
          <w:szCs w:val="24"/>
        </w:rPr>
      </w:pPr>
      <w:r w:rsidRPr="002748AE">
        <w:rPr>
          <w:i/>
          <w:sz w:val="24"/>
          <w:szCs w:val="24"/>
        </w:rPr>
        <w:t>CYP2C9-substrater</w:t>
      </w:r>
    </w:p>
    <w:p w14:paraId="7014B5B1" w14:textId="77777777" w:rsidR="00D41138" w:rsidRPr="002748AE" w:rsidRDefault="00D41138" w:rsidP="00F526B8">
      <w:pPr>
        <w:ind w:left="851"/>
        <w:rPr>
          <w:sz w:val="24"/>
          <w:szCs w:val="24"/>
        </w:rPr>
      </w:pPr>
      <w:r w:rsidRPr="002748AE">
        <w:rPr>
          <w:sz w:val="24"/>
          <w:szCs w:val="24"/>
        </w:rPr>
        <w:t>Ivacaftor kan hæmme CYP2C9. Derfor anbefales det, at den internationale, normaliserede ratio (INR) overvåges ved administration af warfarin sammen med ivacaftor. Andre lægemidler, hvor eksponeringen kan være øget, omfatter glimepirid og glipizid. Disse lægemidler skal anvendes med forsigtighed.</w:t>
      </w:r>
    </w:p>
    <w:p w14:paraId="658B410F" w14:textId="77777777" w:rsidR="00D41138" w:rsidRPr="002748AE" w:rsidRDefault="00D41138" w:rsidP="00F526B8">
      <w:pPr>
        <w:ind w:left="851"/>
        <w:rPr>
          <w:sz w:val="24"/>
          <w:szCs w:val="24"/>
        </w:rPr>
      </w:pPr>
    </w:p>
    <w:p w14:paraId="2A4BBCBC" w14:textId="77777777" w:rsidR="00D41138" w:rsidRPr="002748AE" w:rsidRDefault="00D41138" w:rsidP="00F526B8">
      <w:pPr>
        <w:ind w:left="851"/>
        <w:rPr>
          <w:sz w:val="24"/>
          <w:szCs w:val="24"/>
        </w:rPr>
      </w:pPr>
      <w:r w:rsidRPr="002748AE">
        <w:rPr>
          <w:i/>
          <w:sz w:val="24"/>
          <w:szCs w:val="24"/>
        </w:rPr>
        <w:t>Digoxin og andre P-gp-substrater</w:t>
      </w:r>
    </w:p>
    <w:p w14:paraId="36943B6F" w14:textId="15C582FC" w:rsidR="00D41138" w:rsidRPr="002748AE" w:rsidRDefault="00D41138" w:rsidP="00F526B8">
      <w:pPr>
        <w:ind w:left="851"/>
        <w:rPr>
          <w:sz w:val="24"/>
          <w:szCs w:val="24"/>
        </w:rPr>
      </w:pPr>
      <w:r w:rsidRPr="002748AE">
        <w:rPr>
          <w:sz w:val="24"/>
          <w:szCs w:val="24"/>
        </w:rPr>
        <w:t xml:space="preserve">Administration sammen med digoxin, et følsomt P-gp-substrat, øgede eksponeringen for digoxin 1,3 gange, i overensstemmelse med ivacaftors svage P-gp-hæmning. Administration af ivacaftor kan forøge den systemiske eksponering af lægemidler, som er følsomme P-gp-substrater, hvilket kan forøge eller forlænge deres terapeutiske virkning og bivirkninger. Ved brug sammen med digoxin eller andre substrater for P-gp med et snævert terapeutisk indeks, såsom ciclosporin, everolimus, sirolimus eller tacrolimus, skal der udvises forsigtighed med passende overvågning. </w:t>
      </w:r>
    </w:p>
    <w:p w14:paraId="6FB8E192" w14:textId="77777777" w:rsidR="00D41138" w:rsidRPr="002748AE" w:rsidRDefault="00D41138" w:rsidP="00F526B8">
      <w:pPr>
        <w:ind w:left="851"/>
        <w:rPr>
          <w:sz w:val="24"/>
          <w:szCs w:val="24"/>
        </w:rPr>
      </w:pPr>
      <w:r w:rsidRPr="002748AE">
        <w:rPr>
          <w:sz w:val="24"/>
          <w:szCs w:val="24"/>
        </w:rPr>
        <w:t xml:space="preserve"> </w:t>
      </w:r>
    </w:p>
    <w:p w14:paraId="22B28C7C" w14:textId="77777777" w:rsidR="00D41138" w:rsidRPr="002748AE" w:rsidRDefault="00D41138" w:rsidP="00F526B8">
      <w:pPr>
        <w:ind w:left="851"/>
        <w:rPr>
          <w:sz w:val="24"/>
          <w:szCs w:val="24"/>
        </w:rPr>
      </w:pPr>
      <w:r w:rsidRPr="002748AE">
        <w:rPr>
          <w:i/>
          <w:sz w:val="24"/>
          <w:szCs w:val="24"/>
        </w:rPr>
        <w:t>CYP3A-substrater</w:t>
      </w:r>
    </w:p>
    <w:p w14:paraId="36C440FF" w14:textId="77777777" w:rsidR="00D41138" w:rsidRPr="002748AE" w:rsidRDefault="00D41138" w:rsidP="00F526B8">
      <w:pPr>
        <w:ind w:left="851"/>
        <w:rPr>
          <w:sz w:val="24"/>
          <w:szCs w:val="24"/>
        </w:rPr>
      </w:pPr>
      <w:r w:rsidRPr="002748AE">
        <w:rPr>
          <w:sz w:val="24"/>
          <w:szCs w:val="24"/>
        </w:rPr>
        <w:t xml:space="preserve">Administration sammen med (oral) midazolam, et følsomt CYP3A-substrat, øger eksponeringen for midazolam 1,5 gange, i overensstemmelse med ivacaftors svage CYP3A-hæmning. En dosisjustering af CYP3A-substrater, såsom midazolam, alprazolam, diazepam eller triazolam, er ikke nødvendig, når disse administreres sammen med ivacaftor. </w:t>
      </w:r>
    </w:p>
    <w:p w14:paraId="21FE4936" w14:textId="77777777" w:rsidR="00D41138" w:rsidRPr="002748AE" w:rsidRDefault="00D41138" w:rsidP="00F526B8">
      <w:pPr>
        <w:ind w:left="851"/>
        <w:rPr>
          <w:sz w:val="24"/>
          <w:szCs w:val="24"/>
        </w:rPr>
      </w:pPr>
      <w:r w:rsidRPr="002748AE">
        <w:rPr>
          <w:sz w:val="24"/>
          <w:szCs w:val="24"/>
        </w:rPr>
        <w:t xml:space="preserve"> </w:t>
      </w:r>
    </w:p>
    <w:p w14:paraId="334B568A" w14:textId="77777777" w:rsidR="00D41138" w:rsidRPr="002748AE" w:rsidRDefault="00D41138" w:rsidP="00F526B8">
      <w:pPr>
        <w:ind w:left="851"/>
        <w:rPr>
          <w:sz w:val="24"/>
          <w:szCs w:val="24"/>
        </w:rPr>
      </w:pPr>
      <w:r w:rsidRPr="002748AE">
        <w:rPr>
          <w:i/>
          <w:sz w:val="24"/>
          <w:szCs w:val="24"/>
        </w:rPr>
        <w:t>Hormonel kontraception</w:t>
      </w:r>
    </w:p>
    <w:p w14:paraId="6C43AF44" w14:textId="77777777" w:rsidR="00D41138" w:rsidRPr="002748AE" w:rsidRDefault="00D41138" w:rsidP="00F526B8">
      <w:pPr>
        <w:ind w:left="851"/>
        <w:rPr>
          <w:sz w:val="24"/>
          <w:szCs w:val="24"/>
        </w:rPr>
      </w:pPr>
      <w:r w:rsidRPr="002748AE">
        <w:rPr>
          <w:sz w:val="24"/>
          <w:szCs w:val="24"/>
        </w:rPr>
        <w:t xml:space="preserve">Ivacaftor er blevet undersøgt sammen med oral kontraception indeholdende østrogen/progesteron, og der blev ikke fundet nogen signifikant indvirkning på eksponeringen for det orale kontraceptivum. Derfor er dosisjustering af oral kontraception ikke nødvendig. </w:t>
      </w:r>
    </w:p>
    <w:p w14:paraId="7BA7BA50" w14:textId="77777777" w:rsidR="00D41138" w:rsidRPr="002748AE" w:rsidRDefault="00D41138" w:rsidP="00F526B8">
      <w:pPr>
        <w:ind w:left="851"/>
        <w:rPr>
          <w:sz w:val="24"/>
          <w:szCs w:val="24"/>
        </w:rPr>
      </w:pPr>
      <w:r w:rsidRPr="002748AE">
        <w:rPr>
          <w:sz w:val="24"/>
          <w:szCs w:val="24"/>
        </w:rPr>
        <w:t xml:space="preserve"> </w:t>
      </w:r>
    </w:p>
    <w:p w14:paraId="6CA37D94" w14:textId="77777777" w:rsidR="00D41138" w:rsidRPr="002748AE" w:rsidRDefault="00D41138" w:rsidP="00F526B8">
      <w:pPr>
        <w:ind w:left="851"/>
        <w:rPr>
          <w:sz w:val="24"/>
          <w:szCs w:val="24"/>
        </w:rPr>
      </w:pPr>
      <w:r w:rsidRPr="002748AE">
        <w:rPr>
          <w:sz w:val="24"/>
          <w:szCs w:val="24"/>
          <w:u w:val="single"/>
        </w:rPr>
        <w:t>Pædiatrisk population</w:t>
      </w:r>
      <w:r w:rsidRPr="002748AE">
        <w:rPr>
          <w:sz w:val="24"/>
          <w:szCs w:val="24"/>
        </w:rPr>
        <w:t xml:space="preserve"> </w:t>
      </w:r>
    </w:p>
    <w:p w14:paraId="571593F8" w14:textId="77777777" w:rsidR="00D41138" w:rsidRPr="002748AE" w:rsidRDefault="00D41138" w:rsidP="00F526B8">
      <w:pPr>
        <w:ind w:left="851"/>
        <w:rPr>
          <w:sz w:val="24"/>
          <w:szCs w:val="24"/>
        </w:rPr>
      </w:pPr>
      <w:r w:rsidRPr="002748AE">
        <w:rPr>
          <w:sz w:val="24"/>
          <w:szCs w:val="24"/>
        </w:rPr>
        <w:t xml:space="preserve"> </w:t>
      </w:r>
    </w:p>
    <w:p w14:paraId="71DA7F03" w14:textId="77777777" w:rsidR="00D41138" w:rsidRPr="002748AE" w:rsidRDefault="00D41138" w:rsidP="00F526B8">
      <w:pPr>
        <w:ind w:left="851"/>
        <w:rPr>
          <w:sz w:val="24"/>
          <w:szCs w:val="24"/>
        </w:rPr>
      </w:pPr>
      <w:r w:rsidRPr="002748AE">
        <w:rPr>
          <w:sz w:val="24"/>
          <w:szCs w:val="24"/>
        </w:rPr>
        <w:t xml:space="preserve">Interaktionsstudier er kun udført hos voksne.  </w:t>
      </w:r>
    </w:p>
    <w:p w14:paraId="5CA5AAD1" w14:textId="77777777" w:rsidR="009260DE" w:rsidRPr="002748AE" w:rsidRDefault="009260DE" w:rsidP="009260DE">
      <w:pPr>
        <w:tabs>
          <w:tab w:val="left" w:pos="851"/>
        </w:tabs>
        <w:ind w:left="851"/>
        <w:rPr>
          <w:sz w:val="24"/>
          <w:szCs w:val="24"/>
        </w:rPr>
      </w:pPr>
    </w:p>
    <w:p w14:paraId="5A96EB84" w14:textId="77777777" w:rsidR="009260DE" w:rsidRPr="002748AE" w:rsidRDefault="009260DE" w:rsidP="009260DE">
      <w:pPr>
        <w:tabs>
          <w:tab w:val="left" w:pos="851"/>
        </w:tabs>
        <w:ind w:left="851" w:hanging="851"/>
        <w:rPr>
          <w:b/>
          <w:sz w:val="24"/>
          <w:szCs w:val="24"/>
        </w:rPr>
      </w:pPr>
      <w:r w:rsidRPr="002748AE">
        <w:rPr>
          <w:b/>
          <w:sz w:val="24"/>
          <w:szCs w:val="24"/>
        </w:rPr>
        <w:t>4.6</w:t>
      </w:r>
      <w:r w:rsidRPr="002748AE">
        <w:rPr>
          <w:b/>
          <w:sz w:val="24"/>
          <w:szCs w:val="24"/>
        </w:rPr>
        <w:tab/>
      </w:r>
      <w:r w:rsidR="0071241E" w:rsidRPr="002748AE">
        <w:rPr>
          <w:b/>
          <w:sz w:val="24"/>
          <w:szCs w:val="24"/>
        </w:rPr>
        <w:t>Fertilitet, g</w:t>
      </w:r>
      <w:r w:rsidRPr="002748AE">
        <w:rPr>
          <w:b/>
          <w:sz w:val="24"/>
          <w:szCs w:val="24"/>
        </w:rPr>
        <w:t>raviditet og amning</w:t>
      </w:r>
    </w:p>
    <w:p w14:paraId="64C8DA6E" w14:textId="77777777" w:rsidR="00BA22F2" w:rsidRDefault="00BA22F2" w:rsidP="00F526B8">
      <w:pPr>
        <w:ind w:left="851"/>
        <w:rPr>
          <w:sz w:val="24"/>
          <w:szCs w:val="24"/>
        </w:rPr>
      </w:pPr>
    </w:p>
    <w:p w14:paraId="2416F1AC" w14:textId="553EC999" w:rsidR="00D41138" w:rsidRPr="00BA22F2" w:rsidRDefault="00D41138" w:rsidP="00F526B8">
      <w:pPr>
        <w:ind w:left="851"/>
        <w:rPr>
          <w:sz w:val="24"/>
          <w:szCs w:val="24"/>
          <w:u w:val="single"/>
          <w:lang w:eastAsia="da-DK"/>
        </w:rPr>
      </w:pPr>
      <w:r w:rsidRPr="00BA22F2">
        <w:rPr>
          <w:sz w:val="24"/>
          <w:szCs w:val="24"/>
          <w:u w:val="single"/>
        </w:rPr>
        <w:t>Graviditet</w:t>
      </w:r>
    </w:p>
    <w:p w14:paraId="1F420F6E" w14:textId="77777777" w:rsidR="00D41138" w:rsidRPr="002748AE" w:rsidRDefault="00D41138" w:rsidP="00F526B8">
      <w:pPr>
        <w:ind w:left="851"/>
        <w:rPr>
          <w:sz w:val="24"/>
          <w:szCs w:val="24"/>
        </w:rPr>
      </w:pPr>
    </w:p>
    <w:p w14:paraId="4456AE6D" w14:textId="77777777" w:rsidR="00D41138" w:rsidRPr="002748AE" w:rsidRDefault="00D41138" w:rsidP="00F526B8">
      <w:pPr>
        <w:ind w:left="851"/>
        <w:rPr>
          <w:sz w:val="24"/>
          <w:szCs w:val="24"/>
        </w:rPr>
      </w:pPr>
      <w:r w:rsidRPr="002748AE">
        <w:rPr>
          <w:sz w:val="24"/>
          <w:szCs w:val="24"/>
        </w:rPr>
        <w:t>Der er ingen eller utilstrækkelige data (mindre end 300 gravide forsøgspersoner) fra anvendelse af ivacaftor til gravide kvinder. Dyreforsøg indikerer hverken direkte eller indirekte skadelige virkninger hvad angår reproduktionstoksicitet (se pkt. 5.3). For en sikkerheds skyld bør ivacaftor undgås under graviditeten.</w:t>
      </w:r>
    </w:p>
    <w:p w14:paraId="4C6E5FAB" w14:textId="77777777" w:rsidR="00D41138" w:rsidRPr="002748AE" w:rsidRDefault="00D41138" w:rsidP="00F526B8">
      <w:pPr>
        <w:ind w:left="851"/>
        <w:rPr>
          <w:sz w:val="24"/>
          <w:szCs w:val="24"/>
        </w:rPr>
      </w:pPr>
    </w:p>
    <w:p w14:paraId="4158F551" w14:textId="77777777" w:rsidR="00D41138" w:rsidRPr="00BA22F2" w:rsidRDefault="00D41138" w:rsidP="00F526B8">
      <w:pPr>
        <w:ind w:left="851"/>
        <w:rPr>
          <w:sz w:val="24"/>
          <w:szCs w:val="24"/>
          <w:u w:val="single"/>
        </w:rPr>
      </w:pPr>
      <w:r w:rsidRPr="00BA22F2">
        <w:rPr>
          <w:sz w:val="24"/>
          <w:szCs w:val="24"/>
          <w:u w:val="single"/>
        </w:rPr>
        <w:t>Amning</w:t>
      </w:r>
    </w:p>
    <w:p w14:paraId="0CC8083C" w14:textId="77777777" w:rsidR="00D41138" w:rsidRPr="002748AE" w:rsidRDefault="00D41138" w:rsidP="00F526B8">
      <w:pPr>
        <w:ind w:left="851"/>
        <w:rPr>
          <w:sz w:val="24"/>
          <w:szCs w:val="24"/>
        </w:rPr>
      </w:pPr>
    </w:p>
    <w:p w14:paraId="70F0972C" w14:textId="77777777" w:rsidR="00D41138" w:rsidRPr="002748AE" w:rsidRDefault="00D41138" w:rsidP="00F526B8">
      <w:pPr>
        <w:ind w:left="851"/>
        <w:rPr>
          <w:sz w:val="24"/>
          <w:szCs w:val="24"/>
        </w:rPr>
      </w:pPr>
      <w:r w:rsidRPr="002748AE">
        <w:rPr>
          <w:sz w:val="24"/>
          <w:szCs w:val="24"/>
        </w:rPr>
        <w:t>Begrænsede data viser, at ivacaftor udskilles i human mælk. En risiko for nyfødte/spædbørn kan ikke udelukkes. Det skal besluttes, om amning skal ophøre eller behandling med ivacaftor seponeres, idet der tages højde for fordelene ved amning for barnet i forhold til de terapeutiske fordele for moderen.</w:t>
      </w:r>
    </w:p>
    <w:p w14:paraId="58E467B9" w14:textId="75E61816" w:rsidR="00401ECA" w:rsidRDefault="00401ECA">
      <w:pPr>
        <w:rPr>
          <w:sz w:val="24"/>
          <w:szCs w:val="24"/>
        </w:rPr>
      </w:pPr>
      <w:r>
        <w:rPr>
          <w:sz w:val="24"/>
          <w:szCs w:val="24"/>
        </w:rPr>
        <w:br w:type="page"/>
      </w:r>
    </w:p>
    <w:p w14:paraId="1737053F" w14:textId="77777777" w:rsidR="00D41138" w:rsidRPr="002748AE" w:rsidRDefault="00D41138" w:rsidP="00F526B8">
      <w:pPr>
        <w:ind w:left="851"/>
        <w:rPr>
          <w:sz w:val="24"/>
          <w:szCs w:val="24"/>
        </w:rPr>
      </w:pPr>
    </w:p>
    <w:p w14:paraId="4D6BFE0C" w14:textId="77777777" w:rsidR="00D41138" w:rsidRPr="00BA22F2" w:rsidRDefault="00D41138" w:rsidP="00F526B8">
      <w:pPr>
        <w:ind w:left="851"/>
        <w:rPr>
          <w:sz w:val="24"/>
          <w:szCs w:val="24"/>
          <w:u w:val="single"/>
        </w:rPr>
      </w:pPr>
      <w:r w:rsidRPr="00BA22F2">
        <w:rPr>
          <w:sz w:val="24"/>
          <w:szCs w:val="24"/>
          <w:u w:val="single"/>
        </w:rPr>
        <w:t>Fertilitet</w:t>
      </w:r>
    </w:p>
    <w:p w14:paraId="42FDE408" w14:textId="77777777" w:rsidR="00D41138" w:rsidRPr="002748AE" w:rsidRDefault="00D41138" w:rsidP="00F526B8">
      <w:pPr>
        <w:ind w:left="851"/>
        <w:rPr>
          <w:sz w:val="24"/>
          <w:szCs w:val="24"/>
        </w:rPr>
      </w:pPr>
    </w:p>
    <w:p w14:paraId="2121E04C" w14:textId="77777777" w:rsidR="00D41138" w:rsidRPr="002748AE" w:rsidRDefault="00D41138" w:rsidP="00F526B8">
      <w:pPr>
        <w:ind w:left="851"/>
        <w:rPr>
          <w:rFonts w:eastAsia="MS Mincho"/>
          <w:sz w:val="24"/>
          <w:szCs w:val="24"/>
          <w:lang w:eastAsia="fr-FR"/>
        </w:rPr>
      </w:pPr>
      <w:r w:rsidRPr="002748AE">
        <w:rPr>
          <w:rFonts w:eastAsia="MS Mincho"/>
          <w:sz w:val="24"/>
          <w:szCs w:val="24"/>
          <w:lang w:eastAsia="fr-FR"/>
        </w:rPr>
        <w:t>Der foreligger ingen data om ivacaftors mulige virkning på fertiliteten hos mennesker. Ivacaftor havde en virkning på fertiliteten hos rotter (se pkt. 5.3).</w:t>
      </w:r>
    </w:p>
    <w:p w14:paraId="30DA870C" w14:textId="77777777" w:rsidR="009260DE" w:rsidRPr="002748AE" w:rsidRDefault="009260DE" w:rsidP="009260DE">
      <w:pPr>
        <w:tabs>
          <w:tab w:val="left" w:pos="851"/>
        </w:tabs>
        <w:ind w:left="851"/>
        <w:rPr>
          <w:sz w:val="24"/>
          <w:szCs w:val="24"/>
        </w:rPr>
      </w:pPr>
    </w:p>
    <w:p w14:paraId="4A7B9A6B" w14:textId="77777777" w:rsidR="009260DE" w:rsidRPr="002748AE" w:rsidRDefault="009260DE" w:rsidP="009260DE">
      <w:pPr>
        <w:tabs>
          <w:tab w:val="left" w:pos="851"/>
        </w:tabs>
        <w:ind w:left="851" w:hanging="851"/>
        <w:rPr>
          <w:b/>
          <w:sz w:val="24"/>
          <w:szCs w:val="24"/>
        </w:rPr>
      </w:pPr>
      <w:r w:rsidRPr="002748AE">
        <w:rPr>
          <w:b/>
          <w:sz w:val="24"/>
          <w:szCs w:val="24"/>
        </w:rPr>
        <w:t>4.7</w:t>
      </w:r>
      <w:r w:rsidRPr="002748AE">
        <w:rPr>
          <w:b/>
          <w:sz w:val="24"/>
          <w:szCs w:val="24"/>
        </w:rPr>
        <w:tab/>
        <w:t xml:space="preserve">Virkning på evnen til at føre motorkøretøj </w:t>
      </w:r>
      <w:r w:rsidR="0071241E" w:rsidRPr="002748AE">
        <w:rPr>
          <w:b/>
          <w:sz w:val="24"/>
          <w:szCs w:val="24"/>
        </w:rPr>
        <w:t>og</w:t>
      </w:r>
      <w:r w:rsidRPr="002748AE">
        <w:rPr>
          <w:b/>
          <w:sz w:val="24"/>
          <w:szCs w:val="24"/>
        </w:rPr>
        <w:t xml:space="preserve"> betjene maskiner</w:t>
      </w:r>
    </w:p>
    <w:p w14:paraId="40A59283" w14:textId="77777777" w:rsidR="008F6D7F" w:rsidRDefault="008F6D7F" w:rsidP="00F526B8">
      <w:pPr>
        <w:ind w:left="851"/>
        <w:rPr>
          <w:sz w:val="24"/>
          <w:szCs w:val="24"/>
        </w:rPr>
      </w:pPr>
      <w:r>
        <w:rPr>
          <w:sz w:val="24"/>
          <w:szCs w:val="24"/>
        </w:rPr>
        <w:t>Ikke mærkning.</w:t>
      </w:r>
    </w:p>
    <w:p w14:paraId="0B36C1A2" w14:textId="76A8B145" w:rsidR="00D41138" w:rsidRPr="002748AE" w:rsidRDefault="00D41138" w:rsidP="00F526B8">
      <w:pPr>
        <w:ind w:left="851"/>
        <w:rPr>
          <w:sz w:val="24"/>
          <w:szCs w:val="24"/>
          <w:lang w:eastAsia="da-DK"/>
        </w:rPr>
      </w:pPr>
      <w:r w:rsidRPr="002748AE">
        <w:rPr>
          <w:sz w:val="24"/>
          <w:szCs w:val="24"/>
        </w:rPr>
        <w:t xml:space="preserve">Ivacaftor påvirker i mindre grad evnen til at føre motorkøretøj og betjene maskiner. Ivacaftor kan forårsage svimmelhed (se pkt. 4.8), og patienter, der oplever svimmelhed, bør rådes til ikke at føre motorkøretøj eller betjene maskiner, før symptomerne aftager. </w:t>
      </w:r>
    </w:p>
    <w:p w14:paraId="63349627" w14:textId="77777777" w:rsidR="009260DE" w:rsidRPr="002748AE" w:rsidRDefault="009260DE" w:rsidP="009260DE">
      <w:pPr>
        <w:tabs>
          <w:tab w:val="left" w:pos="851"/>
        </w:tabs>
        <w:ind w:left="851"/>
        <w:rPr>
          <w:sz w:val="24"/>
          <w:szCs w:val="24"/>
        </w:rPr>
      </w:pPr>
    </w:p>
    <w:p w14:paraId="73714BF4" w14:textId="77777777" w:rsidR="009260DE" w:rsidRPr="002748AE" w:rsidRDefault="009260DE" w:rsidP="009260DE">
      <w:pPr>
        <w:tabs>
          <w:tab w:val="left" w:pos="851"/>
        </w:tabs>
        <w:ind w:left="851" w:hanging="851"/>
        <w:rPr>
          <w:b/>
          <w:sz w:val="24"/>
          <w:szCs w:val="24"/>
        </w:rPr>
      </w:pPr>
      <w:r w:rsidRPr="002748AE">
        <w:rPr>
          <w:b/>
          <w:sz w:val="24"/>
          <w:szCs w:val="24"/>
        </w:rPr>
        <w:t>4.8</w:t>
      </w:r>
      <w:r w:rsidRPr="002748AE">
        <w:rPr>
          <w:b/>
          <w:sz w:val="24"/>
          <w:szCs w:val="24"/>
        </w:rPr>
        <w:tab/>
        <w:t>Bivirkninger</w:t>
      </w:r>
    </w:p>
    <w:p w14:paraId="337A2FB4" w14:textId="77777777" w:rsidR="008F6D7F" w:rsidRDefault="008F6D7F" w:rsidP="00F526B8">
      <w:pPr>
        <w:ind w:left="851"/>
        <w:rPr>
          <w:sz w:val="24"/>
          <w:szCs w:val="24"/>
        </w:rPr>
      </w:pPr>
    </w:p>
    <w:p w14:paraId="675C33E0" w14:textId="2AF27B8A" w:rsidR="00D41138" w:rsidRPr="008F6D7F" w:rsidRDefault="00D41138" w:rsidP="00F526B8">
      <w:pPr>
        <w:ind w:left="851"/>
        <w:rPr>
          <w:sz w:val="24"/>
          <w:szCs w:val="24"/>
          <w:u w:val="single"/>
          <w:lang w:eastAsia="da-DK"/>
        </w:rPr>
      </w:pPr>
      <w:r w:rsidRPr="008F6D7F">
        <w:rPr>
          <w:sz w:val="24"/>
          <w:szCs w:val="24"/>
          <w:u w:val="single"/>
        </w:rPr>
        <w:t xml:space="preserve">Oversigt over sikkerhedsprofil </w:t>
      </w:r>
    </w:p>
    <w:p w14:paraId="573EF3F0" w14:textId="77777777" w:rsidR="00D41138" w:rsidRPr="002748AE" w:rsidRDefault="00D41138" w:rsidP="00F526B8">
      <w:pPr>
        <w:ind w:left="851"/>
        <w:rPr>
          <w:sz w:val="24"/>
          <w:szCs w:val="24"/>
        </w:rPr>
      </w:pPr>
    </w:p>
    <w:p w14:paraId="016FD88C" w14:textId="7184ECAC" w:rsidR="00D41138" w:rsidRPr="002748AE" w:rsidRDefault="00D41138" w:rsidP="00F526B8">
      <w:pPr>
        <w:ind w:left="851"/>
        <w:rPr>
          <w:sz w:val="24"/>
          <w:szCs w:val="24"/>
        </w:rPr>
      </w:pPr>
      <w:r w:rsidRPr="002748AE">
        <w:rPr>
          <w:sz w:val="24"/>
          <w:szCs w:val="24"/>
        </w:rPr>
        <w:t xml:space="preserve">De mest almindelige bivirkninger, som patienter i alderen 6 år og derover, der fik ivacaftor, oplevede, er hovedpine (23,9 %), orofaryngeale smerter (22,0 %), infektion i de øvre luftveje (22,0 %), tilstoppet næse (20,2 %), abdominalsmerter (15,6 %), nasofaryngitis (14,7 %), diarré (12,8 %), svimmelhed (9,2 %), udslæt (12,8 %) og bakterier i spyt (12,8 %). Stigninger i aminotransferaser opstod hos 12,8 % af de ivacaftor-behandlede patienter </w:t>
      </w:r>
      <w:r w:rsidRPr="002748AE">
        <w:rPr>
          <w:i/>
          <w:sz w:val="24"/>
          <w:szCs w:val="24"/>
        </w:rPr>
        <w:t>versus</w:t>
      </w:r>
      <w:r w:rsidRPr="002748AE">
        <w:rPr>
          <w:sz w:val="24"/>
          <w:szCs w:val="24"/>
        </w:rPr>
        <w:t xml:space="preserve"> 11,5 % af de placebobehandlede patienter. </w:t>
      </w:r>
    </w:p>
    <w:p w14:paraId="3AD32357" w14:textId="77777777" w:rsidR="00D41138" w:rsidRPr="002748AE" w:rsidRDefault="00D41138" w:rsidP="00F526B8">
      <w:pPr>
        <w:ind w:left="851"/>
        <w:rPr>
          <w:sz w:val="24"/>
          <w:szCs w:val="24"/>
        </w:rPr>
      </w:pPr>
      <w:r w:rsidRPr="002748AE">
        <w:rPr>
          <w:sz w:val="24"/>
          <w:szCs w:val="24"/>
        </w:rPr>
        <w:t xml:space="preserve"> </w:t>
      </w:r>
    </w:p>
    <w:p w14:paraId="50FF8816" w14:textId="77777777" w:rsidR="00D41138" w:rsidRPr="002748AE" w:rsidRDefault="00D41138" w:rsidP="00F526B8">
      <w:pPr>
        <w:ind w:left="851"/>
        <w:rPr>
          <w:sz w:val="24"/>
          <w:szCs w:val="24"/>
        </w:rPr>
      </w:pPr>
      <w:r w:rsidRPr="002748AE">
        <w:rPr>
          <w:sz w:val="24"/>
          <w:szCs w:val="24"/>
        </w:rPr>
        <w:t xml:space="preserve">Hos patienter i alderen 2 til under 6 år var de mest almindelige bivirkninger tilstoppet næse (26,5 %), infektion i de øvre luftveje (23,5 %), stigninger i aminotransferaser (14,7 %), udslæt (11,8 %) og bakterier i spyt (11,8 %). </w:t>
      </w:r>
    </w:p>
    <w:p w14:paraId="7614A43B" w14:textId="77777777" w:rsidR="00D41138" w:rsidRPr="002748AE" w:rsidRDefault="00D41138" w:rsidP="00F526B8">
      <w:pPr>
        <w:ind w:left="851"/>
        <w:rPr>
          <w:sz w:val="24"/>
          <w:szCs w:val="24"/>
        </w:rPr>
      </w:pPr>
      <w:r w:rsidRPr="002748AE">
        <w:rPr>
          <w:sz w:val="24"/>
          <w:szCs w:val="24"/>
        </w:rPr>
        <w:t xml:space="preserve"> </w:t>
      </w:r>
    </w:p>
    <w:p w14:paraId="10ED6F63" w14:textId="77777777" w:rsidR="00D41138" w:rsidRPr="002748AE" w:rsidRDefault="00D41138" w:rsidP="00F526B8">
      <w:pPr>
        <w:ind w:left="851"/>
        <w:rPr>
          <w:sz w:val="24"/>
          <w:szCs w:val="24"/>
        </w:rPr>
      </w:pPr>
      <w:r w:rsidRPr="002748AE">
        <w:rPr>
          <w:sz w:val="24"/>
          <w:szCs w:val="24"/>
        </w:rPr>
        <w:t>Alvorlige bivirkninger omfattede abdominalsmerter (0,9 %) og stigninger i aminotransferaser (1,8 %) hos patienter, der fik ivacaftor, mens alvorlige bivirkninger i form af udslæt blev indberettet for 1,5 % af patienterne i alderen 12 år og derover, der blev behandlet med et kombinationsregime med ivacaftor/tezacaftor/elexacaftor (se pkt. 4.4).</w:t>
      </w:r>
    </w:p>
    <w:p w14:paraId="7FD6D77E" w14:textId="77777777" w:rsidR="00D41138" w:rsidRPr="002748AE" w:rsidRDefault="00D41138" w:rsidP="00F526B8">
      <w:pPr>
        <w:ind w:left="851"/>
        <w:rPr>
          <w:sz w:val="24"/>
          <w:szCs w:val="24"/>
        </w:rPr>
      </w:pPr>
    </w:p>
    <w:p w14:paraId="7015F541" w14:textId="77777777" w:rsidR="00D41138" w:rsidRPr="008F6D7F" w:rsidRDefault="00D41138" w:rsidP="00F526B8">
      <w:pPr>
        <w:ind w:left="851"/>
        <w:rPr>
          <w:sz w:val="24"/>
          <w:szCs w:val="24"/>
          <w:u w:val="single"/>
        </w:rPr>
      </w:pPr>
      <w:r w:rsidRPr="008F6D7F">
        <w:rPr>
          <w:sz w:val="24"/>
          <w:szCs w:val="24"/>
          <w:u w:val="single"/>
        </w:rPr>
        <w:t xml:space="preserve">Tabel over bivirkninger </w:t>
      </w:r>
    </w:p>
    <w:p w14:paraId="156EC1D1" w14:textId="77777777" w:rsidR="00D41138" w:rsidRPr="002748AE" w:rsidRDefault="00D41138" w:rsidP="00F526B8">
      <w:pPr>
        <w:ind w:left="851"/>
        <w:rPr>
          <w:sz w:val="24"/>
          <w:szCs w:val="24"/>
        </w:rPr>
      </w:pPr>
      <w:r w:rsidRPr="002748AE">
        <w:rPr>
          <w:sz w:val="24"/>
          <w:szCs w:val="24"/>
        </w:rPr>
        <w:t xml:space="preserve"> </w:t>
      </w:r>
    </w:p>
    <w:p w14:paraId="550E2480" w14:textId="77777777" w:rsidR="00D41138" w:rsidRPr="002748AE" w:rsidRDefault="00D41138" w:rsidP="00F526B8">
      <w:pPr>
        <w:ind w:left="851"/>
        <w:rPr>
          <w:sz w:val="24"/>
          <w:szCs w:val="24"/>
        </w:rPr>
      </w:pPr>
      <w:r w:rsidRPr="002748AE">
        <w:rPr>
          <w:sz w:val="24"/>
          <w:szCs w:val="24"/>
        </w:rPr>
        <w:t>Tabel 4 angiver de bivirkninger, der sås med ivacaftor-monoterapi i kliniske studier (placebokontrollerede og ikke kontrollerede studier), hvori længden af eksponeringen for ivacaftor var fra 16 uger til 144 uger. Andre bivirkninger observeret med ivacaftor i et kombinationsregime med tezacaftor/ivacaftor og/eller i et kombinationsregime med ivacaftor/tezacaftor/elexacaftor er også angivet i tabel 4. Hyppigheden af bivirkningerne er defineret som følger: Meget almindelig (≥1/10), almindelig (≥1/100 til &lt;1/10), ikke almindelig (≥1/1.000 til &lt;1/100), sjælden (≥1/10.000 til &lt;1/1.000), meget sjælden (&lt;1/10.000), ikke kendt (kan ikke estimeres ud fra forhåndenværende data). Inden for hver hyppighedsgruppering er bivirkningerne opstillet efter, hvor alvorlige de er. De mest alvorlige bivirkninger er angivet først.</w:t>
      </w:r>
    </w:p>
    <w:p w14:paraId="1A9B1779" w14:textId="38895F96" w:rsidR="00401ECA" w:rsidRDefault="00401ECA">
      <w:pPr>
        <w:rPr>
          <w:sz w:val="24"/>
          <w:szCs w:val="24"/>
        </w:rPr>
      </w:pPr>
      <w:r>
        <w:rPr>
          <w:sz w:val="24"/>
          <w:szCs w:val="24"/>
        </w:rPr>
        <w:br w:type="page"/>
      </w:r>
    </w:p>
    <w:p w14:paraId="0924DF47" w14:textId="77777777" w:rsidR="00D41138" w:rsidRPr="002748AE" w:rsidRDefault="00D41138" w:rsidP="00F526B8">
      <w:pPr>
        <w:ind w:left="851"/>
        <w:rPr>
          <w:sz w:val="24"/>
          <w:szCs w:val="24"/>
        </w:rPr>
      </w:pPr>
    </w:p>
    <w:p w14:paraId="4AE02FAF" w14:textId="77777777" w:rsidR="00D41138" w:rsidRPr="002748AE" w:rsidRDefault="00D41138" w:rsidP="00401ECA">
      <w:pPr>
        <w:pStyle w:val="Brdtekst"/>
        <w:suppressAutoHyphens/>
        <w:kinsoku w:val="0"/>
        <w:overflowPunct w:val="0"/>
        <w:ind w:left="851"/>
        <w:rPr>
          <w:color w:val="000000" w:themeColor="text1"/>
        </w:rPr>
      </w:pPr>
      <w:r w:rsidRPr="002748AE">
        <w:rPr>
          <w:b/>
          <w:color w:val="000000" w:themeColor="text1"/>
        </w:rPr>
        <w:t>Tabel 4: Bivirkninger</w:t>
      </w:r>
      <w:r w:rsidRPr="002748AE">
        <w:rPr>
          <w:color w:val="000000" w:themeColor="text1"/>
        </w:rPr>
        <w:t xml:space="preserve"> </w:t>
      </w:r>
    </w:p>
    <w:p w14:paraId="1592254B" w14:textId="77777777" w:rsidR="00D41138" w:rsidRPr="002748AE" w:rsidRDefault="00D41138" w:rsidP="00D41138">
      <w:pPr>
        <w:pStyle w:val="Brdtekst"/>
        <w:suppressAutoHyphens/>
        <w:kinsoku w:val="0"/>
        <w:overflowPunct w:val="0"/>
        <w:ind w:left="0"/>
        <w:rPr>
          <w:b/>
          <w:color w:val="000000" w:themeColor="text1"/>
        </w:rPr>
      </w:pPr>
    </w:p>
    <w:tbl>
      <w:tblPr>
        <w:tblW w:w="5000" w:type="pct"/>
        <w:tblCellMar>
          <w:top w:w="54" w:type="dxa"/>
          <w:left w:w="107" w:type="dxa"/>
          <w:right w:w="115" w:type="dxa"/>
        </w:tblCellMar>
        <w:tblLook w:val="04A0" w:firstRow="1" w:lastRow="0" w:firstColumn="1" w:lastColumn="0" w:noHBand="0" w:noVBand="1"/>
      </w:tblPr>
      <w:tblGrid>
        <w:gridCol w:w="3283"/>
        <w:gridCol w:w="3412"/>
        <w:gridCol w:w="2933"/>
      </w:tblGrid>
      <w:tr w:rsidR="00D41138" w:rsidRPr="00401ECA" w14:paraId="18EDB2C8" w14:textId="77777777" w:rsidTr="00F526B8">
        <w:trPr>
          <w:trHeight w:val="227"/>
        </w:trPr>
        <w:tc>
          <w:tcPr>
            <w:tcW w:w="1705" w:type="pct"/>
            <w:tcBorders>
              <w:top w:val="single" w:sz="4" w:space="0" w:color="000000"/>
              <w:left w:val="single" w:sz="4" w:space="0" w:color="000000"/>
              <w:bottom w:val="single" w:sz="4" w:space="0" w:color="000000"/>
              <w:right w:val="single" w:sz="4" w:space="0" w:color="000000"/>
            </w:tcBorders>
            <w:tcMar>
              <w:top w:w="28" w:type="dxa"/>
              <w:left w:w="113" w:type="dxa"/>
              <w:bottom w:w="28" w:type="dxa"/>
              <w:right w:w="115" w:type="dxa"/>
            </w:tcMar>
            <w:hideMark/>
          </w:tcPr>
          <w:p w14:paraId="22AD641F" w14:textId="77777777" w:rsidR="00D41138" w:rsidRPr="00401ECA" w:rsidRDefault="00D41138" w:rsidP="00F526B8">
            <w:pPr>
              <w:rPr>
                <w:sz w:val="22"/>
                <w:szCs w:val="22"/>
                <w:lang w:val="ru-RU" w:eastAsia="ru-RU"/>
              </w:rPr>
            </w:pPr>
            <w:r w:rsidRPr="00401ECA">
              <w:rPr>
                <w:sz w:val="22"/>
                <w:szCs w:val="22"/>
                <w:lang w:val="ru-RU" w:eastAsia="ru-RU"/>
              </w:rPr>
              <w:t xml:space="preserve">Systemorganklasse </w:t>
            </w:r>
          </w:p>
        </w:tc>
        <w:tc>
          <w:tcPr>
            <w:tcW w:w="1772" w:type="pct"/>
            <w:tcBorders>
              <w:top w:val="single" w:sz="4" w:space="0" w:color="000000"/>
              <w:left w:val="single" w:sz="4" w:space="0" w:color="000000"/>
              <w:bottom w:val="single" w:sz="4" w:space="0" w:color="000000"/>
              <w:right w:val="single" w:sz="4" w:space="0" w:color="000000"/>
            </w:tcBorders>
            <w:tcMar>
              <w:top w:w="28" w:type="dxa"/>
              <w:left w:w="113" w:type="dxa"/>
              <w:bottom w:w="28" w:type="dxa"/>
              <w:right w:w="115" w:type="dxa"/>
            </w:tcMar>
            <w:hideMark/>
          </w:tcPr>
          <w:p w14:paraId="70E6C3BD" w14:textId="77777777" w:rsidR="00D41138" w:rsidRPr="00401ECA" w:rsidRDefault="00D41138" w:rsidP="00F526B8">
            <w:pPr>
              <w:rPr>
                <w:sz w:val="22"/>
                <w:szCs w:val="22"/>
                <w:lang w:val="ru-RU" w:eastAsia="ru-RU"/>
              </w:rPr>
            </w:pPr>
            <w:r w:rsidRPr="00401ECA">
              <w:rPr>
                <w:sz w:val="22"/>
                <w:szCs w:val="22"/>
                <w:lang w:val="ru-RU" w:eastAsia="ru-RU"/>
              </w:rPr>
              <w:t xml:space="preserve">Bivirkninger  </w:t>
            </w:r>
          </w:p>
        </w:tc>
        <w:tc>
          <w:tcPr>
            <w:tcW w:w="1523" w:type="pct"/>
            <w:tcBorders>
              <w:top w:val="single" w:sz="4" w:space="0" w:color="000000"/>
              <w:left w:val="single" w:sz="4" w:space="0" w:color="000000"/>
              <w:bottom w:val="single" w:sz="4" w:space="0" w:color="000000"/>
              <w:right w:val="single" w:sz="4" w:space="0" w:color="000000"/>
            </w:tcBorders>
            <w:tcMar>
              <w:top w:w="28" w:type="dxa"/>
              <w:left w:w="113" w:type="dxa"/>
              <w:bottom w:w="28" w:type="dxa"/>
              <w:right w:w="115" w:type="dxa"/>
            </w:tcMar>
            <w:hideMark/>
          </w:tcPr>
          <w:p w14:paraId="5FF018A1" w14:textId="77777777" w:rsidR="00D41138" w:rsidRPr="00401ECA" w:rsidRDefault="00D41138" w:rsidP="00F526B8">
            <w:pPr>
              <w:rPr>
                <w:sz w:val="22"/>
                <w:szCs w:val="22"/>
                <w:lang w:val="ru-RU" w:eastAsia="ru-RU"/>
              </w:rPr>
            </w:pPr>
            <w:r w:rsidRPr="00401ECA">
              <w:rPr>
                <w:sz w:val="22"/>
                <w:szCs w:val="22"/>
                <w:lang w:val="ru-RU" w:eastAsia="ru-RU"/>
              </w:rPr>
              <w:t xml:space="preserve">Hyppighed </w:t>
            </w:r>
          </w:p>
        </w:tc>
      </w:tr>
      <w:tr w:rsidR="00D41138" w:rsidRPr="00401ECA" w14:paraId="196A9D5D" w14:textId="77777777" w:rsidTr="00F526B8">
        <w:trPr>
          <w:trHeight w:val="227"/>
        </w:trPr>
        <w:tc>
          <w:tcPr>
            <w:tcW w:w="1705" w:type="pct"/>
            <w:vMerge w:val="restart"/>
            <w:tcBorders>
              <w:top w:val="single" w:sz="4" w:space="0" w:color="000000"/>
              <w:left w:val="single" w:sz="4" w:space="0" w:color="000000"/>
              <w:bottom w:val="single" w:sz="4" w:space="0" w:color="000000"/>
              <w:right w:val="single" w:sz="4" w:space="0" w:color="000000"/>
            </w:tcBorders>
            <w:tcMar>
              <w:top w:w="28" w:type="dxa"/>
              <w:left w:w="113" w:type="dxa"/>
              <w:bottom w:w="28" w:type="dxa"/>
              <w:right w:w="115" w:type="dxa"/>
            </w:tcMar>
            <w:hideMark/>
          </w:tcPr>
          <w:p w14:paraId="71F05169" w14:textId="77777777" w:rsidR="00D41138" w:rsidRPr="00401ECA" w:rsidRDefault="00D41138" w:rsidP="00F526B8">
            <w:pPr>
              <w:rPr>
                <w:sz w:val="22"/>
                <w:szCs w:val="22"/>
                <w:lang w:val="ru-RU" w:eastAsia="ru-RU"/>
              </w:rPr>
            </w:pPr>
            <w:r w:rsidRPr="00401ECA">
              <w:rPr>
                <w:sz w:val="22"/>
                <w:szCs w:val="22"/>
                <w:lang w:val="ru-RU" w:eastAsia="ru-RU"/>
              </w:rPr>
              <w:t xml:space="preserve">Infektioner og parasitære sygdomme </w:t>
            </w:r>
          </w:p>
        </w:tc>
        <w:tc>
          <w:tcPr>
            <w:tcW w:w="1772" w:type="pct"/>
            <w:tcBorders>
              <w:top w:val="single" w:sz="4" w:space="0" w:color="000000"/>
              <w:left w:val="single" w:sz="4" w:space="0" w:color="000000"/>
              <w:bottom w:val="single" w:sz="4" w:space="0" w:color="000000"/>
              <w:right w:val="single" w:sz="4" w:space="0" w:color="000000"/>
            </w:tcBorders>
            <w:tcMar>
              <w:top w:w="28" w:type="dxa"/>
              <w:left w:w="113" w:type="dxa"/>
              <w:bottom w:w="28" w:type="dxa"/>
              <w:right w:w="115" w:type="dxa"/>
            </w:tcMar>
            <w:hideMark/>
          </w:tcPr>
          <w:p w14:paraId="2B70102C" w14:textId="77777777" w:rsidR="00D41138" w:rsidRPr="00401ECA" w:rsidRDefault="00D41138" w:rsidP="00F526B8">
            <w:pPr>
              <w:rPr>
                <w:sz w:val="22"/>
                <w:szCs w:val="22"/>
                <w:lang w:val="ru-RU" w:eastAsia="ru-RU"/>
              </w:rPr>
            </w:pPr>
            <w:r w:rsidRPr="00401ECA">
              <w:rPr>
                <w:sz w:val="22"/>
                <w:szCs w:val="22"/>
                <w:lang w:val="ru-RU" w:eastAsia="ru-RU"/>
              </w:rPr>
              <w:t xml:space="preserve">Infektion af de øvre luftveje </w:t>
            </w:r>
          </w:p>
        </w:tc>
        <w:tc>
          <w:tcPr>
            <w:tcW w:w="1523" w:type="pct"/>
            <w:tcBorders>
              <w:top w:val="single" w:sz="4" w:space="0" w:color="000000"/>
              <w:left w:val="single" w:sz="4" w:space="0" w:color="000000"/>
              <w:bottom w:val="single" w:sz="4" w:space="0" w:color="000000"/>
              <w:right w:val="single" w:sz="4" w:space="0" w:color="000000"/>
            </w:tcBorders>
            <w:tcMar>
              <w:top w:w="28" w:type="dxa"/>
              <w:left w:w="113" w:type="dxa"/>
              <w:bottom w:w="28" w:type="dxa"/>
              <w:right w:w="115" w:type="dxa"/>
            </w:tcMar>
            <w:hideMark/>
          </w:tcPr>
          <w:p w14:paraId="05293889" w14:textId="77777777" w:rsidR="00D41138" w:rsidRPr="00401ECA" w:rsidRDefault="00D41138" w:rsidP="00F526B8">
            <w:pPr>
              <w:rPr>
                <w:sz w:val="22"/>
                <w:szCs w:val="22"/>
                <w:lang w:val="ru-RU" w:eastAsia="ru-RU"/>
              </w:rPr>
            </w:pPr>
            <w:r w:rsidRPr="00401ECA">
              <w:rPr>
                <w:sz w:val="22"/>
                <w:szCs w:val="22"/>
                <w:lang w:val="ru-RU" w:eastAsia="ru-RU"/>
              </w:rPr>
              <w:t xml:space="preserve">meget almindelig </w:t>
            </w:r>
          </w:p>
        </w:tc>
      </w:tr>
      <w:tr w:rsidR="00D41138" w:rsidRPr="00401ECA" w14:paraId="2FC670F2" w14:textId="77777777" w:rsidTr="00F526B8">
        <w:trPr>
          <w:trHeight w:val="227"/>
        </w:trPr>
        <w:tc>
          <w:tcPr>
            <w:tcW w:w="1705" w:type="pct"/>
            <w:vMerge/>
            <w:tcBorders>
              <w:top w:val="single" w:sz="4" w:space="0" w:color="000000"/>
              <w:left w:val="single" w:sz="4" w:space="0" w:color="000000"/>
              <w:bottom w:val="single" w:sz="4" w:space="0" w:color="000000"/>
              <w:right w:val="single" w:sz="4" w:space="0" w:color="000000"/>
            </w:tcBorders>
            <w:vAlign w:val="center"/>
            <w:hideMark/>
          </w:tcPr>
          <w:p w14:paraId="2A23B81A" w14:textId="77777777" w:rsidR="00D41138" w:rsidRPr="00401ECA" w:rsidRDefault="00D41138" w:rsidP="00F526B8">
            <w:pPr>
              <w:rPr>
                <w:sz w:val="22"/>
                <w:szCs w:val="22"/>
                <w:lang w:val="ru-RU" w:eastAsia="ru-RU"/>
              </w:rPr>
            </w:pPr>
          </w:p>
        </w:tc>
        <w:tc>
          <w:tcPr>
            <w:tcW w:w="1772" w:type="pct"/>
            <w:tcBorders>
              <w:top w:val="single" w:sz="4" w:space="0" w:color="000000"/>
              <w:left w:val="single" w:sz="4" w:space="0" w:color="000000"/>
              <w:bottom w:val="single" w:sz="4" w:space="0" w:color="000000"/>
              <w:right w:val="single" w:sz="4" w:space="0" w:color="000000"/>
            </w:tcBorders>
            <w:tcMar>
              <w:top w:w="28" w:type="dxa"/>
              <w:left w:w="113" w:type="dxa"/>
              <w:bottom w:w="28" w:type="dxa"/>
              <w:right w:w="115" w:type="dxa"/>
            </w:tcMar>
            <w:hideMark/>
          </w:tcPr>
          <w:p w14:paraId="375A8394" w14:textId="77777777" w:rsidR="00D41138" w:rsidRPr="00401ECA" w:rsidRDefault="00D41138" w:rsidP="00F526B8">
            <w:pPr>
              <w:rPr>
                <w:sz w:val="22"/>
                <w:szCs w:val="22"/>
                <w:lang w:val="ru-RU" w:eastAsia="ru-RU"/>
              </w:rPr>
            </w:pPr>
            <w:r w:rsidRPr="00401ECA">
              <w:rPr>
                <w:sz w:val="22"/>
                <w:szCs w:val="22"/>
                <w:lang w:val="ru-RU" w:eastAsia="ru-RU"/>
              </w:rPr>
              <w:t xml:space="preserve">Nasofaryngitis </w:t>
            </w:r>
          </w:p>
        </w:tc>
        <w:tc>
          <w:tcPr>
            <w:tcW w:w="1523" w:type="pct"/>
            <w:tcBorders>
              <w:top w:val="single" w:sz="4" w:space="0" w:color="000000"/>
              <w:left w:val="single" w:sz="4" w:space="0" w:color="000000"/>
              <w:bottom w:val="single" w:sz="4" w:space="0" w:color="000000"/>
              <w:right w:val="single" w:sz="4" w:space="0" w:color="000000"/>
            </w:tcBorders>
            <w:tcMar>
              <w:top w:w="28" w:type="dxa"/>
              <w:left w:w="113" w:type="dxa"/>
              <w:bottom w:w="28" w:type="dxa"/>
              <w:right w:w="115" w:type="dxa"/>
            </w:tcMar>
            <w:hideMark/>
          </w:tcPr>
          <w:p w14:paraId="26769F35" w14:textId="77777777" w:rsidR="00D41138" w:rsidRPr="00401ECA" w:rsidRDefault="00D41138" w:rsidP="00F526B8">
            <w:pPr>
              <w:rPr>
                <w:sz w:val="22"/>
                <w:szCs w:val="22"/>
                <w:lang w:val="ru-RU" w:eastAsia="ru-RU"/>
              </w:rPr>
            </w:pPr>
            <w:r w:rsidRPr="00401ECA">
              <w:rPr>
                <w:sz w:val="22"/>
                <w:szCs w:val="22"/>
                <w:lang w:val="ru-RU" w:eastAsia="ru-RU"/>
              </w:rPr>
              <w:t xml:space="preserve">meget almindelig </w:t>
            </w:r>
          </w:p>
        </w:tc>
      </w:tr>
      <w:tr w:rsidR="00D41138" w:rsidRPr="00401ECA" w14:paraId="0132B5C2" w14:textId="77777777" w:rsidTr="00F526B8">
        <w:trPr>
          <w:trHeight w:val="227"/>
        </w:trPr>
        <w:tc>
          <w:tcPr>
            <w:tcW w:w="1705" w:type="pct"/>
            <w:vMerge/>
            <w:tcBorders>
              <w:top w:val="single" w:sz="4" w:space="0" w:color="000000"/>
              <w:left w:val="single" w:sz="4" w:space="0" w:color="000000"/>
              <w:bottom w:val="single" w:sz="4" w:space="0" w:color="000000"/>
              <w:right w:val="single" w:sz="4" w:space="0" w:color="000000"/>
            </w:tcBorders>
            <w:vAlign w:val="center"/>
            <w:hideMark/>
          </w:tcPr>
          <w:p w14:paraId="6AE7D2B2" w14:textId="77777777" w:rsidR="00D41138" w:rsidRPr="00401ECA" w:rsidRDefault="00D41138" w:rsidP="00F526B8">
            <w:pPr>
              <w:rPr>
                <w:sz w:val="22"/>
                <w:szCs w:val="22"/>
                <w:lang w:val="ru-RU" w:eastAsia="ru-RU"/>
              </w:rPr>
            </w:pPr>
          </w:p>
        </w:tc>
        <w:tc>
          <w:tcPr>
            <w:tcW w:w="1772" w:type="pct"/>
            <w:tcBorders>
              <w:top w:val="single" w:sz="4" w:space="0" w:color="000000"/>
              <w:left w:val="single" w:sz="4" w:space="0" w:color="000000"/>
              <w:bottom w:val="single" w:sz="4" w:space="0" w:color="000000"/>
              <w:right w:val="single" w:sz="4" w:space="0" w:color="000000"/>
            </w:tcBorders>
            <w:tcMar>
              <w:top w:w="28" w:type="dxa"/>
              <w:left w:w="113" w:type="dxa"/>
              <w:bottom w:w="28" w:type="dxa"/>
              <w:right w:w="115" w:type="dxa"/>
            </w:tcMar>
            <w:hideMark/>
          </w:tcPr>
          <w:p w14:paraId="5A8AEE40" w14:textId="77777777" w:rsidR="00D41138" w:rsidRPr="00401ECA" w:rsidRDefault="00D41138" w:rsidP="00F526B8">
            <w:pPr>
              <w:rPr>
                <w:sz w:val="22"/>
                <w:szCs w:val="22"/>
                <w:lang w:val="ru-RU" w:eastAsia="ru-RU"/>
              </w:rPr>
            </w:pPr>
            <w:r w:rsidRPr="00401ECA">
              <w:rPr>
                <w:sz w:val="22"/>
                <w:szCs w:val="22"/>
                <w:lang w:val="ru-RU" w:eastAsia="ru-RU"/>
              </w:rPr>
              <w:t>Influenza</w:t>
            </w:r>
            <w:r w:rsidRPr="00401ECA">
              <w:rPr>
                <w:sz w:val="22"/>
                <w:szCs w:val="22"/>
                <w:vertAlign w:val="superscript"/>
                <w:lang w:val="ru-RU" w:eastAsia="ru-RU"/>
              </w:rPr>
              <w:t>†</w:t>
            </w:r>
            <w:r w:rsidRPr="00401ECA">
              <w:rPr>
                <w:sz w:val="22"/>
                <w:szCs w:val="22"/>
                <w:lang w:val="ru-RU" w:eastAsia="ru-RU"/>
              </w:rPr>
              <w:t xml:space="preserve"> </w:t>
            </w:r>
          </w:p>
        </w:tc>
        <w:tc>
          <w:tcPr>
            <w:tcW w:w="1523" w:type="pct"/>
            <w:tcBorders>
              <w:top w:val="single" w:sz="4" w:space="0" w:color="000000"/>
              <w:left w:val="single" w:sz="4" w:space="0" w:color="000000"/>
              <w:bottom w:val="single" w:sz="4" w:space="0" w:color="000000"/>
              <w:right w:val="single" w:sz="4" w:space="0" w:color="000000"/>
            </w:tcBorders>
            <w:tcMar>
              <w:top w:w="28" w:type="dxa"/>
              <w:left w:w="113" w:type="dxa"/>
              <w:bottom w:w="28" w:type="dxa"/>
              <w:right w:w="115" w:type="dxa"/>
            </w:tcMar>
            <w:hideMark/>
          </w:tcPr>
          <w:p w14:paraId="1EE2E332" w14:textId="77777777" w:rsidR="00D41138" w:rsidRPr="00401ECA" w:rsidRDefault="00D41138" w:rsidP="00F526B8">
            <w:pPr>
              <w:rPr>
                <w:sz w:val="22"/>
                <w:szCs w:val="22"/>
                <w:lang w:val="ru-RU" w:eastAsia="ru-RU"/>
              </w:rPr>
            </w:pPr>
            <w:r w:rsidRPr="00401ECA">
              <w:rPr>
                <w:sz w:val="22"/>
                <w:szCs w:val="22"/>
                <w:lang w:val="ru-RU" w:eastAsia="ru-RU"/>
              </w:rPr>
              <w:t xml:space="preserve">almindelig </w:t>
            </w:r>
          </w:p>
        </w:tc>
      </w:tr>
      <w:tr w:rsidR="00D41138" w:rsidRPr="00401ECA" w14:paraId="4CB66E50" w14:textId="77777777" w:rsidTr="00F526B8">
        <w:trPr>
          <w:trHeight w:val="227"/>
        </w:trPr>
        <w:tc>
          <w:tcPr>
            <w:tcW w:w="1705" w:type="pct"/>
            <w:vMerge/>
            <w:tcBorders>
              <w:top w:val="single" w:sz="4" w:space="0" w:color="000000"/>
              <w:left w:val="single" w:sz="4" w:space="0" w:color="000000"/>
              <w:bottom w:val="single" w:sz="4" w:space="0" w:color="000000"/>
              <w:right w:val="single" w:sz="4" w:space="0" w:color="000000"/>
            </w:tcBorders>
            <w:vAlign w:val="center"/>
            <w:hideMark/>
          </w:tcPr>
          <w:p w14:paraId="1173769F" w14:textId="77777777" w:rsidR="00D41138" w:rsidRPr="00401ECA" w:rsidRDefault="00D41138" w:rsidP="00F526B8">
            <w:pPr>
              <w:rPr>
                <w:sz w:val="22"/>
                <w:szCs w:val="22"/>
                <w:lang w:val="ru-RU" w:eastAsia="ru-RU"/>
              </w:rPr>
            </w:pPr>
          </w:p>
        </w:tc>
        <w:tc>
          <w:tcPr>
            <w:tcW w:w="1772" w:type="pct"/>
            <w:tcBorders>
              <w:top w:val="single" w:sz="4" w:space="0" w:color="000000"/>
              <w:left w:val="single" w:sz="4" w:space="0" w:color="000000"/>
              <w:bottom w:val="single" w:sz="4" w:space="0" w:color="000000"/>
              <w:right w:val="single" w:sz="4" w:space="0" w:color="000000"/>
            </w:tcBorders>
            <w:tcMar>
              <w:top w:w="28" w:type="dxa"/>
              <w:left w:w="113" w:type="dxa"/>
              <w:bottom w:w="28" w:type="dxa"/>
              <w:right w:w="115" w:type="dxa"/>
            </w:tcMar>
            <w:hideMark/>
          </w:tcPr>
          <w:p w14:paraId="159A6C82" w14:textId="77777777" w:rsidR="00D41138" w:rsidRPr="00401ECA" w:rsidRDefault="00D41138" w:rsidP="00F526B8">
            <w:pPr>
              <w:rPr>
                <w:sz w:val="22"/>
                <w:szCs w:val="22"/>
                <w:lang w:val="ru-RU" w:eastAsia="ru-RU"/>
              </w:rPr>
            </w:pPr>
            <w:r w:rsidRPr="00401ECA">
              <w:rPr>
                <w:sz w:val="22"/>
                <w:szCs w:val="22"/>
                <w:lang w:val="ru-RU" w:eastAsia="ru-RU"/>
              </w:rPr>
              <w:t xml:space="preserve">Rhinitis  </w:t>
            </w:r>
          </w:p>
        </w:tc>
        <w:tc>
          <w:tcPr>
            <w:tcW w:w="1523" w:type="pct"/>
            <w:tcBorders>
              <w:top w:val="single" w:sz="4" w:space="0" w:color="000000"/>
              <w:left w:val="single" w:sz="4" w:space="0" w:color="000000"/>
              <w:bottom w:val="single" w:sz="4" w:space="0" w:color="000000"/>
              <w:right w:val="single" w:sz="4" w:space="0" w:color="000000"/>
            </w:tcBorders>
            <w:tcMar>
              <w:top w:w="28" w:type="dxa"/>
              <w:left w:w="113" w:type="dxa"/>
              <w:bottom w:w="28" w:type="dxa"/>
              <w:right w:w="115" w:type="dxa"/>
            </w:tcMar>
            <w:hideMark/>
          </w:tcPr>
          <w:p w14:paraId="604185CA" w14:textId="77777777" w:rsidR="00D41138" w:rsidRPr="00401ECA" w:rsidRDefault="00D41138" w:rsidP="00F526B8">
            <w:pPr>
              <w:rPr>
                <w:sz w:val="22"/>
                <w:szCs w:val="22"/>
                <w:lang w:val="ru-RU" w:eastAsia="ru-RU"/>
              </w:rPr>
            </w:pPr>
            <w:r w:rsidRPr="00401ECA">
              <w:rPr>
                <w:sz w:val="22"/>
                <w:szCs w:val="22"/>
                <w:lang w:val="ru-RU" w:eastAsia="ru-RU"/>
              </w:rPr>
              <w:t xml:space="preserve">almindelig </w:t>
            </w:r>
          </w:p>
        </w:tc>
      </w:tr>
      <w:tr w:rsidR="00D41138" w:rsidRPr="00401ECA" w14:paraId="39614039" w14:textId="77777777" w:rsidTr="00F526B8">
        <w:trPr>
          <w:trHeight w:val="227"/>
        </w:trPr>
        <w:tc>
          <w:tcPr>
            <w:tcW w:w="1705" w:type="pct"/>
            <w:tcBorders>
              <w:top w:val="single" w:sz="4" w:space="0" w:color="000000"/>
              <w:left w:val="single" w:sz="4" w:space="0" w:color="000000"/>
              <w:bottom w:val="single" w:sz="4" w:space="0" w:color="000000"/>
              <w:right w:val="single" w:sz="4" w:space="0" w:color="000000"/>
            </w:tcBorders>
            <w:tcMar>
              <w:top w:w="28" w:type="dxa"/>
              <w:left w:w="113" w:type="dxa"/>
              <w:bottom w:w="28" w:type="dxa"/>
              <w:right w:w="115" w:type="dxa"/>
            </w:tcMar>
            <w:hideMark/>
          </w:tcPr>
          <w:p w14:paraId="0DB2BFA5" w14:textId="77777777" w:rsidR="00D41138" w:rsidRPr="00401ECA" w:rsidRDefault="00D41138" w:rsidP="00F526B8">
            <w:pPr>
              <w:rPr>
                <w:sz w:val="22"/>
                <w:szCs w:val="22"/>
                <w:lang w:val="ru-RU" w:eastAsia="ru-RU"/>
              </w:rPr>
            </w:pPr>
            <w:r w:rsidRPr="00401ECA">
              <w:rPr>
                <w:sz w:val="22"/>
                <w:szCs w:val="22"/>
                <w:lang w:val="ru-RU" w:eastAsia="ru-RU"/>
              </w:rPr>
              <w:t xml:space="preserve">Metabolisme og ernæring </w:t>
            </w:r>
          </w:p>
        </w:tc>
        <w:tc>
          <w:tcPr>
            <w:tcW w:w="1772" w:type="pct"/>
            <w:tcBorders>
              <w:top w:val="single" w:sz="4" w:space="0" w:color="000000"/>
              <w:left w:val="single" w:sz="4" w:space="0" w:color="000000"/>
              <w:bottom w:val="single" w:sz="4" w:space="0" w:color="000000"/>
              <w:right w:val="single" w:sz="4" w:space="0" w:color="000000"/>
            </w:tcBorders>
            <w:tcMar>
              <w:top w:w="28" w:type="dxa"/>
              <w:left w:w="113" w:type="dxa"/>
              <w:bottom w:w="28" w:type="dxa"/>
              <w:right w:w="115" w:type="dxa"/>
            </w:tcMar>
            <w:hideMark/>
          </w:tcPr>
          <w:p w14:paraId="1D6EC27C" w14:textId="77777777" w:rsidR="00D41138" w:rsidRPr="00401ECA" w:rsidRDefault="00D41138" w:rsidP="00F526B8">
            <w:pPr>
              <w:rPr>
                <w:sz w:val="22"/>
                <w:szCs w:val="22"/>
                <w:lang w:val="ru-RU" w:eastAsia="ru-RU"/>
              </w:rPr>
            </w:pPr>
            <w:r w:rsidRPr="00401ECA">
              <w:rPr>
                <w:sz w:val="22"/>
                <w:szCs w:val="22"/>
                <w:lang w:val="ru-RU" w:eastAsia="ru-RU"/>
              </w:rPr>
              <w:t>Hypoglykæmi</w:t>
            </w:r>
            <w:r w:rsidRPr="00401ECA">
              <w:rPr>
                <w:sz w:val="22"/>
                <w:szCs w:val="22"/>
                <w:vertAlign w:val="superscript"/>
                <w:lang w:val="ru-RU" w:eastAsia="ru-RU"/>
              </w:rPr>
              <w:t>†</w:t>
            </w:r>
            <w:r w:rsidRPr="00401ECA">
              <w:rPr>
                <w:sz w:val="22"/>
                <w:szCs w:val="22"/>
                <w:lang w:val="ru-RU" w:eastAsia="ru-RU"/>
              </w:rPr>
              <w:t xml:space="preserve"> </w:t>
            </w:r>
          </w:p>
        </w:tc>
        <w:tc>
          <w:tcPr>
            <w:tcW w:w="1523" w:type="pct"/>
            <w:tcBorders>
              <w:top w:val="single" w:sz="4" w:space="0" w:color="000000"/>
              <w:left w:val="single" w:sz="4" w:space="0" w:color="000000"/>
              <w:bottom w:val="single" w:sz="4" w:space="0" w:color="000000"/>
              <w:right w:val="single" w:sz="4" w:space="0" w:color="000000"/>
            </w:tcBorders>
            <w:tcMar>
              <w:top w:w="28" w:type="dxa"/>
              <w:left w:w="113" w:type="dxa"/>
              <w:bottom w:w="28" w:type="dxa"/>
              <w:right w:w="115" w:type="dxa"/>
            </w:tcMar>
            <w:hideMark/>
          </w:tcPr>
          <w:p w14:paraId="3D27C299" w14:textId="77777777" w:rsidR="00D41138" w:rsidRPr="00401ECA" w:rsidRDefault="00D41138" w:rsidP="00F526B8">
            <w:pPr>
              <w:rPr>
                <w:sz w:val="22"/>
                <w:szCs w:val="22"/>
                <w:lang w:val="ru-RU" w:eastAsia="ru-RU"/>
              </w:rPr>
            </w:pPr>
            <w:r w:rsidRPr="00401ECA">
              <w:rPr>
                <w:sz w:val="22"/>
                <w:szCs w:val="22"/>
                <w:lang w:val="ru-RU" w:eastAsia="ru-RU"/>
              </w:rPr>
              <w:t xml:space="preserve">almindelig </w:t>
            </w:r>
          </w:p>
        </w:tc>
      </w:tr>
      <w:tr w:rsidR="00D41138" w:rsidRPr="00401ECA" w14:paraId="337FB5F8" w14:textId="77777777" w:rsidTr="00F526B8">
        <w:trPr>
          <w:trHeight w:val="227"/>
        </w:trPr>
        <w:tc>
          <w:tcPr>
            <w:tcW w:w="1705" w:type="pct"/>
            <w:tcBorders>
              <w:top w:val="single" w:sz="4" w:space="0" w:color="000000"/>
              <w:left w:val="single" w:sz="4" w:space="0" w:color="000000"/>
              <w:bottom w:val="single" w:sz="4" w:space="0" w:color="000000"/>
              <w:right w:val="single" w:sz="4" w:space="0" w:color="000000"/>
            </w:tcBorders>
            <w:tcMar>
              <w:top w:w="28" w:type="dxa"/>
              <w:left w:w="113" w:type="dxa"/>
              <w:bottom w:w="28" w:type="dxa"/>
              <w:right w:w="115" w:type="dxa"/>
            </w:tcMar>
            <w:hideMark/>
          </w:tcPr>
          <w:p w14:paraId="62E99FF9" w14:textId="77777777" w:rsidR="00D41138" w:rsidRPr="00401ECA" w:rsidRDefault="00D41138" w:rsidP="00F526B8">
            <w:pPr>
              <w:rPr>
                <w:sz w:val="22"/>
                <w:szCs w:val="22"/>
                <w:lang w:val="ru-RU" w:eastAsia="ru-RU"/>
              </w:rPr>
            </w:pPr>
            <w:r w:rsidRPr="00401ECA">
              <w:rPr>
                <w:sz w:val="22"/>
                <w:szCs w:val="22"/>
                <w:lang w:val="ru-RU" w:eastAsia="ru-RU"/>
              </w:rPr>
              <w:t xml:space="preserve">Psykiske forstyrrelser </w:t>
            </w:r>
          </w:p>
        </w:tc>
        <w:tc>
          <w:tcPr>
            <w:tcW w:w="1772" w:type="pct"/>
            <w:tcBorders>
              <w:top w:val="single" w:sz="4" w:space="0" w:color="000000"/>
              <w:left w:val="single" w:sz="4" w:space="0" w:color="000000"/>
              <w:bottom w:val="single" w:sz="4" w:space="0" w:color="000000"/>
              <w:right w:val="single" w:sz="4" w:space="0" w:color="000000"/>
            </w:tcBorders>
            <w:tcMar>
              <w:top w:w="28" w:type="dxa"/>
              <w:left w:w="113" w:type="dxa"/>
              <w:bottom w:w="28" w:type="dxa"/>
              <w:right w:w="115" w:type="dxa"/>
            </w:tcMar>
            <w:hideMark/>
          </w:tcPr>
          <w:p w14:paraId="37AB086C" w14:textId="77777777" w:rsidR="00D41138" w:rsidRPr="00401ECA" w:rsidRDefault="00D41138" w:rsidP="00F526B8">
            <w:pPr>
              <w:rPr>
                <w:sz w:val="22"/>
                <w:szCs w:val="22"/>
                <w:lang w:val="ru-RU" w:eastAsia="ru-RU"/>
              </w:rPr>
            </w:pPr>
            <w:r w:rsidRPr="00401ECA">
              <w:rPr>
                <w:sz w:val="22"/>
                <w:szCs w:val="22"/>
                <w:lang w:val="ru-RU" w:eastAsia="ru-RU"/>
              </w:rPr>
              <w:t xml:space="preserve">Depression </w:t>
            </w:r>
          </w:p>
        </w:tc>
        <w:tc>
          <w:tcPr>
            <w:tcW w:w="1523" w:type="pct"/>
            <w:tcBorders>
              <w:top w:val="single" w:sz="4" w:space="0" w:color="000000"/>
              <w:left w:val="single" w:sz="4" w:space="0" w:color="000000"/>
              <w:bottom w:val="single" w:sz="4" w:space="0" w:color="000000"/>
              <w:right w:val="single" w:sz="4" w:space="0" w:color="000000"/>
            </w:tcBorders>
            <w:tcMar>
              <w:top w:w="28" w:type="dxa"/>
              <w:left w:w="113" w:type="dxa"/>
              <w:bottom w:w="28" w:type="dxa"/>
              <w:right w:w="115" w:type="dxa"/>
            </w:tcMar>
            <w:hideMark/>
          </w:tcPr>
          <w:p w14:paraId="376EDF77" w14:textId="77777777" w:rsidR="00D41138" w:rsidRPr="00401ECA" w:rsidRDefault="00D41138" w:rsidP="00F526B8">
            <w:pPr>
              <w:rPr>
                <w:sz w:val="22"/>
                <w:szCs w:val="22"/>
                <w:lang w:val="ru-RU" w:eastAsia="ru-RU"/>
              </w:rPr>
            </w:pPr>
            <w:r w:rsidRPr="00401ECA">
              <w:rPr>
                <w:sz w:val="22"/>
                <w:szCs w:val="22"/>
                <w:lang w:val="ru-RU" w:eastAsia="ru-RU"/>
              </w:rPr>
              <w:t xml:space="preserve">ikke kendt </w:t>
            </w:r>
          </w:p>
        </w:tc>
      </w:tr>
      <w:tr w:rsidR="00D41138" w:rsidRPr="00401ECA" w14:paraId="6025AC94" w14:textId="77777777" w:rsidTr="00F526B8">
        <w:trPr>
          <w:trHeight w:val="227"/>
        </w:trPr>
        <w:tc>
          <w:tcPr>
            <w:tcW w:w="1705" w:type="pct"/>
            <w:vMerge w:val="restart"/>
            <w:tcBorders>
              <w:top w:val="single" w:sz="4" w:space="0" w:color="000000"/>
              <w:left w:val="single" w:sz="4" w:space="0" w:color="000000"/>
              <w:bottom w:val="single" w:sz="4" w:space="0" w:color="000000"/>
              <w:right w:val="single" w:sz="4" w:space="0" w:color="000000"/>
            </w:tcBorders>
            <w:tcMar>
              <w:top w:w="28" w:type="dxa"/>
              <w:left w:w="113" w:type="dxa"/>
              <w:bottom w:w="28" w:type="dxa"/>
              <w:right w:w="115" w:type="dxa"/>
            </w:tcMar>
            <w:hideMark/>
          </w:tcPr>
          <w:p w14:paraId="4574A77C" w14:textId="77777777" w:rsidR="00D41138" w:rsidRPr="00401ECA" w:rsidRDefault="00D41138" w:rsidP="00F526B8">
            <w:pPr>
              <w:rPr>
                <w:sz w:val="22"/>
                <w:szCs w:val="22"/>
                <w:lang w:val="ru-RU" w:eastAsia="ru-RU"/>
              </w:rPr>
            </w:pPr>
            <w:r w:rsidRPr="00401ECA">
              <w:rPr>
                <w:sz w:val="22"/>
                <w:szCs w:val="22"/>
                <w:lang w:val="ru-RU" w:eastAsia="ru-RU"/>
              </w:rPr>
              <w:t xml:space="preserve">Nervesystemet </w:t>
            </w:r>
          </w:p>
        </w:tc>
        <w:tc>
          <w:tcPr>
            <w:tcW w:w="1772" w:type="pct"/>
            <w:tcBorders>
              <w:top w:val="single" w:sz="4" w:space="0" w:color="000000"/>
              <w:left w:val="single" w:sz="4" w:space="0" w:color="000000"/>
              <w:bottom w:val="single" w:sz="4" w:space="0" w:color="000000"/>
              <w:right w:val="single" w:sz="4" w:space="0" w:color="000000"/>
            </w:tcBorders>
            <w:tcMar>
              <w:top w:w="28" w:type="dxa"/>
              <w:left w:w="113" w:type="dxa"/>
              <w:bottom w:w="28" w:type="dxa"/>
              <w:right w:w="115" w:type="dxa"/>
            </w:tcMar>
            <w:hideMark/>
          </w:tcPr>
          <w:p w14:paraId="274A2953" w14:textId="77777777" w:rsidR="00D41138" w:rsidRPr="00401ECA" w:rsidRDefault="00D41138" w:rsidP="00F526B8">
            <w:pPr>
              <w:rPr>
                <w:sz w:val="22"/>
                <w:szCs w:val="22"/>
                <w:lang w:val="ru-RU" w:eastAsia="ru-RU"/>
              </w:rPr>
            </w:pPr>
            <w:r w:rsidRPr="00401ECA">
              <w:rPr>
                <w:sz w:val="22"/>
                <w:szCs w:val="22"/>
                <w:lang w:val="ru-RU" w:eastAsia="ru-RU"/>
              </w:rPr>
              <w:t xml:space="preserve">Hovedpine </w:t>
            </w:r>
          </w:p>
        </w:tc>
        <w:tc>
          <w:tcPr>
            <w:tcW w:w="1523" w:type="pct"/>
            <w:tcBorders>
              <w:top w:val="single" w:sz="4" w:space="0" w:color="000000"/>
              <w:left w:val="single" w:sz="4" w:space="0" w:color="000000"/>
              <w:bottom w:val="single" w:sz="4" w:space="0" w:color="000000"/>
              <w:right w:val="single" w:sz="4" w:space="0" w:color="000000"/>
            </w:tcBorders>
            <w:tcMar>
              <w:top w:w="28" w:type="dxa"/>
              <w:left w:w="113" w:type="dxa"/>
              <w:bottom w:w="28" w:type="dxa"/>
              <w:right w:w="115" w:type="dxa"/>
            </w:tcMar>
            <w:hideMark/>
          </w:tcPr>
          <w:p w14:paraId="6320107E" w14:textId="77777777" w:rsidR="00D41138" w:rsidRPr="00401ECA" w:rsidRDefault="00D41138" w:rsidP="00F526B8">
            <w:pPr>
              <w:rPr>
                <w:sz w:val="22"/>
                <w:szCs w:val="22"/>
                <w:lang w:val="ru-RU" w:eastAsia="ru-RU"/>
              </w:rPr>
            </w:pPr>
            <w:r w:rsidRPr="00401ECA">
              <w:rPr>
                <w:sz w:val="22"/>
                <w:szCs w:val="22"/>
                <w:lang w:val="ru-RU" w:eastAsia="ru-RU"/>
              </w:rPr>
              <w:t xml:space="preserve">meget almindelig </w:t>
            </w:r>
          </w:p>
        </w:tc>
      </w:tr>
      <w:tr w:rsidR="00D41138" w:rsidRPr="00401ECA" w14:paraId="18B99F3C" w14:textId="77777777" w:rsidTr="00F526B8">
        <w:trPr>
          <w:trHeight w:val="227"/>
        </w:trPr>
        <w:tc>
          <w:tcPr>
            <w:tcW w:w="1705" w:type="pct"/>
            <w:vMerge/>
            <w:tcBorders>
              <w:top w:val="single" w:sz="4" w:space="0" w:color="000000"/>
              <w:left w:val="single" w:sz="4" w:space="0" w:color="000000"/>
              <w:bottom w:val="single" w:sz="4" w:space="0" w:color="000000"/>
              <w:right w:val="single" w:sz="4" w:space="0" w:color="000000"/>
            </w:tcBorders>
            <w:vAlign w:val="center"/>
            <w:hideMark/>
          </w:tcPr>
          <w:p w14:paraId="205A9ECE" w14:textId="77777777" w:rsidR="00D41138" w:rsidRPr="00401ECA" w:rsidRDefault="00D41138" w:rsidP="00F526B8">
            <w:pPr>
              <w:rPr>
                <w:sz w:val="22"/>
                <w:szCs w:val="22"/>
                <w:lang w:val="ru-RU" w:eastAsia="ru-RU"/>
              </w:rPr>
            </w:pPr>
          </w:p>
        </w:tc>
        <w:tc>
          <w:tcPr>
            <w:tcW w:w="1772" w:type="pct"/>
            <w:tcBorders>
              <w:top w:val="single" w:sz="4" w:space="0" w:color="000000"/>
              <w:left w:val="single" w:sz="4" w:space="0" w:color="000000"/>
              <w:bottom w:val="single" w:sz="4" w:space="0" w:color="000000"/>
              <w:right w:val="single" w:sz="4" w:space="0" w:color="000000"/>
            </w:tcBorders>
            <w:tcMar>
              <w:top w:w="28" w:type="dxa"/>
              <w:left w:w="113" w:type="dxa"/>
              <w:bottom w:w="28" w:type="dxa"/>
              <w:right w:w="115" w:type="dxa"/>
            </w:tcMar>
            <w:hideMark/>
          </w:tcPr>
          <w:p w14:paraId="4F8B1409" w14:textId="77777777" w:rsidR="00D41138" w:rsidRPr="00401ECA" w:rsidRDefault="00D41138" w:rsidP="00F526B8">
            <w:pPr>
              <w:rPr>
                <w:sz w:val="22"/>
                <w:szCs w:val="22"/>
                <w:lang w:val="ru-RU" w:eastAsia="ru-RU"/>
              </w:rPr>
            </w:pPr>
            <w:r w:rsidRPr="00401ECA">
              <w:rPr>
                <w:sz w:val="22"/>
                <w:szCs w:val="22"/>
                <w:lang w:val="ru-RU" w:eastAsia="ru-RU"/>
              </w:rPr>
              <w:t xml:space="preserve">Svimmelhed </w:t>
            </w:r>
          </w:p>
        </w:tc>
        <w:tc>
          <w:tcPr>
            <w:tcW w:w="1523" w:type="pct"/>
            <w:tcBorders>
              <w:top w:val="single" w:sz="4" w:space="0" w:color="000000"/>
              <w:left w:val="single" w:sz="4" w:space="0" w:color="000000"/>
              <w:bottom w:val="single" w:sz="4" w:space="0" w:color="000000"/>
              <w:right w:val="single" w:sz="4" w:space="0" w:color="000000"/>
            </w:tcBorders>
            <w:tcMar>
              <w:top w:w="28" w:type="dxa"/>
              <w:left w:w="113" w:type="dxa"/>
              <w:bottom w:w="28" w:type="dxa"/>
              <w:right w:w="115" w:type="dxa"/>
            </w:tcMar>
            <w:hideMark/>
          </w:tcPr>
          <w:p w14:paraId="258C76E3" w14:textId="77777777" w:rsidR="00D41138" w:rsidRPr="00401ECA" w:rsidRDefault="00D41138" w:rsidP="00F526B8">
            <w:pPr>
              <w:rPr>
                <w:sz w:val="22"/>
                <w:szCs w:val="22"/>
                <w:lang w:val="ru-RU" w:eastAsia="ru-RU"/>
              </w:rPr>
            </w:pPr>
            <w:r w:rsidRPr="00401ECA">
              <w:rPr>
                <w:sz w:val="22"/>
                <w:szCs w:val="22"/>
                <w:lang w:val="ru-RU" w:eastAsia="ru-RU"/>
              </w:rPr>
              <w:t xml:space="preserve">meget almindelig </w:t>
            </w:r>
          </w:p>
        </w:tc>
      </w:tr>
      <w:tr w:rsidR="00D41138" w:rsidRPr="00401ECA" w14:paraId="7FB40134" w14:textId="77777777" w:rsidTr="00F526B8">
        <w:trPr>
          <w:trHeight w:val="227"/>
        </w:trPr>
        <w:tc>
          <w:tcPr>
            <w:tcW w:w="1705" w:type="pct"/>
            <w:vMerge w:val="restart"/>
            <w:tcBorders>
              <w:top w:val="single" w:sz="4" w:space="0" w:color="000000"/>
              <w:left w:val="single" w:sz="4" w:space="0" w:color="000000"/>
              <w:bottom w:val="single" w:sz="4" w:space="0" w:color="000000"/>
              <w:right w:val="single" w:sz="4" w:space="0" w:color="000000"/>
            </w:tcBorders>
            <w:tcMar>
              <w:top w:w="28" w:type="dxa"/>
              <w:left w:w="113" w:type="dxa"/>
              <w:bottom w:w="28" w:type="dxa"/>
              <w:right w:w="115" w:type="dxa"/>
            </w:tcMar>
            <w:hideMark/>
          </w:tcPr>
          <w:p w14:paraId="241E8030" w14:textId="77777777" w:rsidR="00D41138" w:rsidRPr="00401ECA" w:rsidRDefault="00D41138" w:rsidP="00F526B8">
            <w:pPr>
              <w:rPr>
                <w:sz w:val="22"/>
                <w:szCs w:val="22"/>
                <w:lang w:val="ru-RU" w:eastAsia="ru-RU"/>
              </w:rPr>
            </w:pPr>
            <w:r w:rsidRPr="00401ECA">
              <w:rPr>
                <w:sz w:val="22"/>
                <w:szCs w:val="22"/>
                <w:lang w:val="ru-RU" w:eastAsia="ru-RU"/>
              </w:rPr>
              <w:t xml:space="preserve">Øre og labyrint </w:t>
            </w:r>
          </w:p>
        </w:tc>
        <w:tc>
          <w:tcPr>
            <w:tcW w:w="1772" w:type="pct"/>
            <w:tcBorders>
              <w:top w:val="single" w:sz="4" w:space="0" w:color="000000"/>
              <w:left w:val="single" w:sz="4" w:space="0" w:color="000000"/>
              <w:bottom w:val="single" w:sz="4" w:space="0" w:color="000000"/>
              <w:right w:val="single" w:sz="4" w:space="0" w:color="000000"/>
            </w:tcBorders>
            <w:tcMar>
              <w:top w:w="28" w:type="dxa"/>
              <w:left w:w="113" w:type="dxa"/>
              <w:bottom w:w="28" w:type="dxa"/>
              <w:right w:w="115" w:type="dxa"/>
            </w:tcMar>
            <w:hideMark/>
          </w:tcPr>
          <w:p w14:paraId="41287E8A" w14:textId="77777777" w:rsidR="00D41138" w:rsidRPr="00401ECA" w:rsidRDefault="00D41138" w:rsidP="00F526B8">
            <w:pPr>
              <w:rPr>
                <w:sz w:val="22"/>
                <w:szCs w:val="22"/>
                <w:lang w:val="ru-RU" w:eastAsia="ru-RU"/>
              </w:rPr>
            </w:pPr>
            <w:r w:rsidRPr="00401ECA">
              <w:rPr>
                <w:sz w:val="22"/>
                <w:szCs w:val="22"/>
                <w:lang w:val="ru-RU" w:eastAsia="ru-RU"/>
              </w:rPr>
              <w:t xml:space="preserve">Øresmerter </w:t>
            </w:r>
          </w:p>
        </w:tc>
        <w:tc>
          <w:tcPr>
            <w:tcW w:w="1523" w:type="pct"/>
            <w:tcBorders>
              <w:top w:val="single" w:sz="4" w:space="0" w:color="000000"/>
              <w:left w:val="single" w:sz="4" w:space="0" w:color="000000"/>
              <w:bottom w:val="single" w:sz="4" w:space="0" w:color="000000"/>
              <w:right w:val="single" w:sz="4" w:space="0" w:color="000000"/>
            </w:tcBorders>
            <w:tcMar>
              <w:top w:w="28" w:type="dxa"/>
              <w:left w:w="113" w:type="dxa"/>
              <w:bottom w:w="28" w:type="dxa"/>
              <w:right w:w="115" w:type="dxa"/>
            </w:tcMar>
            <w:hideMark/>
          </w:tcPr>
          <w:p w14:paraId="498B4A73" w14:textId="77777777" w:rsidR="00D41138" w:rsidRPr="00401ECA" w:rsidRDefault="00D41138" w:rsidP="00F526B8">
            <w:pPr>
              <w:rPr>
                <w:sz w:val="22"/>
                <w:szCs w:val="22"/>
                <w:lang w:val="ru-RU" w:eastAsia="ru-RU"/>
              </w:rPr>
            </w:pPr>
            <w:r w:rsidRPr="00401ECA">
              <w:rPr>
                <w:sz w:val="22"/>
                <w:szCs w:val="22"/>
                <w:lang w:val="ru-RU" w:eastAsia="ru-RU"/>
              </w:rPr>
              <w:t xml:space="preserve">almindelig </w:t>
            </w:r>
          </w:p>
        </w:tc>
      </w:tr>
      <w:tr w:rsidR="00D41138" w:rsidRPr="00401ECA" w14:paraId="0A9A8BDB" w14:textId="77777777" w:rsidTr="00F526B8">
        <w:trPr>
          <w:trHeight w:val="227"/>
        </w:trPr>
        <w:tc>
          <w:tcPr>
            <w:tcW w:w="1705" w:type="pct"/>
            <w:vMerge/>
            <w:tcBorders>
              <w:top w:val="single" w:sz="4" w:space="0" w:color="000000"/>
              <w:left w:val="single" w:sz="4" w:space="0" w:color="000000"/>
              <w:bottom w:val="single" w:sz="4" w:space="0" w:color="000000"/>
              <w:right w:val="single" w:sz="4" w:space="0" w:color="000000"/>
            </w:tcBorders>
            <w:vAlign w:val="center"/>
            <w:hideMark/>
          </w:tcPr>
          <w:p w14:paraId="379F2984" w14:textId="77777777" w:rsidR="00D41138" w:rsidRPr="00401ECA" w:rsidRDefault="00D41138" w:rsidP="00F526B8">
            <w:pPr>
              <w:rPr>
                <w:sz w:val="22"/>
                <w:szCs w:val="22"/>
                <w:lang w:val="ru-RU" w:eastAsia="ru-RU"/>
              </w:rPr>
            </w:pPr>
          </w:p>
        </w:tc>
        <w:tc>
          <w:tcPr>
            <w:tcW w:w="1772" w:type="pct"/>
            <w:tcBorders>
              <w:top w:val="single" w:sz="4" w:space="0" w:color="000000"/>
              <w:left w:val="single" w:sz="4" w:space="0" w:color="000000"/>
              <w:bottom w:val="single" w:sz="4" w:space="0" w:color="000000"/>
              <w:right w:val="single" w:sz="4" w:space="0" w:color="000000"/>
            </w:tcBorders>
            <w:tcMar>
              <w:top w:w="28" w:type="dxa"/>
              <w:left w:w="113" w:type="dxa"/>
              <w:bottom w:w="28" w:type="dxa"/>
              <w:right w:w="115" w:type="dxa"/>
            </w:tcMar>
            <w:hideMark/>
          </w:tcPr>
          <w:p w14:paraId="70089015" w14:textId="77777777" w:rsidR="00D41138" w:rsidRPr="00401ECA" w:rsidRDefault="00D41138" w:rsidP="00F526B8">
            <w:pPr>
              <w:rPr>
                <w:sz w:val="22"/>
                <w:szCs w:val="22"/>
                <w:lang w:val="ru-RU" w:eastAsia="ru-RU"/>
              </w:rPr>
            </w:pPr>
            <w:r w:rsidRPr="00401ECA">
              <w:rPr>
                <w:sz w:val="22"/>
                <w:szCs w:val="22"/>
                <w:lang w:val="ru-RU" w:eastAsia="ru-RU"/>
              </w:rPr>
              <w:t xml:space="preserve">Øreproblemer </w:t>
            </w:r>
          </w:p>
        </w:tc>
        <w:tc>
          <w:tcPr>
            <w:tcW w:w="1523" w:type="pct"/>
            <w:tcBorders>
              <w:top w:val="single" w:sz="4" w:space="0" w:color="000000"/>
              <w:left w:val="single" w:sz="4" w:space="0" w:color="000000"/>
              <w:bottom w:val="single" w:sz="4" w:space="0" w:color="000000"/>
              <w:right w:val="single" w:sz="4" w:space="0" w:color="000000"/>
            </w:tcBorders>
            <w:tcMar>
              <w:top w:w="28" w:type="dxa"/>
              <w:left w:w="113" w:type="dxa"/>
              <w:bottom w:w="28" w:type="dxa"/>
              <w:right w:w="115" w:type="dxa"/>
            </w:tcMar>
            <w:hideMark/>
          </w:tcPr>
          <w:p w14:paraId="138C5B62" w14:textId="77777777" w:rsidR="00D41138" w:rsidRPr="00401ECA" w:rsidRDefault="00D41138" w:rsidP="00F526B8">
            <w:pPr>
              <w:rPr>
                <w:sz w:val="22"/>
                <w:szCs w:val="22"/>
                <w:lang w:val="ru-RU" w:eastAsia="ru-RU"/>
              </w:rPr>
            </w:pPr>
            <w:r w:rsidRPr="00401ECA">
              <w:rPr>
                <w:sz w:val="22"/>
                <w:szCs w:val="22"/>
                <w:lang w:val="ru-RU" w:eastAsia="ru-RU"/>
              </w:rPr>
              <w:t xml:space="preserve">almindelig </w:t>
            </w:r>
          </w:p>
        </w:tc>
      </w:tr>
      <w:tr w:rsidR="00D41138" w:rsidRPr="00401ECA" w14:paraId="00F2E3F7" w14:textId="77777777" w:rsidTr="00F526B8">
        <w:trPr>
          <w:trHeight w:val="227"/>
        </w:trPr>
        <w:tc>
          <w:tcPr>
            <w:tcW w:w="1705" w:type="pct"/>
            <w:vMerge/>
            <w:tcBorders>
              <w:top w:val="single" w:sz="4" w:space="0" w:color="000000"/>
              <w:left w:val="single" w:sz="4" w:space="0" w:color="000000"/>
              <w:bottom w:val="single" w:sz="4" w:space="0" w:color="000000"/>
              <w:right w:val="single" w:sz="4" w:space="0" w:color="000000"/>
            </w:tcBorders>
            <w:vAlign w:val="center"/>
            <w:hideMark/>
          </w:tcPr>
          <w:p w14:paraId="65F40E73" w14:textId="77777777" w:rsidR="00D41138" w:rsidRPr="00401ECA" w:rsidRDefault="00D41138" w:rsidP="00F526B8">
            <w:pPr>
              <w:rPr>
                <w:sz w:val="22"/>
                <w:szCs w:val="22"/>
                <w:lang w:val="ru-RU" w:eastAsia="ru-RU"/>
              </w:rPr>
            </w:pPr>
          </w:p>
        </w:tc>
        <w:tc>
          <w:tcPr>
            <w:tcW w:w="1772" w:type="pct"/>
            <w:tcBorders>
              <w:top w:val="single" w:sz="4" w:space="0" w:color="000000"/>
              <w:left w:val="single" w:sz="4" w:space="0" w:color="000000"/>
              <w:bottom w:val="single" w:sz="4" w:space="0" w:color="000000"/>
              <w:right w:val="single" w:sz="4" w:space="0" w:color="000000"/>
            </w:tcBorders>
            <w:tcMar>
              <w:top w:w="28" w:type="dxa"/>
              <w:left w:w="113" w:type="dxa"/>
              <w:bottom w:w="28" w:type="dxa"/>
              <w:right w:w="115" w:type="dxa"/>
            </w:tcMar>
            <w:hideMark/>
          </w:tcPr>
          <w:p w14:paraId="5EDB2CF7" w14:textId="77777777" w:rsidR="00D41138" w:rsidRPr="00401ECA" w:rsidRDefault="00D41138" w:rsidP="00F526B8">
            <w:pPr>
              <w:rPr>
                <w:sz w:val="22"/>
                <w:szCs w:val="22"/>
                <w:lang w:val="ru-RU" w:eastAsia="ru-RU"/>
              </w:rPr>
            </w:pPr>
            <w:r w:rsidRPr="00401ECA">
              <w:rPr>
                <w:sz w:val="22"/>
                <w:szCs w:val="22"/>
                <w:lang w:val="ru-RU" w:eastAsia="ru-RU"/>
              </w:rPr>
              <w:t xml:space="preserve">Tinnitus </w:t>
            </w:r>
          </w:p>
        </w:tc>
        <w:tc>
          <w:tcPr>
            <w:tcW w:w="1523" w:type="pct"/>
            <w:tcBorders>
              <w:top w:val="single" w:sz="4" w:space="0" w:color="000000"/>
              <w:left w:val="single" w:sz="4" w:space="0" w:color="000000"/>
              <w:bottom w:val="single" w:sz="4" w:space="0" w:color="000000"/>
              <w:right w:val="single" w:sz="4" w:space="0" w:color="000000"/>
            </w:tcBorders>
            <w:tcMar>
              <w:top w:w="28" w:type="dxa"/>
              <w:left w:w="113" w:type="dxa"/>
              <w:bottom w:w="28" w:type="dxa"/>
              <w:right w:w="115" w:type="dxa"/>
            </w:tcMar>
            <w:hideMark/>
          </w:tcPr>
          <w:p w14:paraId="1958DBBF" w14:textId="77777777" w:rsidR="00D41138" w:rsidRPr="00401ECA" w:rsidRDefault="00D41138" w:rsidP="00F526B8">
            <w:pPr>
              <w:rPr>
                <w:sz w:val="22"/>
                <w:szCs w:val="22"/>
                <w:lang w:val="ru-RU" w:eastAsia="ru-RU"/>
              </w:rPr>
            </w:pPr>
            <w:r w:rsidRPr="00401ECA">
              <w:rPr>
                <w:sz w:val="22"/>
                <w:szCs w:val="22"/>
                <w:lang w:val="ru-RU" w:eastAsia="ru-RU"/>
              </w:rPr>
              <w:t xml:space="preserve">almindelig </w:t>
            </w:r>
          </w:p>
        </w:tc>
      </w:tr>
      <w:tr w:rsidR="00D41138" w:rsidRPr="00401ECA" w14:paraId="3CEF52A4" w14:textId="77777777" w:rsidTr="00F526B8">
        <w:trPr>
          <w:trHeight w:val="227"/>
        </w:trPr>
        <w:tc>
          <w:tcPr>
            <w:tcW w:w="1705" w:type="pct"/>
            <w:vMerge/>
            <w:tcBorders>
              <w:top w:val="single" w:sz="4" w:space="0" w:color="000000"/>
              <w:left w:val="single" w:sz="4" w:space="0" w:color="000000"/>
              <w:bottom w:val="single" w:sz="4" w:space="0" w:color="000000"/>
              <w:right w:val="single" w:sz="4" w:space="0" w:color="000000"/>
            </w:tcBorders>
            <w:vAlign w:val="center"/>
            <w:hideMark/>
          </w:tcPr>
          <w:p w14:paraId="01202957" w14:textId="77777777" w:rsidR="00D41138" w:rsidRPr="00401ECA" w:rsidRDefault="00D41138" w:rsidP="00F526B8">
            <w:pPr>
              <w:rPr>
                <w:sz w:val="22"/>
                <w:szCs w:val="22"/>
                <w:lang w:val="ru-RU" w:eastAsia="ru-RU"/>
              </w:rPr>
            </w:pPr>
          </w:p>
        </w:tc>
        <w:tc>
          <w:tcPr>
            <w:tcW w:w="1772" w:type="pct"/>
            <w:tcBorders>
              <w:top w:val="single" w:sz="4" w:space="0" w:color="000000"/>
              <w:left w:val="single" w:sz="4" w:space="0" w:color="000000"/>
              <w:bottom w:val="single" w:sz="4" w:space="0" w:color="000000"/>
              <w:right w:val="single" w:sz="4" w:space="0" w:color="000000"/>
            </w:tcBorders>
            <w:tcMar>
              <w:top w:w="28" w:type="dxa"/>
              <w:left w:w="113" w:type="dxa"/>
              <w:bottom w:w="28" w:type="dxa"/>
              <w:right w:w="115" w:type="dxa"/>
            </w:tcMar>
            <w:hideMark/>
          </w:tcPr>
          <w:p w14:paraId="49DEA155" w14:textId="77777777" w:rsidR="00D41138" w:rsidRPr="00401ECA" w:rsidRDefault="00D41138" w:rsidP="00F526B8">
            <w:pPr>
              <w:rPr>
                <w:sz w:val="22"/>
                <w:szCs w:val="22"/>
                <w:lang w:val="ru-RU" w:eastAsia="ru-RU"/>
              </w:rPr>
            </w:pPr>
            <w:r w:rsidRPr="00401ECA">
              <w:rPr>
                <w:sz w:val="22"/>
                <w:szCs w:val="22"/>
                <w:lang w:val="ru-RU" w:eastAsia="ru-RU"/>
              </w:rPr>
              <w:t xml:space="preserve">Hyperæmi af trommehinde </w:t>
            </w:r>
          </w:p>
        </w:tc>
        <w:tc>
          <w:tcPr>
            <w:tcW w:w="1523" w:type="pct"/>
            <w:tcBorders>
              <w:top w:val="single" w:sz="4" w:space="0" w:color="000000"/>
              <w:left w:val="single" w:sz="4" w:space="0" w:color="000000"/>
              <w:bottom w:val="single" w:sz="4" w:space="0" w:color="000000"/>
              <w:right w:val="single" w:sz="4" w:space="0" w:color="000000"/>
            </w:tcBorders>
            <w:tcMar>
              <w:top w:w="28" w:type="dxa"/>
              <w:left w:w="113" w:type="dxa"/>
              <w:bottom w:w="28" w:type="dxa"/>
              <w:right w:w="115" w:type="dxa"/>
            </w:tcMar>
            <w:hideMark/>
          </w:tcPr>
          <w:p w14:paraId="7CE01E17" w14:textId="77777777" w:rsidR="00D41138" w:rsidRPr="00401ECA" w:rsidRDefault="00D41138" w:rsidP="00F526B8">
            <w:pPr>
              <w:rPr>
                <w:sz w:val="22"/>
                <w:szCs w:val="22"/>
                <w:lang w:val="ru-RU" w:eastAsia="ru-RU"/>
              </w:rPr>
            </w:pPr>
            <w:r w:rsidRPr="00401ECA">
              <w:rPr>
                <w:sz w:val="22"/>
                <w:szCs w:val="22"/>
                <w:lang w:val="ru-RU" w:eastAsia="ru-RU"/>
              </w:rPr>
              <w:t xml:space="preserve">almindelig </w:t>
            </w:r>
          </w:p>
        </w:tc>
      </w:tr>
      <w:tr w:rsidR="00D41138" w:rsidRPr="00401ECA" w14:paraId="621AAE4B" w14:textId="77777777" w:rsidTr="00F526B8">
        <w:trPr>
          <w:trHeight w:val="227"/>
        </w:trPr>
        <w:tc>
          <w:tcPr>
            <w:tcW w:w="1705" w:type="pct"/>
            <w:vMerge/>
            <w:tcBorders>
              <w:top w:val="single" w:sz="4" w:space="0" w:color="000000"/>
              <w:left w:val="single" w:sz="4" w:space="0" w:color="000000"/>
              <w:bottom w:val="single" w:sz="4" w:space="0" w:color="000000"/>
              <w:right w:val="single" w:sz="4" w:space="0" w:color="000000"/>
            </w:tcBorders>
            <w:vAlign w:val="center"/>
            <w:hideMark/>
          </w:tcPr>
          <w:p w14:paraId="444221D6" w14:textId="77777777" w:rsidR="00D41138" w:rsidRPr="00401ECA" w:rsidRDefault="00D41138" w:rsidP="00F526B8">
            <w:pPr>
              <w:rPr>
                <w:sz w:val="22"/>
                <w:szCs w:val="22"/>
                <w:lang w:val="ru-RU" w:eastAsia="ru-RU"/>
              </w:rPr>
            </w:pPr>
          </w:p>
        </w:tc>
        <w:tc>
          <w:tcPr>
            <w:tcW w:w="1772" w:type="pct"/>
            <w:tcBorders>
              <w:top w:val="single" w:sz="4" w:space="0" w:color="000000"/>
              <w:left w:val="single" w:sz="4" w:space="0" w:color="000000"/>
              <w:bottom w:val="single" w:sz="4" w:space="0" w:color="000000"/>
              <w:right w:val="single" w:sz="4" w:space="0" w:color="000000"/>
            </w:tcBorders>
            <w:tcMar>
              <w:top w:w="28" w:type="dxa"/>
              <w:left w:w="113" w:type="dxa"/>
              <w:bottom w:w="28" w:type="dxa"/>
              <w:right w:w="115" w:type="dxa"/>
            </w:tcMar>
            <w:hideMark/>
          </w:tcPr>
          <w:p w14:paraId="3818FACA" w14:textId="77777777" w:rsidR="00D41138" w:rsidRPr="00401ECA" w:rsidRDefault="00D41138" w:rsidP="00F526B8">
            <w:pPr>
              <w:rPr>
                <w:sz w:val="22"/>
                <w:szCs w:val="22"/>
                <w:lang w:val="ru-RU" w:eastAsia="ru-RU"/>
              </w:rPr>
            </w:pPr>
            <w:r w:rsidRPr="00401ECA">
              <w:rPr>
                <w:sz w:val="22"/>
                <w:szCs w:val="22"/>
                <w:lang w:val="ru-RU" w:eastAsia="ru-RU"/>
              </w:rPr>
              <w:t xml:space="preserve">Vestibulær sygdom </w:t>
            </w:r>
          </w:p>
        </w:tc>
        <w:tc>
          <w:tcPr>
            <w:tcW w:w="1523" w:type="pct"/>
            <w:tcBorders>
              <w:top w:val="single" w:sz="4" w:space="0" w:color="000000"/>
              <w:left w:val="single" w:sz="4" w:space="0" w:color="000000"/>
              <w:bottom w:val="single" w:sz="4" w:space="0" w:color="000000"/>
              <w:right w:val="single" w:sz="4" w:space="0" w:color="000000"/>
            </w:tcBorders>
            <w:tcMar>
              <w:top w:w="28" w:type="dxa"/>
              <w:left w:w="113" w:type="dxa"/>
              <w:bottom w:w="28" w:type="dxa"/>
              <w:right w:w="115" w:type="dxa"/>
            </w:tcMar>
            <w:hideMark/>
          </w:tcPr>
          <w:p w14:paraId="3159EE60" w14:textId="77777777" w:rsidR="00D41138" w:rsidRPr="00401ECA" w:rsidRDefault="00D41138" w:rsidP="00F526B8">
            <w:pPr>
              <w:rPr>
                <w:sz w:val="22"/>
                <w:szCs w:val="22"/>
                <w:lang w:val="ru-RU" w:eastAsia="ru-RU"/>
              </w:rPr>
            </w:pPr>
            <w:r w:rsidRPr="00401ECA">
              <w:rPr>
                <w:sz w:val="22"/>
                <w:szCs w:val="22"/>
                <w:lang w:val="ru-RU" w:eastAsia="ru-RU"/>
              </w:rPr>
              <w:t xml:space="preserve">almindelig </w:t>
            </w:r>
          </w:p>
        </w:tc>
      </w:tr>
      <w:tr w:rsidR="00D41138" w:rsidRPr="00401ECA" w14:paraId="49563454" w14:textId="77777777" w:rsidTr="00F526B8">
        <w:trPr>
          <w:trHeight w:val="227"/>
        </w:trPr>
        <w:tc>
          <w:tcPr>
            <w:tcW w:w="1705" w:type="pct"/>
            <w:vMerge/>
            <w:tcBorders>
              <w:top w:val="single" w:sz="4" w:space="0" w:color="000000"/>
              <w:left w:val="single" w:sz="4" w:space="0" w:color="000000"/>
              <w:bottom w:val="single" w:sz="4" w:space="0" w:color="000000"/>
              <w:right w:val="single" w:sz="4" w:space="0" w:color="000000"/>
            </w:tcBorders>
            <w:vAlign w:val="center"/>
            <w:hideMark/>
          </w:tcPr>
          <w:p w14:paraId="349D4FC9" w14:textId="77777777" w:rsidR="00D41138" w:rsidRPr="00401ECA" w:rsidRDefault="00D41138" w:rsidP="00F526B8">
            <w:pPr>
              <w:rPr>
                <w:sz w:val="22"/>
                <w:szCs w:val="22"/>
                <w:lang w:val="ru-RU" w:eastAsia="ru-RU"/>
              </w:rPr>
            </w:pPr>
          </w:p>
        </w:tc>
        <w:tc>
          <w:tcPr>
            <w:tcW w:w="1772" w:type="pct"/>
            <w:tcBorders>
              <w:top w:val="single" w:sz="4" w:space="0" w:color="000000"/>
              <w:left w:val="single" w:sz="4" w:space="0" w:color="000000"/>
              <w:bottom w:val="single" w:sz="4" w:space="0" w:color="000000"/>
              <w:right w:val="single" w:sz="4" w:space="0" w:color="000000"/>
            </w:tcBorders>
            <w:tcMar>
              <w:top w:w="28" w:type="dxa"/>
              <w:left w:w="113" w:type="dxa"/>
              <w:bottom w:w="28" w:type="dxa"/>
              <w:right w:w="115" w:type="dxa"/>
            </w:tcMar>
            <w:hideMark/>
          </w:tcPr>
          <w:p w14:paraId="120A9203" w14:textId="77777777" w:rsidR="00D41138" w:rsidRPr="00401ECA" w:rsidRDefault="00D41138" w:rsidP="00F526B8">
            <w:pPr>
              <w:rPr>
                <w:sz w:val="22"/>
                <w:szCs w:val="22"/>
                <w:lang w:val="ru-RU" w:eastAsia="ru-RU"/>
              </w:rPr>
            </w:pPr>
            <w:r w:rsidRPr="00401ECA">
              <w:rPr>
                <w:sz w:val="22"/>
                <w:szCs w:val="22"/>
                <w:lang w:val="ru-RU" w:eastAsia="ru-RU"/>
              </w:rPr>
              <w:t xml:space="preserve">Tilstoppet øre </w:t>
            </w:r>
          </w:p>
        </w:tc>
        <w:tc>
          <w:tcPr>
            <w:tcW w:w="1523" w:type="pct"/>
            <w:tcBorders>
              <w:top w:val="single" w:sz="4" w:space="0" w:color="000000"/>
              <w:left w:val="single" w:sz="4" w:space="0" w:color="000000"/>
              <w:bottom w:val="single" w:sz="4" w:space="0" w:color="000000"/>
              <w:right w:val="single" w:sz="4" w:space="0" w:color="000000"/>
            </w:tcBorders>
            <w:tcMar>
              <w:top w:w="28" w:type="dxa"/>
              <w:left w:w="113" w:type="dxa"/>
              <w:bottom w:w="28" w:type="dxa"/>
              <w:right w:w="115" w:type="dxa"/>
            </w:tcMar>
            <w:hideMark/>
          </w:tcPr>
          <w:p w14:paraId="3A903536" w14:textId="77777777" w:rsidR="00D41138" w:rsidRPr="00401ECA" w:rsidRDefault="00D41138" w:rsidP="00F526B8">
            <w:pPr>
              <w:rPr>
                <w:sz w:val="22"/>
                <w:szCs w:val="22"/>
                <w:lang w:val="ru-RU" w:eastAsia="ru-RU"/>
              </w:rPr>
            </w:pPr>
            <w:r w:rsidRPr="00401ECA">
              <w:rPr>
                <w:sz w:val="22"/>
                <w:szCs w:val="22"/>
                <w:lang w:val="ru-RU" w:eastAsia="ru-RU"/>
              </w:rPr>
              <w:t xml:space="preserve">ikke almindelig </w:t>
            </w:r>
          </w:p>
        </w:tc>
      </w:tr>
      <w:tr w:rsidR="00D41138" w:rsidRPr="00401ECA" w14:paraId="54D59B71" w14:textId="77777777" w:rsidTr="00F526B8">
        <w:trPr>
          <w:trHeight w:val="227"/>
        </w:trPr>
        <w:tc>
          <w:tcPr>
            <w:tcW w:w="1705" w:type="pct"/>
            <w:vMerge w:val="restart"/>
            <w:tcBorders>
              <w:top w:val="single" w:sz="4" w:space="0" w:color="000000"/>
              <w:left w:val="single" w:sz="4" w:space="0" w:color="000000"/>
              <w:bottom w:val="single" w:sz="4" w:space="0" w:color="000000"/>
              <w:right w:val="single" w:sz="4" w:space="0" w:color="000000"/>
            </w:tcBorders>
            <w:tcMar>
              <w:top w:w="28" w:type="dxa"/>
              <w:left w:w="113" w:type="dxa"/>
              <w:bottom w:w="28" w:type="dxa"/>
              <w:right w:w="115" w:type="dxa"/>
            </w:tcMar>
            <w:hideMark/>
          </w:tcPr>
          <w:p w14:paraId="0B2260F2" w14:textId="77777777" w:rsidR="00D41138" w:rsidRPr="00401ECA" w:rsidRDefault="00D41138" w:rsidP="00F526B8">
            <w:pPr>
              <w:rPr>
                <w:sz w:val="22"/>
                <w:szCs w:val="22"/>
                <w:lang w:val="ru-RU" w:eastAsia="ru-RU"/>
              </w:rPr>
            </w:pPr>
            <w:r w:rsidRPr="00401ECA">
              <w:rPr>
                <w:sz w:val="22"/>
                <w:szCs w:val="22"/>
                <w:lang w:val="ru-RU" w:eastAsia="ru-RU"/>
              </w:rPr>
              <w:t xml:space="preserve">Luftveje, thorax og mediastinum </w:t>
            </w:r>
          </w:p>
        </w:tc>
        <w:tc>
          <w:tcPr>
            <w:tcW w:w="1772" w:type="pct"/>
            <w:tcBorders>
              <w:top w:val="single" w:sz="4" w:space="0" w:color="000000"/>
              <w:left w:val="single" w:sz="4" w:space="0" w:color="000000"/>
              <w:bottom w:val="single" w:sz="4" w:space="0" w:color="000000"/>
              <w:right w:val="single" w:sz="4" w:space="0" w:color="000000"/>
            </w:tcBorders>
            <w:tcMar>
              <w:top w:w="28" w:type="dxa"/>
              <w:left w:w="113" w:type="dxa"/>
              <w:bottom w:w="28" w:type="dxa"/>
              <w:right w:w="115" w:type="dxa"/>
            </w:tcMar>
            <w:hideMark/>
          </w:tcPr>
          <w:p w14:paraId="40EDE301" w14:textId="77777777" w:rsidR="00D41138" w:rsidRPr="00401ECA" w:rsidRDefault="00D41138" w:rsidP="00F526B8">
            <w:pPr>
              <w:rPr>
                <w:sz w:val="22"/>
                <w:szCs w:val="22"/>
                <w:lang w:val="ru-RU" w:eastAsia="ru-RU"/>
              </w:rPr>
            </w:pPr>
            <w:r w:rsidRPr="00401ECA">
              <w:rPr>
                <w:sz w:val="22"/>
                <w:szCs w:val="22"/>
                <w:lang w:val="ru-RU" w:eastAsia="ru-RU"/>
              </w:rPr>
              <w:t xml:space="preserve">Orofaryngeale smerter </w:t>
            </w:r>
          </w:p>
        </w:tc>
        <w:tc>
          <w:tcPr>
            <w:tcW w:w="1523" w:type="pct"/>
            <w:tcBorders>
              <w:top w:val="single" w:sz="4" w:space="0" w:color="000000"/>
              <w:left w:val="single" w:sz="4" w:space="0" w:color="000000"/>
              <w:bottom w:val="single" w:sz="4" w:space="0" w:color="000000"/>
              <w:right w:val="single" w:sz="4" w:space="0" w:color="000000"/>
            </w:tcBorders>
            <w:tcMar>
              <w:top w:w="28" w:type="dxa"/>
              <w:left w:w="113" w:type="dxa"/>
              <w:bottom w:w="28" w:type="dxa"/>
              <w:right w:w="115" w:type="dxa"/>
            </w:tcMar>
            <w:hideMark/>
          </w:tcPr>
          <w:p w14:paraId="012A74F5" w14:textId="77777777" w:rsidR="00D41138" w:rsidRPr="00401ECA" w:rsidRDefault="00D41138" w:rsidP="00F526B8">
            <w:pPr>
              <w:rPr>
                <w:sz w:val="22"/>
                <w:szCs w:val="22"/>
                <w:lang w:val="ru-RU" w:eastAsia="ru-RU"/>
              </w:rPr>
            </w:pPr>
            <w:r w:rsidRPr="00401ECA">
              <w:rPr>
                <w:sz w:val="22"/>
                <w:szCs w:val="22"/>
                <w:lang w:val="ru-RU" w:eastAsia="ru-RU"/>
              </w:rPr>
              <w:t xml:space="preserve">meget almindelig </w:t>
            </w:r>
          </w:p>
        </w:tc>
      </w:tr>
      <w:tr w:rsidR="00D41138" w:rsidRPr="00401ECA" w14:paraId="46A7F239" w14:textId="77777777" w:rsidTr="00F526B8">
        <w:trPr>
          <w:trHeight w:val="227"/>
        </w:trPr>
        <w:tc>
          <w:tcPr>
            <w:tcW w:w="1705" w:type="pct"/>
            <w:vMerge/>
            <w:tcBorders>
              <w:top w:val="single" w:sz="4" w:space="0" w:color="000000"/>
              <w:left w:val="single" w:sz="4" w:space="0" w:color="000000"/>
              <w:bottom w:val="single" w:sz="4" w:space="0" w:color="000000"/>
              <w:right w:val="single" w:sz="4" w:space="0" w:color="000000"/>
            </w:tcBorders>
            <w:vAlign w:val="center"/>
            <w:hideMark/>
          </w:tcPr>
          <w:p w14:paraId="21B91FFC" w14:textId="77777777" w:rsidR="00D41138" w:rsidRPr="00401ECA" w:rsidRDefault="00D41138" w:rsidP="00F526B8">
            <w:pPr>
              <w:rPr>
                <w:sz w:val="22"/>
                <w:szCs w:val="22"/>
                <w:lang w:val="ru-RU" w:eastAsia="ru-RU"/>
              </w:rPr>
            </w:pPr>
          </w:p>
        </w:tc>
        <w:tc>
          <w:tcPr>
            <w:tcW w:w="1772" w:type="pct"/>
            <w:tcBorders>
              <w:top w:val="single" w:sz="4" w:space="0" w:color="000000"/>
              <w:left w:val="single" w:sz="4" w:space="0" w:color="000000"/>
              <w:bottom w:val="single" w:sz="4" w:space="0" w:color="000000"/>
              <w:right w:val="single" w:sz="4" w:space="0" w:color="000000"/>
            </w:tcBorders>
            <w:tcMar>
              <w:top w:w="28" w:type="dxa"/>
              <w:left w:w="113" w:type="dxa"/>
              <w:bottom w:w="28" w:type="dxa"/>
              <w:right w:w="115" w:type="dxa"/>
            </w:tcMar>
            <w:hideMark/>
          </w:tcPr>
          <w:p w14:paraId="560CD4FF" w14:textId="77777777" w:rsidR="00D41138" w:rsidRPr="00401ECA" w:rsidRDefault="00D41138" w:rsidP="00F526B8">
            <w:pPr>
              <w:rPr>
                <w:sz w:val="22"/>
                <w:szCs w:val="22"/>
                <w:lang w:val="ru-RU" w:eastAsia="ru-RU"/>
              </w:rPr>
            </w:pPr>
            <w:r w:rsidRPr="00401ECA">
              <w:rPr>
                <w:sz w:val="22"/>
                <w:szCs w:val="22"/>
                <w:lang w:val="ru-RU" w:eastAsia="ru-RU"/>
              </w:rPr>
              <w:t xml:space="preserve">Tilstoppet næse </w:t>
            </w:r>
          </w:p>
        </w:tc>
        <w:tc>
          <w:tcPr>
            <w:tcW w:w="1523" w:type="pct"/>
            <w:tcBorders>
              <w:top w:val="single" w:sz="4" w:space="0" w:color="000000"/>
              <w:left w:val="single" w:sz="4" w:space="0" w:color="000000"/>
              <w:bottom w:val="single" w:sz="4" w:space="0" w:color="000000"/>
              <w:right w:val="single" w:sz="4" w:space="0" w:color="000000"/>
            </w:tcBorders>
            <w:tcMar>
              <w:top w:w="28" w:type="dxa"/>
              <w:left w:w="113" w:type="dxa"/>
              <w:bottom w:w="28" w:type="dxa"/>
              <w:right w:w="115" w:type="dxa"/>
            </w:tcMar>
            <w:hideMark/>
          </w:tcPr>
          <w:p w14:paraId="45541B4B" w14:textId="77777777" w:rsidR="00D41138" w:rsidRPr="00401ECA" w:rsidRDefault="00D41138" w:rsidP="00F526B8">
            <w:pPr>
              <w:rPr>
                <w:sz w:val="22"/>
                <w:szCs w:val="22"/>
                <w:lang w:val="ru-RU" w:eastAsia="ru-RU"/>
              </w:rPr>
            </w:pPr>
            <w:r w:rsidRPr="00401ECA">
              <w:rPr>
                <w:sz w:val="22"/>
                <w:szCs w:val="22"/>
                <w:lang w:val="ru-RU" w:eastAsia="ru-RU"/>
              </w:rPr>
              <w:t xml:space="preserve">meget almindelig </w:t>
            </w:r>
          </w:p>
        </w:tc>
      </w:tr>
      <w:tr w:rsidR="00D41138" w:rsidRPr="00401ECA" w14:paraId="6C824A6F" w14:textId="77777777" w:rsidTr="00F526B8">
        <w:trPr>
          <w:trHeight w:val="227"/>
        </w:trPr>
        <w:tc>
          <w:tcPr>
            <w:tcW w:w="1705" w:type="pct"/>
            <w:vMerge/>
            <w:tcBorders>
              <w:top w:val="single" w:sz="4" w:space="0" w:color="000000"/>
              <w:left w:val="single" w:sz="4" w:space="0" w:color="000000"/>
              <w:bottom w:val="single" w:sz="4" w:space="0" w:color="000000"/>
              <w:right w:val="single" w:sz="4" w:space="0" w:color="000000"/>
            </w:tcBorders>
            <w:vAlign w:val="center"/>
            <w:hideMark/>
          </w:tcPr>
          <w:p w14:paraId="340456B7" w14:textId="77777777" w:rsidR="00D41138" w:rsidRPr="00401ECA" w:rsidRDefault="00D41138" w:rsidP="00F526B8">
            <w:pPr>
              <w:rPr>
                <w:sz w:val="22"/>
                <w:szCs w:val="22"/>
                <w:lang w:val="ru-RU" w:eastAsia="ru-RU"/>
              </w:rPr>
            </w:pPr>
          </w:p>
        </w:tc>
        <w:tc>
          <w:tcPr>
            <w:tcW w:w="1772" w:type="pct"/>
            <w:tcBorders>
              <w:top w:val="single" w:sz="4" w:space="0" w:color="000000"/>
              <w:left w:val="single" w:sz="4" w:space="0" w:color="000000"/>
              <w:bottom w:val="single" w:sz="4" w:space="0" w:color="000000"/>
              <w:right w:val="single" w:sz="4" w:space="0" w:color="000000"/>
            </w:tcBorders>
            <w:tcMar>
              <w:top w:w="28" w:type="dxa"/>
              <w:left w:w="113" w:type="dxa"/>
              <w:bottom w:w="28" w:type="dxa"/>
              <w:right w:w="115" w:type="dxa"/>
            </w:tcMar>
            <w:hideMark/>
          </w:tcPr>
          <w:p w14:paraId="257F7470" w14:textId="77777777" w:rsidR="00D41138" w:rsidRPr="00401ECA" w:rsidRDefault="00D41138" w:rsidP="00F526B8">
            <w:pPr>
              <w:rPr>
                <w:sz w:val="22"/>
                <w:szCs w:val="22"/>
                <w:lang w:val="ru-RU" w:eastAsia="ru-RU"/>
              </w:rPr>
            </w:pPr>
            <w:r w:rsidRPr="00401ECA">
              <w:rPr>
                <w:sz w:val="22"/>
                <w:szCs w:val="22"/>
                <w:lang w:val="ru-RU" w:eastAsia="ru-RU"/>
              </w:rPr>
              <w:t>Unormal vejrtrækning</w:t>
            </w:r>
            <w:r w:rsidRPr="00401ECA">
              <w:rPr>
                <w:sz w:val="22"/>
                <w:szCs w:val="22"/>
                <w:vertAlign w:val="superscript"/>
                <w:lang w:val="ru-RU" w:eastAsia="ru-RU"/>
              </w:rPr>
              <w:t>†</w:t>
            </w:r>
            <w:r w:rsidRPr="00401ECA">
              <w:rPr>
                <w:sz w:val="22"/>
                <w:szCs w:val="22"/>
                <w:lang w:val="ru-RU" w:eastAsia="ru-RU"/>
              </w:rPr>
              <w:t xml:space="preserve"> </w:t>
            </w:r>
          </w:p>
        </w:tc>
        <w:tc>
          <w:tcPr>
            <w:tcW w:w="1523" w:type="pct"/>
            <w:tcBorders>
              <w:top w:val="single" w:sz="4" w:space="0" w:color="000000"/>
              <w:left w:val="single" w:sz="4" w:space="0" w:color="000000"/>
              <w:bottom w:val="single" w:sz="4" w:space="0" w:color="000000"/>
              <w:right w:val="single" w:sz="4" w:space="0" w:color="000000"/>
            </w:tcBorders>
            <w:tcMar>
              <w:top w:w="28" w:type="dxa"/>
              <w:left w:w="113" w:type="dxa"/>
              <w:bottom w:w="28" w:type="dxa"/>
              <w:right w:w="115" w:type="dxa"/>
            </w:tcMar>
            <w:hideMark/>
          </w:tcPr>
          <w:p w14:paraId="25A2AAE1" w14:textId="77777777" w:rsidR="00D41138" w:rsidRPr="00401ECA" w:rsidRDefault="00D41138" w:rsidP="00F526B8">
            <w:pPr>
              <w:rPr>
                <w:sz w:val="22"/>
                <w:szCs w:val="22"/>
                <w:lang w:val="ru-RU" w:eastAsia="ru-RU"/>
              </w:rPr>
            </w:pPr>
            <w:r w:rsidRPr="00401ECA">
              <w:rPr>
                <w:sz w:val="22"/>
                <w:szCs w:val="22"/>
                <w:lang w:val="ru-RU" w:eastAsia="ru-RU"/>
              </w:rPr>
              <w:t xml:space="preserve">almindelig </w:t>
            </w:r>
          </w:p>
        </w:tc>
      </w:tr>
      <w:tr w:rsidR="00D41138" w:rsidRPr="00401ECA" w14:paraId="1A3473A9" w14:textId="77777777" w:rsidTr="00F526B8">
        <w:trPr>
          <w:trHeight w:val="227"/>
        </w:trPr>
        <w:tc>
          <w:tcPr>
            <w:tcW w:w="1705" w:type="pct"/>
            <w:vMerge/>
            <w:tcBorders>
              <w:top w:val="single" w:sz="4" w:space="0" w:color="000000"/>
              <w:left w:val="single" w:sz="4" w:space="0" w:color="000000"/>
              <w:bottom w:val="single" w:sz="4" w:space="0" w:color="000000"/>
              <w:right w:val="single" w:sz="4" w:space="0" w:color="000000"/>
            </w:tcBorders>
            <w:vAlign w:val="center"/>
            <w:hideMark/>
          </w:tcPr>
          <w:p w14:paraId="5D6E7637" w14:textId="77777777" w:rsidR="00D41138" w:rsidRPr="00401ECA" w:rsidRDefault="00D41138" w:rsidP="00F526B8">
            <w:pPr>
              <w:rPr>
                <w:sz w:val="22"/>
                <w:szCs w:val="22"/>
                <w:lang w:val="ru-RU" w:eastAsia="ru-RU"/>
              </w:rPr>
            </w:pPr>
          </w:p>
        </w:tc>
        <w:tc>
          <w:tcPr>
            <w:tcW w:w="1772" w:type="pct"/>
            <w:tcBorders>
              <w:top w:val="single" w:sz="4" w:space="0" w:color="000000"/>
              <w:left w:val="single" w:sz="4" w:space="0" w:color="000000"/>
              <w:bottom w:val="single" w:sz="4" w:space="0" w:color="000000"/>
              <w:right w:val="single" w:sz="4" w:space="0" w:color="000000"/>
            </w:tcBorders>
            <w:tcMar>
              <w:top w:w="28" w:type="dxa"/>
              <w:left w:w="113" w:type="dxa"/>
              <w:bottom w:w="28" w:type="dxa"/>
              <w:right w:w="115" w:type="dxa"/>
            </w:tcMar>
            <w:hideMark/>
          </w:tcPr>
          <w:p w14:paraId="71B9F96A" w14:textId="77777777" w:rsidR="00D41138" w:rsidRPr="00401ECA" w:rsidRDefault="00D41138" w:rsidP="00F526B8">
            <w:pPr>
              <w:rPr>
                <w:sz w:val="22"/>
                <w:szCs w:val="22"/>
                <w:lang w:val="ru-RU" w:eastAsia="ru-RU"/>
              </w:rPr>
            </w:pPr>
            <w:r w:rsidRPr="00401ECA">
              <w:rPr>
                <w:sz w:val="22"/>
                <w:szCs w:val="22"/>
                <w:lang w:val="ru-RU" w:eastAsia="ru-RU"/>
              </w:rPr>
              <w:t>Rhinorré</w:t>
            </w:r>
            <w:r w:rsidRPr="00401ECA">
              <w:rPr>
                <w:sz w:val="22"/>
                <w:szCs w:val="22"/>
                <w:vertAlign w:val="superscript"/>
                <w:lang w:val="ru-RU" w:eastAsia="ru-RU"/>
              </w:rPr>
              <w:t>†</w:t>
            </w:r>
            <w:r w:rsidRPr="00401ECA">
              <w:rPr>
                <w:sz w:val="22"/>
                <w:szCs w:val="22"/>
                <w:lang w:val="ru-RU" w:eastAsia="ru-RU"/>
              </w:rPr>
              <w:t xml:space="preserve"> </w:t>
            </w:r>
          </w:p>
        </w:tc>
        <w:tc>
          <w:tcPr>
            <w:tcW w:w="1523" w:type="pct"/>
            <w:tcBorders>
              <w:top w:val="single" w:sz="4" w:space="0" w:color="000000"/>
              <w:left w:val="single" w:sz="4" w:space="0" w:color="000000"/>
              <w:bottom w:val="single" w:sz="4" w:space="0" w:color="000000"/>
              <w:right w:val="single" w:sz="4" w:space="0" w:color="000000"/>
            </w:tcBorders>
            <w:tcMar>
              <w:top w:w="28" w:type="dxa"/>
              <w:left w:w="113" w:type="dxa"/>
              <w:bottom w:w="28" w:type="dxa"/>
              <w:right w:w="115" w:type="dxa"/>
            </w:tcMar>
            <w:hideMark/>
          </w:tcPr>
          <w:p w14:paraId="06A244C2" w14:textId="77777777" w:rsidR="00D41138" w:rsidRPr="00401ECA" w:rsidRDefault="00D41138" w:rsidP="00F526B8">
            <w:pPr>
              <w:rPr>
                <w:sz w:val="22"/>
                <w:szCs w:val="22"/>
                <w:lang w:val="ru-RU" w:eastAsia="ru-RU"/>
              </w:rPr>
            </w:pPr>
            <w:r w:rsidRPr="00401ECA">
              <w:rPr>
                <w:sz w:val="22"/>
                <w:szCs w:val="22"/>
                <w:lang w:val="ru-RU" w:eastAsia="ru-RU"/>
              </w:rPr>
              <w:t xml:space="preserve">almindelig </w:t>
            </w:r>
          </w:p>
        </w:tc>
      </w:tr>
      <w:tr w:rsidR="00D41138" w:rsidRPr="00401ECA" w14:paraId="0DF65FE9" w14:textId="77777777" w:rsidTr="00F526B8">
        <w:trPr>
          <w:trHeight w:val="227"/>
        </w:trPr>
        <w:tc>
          <w:tcPr>
            <w:tcW w:w="1705" w:type="pct"/>
            <w:vMerge/>
            <w:tcBorders>
              <w:top w:val="single" w:sz="4" w:space="0" w:color="000000"/>
              <w:left w:val="single" w:sz="4" w:space="0" w:color="000000"/>
              <w:bottom w:val="single" w:sz="4" w:space="0" w:color="000000"/>
              <w:right w:val="single" w:sz="4" w:space="0" w:color="000000"/>
            </w:tcBorders>
            <w:vAlign w:val="center"/>
            <w:hideMark/>
          </w:tcPr>
          <w:p w14:paraId="6945E22C" w14:textId="77777777" w:rsidR="00D41138" w:rsidRPr="00401ECA" w:rsidRDefault="00D41138" w:rsidP="00F526B8">
            <w:pPr>
              <w:rPr>
                <w:sz w:val="22"/>
                <w:szCs w:val="22"/>
                <w:lang w:val="ru-RU" w:eastAsia="ru-RU"/>
              </w:rPr>
            </w:pPr>
          </w:p>
        </w:tc>
        <w:tc>
          <w:tcPr>
            <w:tcW w:w="1772" w:type="pct"/>
            <w:tcBorders>
              <w:top w:val="single" w:sz="4" w:space="0" w:color="000000"/>
              <w:left w:val="single" w:sz="4" w:space="0" w:color="000000"/>
              <w:bottom w:val="single" w:sz="4" w:space="0" w:color="000000"/>
              <w:right w:val="single" w:sz="4" w:space="0" w:color="000000"/>
            </w:tcBorders>
            <w:tcMar>
              <w:top w:w="28" w:type="dxa"/>
              <w:left w:w="113" w:type="dxa"/>
              <w:bottom w:w="28" w:type="dxa"/>
              <w:right w:w="115" w:type="dxa"/>
            </w:tcMar>
            <w:hideMark/>
          </w:tcPr>
          <w:p w14:paraId="3902B2A3" w14:textId="77777777" w:rsidR="00D41138" w:rsidRPr="00401ECA" w:rsidRDefault="00D41138" w:rsidP="00F526B8">
            <w:pPr>
              <w:rPr>
                <w:sz w:val="22"/>
                <w:szCs w:val="22"/>
                <w:lang w:val="ru-RU" w:eastAsia="ru-RU"/>
              </w:rPr>
            </w:pPr>
            <w:r w:rsidRPr="00401ECA">
              <w:rPr>
                <w:sz w:val="22"/>
                <w:szCs w:val="22"/>
                <w:lang w:val="ru-RU" w:eastAsia="ru-RU"/>
              </w:rPr>
              <w:t xml:space="preserve">Tilstoppede bihuler </w:t>
            </w:r>
          </w:p>
        </w:tc>
        <w:tc>
          <w:tcPr>
            <w:tcW w:w="1523" w:type="pct"/>
            <w:tcBorders>
              <w:top w:val="single" w:sz="4" w:space="0" w:color="000000"/>
              <w:left w:val="single" w:sz="4" w:space="0" w:color="000000"/>
              <w:bottom w:val="single" w:sz="4" w:space="0" w:color="000000"/>
              <w:right w:val="single" w:sz="4" w:space="0" w:color="000000"/>
            </w:tcBorders>
            <w:tcMar>
              <w:top w:w="28" w:type="dxa"/>
              <w:left w:w="113" w:type="dxa"/>
              <w:bottom w:w="28" w:type="dxa"/>
              <w:right w:w="115" w:type="dxa"/>
            </w:tcMar>
            <w:hideMark/>
          </w:tcPr>
          <w:p w14:paraId="378BEC56" w14:textId="77777777" w:rsidR="00D41138" w:rsidRPr="00401ECA" w:rsidRDefault="00D41138" w:rsidP="00F526B8">
            <w:pPr>
              <w:rPr>
                <w:sz w:val="22"/>
                <w:szCs w:val="22"/>
                <w:lang w:val="ru-RU" w:eastAsia="ru-RU"/>
              </w:rPr>
            </w:pPr>
            <w:r w:rsidRPr="00401ECA">
              <w:rPr>
                <w:sz w:val="22"/>
                <w:szCs w:val="22"/>
                <w:lang w:val="ru-RU" w:eastAsia="ru-RU"/>
              </w:rPr>
              <w:t xml:space="preserve">almindelig </w:t>
            </w:r>
          </w:p>
        </w:tc>
      </w:tr>
      <w:tr w:rsidR="00D41138" w:rsidRPr="00401ECA" w14:paraId="2349EFDD" w14:textId="77777777" w:rsidTr="00F526B8">
        <w:trPr>
          <w:trHeight w:val="227"/>
        </w:trPr>
        <w:tc>
          <w:tcPr>
            <w:tcW w:w="1705" w:type="pct"/>
            <w:vMerge/>
            <w:tcBorders>
              <w:top w:val="single" w:sz="4" w:space="0" w:color="000000"/>
              <w:left w:val="single" w:sz="4" w:space="0" w:color="000000"/>
              <w:bottom w:val="single" w:sz="4" w:space="0" w:color="000000"/>
              <w:right w:val="single" w:sz="4" w:space="0" w:color="000000"/>
            </w:tcBorders>
            <w:vAlign w:val="center"/>
            <w:hideMark/>
          </w:tcPr>
          <w:p w14:paraId="3FCA17C1" w14:textId="77777777" w:rsidR="00D41138" w:rsidRPr="00401ECA" w:rsidRDefault="00D41138" w:rsidP="00F526B8">
            <w:pPr>
              <w:rPr>
                <w:sz w:val="22"/>
                <w:szCs w:val="22"/>
                <w:lang w:val="ru-RU" w:eastAsia="ru-RU"/>
              </w:rPr>
            </w:pPr>
          </w:p>
        </w:tc>
        <w:tc>
          <w:tcPr>
            <w:tcW w:w="1772" w:type="pct"/>
            <w:tcBorders>
              <w:top w:val="single" w:sz="4" w:space="0" w:color="000000"/>
              <w:left w:val="single" w:sz="4" w:space="0" w:color="000000"/>
              <w:bottom w:val="single" w:sz="4" w:space="0" w:color="000000"/>
              <w:right w:val="single" w:sz="4" w:space="0" w:color="000000"/>
            </w:tcBorders>
            <w:tcMar>
              <w:top w:w="28" w:type="dxa"/>
              <w:left w:w="113" w:type="dxa"/>
              <w:bottom w:w="28" w:type="dxa"/>
              <w:right w:w="115" w:type="dxa"/>
            </w:tcMar>
            <w:hideMark/>
          </w:tcPr>
          <w:p w14:paraId="46FE2419" w14:textId="77777777" w:rsidR="00D41138" w:rsidRPr="00401ECA" w:rsidRDefault="00D41138" w:rsidP="00F526B8">
            <w:pPr>
              <w:rPr>
                <w:sz w:val="22"/>
                <w:szCs w:val="22"/>
                <w:lang w:val="ru-RU" w:eastAsia="ru-RU"/>
              </w:rPr>
            </w:pPr>
            <w:r w:rsidRPr="00401ECA">
              <w:rPr>
                <w:sz w:val="22"/>
                <w:szCs w:val="22"/>
                <w:lang w:val="ru-RU" w:eastAsia="ru-RU"/>
              </w:rPr>
              <w:t xml:space="preserve">Faryngealt erytem </w:t>
            </w:r>
          </w:p>
        </w:tc>
        <w:tc>
          <w:tcPr>
            <w:tcW w:w="1523" w:type="pct"/>
            <w:tcBorders>
              <w:top w:val="single" w:sz="4" w:space="0" w:color="000000"/>
              <w:left w:val="single" w:sz="4" w:space="0" w:color="000000"/>
              <w:bottom w:val="single" w:sz="4" w:space="0" w:color="000000"/>
              <w:right w:val="single" w:sz="4" w:space="0" w:color="000000"/>
            </w:tcBorders>
            <w:tcMar>
              <w:top w:w="28" w:type="dxa"/>
              <w:left w:w="113" w:type="dxa"/>
              <w:bottom w:w="28" w:type="dxa"/>
              <w:right w:w="115" w:type="dxa"/>
            </w:tcMar>
            <w:hideMark/>
          </w:tcPr>
          <w:p w14:paraId="1EBBBCE2" w14:textId="77777777" w:rsidR="00D41138" w:rsidRPr="00401ECA" w:rsidRDefault="00D41138" w:rsidP="00F526B8">
            <w:pPr>
              <w:rPr>
                <w:sz w:val="22"/>
                <w:szCs w:val="22"/>
                <w:lang w:val="ru-RU" w:eastAsia="ru-RU"/>
              </w:rPr>
            </w:pPr>
            <w:r w:rsidRPr="00401ECA">
              <w:rPr>
                <w:sz w:val="22"/>
                <w:szCs w:val="22"/>
                <w:lang w:val="ru-RU" w:eastAsia="ru-RU"/>
              </w:rPr>
              <w:t xml:space="preserve">almindelig </w:t>
            </w:r>
          </w:p>
        </w:tc>
      </w:tr>
      <w:tr w:rsidR="00D41138" w:rsidRPr="00401ECA" w14:paraId="5596068F" w14:textId="77777777" w:rsidTr="00F526B8">
        <w:trPr>
          <w:trHeight w:val="227"/>
        </w:trPr>
        <w:tc>
          <w:tcPr>
            <w:tcW w:w="1705" w:type="pct"/>
            <w:vMerge/>
            <w:tcBorders>
              <w:top w:val="single" w:sz="4" w:space="0" w:color="000000"/>
              <w:left w:val="single" w:sz="4" w:space="0" w:color="000000"/>
              <w:bottom w:val="single" w:sz="4" w:space="0" w:color="000000"/>
              <w:right w:val="single" w:sz="4" w:space="0" w:color="000000"/>
            </w:tcBorders>
            <w:vAlign w:val="center"/>
            <w:hideMark/>
          </w:tcPr>
          <w:p w14:paraId="6683A8E1" w14:textId="77777777" w:rsidR="00D41138" w:rsidRPr="00401ECA" w:rsidRDefault="00D41138" w:rsidP="00F526B8">
            <w:pPr>
              <w:rPr>
                <w:sz w:val="22"/>
                <w:szCs w:val="22"/>
                <w:lang w:val="ru-RU" w:eastAsia="ru-RU"/>
              </w:rPr>
            </w:pPr>
          </w:p>
        </w:tc>
        <w:tc>
          <w:tcPr>
            <w:tcW w:w="1772" w:type="pct"/>
            <w:tcBorders>
              <w:top w:val="single" w:sz="4" w:space="0" w:color="000000"/>
              <w:left w:val="single" w:sz="4" w:space="0" w:color="000000"/>
              <w:bottom w:val="single" w:sz="4" w:space="0" w:color="000000"/>
              <w:right w:val="single" w:sz="4" w:space="0" w:color="000000"/>
            </w:tcBorders>
            <w:tcMar>
              <w:top w:w="28" w:type="dxa"/>
              <w:left w:w="113" w:type="dxa"/>
              <w:bottom w:w="28" w:type="dxa"/>
              <w:right w:w="115" w:type="dxa"/>
            </w:tcMar>
            <w:hideMark/>
          </w:tcPr>
          <w:p w14:paraId="63F2B766" w14:textId="77777777" w:rsidR="00D41138" w:rsidRPr="00401ECA" w:rsidRDefault="00D41138" w:rsidP="00F526B8">
            <w:pPr>
              <w:rPr>
                <w:sz w:val="22"/>
                <w:szCs w:val="22"/>
                <w:lang w:val="ru-RU" w:eastAsia="ru-RU"/>
              </w:rPr>
            </w:pPr>
            <w:r w:rsidRPr="00401ECA">
              <w:rPr>
                <w:sz w:val="22"/>
                <w:szCs w:val="22"/>
                <w:lang w:val="ru-RU" w:eastAsia="ru-RU"/>
              </w:rPr>
              <w:t>Pibende vejrtrækning</w:t>
            </w:r>
            <w:r w:rsidRPr="00401ECA">
              <w:rPr>
                <w:sz w:val="22"/>
                <w:szCs w:val="22"/>
                <w:vertAlign w:val="superscript"/>
                <w:lang w:val="ru-RU" w:eastAsia="ru-RU"/>
              </w:rPr>
              <w:t>†</w:t>
            </w:r>
            <w:r w:rsidRPr="00401ECA">
              <w:rPr>
                <w:sz w:val="22"/>
                <w:szCs w:val="22"/>
                <w:lang w:val="ru-RU" w:eastAsia="ru-RU"/>
              </w:rPr>
              <w:t xml:space="preserve"> </w:t>
            </w:r>
          </w:p>
        </w:tc>
        <w:tc>
          <w:tcPr>
            <w:tcW w:w="1523" w:type="pct"/>
            <w:tcBorders>
              <w:top w:val="single" w:sz="4" w:space="0" w:color="000000"/>
              <w:left w:val="single" w:sz="4" w:space="0" w:color="000000"/>
              <w:bottom w:val="single" w:sz="4" w:space="0" w:color="000000"/>
              <w:right w:val="single" w:sz="4" w:space="0" w:color="000000"/>
            </w:tcBorders>
            <w:tcMar>
              <w:top w:w="28" w:type="dxa"/>
              <w:left w:w="113" w:type="dxa"/>
              <w:bottom w:w="28" w:type="dxa"/>
              <w:right w:w="115" w:type="dxa"/>
            </w:tcMar>
            <w:hideMark/>
          </w:tcPr>
          <w:p w14:paraId="7172A0F7" w14:textId="77777777" w:rsidR="00D41138" w:rsidRPr="00401ECA" w:rsidRDefault="00D41138" w:rsidP="00F526B8">
            <w:pPr>
              <w:rPr>
                <w:sz w:val="22"/>
                <w:szCs w:val="22"/>
                <w:lang w:val="ru-RU" w:eastAsia="ru-RU"/>
              </w:rPr>
            </w:pPr>
            <w:r w:rsidRPr="00401ECA">
              <w:rPr>
                <w:sz w:val="22"/>
                <w:szCs w:val="22"/>
                <w:lang w:val="ru-RU" w:eastAsia="ru-RU"/>
              </w:rPr>
              <w:t xml:space="preserve">almindelig </w:t>
            </w:r>
          </w:p>
        </w:tc>
      </w:tr>
      <w:tr w:rsidR="00D41138" w:rsidRPr="00401ECA" w14:paraId="22C51532" w14:textId="77777777" w:rsidTr="00F526B8">
        <w:trPr>
          <w:trHeight w:val="227"/>
        </w:trPr>
        <w:tc>
          <w:tcPr>
            <w:tcW w:w="1705" w:type="pct"/>
            <w:vMerge w:val="restart"/>
            <w:tcBorders>
              <w:top w:val="single" w:sz="4" w:space="0" w:color="000000"/>
              <w:left w:val="single" w:sz="4" w:space="0" w:color="000000"/>
              <w:bottom w:val="single" w:sz="4" w:space="0" w:color="000000"/>
              <w:right w:val="single" w:sz="4" w:space="0" w:color="000000"/>
            </w:tcBorders>
            <w:tcMar>
              <w:top w:w="28" w:type="dxa"/>
              <w:left w:w="113" w:type="dxa"/>
              <w:bottom w:w="28" w:type="dxa"/>
              <w:right w:w="115" w:type="dxa"/>
            </w:tcMar>
            <w:hideMark/>
          </w:tcPr>
          <w:p w14:paraId="77868C43" w14:textId="77777777" w:rsidR="00D41138" w:rsidRPr="00401ECA" w:rsidRDefault="00D41138" w:rsidP="00F526B8">
            <w:pPr>
              <w:rPr>
                <w:sz w:val="22"/>
                <w:szCs w:val="22"/>
                <w:lang w:val="ru-RU" w:eastAsia="ru-RU"/>
              </w:rPr>
            </w:pPr>
            <w:r w:rsidRPr="00401ECA">
              <w:rPr>
                <w:sz w:val="22"/>
                <w:szCs w:val="22"/>
                <w:lang w:val="ru-RU" w:eastAsia="ru-RU"/>
              </w:rPr>
              <w:t xml:space="preserve">Mave-tarm-kanalen </w:t>
            </w:r>
          </w:p>
        </w:tc>
        <w:tc>
          <w:tcPr>
            <w:tcW w:w="1772" w:type="pct"/>
            <w:tcBorders>
              <w:top w:val="single" w:sz="4" w:space="0" w:color="000000"/>
              <w:left w:val="single" w:sz="4" w:space="0" w:color="000000"/>
              <w:bottom w:val="single" w:sz="4" w:space="0" w:color="000000"/>
              <w:right w:val="single" w:sz="4" w:space="0" w:color="000000"/>
            </w:tcBorders>
            <w:tcMar>
              <w:top w:w="28" w:type="dxa"/>
              <w:left w:w="113" w:type="dxa"/>
              <w:bottom w:w="28" w:type="dxa"/>
              <w:right w:w="115" w:type="dxa"/>
            </w:tcMar>
            <w:hideMark/>
          </w:tcPr>
          <w:p w14:paraId="7FBFF141" w14:textId="77777777" w:rsidR="00D41138" w:rsidRPr="00401ECA" w:rsidRDefault="00D41138" w:rsidP="00F526B8">
            <w:pPr>
              <w:rPr>
                <w:sz w:val="22"/>
                <w:szCs w:val="22"/>
                <w:lang w:val="ru-RU" w:eastAsia="ru-RU"/>
              </w:rPr>
            </w:pPr>
            <w:r w:rsidRPr="00401ECA">
              <w:rPr>
                <w:sz w:val="22"/>
                <w:szCs w:val="22"/>
                <w:lang w:val="ru-RU" w:eastAsia="ru-RU"/>
              </w:rPr>
              <w:t xml:space="preserve">Mavesmerter </w:t>
            </w:r>
          </w:p>
        </w:tc>
        <w:tc>
          <w:tcPr>
            <w:tcW w:w="1523" w:type="pct"/>
            <w:tcBorders>
              <w:top w:val="single" w:sz="4" w:space="0" w:color="000000"/>
              <w:left w:val="single" w:sz="4" w:space="0" w:color="000000"/>
              <w:bottom w:val="single" w:sz="4" w:space="0" w:color="000000"/>
              <w:right w:val="single" w:sz="4" w:space="0" w:color="000000"/>
            </w:tcBorders>
            <w:tcMar>
              <w:top w:w="28" w:type="dxa"/>
              <w:left w:w="113" w:type="dxa"/>
              <w:bottom w:w="28" w:type="dxa"/>
              <w:right w:w="115" w:type="dxa"/>
            </w:tcMar>
            <w:hideMark/>
          </w:tcPr>
          <w:p w14:paraId="019741D4" w14:textId="77777777" w:rsidR="00D41138" w:rsidRPr="00401ECA" w:rsidRDefault="00D41138" w:rsidP="00F526B8">
            <w:pPr>
              <w:rPr>
                <w:sz w:val="22"/>
                <w:szCs w:val="22"/>
                <w:lang w:val="ru-RU" w:eastAsia="ru-RU"/>
              </w:rPr>
            </w:pPr>
            <w:r w:rsidRPr="00401ECA">
              <w:rPr>
                <w:sz w:val="22"/>
                <w:szCs w:val="22"/>
                <w:lang w:val="ru-RU" w:eastAsia="ru-RU"/>
              </w:rPr>
              <w:t xml:space="preserve">meget almindelig </w:t>
            </w:r>
          </w:p>
        </w:tc>
      </w:tr>
      <w:tr w:rsidR="00D41138" w:rsidRPr="00401ECA" w14:paraId="1259FD1D" w14:textId="77777777" w:rsidTr="00F526B8">
        <w:trPr>
          <w:trHeight w:val="227"/>
        </w:trPr>
        <w:tc>
          <w:tcPr>
            <w:tcW w:w="1705" w:type="pct"/>
            <w:vMerge/>
            <w:tcBorders>
              <w:top w:val="single" w:sz="4" w:space="0" w:color="000000"/>
              <w:left w:val="single" w:sz="4" w:space="0" w:color="000000"/>
              <w:bottom w:val="single" w:sz="4" w:space="0" w:color="000000"/>
              <w:right w:val="single" w:sz="4" w:space="0" w:color="000000"/>
            </w:tcBorders>
            <w:vAlign w:val="center"/>
            <w:hideMark/>
          </w:tcPr>
          <w:p w14:paraId="7DCAD4F6" w14:textId="77777777" w:rsidR="00D41138" w:rsidRPr="00401ECA" w:rsidRDefault="00D41138" w:rsidP="00F526B8">
            <w:pPr>
              <w:rPr>
                <w:sz w:val="22"/>
                <w:szCs w:val="22"/>
                <w:lang w:val="ru-RU" w:eastAsia="ru-RU"/>
              </w:rPr>
            </w:pPr>
          </w:p>
        </w:tc>
        <w:tc>
          <w:tcPr>
            <w:tcW w:w="1772" w:type="pct"/>
            <w:tcBorders>
              <w:top w:val="single" w:sz="4" w:space="0" w:color="000000"/>
              <w:left w:val="single" w:sz="4" w:space="0" w:color="000000"/>
              <w:bottom w:val="single" w:sz="4" w:space="0" w:color="000000"/>
              <w:right w:val="single" w:sz="4" w:space="0" w:color="000000"/>
            </w:tcBorders>
            <w:tcMar>
              <w:top w:w="28" w:type="dxa"/>
              <w:left w:w="113" w:type="dxa"/>
              <w:bottom w:w="28" w:type="dxa"/>
              <w:right w:w="115" w:type="dxa"/>
            </w:tcMar>
            <w:hideMark/>
          </w:tcPr>
          <w:p w14:paraId="6958D6BD" w14:textId="77777777" w:rsidR="00D41138" w:rsidRPr="00401ECA" w:rsidRDefault="00D41138" w:rsidP="00F526B8">
            <w:pPr>
              <w:rPr>
                <w:sz w:val="22"/>
                <w:szCs w:val="22"/>
                <w:lang w:val="ru-RU" w:eastAsia="ru-RU"/>
              </w:rPr>
            </w:pPr>
            <w:r w:rsidRPr="00401ECA">
              <w:rPr>
                <w:sz w:val="22"/>
                <w:szCs w:val="22"/>
                <w:lang w:val="ru-RU" w:eastAsia="ru-RU"/>
              </w:rPr>
              <w:t xml:space="preserve">Diarré </w:t>
            </w:r>
          </w:p>
        </w:tc>
        <w:tc>
          <w:tcPr>
            <w:tcW w:w="1523" w:type="pct"/>
            <w:tcBorders>
              <w:top w:val="single" w:sz="4" w:space="0" w:color="000000"/>
              <w:left w:val="single" w:sz="4" w:space="0" w:color="000000"/>
              <w:bottom w:val="single" w:sz="4" w:space="0" w:color="000000"/>
              <w:right w:val="single" w:sz="4" w:space="0" w:color="000000"/>
            </w:tcBorders>
            <w:tcMar>
              <w:top w:w="28" w:type="dxa"/>
              <w:left w:w="113" w:type="dxa"/>
              <w:bottom w:w="28" w:type="dxa"/>
              <w:right w:w="115" w:type="dxa"/>
            </w:tcMar>
            <w:hideMark/>
          </w:tcPr>
          <w:p w14:paraId="10331284" w14:textId="77777777" w:rsidR="00D41138" w:rsidRPr="00401ECA" w:rsidRDefault="00D41138" w:rsidP="00F526B8">
            <w:pPr>
              <w:rPr>
                <w:sz w:val="22"/>
                <w:szCs w:val="22"/>
                <w:lang w:val="ru-RU" w:eastAsia="ru-RU"/>
              </w:rPr>
            </w:pPr>
            <w:r w:rsidRPr="00401ECA">
              <w:rPr>
                <w:sz w:val="22"/>
                <w:szCs w:val="22"/>
                <w:lang w:val="ru-RU" w:eastAsia="ru-RU"/>
              </w:rPr>
              <w:t xml:space="preserve">meget almindelig </w:t>
            </w:r>
          </w:p>
        </w:tc>
      </w:tr>
      <w:tr w:rsidR="00D41138" w:rsidRPr="00401ECA" w14:paraId="29049D8C" w14:textId="77777777" w:rsidTr="00F526B8">
        <w:trPr>
          <w:trHeight w:val="227"/>
        </w:trPr>
        <w:tc>
          <w:tcPr>
            <w:tcW w:w="1705" w:type="pct"/>
            <w:vMerge/>
            <w:tcBorders>
              <w:top w:val="single" w:sz="4" w:space="0" w:color="000000"/>
              <w:left w:val="single" w:sz="4" w:space="0" w:color="000000"/>
              <w:bottom w:val="single" w:sz="4" w:space="0" w:color="000000"/>
              <w:right w:val="single" w:sz="4" w:space="0" w:color="000000"/>
            </w:tcBorders>
            <w:vAlign w:val="center"/>
            <w:hideMark/>
          </w:tcPr>
          <w:p w14:paraId="21500CFD" w14:textId="77777777" w:rsidR="00D41138" w:rsidRPr="00401ECA" w:rsidRDefault="00D41138" w:rsidP="00F526B8">
            <w:pPr>
              <w:rPr>
                <w:sz w:val="22"/>
                <w:szCs w:val="22"/>
                <w:lang w:val="ru-RU" w:eastAsia="ru-RU"/>
              </w:rPr>
            </w:pPr>
          </w:p>
        </w:tc>
        <w:tc>
          <w:tcPr>
            <w:tcW w:w="1772" w:type="pct"/>
            <w:tcBorders>
              <w:top w:val="single" w:sz="4" w:space="0" w:color="000000"/>
              <w:left w:val="single" w:sz="4" w:space="0" w:color="000000"/>
              <w:bottom w:val="single" w:sz="4" w:space="0" w:color="000000"/>
              <w:right w:val="single" w:sz="4" w:space="0" w:color="000000"/>
            </w:tcBorders>
            <w:tcMar>
              <w:top w:w="28" w:type="dxa"/>
              <w:left w:w="113" w:type="dxa"/>
              <w:bottom w:w="28" w:type="dxa"/>
              <w:right w:w="115" w:type="dxa"/>
            </w:tcMar>
            <w:hideMark/>
          </w:tcPr>
          <w:p w14:paraId="170F1C61" w14:textId="77777777" w:rsidR="00D41138" w:rsidRPr="00401ECA" w:rsidRDefault="00D41138" w:rsidP="00F526B8">
            <w:pPr>
              <w:rPr>
                <w:sz w:val="22"/>
                <w:szCs w:val="22"/>
                <w:lang w:val="ru-RU" w:eastAsia="ru-RU"/>
              </w:rPr>
            </w:pPr>
            <w:r w:rsidRPr="00401ECA">
              <w:rPr>
                <w:sz w:val="22"/>
                <w:szCs w:val="22"/>
                <w:lang w:val="ru-RU" w:eastAsia="ru-RU"/>
              </w:rPr>
              <w:t>Øvre abdominalsmerter</w:t>
            </w:r>
            <w:r w:rsidRPr="00401ECA">
              <w:rPr>
                <w:sz w:val="22"/>
                <w:szCs w:val="22"/>
                <w:vertAlign w:val="superscript"/>
                <w:lang w:val="ru-RU" w:eastAsia="ru-RU"/>
              </w:rPr>
              <w:t>†</w:t>
            </w:r>
            <w:r w:rsidRPr="00401ECA">
              <w:rPr>
                <w:sz w:val="22"/>
                <w:szCs w:val="22"/>
                <w:lang w:val="ru-RU" w:eastAsia="ru-RU"/>
              </w:rPr>
              <w:t xml:space="preserve"> </w:t>
            </w:r>
          </w:p>
        </w:tc>
        <w:tc>
          <w:tcPr>
            <w:tcW w:w="1523" w:type="pct"/>
            <w:tcBorders>
              <w:top w:val="single" w:sz="4" w:space="0" w:color="000000"/>
              <w:left w:val="single" w:sz="4" w:space="0" w:color="000000"/>
              <w:bottom w:val="single" w:sz="4" w:space="0" w:color="000000"/>
              <w:right w:val="single" w:sz="4" w:space="0" w:color="000000"/>
            </w:tcBorders>
            <w:tcMar>
              <w:top w:w="28" w:type="dxa"/>
              <w:left w:w="113" w:type="dxa"/>
              <w:bottom w:w="28" w:type="dxa"/>
              <w:right w:w="115" w:type="dxa"/>
            </w:tcMar>
            <w:hideMark/>
          </w:tcPr>
          <w:p w14:paraId="39C0803E" w14:textId="77777777" w:rsidR="00D41138" w:rsidRPr="00401ECA" w:rsidRDefault="00D41138" w:rsidP="00F526B8">
            <w:pPr>
              <w:rPr>
                <w:sz w:val="22"/>
                <w:szCs w:val="22"/>
                <w:lang w:val="ru-RU" w:eastAsia="ru-RU"/>
              </w:rPr>
            </w:pPr>
            <w:r w:rsidRPr="00401ECA">
              <w:rPr>
                <w:sz w:val="22"/>
                <w:szCs w:val="22"/>
                <w:lang w:val="ru-RU" w:eastAsia="ru-RU"/>
              </w:rPr>
              <w:t xml:space="preserve">almindelig </w:t>
            </w:r>
          </w:p>
        </w:tc>
      </w:tr>
      <w:tr w:rsidR="00D41138" w:rsidRPr="00401ECA" w14:paraId="12335B0C" w14:textId="77777777" w:rsidTr="00F526B8">
        <w:trPr>
          <w:trHeight w:val="227"/>
        </w:trPr>
        <w:tc>
          <w:tcPr>
            <w:tcW w:w="1705" w:type="pct"/>
            <w:vMerge/>
            <w:tcBorders>
              <w:top w:val="single" w:sz="4" w:space="0" w:color="000000"/>
              <w:left w:val="single" w:sz="4" w:space="0" w:color="000000"/>
              <w:bottom w:val="single" w:sz="4" w:space="0" w:color="000000"/>
              <w:right w:val="single" w:sz="4" w:space="0" w:color="000000"/>
            </w:tcBorders>
            <w:vAlign w:val="center"/>
            <w:hideMark/>
          </w:tcPr>
          <w:p w14:paraId="311CC13A" w14:textId="77777777" w:rsidR="00D41138" w:rsidRPr="00401ECA" w:rsidRDefault="00D41138" w:rsidP="00F526B8">
            <w:pPr>
              <w:rPr>
                <w:sz w:val="22"/>
                <w:szCs w:val="22"/>
                <w:lang w:val="ru-RU" w:eastAsia="ru-RU"/>
              </w:rPr>
            </w:pPr>
          </w:p>
        </w:tc>
        <w:tc>
          <w:tcPr>
            <w:tcW w:w="1772" w:type="pct"/>
            <w:tcBorders>
              <w:top w:val="single" w:sz="4" w:space="0" w:color="000000"/>
              <w:left w:val="single" w:sz="4" w:space="0" w:color="000000"/>
              <w:bottom w:val="single" w:sz="4" w:space="0" w:color="000000"/>
              <w:right w:val="single" w:sz="4" w:space="0" w:color="000000"/>
            </w:tcBorders>
            <w:tcMar>
              <w:top w:w="28" w:type="dxa"/>
              <w:left w:w="113" w:type="dxa"/>
              <w:bottom w:w="28" w:type="dxa"/>
              <w:right w:w="115" w:type="dxa"/>
            </w:tcMar>
            <w:hideMark/>
          </w:tcPr>
          <w:p w14:paraId="372D9ED8" w14:textId="77777777" w:rsidR="00D41138" w:rsidRPr="00401ECA" w:rsidRDefault="00D41138" w:rsidP="00F526B8">
            <w:pPr>
              <w:rPr>
                <w:sz w:val="22"/>
                <w:szCs w:val="22"/>
                <w:lang w:val="ru-RU" w:eastAsia="ru-RU"/>
              </w:rPr>
            </w:pPr>
            <w:r w:rsidRPr="00401ECA">
              <w:rPr>
                <w:sz w:val="22"/>
                <w:szCs w:val="22"/>
                <w:lang w:val="ru-RU" w:eastAsia="ru-RU"/>
              </w:rPr>
              <w:t>Flatulens</w:t>
            </w:r>
            <w:r w:rsidRPr="00401ECA">
              <w:rPr>
                <w:sz w:val="22"/>
                <w:szCs w:val="22"/>
                <w:vertAlign w:val="superscript"/>
                <w:lang w:val="ru-RU" w:eastAsia="ru-RU"/>
              </w:rPr>
              <w:t>†</w:t>
            </w:r>
            <w:r w:rsidRPr="00401ECA">
              <w:rPr>
                <w:sz w:val="22"/>
                <w:szCs w:val="22"/>
                <w:lang w:val="ru-RU" w:eastAsia="ru-RU"/>
              </w:rPr>
              <w:t xml:space="preserve"> </w:t>
            </w:r>
          </w:p>
        </w:tc>
        <w:tc>
          <w:tcPr>
            <w:tcW w:w="1523" w:type="pct"/>
            <w:tcBorders>
              <w:top w:val="single" w:sz="4" w:space="0" w:color="000000"/>
              <w:left w:val="single" w:sz="4" w:space="0" w:color="000000"/>
              <w:bottom w:val="single" w:sz="4" w:space="0" w:color="000000"/>
              <w:right w:val="single" w:sz="4" w:space="0" w:color="000000"/>
            </w:tcBorders>
            <w:tcMar>
              <w:top w:w="28" w:type="dxa"/>
              <w:left w:w="113" w:type="dxa"/>
              <w:bottom w:w="28" w:type="dxa"/>
              <w:right w:w="115" w:type="dxa"/>
            </w:tcMar>
            <w:hideMark/>
          </w:tcPr>
          <w:p w14:paraId="6C3396F6" w14:textId="77777777" w:rsidR="00D41138" w:rsidRPr="00401ECA" w:rsidRDefault="00D41138" w:rsidP="00F526B8">
            <w:pPr>
              <w:rPr>
                <w:sz w:val="22"/>
                <w:szCs w:val="22"/>
                <w:lang w:val="ru-RU" w:eastAsia="ru-RU"/>
              </w:rPr>
            </w:pPr>
            <w:r w:rsidRPr="00401ECA">
              <w:rPr>
                <w:sz w:val="22"/>
                <w:szCs w:val="22"/>
                <w:lang w:val="ru-RU" w:eastAsia="ru-RU"/>
              </w:rPr>
              <w:t xml:space="preserve">almindelig </w:t>
            </w:r>
          </w:p>
        </w:tc>
      </w:tr>
      <w:tr w:rsidR="00D41138" w:rsidRPr="00401ECA" w14:paraId="62F3EB4F" w14:textId="77777777" w:rsidTr="00F526B8">
        <w:trPr>
          <w:trHeight w:val="227"/>
        </w:trPr>
        <w:tc>
          <w:tcPr>
            <w:tcW w:w="1705" w:type="pct"/>
            <w:vMerge/>
            <w:tcBorders>
              <w:top w:val="single" w:sz="4" w:space="0" w:color="000000"/>
              <w:left w:val="single" w:sz="4" w:space="0" w:color="000000"/>
              <w:bottom w:val="single" w:sz="4" w:space="0" w:color="000000"/>
              <w:right w:val="single" w:sz="4" w:space="0" w:color="000000"/>
            </w:tcBorders>
            <w:vAlign w:val="center"/>
            <w:hideMark/>
          </w:tcPr>
          <w:p w14:paraId="5738A29D" w14:textId="77777777" w:rsidR="00D41138" w:rsidRPr="00401ECA" w:rsidRDefault="00D41138" w:rsidP="00F526B8">
            <w:pPr>
              <w:rPr>
                <w:sz w:val="22"/>
                <w:szCs w:val="22"/>
                <w:lang w:val="ru-RU" w:eastAsia="ru-RU"/>
              </w:rPr>
            </w:pPr>
          </w:p>
        </w:tc>
        <w:tc>
          <w:tcPr>
            <w:tcW w:w="1772" w:type="pct"/>
            <w:tcBorders>
              <w:top w:val="single" w:sz="4" w:space="0" w:color="000000"/>
              <w:left w:val="single" w:sz="4" w:space="0" w:color="000000"/>
              <w:bottom w:val="single" w:sz="4" w:space="0" w:color="000000"/>
              <w:right w:val="single" w:sz="4" w:space="0" w:color="000000"/>
            </w:tcBorders>
            <w:tcMar>
              <w:top w:w="28" w:type="dxa"/>
              <w:left w:w="113" w:type="dxa"/>
              <w:bottom w:w="28" w:type="dxa"/>
              <w:right w:w="115" w:type="dxa"/>
            </w:tcMar>
            <w:hideMark/>
          </w:tcPr>
          <w:p w14:paraId="32C35746" w14:textId="77777777" w:rsidR="00D41138" w:rsidRPr="00401ECA" w:rsidRDefault="00D41138" w:rsidP="00F526B8">
            <w:pPr>
              <w:rPr>
                <w:sz w:val="22"/>
                <w:szCs w:val="22"/>
                <w:lang w:val="ru-RU" w:eastAsia="ru-RU"/>
              </w:rPr>
            </w:pPr>
            <w:r w:rsidRPr="00401ECA">
              <w:rPr>
                <w:sz w:val="22"/>
                <w:szCs w:val="22"/>
                <w:lang w:val="ru-RU" w:eastAsia="ru-RU"/>
              </w:rPr>
              <w:t>Kvalme</w:t>
            </w:r>
            <w:r w:rsidRPr="00401ECA">
              <w:rPr>
                <w:sz w:val="22"/>
                <w:szCs w:val="22"/>
                <w:vertAlign w:val="superscript"/>
                <w:lang w:val="ru-RU" w:eastAsia="ru-RU"/>
              </w:rPr>
              <w:t>*</w:t>
            </w:r>
            <w:r w:rsidRPr="00401ECA">
              <w:rPr>
                <w:sz w:val="22"/>
                <w:szCs w:val="22"/>
                <w:lang w:val="ru-RU" w:eastAsia="ru-RU"/>
              </w:rPr>
              <w:t xml:space="preserve"> </w:t>
            </w:r>
          </w:p>
        </w:tc>
        <w:tc>
          <w:tcPr>
            <w:tcW w:w="1523" w:type="pct"/>
            <w:tcBorders>
              <w:top w:val="single" w:sz="4" w:space="0" w:color="000000"/>
              <w:left w:val="single" w:sz="4" w:space="0" w:color="000000"/>
              <w:bottom w:val="single" w:sz="4" w:space="0" w:color="000000"/>
              <w:right w:val="single" w:sz="4" w:space="0" w:color="000000"/>
            </w:tcBorders>
            <w:tcMar>
              <w:top w:w="28" w:type="dxa"/>
              <w:left w:w="113" w:type="dxa"/>
              <w:bottom w:w="28" w:type="dxa"/>
              <w:right w:w="115" w:type="dxa"/>
            </w:tcMar>
            <w:hideMark/>
          </w:tcPr>
          <w:p w14:paraId="0AF7E409" w14:textId="77777777" w:rsidR="00D41138" w:rsidRPr="00401ECA" w:rsidRDefault="00D41138" w:rsidP="00F526B8">
            <w:pPr>
              <w:rPr>
                <w:sz w:val="22"/>
                <w:szCs w:val="22"/>
                <w:lang w:val="ru-RU" w:eastAsia="ru-RU"/>
              </w:rPr>
            </w:pPr>
            <w:r w:rsidRPr="00401ECA">
              <w:rPr>
                <w:sz w:val="22"/>
                <w:szCs w:val="22"/>
                <w:lang w:val="ru-RU" w:eastAsia="ru-RU"/>
              </w:rPr>
              <w:t xml:space="preserve">almindelig </w:t>
            </w:r>
          </w:p>
        </w:tc>
      </w:tr>
      <w:tr w:rsidR="00D41138" w:rsidRPr="00401ECA" w14:paraId="0ED242AA" w14:textId="77777777" w:rsidTr="00F526B8">
        <w:trPr>
          <w:trHeight w:val="227"/>
        </w:trPr>
        <w:tc>
          <w:tcPr>
            <w:tcW w:w="1705" w:type="pct"/>
            <w:vMerge w:val="restart"/>
            <w:tcBorders>
              <w:top w:val="single" w:sz="4" w:space="0" w:color="000000"/>
              <w:left w:val="single" w:sz="4" w:space="0" w:color="000000"/>
              <w:bottom w:val="single" w:sz="4" w:space="0" w:color="000000"/>
              <w:right w:val="single" w:sz="4" w:space="0" w:color="000000"/>
            </w:tcBorders>
            <w:tcMar>
              <w:top w:w="28" w:type="dxa"/>
              <w:left w:w="113" w:type="dxa"/>
              <w:bottom w:w="28" w:type="dxa"/>
              <w:right w:w="115" w:type="dxa"/>
            </w:tcMar>
            <w:hideMark/>
          </w:tcPr>
          <w:p w14:paraId="42971ED3" w14:textId="77777777" w:rsidR="00D41138" w:rsidRPr="00401ECA" w:rsidRDefault="00D41138" w:rsidP="00F526B8">
            <w:pPr>
              <w:rPr>
                <w:sz w:val="22"/>
                <w:szCs w:val="22"/>
                <w:lang w:val="ru-RU" w:eastAsia="ru-RU"/>
              </w:rPr>
            </w:pPr>
            <w:r w:rsidRPr="00401ECA">
              <w:rPr>
                <w:sz w:val="22"/>
                <w:szCs w:val="22"/>
                <w:lang w:val="ru-RU" w:eastAsia="ru-RU"/>
              </w:rPr>
              <w:t xml:space="preserve">Lever og galdeveje </w:t>
            </w:r>
          </w:p>
        </w:tc>
        <w:tc>
          <w:tcPr>
            <w:tcW w:w="1772" w:type="pct"/>
            <w:tcBorders>
              <w:top w:val="single" w:sz="4" w:space="0" w:color="000000"/>
              <w:left w:val="single" w:sz="4" w:space="0" w:color="000000"/>
              <w:bottom w:val="single" w:sz="4" w:space="0" w:color="000000"/>
              <w:right w:val="single" w:sz="4" w:space="0" w:color="000000"/>
            </w:tcBorders>
            <w:tcMar>
              <w:top w:w="28" w:type="dxa"/>
              <w:left w:w="113" w:type="dxa"/>
              <w:bottom w:w="28" w:type="dxa"/>
              <w:right w:w="115" w:type="dxa"/>
            </w:tcMar>
            <w:hideMark/>
          </w:tcPr>
          <w:p w14:paraId="3A86586C" w14:textId="77777777" w:rsidR="00D41138" w:rsidRPr="00401ECA" w:rsidRDefault="00D41138" w:rsidP="00F526B8">
            <w:pPr>
              <w:rPr>
                <w:sz w:val="22"/>
                <w:szCs w:val="22"/>
                <w:lang w:val="ru-RU" w:eastAsia="ru-RU"/>
              </w:rPr>
            </w:pPr>
            <w:r w:rsidRPr="00401ECA">
              <w:rPr>
                <w:sz w:val="22"/>
                <w:szCs w:val="22"/>
                <w:lang w:val="ru-RU" w:eastAsia="ru-RU"/>
              </w:rPr>
              <w:t xml:space="preserve">Stigninger i aminotransferaser </w:t>
            </w:r>
          </w:p>
        </w:tc>
        <w:tc>
          <w:tcPr>
            <w:tcW w:w="1523" w:type="pct"/>
            <w:tcBorders>
              <w:top w:val="single" w:sz="4" w:space="0" w:color="000000"/>
              <w:left w:val="single" w:sz="4" w:space="0" w:color="000000"/>
              <w:bottom w:val="single" w:sz="4" w:space="0" w:color="000000"/>
              <w:right w:val="single" w:sz="4" w:space="0" w:color="000000"/>
            </w:tcBorders>
            <w:tcMar>
              <w:top w:w="28" w:type="dxa"/>
              <w:left w:w="113" w:type="dxa"/>
              <w:bottom w:w="28" w:type="dxa"/>
              <w:right w:w="115" w:type="dxa"/>
            </w:tcMar>
            <w:hideMark/>
          </w:tcPr>
          <w:p w14:paraId="4EFB03EC" w14:textId="77777777" w:rsidR="00D41138" w:rsidRPr="00401ECA" w:rsidRDefault="00D41138" w:rsidP="00F526B8">
            <w:pPr>
              <w:rPr>
                <w:sz w:val="22"/>
                <w:szCs w:val="22"/>
                <w:lang w:val="ru-RU" w:eastAsia="ru-RU"/>
              </w:rPr>
            </w:pPr>
            <w:r w:rsidRPr="00401ECA">
              <w:rPr>
                <w:sz w:val="22"/>
                <w:szCs w:val="22"/>
                <w:lang w:val="ru-RU" w:eastAsia="ru-RU"/>
              </w:rPr>
              <w:t xml:space="preserve">meget almindelig </w:t>
            </w:r>
          </w:p>
        </w:tc>
      </w:tr>
      <w:tr w:rsidR="00D41138" w:rsidRPr="00401ECA" w14:paraId="1D9DD60B" w14:textId="77777777" w:rsidTr="00F526B8">
        <w:trPr>
          <w:trHeight w:val="227"/>
        </w:trPr>
        <w:tc>
          <w:tcPr>
            <w:tcW w:w="1705" w:type="pct"/>
            <w:vMerge/>
            <w:tcBorders>
              <w:top w:val="single" w:sz="4" w:space="0" w:color="000000"/>
              <w:left w:val="single" w:sz="4" w:space="0" w:color="000000"/>
              <w:bottom w:val="single" w:sz="4" w:space="0" w:color="000000"/>
              <w:right w:val="single" w:sz="4" w:space="0" w:color="000000"/>
            </w:tcBorders>
            <w:vAlign w:val="center"/>
            <w:hideMark/>
          </w:tcPr>
          <w:p w14:paraId="335423A3" w14:textId="77777777" w:rsidR="00D41138" w:rsidRPr="00401ECA" w:rsidRDefault="00D41138" w:rsidP="00F526B8">
            <w:pPr>
              <w:rPr>
                <w:sz w:val="22"/>
                <w:szCs w:val="22"/>
                <w:lang w:val="ru-RU" w:eastAsia="ru-RU"/>
              </w:rPr>
            </w:pPr>
          </w:p>
        </w:tc>
        <w:tc>
          <w:tcPr>
            <w:tcW w:w="1772" w:type="pct"/>
            <w:tcBorders>
              <w:top w:val="single" w:sz="4" w:space="0" w:color="000000"/>
              <w:left w:val="single" w:sz="4" w:space="0" w:color="000000"/>
              <w:bottom w:val="single" w:sz="4" w:space="0" w:color="000000"/>
              <w:right w:val="single" w:sz="4" w:space="0" w:color="000000"/>
            </w:tcBorders>
            <w:tcMar>
              <w:top w:w="28" w:type="dxa"/>
              <w:left w:w="113" w:type="dxa"/>
              <w:bottom w:w="28" w:type="dxa"/>
              <w:right w:w="115" w:type="dxa"/>
            </w:tcMar>
            <w:hideMark/>
          </w:tcPr>
          <w:p w14:paraId="3DE800AD" w14:textId="77777777" w:rsidR="00D41138" w:rsidRPr="00401ECA" w:rsidRDefault="00D41138" w:rsidP="00F526B8">
            <w:pPr>
              <w:rPr>
                <w:sz w:val="22"/>
                <w:szCs w:val="22"/>
                <w:lang w:val="ru-RU" w:eastAsia="ru-RU"/>
              </w:rPr>
            </w:pPr>
            <w:r w:rsidRPr="00401ECA">
              <w:rPr>
                <w:sz w:val="22"/>
                <w:szCs w:val="22"/>
                <w:lang w:val="ru-RU" w:eastAsia="ru-RU"/>
              </w:rPr>
              <w:t>Forhøjet alaninaminotransferase</w:t>
            </w:r>
            <w:r w:rsidRPr="00401ECA">
              <w:rPr>
                <w:sz w:val="22"/>
                <w:szCs w:val="22"/>
                <w:vertAlign w:val="superscript"/>
                <w:lang w:val="ru-RU" w:eastAsia="ru-RU"/>
              </w:rPr>
              <w:t>†</w:t>
            </w:r>
            <w:r w:rsidRPr="00401ECA">
              <w:rPr>
                <w:sz w:val="22"/>
                <w:szCs w:val="22"/>
                <w:lang w:val="ru-RU" w:eastAsia="ru-RU"/>
              </w:rPr>
              <w:t xml:space="preserve"> </w:t>
            </w:r>
          </w:p>
        </w:tc>
        <w:tc>
          <w:tcPr>
            <w:tcW w:w="1523" w:type="pct"/>
            <w:tcBorders>
              <w:top w:val="single" w:sz="4" w:space="0" w:color="000000"/>
              <w:left w:val="single" w:sz="4" w:space="0" w:color="000000"/>
              <w:bottom w:val="single" w:sz="4" w:space="0" w:color="000000"/>
              <w:right w:val="single" w:sz="4" w:space="0" w:color="000000"/>
            </w:tcBorders>
            <w:tcMar>
              <w:top w:w="28" w:type="dxa"/>
              <w:left w:w="113" w:type="dxa"/>
              <w:bottom w:w="28" w:type="dxa"/>
              <w:right w:w="115" w:type="dxa"/>
            </w:tcMar>
            <w:hideMark/>
          </w:tcPr>
          <w:p w14:paraId="086ECC3C" w14:textId="77777777" w:rsidR="00D41138" w:rsidRPr="00401ECA" w:rsidRDefault="00D41138" w:rsidP="00F526B8">
            <w:pPr>
              <w:rPr>
                <w:sz w:val="22"/>
                <w:szCs w:val="22"/>
                <w:lang w:val="ru-RU" w:eastAsia="ru-RU"/>
              </w:rPr>
            </w:pPr>
            <w:r w:rsidRPr="00401ECA">
              <w:rPr>
                <w:sz w:val="22"/>
                <w:szCs w:val="22"/>
                <w:lang w:val="ru-RU" w:eastAsia="ru-RU"/>
              </w:rPr>
              <w:t xml:space="preserve">meget almindelig </w:t>
            </w:r>
          </w:p>
        </w:tc>
      </w:tr>
      <w:tr w:rsidR="00D41138" w:rsidRPr="00401ECA" w14:paraId="2F027D06" w14:textId="77777777" w:rsidTr="00F526B8">
        <w:trPr>
          <w:trHeight w:val="227"/>
        </w:trPr>
        <w:tc>
          <w:tcPr>
            <w:tcW w:w="1705" w:type="pct"/>
            <w:vMerge/>
            <w:tcBorders>
              <w:top w:val="single" w:sz="4" w:space="0" w:color="000000"/>
              <w:left w:val="single" w:sz="4" w:space="0" w:color="000000"/>
              <w:bottom w:val="single" w:sz="4" w:space="0" w:color="000000"/>
              <w:right w:val="single" w:sz="4" w:space="0" w:color="000000"/>
            </w:tcBorders>
            <w:vAlign w:val="center"/>
            <w:hideMark/>
          </w:tcPr>
          <w:p w14:paraId="4B2918F8" w14:textId="77777777" w:rsidR="00D41138" w:rsidRPr="00401ECA" w:rsidRDefault="00D41138" w:rsidP="00F526B8">
            <w:pPr>
              <w:rPr>
                <w:sz w:val="22"/>
                <w:szCs w:val="22"/>
                <w:lang w:val="ru-RU" w:eastAsia="ru-RU"/>
              </w:rPr>
            </w:pPr>
          </w:p>
        </w:tc>
        <w:tc>
          <w:tcPr>
            <w:tcW w:w="1772" w:type="pct"/>
            <w:tcBorders>
              <w:top w:val="single" w:sz="4" w:space="0" w:color="000000"/>
              <w:left w:val="single" w:sz="4" w:space="0" w:color="000000"/>
              <w:bottom w:val="single" w:sz="4" w:space="0" w:color="000000"/>
              <w:right w:val="single" w:sz="4" w:space="0" w:color="000000"/>
            </w:tcBorders>
            <w:tcMar>
              <w:top w:w="28" w:type="dxa"/>
              <w:left w:w="113" w:type="dxa"/>
              <w:bottom w:w="28" w:type="dxa"/>
              <w:right w:w="115" w:type="dxa"/>
            </w:tcMar>
            <w:hideMark/>
          </w:tcPr>
          <w:p w14:paraId="02AFCC0C" w14:textId="77777777" w:rsidR="00D41138" w:rsidRPr="00401ECA" w:rsidRDefault="00D41138" w:rsidP="00F526B8">
            <w:pPr>
              <w:rPr>
                <w:sz w:val="22"/>
                <w:szCs w:val="22"/>
                <w:lang w:val="ru-RU" w:eastAsia="ru-RU"/>
              </w:rPr>
            </w:pPr>
            <w:r w:rsidRPr="00401ECA">
              <w:rPr>
                <w:sz w:val="22"/>
                <w:szCs w:val="22"/>
                <w:lang w:val="ru-RU" w:eastAsia="ru-RU"/>
              </w:rPr>
              <w:t>Forhøjet aspartataminotransferase</w:t>
            </w:r>
            <w:r w:rsidRPr="00401ECA">
              <w:rPr>
                <w:sz w:val="22"/>
                <w:szCs w:val="22"/>
                <w:vertAlign w:val="superscript"/>
                <w:lang w:val="ru-RU" w:eastAsia="ru-RU"/>
              </w:rPr>
              <w:t>†</w:t>
            </w:r>
            <w:r w:rsidRPr="00401ECA">
              <w:rPr>
                <w:sz w:val="22"/>
                <w:szCs w:val="22"/>
                <w:lang w:val="ru-RU" w:eastAsia="ru-RU"/>
              </w:rPr>
              <w:t xml:space="preserve"> </w:t>
            </w:r>
          </w:p>
        </w:tc>
        <w:tc>
          <w:tcPr>
            <w:tcW w:w="1523" w:type="pct"/>
            <w:tcBorders>
              <w:top w:val="single" w:sz="4" w:space="0" w:color="000000"/>
              <w:left w:val="single" w:sz="4" w:space="0" w:color="000000"/>
              <w:bottom w:val="single" w:sz="4" w:space="0" w:color="000000"/>
              <w:right w:val="single" w:sz="4" w:space="0" w:color="000000"/>
            </w:tcBorders>
            <w:tcMar>
              <w:top w:w="28" w:type="dxa"/>
              <w:left w:w="113" w:type="dxa"/>
              <w:bottom w:w="28" w:type="dxa"/>
              <w:right w:w="115" w:type="dxa"/>
            </w:tcMar>
            <w:hideMark/>
          </w:tcPr>
          <w:p w14:paraId="2D3395B1" w14:textId="77777777" w:rsidR="00D41138" w:rsidRPr="00401ECA" w:rsidRDefault="00D41138" w:rsidP="00F526B8">
            <w:pPr>
              <w:rPr>
                <w:sz w:val="22"/>
                <w:szCs w:val="22"/>
                <w:lang w:val="ru-RU" w:eastAsia="ru-RU"/>
              </w:rPr>
            </w:pPr>
            <w:r w:rsidRPr="00401ECA">
              <w:rPr>
                <w:sz w:val="22"/>
                <w:szCs w:val="22"/>
                <w:lang w:val="ru-RU" w:eastAsia="ru-RU"/>
              </w:rPr>
              <w:t xml:space="preserve">almindelig </w:t>
            </w:r>
          </w:p>
        </w:tc>
      </w:tr>
      <w:tr w:rsidR="00D41138" w:rsidRPr="00401ECA" w14:paraId="21CB220C" w14:textId="77777777" w:rsidTr="00F526B8">
        <w:trPr>
          <w:trHeight w:val="227"/>
        </w:trPr>
        <w:tc>
          <w:tcPr>
            <w:tcW w:w="1705" w:type="pct"/>
            <w:vMerge/>
            <w:tcBorders>
              <w:top w:val="single" w:sz="4" w:space="0" w:color="000000"/>
              <w:left w:val="single" w:sz="4" w:space="0" w:color="000000"/>
              <w:bottom w:val="single" w:sz="4" w:space="0" w:color="000000"/>
              <w:right w:val="single" w:sz="4" w:space="0" w:color="000000"/>
            </w:tcBorders>
            <w:vAlign w:val="center"/>
            <w:hideMark/>
          </w:tcPr>
          <w:p w14:paraId="0D8311DF" w14:textId="77777777" w:rsidR="00D41138" w:rsidRPr="00401ECA" w:rsidRDefault="00D41138" w:rsidP="00F526B8">
            <w:pPr>
              <w:rPr>
                <w:sz w:val="22"/>
                <w:szCs w:val="22"/>
                <w:lang w:val="ru-RU" w:eastAsia="ru-RU"/>
              </w:rPr>
            </w:pPr>
          </w:p>
        </w:tc>
        <w:tc>
          <w:tcPr>
            <w:tcW w:w="1772" w:type="pct"/>
            <w:tcBorders>
              <w:top w:val="single" w:sz="4" w:space="0" w:color="000000"/>
              <w:left w:val="single" w:sz="4" w:space="0" w:color="000000"/>
              <w:bottom w:val="single" w:sz="4" w:space="0" w:color="000000"/>
              <w:right w:val="single" w:sz="4" w:space="0" w:color="000000"/>
            </w:tcBorders>
            <w:tcMar>
              <w:top w:w="28" w:type="dxa"/>
              <w:left w:w="113" w:type="dxa"/>
              <w:bottom w:w="28" w:type="dxa"/>
              <w:right w:w="115" w:type="dxa"/>
            </w:tcMar>
            <w:hideMark/>
          </w:tcPr>
          <w:p w14:paraId="78513E72" w14:textId="77777777" w:rsidR="00D41138" w:rsidRPr="00401ECA" w:rsidRDefault="00D41138" w:rsidP="00F526B8">
            <w:pPr>
              <w:rPr>
                <w:sz w:val="22"/>
                <w:szCs w:val="22"/>
                <w:lang w:val="ru-RU" w:eastAsia="ru-RU"/>
              </w:rPr>
            </w:pPr>
            <w:r w:rsidRPr="00401ECA">
              <w:rPr>
                <w:sz w:val="22"/>
                <w:szCs w:val="22"/>
                <w:lang w:val="ru-RU" w:eastAsia="ru-RU"/>
              </w:rPr>
              <w:t>Leverskade</w:t>
            </w:r>
            <w:r w:rsidRPr="00401ECA">
              <w:rPr>
                <w:sz w:val="22"/>
                <w:szCs w:val="22"/>
                <w:vertAlign w:val="superscript"/>
                <w:lang w:val="ru-RU" w:eastAsia="ru-RU"/>
              </w:rPr>
              <w:t>^</w:t>
            </w:r>
            <w:r w:rsidRPr="00401ECA">
              <w:rPr>
                <w:sz w:val="22"/>
                <w:szCs w:val="22"/>
                <w:lang w:val="ru-RU" w:eastAsia="ru-RU"/>
              </w:rPr>
              <w:t xml:space="preserve"> </w:t>
            </w:r>
          </w:p>
        </w:tc>
        <w:tc>
          <w:tcPr>
            <w:tcW w:w="1523" w:type="pct"/>
            <w:tcBorders>
              <w:top w:val="single" w:sz="4" w:space="0" w:color="000000"/>
              <w:left w:val="single" w:sz="4" w:space="0" w:color="000000"/>
              <w:bottom w:val="single" w:sz="4" w:space="0" w:color="000000"/>
              <w:right w:val="single" w:sz="4" w:space="0" w:color="000000"/>
            </w:tcBorders>
            <w:tcMar>
              <w:top w:w="28" w:type="dxa"/>
              <w:left w:w="113" w:type="dxa"/>
              <w:bottom w:w="28" w:type="dxa"/>
              <w:right w:w="115" w:type="dxa"/>
            </w:tcMar>
            <w:hideMark/>
          </w:tcPr>
          <w:p w14:paraId="5FD5A295" w14:textId="77777777" w:rsidR="00D41138" w:rsidRPr="00401ECA" w:rsidRDefault="00D41138" w:rsidP="00F526B8">
            <w:pPr>
              <w:rPr>
                <w:sz w:val="22"/>
                <w:szCs w:val="22"/>
                <w:lang w:val="ru-RU" w:eastAsia="ru-RU"/>
              </w:rPr>
            </w:pPr>
            <w:r w:rsidRPr="00401ECA">
              <w:rPr>
                <w:sz w:val="22"/>
                <w:szCs w:val="22"/>
                <w:lang w:val="ru-RU" w:eastAsia="ru-RU"/>
              </w:rPr>
              <w:t xml:space="preserve">ikke kendt </w:t>
            </w:r>
          </w:p>
        </w:tc>
      </w:tr>
      <w:tr w:rsidR="00D41138" w:rsidRPr="00401ECA" w14:paraId="24EF5C94" w14:textId="77777777" w:rsidTr="00F526B8">
        <w:trPr>
          <w:trHeight w:val="227"/>
        </w:trPr>
        <w:tc>
          <w:tcPr>
            <w:tcW w:w="1705" w:type="pct"/>
            <w:vMerge/>
            <w:tcBorders>
              <w:top w:val="single" w:sz="4" w:space="0" w:color="000000"/>
              <w:left w:val="single" w:sz="4" w:space="0" w:color="000000"/>
              <w:bottom w:val="single" w:sz="4" w:space="0" w:color="000000"/>
              <w:right w:val="single" w:sz="4" w:space="0" w:color="000000"/>
            </w:tcBorders>
            <w:vAlign w:val="center"/>
            <w:hideMark/>
          </w:tcPr>
          <w:p w14:paraId="08E5D9C4" w14:textId="77777777" w:rsidR="00D41138" w:rsidRPr="00401ECA" w:rsidRDefault="00D41138" w:rsidP="00F526B8">
            <w:pPr>
              <w:rPr>
                <w:sz w:val="22"/>
                <w:szCs w:val="22"/>
                <w:lang w:val="ru-RU" w:eastAsia="ru-RU"/>
              </w:rPr>
            </w:pPr>
          </w:p>
        </w:tc>
        <w:tc>
          <w:tcPr>
            <w:tcW w:w="1772" w:type="pct"/>
            <w:tcBorders>
              <w:top w:val="single" w:sz="4" w:space="0" w:color="000000"/>
              <w:left w:val="single" w:sz="4" w:space="0" w:color="000000"/>
              <w:bottom w:val="single" w:sz="4" w:space="0" w:color="000000"/>
              <w:right w:val="single" w:sz="4" w:space="0" w:color="000000"/>
            </w:tcBorders>
            <w:tcMar>
              <w:top w:w="28" w:type="dxa"/>
              <w:left w:w="113" w:type="dxa"/>
              <w:bottom w:w="28" w:type="dxa"/>
              <w:right w:w="115" w:type="dxa"/>
            </w:tcMar>
            <w:hideMark/>
          </w:tcPr>
          <w:p w14:paraId="74DFD88A" w14:textId="77777777" w:rsidR="00D41138" w:rsidRPr="00401ECA" w:rsidRDefault="00D41138" w:rsidP="00F526B8">
            <w:pPr>
              <w:rPr>
                <w:sz w:val="22"/>
                <w:szCs w:val="22"/>
                <w:lang w:val="ru-RU" w:eastAsia="ru-RU"/>
              </w:rPr>
            </w:pPr>
            <w:r w:rsidRPr="00401ECA">
              <w:rPr>
                <w:sz w:val="22"/>
                <w:szCs w:val="22"/>
                <w:lang w:val="ru-RU" w:eastAsia="ru-RU"/>
              </w:rPr>
              <w:t>Forhøjet totalt bilirubin</w:t>
            </w:r>
            <w:r w:rsidRPr="00401ECA">
              <w:rPr>
                <w:sz w:val="22"/>
                <w:szCs w:val="22"/>
                <w:vertAlign w:val="superscript"/>
                <w:lang w:val="ru-RU" w:eastAsia="ru-RU"/>
              </w:rPr>
              <w:t>^</w:t>
            </w:r>
            <w:r w:rsidRPr="00401ECA">
              <w:rPr>
                <w:sz w:val="22"/>
                <w:szCs w:val="22"/>
                <w:lang w:val="ru-RU" w:eastAsia="ru-RU"/>
              </w:rPr>
              <w:t xml:space="preserve"> </w:t>
            </w:r>
          </w:p>
        </w:tc>
        <w:tc>
          <w:tcPr>
            <w:tcW w:w="1523" w:type="pct"/>
            <w:tcBorders>
              <w:top w:val="single" w:sz="4" w:space="0" w:color="000000"/>
              <w:left w:val="single" w:sz="4" w:space="0" w:color="000000"/>
              <w:bottom w:val="single" w:sz="4" w:space="0" w:color="000000"/>
              <w:right w:val="single" w:sz="4" w:space="0" w:color="000000"/>
            </w:tcBorders>
            <w:tcMar>
              <w:top w:w="28" w:type="dxa"/>
              <w:left w:w="113" w:type="dxa"/>
              <w:bottom w:w="28" w:type="dxa"/>
              <w:right w:w="115" w:type="dxa"/>
            </w:tcMar>
            <w:hideMark/>
          </w:tcPr>
          <w:p w14:paraId="4A832A02" w14:textId="77777777" w:rsidR="00D41138" w:rsidRPr="00401ECA" w:rsidRDefault="00D41138" w:rsidP="00F526B8">
            <w:pPr>
              <w:rPr>
                <w:sz w:val="22"/>
                <w:szCs w:val="22"/>
                <w:lang w:val="ru-RU" w:eastAsia="ru-RU"/>
              </w:rPr>
            </w:pPr>
            <w:r w:rsidRPr="00401ECA">
              <w:rPr>
                <w:sz w:val="22"/>
                <w:szCs w:val="22"/>
                <w:lang w:val="ru-RU" w:eastAsia="ru-RU"/>
              </w:rPr>
              <w:t xml:space="preserve">ikke kendt </w:t>
            </w:r>
          </w:p>
        </w:tc>
      </w:tr>
      <w:tr w:rsidR="00D41138" w:rsidRPr="00401ECA" w14:paraId="68F4690A" w14:textId="77777777" w:rsidTr="00F526B8">
        <w:trPr>
          <w:trHeight w:val="227"/>
        </w:trPr>
        <w:tc>
          <w:tcPr>
            <w:tcW w:w="1705" w:type="pct"/>
            <w:vMerge w:val="restart"/>
            <w:tcBorders>
              <w:top w:val="single" w:sz="4" w:space="0" w:color="000000"/>
              <w:left w:val="single" w:sz="4" w:space="0" w:color="000000"/>
              <w:bottom w:val="single" w:sz="4" w:space="0" w:color="000000"/>
              <w:right w:val="single" w:sz="4" w:space="0" w:color="000000"/>
            </w:tcBorders>
            <w:tcMar>
              <w:top w:w="28" w:type="dxa"/>
              <w:left w:w="113" w:type="dxa"/>
              <w:bottom w:w="28" w:type="dxa"/>
              <w:right w:w="115" w:type="dxa"/>
            </w:tcMar>
            <w:hideMark/>
          </w:tcPr>
          <w:p w14:paraId="0DBF690B" w14:textId="77777777" w:rsidR="00D41138" w:rsidRPr="00401ECA" w:rsidRDefault="00D41138" w:rsidP="00F526B8">
            <w:pPr>
              <w:rPr>
                <w:sz w:val="22"/>
                <w:szCs w:val="22"/>
                <w:lang w:val="ru-RU" w:eastAsia="ru-RU"/>
              </w:rPr>
            </w:pPr>
            <w:r w:rsidRPr="00401ECA">
              <w:rPr>
                <w:sz w:val="22"/>
                <w:szCs w:val="22"/>
                <w:lang w:val="ru-RU" w:eastAsia="ru-RU"/>
              </w:rPr>
              <w:t xml:space="preserve">Hud og subkutane væv </w:t>
            </w:r>
          </w:p>
        </w:tc>
        <w:tc>
          <w:tcPr>
            <w:tcW w:w="1772" w:type="pct"/>
            <w:tcBorders>
              <w:top w:val="single" w:sz="4" w:space="0" w:color="000000"/>
              <w:left w:val="single" w:sz="4" w:space="0" w:color="000000"/>
              <w:bottom w:val="single" w:sz="4" w:space="0" w:color="000000"/>
              <w:right w:val="single" w:sz="4" w:space="0" w:color="000000"/>
            </w:tcBorders>
            <w:tcMar>
              <w:top w:w="28" w:type="dxa"/>
              <w:left w:w="113" w:type="dxa"/>
              <w:bottom w:w="28" w:type="dxa"/>
              <w:right w:w="115" w:type="dxa"/>
            </w:tcMar>
            <w:hideMark/>
          </w:tcPr>
          <w:p w14:paraId="032D8538" w14:textId="77777777" w:rsidR="00D41138" w:rsidRPr="00401ECA" w:rsidRDefault="00D41138" w:rsidP="00F526B8">
            <w:pPr>
              <w:rPr>
                <w:sz w:val="22"/>
                <w:szCs w:val="22"/>
                <w:lang w:val="ru-RU" w:eastAsia="ru-RU"/>
              </w:rPr>
            </w:pPr>
            <w:r w:rsidRPr="00401ECA">
              <w:rPr>
                <w:sz w:val="22"/>
                <w:szCs w:val="22"/>
                <w:lang w:val="ru-RU" w:eastAsia="ru-RU"/>
              </w:rPr>
              <w:t xml:space="preserve">Udslæt </w:t>
            </w:r>
          </w:p>
        </w:tc>
        <w:tc>
          <w:tcPr>
            <w:tcW w:w="1523" w:type="pct"/>
            <w:tcBorders>
              <w:top w:val="single" w:sz="4" w:space="0" w:color="000000"/>
              <w:left w:val="single" w:sz="4" w:space="0" w:color="000000"/>
              <w:bottom w:val="single" w:sz="4" w:space="0" w:color="000000"/>
              <w:right w:val="single" w:sz="4" w:space="0" w:color="000000"/>
            </w:tcBorders>
            <w:tcMar>
              <w:top w:w="28" w:type="dxa"/>
              <w:left w:w="113" w:type="dxa"/>
              <w:bottom w:w="28" w:type="dxa"/>
              <w:right w:w="115" w:type="dxa"/>
            </w:tcMar>
            <w:hideMark/>
          </w:tcPr>
          <w:p w14:paraId="045C6DFE" w14:textId="77777777" w:rsidR="00D41138" w:rsidRPr="00401ECA" w:rsidRDefault="00D41138" w:rsidP="00F526B8">
            <w:pPr>
              <w:rPr>
                <w:sz w:val="22"/>
                <w:szCs w:val="22"/>
                <w:lang w:val="ru-RU" w:eastAsia="ru-RU"/>
              </w:rPr>
            </w:pPr>
            <w:r w:rsidRPr="00401ECA">
              <w:rPr>
                <w:sz w:val="22"/>
                <w:szCs w:val="22"/>
                <w:lang w:val="ru-RU" w:eastAsia="ru-RU"/>
              </w:rPr>
              <w:t xml:space="preserve">meget almindelig </w:t>
            </w:r>
          </w:p>
        </w:tc>
      </w:tr>
      <w:tr w:rsidR="00D41138" w:rsidRPr="00401ECA" w14:paraId="52EF7C7A" w14:textId="77777777" w:rsidTr="00F526B8">
        <w:trPr>
          <w:trHeight w:val="227"/>
        </w:trPr>
        <w:tc>
          <w:tcPr>
            <w:tcW w:w="1705" w:type="pct"/>
            <w:vMerge/>
            <w:tcBorders>
              <w:top w:val="single" w:sz="4" w:space="0" w:color="000000"/>
              <w:left w:val="single" w:sz="4" w:space="0" w:color="000000"/>
              <w:bottom w:val="single" w:sz="4" w:space="0" w:color="000000"/>
              <w:right w:val="single" w:sz="4" w:space="0" w:color="000000"/>
            </w:tcBorders>
            <w:vAlign w:val="center"/>
            <w:hideMark/>
          </w:tcPr>
          <w:p w14:paraId="036E8536" w14:textId="77777777" w:rsidR="00D41138" w:rsidRPr="00401ECA" w:rsidRDefault="00D41138" w:rsidP="00F526B8">
            <w:pPr>
              <w:rPr>
                <w:sz w:val="22"/>
                <w:szCs w:val="22"/>
                <w:lang w:val="ru-RU" w:eastAsia="ru-RU"/>
              </w:rPr>
            </w:pPr>
          </w:p>
        </w:tc>
        <w:tc>
          <w:tcPr>
            <w:tcW w:w="1772" w:type="pct"/>
            <w:tcBorders>
              <w:top w:val="single" w:sz="4" w:space="0" w:color="000000"/>
              <w:left w:val="single" w:sz="4" w:space="0" w:color="000000"/>
              <w:bottom w:val="single" w:sz="4" w:space="0" w:color="000000"/>
              <w:right w:val="single" w:sz="4" w:space="0" w:color="000000"/>
            </w:tcBorders>
            <w:tcMar>
              <w:top w:w="28" w:type="dxa"/>
              <w:left w:w="113" w:type="dxa"/>
              <w:bottom w:w="28" w:type="dxa"/>
              <w:right w:w="115" w:type="dxa"/>
            </w:tcMar>
            <w:hideMark/>
          </w:tcPr>
          <w:p w14:paraId="41F911FA" w14:textId="77777777" w:rsidR="00D41138" w:rsidRPr="00401ECA" w:rsidRDefault="00D41138" w:rsidP="00F526B8">
            <w:pPr>
              <w:rPr>
                <w:sz w:val="22"/>
                <w:szCs w:val="22"/>
                <w:lang w:val="ru-RU" w:eastAsia="ru-RU"/>
              </w:rPr>
            </w:pPr>
            <w:r w:rsidRPr="00401ECA">
              <w:rPr>
                <w:sz w:val="22"/>
                <w:szCs w:val="22"/>
                <w:lang w:val="ru-RU" w:eastAsia="ru-RU"/>
              </w:rPr>
              <w:t>Akne</w:t>
            </w:r>
            <w:r w:rsidRPr="00401ECA">
              <w:rPr>
                <w:sz w:val="22"/>
                <w:szCs w:val="22"/>
                <w:vertAlign w:val="superscript"/>
                <w:lang w:val="ru-RU" w:eastAsia="ru-RU"/>
              </w:rPr>
              <w:t>†</w:t>
            </w:r>
            <w:r w:rsidRPr="00401ECA">
              <w:rPr>
                <w:sz w:val="22"/>
                <w:szCs w:val="22"/>
                <w:lang w:val="ru-RU" w:eastAsia="ru-RU"/>
              </w:rPr>
              <w:t xml:space="preserve"> </w:t>
            </w:r>
          </w:p>
        </w:tc>
        <w:tc>
          <w:tcPr>
            <w:tcW w:w="1523" w:type="pct"/>
            <w:tcBorders>
              <w:top w:val="single" w:sz="4" w:space="0" w:color="000000"/>
              <w:left w:val="single" w:sz="4" w:space="0" w:color="000000"/>
              <w:bottom w:val="single" w:sz="4" w:space="0" w:color="000000"/>
              <w:right w:val="single" w:sz="4" w:space="0" w:color="000000"/>
            </w:tcBorders>
            <w:tcMar>
              <w:top w:w="28" w:type="dxa"/>
              <w:left w:w="113" w:type="dxa"/>
              <w:bottom w:w="28" w:type="dxa"/>
              <w:right w:w="115" w:type="dxa"/>
            </w:tcMar>
            <w:hideMark/>
          </w:tcPr>
          <w:p w14:paraId="0B3387DA" w14:textId="77777777" w:rsidR="00D41138" w:rsidRPr="00401ECA" w:rsidRDefault="00D41138" w:rsidP="00F526B8">
            <w:pPr>
              <w:rPr>
                <w:sz w:val="22"/>
                <w:szCs w:val="22"/>
                <w:lang w:val="ru-RU" w:eastAsia="ru-RU"/>
              </w:rPr>
            </w:pPr>
            <w:r w:rsidRPr="00401ECA">
              <w:rPr>
                <w:sz w:val="22"/>
                <w:szCs w:val="22"/>
                <w:lang w:val="ru-RU" w:eastAsia="ru-RU"/>
              </w:rPr>
              <w:t xml:space="preserve">almindelig </w:t>
            </w:r>
          </w:p>
        </w:tc>
      </w:tr>
      <w:tr w:rsidR="00D41138" w:rsidRPr="00401ECA" w14:paraId="5480F1BD" w14:textId="77777777" w:rsidTr="00F526B8">
        <w:trPr>
          <w:trHeight w:val="227"/>
        </w:trPr>
        <w:tc>
          <w:tcPr>
            <w:tcW w:w="1705" w:type="pct"/>
            <w:vMerge/>
            <w:tcBorders>
              <w:top w:val="single" w:sz="4" w:space="0" w:color="000000"/>
              <w:left w:val="single" w:sz="4" w:space="0" w:color="000000"/>
              <w:bottom w:val="single" w:sz="4" w:space="0" w:color="000000"/>
              <w:right w:val="single" w:sz="4" w:space="0" w:color="000000"/>
            </w:tcBorders>
            <w:vAlign w:val="center"/>
            <w:hideMark/>
          </w:tcPr>
          <w:p w14:paraId="48873CB2" w14:textId="77777777" w:rsidR="00D41138" w:rsidRPr="00401ECA" w:rsidRDefault="00D41138" w:rsidP="00F526B8">
            <w:pPr>
              <w:rPr>
                <w:sz w:val="22"/>
                <w:szCs w:val="22"/>
                <w:lang w:val="ru-RU" w:eastAsia="ru-RU"/>
              </w:rPr>
            </w:pPr>
          </w:p>
        </w:tc>
        <w:tc>
          <w:tcPr>
            <w:tcW w:w="1772" w:type="pct"/>
            <w:tcBorders>
              <w:top w:val="single" w:sz="4" w:space="0" w:color="000000"/>
              <w:left w:val="single" w:sz="4" w:space="0" w:color="000000"/>
              <w:bottom w:val="single" w:sz="4" w:space="0" w:color="000000"/>
              <w:right w:val="single" w:sz="4" w:space="0" w:color="000000"/>
            </w:tcBorders>
            <w:tcMar>
              <w:top w:w="28" w:type="dxa"/>
              <w:left w:w="113" w:type="dxa"/>
              <w:bottom w:w="28" w:type="dxa"/>
              <w:right w:w="115" w:type="dxa"/>
            </w:tcMar>
            <w:hideMark/>
          </w:tcPr>
          <w:p w14:paraId="0730537B" w14:textId="77777777" w:rsidR="00D41138" w:rsidRPr="00401ECA" w:rsidRDefault="00D41138" w:rsidP="00F526B8">
            <w:pPr>
              <w:rPr>
                <w:sz w:val="22"/>
                <w:szCs w:val="22"/>
                <w:lang w:val="ru-RU" w:eastAsia="ru-RU"/>
              </w:rPr>
            </w:pPr>
            <w:r w:rsidRPr="00401ECA">
              <w:rPr>
                <w:sz w:val="22"/>
                <w:szCs w:val="22"/>
                <w:lang w:val="ru-RU" w:eastAsia="ru-RU"/>
              </w:rPr>
              <w:t>Pruritus</w:t>
            </w:r>
            <w:r w:rsidRPr="00401ECA">
              <w:rPr>
                <w:sz w:val="22"/>
                <w:szCs w:val="22"/>
                <w:vertAlign w:val="superscript"/>
                <w:lang w:val="ru-RU" w:eastAsia="ru-RU"/>
              </w:rPr>
              <w:t>†</w:t>
            </w:r>
            <w:r w:rsidRPr="00401ECA">
              <w:rPr>
                <w:sz w:val="22"/>
                <w:szCs w:val="22"/>
                <w:lang w:val="ru-RU" w:eastAsia="ru-RU"/>
              </w:rPr>
              <w:t xml:space="preserve"> </w:t>
            </w:r>
          </w:p>
        </w:tc>
        <w:tc>
          <w:tcPr>
            <w:tcW w:w="1523" w:type="pct"/>
            <w:tcBorders>
              <w:top w:val="single" w:sz="4" w:space="0" w:color="000000"/>
              <w:left w:val="single" w:sz="4" w:space="0" w:color="000000"/>
              <w:bottom w:val="single" w:sz="4" w:space="0" w:color="000000"/>
              <w:right w:val="single" w:sz="4" w:space="0" w:color="000000"/>
            </w:tcBorders>
            <w:tcMar>
              <w:top w:w="28" w:type="dxa"/>
              <w:left w:w="113" w:type="dxa"/>
              <w:bottom w:w="28" w:type="dxa"/>
              <w:right w:w="115" w:type="dxa"/>
            </w:tcMar>
            <w:hideMark/>
          </w:tcPr>
          <w:p w14:paraId="63FF4EDA" w14:textId="77777777" w:rsidR="00D41138" w:rsidRPr="00401ECA" w:rsidRDefault="00D41138" w:rsidP="00F526B8">
            <w:pPr>
              <w:rPr>
                <w:sz w:val="22"/>
                <w:szCs w:val="22"/>
                <w:lang w:val="ru-RU" w:eastAsia="ru-RU"/>
              </w:rPr>
            </w:pPr>
            <w:r w:rsidRPr="00401ECA">
              <w:rPr>
                <w:sz w:val="22"/>
                <w:szCs w:val="22"/>
                <w:lang w:val="ru-RU" w:eastAsia="ru-RU"/>
              </w:rPr>
              <w:t xml:space="preserve">almindelig </w:t>
            </w:r>
          </w:p>
        </w:tc>
      </w:tr>
      <w:tr w:rsidR="00D41138" w:rsidRPr="00401ECA" w14:paraId="0BA6A8EE" w14:textId="77777777" w:rsidTr="00F526B8">
        <w:trPr>
          <w:trHeight w:val="227"/>
        </w:trPr>
        <w:tc>
          <w:tcPr>
            <w:tcW w:w="1705" w:type="pct"/>
            <w:vMerge w:val="restart"/>
            <w:tcBorders>
              <w:top w:val="single" w:sz="4" w:space="0" w:color="000000"/>
              <w:left w:val="single" w:sz="4" w:space="0" w:color="000000"/>
              <w:bottom w:val="single" w:sz="4" w:space="0" w:color="000000"/>
              <w:right w:val="single" w:sz="4" w:space="0" w:color="000000"/>
            </w:tcBorders>
            <w:tcMar>
              <w:top w:w="28" w:type="dxa"/>
              <w:left w:w="113" w:type="dxa"/>
              <w:bottom w:w="28" w:type="dxa"/>
              <w:right w:w="115" w:type="dxa"/>
            </w:tcMar>
            <w:hideMark/>
          </w:tcPr>
          <w:p w14:paraId="71C6B2C1" w14:textId="77777777" w:rsidR="00D41138" w:rsidRPr="00401ECA" w:rsidRDefault="00D41138" w:rsidP="00F526B8">
            <w:pPr>
              <w:rPr>
                <w:sz w:val="22"/>
                <w:szCs w:val="22"/>
                <w:lang w:val="ru-RU" w:eastAsia="ru-RU"/>
              </w:rPr>
            </w:pPr>
            <w:r w:rsidRPr="00401ECA">
              <w:rPr>
                <w:sz w:val="22"/>
                <w:szCs w:val="22"/>
                <w:lang w:val="ru-RU" w:eastAsia="ru-RU"/>
              </w:rPr>
              <w:t xml:space="preserve">Det reproduktive system og mammae </w:t>
            </w:r>
          </w:p>
        </w:tc>
        <w:tc>
          <w:tcPr>
            <w:tcW w:w="1772" w:type="pct"/>
            <w:tcBorders>
              <w:top w:val="single" w:sz="4" w:space="0" w:color="000000"/>
              <w:left w:val="single" w:sz="4" w:space="0" w:color="000000"/>
              <w:bottom w:val="single" w:sz="4" w:space="0" w:color="000000"/>
              <w:right w:val="single" w:sz="4" w:space="0" w:color="000000"/>
            </w:tcBorders>
            <w:tcMar>
              <w:top w:w="28" w:type="dxa"/>
              <w:left w:w="113" w:type="dxa"/>
              <w:bottom w:w="28" w:type="dxa"/>
              <w:right w:w="115" w:type="dxa"/>
            </w:tcMar>
            <w:hideMark/>
          </w:tcPr>
          <w:p w14:paraId="6EC480CF" w14:textId="77777777" w:rsidR="00D41138" w:rsidRPr="00401ECA" w:rsidRDefault="00D41138" w:rsidP="00F526B8">
            <w:pPr>
              <w:rPr>
                <w:sz w:val="22"/>
                <w:szCs w:val="22"/>
                <w:lang w:val="ru-RU" w:eastAsia="ru-RU"/>
              </w:rPr>
            </w:pPr>
            <w:r w:rsidRPr="00401ECA">
              <w:rPr>
                <w:sz w:val="22"/>
                <w:szCs w:val="22"/>
                <w:lang w:val="ru-RU" w:eastAsia="ru-RU"/>
              </w:rPr>
              <w:t xml:space="preserve">Knude i bryst </w:t>
            </w:r>
          </w:p>
        </w:tc>
        <w:tc>
          <w:tcPr>
            <w:tcW w:w="1523" w:type="pct"/>
            <w:tcBorders>
              <w:top w:val="single" w:sz="4" w:space="0" w:color="000000"/>
              <w:left w:val="single" w:sz="4" w:space="0" w:color="000000"/>
              <w:bottom w:val="single" w:sz="4" w:space="0" w:color="000000"/>
              <w:right w:val="single" w:sz="4" w:space="0" w:color="000000"/>
            </w:tcBorders>
            <w:tcMar>
              <w:top w:w="28" w:type="dxa"/>
              <w:left w:w="113" w:type="dxa"/>
              <w:bottom w:w="28" w:type="dxa"/>
              <w:right w:w="115" w:type="dxa"/>
            </w:tcMar>
            <w:hideMark/>
          </w:tcPr>
          <w:p w14:paraId="038E7838" w14:textId="77777777" w:rsidR="00D41138" w:rsidRPr="00401ECA" w:rsidRDefault="00D41138" w:rsidP="00F526B8">
            <w:pPr>
              <w:rPr>
                <w:sz w:val="22"/>
                <w:szCs w:val="22"/>
                <w:lang w:val="ru-RU" w:eastAsia="ru-RU"/>
              </w:rPr>
            </w:pPr>
            <w:r w:rsidRPr="00401ECA">
              <w:rPr>
                <w:sz w:val="22"/>
                <w:szCs w:val="22"/>
                <w:lang w:val="ru-RU" w:eastAsia="ru-RU"/>
              </w:rPr>
              <w:t xml:space="preserve">almindelig </w:t>
            </w:r>
          </w:p>
        </w:tc>
      </w:tr>
      <w:tr w:rsidR="00D41138" w:rsidRPr="00401ECA" w14:paraId="6599F132" w14:textId="77777777" w:rsidTr="00F526B8">
        <w:trPr>
          <w:trHeight w:val="227"/>
        </w:trPr>
        <w:tc>
          <w:tcPr>
            <w:tcW w:w="1705" w:type="pct"/>
            <w:vMerge/>
            <w:tcBorders>
              <w:top w:val="single" w:sz="4" w:space="0" w:color="000000"/>
              <w:left w:val="single" w:sz="4" w:space="0" w:color="000000"/>
              <w:bottom w:val="single" w:sz="4" w:space="0" w:color="000000"/>
              <w:right w:val="single" w:sz="4" w:space="0" w:color="000000"/>
            </w:tcBorders>
            <w:vAlign w:val="center"/>
            <w:hideMark/>
          </w:tcPr>
          <w:p w14:paraId="13AB68DD" w14:textId="77777777" w:rsidR="00D41138" w:rsidRPr="00401ECA" w:rsidRDefault="00D41138" w:rsidP="00F526B8">
            <w:pPr>
              <w:rPr>
                <w:sz w:val="22"/>
                <w:szCs w:val="22"/>
                <w:lang w:val="ru-RU" w:eastAsia="ru-RU"/>
              </w:rPr>
            </w:pPr>
          </w:p>
        </w:tc>
        <w:tc>
          <w:tcPr>
            <w:tcW w:w="1772" w:type="pct"/>
            <w:tcBorders>
              <w:top w:val="single" w:sz="4" w:space="0" w:color="000000"/>
              <w:left w:val="single" w:sz="4" w:space="0" w:color="000000"/>
              <w:bottom w:val="single" w:sz="4" w:space="0" w:color="000000"/>
              <w:right w:val="single" w:sz="4" w:space="0" w:color="000000"/>
            </w:tcBorders>
            <w:tcMar>
              <w:top w:w="28" w:type="dxa"/>
              <w:left w:w="113" w:type="dxa"/>
              <w:bottom w:w="28" w:type="dxa"/>
              <w:right w:w="115" w:type="dxa"/>
            </w:tcMar>
            <w:hideMark/>
          </w:tcPr>
          <w:p w14:paraId="31E294D1" w14:textId="77777777" w:rsidR="00D41138" w:rsidRPr="00401ECA" w:rsidRDefault="00D41138" w:rsidP="00F526B8">
            <w:pPr>
              <w:rPr>
                <w:sz w:val="22"/>
                <w:szCs w:val="22"/>
                <w:lang w:val="ru-RU" w:eastAsia="ru-RU"/>
              </w:rPr>
            </w:pPr>
            <w:r w:rsidRPr="00401ECA">
              <w:rPr>
                <w:sz w:val="22"/>
                <w:szCs w:val="22"/>
                <w:lang w:val="ru-RU" w:eastAsia="ru-RU"/>
              </w:rPr>
              <w:t xml:space="preserve">Brystinflammation </w:t>
            </w:r>
          </w:p>
        </w:tc>
        <w:tc>
          <w:tcPr>
            <w:tcW w:w="1523" w:type="pct"/>
            <w:tcBorders>
              <w:top w:val="single" w:sz="4" w:space="0" w:color="000000"/>
              <w:left w:val="single" w:sz="4" w:space="0" w:color="000000"/>
              <w:bottom w:val="single" w:sz="4" w:space="0" w:color="000000"/>
              <w:right w:val="single" w:sz="4" w:space="0" w:color="000000"/>
            </w:tcBorders>
            <w:tcMar>
              <w:top w:w="28" w:type="dxa"/>
              <w:left w:w="113" w:type="dxa"/>
              <w:bottom w:w="28" w:type="dxa"/>
              <w:right w:w="115" w:type="dxa"/>
            </w:tcMar>
            <w:hideMark/>
          </w:tcPr>
          <w:p w14:paraId="5C73E80C" w14:textId="77777777" w:rsidR="00D41138" w:rsidRPr="00401ECA" w:rsidRDefault="00D41138" w:rsidP="00F526B8">
            <w:pPr>
              <w:rPr>
                <w:sz w:val="22"/>
                <w:szCs w:val="22"/>
                <w:lang w:val="ru-RU" w:eastAsia="ru-RU"/>
              </w:rPr>
            </w:pPr>
            <w:r w:rsidRPr="00401ECA">
              <w:rPr>
                <w:sz w:val="22"/>
                <w:szCs w:val="22"/>
                <w:lang w:val="ru-RU" w:eastAsia="ru-RU"/>
              </w:rPr>
              <w:t xml:space="preserve">ikke almindelig </w:t>
            </w:r>
          </w:p>
        </w:tc>
      </w:tr>
      <w:tr w:rsidR="00D41138" w:rsidRPr="00401ECA" w14:paraId="32D7F218" w14:textId="77777777" w:rsidTr="00F526B8">
        <w:trPr>
          <w:trHeight w:val="227"/>
        </w:trPr>
        <w:tc>
          <w:tcPr>
            <w:tcW w:w="1705" w:type="pct"/>
            <w:vMerge/>
            <w:tcBorders>
              <w:top w:val="single" w:sz="4" w:space="0" w:color="000000"/>
              <w:left w:val="single" w:sz="4" w:space="0" w:color="000000"/>
              <w:bottom w:val="single" w:sz="4" w:space="0" w:color="000000"/>
              <w:right w:val="single" w:sz="4" w:space="0" w:color="000000"/>
            </w:tcBorders>
            <w:vAlign w:val="center"/>
            <w:hideMark/>
          </w:tcPr>
          <w:p w14:paraId="5DC6E706" w14:textId="77777777" w:rsidR="00D41138" w:rsidRPr="00401ECA" w:rsidRDefault="00D41138" w:rsidP="00F526B8">
            <w:pPr>
              <w:rPr>
                <w:sz w:val="22"/>
                <w:szCs w:val="22"/>
                <w:lang w:val="ru-RU" w:eastAsia="ru-RU"/>
              </w:rPr>
            </w:pPr>
          </w:p>
        </w:tc>
        <w:tc>
          <w:tcPr>
            <w:tcW w:w="1772" w:type="pct"/>
            <w:tcBorders>
              <w:top w:val="single" w:sz="4" w:space="0" w:color="000000"/>
              <w:left w:val="single" w:sz="4" w:space="0" w:color="000000"/>
              <w:bottom w:val="single" w:sz="4" w:space="0" w:color="000000"/>
              <w:right w:val="single" w:sz="4" w:space="0" w:color="000000"/>
            </w:tcBorders>
            <w:tcMar>
              <w:top w:w="28" w:type="dxa"/>
              <w:left w:w="113" w:type="dxa"/>
              <w:bottom w:w="28" w:type="dxa"/>
              <w:right w:w="115" w:type="dxa"/>
            </w:tcMar>
            <w:hideMark/>
          </w:tcPr>
          <w:p w14:paraId="3299C58B" w14:textId="77777777" w:rsidR="00D41138" w:rsidRPr="00401ECA" w:rsidRDefault="00D41138" w:rsidP="00F526B8">
            <w:pPr>
              <w:rPr>
                <w:sz w:val="22"/>
                <w:szCs w:val="22"/>
                <w:lang w:val="ru-RU" w:eastAsia="ru-RU"/>
              </w:rPr>
            </w:pPr>
            <w:r w:rsidRPr="00401ECA">
              <w:rPr>
                <w:sz w:val="22"/>
                <w:szCs w:val="22"/>
                <w:lang w:val="ru-RU" w:eastAsia="ru-RU"/>
              </w:rPr>
              <w:t xml:space="preserve">Gynækomasti </w:t>
            </w:r>
          </w:p>
        </w:tc>
        <w:tc>
          <w:tcPr>
            <w:tcW w:w="1523" w:type="pct"/>
            <w:tcBorders>
              <w:top w:val="single" w:sz="4" w:space="0" w:color="000000"/>
              <w:left w:val="single" w:sz="4" w:space="0" w:color="000000"/>
              <w:bottom w:val="single" w:sz="4" w:space="0" w:color="000000"/>
              <w:right w:val="single" w:sz="4" w:space="0" w:color="000000"/>
            </w:tcBorders>
            <w:tcMar>
              <w:top w:w="28" w:type="dxa"/>
              <w:left w:w="113" w:type="dxa"/>
              <w:bottom w:w="28" w:type="dxa"/>
              <w:right w:w="115" w:type="dxa"/>
            </w:tcMar>
            <w:hideMark/>
          </w:tcPr>
          <w:p w14:paraId="503C42B5" w14:textId="77777777" w:rsidR="00D41138" w:rsidRPr="00401ECA" w:rsidRDefault="00D41138" w:rsidP="00F526B8">
            <w:pPr>
              <w:rPr>
                <w:sz w:val="22"/>
                <w:szCs w:val="22"/>
                <w:lang w:val="ru-RU" w:eastAsia="ru-RU"/>
              </w:rPr>
            </w:pPr>
            <w:r w:rsidRPr="00401ECA">
              <w:rPr>
                <w:sz w:val="22"/>
                <w:szCs w:val="22"/>
                <w:lang w:val="ru-RU" w:eastAsia="ru-RU"/>
              </w:rPr>
              <w:t xml:space="preserve">ikke almindelig </w:t>
            </w:r>
          </w:p>
        </w:tc>
      </w:tr>
      <w:tr w:rsidR="00D41138" w:rsidRPr="00401ECA" w14:paraId="0013826A" w14:textId="77777777" w:rsidTr="00F526B8">
        <w:trPr>
          <w:trHeight w:val="227"/>
        </w:trPr>
        <w:tc>
          <w:tcPr>
            <w:tcW w:w="1705" w:type="pct"/>
            <w:vMerge/>
            <w:tcBorders>
              <w:top w:val="single" w:sz="4" w:space="0" w:color="000000"/>
              <w:left w:val="single" w:sz="4" w:space="0" w:color="000000"/>
              <w:bottom w:val="single" w:sz="4" w:space="0" w:color="000000"/>
              <w:right w:val="single" w:sz="4" w:space="0" w:color="000000"/>
            </w:tcBorders>
            <w:vAlign w:val="center"/>
            <w:hideMark/>
          </w:tcPr>
          <w:p w14:paraId="216F627B" w14:textId="77777777" w:rsidR="00D41138" w:rsidRPr="00401ECA" w:rsidRDefault="00D41138" w:rsidP="00F526B8">
            <w:pPr>
              <w:rPr>
                <w:sz w:val="22"/>
                <w:szCs w:val="22"/>
                <w:lang w:val="ru-RU" w:eastAsia="ru-RU"/>
              </w:rPr>
            </w:pPr>
          </w:p>
        </w:tc>
        <w:tc>
          <w:tcPr>
            <w:tcW w:w="1772" w:type="pct"/>
            <w:tcBorders>
              <w:top w:val="single" w:sz="4" w:space="0" w:color="000000"/>
              <w:left w:val="single" w:sz="4" w:space="0" w:color="000000"/>
              <w:bottom w:val="single" w:sz="4" w:space="0" w:color="000000"/>
              <w:right w:val="single" w:sz="4" w:space="0" w:color="000000"/>
            </w:tcBorders>
            <w:tcMar>
              <w:top w:w="28" w:type="dxa"/>
              <w:left w:w="113" w:type="dxa"/>
              <w:bottom w:w="28" w:type="dxa"/>
              <w:right w:w="115" w:type="dxa"/>
            </w:tcMar>
            <w:hideMark/>
          </w:tcPr>
          <w:p w14:paraId="4921C167" w14:textId="77777777" w:rsidR="00D41138" w:rsidRPr="00401ECA" w:rsidRDefault="00D41138" w:rsidP="00F526B8">
            <w:pPr>
              <w:rPr>
                <w:sz w:val="22"/>
                <w:szCs w:val="22"/>
                <w:lang w:val="ru-RU" w:eastAsia="ru-RU"/>
              </w:rPr>
            </w:pPr>
            <w:r w:rsidRPr="00401ECA">
              <w:rPr>
                <w:sz w:val="22"/>
                <w:szCs w:val="22"/>
                <w:lang w:val="ru-RU" w:eastAsia="ru-RU"/>
              </w:rPr>
              <w:t xml:space="preserve">Sygdom i brystvorter </w:t>
            </w:r>
          </w:p>
        </w:tc>
        <w:tc>
          <w:tcPr>
            <w:tcW w:w="1523" w:type="pct"/>
            <w:tcBorders>
              <w:top w:val="single" w:sz="4" w:space="0" w:color="000000"/>
              <w:left w:val="single" w:sz="4" w:space="0" w:color="000000"/>
              <w:bottom w:val="single" w:sz="4" w:space="0" w:color="000000"/>
              <w:right w:val="single" w:sz="4" w:space="0" w:color="000000"/>
            </w:tcBorders>
            <w:tcMar>
              <w:top w:w="28" w:type="dxa"/>
              <w:left w:w="113" w:type="dxa"/>
              <w:bottom w:w="28" w:type="dxa"/>
              <w:right w:w="115" w:type="dxa"/>
            </w:tcMar>
            <w:hideMark/>
          </w:tcPr>
          <w:p w14:paraId="2F057984" w14:textId="77777777" w:rsidR="00D41138" w:rsidRPr="00401ECA" w:rsidRDefault="00D41138" w:rsidP="00F526B8">
            <w:pPr>
              <w:rPr>
                <w:sz w:val="22"/>
                <w:szCs w:val="22"/>
                <w:lang w:val="ru-RU" w:eastAsia="ru-RU"/>
              </w:rPr>
            </w:pPr>
            <w:r w:rsidRPr="00401ECA">
              <w:rPr>
                <w:sz w:val="22"/>
                <w:szCs w:val="22"/>
                <w:lang w:val="ru-RU" w:eastAsia="ru-RU"/>
              </w:rPr>
              <w:t xml:space="preserve">ikke almindelig </w:t>
            </w:r>
          </w:p>
        </w:tc>
      </w:tr>
      <w:tr w:rsidR="00D41138" w:rsidRPr="00401ECA" w14:paraId="50052379" w14:textId="77777777" w:rsidTr="00F526B8">
        <w:trPr>
          <w:trHeight w:val="227"/>
        </w:trPr>
        <w:tc>
          <w:tcPr>
            <w:tcW w:w="1705" w:type="pct"/>
            <w:vMerge/>
            <w:tcBorders>
              <w:top w:val="single" w:sz="4" w:space="0" w:color="000000"/>
              <w:left w:val="single" w:sz="4" w:space="0" w:color="000000"/>
              <w:bottom w:val="single" w:sz="4" w:space="0" w:color="000000"/>
              <w:right w:val="single" w:sz="4" w:space="0" w:color="000000"/>
            </w:tcBorders>
            <w:vAlign w:val="center"/>
            <w:hideMark/>
          </w:tcPr>
          <w:p w14:paraId="077EDE99" w14:textId="77777777" w:rsidR="00D41138" w:rsidRPr="00401ECA" w:rsidRDefault="00D41138" w:rsidP="00F526B8">
            <w:pPr>
              <w:rPr>
                <w:sz w:val="22"/>
                <w:szCs w:val="22"/>
                <w:lang w:val="ru-RU" w:eastAsia="ru-RU"/>
              </w:rPr>
            </w:pPr>
          </w:p>
        </w:tc>
        <w:tc>
          <w:tcPr>
            <w:tcW w:w="1772" w:type="pct"/>
            <w:tcBorders>
              <w:top w:val="single" w:sz="4" w:space="0" w:color="000000"/>
              <w:left w:val="single" w:sz="4" w:space="0" w:color="000000"/>
              <w:bottom w:val="single" w:sz="4" w:space="0" w:color="000000"/>
              <w:right w:val="single" w:sz="4" w:space="0" w:color="000000"/>
            </w:tcBorders>
            <w:tcMar>
              <w:top w:w="28" w:type="dxa"/>
              <w:left w:w="113" w:type="dxa"/>
              <w:bottom w:w="28" w:type="dxa"/>
              <w:right w:w="115" w:type="dxa"/>
            </w:tcMar>
            <w:hideMark/>
          </w:tcPr>
          <w:p w14:paraId="292E4F01" w14:textId="77777777" w:rsidR="00D41138" w:rsidRPr="00401ECA" w:rsidRDefault="00D41138" w:rsidP="00F526B8">
            <w:pPr>
              <w:rPr>
                <w:sz w:val="22"/>
                <w:szCs w:val="22"/>
                <w:lang w:val="ru-RU" w:eastAsia="ru-RU"/>
              </w:rPr>
            </w:pPr>
            <w:r w:rsidRPr="00401ECA">
              <w:rPr>
                <w:sz w:val="22"/>
                <w:szCs w:val="22"/>
                <w:lang w:val="ru-RU" w:eastAsia="ru-RU"/>
              </w:rPr>
              <w:t xml:space="preserve">Smerter i brystvorter </w:t>
            </w:r>
          </w:p>
        </w:tc>
        <w:tc>
          <w:tcPr>
            <w:tcW w:w="1523" w:type="pct"/>
            <w:tcBorders>
              <w:top w:val="single" w:sz="4" w:space="0" w:color="000000"/>
              <w:left w:val="single" w:sz="4" w:space="0" w:color="000000"/>
              <w:bottom w:val="single" w:sz="4" w:space="0" w:color="000000"/>
              <w:right w:val="single" w:sz="4" w:space="0" w:color="000000"/>
            </w:tcBorders>
            <w:tcMar>
              <w:top w:w="28" w:type="dxa"/>
              <w:left w:w="113" w:type="dxa"/>
              <w:bottom w:w="28" w:type="dxa"/>
              <w:right w:w="115" w:type="dxa"/>
            </w:tcMar>
            <w:hideMark/>
          </w:tcPr>
          <w:p w14:paraId="70999C11" w14:textId="77777777" w:rsidR="00D41138" w:rsidRPr="00401ECA" w:rsidRDefault="00D41138" w:rsidP="00F526B8">
            <w:pPr>
              <w:rPr>
                <w:sz w:val="22"/>
                <w:szCs w:val="22"/>
                <w:lang w:val="ru-RU" w:eastAsia="ru-RU"/>
              </w:rPr>
            </w:pPr>
            <w:r w:rsidRPr="00401ECA">
              <w:rPr>
                <w:sz w:val="22"/>
                <w:szCs w:val="22"/>
                <w:lang w:val="ru-RU" w:eastAsia="ru-RU"/>
              </w:rPr>
              <w:t xml:space="preserve">ikke almindelig </w:t>
            </w:r>
          </w:p>
        </w:tc>
      </w:tr>
      <w:tr w:rsidR="00D41138" w:rsidRPr="00401ECA" w14:paraId="29A164AF" w14:textId="77777777" w:rsidTr="00F526B8">
        <w:trPr>
          <w:trHeight w:val="227"/>
        </w:trPr>
        <w:tc>
          <w:tcPr>
            <w:tcW w:w="1705" w:type="pct"/>
            <w:vMerge w:val="restart"/>
            <w:tcBorders>
              <w:top w:val="single" w:sz="4" w:space="0" w:color="000000"/>
              <w:left w:val="single" w:sz="4" w:space="0" w:color="000000"/>
              <w:bottom w:val="single" w:sz="4" w:space="0" w:color="000000"/>
              <w:right w:val="single" w:sz="4" w:space="0" w:color="000000"/>
            </w:tcBorders>
            <w:tcMar>
              <w:top w:w="28" w:type="dxa"/>
              <w:left w:w="113" w:type="dxa"/>
              <w:bottom w:w="28" w:type="dxa"/>
              <w:right w:w="115" w:type="dxa"/>
            </w:tcMar>
            <w:hideMark/>
          </w:tcPr>
          <w:p w14:paraId="702EB6FD" w14:textId="77777777" w:rsidR="00D41138" w:rsidRPr="00401ECA" w:rsidRDefault="00D41138" w:rsidP="00F526B8">
            <w:pPr>
              <w:rPr>
                <w:sz w:val="22"/>
                <w:szCs w:val="22"/>
                <w:lang w:val="ru-RU" w:eastAsia="ru-RU"/>
              </w:rPr>
            </w:pPr>
            <w:r w:rsidRPr="00401ECA">
              <w:rPr>
                <w:sz w:val="22"/>
                <w:szCs w:val="22"/>
                <w:lang w:val="ru-RU" w:eastAsia="ru-RU"/>
              </w:rPr>
              <w:t xml:space="preserve">Undersøgelser </w:t>
            </w:r>
          </w:p>
        </w:tc>
        <w:tc>
          <w:tcPr>
            <w:tcW w:w="1772" w:type="pct"/>
            <w:tcBorders>
              <w:top w:val="single" w:sz="4" w:space="0" w:color="000000"/>
              <w:left w:val="single" w:sz="4" w:space="0" w:color="000000"/>
              <w:bottom w:val="single" w:sz="4" w:space="0" w:color="000000"/>
              <w:right w:val="single" w:sz="4" w:space="0" w:color="000000"/>
            </w:tcBorders>
            <w:tcMar>
              <w:top w:w="28" w:type="dxa"/>
              <w:left w:w="113" w:type="dxa"/>
              <w:bottom w:w="28" w:type="dxa"/>
              <w:right w:w="115" w:type="dxa"/>
            </w:tcMar>
            <w:hideMark/>
          </w:tcPr>
          <w:p w14:paraId="4B2F068A" w14:textId="77777777" w:rsidR="00D41138" w:rsidRPr="00401ECA" w:rsidRDefault="00D41138" w:rsidP="00F526B8">
            <w:pPr>
              <w:rPr>
                <w:sz w:val="22"/>
                <w:szCs w:val="22"/>
                <w:lang w:val="ru-RU" w:eastAsia="ru-RU"/>
              </w:rPr>
            </w:pPr>
            <w:r w:rsidRPr="00401ECA">
              <w:rPr>
                <w:sz w:val="22"/>
                <w:szCs w:val="22"/>
                <w:lang w:val="ru-RU" w:eastAsia="ru-RU"/>
              </w:rPr>
              <w:t xml:space="preserve">Bakterier i sputum </w:t>
            </w:r>
          </w:p>
        </w:tc>
        <w:tc>
          <w:tcPr>
            <w:tcW w:w="1523" w:type="pct"/>
            <w:tcBorders>
              <w:top w:val="single" w:sz="4" w:space="0" w:color="000000"/>
              <w:left w:val="single" w:sz="4" w:space="0" w:color="000000"/>
              <w:bottom w:val="single" w:sz="4" w:space="0" w:color="000000"/>
              <w:right w:val="single" w:sz="4" w:space="0" w:color="000000"/>
            </w:tcBorders>
            <w:tcMar>
              <w:top w:w="28" w:type="dxa"/>
              <w:left w:w="113" w:type="dxa"/>
              <w:bottom w:w="28" w:type="dxa"/>
              <w:right w:w="115" w:type="dxa"/>
            </w:tcMar>
            <w:hideMark/>
          </w:tcPr>
          <w:p w14:paraId="661AB512" w14:textId="77777777" w:rsidR="00D41138" w:rsidRPr="00401ECA" w:rsidRDefault="00D41138" w:rsidP="00F526B8">
            <w:pPr>
              <w:rPr>
                <w:sz w:val="22"/>
                <w:szCs w:val="22"/>
                <w:lang w:val="ru-RU" w:eastAsia="ru-RU"/>
              </w:rPr>
            </w:pPr>
            <w:r w:rsidRPr="00401ECA">
              <w:rPr>
                <w:sz w:val="22"/>
                <w:szCs w:val="22"/>
                <w:lang w:val="ru-RU" w:eastAsia="ru-RU"/>
              </w:rPr>
              <w:t xml:space="preserve">meget almindelig </w:t>
            </w:r>
          </w:p>
        </w:tc>
      </w:tr>
      <w:tr w:rsidR="00D41138" w:rsidRPr="00401ECA" w14:paraId="052C25A7" w14:textId="77777777" w:rsidTr="00F526B8">
        <w:trPr>
          <w:trHeight w:val="227"/>
        </w:trPr>
        <w:tc>
          <w:tcPr>
            <w:tcW w:w="1705" w:type="pct"/>
            <w:vMerge/>
            <w:tcBorders>
              <w:top w:val="single" w:sz="4" w:space="0" w:color="000000"/>
              <w:left w:val="single" w:sz="4" w:space="0" w:color="000000"/>
              <w:bottom w:val="single" w:sz="4" w:space="0" w:color="000000"/>
              <w:right w:val="single" w:sz="4" w:space="0" w:color="000000"/>
            </w:tcBorders>
            <w:vAlign w:val="center"/>
            <w:hideMark/>
          </w:tcPr>
          <w:p w14:paraId="2FA04BB1" w14:textId="77777777" w:rsidR="00D41138" w:rsidRPr="00401ECA" w:rsidRDefault="00D41138" w:rsidP="00F526B8">
            <w:pPr>
              <w:rPr>
                <w:sz w:val="22"/>
                <w:szCs w:val="22"/>
                <w:lang w:val="ru-RU" w:eastAsia="ru-RU"/>
              </w:rPr>
            </w:pPr>
          </w:p>
        </w:tc>
        <w:tc>
          <w:tcPr>
            <w:tcW w:w="1772" w:type="pct"/>
            <w:tcBorders>
              <w:top w:val="single" w:sz="4" w:space="0" w:color="000000"/>
              <w:left w:val="single" w:sz="4" w:space="0" w:color="000000"/>
              <w:bottom w:val="single" w:sz="4" w:space="0" w:color="000000"/>
              <w:right w:val="single" w:sz="4" w:space="0" w:color="000000"/>
            </w:tcBorders>
            <w:tcMar>
              <w:top w:w="28" w:type="dxa"/>
              <w:left w:w="113" w:type="dxa"/>
              <w:bottom w:w="28" w:type="dxa"/>
              <w:right w:w="115" w:type="dxa"/>
            </w:tcMar>
            <w:hideMark/>
          </w:tcPr>
          <w:p w14:paraId="33848F08" w14:textId="77777777" w:rsidR="00D41138" w:rsidRPr="00401ECA" w:rsidRDefault="00D41138" w:rsidP="00F526B8">
            <w:pPr>
              <w:rPr>
                <w:sz w:val="22"/>
                <w:szCs w:val="22"/>
                <w:lang w:val="ru-RU" w:eastAsia="ru-RU"/>
              </w:rPr>
            </w:pPr>
            <w:r w:rsidRPr="00401ECA">
              <w:rPr>
                <w:sz w:val="22"/>
                <w:szCs w:val="22"/>
                <w:lang w:val="ru-RU" w:eastAsia="ru-RU"/>
              </w:rPr>
              <w:t>Forhøjet blod-kreatinfosfokinase</w:t>
            </w:r>
            <w:r w:rsidRPr="00401ECA">
              <w:rPr>
                <w:sz w:val="22"/>
                <w:szCs w:val="22"/>
                <w:vertAlign w:val="superscript"/>
                <w:lang w:val="ru-RU" w:eastAsia="ru-RU"/>
              </w:rPr>
              <w:t>†</w:t>
            </w:r>
            <w:r w:rsidRPr="00401ECA">
              <w:rPr>
                <w:sz w:val="22"/>
                <w:szCs w:val="22"/>
                <w:lang w:val="ru-RU" w:eastAsia="ru-RU"/>
              </w:rPr>
              <w:t xml:space="preserve"> </w:t>
            </w:r>
          </w:p>
        </w:tc>
        <w:tc>
          <w:tcPr>
            <w:tcW w:w="1523" w:type="pct"/>
            <w:tcBorders>
              <w:top w:val="single" w:sz="4" w:space="0" w:color="000000"/>
              <w:left w:val="single" w:sz="4" w:space="0" w:color="000000"/>
              <w:bottom w:val="single" w:sz="4" w:space="0" w:color="000000"/>
              <w:right w:val="single" w:sz="4" w:space="0" w:color="000000"/>
            </w:tcBorders>
            <w:tcMar>
              <w:top w:w="28" w:type="dxa"/>
              <w:left w:w="113" w:type="dxa"/>
              <w:bottom w:w="28" w:type="dxa"/>
              <w:right w:w="115" w:type="dxa"/>
            </w:tcMar>
            <w:hideMark/>
          </w:tcPr>
          <w:p w14:paraId="7F6FF58D" w14:textId="77777777" w:rsidR="00D41138" w:rsidRPr="00401ECA" w:rsidRDefault="00D41138" w:rsidP="00F526B8">
            <w:pPr>
              <w:rPr>
                <w:sz w:val="22"/>
                <w:szCs w:val="22"/>
                <w:lang w:val="ru-RU" w:eastAsia="ru-RU"/>
              </w:rPr>
            </w:pPr>
            <w:r w:rsidRPr="00401ECA">
              <w:rPr>
                <w:sz w:val="22"/>
                <w:szCs w:val="22"/>
                <w:lang w:val="ru-RU" w:eastAsia="ru-RU"/>
              </w:rPr>
              <w:t xml:space="preserve">almindelig </w:t>
            </w:r>
          </w:p>
        </w:tc>
      </w:tr>
      <w:tr w:rsidR="00D41138" w:rsidRPr="00401ECA" w14:paraId="7AF311F5" w14:textId="77777777" w:rsidTr="00F526B8">
        <w:trPr>
          <w:trHeight w:val="227"/>
        </w:trPr>
        <w:tc>
          <w:tcPr>
            <w:tcW w:w="1705" w:type="pct"/>
            <w:vMerge/>
            <w:tcBorders>
              <w:top w:val="single" w:sz="4" w:space="0" w:color="000000"/>
              <w:left w:val="single" w:sz="4" w:space="0" w:color="000000"/>
              <w:bottom w:val="single" w:sz="4" w:space="0" w:color="000000"/>
              <w:right w:val="single" w:sz="4" w:space="0" w:color="000000"/>
            </w:tcBorders>
            <w:vAlign w:val="center"/>
            <w:hideMark/>
          </w:tcPr>
          <w:p w14:paraId="09AD1BDD" w14:textId="77777777" w:rsidR="00D41138" w:rsidRPr="00401ECA" w:rsidRDefault="00D41138" w:rsidP="00F526B8">
            <w:pPr>
              <w:rPr>
                <w:sz w:val="22"/>
                <w:szCs w:val="22"/>
                <w:lang w:val="ru-RU" w:eastAsia="ru-RU"/>
              </w:rPr>
            </w:pPr>
          </w:p>
        </w:tc>
        <w:tc>
          <w:tcPr>
            <w:tcW w:w="1772" w:type="pct"/>
            <w:tcBorders>
              <w:top w:val="single" w:sz="4" w:space="0" w:color="000000"/>
              <w:left w:val="single" w:sz="4" w:space="0" w:color="000000"/>
              <w:bottom w:val="single" w:sz="4" w:space="0" w:color="000000"/>
              <w:right w:val="single" w:sz="4" w:space="0" w:color="000000"/>
            </w:tcBorders>
            <w:tcMar>
              <w:top w:w="28" w:type="dxa"/>
              <w:left w:w="113" w:type="dxa"/>
              <w:bottom w:w="28" w:type="dxa"/>
              <w:right w:w="115" w:type="dxa"/>
            </w:tcMar>
            <w:hideMark/>
          </w:tcPr>
          <w:p w14:paraId="5112967F" w14:textId="77777777" w:rsidR="00D41138" w:rsidRPr="00401ECA" w:rsidRDefault="00D41138" w:rsidP="00F526B8">
            <w:pPr>
              <w:rPr>
                <w:sz w:val="22"/>
                <w:szCs w:val="22"/>
                <w:lang w:val="ru-RU" w:eastAsia="ru-RU"/>
              </w:rPr>
            </w:pPr>
            <w:r w:rsidRPr="00401ECA">
              <w:rPr>
                <w:sz w:val="22"/>
                <w:szCs w:val="22"/>
                <w:lang w:val="ru-RU" w:eastAsia="ru-RU"/>
              </w:rPr>
              <w:t>Forhøjet blodtryk</w:t>
            </w:r>
            <w:r w:rsidRPr="00401ECA">
              <w:rPr>
                <w:sz w:val="22"/>
                <w:szCs w:val="22"/>
                <w:vertAlign w:val="superscript"/>
                <w:lang w:val="ru-RU" w:eastAsia="ru-RU"/>
              </w:rPr>
              <w:t>†</w:t>
            </w:r>
            <w:r w:rsidRPr="00401ECA">
              <w:rPr>
                <w:sz w:val="22"/>
                <w:szCs w:val="22"/>
                <w:lang w:val="ru-RU" w:eastAsia="ru-RU"/>
              </w:rPr>
              <w:t xml:space="preserve"> </w:t>
            </w:r>
          </w:p>
        </w:tc>
        <w:tc>
          <w:tcPr>
            <w:tcW w:w="1523" w:type="pct"/>
            <w:tcBorders>
              <w:top w:val="single" w:sz="4" w:space="0" w:color="000000"/>
              <w:left w:val="single" w:sz="4" w:space="0" w:color="000000"/>
              <w:bottom w:val="single" w:sz="4" w:space="0" w:color="000000"/>
              <w:right w:val="single" w:sz="4" w:space="0" w:color="000000"/>
            </w:tcBorders>
            <w:tcMar>
              <w:top w:w="28" w:type="dxa"/>
              <w:left w:w="113" w:type="dxa"/>
              <w:bottom w:w="28" w:type="dxa"/>
              <w:right w:w="115" w:type="dxa"/>
            </w:tcMar>
            <w:hideMark/>
          </w:tcPr>
          <w:p w14:paraId="51245C3B" w14:textId="77777777" w:rsidR="00D41138" w:rsidRPr="00401ECA" w:rsidRDefault="00D41138" w:rsidP="00F526B8">
            <w:pPr>
              <w:rPr>
                <w:sz w:val="22"/>
                <w:szCs w:val="22"/>
                <w:lang w:val="ru-RU" w:eastAsia="ru-RU"/>
              </w:rPr>
            </w:pPr>
            <w:r w:rsidRPr="00401ECA">
              <w:rPr>
                <w:sz w:val="22"/>
                <w:szCs w:val="22"/>
                <w:lang w:val="ru-RU" w:eastAsia="ru-RU"/>
              </w:rPr>
              <w:t xml:space="preserve">ikke almindelig </w:t>
            </w:r>
          </w:p>
        </w:tc>
      </w:tr>
    </w:tbl>
    <w:p w14:paraId="5A04CBA1" w14:textId="2E1E060E" w:rsidR="00D41138" w:rsidRPr="008F6D7F" w:rsidRDefault="00D41138" w:rsidP="008F6D7F">
      <w:pPr>
        <w:pStyle w:val="Brdtekst"/>
        <w:suppressAutoHyphens/>
        <w:kinsoku w:val="0"/>
        <w:overflowPunct w:val="0"/>
        <w:ind w:left="284" w:hanging="284"/>
        <w:rPr>
          <w:color w:val="000000" w:themeColor="text1"/>
          <w:sz w:val="20"/>
          <w:szCs w:val="20"/>
        </w:rPr>
      </w:pPr>
      <w:r w:rsidRPr="008F6D7F">
        <w:rPr>
          <w:color w:val="000000" w:themeColor="text1"/>
          <w:sz w:val="20"/>
          <w:szCs w:val="20"/>
          <w:vertAlign w:val="superscript"/>
        </w:rPr>
        <w:t>*</w:t>
      </w:r>
      <w:r w:rsidRPr="008F6D7F">
        <w:rPr>
          <w:color w:val="000000" w:themeColor="text1"/>
          <w:sz w:val="20"/>
          <w:szCs w:val="20"/>
        </w:rPr>
        <w:t xml:space="preserve"> </w:t>
      </w:r>
      <w:r w:rsidR="008F6D7F">
        <w:rPr>
          <w:color w:val="000000" w:themeColor="text1"/>
          <w:sz w:val="20"/>
          <w:szCs w:val="20"/>
        </w:rPr>
        <w:tab/>
      </w:r>
      <w:r w:rsidRPr="008F6D7F">
        <w:rPr>
          <w:color w:val="000000" w:themeColor="text1"/>
          <w:sz w:val="20"/>
          <w:szCs w:val="20"/>
        </w:rPr>
        <w:t xml:space="preserve">Bivirkning og hyppighed rapporteret fra kliniske studier med ivacaftor i kombination med tezacaftor/ivacaftor </w:t>
      </w:r>
    </w:p>
    <w:p w14:paraId="0504C16C" w14:textId="50DB17DC" w:rsidR="00D41138" w:rsidRPr="008F6D7F" w:rsidRDefault="00D41138" w:rsidP="008F6D7F">
      <w:pPr>
        <w:pStyle w:val="Brdtekst"/>
        <w:suppressAutoHyphens/>
        <w:kinsoku w:val="0"/>
        <w:overflowPunct w:val="0"/>
        <w:ind w:left="284" w:hanging="284"/>
        <w:rPr>
          <w:color w:val="000000" w:themeColor="text1"/>
          <w:sz w:val="20"/>
          <w:szCs w:val="20"/>
        </w:rPr>
      </w:pPr>
      <w:r w:rsidRPr="008F6D7F">
        <w:rPr>
          <w:color w:val="000000" w:themeColor="text1"/>
          <w:sz w:val="20"/>
          <w:szCs w:val="20"/>
          <w:vertAlign w:val="superscript"/>
        </w:rPr>
        <w:t>†</w:t>
      </w:r>
      <w:r w:rsidRPr="008F6D7F">
        <w:rPr>
          <w:color w:val="000000" w:themeColor="text1"/>
          <w:sz w:val="20"/>
          <w:szCs w:val="20"/>
        </w:rPr>
        <w:t xml:space="preserve"> </w:t>
      </w:r>
      <w:r w:rsidR="008F6D7F">
        <w:rPr>
          <w:color w:val="000000" w:themeColor="text1"/>
          <w:sz w:val="20"/>
          <w:szCs w:val="20"/>
        </w:rPr>
        <w:tab/>
      </w:r>
      <w:r w:rsidRPr="008F6D7F">
        <w:rPr>
          <w:color w:val="000000" w:themeColor="text1"/>
          <w:sz w:val="20"/>
          <w:szCs w:val="20"/>
        </w:rPr>
        <w:t xml:space="preserve">Bivirkning og hyppighed rapporteret fra kliniske studier med ivacaftor i kombination med ivacaftor/tezacaftor/elexacaftor </w:t>
      </w:r>
    </w:p>
    <w:p w14:paraId="227D0F39" w14:textId="002F256C" w:rsidR="00D41138" w:rsidRPr="008F6D7F" w:rsidRDefault="00D41138" w:rsidP="008F6D7F">
      <w:pPr>
        <w:pStyle w:val="Brdtekst"/>
        <w:suppressAutoHyphens/>
        <w:kinsoku w:val="0"/>
        <w:overflowPunct w:val="0"/>
        <w:ind w:left="284" w:hanging="284"/>
        <w:rPr>
          <w:color w:val="000000" w:themeColor="text1"/>
          <w:sz w:val="20"/>
          <w:szCs w:val="20"/>
        </w:rPr>
      </w:pPr>
      <w:r w:rsidRPr="008F6D7F">
        <w:rPr>
          <w:color w:val="000000" w:themeColor="text1"/>
          <w:sz w:val="20"/>
          <w:szCs w:val="20"/>
          <w:vertAlign w:val="superscript"/>
        </w:rPr>
        <w:t xml:space="preserve">^ </w:t>
      </w:r>
      <w:r w:rsidR="008F6D7F">
        <w:rPr>
          <w:color w:val="000000" w:themeColor="text1"/>
          <w:sz w:val="20"/>
          <w:szCs w:val="20"/>
          <w:vertAlign w:val="superscript"/>
        </w:rPr>
        <w:tab/>
      </w:r>
      <w:r w:rsidRPr="008F6D7F">
        <w:rPr>
          <w:color w:val="000000" w:themeColor="text1"/>
          <w:sz w:val="20"/>
          <w:szCs w:val="20"/>
        </w:rPr>
        <w:t xml:space="preserve">Leverskade (forhøjet ALAT og ASAT og totalt bilirubin) indberettet efter markedsføring med ivacaftor i kombination med ivacaftor/tezacaftor/elexacaftor. Dette omfattede også leversvigt, der førte til transplantation hos en patient med eksisterende cirrose og portal hypertension. Hyppigheden kan ikke estimeres ud fra forhåndenværende data. </w:t>
      </w:r>
    </w:p>
    <w:p w14:paraId="32BDC005" w14:textId="77777777" w:rsidR="00D41138" w:rsidRPr="002748AE" w:rsidRDefault="00D41138" w:rsidP="008F6D7F">
      <w:pPr>
        <w:pStyle w:val="Brdtekst"/>
        <w:widowControl/>
        <w:suppressAutoHyphens/>
        <w:kinsoku w:val="0"/>
        <w:overflowPunct w:val="0"/>
        <w:ind w:left="851"/>
        <w:rPr>
          <w:color w:val="000000" w:themeColor="text1"/>
        </w:rPr>
      </w:pPr>
    </w:p>
    <w:p w14:paraId="347C5024" w14:textId="77777777" w:rsidR="00D41138" w:rsidRPr="008F6D7F" w:rsidRDefault="00D41138" w:rsidP="00F526B8">
      <w:pPr>
        <w:ind w:left="851"/>
        <w:rPr>
          <w:sz w:val="24"/>
          <w:szCs w:val="24"/>
          <w:u w:val="single"/>
        </w:rPr>
      </w:pPr>
      <w:r w:rsidRPr="008F6D7F">
        <w:rPr>
          <w:sz w:val="24"/>
          <w:szCs w:val="24"/>
          <w:u w:val="single"/>
        </w:rPr>
        <w:t>Beskrivelse af udvalgte bivirkninger</w:t>
      </w:r>
      <w:r w:rsidRPr="008F6D7F">
        <w:rPr>
          <w:b/>
          <w:sz w:val="24"/>
          <w:szCs w:val="24"/>
          <w:u w:val="single"/>
        </w:rPr>
        <w:t xml:space="preserve"> </w:t>
      </w:r>
    </w:p>
    <w:p w14:paraId="201B4421" w14:textId="77777777" w:rsidR="00D41138" w:rsidRPr="002748AE" w:rsidRDefault="00D41138" w:rsidP="00F526B8">
      <w:pPr>
        <w:ind w:left="851"/>
        <w:rPr>
          <w:sz w:val="24"/>
          <w:szCs w:val="24"/>
        </w:rPr>
      </w:pPr>
      <w:r w:rsidRPr="002748AE">
        <w:rPr>
          <w:i/>
          <w:sz w:val="24"/>
          <w:szCs w:val="24"/>
        </w:rPr>
        <w:t xml:space="preserve"> </w:t>
      </w:r>
    </w:p>
    <w:p w14:paraId="511171AA" w14:textId="77777777" w:rsidR="00D41138" w:rsidRPr="002748AE" w:rsidRDefault="00D41138" w:rsidP="00F526B8">
      <w:pPr>
        <w:ind w:left="851"/>
        <w:rPr>
          <w:sz w:val="24"/>
          <w:szCs w:val="24"/>
        </w:rPr>
      </w:pPr>
      <w:r w:rsidRPr="002748AE">
        <w:rPr>
          <w:i/>
          <w:sz w:val="24"/>
          <w:szCs w:val="24"/>
        </w:rPr>
        <w:t>Aminotransferaseforhøjelser</w:t>
      </w:r>
    </w:p>
    <w:p w14:paraId="25427222" w14:textId="7EF91A3B" w:rsidR="00D41138" w:rsidRPr="002748AE" w:rsidRDefault="00D41138" w:rsidP="00F526B8">
      <w:pPr>
        <w:ind w:left="851"/>
        <w:rPr>
          <w:sz w:val="24"/>
          <w:szCs w:val="24"/>
        </w:rPr>
      </w:pPr>
      <w:r w:rsidRPr="002748AE">
        <w:rPr>
          <w:sz w:val="24"/>
          <w:szCs w:val="24"/>
        </w:rPr>
        <w:t xml:space="preserve">I løbet af de 48 ugers placebokontrollerede studier 770-102 og 770-103 af ivacaftor som monoterapi hos patienter i alderen 6 år og derover var forekomsten af maksimal aminotransferase (ALAT eller ASAT) &gt;8, &gt;5 eller &gt;3 × øverste normal værdi (ULN) hhv. 3,7 %, 3,7 % og 8,3 % hos ivacaftor-behandlede patienter, og 1,0 %, 1,9 % og 8,7 % hos placebobehandlede patienter. To patienter, en på placebo og en på ivacaftor seponerede permanent behandlingen som følge af forhøjede aminotransferaser, hver &gt;8 × ULN. Ingen ivacaftor-behandlede patienter oplevede en aminotransferase-forhøjelse &gt;3 × ULN forbundet med forhøjet total bilirubin &gt;1,5 × ULN. Hos ivacaftor-behandlede patienter vendte de fleste aminotransferase-forhøjelser på op til 5 × ULN tilbage til normalen uden behandlingsafbrydelse. Ivacaftor-doseringen blev afbrudt hos de fleste patienter med aminotransferase-forhøjelser &gt;5 × ULN. I alle de tilfælde, hvor doseringen blev afbrudt som følge af forhøjede aminotransferaser og efterfølgende genoptaget, kunne doseringen med ivacaftor genoptages med godt resultat (se pkt. 4.4). </w:t>
      </w:r>
    </w:p>
    <w:p w14:paraId="012140FF" w14:textId="77777777" w:rsidR="00D41138" w:rsidRPr="002748AE" w:rsidRDefault="00D41138" w:rsidP="00F526B8">
      <w:pPr>
        <w:ind w:left="851"/>
        <w:rPr>
          <w:sz w:val="24"/>
          <w:szCs w:val="24"/>
        </w:rPr>
      </w:pPr>
      <w:r w:rsidRPr="002748AE">
        <w:rPr>
          <w:sz w:val="24"/>
          <w:szCs w:val="24"/>
        </w:rPr>
        <w:t xml:space="preserve"> </w:t>
      </w:r>
    </w:p>
    <w:p w14:paraId="73C7246A" w14:textId="5C4923C2" w:rsidR="00D41138" w:rsidRPr="002748AE" w:rsidRDefault="00D41138" w:rsidP="00F526B8">
      <w:pPr>
        <w:ind w:left="851"/>
        <w:rPr>
          <w:sz w:val="24"/>
          <w:szCs w:val="24"/>
        </w:rPr>
      </w:pPr>
      <w:r w:rsidRPr="002748AE">
        <w:rPr>
          <w:sz w:val="24"/>
          <w:szCs w:val="24"/>
        </w:rPr>
        <w:t>I løbet af de placebokontrollerede fase 3-studier (op til 24 uger) af tezacaftor/ivacaftor var forekomsten af maksimale aminotransferaseniveauer (ALAT eller ASAT) &gt; 8, &gt; 5 eller &gt;</w:t>
      </w:r>
      <w:r w:rsidR="00401ECA">
        <w:rPr>
          <w:sz w:val="24"/>
          <w:szCs w:val="24"/>
        </w:rPr>
        <w:t> </w:t>
      </w:r>
      <w:r w:rsidRPr="002748AE">
        <w:rPr>
          <w:sz w:val="24"/>
          <w:szCs w:val="24"/>
        </w:rPr>
        <w:t>3</w:t>
      </w:r>
      <w:r w:rsidR="00401ECA">
        <w:rPr>
          <w:sz w:val="24"/>
          <w:szCs w:val="24"/>
        </w:rPr>
        <w:t> </w:t>
      </w:r>
      <w:r w:rsidRPr="002748AE">
        <w:rPr>
          <w:sz w:val="24"/>
          <w:szCs w:val="24"/>
        </w:rPr>
        <w:t>×</w:t>
      </w:r>
      <w:r w:rsidR="00401ECA">
        <w:rPr>
          <w:sz w:val="24"/>
          <w:szCs w:val="24"/>
        </w:rPr>
        <w:t> </w:t>
      </w:r>
      <w:r w:rsidRPr="002748AE">
        <w:rPr>
          <w:sz w:val="24"/>
          <w:szCs w:val="24"/>
        </w:rPr>
        <w:t>ULN 0,2 %, 1,0 % og 3,4 % hos patienter behandlet med tezacaftor/ivacaftor og 0,4</w:t>
      </w:r>
      <w:r w:rsidR="00401ECA">
        <w:rPr>
          <w:sz w:val="24"/>
          <w:szCs w:val="24"/>
        </w:rPr>
        <w:t> </w:t>
      </w:r>
      <w:r w:rsidRPr="002748AE">
        <w:rPr>
          <w:sz w:val="24"/>
          <w:szCs w:val="24"/>
        </w:rPr>
        <w:t>%, 1,0 % og 3,4 % hos placebobehandlede patienter. Én patient (0,2 %) i behandling og 2 patienter (0,4 %), der fik placebo, seponerede behandlingen permanent på grund af forhøjede aminotransferaser. Ingen patienter behandlet med tezacaftor/ivacaftor oplevede en forhøjelse af aminotransferaser &gt; 3 × ULN forbundet med forhøjet total bilirubin &gt;</w:t>
      </w:r>
      <w:r w:rsidR="00401ECA">
        <w:rPr>
          <w:sz w:val="24"/>
          <w:szCs w:val="24"/>
        </w:rPr>
        <w:t> </w:t>
      </w:r>
      <w:r w:rsidRPr="002748AE">
        <w:rPr>
          <w:sz w:val="24"/>
          <w:szCs w:val="24"/>
        </w:rPr>
        <w:t>2</w:t>
      </w:r>
      <w:r w:rsidR="00401ECA">
        <w:rPr>
          <w:sz w:val="24"/>
          <w:szCs w:val="24"/>
        </w:rPr>
        <w:t> </w:t>
      </w:r>
      <w:r w:rsidRPr="002748AE">
        <w:rPr>
          <w:sz w:val="24"/>
          <w:szCs w:val="24"/>
        </w:rPr>
        <w:t>×</w:t>
      </w:r>
      <w:r w:rsidR="00401ECA">
        <w:rPr>
          <w:sz w:val="24"/>
          <w:szCs w:val="24"/>
        </w:rPr>
        <w:t> </w:t>
      </w:r>
      <w:r w:rsidRPr="002748AE">
        <w:rPr>
          <w:sz w:val="24"/>
          <w:szCs w:val="24"/>
        </w:rPr>
        <w:t xml:space="preserve">ULN. </w:t>
      </w:r>
    </w:p>
    <w:p w14:paraId="39CCF60A" w14:textId="77777777" w:rsidR="00D41138" w:rsidRPr="002748AE" w:rsidRDefault="00D41138" w:rsidP="00F526B8">
      <w:pPr>
        <w:ind w:left="851"/>
        <w:rPr>
          <w:sz w:val="24"/>
          <w:szCs w:val="24"/>
        </w:rPr>
      </w:pPr>
      <w:r w:rsidRPr="002748AE">
        <w:rPr>
          <w:sz w:val="24"/>
          <w:szCs w:val="24"/>
        </w:rPr>
        <w:t xml:space="preserve"> </w:t>
      </w:r>
    </w:p>
    <w:p w14:paraId="0707A27F" w14:textId="357054BA" w:rsidR="00D41138" w:rsidRPr="002748AE" w:rsidRDefault="00D41138" w:rsidP="00F526B8">
      <w:pPr>
        <w:ind w:left="851"/>
        <w:rPr>
          <w:sz w:val="24"/>
          <w:szCs w:val="24"/>
        </w:rPr>
      </w:pPr>
      <w:r w:rsidRPr="002748AE">
        <w:rPr>
          <w:sz w:val="24"/>
          <w:szCs w:val="24"/>
        </w:rPr>
        <w:t>I løbet af det 24-ugers placebokontrollerede fase 3-studie af ivacaftor/tezacaftor/elexa</w:t>
      </w:r>
      <w:r w:rsidR="008F6D7F">
        <w:rPr>
          <w:sz w:val="24"/>
          <w:szCs w:val="24"/>
        </w:rPr>
        <w:softHyphen/>
      </w:r>
      <w:r w:rsidRPr="002748AE">
        <w:rPr>
          <w:sz w:val="24"/>
          <w:szCs w:val="24"/>
        </w:rPr>
        <w:t>caftor var disse tal 1,5 %, 2,5 % og 7,9 % hos patienter behandlet med ivacaftor/tezacaftor/elexacaftor og 1,0 %, 1,5 % og 5,5 % hos placebobehandlede patienter. Forekomsten af bivirkninger med aminotransferaseforhøjelser var 10,9 % hos patienter behandlet med ivacaftor i et kombinationsregime med ivacaftor/tezacaftor/elexacaftor og 4,0 % hos placebobehandlede patienter.</w:t>
      </w:r>
    </w:p>
    <w:p w14:paraId="4AF192D7" w14:textId="77777777" w:rsidR="00D41138" w:rsidRPr="002748AE" w:rsidRDefault="00D41138" w:rsidP="00F526B8">
      <w:pPr>
        <w:ind w:left="851"/>
        <w:rPr>
          <w:sz w:val="24"/>
          <w:szCs w:val="24"/>
        </w:rPr>
      </w:pPr>
      <w:r w:rsidRPr="002748AE">
        <w:rPr>
          <w:sz w:val="24"/>
          <w:szCs w:val="24"/>
        </w:rPr>
        <w:t xml:space="preserve">Efter markedsføring er der rapporteret tilfælde af behandlingsseponering som følge af forhøjede aminotransferaser (se pkt. 4.4). </w:t>
      </w:r>
    </w:p>
    <w:p w14:paraId="309B1E7E" w14:textId="77777777" w:rsidR="00D41138" w:rsidRPr="002748AE" w:rsidRDefault="00D41138" w:rsidP="00F526B8">
      <w:pPr>
        <w:ind w:left="851"/>
        <w:rPr>
          <w:sz w:val="24"/>
          <w:szCs w:val="24"/>
        </w:rPr>
      </w:pPr>
      <w:r w:rsidRPr="002748AE">
        <w:rPr>
          <w:i/>
          <w:sz w:val="24"/>
          <w:szCs w:val="24"/>
        </w:rPr>
        <w:t xml:space="preserve"> </w:t>
      </w:r>
    </w:p>
    <w:p w14:paraId="49EDA030" w14:textId="77777777" w:rsidR="00D41138" w:rsidRPr="002748AE" w:rsidRDefault="00D41138" w:rsidP="00F526B8">
      <w:pPr>
        <w:ind w:left="851"/>
        <w:rPr>
          <w:sz w:val="24"/>
          <w:szCs w:val="24"/>
        </w:rPr>
      </w:pPr>
      <w:r w:rsidRPr="002748AE">
        <w:rPr>
          <w:i/>
          <w:sz w:val="24"/>
          <w:szCs w:val="24"/>
        </w:rPr>
        <w:t>Udslætshændelser</w:t>
      </w:r>
    </w:p>
    <w:p w14:paraId="3C27382A" w14:textId="44516414" w:rsidR="00D41138" w:rsidRPr="002748AE" w:rsidRDefault="00D41138" w:rsidP="00F526B8">
      <w:pPr>
        <w:ind w:left="851"/>
        <w:rPr>
          <w:sz w:val="24"/>
          <w:szCs w:val="24"/>
        </w:rPr>
      </w:pPr>
      <w:r w:rsidRPr="002748AE">
        <w:rPr>
          <w:sz w:val="24"/>
          <w:szCs w:val="24"/>
        </w:rPr>
        <w:t>I studie 445-102 var forekomsten af udslætshændelser (f.eks. udslæt, kløende udslæt) 10,9</w:t>
      </w:r>
      <w:r w:rsidR="00401ECA">
        <w:rPr>
          <w:sz w:val="24"/>
          <w:szCs w:val="24"/>
        </w:rPr>
        <w:t> </w:t>
      </w:r>
      <w:r w:rsidRPr="002748AE">
        <w:rPr>
          <w:sz w:val="24"/>
          <w:szCs w:val="24"/>
        </w:rPr>
        <w:t xml:space="preserve">% hos patienter, der blev behandlet med ivacaftor/tezacaftor/elexacaftor, og 6,5 % hos patienter, der blev behandlet med placebo. Hændelserne med udslæt var generelt af mild til </w:t>
      </w:r>
      <w:r w:rsidRPr="002748AE">
        <w:rPr>
          <w:sz w:val="24"/>
          <w:szCs w:val="24"/>
        </w:rPr>
        <w:lastRenderedPageBreak/>
        <w:t>moderat sværhedsgrad. Forekomsten af udslætshændelser efter patientkøn var 5,8 % hos mandlige og 16,3 % hos kvindelige patienter, der blev behandlet med ivacaftor/tezacaftor/elexacaftor og 4,8 % hos mandlige og 8,3 % hos kvindelige patienter, der blev behandlet med placebo. Hos patienter, der blev behandlet med ivacaftor/tezacaftor/elexacaftor, var forekomsten af udslætshændelser 20,5 % hos kvinder, der tog hormonel kontraception, og 13,6 % hos kvinder, der ikke tog hormonel kontraception (se pkt. 4.4).</w:t>
      </w:r>
    </w:p>
    <w:p w14:paraId="47A27E38" w14:textId="77777777" w:rsidR="00D41138" w:rsidRPr="002748AE" w:rsidRDefault="00D41138" w:rsidP="00F526B8">
      <w:pPr>
        <w:ind w:left="851"/>
        <w:rPr>
          <w:sz w:val="24"/>
          <w:szCs w:val="24"/>
        </w:rPr>
      </w:pPr>
    </w:p>
    <w:p w14:paraId="3FD117D0" w14:textId="77777777" w:rsidR="00D41138" w:rsidRPr="002748AE" w:rsidRDefault="00D41138" w:rsidP="00F526B8">
      <w:pPr>
        <w:ind w:left="851"/>
        <w:rPr>
          <w:sz w:val="24"/>
          <w:szCs w:val="24"/>
        </w:rPr>
      </w:pPr>
      <w:r w:rsidRPr="002748AE">
        <w:rPr>
          <w:i/>
          <w:sz w:val="24"/>
          <w:szCs w:val="24"/>
        </w:rPr>
        <w:t>Forhøjet kreatinfosfokinase</w:t>
      </w:r>
    </w:p>
    <w:p w14:paraId="538B6EDD" w14:textId="5D58FD00" w:rsidR="00D41138" w:rsidRPr="002748AE" w:rsidRDefault="00D41138" w:rsidP="00F526B8">
      <w:pPr>
        <w:ind w:left="851"/>
        <w:rPr>
          <w:sz w:val="24"/>
          <w:szCs w:val="24"/>
        </w:rPr>
      </w:pPr>
      <w:r w:rsidRPr="002748AE">
        <w:rPr>
          <w:sz w:val="24"/>
          <w:szCs w:val="24"/>
        </w:rPr>
        <w:t>I studie 445-102 var forekomsten af hændelser med maksimal kreatinfosfokinase &gt;</w:t>
      </w:r>
      <w:r w:rsidR="00401ECA">
        <w:rPr>
          <w:sz w:val="24"/>
          <w:szCs w:val="24"/>
        </w:rPr>
        <w:t> </w:t>
      </w:r>
      <w:r w:rsidRPr="002748AE">
        <w:rPr>
          <w:sz w:val="24"/>
          <w:szCs w:val="24"/>
        </w:rPr>
        <w:t>5</w:t>
      </w:r>
      <w:r w:rsidR="00401ECA">
        <w:rPr>
          <w:sz w:val="24"/>
          <w:szCs w:val="24"/>
        </w:rPr>
        <w:t> </w:t>
      </w:r>
      <w:r w:rsidRPr="002748AE">
        <w:rPr>
          <w:sz w:val="24"/>
          <w:szCs w:val="24"/>
        </w:rPr>
        <w:t>x</w:t>
      </w:r>
      <w:r w:rsidR="00401ECA">
        <w:rPr>
          <w:sz w:val="24"/>
          <w:szCs w:val="24"/>
        </w:rPr>
        <w:t> </w:t>
      </w:r>
      <w:r w:rsidRPr="002748AE">
        <w:rPr>
          <w:sz w:val="24"/>
          <w:szCs w:val="24"/>
        </w:rPr>
        <w:t>ULN 10,4 % hos patienter, der blev behandlet med ivacaftor/tezacaftor/elexacaftor, og 5,0</w:t>
      </w:r>
      <w:r w:rsidR="008F6D7F">
        <w:rPr>
          <w:sz w:val="24"/>
          <w:szCs w:val="24"/>
        </w:rPr>
        <w:t> </w:t>
      </w:r>
      <w:r w:rsidRPr="002748AE">
        <w:rPr>
          <w:sz w:val="24"/>
          <w:szCs w:val="24"/>
        </w:rPr>
        <w:t>% hos patienter, der blev behandlet med placebo. De observerede kreatinfosfokinase</w:t>
      </w:r>
      <w:r w:rsidR="008F6D7F">
        <w:rPr>
          <w:sz w:val="24"/>
          <w:szCs w:val="24"/>
        </w:rPr>
        <w:softHyphen/>
      </w:r>
      <w:r w:rsidRPr="002748AE">
        <w:rPr>
          <w:sz w:val="24"/>
          <w:szCs w:val="24"/>
        </w:rPr>
        <w:t>forhøjelser var generelt forbigående og asymptomatiske og mange af dem opstod efter fysisk aktivitet. Ingen af de patienter, der blev behandlet med ivacaftor/tezacaftor/elexa</w:t>
      </w:r>
      <w:r w:rsidR="008F6D7F">
        <w:rPr>
          <w:sz w:val="24"/>
          <w:szCs w:val="24"/>
        </w:rPr>
        <w:softHyphen/>
      </w:r>
      <w:r w:rsidRPr="002748AE">
        <w:rPr>
          <w:sz w:val="24"/>
          <w:szCs w:val="24"/>
        </w:rPr>
        <w:t xml:space="preserve">caftor, fik seponeret behandlingen på grund af forhøjet kreatinfosfokinase. </w:t>
      </w:r>
    </w:p>
    <w:p w14:paraId="2728E822" w14:textId="77777777" w:rsidR="00D41138" w:rsidRPr="002748AE" w:rsidRDefault="00D41138" w:rsidP="00F526B8">
      <w:pPr>
        <w:ind w:left="851"/>
        <w:rPr>
          <w:sz w:val="24"/>
          <w:szCs w:val="24"/>
        </w:rPr>
      </w:pPr>
      <w:r w:rsidRPr="002748AE">
        <w:rPr>
          <w:sz w:val="24"/>
          <w:szCs w:val="24"/>
        </w:rPr>
        <w:t xml:space="preserve"> </w:t>
      </w:r>
    </w:p>
    <w:p w14:paraId="675E1DA4" w14:textId="77777777" w:rsidR="00D41138" w:rsidRPr="002748AE" w:rsidRDefault="00D41138" w:rsidP="00F526B8">
      <w:pPr>
        <w:ind w:left="851"/>
        <w:rPr>
          <w:sz w:val="24"/>
          <w:szCs w:val="24"/>
        </w:rPr>
      </w:pPr>
      <w:r w:rsidRPr="002748AE">
        <w:rPr>
          <w:i/>
          <w:sz w:val="24"/>
          <w:szCs w:val="24"/>
        </w:rPr>
        <w:t>Forhøjet blodtryk</w:t>
      </w:r>
    </w:p>
    <w:p w14:paraId="5089D201" w14:textId="39EECD1B" w:rsidR="00D41138" w:rsidRPr="002748AE" w:rsidRDefault="00D41138" w:rsidP="00F526B8">
      <w:pPr>
        <w:ind w:left="851"/>
        <w:rPr>
          <w:sz w:val="24"/>
          <w:szCs w:val="24"/>
        </w:rPr>
      </w:pPr>
      <w:r w:rsidRPr="002748AE">
        <w:rPr>
          <w:sz w:val="24"/>
          <w:szCs w:val="24"/>
        </w:rPr>
        <w:t xml:space="preserve">I studie 445-102 var den maksimale stigning fra </w:t>
      </w:r>
      <w:r w:rsidRPr="002748AE">
        <w:rPr>
          <w:i/>
          <w:sz w:val="24"/>
          <w:szCs w:val="24"/>
        </w:rPr>
        <w:t>baseline</w:t>
      </w:r>
      <w:r w:rsidRPr="002748AE">
        <w:rPr>
          <w:sz w:val="24"/>
          <w:szCs w:val="24"/>
        </w:rPr>
        <w:t xml:space="preserve"> i gennemsnitligt systolisk og diastolisk blodtryk henholdsvis 3,5 mmHg og 1,9 mmHg for patienter, der blev behandlet med ivacaftor/tezacaftor/elexacaftor (</w:t>
      </w:r>
      <w:r w:rsidRPr="002748AE">
        <w:rPr>
          <w:i/>
          <w:sz w:val="24"/>
          <w:szCs w:val="24"/>
        </w:rPr>
        <w:t>baseline</w:t>
      </w:r>
      <w:r w:rsidRPr="002748AE">
        <w:rPr>
          <w:sz w:val="24"/>
          <w:szCs w:val="24"/>
        </w:rPr>
        <w:t>: 113 mmHg systolisk og 69 mmHg diastolisk), og henholdsvis 0,9 mmHg og 0,5 mmHg for patienter, der blev behandlet med placebo (</w:t>
      </w:r>
      <w:r w:rsidRPr="002748AE">
        <w:rPr>
          <w:i/>
          <w:sz w:val="24"/>
          <w:szCs w:val="24"/>
        </w:rPr>
        <w:t>baseline</w:t>
      </w:r>
      <w:r w:rsidRPr="002748AE">
        <w:rPr>
          <w:sz w:val="24"/>
          <w:szCs w:val="24"/>
        </w:rPr>
        <w:t>: 114 mmHg systolisk og 70 mmHg diastolisk).</w:t>
      </w:r>
    </w:p>
    <w:p w14:paraId="524A494D" w14:textId="77777777" w:rsidR="00D41138" w:rsidRPr="002748AE" w:rsidRDefault="00D41138" w:rsidP="00F526B8">
      <w:pPr>
        <w:ind w:left="851"/>
        <w:rPr>
          <w:sz w:val="24"/>
          <w:szCs w:val="24"/>
        </w:rPr>
      </w:pPr>
      <w:r w:rsidRPr="002748AE">
        <w:rPr>
          <w:sz w:val="24"/>
          <w:szCs w:val="24"/>
        </w:rPr>
        <w:t xml:space="preserve"> </w:t>
      </w:r>
    </w:p>
    <w:p w14:paraId="06EB001E" w14:textId="77777777" w:rsidR="00D41138" w:rsidRPr="002748AE" w:rsidRDefault="00D41138" w:rsidP="00F526B8">
      <w:pPr>
        <w:ind w:left="851"/>
        <w:rPr>
          <w:sz w:val="24"/>
          <w:szCs w:val="24"/>
        </w:rPr>
      </w:pPr>
      <w:r w:rsidRPr="002748AE">
        <w:rPr>
          <w:sz w:val="24"/>
          <w:szCs w:val="24"/>
        </w:rPr>
        <w:t xml:space="preserve">Andelen af patienter, der havde et systolisk blodtryk &gt;140 mmHg eller et diastolisk blodtryk &gt;90 mmHg ved mindst to lejligheder, var henholdsvis 5,0 % og 3,0 % hos patienter, der blev behandlet med ivacaftor/tezacaftor/elexacaftor, sammenlignet med henholdsvis 3,5 % og 3,5 % hos patienter, der blev behandlet med placebo. </w:t>
      </w:r>
    </w:p>
    <w:p w14:paraId="00703D05" w14:textId="77777777" w:rsidR="00D41138" w:rsidRPr="002748AE" w:rsidRDefault="00D41138" w:rsidP="00F526B8">
      <w:pPr>
        <w:ind w:left="851"/>
        <w:rPr>
          <w:sz w:val="24"/>
          <w:szCs w:val="24"/>
        </w:rPr>
      </w:pPr>
      <w:r w:rsidRPr="002748AE">
        <w:rPr>
          <w:sz w:val="24"/>
          <w:szCs w:val="24"/>
        </w:rPr>
        <w:t xml:space="preserve"> </w:t>
      </w:r>
    </w:p>
    <w:p w14:paraId="6CE18C2E" w14:textId="77777777" w:rsidR="00D41138" w:rsidRPr="008F6D7F" w:rsidRDefault="00D41138" w:rsidP="00F526B8">
      <w:pPr>
        <w:ind w:left="851"/>
        <w:rPr>
          <w:sz w:val="24"/>
          <w:szCs w:val="24"/>
          <w:u w:val="single"/>
        </w:rPr>
      </w:pPr>
      <w:r w:rsidRPr="008F6D7F">
        <w:rPr>
          <w:sz w:val="24"/>
          <w:szCs w:val="24"/>
          <w:u w:val="single"/>
        </w:rPr>
        <w:t xml:space="preserve">Pædiatrisk population </w:t>
      </w:r>
    </w:p>
    <w:p w14:paraId="23CBB6BA" w14:textId="77777777" w:rsidR="00D41138" w:rsidRPr="002748AE" w:rsidRDefault="00D41138" w:rsidP="00F526B8">
      <w:pPr>
        <w:ind w:left="851"/>
        <w:rPr>
          <w:sz w:val="24"/>
          <w:szCs w:val="24"/>
        </w:rPr>
      </w:pPr>
      <w:r w:rsidRPr="002748AE">
        <w:rPr>
          <w:sz w:val="24"/>
          <w:szCs w:val="24"/>
        </w:rPr>
        <w:t xml:space="preserve"> </w:t>
      </w:r>
    </w:p>
    <w:p w14:paraId="592DBFE1" w14:textId="77777777" w:rsidR="00D41138" w:rsidRPr="002748AE" w:rsidRDefault="00D41138" w:rsidP="00F526B8">
      <w:pPr>
        <w:ind w:left="851"/>
        <w:rPr>
          <w:sz w:val="24"/>
          <w:szCs w:val="24"/>
        </w:rPr>
      </w:pPr>
      <w:r w:rsidRPr="002748AE">
        <w:rPr>
          <w:i/>
          <w:sz w:val="24"/>
          <w:szCs w:val="24"/>
        </w:rPr>
        <w:t>Ivacaftor som monoterapi</w:t>
      </w:r>
    </w:p>
    <w:p w14:paraId="4B27116D" w14:textId="77777777" w:rsidR="00D41138" w:rsidRPr="002748AE" w:rsidRDefault="00D41138" w:rsidP="00F526B8">
      <w:pPr>
        <w:ind w:left="851"/>
        <w:rPr>
          <w:sz w:val="24"/>
          <w:szCs w:val="24"/>
        </w:rPr>
      </w:pPr>
      <w:r w:rsidRPr="002748AE">
        <w:rPr>
          <w:sz w:val="24"/>
          <w:szCs w:val="24"/>
        </w:rPr>
        <w:t>Ivacaftors sikkerhed som monoterapi blev evalueret for 43 patienter i alderen 1 måned til under 24 måneder (hvoraf 7 var under 4 måneder gamle), for 34 patienter i alderen 2 til under 6 år, for 61 patienter i alderen 6 til under 12 år og for 94 patienter i alderen 12 år til under 18 år.</w:t>
      </w:r>
    </w:p>
    <w:p w14:paraId="34D451A6" w14:textId="77777777" w:rsidR="00D41138" w:rsidRPr="002748AE" w:rsidRDefault="00D41138" w:rsidP="00F526B8">
      <w:pPr>
        <w:ind w:left="851"/>
        <w:rPr>
          <w:sz w:val="24"/>
          <w:szCs w:val="24"/>
        </w:rPr>
      </w:pPr>
      <w:r w:rsidRPr="002748AE">
        <w:rPr>
          <w:sz w:val="24"/>
          <w:szCs w:val="24"/>
        </w:rPr>
        <w:t>Sikkerhedsprofilen for ivacaftor (som monoterapi eller i et kombinationsregime) er generelt ensartet blandt pædiatriske patienter og svarer endvidere til voksne patienter.</w:t>
      </w:r>
    </w:p>
    <w:p w14:paraId="504D18FB" w14:textId="77777777" w:rsidR="00D41138" w:rsidRPr="002748AE" w:rsidRDefault="00D41138" w:rsidP="00F526B8">
      <w:pPr>
        <w:ind w:left="851"/>
        <w:rPr>
          <w:sz w:val="24"/>
          <w:szCs w:val="24"/>
        </w:rPr>
      </w:pPr>
    </w:p>
    <w:p w14:paraId="38C4408E" w14:textId="2D3BEDB4" w:rsidR="00D41138" w:rsidRPr="002748AE" w:rsidRDefault="00D41138" w:rsidP="00F526B8">
      <w:pPr>
        <w:ind w:left="851"/>
        <w:rPr>
          <w:sz w:val="24"/>
          <w:szCs w:val="24"/>
        </w:rPr>
      </w:pPr>
      <w:r w:rsidRPr="002748AE">
        <w:rPr>
          <w:sz w:val="24"/>
          <w:szCs w:val="24"/>
        </w:rPr>
        <w:t>Forekomsten af aminotransferaseforhøjelser (ALAT eller ASAT) observeret i studierne 770-103, 770-111 og 770-110 (patienter i alderen 6 til under 12 år), studie 770-108 (patienter i alderen 2 til under 6 år) og studie 770-124 (patienter i alderen 1 til under 24</w:t>
      </w:r>
      <w:r w:rsidR="00401ECA">
        <w:rPr>
          <w:sz w:val="24"/>
          <w:szCs w:val="24"/>
        </w:rPr>
        <w:t> </w:t>
      </w:r>
      <w:r w:rsidRPr="002748AE">
        <w:rPr>
          <w:sz w:val="24"/>
          <w:szCs w:val="24"/>
        </w:rPr>
        <w:t xml:space="preserve">måneder) er angivet i tabel 5. I de placebokontrollerede studier var forekomsten af aminotransferaseforhøjelser tilsvarende for behandling med ivacaftor (15,0 %) og placebo (14,6 %). Maksimale LFT-forhøjelser var generelt højere hos pædiatriske patienter end hos ældre patienter. For alle populationer returnerede maksimale LFT-forhøjelser til </w:t>
      </w:r>
      <w:r w:rsidRPr="002748AE">
        <w:rPr>
          <w:i/>
          <w:sz w:val="24"/>
          <w:szCs w:val="24"/>
        </w:rPr>
        <w:t>baseline</w:t>
      </w:r>
      <w:r w:rsidRPr="002748AE">
        <w:rPr>
          <w:sz w:val="24"/>
          <w:szCs w:val="24"/>
        </w:rPr>
        <w:t>-niveauer efter afbrydelse, og i næsten alle de tilfælde, hvor doseringen blev afbrudt som følge af forhøjede aminotransferaser og derefter blev genoptaget, kunne doseringen med ivacaftor genoptages med godt resultat (se pkt. 4.4). Der blev observeret tilfælde, der tydede på positiv rechallenge.</w:t>
      </w:r>
    </w:p>
    <w:p w14:paraId="5BED6C97" w14:textId="77777777" w:rsidR="00D41138" w:rsidRPr="002748AE" w:rsidRDefault="00D41138" w:rsidP="00F526B8">
      <w:pPr>
        <w:ind w:left="851"/>
        <w:rPr>
          <w:sz w:val="24"/>
          <w:szCs w:val="24"/>
        </w:rPr>
      </w:pPr>
    </w:p>
    <w:p w14:paraId="3E6BB100" w14:textId="77777777" w:rsidR="00D41138" w:rsidRPr="002748AE" w:rsidRDefault="00D41138" w:rsidP="00F526B8">
      <w:pPr>
        <w:ind w:left="851"/>
        <w:rPr>
          <w:sz w:val="24"/>
          <w:szCs w:val="24"/>
        </w:rPr>
      </w:pPr>
      <w:r w:rsidRPr="002748AE">
        <w:rPr>
          <w:sz w:val="24"/>
          <w:szCs w:val="24"/>
        </w:rPr>
        <w:lastRenderedPageBreak/>
        <w:t>I studie 770-108 blev ivacaftor seponeret permanent hos én patient. I studie 770-124 var der i patientkohorten i alderen 1 måned til under 4 måneder en patient på 1 måned (14,3 %) med aminotransferaseværdierne ALAT &gt; 8 × ULN og ASAT &gt; 3 til ≤ 5 × ULN, som medførte seponering af behandlingen med ivacaftor (se pkt. 4.4 for behandling af forhøjede aminotransferaser).</w:t>
      </w:r>
    </w:p>
    <w:p w14:paraId="4472262A" w14:textId="77777777" w:rsidR="00D41138" w:rsidRPr="002748AE" w:rsidRDefault="00D41138" w:rsidP="00F526B8">
      <w:pPr>
        <w:ind w:left="851"/>
        <w:rPr>
          <w:sz w:val="24"/>
          <w:szCs w:val="24"/>
        </w:rPr>
      </w:pPr>
    </w:p>
    <w:p w14:paraId="6A2EF8F0" w14:textId="77777777" w:rsidR="00D41138" w:rsidRPr="002748AE" w:rsidRDefault="00D41138" w:rsidP="00F526B8">
      <w:pPr>
        <w:ind w:left="851"/>
        <w:rPr>
          <w:b/>
          <w:sz w:val="24"/>
          <w:szCs w:val="24"/>
        </w:rPr>
      </w:pPr>
      <w:r w:rsidRPr="002748AE">
        <w:rPr>
          <w:b/>
          <w:sz w:val="24"/>
          <w:szCs w:val="24"/>
        </w:rPr>
        <w:t xml:space="preserve">Tabel 5: Aminotransferaseforhøjelser hos patienter i alderen 1 måned til &lt; 12 år behandlet med ivacaftor som monoterapi </w:t>
      </w:r>
    </w:p>
    <w:p w14:paraId="27110DAB" w14:textId="77777777" w:rsidR="00D41138" w:rsidRPr="002748AE" w:rsidRDefault="00D41138" w:rsidP="00F526B8">
      <w:pPr>
        <w:ind w:left="851"/>
        <w:rPr>
          <w:b/>
          <w:sz w:val="24"/>
          <w:szCs w:val="24"/>
        </w:rPr>
      </w:pPr>
    </w:p>
    <w:tbl>
      <w:tblPr>
        <w:tblStyle w:val="TableGrid"/>
        <w:tblW w:w="7853" w:type="dxa"/>
        <w:jc w:val="center"/>
        <w:tblInd w:w="0" w:type="dxa"/>
        <w:tblCellMar>
          <w:top w:w="61" w:type="dxa"/>
          <w:left w:w="108" w:type="dxa"/>
          <w:right w:w="115" w:type="dxa"/>
        </w:tblCellMar>
        <w:tblLook w:val="04A0" w:firstRow="1" w:lastRow="0" w:firstColumn="1" w:lastColumn="0" w:noHBand="0" w:noVBand="1"/>
      </w:tblPr>
      <w:tblGrid>
        <w:gridCol w:w="2002"/>
        <w:gridCol w:w="992"/>
        <w:gridCol w:w="1619"/>
        <w:gridCol w:w="1620"/>
        <w:gridCol w:w="1620"/>
      </w:tblGrid>
      <w:tr w:rsidR="00D41138" w:rsidRPr="002748AE" w14:paraId="791590EB" w14:textId="77777777" w:rsidTr="008F6D7F">
        <w:trPr>
          <w:trHeight w:val="588"/>
          <w:jc w:val="center"/>
        </w:trPr>
        <w:tc>
          <w:tcPr>
            <w:tcW w:w="2002" w:type="dxa"/>
            <w:tcBorders>
              <w:top w:val="single" w:sz="4" w:space="0" w:color="000000"/>
              <w:left w:val="single" w:sz="4" w:space="0" w:color="000000"/>
              <w:bottom w:val="single" w:sz="4" w:space="0" w:color="000000"/>
              <w:right w:val="single" w:sz="4" w:space="0" w:color="000000"/>
            </w:tcBorders>
            <w:tcMar>
              <w:top w:w="28" w:type="dxa"/>
              <w:left w:w="108" w:type="dxa"/>
              <w:bottom w:w="28" w:type="dxa"/>
              <w:right w:w="115" w:type="dxa"/>
            </w:tcMar>
            <w:hideMark/>
          </w:tcPr>
          <w:p w14:paraId="544623F9" w14:textId="77777777" w:rsidR="00D41138" w:rsidRPr="002748AE" w:rsidRDefault="00D41138">
            <w:pPr>
              <w:rPr>
                <w:rFonts w:ascii="Times New Roman" w:hAnsi="Times New Roman" w:cs="Times New Roman"/>
                <w:sz w:val="24"/>
                <w:lang w:eastAsia="ru-RU"/>
              </w:rPr>
            </w:pPr>
            <w:r w:rsidRPr="002748AE">
              <w:rPr>
                <w:rFonts w:ascii="Times New Roman" w:hAnsi="Times New Roman" w:cs="Times New Roman"/>
                <w:b/>
                <w:sz w:val="24"/>
                <w:lang w:eastAsia="ru-RU"/>
              </w:rPr>
              <w:t xml:space="preserve">Aldersgruppe </w:t>
            </w:r>
          </w:p>
        </w:tc>
        <w:tc>
          <w:tcPr>
            <w:tcW w:w="992" w:type="dxa"/>
            <w:tcBorders>
              <w:top w:val="single" w:sz="4" w:space="0" w:color="000000"/>
              <w:left w:val="single" w:sz="4" w:space="0" w:color="000000"/>
              <w:bottom w:val="single" w:sz="4" w:space="0" w:color="000000"/>
              <w:right w:val="single" w:sz="4" w:space="0" w:color="000000"/>
            </w:tcBorders>
            <w:tcMar>
              <w:top w:w="28" w:type="dxa"/>
              <w:left w:w="108" w:type="dxa"/>
              <w:bottom w:w="28" w:type="dxa"/>
              <w:right w:w="115" w:type="dxa"/>
            </w:tcMar>
            <w:hideMark/>
          </w:tcPr>
          <w:p w14:paraId="21DEF2E8" w14:textId="77777777" w:rsidR="00D41138" w:rsidRPr="002748AE" w:rsidRDefault="00D41138">
            <w:pPr>
              <w:ind w:left="6"/>
              <w:jc w:val="center"/>
              <w:rPr>
                <w:rFonts w:ascii="Times New Roman" w:hAnsi="Times New Roman" w:cs="Times New Roman"/>
                <w:sz w:val="24"/>
                <w:lang w:eastAsia="ru-RU"/>
              </w:rPr>
            </w:pPr>
            <w:r w:rsidRPr="002748AE">
              <w:rPr>
                <w:rFonts w:ascii="Times New Roman" w:hAnsi="Times New Roman" w:cs="Times New Roman"/>
                <w:b/>
                <w:sz w:val="24"/>
                <w:lang w:eastAsia="ru-RU"/>
              </w:rPr>
              <w:t xml:space="preserve">n </w:t>
            </w:r>
          </w:p>
        </w:tc>
        <w:tc>
          <w:tcPr>
            <w:tcW w:w="1619" w:type="dxa"/>
            <w:tcBorders>
              <w:top w:val="single" w:sz="4" w:space="0" w:color="000000"/>
              <w:left w:val="single" w:sz="4" w:space="0" w:color="000000"/>
              <w:bottom w:val="single" w:sz="4" w:space="0" w:color="000000"/>
              <w:right w:val="single" w:sz="4" w:space="0" w:color="000000"/>
            </w:tcBorders>
            <w:tcMar>
              <w:top w:w="28" w:type="dxa"/>
              <w:left w:w="108" w:type="dxa"/>
              <w:bottom w:w="28" w:type="dxa"/>
              <w:right w:w="115" w:type="dxa"/>
            </w:tcMar>
            <w:hideMark/>
          </w:tcPr>
          <w:p w14:paraId="011973E5" w14:textId="77777777" w:rsidR="00D41138" w:rsidRPr="002748AE" w:rsidRDefault="00D41138">
            <w:pPr>
              <w:ind w:left="74" w:right="12"/>
              <w:jc w:val="center"/>
              <w:rPr>
                <w:rFonts w:ascii="Times New Roman" w:hAnsi="Times New Roman" w:cs="Times New Roman"/>
                <w:sz w:val="24"/>
                <w:lang w:eastAsia="ru-RU"/>
              </w:rPr>
            </w:pPr>
            <w:r w:rsidRPr="002748AE">
              <w:rPr>
                <w:rFonts w:ascii="Times New Roman" w:hAnsi="Times New Roman" w:cs="Times New Roman"/>
                <w:b/>
                <w:sz w:val="24"/>
                <w:lang w:eastAsia="ru-RU"/>
              </w:rPr>
              <w:t xml:space="preserve">% patienter </w:t>
            </w:r>
            <w:r w:rsidRPr="002748AE">
              <w:rPr>
                <w:rFonts w:ascii="Times New Roman" w:hAnsi="Times New Roman" w:cs="Times New Roman"/>
                <w:b/>
                <w:sz w:val="24"/>
                <w:lang w:eastAsia="ru-RU"/>
              </w:rPr>
              <w:br/>
              <w:t xml:space="preserve">&gt;3 </w:t>
            </w:r>
            <w:r w:rsidRPr="002748AE">
              <w:rPr>
                <w:rFonts w:ascii="Times New Roman" w:hAnsi="Times New Roman" w:cs="Times New Roman"/>
                <w:sz w:val="24"/>
                <w:lang w:eastAsia="ru-RU"/>
              </w:rPr>
              <w:t>×</w:t>
            </w:r>
            <w:r w:rsidRPr="002748AE">
              <w:rPr>
                <w:rFonts w:ascii="Times New Roman" w:hAnsi="Times New Roman" w:cs="Times New Roman"/>
                <w:b/>
                <w:sz w:val="24"/>
                <w:lang w:eastAsia="ru-RU"/>
              </w:rPr>
              <w:t xml:space="preserve"> ULN  </w:t>
            </w:r>
          </w:p>
        </w:tc>
        <w:tc>
          <w:tcPr>
            <w:tcW w:w="1620" w:type="dxa"/>
            <w:tcBorders>
              <w:top w:val="single" w:sz="4" w:space="0" w:color="000000"/>
              <w:left w:val="single" w:sz="4" w:space="0" w:color="000000"/>
              <w:bottom w:val="single" w:sz="4" w:space="0" w:color="000000"/>
              <w:right w:val="single" w:sz="4" w:space="0" w:color="000000"/>
            </w:tcBorders>
            <w:tcMar>
              <w:top w:w="28" w:type="dxa"/>
              <w:left w:w="108" w:type="dxa"/>
              <w:bottom w:w="28" w:type="dxa"/>
              <w:right w:w="115" w:type="dxa"/>
            </w:tcMar>
            <w:hideMark/>
          </w:tcPr>
          <w:p w14:paraId="487FC1DA" w14:textId="77777777" w:rsidR="00D41138" w:rsidRPr="002748AE" w:rsidRDefault="00D41138">
            <w:pPr>
              <w:ind w:left="74" w:right="13"/>
              <w:jc w:val="center"/>
              <w:rPr>
                <w:rFonts w:ascii="Times New Roman" w:hAnsi="Times New Roman" w:cs="Times New Roman"/>
                <w:sz w:val="24"/>
                <w:lang w:eastAsia="ru-RU"/>
              </w:rPr>
            </w:pPr>
            <w:r w:rsidRPr="002748AE">
              <w:rPr>
                <w:rFonts w:ascii="Times New Roman" w:hAnsi="Times New Roman" w:cs="Times New Roman"/>
                <w:b/>
                <w:sz w:val="24"/>
                <w:lang w:eastAsia="ru-RU"/>
              </w:rPr>
              <w:t xml:space="preserve">% patienter </w:t>
            </w:r>
            <w:r w:rsidRPr="002748AE">
              <w:rPr>
                <w:rFonts w:ascii="Times New Roman" w:hAnsi="Times New Roman" w:cs="Times New Roman"/>
                <w:b/>
                <w:sz w:val="24"/>
                <w:lang w:eastAsia="ru-RU"/>
              </w:rPr>
              <w:br/>
              <w:t xml:space="preserve">&gt;5 </w:t>
            </w:r>
            <w:r w:rsidRPr="002748AE">
              <w:rPr>
                <w:rFonts w:ascii="Times New Roman" w:hAnsi="Times New Roman" w:cs="Times New Roman"/>
                <w:sz w:val="24"/>
                <w:lang w:eastAsia="ru-RU"/>
              </w:rPr>
              <w:t>×</w:t>
            </w:r>
            <w:r w:rsidRPr="002748AE">
              <w:rPr>
                <w:rFonts w:ascii="Times New Roman" w:hAnsi="Times New Roman" w:cs="Times New Roman"/>
                <w:b/>
                <w:sz w:val="24"/>
                <w:lang w:eastAsia="ru-RU"/>
              </w:rPr>
              <w:t xml:space="preserve"> ULN </w:t>
            </w:r>
          </w:p>
        </w:tc>
        <w:tc>
          <w:tcPr>
            <w:tcW w:w="1620" w:type="dxa"/>
            <w:tcBorders>
              <w:top w:val="single" w:sz="4" w:space="0" w:color="000000"/>
              <w:left w:val="single" w:sz="4" w:space="0" w:color="000000"/>
              <w:bottom w:val="single" w:sz="4" w:space="0" w:color="000000"/>
              <w:right w:val="single" w:sz="4" w:space="0" w:color="000000"/>
            </w:tcBorders>
            <w:tcMar>
              <w:top w:w="28" w:type="dxa"/>
              <w:left w:w="108" w:type="dxa"/>
              <w:bottom w:w="28" w:type="dxa"/>
              <w:right w:w="115" w:type="dxa"/>
            </w:tcMar>
            <w:hideMark/>
          </w:tcPr>
          <w:p w14:paraId="683CA1BC" w14:textId="77777777" w:rsidR="00D41138" w:rsidRPr="002748AE" w:rsidRDefault="00D41138">
            <w:pPr>
              <w:ind w:left="74" w:right="13"/>
              <w:jc w:val="center"/>
              <w:rPr>
                <w:rFonts w:ascii="Times New Roman" w:hAnsi="Times New Roman" w:cs="Times New Roman"/>
                <w:sz w:val="24"/>
                <w:lang w:eastAsia="ru-RU"/>
              </w:rPr>
            </w:pPr>
            <w:r w:rsidRPr="002748AE">
              <w:rPr>
                <w:rFonts w:ascii="Times New Roman" w:hAnsi="Times New Roman" w:cs="Times New Roman"/>
                <w:b/>
                <w:sz w:val="24"/>
                <w:lang w:eastAsia="ru-RU"/>
              </w:rPr>
              <w:t xml:space="preserve">% patienter </w:t>
            </w:r>
            <w:r w:rsidRPr="002748AE">
              <w:rPr>
                <w:rFonts w:ascii="Times New Roman" w:hAnsi="Times New Roman" w:cs="Times New Roman"/>
                <w:b/>
                <w:sz w:val="24"/>
                <w:lang w:eastAsia="ru-RU"/>
              </w:rPr>
              <w:br/>
              <w:t xml:space="preserve">&gt;8 </w:t>
            </w:r>
            <w:r w:rsidRPr="002748AE">
              <w:rPr>
                <w:rFonts w:ascii="Times New Roman" w:hAnsi="Times New Roman" w:cs="Times New Roman"/>
                <w:sz w:val="24"/>
                <w:lang w:eastAsia="ru-RU"/>
              </w:rPr>
              <w:t>×</w:t>
            </w:r>
            <w:r w:rsidRPr="002748AE">
              <w:rPr>
                <w:rFonts w:ascii="Times New Roman" w:hAnsi="Times New Roman" w:cs="Times New Roman"/>
                <w:b/>
                <w:sz w:val="24"/>
                <w:lang w:eastAsia="ru-RU"/>
              </w:rPr>
              <w:t xml:space="preserve"> ULN </w:t>
            </w:r>
          </w:p>
        </w:tc>
      </w:tr>
      <w:tr w:rsidR="00D41138" w:rsidRPr="002748AE" w14:paraId="02D411D4" w14:textId="77777777" w:rsidTr="008F6D7F">
        <w:trPr>
          <w:trHeight w:val="298"/>
          <w:jc w:val="center"/>
        </w:trPr>
        <w:tc>
          <w:tcPr>
            <w:tcW w:w="2002" w:type="dxa"/>
            <w:tcBorders>
              <w:top w:val="single" w:sz="4" w:space="0" w:color="000000"/>
              <w:left w:val="single" w:sz="4" w:space="0" w:color="000000"/>
              <w:bottom w:val="single" w:sz="4" w:space="0" w:color="000000"/>
              <w:right w:val="single" w:sz="4" w:space="0" w:color="000000"/>
            </w:tcBorders>
            <w:tcMar>
              <w:top w:w="28" w:type="dxa"/>
              <w:left w:w="108" w:type="dxa"/>
              <w:bottom w:w="28" w:type="dxa"/>
              <w:right w:w="115" w:type="dxa"/>
            </w:tcMar>
            <w:hideMark/>
          </w:tcPr>
          <w:p w14:paraId="4B658F97" w14:textId="77777777" w:rsidR="00D41138" w:rsidRPr="002748AE" w:rsidRDefault="00D41138">
            <w:pPr>
              <w:rPr>
                <w:rFonts w:ascii="Times New Roman" w:hAnsi="Times New Roman" w:cs="Times New Roman"/>
                <w:sz w:val="24"/>
                <w:lang w:eastAsia="ru-RU"/>
              </w:rPr>
            </w:pPr>
            <w:r w:rsidRPr="002748AE">
              <w:rPr>
                <w:rFonts w:ascii="Times New Roman" w:hAnsi="Times New Roman" w:cs="Times New Roman"/>
                <w:sz w:val="24"/>
                <w:lang w:eastAsia="ru-RU"/>
              </w:rPr>
              <w:t>6 til &lt;</w:t>
            </w:r>
            <w:r w:rsidRPr="002748AE">
              <w:rPr>
                <w:rFonts w:ascii="Times New Roman" w:hAnsi="Times New Roman" w:cs="Times New Roman"/>
                <w:b/>
                <w:sz w:val="24"/>
                <w:lang w:eastAsia="ru-RU"/>
              </w:rPr>
              <w:t xml:space="preserve"> </w:t>
            </w:r>
            <w:r w:rsidRPr="002748AE">
              <w:rPr>
                <w:rFonts w:ascii="Times New Roman" w:hAnsi="Times New Roman" w:cs="Times New Roman"/>
                <w:sz w:val="24"/>
                <w:lang w:eastAsia="ru-RU"/>
              </w:rPr>
              <w:t xml:space="preserve">12 år </w:t>
            </w:r>
          </w:p>
        </w:tc>
        <w:tc>
          <w:tcPr>
            <w:tcW w:w="992" w:type="dxa"/>
            <w:tcBorders>
              <w:top w:val="single" w:sz="4" w:space="0" w:color="000000"/>
              <w:left w:val="single" w:sz="4" w:space="0" w:color="000000"/>
              <w:bottom w:val="single" w:sz="4" w:space="0" w:color="000000"/>
              <w:right w:val="single" w:sz="4" w:space="0" w:color="000000"/>
            </w:tcBorders>
            <w:tcMar>
              <w:top w:w="28" w:type="dxa"/>
              <w:left w:w="108" w:type="dxa"/>
              <w:bottom w:w="28" w:type="dxa"/>
              <w:right w:w="115" w:type="dxa"/>
            </w:tcMar>
            <w:hideMark/>
          </w:tcPr>
          <w:p w14:paraId="12427664" w14:textId="77777777" w:rsidR="00D41138" w:rsidRPr="002748AE" w:rsidRDefault="00D41138">
            <w:pPr>
              <w:ind w:left="5"/>
              <w:jc w:val="center"/>
              <w:rPr>
                <w:rFonts w:ascii="Times New Roman" w:hAnsi="Times New Roman" w:cs="Times New Roman"/>
                <w:sz w:val="24"/>
                <w:lang w:eastAsia="ru-RU"/>
              </w:rPr>
            </w:pPr>
            <w:r w:rsidRPr="002748AE">
              <w:rPr>
                <w:rFonts w:ascii="Times New Roman" w:hAnsi="Times New Roman" w:cs="Times New Roman"/>
                <w:sz w:val="24"/>
                <w:lang w:eastAsia="ru-RU"/>
              </w:rPr>
              <w:t xml:space="preserve">40 </w:t>
            </w:r>
          </w:p>
        </w:tc>
        <w:tc>
          <w:tcPr>
            <w:tcW w:w="1619" w:type="dxa"/>
            <w:tcBorders>
              <w:top w:val="single" w:sz="4" w:space="0" w:color="000000"/>
              <w:left w:val="single" w:sz="4" w:space="0" w:color="000000"/>
              <w:bottom w:val="single" w:sz="4" w:space="0" w:color="000000"/>
              <w:right w:val="single" w:sz="4" w:space="0" w:color="000000"/>
            </w:tcBorders>
            <w:tcMar>
              <w:top w:w="28" w:type="dxa"/>
              <w:left w:w="108" w:type="dxa"/>
              <w:bottom w:w="28" w:type="dxa"/>
              <w:right w:w="115" w:type="dxa"/>
            </w:tcMar>
            <w:hideMark/>
          </w:tcPr>
          <w:p w14:paraId="1AC48856" w14:textId="77777777" w:rsidR="00D41138" w:rsidRPr="002748AE" w:rsidRDefault="00D41138">
            <w:pPr>
              <w:ind w:left="8"/>
              <w:jc w:val="center"/>
              <w:rPr>
                <w:rFonts w:ascii="Times New Roman" w:hAnsi="Times New Roman" w:cs="Times New Roman"/>
                <w:sz w:val="24"/>
                <w:lang w:eastAsia="ru-RU"/>
              </w:rPr>
            </w:pPr>
            <w:r w:rsidRPr="002748AE">
              <w:rPr>
                <w:rFonts w:ascii="Times New Roman" w:hAnsi="Times New Roman" w:cs="Times New Roman"/>
                <w:sz w:val="24"/>
                <w:lang w:eastAsia="ru-RU"/>
              </w:rPr>
              <w:t xml:space="preserve">15,0% (6) </w:t>
            </w:r>
          </w:p>
        </w:tc>
        <w:tc>
          <w:tcPr>
            <w:tcW w:w="1620" w:type="dxa"/>
            <w:tcBorders>
              <w:top w:val="single" w:sz="4" w:space="0" w:color="000000"/>
              <w:left w:val="single" w:sz="4" w:space="0" w:color="000000"/>
              <w:bottom w:val="single" w:sz="4" w:space="0" w:color="000000"/>
              <w:right w:val="single" w:sz="4" w:space="0" w:color="000000"/>
            </w:tcBorders>
            <w:tcMar>
              <w:top w:w="28" w:type="dxa"/>
              <w:left w:w="108" w:type="dxa"/>
              <w:bottom w:w="28" w:type="dxa"/>
              <w:right w:w="115" w:type="dxa"/>
            </w:tcMar>
            <w:hideMark/>
          </w:tcPr>
          <w:p w14:paraId="00AF12F4" w14:textId="77777777" w:rsidR="00D41138" w:rsidRPr="002748AE" w:rsidRDefault="00D41138">
            <w:pPr>
              <w:ind w:left="7"/>
              <w:jc w:val="center"/>
              <w:rPr>
                <w:rFonts w:ascii="Times New Roman" w:hAnsi="Times New Roman" w:cs="Times New Roman"/>
                <w:sz w:val="24"/>
                <w:lang w:eastAsia="ru-RU"/>
              </w:rPr>
            </w:pPr>
            <w:r w:rsidRPr="002748AE">
              <w:rPr>
                <w:rFonts w:ascii="Times New Roman" w:hAnsi="Times New Roman" w:cs="Times New Roman"/>
                <w:sz w:val="24"/>
                <w:lang w:eastAsia="ru-RU"/>
              </w:rPr>
              <w:t xml:space="preserve">2,5% (1) </w:t>
            </w:r>
          </w:p>
        </w:tc>
        <w:tc>
          <w:tcPr>
            <w:tcW w:w="1620" w:type="dxa"/>
            <w:tcBorders>
              <w:top w:val="single" w:sz="4" w:space="0" w:color="000000"/>
              <w:left w:val="single" w:sz="4" w:space="0" w:color="000000"/>
              <w:bottom w:val="single" w:sz="4" w:space="0" w:color="000000"/>
              <w:right w:val="single" w:sz="4" w:space="0" w:color="000000"/>
            </w:tcBorders>
            <w:tcMar>
              <w:top w:w="28" w:type="dxa"/>
              <w:left w:w="108" w:type="dxa"/>
              <w:bottom w:w="28" w:type="dxa"/>
              <w:right w:w="115" w:type="dxa"/>
            </w:tcMar>
            <w:hideMark/>
          </w:tcPr>
          <w:p w14:paraId="5776C799" w14:textId="77777777" w:rsidR="00D41138" w:rsidRPr="002748AE" w:rsidRDefault="00D41138">
            <w:pPr>
              <w:ind w:left="7"/>
              <w:jc w:val="center"/>
              <w:rPr>
                <w:rFonts w:ascii="Times New Roman" w:hAnsi="Times New Roman" w:cs="Times New Roman"/>
                <w:sz w:val="24"/>
                <w:lang w:eastAsia="ru-RU"/>
              </w:rPr>
            </w:pPr>
            <w:r w:rsidRPr="002748AE">
              <w:rPr>
                <w:rFonts w:ascii="Times New Roman" w:hAnsi="Times New Roman" w:cs="Times New Roman"/>
                <w:sz w:val="24"/>
                <w:lang w:eastAsia="ru-RU"/>
              </w:rPr>
              <w:t xml:space="preserve">2,5% (1) </w:t>
            </w:r>
          </w:p>
        </w:tc>
      </w:tr>
      <w:tr w:rsidR="00D41138" w:rsidRPr="002748AE" w14:paraId="4498BE7E" w14:textId="77777777" w:rsidTr="008F6D7F">
        <w:trPr>
          <w:trHeight w:val="296"/>
          <w:jc w:val="center"/>
        </w:trPr>
        <w:tc>
          <w:tcPr>
            <w:tcW w:w="2002" w:type="dxa"/>
            <w:tcBorders>
              <w:top w:val="single" w:sz="4" w:space="0" w:color="000000"/>
              <w:left w:val="single" w:sz="4" w:space="0" w:color="000000"/>
              <w:bottom w:val="single" w:sz="4" w:space="0" w:color="000000"/>
              <w:right w:val="single" w:sz="4" w:space="0" w:color="000000"/>
            </w:tcBorders>
            <w:tcMar>
              <w:top w:w="28" w:type="dxa"/>
              <w:left w:w="108" w:type="dxa"/>
              <w:bottom w:w="28" w:type="dxa"/>
              <w:right w:w="115" w:type="dxa"/>
            </w:tcMar>
            <w:hideMark/>
          </w:tcPr>
          <w:p w14:paraId="1CBC9768" w14:textId="77777777" w:rsidR="00D41138" w:rsidRPr="002748AE" w:rsidRDefault="00D41138">
            <w:pPr>
              <w:rPr>
                <w:rFonts w:ascii="Times New Roman" w:hAnsi="Times New Roman" w:cs="Times New Roman"/>
                <w:sz w:val="24"/>
                <w:lang w:eastAsia="ru-RU"/>
              </w:rPr>
            </w:pPr>
            <w:r w:rsidRPr="002748AE">
              <w:rPr>
                <w:rFonts w:ascii="Times New Roman" w:hAnsi="Times New Roman" w:cs="Times New Roman"/>
                <w:sz w:val="24"/>
                <w:lang w:eastAsia="ru-RU"/>
              </w:rPr>
              <w:t>2 til &lt;</w:t>
            </w:r>
            <w:r w:rsidRPr="002748AE">
              <w:rPr>
                <w:rFonts w:ascii="Times New Roman" w:hAnsi="Times New Roman" w:cs="Times New Roman"/>
                <w:b/>
                <w:sz w:val="24"/>
                <w:lang w:eastAsia="ru-RU"/>
              </w:rPr>
              <w:t xml:space="preserve"> </w:t>
            </w:r>
            <w:r w:rsidRPr="002748AE">
              <w:rPr>
                <w:rFonts w:ascii="Times New Roman" w:hAnsi="Times New Roman" w:cs="Times New Roman"/>
                <w:sz w:val="24"/>
                <w:lang w:eastAsia="ru-RU"/>
              </w:rPr>
              <w:t xml:space="preserve">6 år </w:t>
            </w:r>
          </w:p>
        </w:tc>
        <w:tc>
          <w:tcPr>
            <w:tcW w:w="992" w:type="dxa"/>
            <w:tcBorders>
              <w:top w:val="single" w:sz="4" w:space="0" w:color="000000"/>
              <w:left w:val="single" w:sz="4" w:space="0" w:color="000000"/>
              <w:bottom w:val="single" w:sz="4" w:space="0" w:color="000000"/>
              <w:right w:val="single" w:sz="4" w:space="0" w:color="000000"/>
            </w:tcBorders>
            <w:tcMar>
              <w:top w:w="28" w:type="dxa"/>
              <w:left w:w="108" w:type="dxa"/>
              <w:bottom w:w="28" w:type="dxa"/>
              <w:right w:w="115" w:type="dxa"/>
            </w:tcMar>
            <w:hideMark/>
          </w:tcPr>
          <w:p w14:paraId="0A093CC4" w14:textId="77777777" w:rsidR="00D41138" w:rsidRPr="002748AE" w:rsidRDefault="00D41138">
            <w:pPr>
              <w:ind w:left="5"/>
              <w:jc w:val="center"/>
              <w:rPr>
                <w:rFonts w:ascii="Times New Roman" w:hAnsi="Times New Roman" w:cs="Times New Roman"/>
                <w:sz w:val="24"/>
                <w:lang w:eastAsia="ru-RU"/>
              </w:rPr>
            </w:pPr>
            <w:r w:rsidRPr="002748AE">
              <w:rPr>
                <w:rFonts w:ascii="Times New Roman" w:hAnsi="Times New Roman" w:cs="Times New Roman"/>
                <w:sz w:val="24"/>
                <w:lang w:eastAsia="ru-RU"/>
              </w:rPr>
              <w:t xml:space="preserve">34 </w:t>
            </w:r>
          </w:p>
        </w:tc>
        <w:tc>
          <w:tcPr>
            <w:tcW w:w="1619" w:type="dxa"/>
            <w:tcBorders>
              <w:top w:val="single" w:sz="4" w:space="0" w:color="000000"/>
              <w:left w:val="single" w:sz="4" w:space="0" w:color="000000"/>
              <w:bottom w:val="single" w:sz="4" w:space="0" w:color="000000"/>
              <w:right w:val="single" w:sz="4" w:space="0" w:color="000000"/>
            </w:tcBorders>
            <w:tcMar>
              <w:top w:w="28" w:type="dxa"/>
              <w:left w:w="108" w:type="dxa"/>
              <w:bottom w:w="28" w:type="dxa"/>
              <w:right w:w="115" w:type="dxa"/>
            </w:tcMar>
            <w:hideMark/>
          </w:tcPr>
          <w:p w14:paraId="1F6CD65D" w14:textId="77777777" w:rsidR="00D41138" w:rsidRPr="002748AE" w:rsidRDefault="00D41138">
            <w:pPr>
              <w:ind w:left="8"/>
              <w:jc w:val="center"/>
              <w:rPr>
                <w:rFonts w:ascii="Times New Roman" w:hAnsi="Times New Roman" w:cs="Times New Roman"/>
                <w:sz w:val="24"/>
                <w:lang w:eastAsia="ru-RU"/>
              </w:rPr>
            </w:pPr>
            <w:r w:rsidRPr="002748AE">
              <w:rPr>
                <w:rFonts w:ascii="Times New Roman" w:hAnsi="Times New Roman" w:cs="Times New Roman"/>
                <w:sz w:val="24"/>
                <w:lang w:eastAsia="ru-RU"/>
              </w:rPr>
              <w:t xml:space="preserve">14,7% (5) </w:t>
            </w:r>
          </w:p>
        </w:tc>
        <w:tc>
          <w:tcPr>
            <w:tcW w:w="1620" w:type="dxa"/>
            <w:tcBorders>
              <w:top w:val="single" w:sz="4" w:space="0" w:color="000000"/>
              <w:left w:val="single" w:sz="4" w:space="0" w:color="000000"/>
              <w:bottom w:val="single" w:sz="4" w:space="0" w:color="000000"/>
              <w:right w:val="single" w:sz="4" w:space="0" w:color="000000"/>
            </w:tcBorders>
            <w:tcMar>
              <w:top w:w="28" w:type="dxa"/>
              <w:left w:w="108" w:type="dxa"/>
              <w:bottom w:w="28" w:type="dxa"/>
              <w:right w:w="115" w:type="dxa"/>
            </w:tcMar>
            <w:hideMark/>
          </w:tcPr>
          <w:p w14:paraId="2D68793D" w14:textId="77777777" w:rsidR="00D41138" w:rsidRPr="002748AE" w:rsidRDefault="00D41138">
            <w:pPr>
              <w:ind w:left="7"/>
              <w:jc w:val="center"/>
              <w:rPr>
                <w:rFonts w:ascii="Times New Roman" w:hAnsi="Times New Roman" w:cs="Times New Roman"/>
                <w:sz w:val="24"/>
                <w:lang w:eastAsia="ru-RU"/>
              </w:rPr>
            </w:pPr>
            <w:r w:rsidRPr="002748AE">
              <w:rPr>
                <w:rFonts w:ascii="Times New Roman" w:hAnsi="Times New Roman" w:cs="Times New Roman"/>
                <w:sz w:val="24"/>
                <w:lang w:eastAsia="ru-RU"/>
              </w:rPr>
              <w:t xml:space="preserve">14,7% (5) </w:t>
            </w:r>
          </w:p>
        </w:tc>
        <w:tc>
          <w:tcPr>
            <w:tcW w:w="1620" w:type="dxa"/>
            <w:tcBorders>
              <w:top w:val="single" w:sz="4" w:space="0" w:color="000000"/>
              <w:left w:val="single" w:sz="4" w:space="0" w:color="000000"/>
              <w:bottom w:val="single" w:sz="4" w:space="0" w:color="000000"/>
              <w:right w:val="single" w:sz="4" w:space="0" w:color="000000"/>
            </w:tcBorders>
            <w:tcMar>
              <w:top w:w="28" w:type="dxa"/>
              <w:left w:w="108" w:type="dxa"/>
              <w:bottom w:w="28" w:type="dxa"/>
              <w:right w:w="115" w:type="dxa"/>
            </w:tcMar>
            <w:hideMark/>
          </w:tcPr>
          <w:p w14:paraId="1BFFEFA1" w14:textId="77777777" w:rsidR="00D41138" w:rsidRPr="002748AE" w:rsidRDefault="00D41138">
            <w:pPr>
              <w:ind w:left="7"/>
              <w:jc w:val="center"/>
              <w:rPr>
                <w:rFonts w:ascii="Times New Roman" w:hAnsi="Times New Roman" w:cs="Times New Roman"/>
                <w:sz w:val="24"/>
                <w:lang w:eastAsia="ru-RU"/>
              </w:rPr>
            </w:pPr>
            <w:r w:rsidRPr="002748AE">
              <w:rPr>
                <w:rFonts w:ascii="Times New Roman" w:hAnsi="Times New Roman" w:cs="Times New Roman"/>
                <w:sz w:val="24"/>
                <w:lang w:eastAsia="ru-RU"/>
              </w:rPr>
              <w:t xml:space="preserve">14,7% (5) </w:t>
            </w:r>
          </w:p>
        </w:tc>
      </w:tr>
      <w:tr w:rsidR="00D41138" w:rsidRPr="002748AE" w14:paraId="702AB6DD" w14:textId="77777777" w:rsidTr="008F6D7F">
        <w:trPr>
          <w:trHeight w:val="298"/>
          <w:jc w:val="center"/>
        </w:trPr>
        <w:tc>
          <w:tcPr>
            <w:tcW w:w="2002" w:type="dxa"/>
            <w:tcBorders>
              <w:top w:val="single" w:sz="4" w:space="0" w:color="000000"/>
              <w:left w:val="single" w:sz="4" w:space="0" w:color="000000"/>
              <w:bottom w:val="single" w:sz="4" w:space="0" w:color="000000"/>
              <w:right w:val="single" w:sz="4" w:space="0" w:color="000000"/>
            </w:tcBorders>
            <w:tcMar>
              <w:top w:w="28" w:type="dxa"/>
              <w:left w:w="108" w:type="dxa"/>
              <w:bottom w:w="28" w:type="dxa"/>
              <w:right w:w="115" w:type="dxa"/>
            </w:tcMar>
            <w:hideMark/>
          </w:tcPr>
          <w:p w14:paraId="32D0BACC" w14:textId="77777777" w:rsidR="00D41138" w:rsidRPr="002748AE" w:rsidRDefault="00D41138">
            <w:pPr>
              <w:rPr>
                <w:rFonts w:ascii="Times New Roman" w:hAnsi="Times New Roman" w:cs="Times New Roman"/>
                <w:sz w:val="24"/>
                <w:lang w:eastAsia="ru-RU"/>
              </w:rPr>
            </w:pPr>
            <w:r w:rsidRPr="002748AE">
              <w:rPr>
                <w:rFonts w:ascii="Times New Roman" w:hAnsi="Times New Roman" w:cs="Times New Roman"/>
                <w:sz w:val="24"/>
                <w:lang w:eastAsia="ru-RU"/>
              </w:rPr>
              <w:t>12 til &lt;</w:t>
            </w:r>
            <w:r w:rsidRPr="002748AE">
              <w:rPr>
                <w:rFonts w:ascii="Times New Roman" w:hAnsi="Times New Roman" w:cs="Times New Roman"/>
                <w:b/>
                <w:sz w:val="24"/>
                <w:lang w:eastAsia="ru-RU"/>
              </w:rPr>
              <w:t xml:space="preserve"> </w:t>
            </w:r>
            <w:r w:rsidRPr="002748AE">
              <w:rPr>
                <w:rFonts w:ascii="Times New Roman" w:hAnsi="Times New Roman" w:cs="Times New Roman"/>
                <w:sz w:val="24"/>
                <w:lang w:eastAsia="ru-RU"/>
              </w:rPr>
              <w:t xml:space="preserve">24 måneder </w:t>
            </w:r>
          </w:p>
        </w:tc>
        <w:tc>
          <w:tcPr>
            <w:tcW w:w="992" w:type="dxa"/>
            <w:tcBorders>
              <w:top w:val="single" w:sz="4" w:space="0" w:color="000000"/>
              <w:left w:val="single" w:sz="4" w:space="0" w:color="000000"/>
              <w:bottom w:val="single" w:sz="4" w:space="0" w:color="000000"/>
              <w:right w:val="single" w:sz="4" w:space="0" w:color="000000"/>
            </w:tcBorders>
            <w:tcMar>
              <w:top w:w="28" w:type="dxa"/>
              <w:left w:w="108" w:type="dxa"/>
              <w:bottom w:w="28" w:type="dxa"/>
              <w:right w:w="115" w:type="dxa"/>
            </w:tcMar>
            <w:hideMark/>
          </w:tcPr>
          <w:p w14:paraId="0C9AE17B" w14:textId="77777777" w:rsidR="00D41138" w:rsidRPr="002748AE" w:rsidRDefault="00D41138">
            <w:pPr>
              <w:ind w:left="5"/>
              <w:jc w:val="center"/>
              <w:rPr>
                <w:rFonts w:ascii="Times New Roman" w:hAnsi="Times New Roman" w:cs="Times New Roman"/>
                <w:sz w:val="24"/>
                <w:lang w:eastAsia="ru-RU"/>
              </w:rPr>
            </w:pPr>
            <w:r w:rsidRPr="002748AE">
              <w:rPr>
                <w:rFonts w:ascii="Times New Roman" w:hAnsi="Times New Roman" w:cs="Times New Roman"/>
                <w:sz w:val="24"/>
                <w:lang w:eastAsia="ru-RU"/>
              </w:rPr>
              <w:t xml:space="preserve">18 </w:t>
            </w:r>
          </w:p>
        </w:tc>
        <w:tc>
          <w:tcPr>
            <w:tcW w:w="1619" w:type="dxa"/>
            <w:tcBorders>
              <w:top w:val="single" w:sz="4" w:space="0" w:color="000000"/>
              <w:left w:val="single" w:sz="4" w:space="0" w:color="000000"/>
              <w:bottom w:val="single" w:sz="4" w:space="0" w:color="000000"/>
              <w:right w:val="single" w:sz="4" w:space="0" w:color="000000"/>
            </w:tcBorders>
            <w:tcMar>
              <w:top w:w="28" w:type="dxa"/>
              <w:left w:w="108" w:type="dxa"/>
              <w:bottom w:w="28" w:type="dxa"/>
              <w:right w:w="115" w:type="dxa"/>
            </w:tcMar>
            <w:hideMark/>
          </w:tcPr>
          <w:p w14:paraId="2CC8D618" w14:textId="77777777" w:rsidR="00D41138" w:rsidRPr="002748AE" w:rsidRDefault="00D41138">
            <w:pPr>
              <w:ind w:left="8"/>
              <w:jc w:val="center"/>
              <w:rPr>
                <w:rFonts w:ascii="Times New Roman" w:hAnsi="Times New Roman" w:cs="Times New Roman"/>
                <w:sz w:val="24"/>
                <w:lang w:eastAsia="ru-RU"/>
              </w:rPr>
            </w:pPr>
            <w:r w:rsidRPr="002748AE">
              <w:rPr>
                <w:rFonts w:ascii="Times New Roman" w:hAnsi="Times New Roman" w:cs="Times New Roman"/>
                <w:sz w:val="24"/>
                <w:lang w:eastAsia="ru-RU"/>
              </w:rPr>
              <w:t xml:space="preserve">27,8% (5) </w:t>
            </w:r>
          </w:p>
        </w:tc>
        <w:tc>
          <w:tcPr>
            <w:tcW w:w="1620" w:type="dxa"/>
            <w:tcBorders>
              <w:top w:val="single" w:sz="4" w:space="0" w:color="000000"/>
              <w:left w:val="single" w:sz="4" w:space="0" w:color="000000"/>
              <w:bottom w:val="single" w:sz="4" w:space="0" w:color="000000"/>
              <w:right w:val="single" w:sz="4" w:space="0" w:color="000000"/>
            </w:tcBorders>
            <w:tcMar>
              <w:top w:w="28" w:type="dxa"/>
              <w:left w:w="108" w:type="dxa"/>
              <w:bottom w:w="28" w:type="dxa"/>
              <w:right w:w="115" w:type="dxa"/>
            </w:tcMar>
            <w:hideMark/>
          </w:tcPr>
          <w:p w14:paraId="2FCA2937" w14:textId="77777777" w:rsidR="00D41138" w:rsidRPr="002748AE" w:rsidRDefault="00D41138">
            <w:pPr>
              <w:ind w:left="7"/>
              <w:jc w:val="center"/>
              <w:rPr>
                <w:rFonts w:ascii="Times New Roman" w:hAnsi="Times New Roman" w:cs="Times New Roman"/>
                <w:sz w:val="24"/>
                <w:lang w:eastAsia="ru-RU"/>
              </w:rPr>
            </w:pPr>
            <w:r w:rsidRPr="002748AE">
              <w:rPr>
                <w:rFonts w:ascii="Times New Roman" w:hAnsi="Times New Roman" w:cs="Times New Roman"/>
                <w:sz w:val="24"/>
                <w:lang w:eastAsia="ru-RU"/>
              </w:rPr>
              <w:t xml:space="preserve">11,1% (2) </w:t>
            </w:r>
          </w:p>
        </w:tc>
        <w:tc>
          <w:tcPr>
            <w:tcW w:w="1620" w:type="dxa"/>
            <w:tcBorders>
              <w:top w:val="single" w:sz="4" w:space="0" w:color="000000"/>
              <w:left w:val="single" w:sz="4" w:space="0" w:color="000000"/>
              <w:bottom w:val="single" w:sz="4" w:space="0" w:color="000000"/>
              <w:right w:val="single" w:sz="4" w:space="0" w:color="000000"/>
            </w:tcBorders>
            <w:tcMar>
              <w:top w:w="28" w:type="dxa"/>
              <w:left w:w="108" w:type="dxa"/>
              <w:bottom w:w="28" w:type="dxa"/>
              <w:right w:w="115" w:type="dxa"/>
            </w:tcMar>
            <w:hideMark/>
          </w:tcPr>
          <w:p w14:paraId="799BFC4B" w14:textId="77777777" w:rsidR="00D41138" w:rsidRPr="002748AE" w:rsidRDefault="00D41138">
            <w:pPr>
              <w:ind w:left="7"/>
              <w:jc w:val="center"/>
              <w:rPr>
                <w:rFonts w:ascii="Times New Roman" w:hAnsi="Times New Roman" w:cs="Times New Roman"/>
                <w:sz w:val="24"/>
                <w:lang w:eastAsia="ru-RU"/>
              </w:rPr>
            </w:pPr>
            <w:r w:rsidRPr="002748AE">
              <w:rPr>
                <w:rFonts w:ascii="Times New Roman" w:hAnsi="Times New Roman" w:cs="Times New Roman"/>
                <w:sz w:val="24"/>
                <w:lang w:eastAsia="ru-RU"/>
              </w:rPr>
              <w:t xml:space="preserve">11,1% (2) </w:t>
            </w:r>
          </w:p>
        </w:tc>
      </w:tr>
      <w:tr w:rsidR="00D41138" w:rsidRPr="002748AE" w14:paraId="435A1872" w14:textId="77777777" w:rsidTr="008F6D7F">
        <w:trPr>
          <w:trHeight w:val="298"/>
          <w:jc w:val="center"/>
        </w:trPr>
        <w:tc>
          <w:tcPr>
            <w:tcW w:w="2002" w:type="dxa"/>
            <w:tcBorders>
              <w:top w:val="single" w:sz="4" w:space="0" w:color="000000"/>
              <w:left w:val="single" w:sz="4" w:space="0" w:color="000000"/>
              <w:bottom w:val="single" w:sz="4" w:space="0" w:color="000000"/>
              <w:right w:val="single" w:sz="4" w:space="0" w:color="000000"/>
            </w:tcBorders>
            <w:tcMar>
              <w:top w:w="28" w:type="dxa"/>
              <w:left w:w="108" w:type="dxa"/>
              <w:bottom w:w="28" w:type="dxa"/>
              <w:right w:w="115" w:type="dxa"/>
            </w:tcMar>
            <w:hideMark/>
          </w:tcPr>
          <w:p w14:paraId="31B63299" w14:textId="77777777" w:rsidR="00D41138" w:rsidRPr="002748AE" w:rsidRDefault="00D41138">
            <w:pPr>
              <w:rPr>
                <w:rFonts w:ascii="Times New Roman" w:hAnsi="Times New Roman" w:cs="Times New Roman"/>
                <w:sz w:val="24"/>
                <w:lang w:eastAsia="ru-RU"/>
              </w:rPr>
            </w:pPr>
            <w:r w:rsidRPr="002748AE">
              <w:rPr>
                <w:rFonts w:ascii="Times New Roman" w:hAnsi="Times New Roman" w:cs="Times New Roman"/>
                <w:sz w:val="24"/>
                <w:lang w:eastAsia="ru-RU"/>
              </w:rPr>
              <w:t>1 til &lt;</w:t>
            </w:r>
            <w:r w:rsidRPr="002748AE">
              <w:rPr>
                <w:rFonts w:ascii="Times New Roman" w:hAnsi="Times New Roman" w:cs="Times New Roman"/>
                <w:b/>
                <w:sz w:val="24"/>
                <w:lang w:eastAsia="ru-RU"/>
              </w:rPr>
              <w:t xml:space="preserve"> </w:t>
            </w:r>
            <w:r w:rsidRPr="002748AE">
              <w:rPr>
                <w:rFonts w:ascii="Times New Roman" w:hAnsi="Times New Roman" w:cs="Times New Roman"/>
                <w:sz w:val="24"/>
                <w:lang w:eastAsia="ru-RU"/>
              </w:rPr>
              <w:t xml:space="preserve">12 måneder </w:t>
            </w:r>
          </w:p>
        </w:tc>
        <w:tc>
          <w:tcPr>
            <w:tcW w:w="992" w:type="dxa"/>
            <w:tcBorders>
              <w:top w:val="single" w:sz="4" w:space="0" w:color="000000"/>
              <w:left w:val="single" w:sz="4" w:space="0" w:color="000000"/>
              <w:bottom w:val="single" w:sz="4" w:space="0" w:color="000000"/>
              <w:right w:val="single" w:sz="4" w:space="0" w:color="000000"/>
            </w:tcBorders>
            <w:tcMar>
              <w:top w:w="28" w:type="dxa"/>
              <w:left w:w="108" w:type="dxa"/>
              <w:bottom w:w="28" w:type="dxa"/>
              <w:right w:w="115" w:type="dxa"/>
            </w:tcMar>
            <w:hideMark/>
          </w:tcPr>
          <w:p w14:paraId="35BFEA3B" w14:textId="77777777" w:rsidR="00D41138" w:rsidRPr="002748AE" w:rsidRDefault="00D41138">
            <w:pPr>
              <w:ind w:left="5"/>
              <w:jc w:val="center"/>
              <w:rPr>
                <w:rFonts w:ascii="Times New Roman" w:hAnsi="Times New Roman" w:cs="Times New Roman"/>
                <w:sz w:val="24"/>
                <w:lang w:eastAsia="ru-RU"/>
              </w:rPr>
            </w:pPr>
            <w:r w:rsidRPr="002748AE">
              <w:rPr>
                <w:rFonts w:ascii="Times New Roman" w:hAnsi="Times New Roman" w:cs="Times New Roman"/>
                <w:sz w:val="24"/>
                <w:lang w:eastAsia="ru-RU"/>
              </w:rPr>
              <w:t xml:space="preserve">24 </w:t>
            </w:r>
          </w:p>
        </w:tc>
        <w:tc>
          <w:tcPr>
            <w:tcW w:w="1619" w:type="dxa"/>
            <w:tcBorders>
              <w:top w:val="single" w:sz="4" w:space="0" w:color="000000"/>
              <w:left w:val="single" w:sz="4" w:space="0" w:color="000000"/>
              <w:bottom w:val="single" w:sz="4" w:space="0" w:color="000000"/>
              <w:right w:val="single" w:sz="4" w:space="0" w:color="000000"/>
            </w:tcBorders>
            <w:tcMar>
              <w:top w:w="28" w:type="dxa"/>
              <w:left w:w="108" w:type="dxa"/>
              <w:bottom w:w="28" w:type="dxa"/>
              <w:right w:w="115" w:type="dxa"/>
            </w:tcMar>
            <w:hideMark/>
          </w:tcPr>
          <w:p w14:paraId="1E899A53" w14:textId="77777777" w:rsidR="00D41138" w:rsidRPr="002748AE" w:rsidRDefault="00D41138">
            <w:pPr>
              <w:ind w:left="8"/>
              <w:jc w:val="center"/>
              <w:rPr>
                <w:rFonts w:ascii="Times New Roman" w:hAnsi="Times New Roman" w:cs="Times New Roman"/>
                <w:sz w:val="24"/>
                <w:lang w:eastAsia="ru-RU"/>
              </w:rPr>
            </w:pPr>
            <w:r w:rsidRPr="002748AE">
              <w:rPr>
                <w:rFonts w:ascii="Times New Roman" w:hAnsi="Times New Roman" w:cs="Times New Roman"/>
                <w:sz w:val="24"/>
                <w:lang w:eastAsia="ru-RU"/>
              </w:rPr>
              <w:t xml:space="preserve">8,3% (2) </w:t>
            </w:r>
          </w:p>
        </w:tc>
        <w:tc>
          <w:tcPr>
            <w:tcW w:w="1620" w:type="dxa"/>
            <w:tcBorders>
              <w:top w:val="single" w:sz="4" w:space="0" w:color="000000"/>
              <w:left w:val="single" w:sz="4" w:space="0" w:color="000000"/>
              <w:bottom w:val="single" w:sz="4" w:space="0" w:color="000000"/>
              <w:right w:val="single" w:sz="4" w:space="0" w:color="000000"/>
            </w:tcBorders>
            <w:tcMar>
              <w:top w:w="28" w:type="dxa"/>
              <w:left w:w="108" w:type="dxa"/>
              <w:bottom w:w="28" w:type="dxa"/>
              <w:right w:w="115" w:type="dxa"/>
            </w:tcMar>
            <w:hideMark/>
          </w:tcPr>
          <w:p w14:paraId="1FF2212B" w14:textId="77777777" w:rsidR="00D41138" w:rsidRPr="002748AE" w:rsidRDefault="00D41138">
            <w:pPr>
              <w:ind w:left="7"/>
              <w:jc w:val="center"/>
              <w:rPr>
                <w:rFonts w:ascii="Times New Roman" w:hAnsi="Times New Roman" w:cs="Times New Roman"/>
                <w:sz w:val="24"/>
                <w:lang w:eastAsia="ru-RU"/>
              </w:rPr>
            </w:pPr>
            <w:r w:rsidRPr="002748AE">
              <w:rPr>
                <w:rFonts w:ascii="Times New Roman" w:hAnsi="Times New Roman" w:cs="Times New Roman"/>
                <w:sz w:val="24"/>
                <w:lang w:eastAsia="ru-RU"/>
              </w:rPr>
              <w:t xml:space="preserve">4,2% (1) </w:t>
            </w:r>
          </w:p>
        </w:tc>
        <w:tc>
          <w:tcPr>
            <w:tcW w:w="1620" w:type="dxa"/>
            <w:tcBorders>
              <w:top w:val="single" w:sz="4" w:space="0" w:color="000000"/>
              <w:left w:val="single" w:sz="4" w:space="0" w:color="000000"/>
              <w:bottom w:val="single" w:sz="4" w:space="0" w:color="000000"/>
              <w:right w:val="single" w:sz="4" w:space="0" w:color="000000"/>
            </w:tcBorders>
            <w:tcMar>
              <w:top w:w="28" w:type="dxa"/>
              <w:left w:w="108" w:type="dxa"/>
              <w:bottom w:w="28" w:type="dxa"/>
              <w:right w:w="115" w:type="dxa"/>
            </w:tcMar>
            <w:hideMark/>
          </w:tcPr>
          <w:p w14:paraId="26EF3F3F" w14:textId="77777777" w:rsidR="00D41138" w:rsidRPr="002748AE" w:rsidRDefault="00D41138">
            <w:pPr>
              <w:ind w:left="7"/>
              <w:jc w:val="center"/>
              <w:rPr>
                <w:rFonts w:ascii="Times New Roman" w:hAnsi="Times New Roman" w:cs="Times New Roman"/>
                <w:sz w:val="24"/>
                <w:lang w:eastAsia="ru-RU"/>
              </w:rPr>
            </w:pPr>
            <w:r w:rsidRPr="002748AE">
              <w:rPr>
                <w:rFonts w:ascii="Times New Roman" w:hAnsi="Times New Roman" w:cs="Times New Roman"/>
                <w:sz w:val="24"/>
                <w:lang w:eastAsia="ru-RU"/>
              </w:rPr>
              <w:t xml:space="preserve">4,2% (1) </w:t>
            </w:r>
          </w:p>
        </w:tc>
      </w:tr>
    </w:tbl>
    <w:p w14:paraId="7268AEF8" w14:textId="77777777" w:rsidR="00D41138" w:rsidRPr="002748AE" w:rsidRDefault="00D41138" w:rsidP="00F526B8">
      <w:pPr>
        <w:ind w:left="851"/>
        <w:rPr>
          <w:sz w:val="24"/>
          <w:szCs w:val="24"/>
        </w:rPr>
      </w:pPr>
    </w:p>
    <w:p w14:paraId="350D4CF7" w14:textId="77777777" w:rsidR="00D41138" w:rsidRPr="002748AE" w:rsidRDefault="00D41138" w:rsidP="00F526B8">
      <w:pPr>
        <w:ind w:left="851"/>
        <w:rPr>
          <w:sz w:val="24"/>
          <w:szCs w:val="24"/>
        </w:rPr>
      </w:pPr>
      <w:r w:rsidRPr="002748AE">
        <w:rPr>
          <w:i/>
          <w:sz w:val="24"/>
          <w:szCs w:val="24"/>
        </w:rPr>
        <w:t>Ivacaftor i et kombinationsregime med tezacaftor/ivacaftor</w:t>
      </w:r>
    </w:p>
    <w:p w14:paraId="5A4E76B9" w14:textId="77777777" w:rsidR="00D41138" w:rsidRPr="002748AE" w:rsidRDefault="00D41138" w:rsidP="00F526B8">
      <w:pPr>
        <w:ind w:left="851"/>
        <w:rPr>
          <w:sz w:val="24"/>
          <w:szCs w:val="24"/>
        </w:rPr>
      </w:pPr>
      <w:r w:rsidRPr="002748AE">
        <w:rPr>
          <w:sz w:val="24"/>
          <w:szCs w:val="24"/>
        </w:rPr>
        <w:t xml:space="preserve">Sikkerheden af tezacaftor/ivacaftor i kombination med ivacaftor blev evalueret for 124 patienter i alderen 6 til under 12 år. Dosen tezacaftor 100 mg/ivacaftor 150 mg og ivacaftor 150 mg er ikke blevet undersøgt i kliniske studier hos børn i alderen 6 til under 12 år, der vejer 30 til &lt; 40 kg. Sikkerhedsprofilen er generelt ensartet blandt børn og unge og svarer endvidere til voksne patienter. </w:t>
      </w:r>
    </w:p>
    <w:p w14:paraId="0F2D6CA1" w14:textId="77777777" w:rsidR="00D41138" w:rsidRPr="002748AE" w:rsidRDefault="00D41138" w:rsidP="00F526B8">
      <w:pPr>
        <w:ind w:left="851"/>
        <w:rPr>
          <w:sz w:val="24"/>
          <w:szCs w:val="24"/>
        </w:rPr>
      </w:pPr>
      <w:r w:rsidRPr="002748AE">
        <w:rPr>
          <w:i/>
          <w:sz w:val="24"/>
          <w:szCs w:val="24"/>
        </w:rPr>
        <w:t xml:space="preserve"> </w:t>
      </w:r>
    </w:p>
    <w:p w14:paraId="5CAD12A9" w14:textId="77777777" w:rsidR="00D41138" w:rsidRPr="002748AE" w:rsidRDefault="00D41138" w:rsidP="00F526B8">
      <w:pPr>
        <w:ind w:left="851"/>
        <w:rPr>
          <w:sz w:val="24"/>
          <w:szCs w:val="24"/>
        </w:rPr>
      </w:pPr>
      <w:r w:rsidRPr="002748AE">
        <w:rPr>
          <w:sz w:val="24"/>
          <w:szCs w:val="24"/>
        </w:rPr>
        <w:t xml:space="preserve">Under det 24 uger lange åbne fase 3-studie med patienter i alderen 6 til under 12 år (studie 661-113, del B, n = 70) var forekomsten af maksimal aminotransferase (ALAT eller ASAT) &gt; 8, &gt; 5 og &gt; 3 × ULN henholdsvis 1,4 %, 4,3 % og 10,0 %. Ingen af de patienter, der blev behandlet med tezacaftor/ivacaftor, havde aminotransferaseforhøjelser &gt; 3 × ULN i tilknytning til forhøjet total bilirubin &gt; 2 × ULN eller fik tezacaftor/ivacaftor-behandlingen seponeret på grund af aminotransferaseforhøjelser. Én patient afbrød behandlingen på grund af aminotransferaseforhøjelser og genoptog efterfølgende tezacaftor/ivacaftor-behandlingen med succes (se pkt. 4.4 for behandling af aminotransferaseforhøjelser). </w:t>
      </w:r>
    </w:p>
    <w:p w14:paraId="76B1C3BE" w14:textId="77777777" w:rsidR="00D41138" w:rsidRPr="002748AE" w:rsidRDefault="00D41138" w:rsidP="00F526B8">
      <w:pPr>
        <w:ind w:left="851"/>
        <w:rPr>
          <w:sz w:val="24"/>
          <w:szCs w:val="24"/>
        </w:rPr>
      </w:pPr>
      <w:r w:rsidRPr="002748AE">
        <w:rPr>
          <w:sz w:val="24"/>
          <w:szCs w:val="24"/>
        </w:rPr>
        <w:t xml:space="preserve"> </w:t>
      </w:r>
    </w:p>
    <w:p w14:paraId="1CAF54E0" w14:textId="77777777" w:rsidR="00D41138" w:rsidRPr="002748AE" w:rsidRDefault="00D41138" w:rsidP="00F526B8">
      <w:pPr>
        <w:ind w:left="851"/>
        <w:rPr>
          <w:sz w:val="24"/>
          <w:szCs w:val="24"/>
        </w:rPr>
      </w:pPr>
      <w:r w:rsidRPr="002748AE">
        <w:rPr>
          <w:i/>
          <w:sz w:val="24"/>
          <w:szCs w:val="24"/>
        </w:rPr>
        <w:t>Ivacaftor i et kombinationsregime med ivacaftor/tezacaftor/elexacaftor</w:t>
      </w:r>
    </w:p>
    <w:p w14:paraId="0D57CACD" w14:textId="77777777" w:rsidR="00D41138" w:rsidRPr="002748AE" w:rsidRDefault="00D41138" w:rsidP="00F526B8">
      <w:pPr>
        <w:ind w:left="851"/>
        <w:rPr>
          <w:sz w:val="24"/>
          <w:szCs w:val="24"/>
        </w:rPr>
      </w:pPr>
      <w:r w:rsidRPr="002748AE">
        <w:rPr>
          <w:sz w:val="24"/>
          <w:szCs w:val="24"/>
        </w:rPr>
        <w:t xml:space="preserve">Sikkerhedsdataene for ivacaftor/tezacaftor/elexacaftor i kombination med ivacaftor i studie 445-102, 445-103, 445-104, 445-106, 445-111 og 445-124 er blevet evalueret hos 272 patienter i alderen 2 til under 18 år. Sikkerhedsprofilen er generelt ensartet blandt pædiatriske og voksne patienter. </w:t>
      </w:r>
    </w:p>
    <w:p w14:paraId="7C0BE180" w14:textId="77777777" w:rsidR="00D41138" w:rsidRPr="002748AE" w:rsidRDefault="00D41138" w:rsidP="00F526B8">
      <w:pPr>
        <w:ind w:left="851"/>
        <w:rPr>
          <w:sz w:val="24"/>
          <w:szCs w:val="24"/>
        </w:rPr>
      </w:pPr>
      <w:r w:rsidRPr="002748AE">
        <w:rPr>
          <w:sz w:val="24"/>
          <w:szCs w:val="24"/>
        </w:rPr>
        <w:t xml:space="preserve"> </w:t>
      </w:r>
    </w:p>
    <w:p w14:paraId="6ED6F331" w14:textId="50A74B80" w:rsidR="00D41138" w:rsidRPr="002748AE" w:rsidRDefault="00D41138" w:rsidP="00F526B8">
      <w:pPr>
        <w:ind w:left="851"/>
        <w:rPr>
          <w:sz w:val="24"/>
          <w:szCs w:val="24"/>
        </w:rPr>
      </w:pPr>
      <w:r w:rsidRPr="002748AE">
        <w:rPr>
          <w:sz w:val="24"/>
          <w:szCs w:val="24"/>
        </w:rPr>
        <w:t>Under studie 445-106 med patienter i alderen 6 til under 12 år var forekomsten af maksimal aminotransferase (ALAT eller ASAT) &gt; 8, &gt; 5 og &gt; 3 × ULN henholdsvis 0,0 %, 1,5 % og 10,6 %. Ingen af de patienter, der blev behandlet med ivacaftor/tezacaftor/elexa</w:t>
      </w:r>
      <w:r w:rsidR="00337216">
        <w:rPr>
          <w:sz w:val="24"/>
          <w:szCs w:val="24"/>
        </w:rPr>
        <w:softHyphen/>
      </w:r>
      <w:r w:rsidRPr="002748AE">
        <w:rPr>
          <w:sz w:val="24"/>
          <w:szCs w:val="24"/>
        </w:rPr>
        <w:t>caftor, havde aminotransferaseforhøjelser &gt; 3 × ULN i tilknytning til forhøjet total bilirubin &gt; 2 × ULN eller fik behandlingen seponeret på grund af aminotransferase</w:t>
      </w:r>
      <w:r w:rsidR="00337216">
        <w:rPr>
          <w:sz w:val="24"/>
          <w:szCs w:val="24"/>
        </w:rPr>
        <w:softHyphen/>
      </w:r>
      <w:r w:rsidRPr="002748AE">
        <w:rPr>
          <w:sz w:val="24"/>
          <w:szCs w:val="24"/>
        </w:rPr>
        <w:t xml:space="preserve">forhøjelser (se pkt. 4.4). </w:t>
      </w:r>
    </w:p>
    <w:p w14:paraId="473C9D34" w14:textId="77777777" w:rsidR="00D41138" w:rsidRPr="002748AE" w:rsidRDefault="00D41138" w:rsidP="00F526B8">
      <w:pPr>
        <w:ind w:left="851"/>
        <w:rPr>
          <w:sz w:val="24"/>
          <w:szCs w:val="24"/>
        </w:rPr>
      </w:pPr>
      <w:r w:rsidRPr="002748AE">
        <w:rPr>
          <w:sz w:val="24"/>
          <w:szCs w:val="24"/>
        </w:rPr>
        <w:t xml:space="preserve"> </w:t>
      </w:r>
    </w:p>
    <w:p w14:paraId="7B67BE36" w14:textId="77777777" w:rsidR="00D41138" w:rsidRPr="002748AE" w:rsidRDefault="00D41138" w:rsidP="00F526B8">
      <w:pPr>
        <w:ind w:left="851"/>
        <w:rPr>
          <w:sz w:val="24"/>
          <w:szCs w:val="24"/>
        </w:rPr>
      </w:pPr>
      <w:r w:rsidRPr="002748AE">
        <w:rPr>
          <w:sz w:val="24"/>
          <w:szCs w:val="24"/>
        </w:rPr>
        <w:t>Under studie 445-111 med patienter i alderen 2 til under 6 år var forekomsten af maksimal aminotransferase (ALAT eller ASAT) &gt; 8, &gt; 5 og &gt; 3 × ULN henholdsvis 1,3 %, 2,7 % og 8,0 %.</w:t>
      </w:r>
    </w:p>
    <w:p w14:paraId="55F91427" w14:textId="77777777" w:rsidR="00D41138" w:rsidRPr="002748AE" w:rsidRDefault="00D41138" w:rsidP="00F526B8">
      <w:pPr>
        <w:ind w:left="851"/>
        <w:rPr>
          <w:sz w:val="24"/>
          <w:szCs w:val="24"/>
        </w:rPr>
      </w:pPr>
      <w:r w:rsidRPr="002748AE">
        <w:rPr>
          <w:sz w:val="24"/>
          <w:szCs w:val="24"/>
        </w:rPr>
        <w:lastRenderedPageBreak/>
        <w:t xml:space="preserve">Ingen af de patienter, der blev behandlet med ivacaftor/tezacaftor/elexacaftor, havde aminotransferaseforhøjelser &gt; 3 × ULN i tilknytning til forhøjet total bilirubin &gt; 2 × ULN eller fik behandlingen seponeret på grund af aminotransferaseforhøjelser (se pkt. 4.4). </w:t>
      </w:r>
    </w:p>
    <w:p w14:paraId="4F8703CB" w14:textId="77777777" w:rsidR="00D41138" w:rsidRPr="002748AE" w:rsidRDefault="00D41138" w:rsidP="00F526B8">
      <w:pPr>
        <w:ind w:left="851"/>
        <w:rPr>
          <w:sz w:val="24"/>
          <w:szCs w:val="24"/>
        </w:rPr>
      </w:pPr>
      <w:r w:rsidRPr="002748AE">
        <w:rPr>
          <w:sz w:val="24"/>
          <w:szCs w:val="24"/>
        </w:rPr>
        <w:t xml:space="preserve"> </w:t>
      </w:r>
    </w:p>
    <w:p w14:paraId="09A9649B" w14:textId="77777777" w:rsidR="00D41138" w:rsidRPr="002748AE" w:rsidRDefault="00D41138" w:rsidP="00F526B8">
      <w:pPr>
        <w:ind w:left="851"/>
        <w:rPr>
          <w:sz w:val="24"/>
          <w:szCs w:val="24"/>
        </w:rPr>
      </w:pPr>
      <w:r w:rsidRPr="002748AE">
        <w:rPr>
          <w:i/>
          <w:sz w:val="24"/>
          <w:szCs w:val="24"/>
        </w:rPr>
        <w:t xml:space="preserve">Udslæt </w:t>
      </w:r>
    </w:p>
    <w:p w14:paraId="42854A54" w14:textId="77777777" w:rsidR="00D41138" w:rsidRPr="002748AE" w:rsidRDefault="00D41138" w:rsidP="00F526B8">
      <w:pPr>
        <w:ind w:left="851"/>
        <w:rPr>
          <w:sz w:val="24"/>
          <w:szCs w:val="24"/>
        </w:rPr>
      </w:pPr>
      <w:r w:rsidRPr="002748AE">
        <w:rPr>
          <w:sz w:val="24"/>
          <w:szCs w:val="24"/>
        </w:rPr>
        <w:t xml:space="preserve">Under studie 445-111 med patienter i alderen 2 til under 6 år forekom der mindst 1 udslætshændelse hos 15 (20,0 %) af personerne, 4 (9,8 %) kvindelige og 11 (32,4 %) mandlige. </w:t>
      </w:r>
    </w:p>
    <w:p w14:paraId="0E813EF4" w14:textId="77777777" w:rsidR="00D41138" w:rsidRPr="002748AE" w:rsidRDefault="00D41138" w:rsidP="00F526B8">
      <w:pPr>
        <w:ind w:left="851"/>
        <w:rPr>
          <w:sz w:val="24"/>
          <w:szCs w:val="24"/>
        </w:rPr>
      </w:pPr>
      <w:r w:rsidRPr="002748AE">
        <w:rPr>
          <w:sz w:val="24"/>
          <w:szCs w:val="24"/>
        </w:rPr>
        <w:t xml:space="preserve"> </w:t>
      </w:r>
    </w:p>
    <w:p w14:paraId="0F58C03B" w14:textId="77777777" w:rsidR="00D41138" w:rsidRPr="002748AE" w:rsidRDefault="00D41138" w:rsidP="00F526B8">
      <w:pPr>
        <w:ind w:left="851"/>
        <w:rPr>
          <w:sz w:val="24"/>
          <w:szCs w:val="24"/>
        </w:rPr>
      </w:pPr>
      <w:r w:rsidRPr="002748AE">
        <w:rPr>
          <w:i/>
          <w:sz w:val="24"/>
          <w:szCs w:val="24"/>
        </w:rPr>
        <w:t>Linseopacitet</w:t>
      </w:r>
    </w:p>
    <w:p w14:paraId="5AD343A4" w14:textId="77777777" w:rsidR="00D41138" w:rsidRPr="002748AE" w:rsidRDefault="00D41138" w:rsidP="00F526B8">
      <w:pPr>
        <w:ind w:left="851"/>
        <w:rPr>
          <w:sz w:val="24"/>
          <w:szCs w:val="24"/>
        </w:rPr>
      </w:pPr>
      <w:r w:rsidRPr="002748AE">
        <w:rPr>
          <w:sz w:val="24"/>
          <w:szCs w:val="24"/>
        </w:rPr>
        <w:t xml:space="preserve">Én patient havde en uønsket hændelse med linseopacitet. </w:t>
      </w:r>
    </w:p>
    <w:p w14:paraId="75D6CADC" w14:textId="77777777" w:rsidR="00D41138" w:rsidRPr="002748AE" w:rsidRDefault="00D41138" w:rsidP="00F526B8">
      <w:pPr>
        <w:ind w:left="851"/>
        <w:rPr>
          <w:sz w:val="24"/>
          <w:szCs w:val="24"/>
        </w:rPr>
      </w:pPr>
      <w:r w:rsidRPr="002748AE">
        <w:rPr>
          <w:sz w:val="24"/>
          <w:szCs w:val="24"/>
        </w:rPr>
        <w:t xml:space="preserve"> </w:t>
      </w:r>
    </w:p>
    <w:p w14:paraId="4C31436C" w14:textId="77777777" w:rsidR="00D41138" w:rsidRPr="002748AE" w:rsidRDefault="00D41138" w:rsidP="00F526B8">
      <w:pPr>
        <w:ind w:left="851"/>
        <w:rPr>
          <w:sz w:val="24"/>
          <w:szCs w:val="24"/>
        </w:rPr>
      </w:pPr>
      <w:r w:rsidRPr="002748AE">
        <w:rPr>
          <w:sz w:val="24"/>
          <w:szCs w:val="24"/>
          <w:u w:val="single"/>
        </w:rPr>
        <w:t>Indberetning af formodede bivirkninger</w:t>
      </w:r>
    </w:p>
    <w:p w14:paraId="70A69B20" w14:textId="77777777" w:rsidR="00D41138" w:rsidRPr="002748AE" w:rsidRDefault="00D41138" w:rsidP="00F526B8">
      <w:pPr>
        <w:ind w:left="851"/>
        <w:rPr>
          <w:noProof/>
          <w:sz w:val="24"/>
          <w:szCs w:val="24"/>
        </w:rPr>
      </w:pPr>
      <w:r w:rsidRPr="002748AE">
        <w:rPr>
          <w:noProof/>
          <w:sz w:val="24"/>
          <w:szCs w:val="24"/>
        </w:rPr>
        <w:t>Når lægemidlet er godkendt, er indberetning af formodede bivirkninger vigtig.</w:t>
      </w:r>
      <w:r w:rsidRPr="002748AE">
        <w:rPr>
          <w:sz w:val="24"/>
          <w:szCs w:val="24"/>
        </w:rPr>
        <w:t xml:space="preserve"> </w:t>
      </w:r>
      <w:r w:rsidRPr="002748AE">
        <w:rPr>
          <w:noProof/>
          <w:sz w:val="24"/>
          <w:szCs w:val="24"/>
        </w:rPr>
        <w:t>Det muliggør løbende overvågning af benefit/risk-forholdet for lægemidlet.</w:t>
      </w:r>
      <w:r w:rsidRPr="002748AE">
        <w:rPr>
          <w:sz w:val="24"/>
          <w:szCs w:val="24"/>
        </w:rPr>
        <w:t xml:space="preserve"> </w:t>
      </w:r>
      <w:r w:rsidRPr="002748AE">
        <w:rPr>
          <w:noProof/>
          <w:sz w:val="24"/>
          <w:szCs w:val="24"/>
        </w:rPr>
        <w:t>Sundhedspersoner anmodes om at indberette alle formodede bivirkninger via:</w:t>
      </w:r>
    </w:p>
    <w:p w14:paraId="429A10C9" w14:textId="77777777" w:rsidR="00D41138" w:rsidRPr="002748AE" w:rsidRDefault="00D41138" w:rsidP="00F526B8">
      <w:pPr>
        <w:ind w:left="851"/>
        <w:rPr>
          <w:sz w:val="24"/>
          <w:szCs w:val="24"/>
        </w:rPr>
      </w:pPr>
    </w:p>
    <w:p w14:paraId="2B82DA18" w14:textId="77777777" w:rsidR="00D41138" w:rsidRPr="002748AE" w:rsidRDefault="00D41138" w:rsidP="00F526B8">
      <w:pPr>
        <w:ind w:left="851"/>
        <w:rPr>
          <w:sz w:val="24"/>
          <w:szCs w:val="24"/>
        </w:rPr>
      </w:pPr>
      <w:r w:rsidRPr="002748AE">
        <w:rPr>
          <w:sz w:val="24"/>
          <w:szCs w:val="24"/>
        </w:rPr>
        <w:t>Lægemiddelstyrelsen</w:t>
      </w:r>
      <w:r w:rsidRPr="002748AE">
        <w:rPr>
          <w:sz w:val="24"/>
          <w:szCs w:val="24"/>
        </w:rPr>
        <w:br/>
        <w:t>Axel Heides Gade 1</w:t>
      </w:r>
      <w:r w:rsidRPr="002748AE">
        <w:rPr>
          <w:sz w:val="24"/>
          <w:szCs w:val="24"/>
        </w:rPr>
        <w:br/>
        <w:t>DK-2300 København S</w:t>
      </w:r>
      <w:r w:rsidRPr="002748AE">
        <w:rPr>
          <w:sz w:val="24"/>
          <w:szCs w:val="24"/>
        </w:rPr>
        <w:br/>
        <w:t>Websted: </w:t>
      </w:r>
      <w:hyperlink r:id="rId8" w:history="1">
        <w:r w:rsidRPr="002748AE">
          <w:rPr>
            <w:rStyle w:val="Hyperlink"/>
            <w:sz w:val="24"/>
            <w:szCs w:val="24"/>
          </w:rPr>
          <w:t>www.meldenbivirkning.dk</w:t>
        </w:r>
      </w:hyperlink>
    </w:p>
    <w:p w14:paraId="15AD7A1C" w14:textId="77777777" w:rsidR="009260DE" w:rsidRPr="002748AE" w:rsidRDefault="009260DE" w:rsidP="00A10294">
      <w:pPr>
        <w:tabs>
          <w:tab w:val="left" w:pos="851"/>
        </w:tabs>
        <w:ind w:left="851"/>
        <w:rPr>
          <w:sz w:val="24"/>
          <w:szCs w:val="24"/>
        </w:rPr>
      </w:pPr>
    </w:p>
    <w:p w14:paraId="3B325372" w14:textId="77777777" w:rsidR="009260DE" w:rsidRPr="002748AE" w:rsidRDefault="009260DE" w:rsidP="009260DE">
      <w:pPr>
        <w:tabs>
          <w:tab w:val="left" w:pos="851"/>
        </w:tabs>
        <w:ind w:left="851" w:hanging="851"/>
        <w:rPr>
          <w:b/>
          <w:sz w:val="24"/>
          <w:szCs w:val="24"/>
        </w:rPr>
      </w:pPr>
      <w:r w:rsidRPr="002748AE">
        <w:rPr>
          <w:b/>
          <w:sz w:val="24"/>
          <w:szCs w:val="24"/>
        </w:rPr>
        <w:t>4.9</w:t>
      </w:r>
      <w:r w:rsidRPr="002748AE">
        <w:rPr>
          <w:b/>
          <w:sz w:val="24"/>
          <w:szCs w:val="24"/>
        </w:rPr>
        <w:tab/>
        <w:t>Overdosering</w:t>
      </w:r>
    </w:p>
    <w:p w14:paraId="0E307D30" w14:textId="77777777" w:rsidR="00D41138" w:rsidRPr="002748AE" w:rsidRDefault="00D41138" w:rsidP="00F526B8">
      <w:pPr>
        <w:ind w:left="851"/>
        <w:rPr>
          <w:sz w:val="24"/>
          <w:szCs w:val="24"/>
          <w:lang w:eastAsia="da-DK"/>
        </w:rPr>
      </w:pPr>
      <w:r w:rsidRPr="002748AE">
        <w:rPr>
          <w:sz w:val="24"/>
          <w:szCs w:val="24"/>
        </w:rPr>
        <w:t xml:space="preserve">Der findes ingen specifik antidot for en overdosis af ivacaftor. Behandling af en overdosis består af generel støttebehandling, herunder monitorering af vitale tegn, leverfunktionsprøver og observation af patientens kliniske status. </w:t>
      </w:r>
    </w:p>
    <w:p w14:paraId="763D41A5" w14:textId="77777777" w:rsidR="009260DE" w:rsidRPr="002748AE" w:rsidRDefault="009260DE" w:rsidP="009260DE">
      <w:pPr>
        <w:tabs>
          <w:tab w:val="left" w:pos="851"/>
        </w:tabs>
        <w:ind w:left="851"/>
        <w:rPr>
          <w:sz w:val="24"/>
          <w:szCs w:val="24"/>
        </w:rPr>
      </w:pPr>
    </w:p>
    <w:p w14:paraId="270C3D12" w14:textId="77777777" w:rsidR="009260DE" w:rsidRPr="002748AE" w:rsidRDefault="009260DE" w:rsidP="009260DE">
      <w:pPr>
        <w:tabs>
          <w:tab w:val="left" w:pos="851"/>
        </w:tabs>
        <w:ind w:left="851" w:hanging="851"/>
        <w:rPr>
          <w:b/>
          <w:sz w:val="24"/>
          <w:szCs w:val="24"/>
        </w:rPr>
      </w:pPr>
      <w:r w:rsidRPr="002748AE">
        <w:rPr>
          <w:b/>
          <w:sz w:val="24"/>
          <w:szCs w:val="24"/>
        </w:rPr>
        <w:t>4.10</w:t>
      </w:r>
      <w:r w:rsidRPr="002748AE">
        <w:rPr>
          <w:b/>
          <w:sz w:val="24"/>
          <w:szCs w:val="24"/>
        </w:rPr>
        <w:tab/>
        <w:t>Udlevering</w:t>
      </w:r>
    </w:p>
    <w:p w14:paraId="1B8FA532" w14:textId="5022AEAC" w:rsidR="009260DE" w:rsidRPr="002748AE" w:rsidRDefault="00D41138" w:rsidP="009260DE">
      <w:pPr>
        <w:tabs>
          <w:tab w:val="left" w:pos="851"/>
        </w:tabs>
        <w:ind w:left="851"/>
        <w:rPr>
          <w:sz w:val="24"/>
          <w:szCs w:val="24"/>
        </w:rPr>
      </w:pPr>
      <w:r w:rsidRPr="002748AE">
        <w:rPr>
          <w:sz w:val="24"/>
          <w:szCs w:val="24"/>
        </w:rPr>
        <w:t>BEGR (kun til sygehuse)</w:t>
      </w:r>
    </w:p>
    <w:p w14:paraId="70C137D8" w14:textId="77777777" w:rsidR="009260DE" w:rsidRPr="002748AE" w:rsidRDefault="009260DE" w:rsidP="009260DE">
      <w:pPr>
        <w:tabs>
          <w:tab w:val="left" w:pos="851"/>
        </w:tabs>
        <w:ind w:left="851"/>
        <w:rPr>
          <w:sz w:val="24"/>
          <w:szCs w:val="24"/>
        </w:rPr>
      </w:pPr>
    </w:p>
    <w:p w14:paraId="3F883AA7" w14:textId="77777777" w:rsidR="009260DE" w:rsidRPr="002748AE" w:rsidRDefault="009260DE" w:rsidP="009260DE">
      <w:pPr>
        <w:tabs>
          <w:tab w:val="left" w:pos="851"/>
        </w:tabs>
        <w:ind w:left="851"/>
        <w:rPr>
          <w:sz w:val="24"/>
          <w:szCs w:val="24"/>
        </w:rPr>
      </w:pPr>
    </w:p>
    <w:p w14:paraId="683EE2C5" w14:textId="77777777" w:rsidR="009260DE" w:rsidRPr="002748AE" w:rsidRDefault="009260DE" w:rsidP="009260DE">
      <w:pPr>
        <w:tabs>
          <w:tab w:val="left" w:pos="851"/>
        </w:tabs>
        <w:ind w:left="851" w:hanging="851"/>
        <w:rPr>
          <w:b/>
          <w:sz w:val="24"/>
          <w:szCs w:val="24"/>
        </w:rPr>
      </w:pPr>
      <w:r w:rsidRPr="002748AE">
        <w:rPr>
          <w:b/>
          <w:sz w:val="24"/>
          <w:szCs w:val="24"/>
        </w:rPr>
        <w:t>5.</w:t>
      </w:r>
      <w:r w:rsidRPr="002748AE">
        <w:rPr>
          <w:b/>
          <w:sz w:val="24"/>
          <w:szCs w:val="24"/>
        </w:rPr>
        <w:tab/>
        <w:t>FARMAKOLOGISKE EGENSKABER</w:t>
      </w:r>
    </w:p>
    <w:p w14:paraId="4F8E920E" w14:textId="77777777" w:rsidR="009260DE" w:rsidRPr="002748AE" w:rsidRDefault="009260DE" w:rsidP="009260DE">
      <w:pPr>
        <w:tabs>
          <w:tab w:val="left" w:pos="851"/>
        </w:tabs>
        <w:ind w:left="851"/>
        <w:rPr>
          <w:sz w:val="24"/>
          <w:szCs w:val="24"/>
        </w:rPr>
      </w:pPr>
    </w:p>
    <w:p w14:paraId="2B8611E8" w14:textId="77777777" w:rsidR="009260DE" w:rsidRPr="002748AE" w:rsidRDefault="009260DE" w:rsidP="009260DE">
      <w:pPr>
        <w:tabs>
          <w:tab w:val="num" w:pos="851"/>
        </w:tabs>
        <w:ind w:left="851" w:hanging="851"/>
        <w:rPr>
          <w:b/>
          <w:sz w:val="24"/>
          <w:szCs w:val="24"/>
        </w:rPr>
      </w:pPr>
      <w:r w:rsidRPr="002748AE">
        <w:rPr>
          <w:b/>
          <w:sz w:val="24"/>
          <w:szCs w:val="24"/>
        </w:rPr>
        <w:t>5.1</w:t>
      </w:r>
      <w:r w:rsidRPr="002748AE">
        <w:rPr>
          <w:b/>
          <w:sz w:val="24"/>
          <w:szCs w:val="24"/>
        </w:rPr>
        <w:tab/>
        <w:t>Farmakodynamiske egenskaber</w:t>
      </w:r>
    </w:p>
    <w:p w14:paraId="79B0AA8D" w14:textId="77777777" w:rsidR="00D41138" w:rsidRPr="002748AE" w:rsidRDefault="00D41138" w:rsidP="00F526B8">
      <w:pPr>
        <w:ind w:left="851"/>
        <w:rPr>
          <w:sz w:val="24"/>
          <w:szCs w:val="24"/>
          <w:lang w:eastAsia="da-DK"/>
        </w:rPr>
      </w:pPr>
      <w:r w:rsidRPr="002748AE">
        <w:rPr>
          <w:sz w:val="24"/>
          <w:szCs w:val="24"/>
        </w:rPr>
        <w:t xml:space="preserve">Farmakoterapeutisk klassifikation: Andre midler med virkning på respirationssystemet, </w:t>
      </w:r>
      <w:r w:rsidRPr="002748AE">
        <w:rPr>
          <w:sz w:val="24"/>
          <w:szCs w:val="24"/>
        </w:rPr>
        <w:br/>
        <w:t xml:space="preserve">ATC-kode: R07AX02 </w:t>
      </w:r>
    </w:p>
    <w:p w14:paraId="098BDBB6" w14:textId="77777777" w:rsidR="00D41138" w:rsidRPr="002748AE" w:rsidRDefault="00D41138" w:rsidP="00F526B8">
      <w:pPr>
        <w:ind w:left="851"/>
        <w:rPr>
          <w:sz w:val="24"/>
          <w:szCs w:val="24"/>
        </w:rPr>
      </w:pPr>
      <w:r w:rsidRPr="002748AE">
        <w:rPr>
          <w:i/>
          <w:sz w:val="24"/>
          <w:szCs w:val="24"/>
        </w:rPr>
        <w:t xml:space="preserve"> </w:t>
      </w:r>
    </w:p>
    <w:p w14:paraId="55788B97" w14:textId="77777777" w:rsidR="00D41138" w:rsidRPr="002748AE" w:rsidRDefault="00D41138" w:rsidP="00F526B8">
      <w:pPr>
        <w:ind w:left="851"/>
        <w:rPr>
          <w:sz w:val="24"/>
          <w:szCs w:val="24"/>
        </w:rPr>
      </w:pPr>
      <w:r w:rsidRPr="002748AE">
        <w:rPr>
          <w:sz w:val="24"/>
          <w:szCs w:val="24"/>
          <w:u w:val="single"/>
        </w:rPr>
        <w:t>Virkningsmekanisme</w:t>
      </w:r>
      <w:r w:rsidRPr="002748AE">
        <w:rPr>
          <w:sz w:val="24"/>
          <w:szCs w:val="24"/>
        </w:rPr>
        <w:t xml:space="preserve"> </w:t>
      </w:r>
    </w:p>
    <w:p w14:paraId="0C8FFBB9" w14:textId="77777777" w:rsidR="00D41138" w:rsidRPr="002748AE" w:rsidRDefault="00D41138" w:rsidP="00F526B8">
      <w:pPr>
        <w:ind w:left="851"/>
        <w:rPr>
          <w:sz w:val="24"/>
          <w:szCs w:val="24"/>
        </w:rPr>
      </w:pPr>
      <w:r w:rsidRPr="002748AE">
        <w:rPr>
          <w:i/>
          <w:sz w:val="24"/>
          <w:szCs w:val="24"/>
        </w:rPr>
        <w:t xml:space="preserve"> </w:t>
      </w:r>
    </w:p>
    <w:p w14:paraId="0AB88FD9" w14:textId="77777777" w:rsidR="00D41138" w:rsidRPr="002748AE" w:rsidRDefault="00D41138" w:rsidP="00F526B8">
      <w:pPr>
        <w:ind w:left="851"/>
        <w:rPr>
          <w:sz w:val="24"/>
          <w:szCs w:val="24"/>
        </w:rPr>
      </w:pPr>
      <w:r w:rsidRPr="002748AE">
        <w:rPr>
          <w:i/>
          <w:sz w:val="24"/>
          <w:szCs w:val="24"/>
        </w:rPr>
        <w:t>Ivacaftor som monoterapi</w:t>
      </w:r>
    </w:p>
    <w:p w14:paraId="65732EAD" w14:textId="77777777" w:rsidR="00D41138" w:rsidRPr="002748AE" w:rsidRDefault="00D41138" w:rsidP="00F526B8">
      <w:pPr>
        <w:ind w:left="851"/>
        <w:rPr>
          <w:sz w:val="24"/>
          <w:szCs w:val="24"/>
        </w:rPr>
      </w:pPr>
      <w:r w:rsidRPr="002748AE">
        <w:rPr>
          <w:sz w:val="24"/>
          <w:szCs w:val="24"/>
        </w:rPr>
        <w:t xml:space="preserve">Ivacaftor er en potentiator for CFTR-proteinet, dvs. at ivacaftor </w:t>
      </w:r>
      <w:r w:rsidRPr="002748AE">
        <w:rPr>
          <w:i/>
          <w:sz w:val="24"/>
          <w:szCs w:val="24"/>
        </w:rPr>
        <w:t>in vitro</w:t>
      </w:r>
      <w:r w:rsidRPr="002748AE">
        <w:rPr>
          <w:sz w:val="24"/>
          <w:szCs w:val="24"/>
        </w:rPr>
        <w:t xml:space="preserve"> øger </w:t>
      </w:r>
      <w:r w:rsidRPr="002748AE">
        <w:rPr>
          <w:i/>
          <w:sz w:val="24"/>
          <w:szCs w:val="24"/>
        </w:rPr>
        <w:t>gating</w:t>
      </w:r>
      <w:r w:rsidRPr="002748AE">
        <w:rPr>
          <w:sz w:val="24"/>
          <w:szCs w:val="24"/>
        </w:rPr>
        <w:t xml:space="preserve">-aktiviteten i CFTR-kanalen, så chloridtransporten øges, ved specificerede </w:t>
      </w:r>
      <w:r w:rsidRPr="002748AE">
        <w:rPr>
          <w:i/>
          <w:sz w:val="24"/>
          <w:szCs w:val="24"/>
        </w:rPr>
        <w:t>gating</w:t>
      </w:r>
      <w:r w:rsidRPr="002748AE">
        <w:rPr>
          <w:sz w:val="24"/>
          <w:szCs w:val="24"/>
        </w:rPr>
        <w:t>-mutationer (som anført i pkt. 4.1) med nedsat sandsynlighed for åbning af kanalen (</w:t>
      </w:r>
      <w:r w:rsidRPr="002748AE">
        <w:rPr>
          <w:i/>
          <w:sz w:val="24"/>
          <w:szCs w:val="24"/>
        </w:rPr>
        <w:t>gating</w:t>
      </w:r>
      <w:r w:rsidRPr="002748AE">
        <w:rPr>
          <w:sz w:val="24"/>
          <w:szCs w:val="24"/>
        </w:rPr>
        <w:t xml:space="preserve">) sammenlignet med normal CFTR. Ivacaftor potenserede desuden sandsynligheden for åbning af kanalen ved </w:t>
      </w:r>
      <w:r w:rsidRPr="002748AE">
        <w:rPr>
          <w:i/>
          <w:sz w:val="24"/>
          <w:szCs w:val="24"/>
        </w:rPr>
        <w:t>R177H-CFTR</w:t>
      </w:r>
      <w:r w:rsidRPr="002748AE">
        <w:rPr>
          <w:sz w:val="24"/>
          <w:szCs w:val="24"/>
        </w:rPr>
        <w:t xml:space="preserve">, som både medfører lav sandsynlighed for åbning af kanalen og nedsat strømamplitude (ledeevne) i kanalen. </w:t>
      </w:r>
      <w:r w:rsidRPr="002748AE">
        <w:rPr>
          <w:i/>
          <w:sz w:val="24"/>
          <w:szCs w:val="24"/>
        </w:rPr>
        <w:t>G970R-</w:t>
      </w:r>
      <w:r w:rsidRPr="002748AE">
        <w:rPr>
          <w:sz w:val="24"/>
          <w:szCs w:val="24"/>
        </w:rPr>
        <w:t xml:space="preserve">mutationen forårsager en </w:t>
      </w:r>
      <w:r w:rsidRPr="002748AE">
        <w:rPr>
          <w:i/>
          <w:sz w:val="24"/>
          <w:szCs w:val="24"/>
        </w:rPr>
        <w:t>splicing</w:t>
      </w:r>
      <w:r w:rsidRPr="002748AE">
        <w:rPr>
          <w:sz w:val="24"/>
          <w:szCs w:val="24"/>
        </w:rPr>
        <w:t xml:space="preserve">-defekt, der fører til kun lidt eller intet CFTR-protein på celleoverfladen, hvilket kan forklare de observerede resultater hos personer med denne mutation i studie 770-111 (se Farmakodynamisk virkning og Klinisk virkning og sikkerhed). </w:t>
      </w:r>
    </w:p>
    <w:p w14:paraId="0ED2A18E" w14:textId="77777777" w:rsidR="00D41138" w:rsidRPr="002748AE" w:rsidRDefault="00D41138" w:rsidP="00F526B8">
      <w:pPr>
        <w:ind w:left="851"/>
        <w:rPr>
          <w:sz w:val="24"/>
          <w:szCs w:val="24"/>
        </w:rPr>
      </w:pPr>
      <w:r w:rsidRPr="002748AE">
        <w:rPr>
          <w:sz w:val="24"/>
          <w:szCs w:val="24"/>
        </w:rPr>
        <w:t xml:space="preserve"> </w:t>
      </w:r>
    </w:p>
    <w:p w14:paraId="418C7DFB" w14:textId="77777777" w:rsidR="00D41138" w:rsidRPr="002748AE" w:rsidRDefault="00D41138" w:rsidP="00F526B8">
      <w:pPr>
        <w:ind w:left="851"/>
        <w:rPr>
          <w:sz w:val="24"/>
          <w:szCs w:val="24"/>
        </w:rPr>
      </w:pPr>
      <w:r w:rsidRPr="002748AE">
        <w:rPr>
          <w:i/>
          <w:sz w:val="24"/>
          <w:szCs w:val="24"/>
        </w:rPr>
        <w:lastRenderedPageBreak/>
        <w:t>In vitro</w:t>
      </w:r>
      <w:r w:rsidRPr="002748AE">
        <w:rPr>
          <w:sz w:val="24"/>
          <w:szCs w:val="24"/>
        </w:rPr>
        <w:t xml:space="preserve">-respons set i </w:t>
      </w:r>
      <w:r w:rsidRPr="002748AE">
        <w:rPr>
          <w:i/>
          <w:sz w:val="24"/>
          <w:szCs w:val="24"/>
        </w:rPr>
        <w:t>patch clamp</w:t>
      </w:r>
      <w:r w:rsidRPr="002748AE">
        <w:rPr>
          <w:sz w:val="24"/>
          <w:szCs w:val="24"/>
        </w:rPr>
        <w:t xml:space="preserve">-eksperimenter med en enkelt kanal, der anvender membranudsnit fra gnaverceller, der udtrykker muterede CFTR-former, stemmer ikke nødvendigvis overens med </w:t>
      </w:r>
      <w:r w:rsidRPr="002748AE">
        <w:rPr>
          <w:i/>
          <w:sz w:val="24"/>
          <w:szCs w:val="24"/>
        </w:rPr>
        <w:t xml:space="preserve">in vivo </w:t>
      </w:r>
      <w:r w:rsidRPr="002748AE">
        <w:rPr>
          <w:sz w:val="24"/>
          <w:szCs w:val="24"/>
        </w:rPr>
        <w:t xml:space="preserve">farmakodynamisk respons (f.eks. sved-chlorid) eller klinisk fordel. Den nøjagtige mekanisme, der får ivacaftor til at potensere </w:t>
      </w:r>
      <w:r w:rsidRPr="002748AE">
        <w:rPr>
          <w:i/>
          <w:sz w:val="24"/>
          <w:szCs w:val="24"/>
        </w:rPr>
        <w:t>gating</w:t>
      </w:r>
      <w:r w:rsidRPr="002748AE">
        <w:rPr>
          <w:sz w:val="24"/>
          <w:szCs w:val="24"/>
        </w:rPr>
        <w:t xml:space="preserve">-aktiviteten for normale og visse muterede CFTR-former i dette system, er ikke blevet fuldstændigt belyst. </w:t>
      </w:r>
    </w:p>
    <w:p w14:paraId="45C9E544" w14:textId="77777777" w:rsidR="00D41138" w:rsidRPr="002748AE" w:rsidRDefault="00D41138" w:rsidP="00F526B8">
      <w:pPr>
        <w:ind w:left="851"/>
        <w:rPr>
          <w:sz w:val="24"/>
          <w:szCs w:val="24"/>
        </w:rPr>
      </w:pPr>
      <w:r w:rsidRPr="002748AE">
        <w:rPr>
          <w:sz w:val="24"/>
          <w:szCs w:val="24"/>
        </w:rPr>
        <w:t xml:space="preserve"> </w:t>
      </w:r>
    </w:p>
    <w:p w14:paraId="6D6D4ECC" w14:textId="77777777" w:rsidR="00D41138" w:rsidRPr="002748AE" w:rsidRDefault="00D41138" w:rsidP="00F526B8">
      <w:pPr>
        <w:ind w:left="851"/>
        <w:rPr>
          <w:sz w:val="24"/>
          <w:szCs w:val="24"/>
        </w:rPr>
      </w:pPr>
      <w:r w:rsidRPr="002748AE">
        <w:rPr>
          <w:i/>
          <w:sz w:val="24"/>
          <w:szCs w:val="24"/>
        </w:rPr>
        <w:t>Ivacaftor i et kombinationsregime med ivacaftor/tezacaftor/elexacaftor</w:t>
      </w:r>
    </w:p>
    <w:p w14:paraId="1574D3EF" w14:textId="77777777" w:rsidR="00D41138" w:rsidRPr="002748AE" w:rsidRDefault="00D41138" w:rsidP="00F526B8">
      <w:pPr>
        <w:ind w:left="851"/>
        <w:rPr>
          <w:sz w:val="24"/>
          <w:szCs w:val="24"/>
        </w:rPr>
      </w:pPr>
      <w:r w:rsidRPr="002748AE">
        <w:rPr>
          <w:sz w:val="24"/>
          <w:szCs w:val="24"/>
        </w:rPr>
        <w:t xml:space="preserve">Elexacaftor og tezacaftor er CFTR-korrigerende stoffer, der binder til forskellige steder på CFTR-proteinet og har en </w:t>
      </w:r>
      <w:proofErr w:type="gramStart"/>
      <w:r w:rsidRPr="002748AE">
        <w:rPr>
          <w:sz w:val="24"/>
          <w:szCs w:val="24"/>
        </w:rPr>
        <w:t>additiv virkning</w:t>
      </w:r>
      <w:proofErr w:type="gramEnd"/>
      <w:r w:rsidRPr="002748AE">
        <w:rPr>
          <w:sz w:val="24"/>
          <w:szCs w:val="24"/>
        </w:rPr>
        <w:t xml:space="preserve"> i forhold til at lette den cellulære behandling og strømning af CFTR til forøgelse af mængden af CFTR-protein, der fremføres til celleoverfladen, sammenlignet med hvert af molekylerne alene. Når ivacaftor administreres i kombination med ivacaftor/tezacaftor/elexacaftor, er den kombinerede virkning en øget mængde og funktion af CFTR på celleoverfladen, hvilket fører til øget CFTR-aktivitet målt ved CFTR-medieret chloridtransport.</w:t>
      </w:r>
    </w:p>
    <w:p w14:paraId="3DF339FD" w14:textId="77777777" w:rsidR="00D41138" w:rsidRPr="002748AE" w:rsidRDefault="00D41138" w:rsidP="00F526B8">
      <w:pPr>
        <w:ind w:left="851"/>
        <w:rPr>
          <w:sz w:val="24"/>
          <w:szCs w:val="24"/>
        </w:rPr>
      </w:pPr>
    </w:p>
    <w:p w14:paraId="3704614C" w14:textId="77777777" w:rsidR="00D41138" w:rsidRPr="002748AE" w:rsidRDefault="00D41138" w:rsidP="00F526B8">
      <w:pPr>
        <w:ind w:left="851"/>
        <w:rPr>
          <w:sz w:val="24"/>
          <w:szCs w:val="24"/>
        </w:rPr>
      </w:pPr>
      <w:r w:rsidRPr="002748AE">
        <w:rPr>
          <w:sz w:val="24"/>
          <w:szCs w:val="24"/>
          <w:u w:val="single"/>
        </w:rPr>
        <w:t>CFTR-chloridtransportanalyse i Fischer-rottethyroideaceller (FRT-celler), der udtrykker mutant CFTR</w:t>
      </w:r>
      <w:r w:rsidRPr="002748AE">
        <w:rPr>
          <w:sz w:val="24"/>
          <w:szCs w:val="24"/>
        </w:rPr>
        <w:t xml:space="preserve"> </w:t>
      </w:r>
    </w:p>
    <w:p w14:paraId="3E1577E7" w14:textId="77777777" w:rsidR="00D41138" w:rsidRPr="002748AE" w:rsidRDefault="00D41138" w:rsidP="00F526B8">
      <w:pPr>
        <w:ind w:left="851"/>
        <w:rPr>
          <w:sz w:val="24"/>
          <w:szCs w:val="24"/>
        </w:rPr>
      </w:pPr>
      <w:r w:rsidRPr="002748AE">
        <w:rPr>
          <w:sz w:val="24"/>
          <w:szCs w:val="24"/>
        </w:rPr>
        <w:t xml:space="preserve"> </w:t>
      </w:r>
    </w:p>
    <w:p w14:paraId="58A5A3D8" w14:textId="77777777" w:rsidR="00D41138" w:rsidRPr="002748AE" w:rsidRDefault="00D41138" w:rsidP="00F526B8">
      <w:pPr>
        <w:ind w:left="851"/>
        <w:rPr>
          <w:sz w:val="24"/>
          <w:szCs w:val="24"/>
        </w:rPr>
      </w:pPr>
      <w:r w:rsidRPr="002748AE">
        <w:rPr>
          <w:sz w:val="24"/>
          <w:szCs w:val="24"/>
        </w:rPr>
        <w:t xml:space="preserve">Mutant CFTR-proteins chloridtransportrespons på ivacaftor/tezacaftor/elexacaftor blev bestemt ved elektrofysiologiske undersøgelser i Ussing-kammer på et panel af FRT-cellelinjer, der var transficeret med individuelle </w:t>
      </w:r>
      <w:r w:rsidRPr="002748AE">
        <w:rPr>
          <w:i/>
          <w:sz w:val="24"/>
          <w:szCs w:val="24"/>
        </w:rPr>
        <w:t>CFTR</w:t>
      </w:r>
      <w:r w:rsidRPr="002748AE">
        <w:rPr>
          <w:sz w:val="24"/>
          <w:szCs w:val="24"/>
        </w:rPr>
        <w:t xml:space="preserve">-mutationer. Ivacaftor/tezacaftor/elexacaftor øgede chloridtransporten i FRT-celler, der udtrykte udvalgte </w:t>
      </w:r>
      <w:r w:rsidRPr="002748AE">
        <w:rPr>
          <w:i/>
          <w:sz w:val="24"/>
          <w:szCs w:val="24"/>
        </w:rPr>
        <w:t>CFTR</w:t>
      </w:r>
      <w:r w:rsidRPr="002748AE">
        <w:rPr>
          <w:sz w:val="24"/>
          <w:szCs w:val="24"/>
        </w:rPr>
        <w:t xml:space="preserve">-mutationer. </w:t>
      </w:r>
    </w:p>
    <w:p w14:paraId="658B87E2" w14:textId="77777777" w:rsidR="00D41138" w:rsidRPr="002748AE" w:rsidRDefault="00D41138" w:rsidP="00F526B8">
      <w:pPr>
        <w:ind w:left="851"/>
        <w:rPr>
          <w:sz w:val="24"/>
          <w:szCs w:val="24"/>
        </w:rPr>
      </w:pPr>
      <w:r w:rsidRPr="002748AE">
        <w:rPr>
          <w:sz w:val="24"/>
          <w:szCs w:val="24"/>
        </w:rPr>
        <w:t xml:space="preserve"> </w:t>
      </w:r>
    </w:p>
    <w:p w14:paraId="34E8D0F4" w14:textId="77777777" w:rsidR="00D41138" w:rsidRPr="002748AE" w:rsidRDefault="00D41138" w:rsidP="00F526B8">
      <w:pPr>
        <w:ind w:left="851"/>
        <w:rPr>
          <w:sz w:val="24"/>
          <w:szCs w:val="24"/>
        </w:rPr>
      </w:pPr>
      <w:r w:rsidRPr="002748AE">
        <w:rPr>
          <w:sz w:val="24"/>
          <w:szCs w:val="24"/>
        </w:rPr>
        <w:t xml:space="preserve">Tærskelværdien for CFTR-chloridtransportrespons </w:t>
      </w:r>
      <w:r w:rsidRPr="002748AE">
        <w:rPr>
          <w:i/>
          <w:sz w:val="24"/>
          <w:szCs w:val="24"/>
        </w:rPr>
        <w:t>in vitro</w:t>
      </w:r>
      <w:r w:rsidRPr="002748AE">
        <w:rPr>
          <w:sz w:val="24"/>
          <w:szCs w:val="24"/>
        </w:rPr>
        <w:t xml:space="preserve"> blev fastlagt som en nettostigning på mindst 10 % af normalen over </w:t>
      </w:r>
      <w:r w:rsidRPr="002748AE">
        <w:rPr>
          <w:i/>
          <w:sz w:val="24"/>
          <w:szCs w:val="24"/>
        </w:rPr>
        <w:t>baseline</w:t>
      </w:r>
      <w:r w:rsidRPr="002748AE">
        <w:rPr>
          <w:sz w:val="24"/>
          <w:szCs w:val="24"/>
        </w:rPr>
        <w:t xml:space="preserve">, fordi denne er prædiktiv eller med rimelighed kan forventes at forudsige klinisk respons. For individuelle mutationer er størrelsesordenen af nettoændringen over </w:t>
      </w:r>
      <w:r w:rsidRPr="002748AE">
        <w:rPr>
          <w:i/>
          <w:sz w:val="24"/>
          <w:szCs w:val="24"/>
        </w:rPr>
        <w:t>baseline</w:t>
      </w:r>
      <w:r w:rsidRPr="002748AE">
        <w:rPr>
          <w:sz w:val="24"/>
          <w:szCs w:val="24"/>
        </w:rPr>
        <w:t xml:space="preserve"> i CFTR-medieret chloridtransport </w:t>
      </w:r>
      <w:r w:rsidRPr="002748AE">
        <w:rPr>
          <w:i/>
          <w:sz w:val="24"/>
          <w:szCs w:val="24"/>
        </w:rPr>
        <w:t>in vitro</w:t>
      </w:r>
      <w:r w:rsidRPr="002748AE">
        <w:rPr>
          <w:sz w:val="24"/>
          <w:szCs w:val="24"/>
        </w:rPr>
        <w:t xml:space="preserve"> ikke korreleret med størrelsesordenen af det kliniske respons. </w:t>
      </w:r>
    </w:p>
    <w:p w14:paraId="62A4F109" w14:textId="77777777" w:rsidR="00D41138" w:rsidRPr="002748AE" w:rsidRDefault="00D41138" w:rsidP="00F526B8">
      <w:pPr>
        <w:ind w:left="851"/>
        <w:rPr>
          <w:sz w:val="24"/>
          <w:szCs w:val="24"/>
        </w:rPr>
      </w:pPr>
      <w:r w:rsidRPr="002748AE">
        <w:rPr>
          <w:sz w:val="24"/>
          <w:szCs w:val="24"/>
        </w:rPr>
        <w:t xml:space="preserve"> </w:t>
      </w:r>
    </w:p>
    <w:p w14:paraId="6CBFE2A6" w14:textId="77777777" w:rsidR="00D41138" w:rsidRPr="002748AE" w:rsidRDefault="00D41138" w:rsidP="00F526B8">
      <w:pPr>
        <w:ind w:left="851"/>
        <w:rPr>
          <w:sz w:val="24"/>
          <w:szCs w:val="24"/>
        </w:rPr>
      </w:pPr>
      <w:r w:rsidRPr="002748AE">
        <w:rPr>
          <w:sz w:val="24"/>
          <w:szCs w:val="24"/>
        </w:rPr>
        <w:t xml:space="preserve">Ved CF vil tilstedeværelse af én CFTR-mutation, der er responsiv over for ivacaftor/tezacaftor/elexacaftor baseret på </w:t>
      </w:r>
      <w:r w:rsidRPr="002748AE">
        <w:rPr>
          <w:i/>
          <w:sz w:val="24"/>
          <w:szCs w:val="24"/>
        </w:rPr>
        <w:t>in vitro</w:t>
      </w:r>
      <w:r w:rsidRPr="002748AE">
        <w:rPr>
          <w:sz w:val="24"/>
          <w:szCs w:val="24"/>
        </w:rPr>
        <w:t xml:space="preserve">-data fra FRT-celler, sandsynligvis medføre et klinisk respons. </w:t>
      </w:r>
    </w:p>
    <w:p w14:paraId="1866E83A" w14:textId="77777777" w:rsidR="00D41138" w:rsidRPr="002748AE" w:rsidRDefault="00D41138" w:rsidP="00F526B8">
      <w:pPr>
        <w:ind w:left="851"/>
        <w:rPr>
          <w:sz w:val="24"/>
          <w:szCs w:val="24"/>
        </w:rPr>
      </w:pPr>
      <w:r w:rsidRPr="002748AE">
        <w:rPr>
          <w:sz w:val="24"/>
          <w:szCs w:val="24"/>
        </w:rPr>
        <w:t xml:space="preserve"> </w:t>
      </w:r>
    </w:p>
    <w:p w14:paraId="3EE7BE87" w14:textId="77777777" w:rsidR="00D41138" w:rsidRPr="002748AE" w:rsidRDefault="00D41138" w:rsidP="00F526B8">
      <w:pPr>
        <w:ind w:left="851"/>
        <w:rPr>
          <w:sz w:val="24"/>
          <w:szCs w:val="24"/>
        </w:rPr>
      </w:pPr>
      <w:r w:rsidRPr="002748AE">
        <w:rPr>
          <w:sz w:val="24"/>
          <w:szCs w:val="24"/>
        </w:rPr>
        <w:t xml:space="preserve">Tabel 6 viser ivacaftor/tezacaftor/elexacaftor-responsive CFTR-mutationer. Forekomsten af </w:t>
      </w:r>
      <w:r w:rsidRPr="002748AE">
        <w:rPr>
          <w:i/>
          <w:sz w:val="24"/>
          <w:szCs w:val="24"/>
        </w:rPr>
        <w:t>CFTR-</w:t>
      </w:r>
      <w:r w:rsidRPr="002748AE">
        <w:rPr>
          <w:sz w:val="24"/>
          <w:szCs w:val="24"/>
        </w:rPr>
        <w:t>mutationer, der er anført i denne tabel, må ikke anvendes i stedet for en diagnosticering af cystisk fibrose eller som eneste beslutningsgrundlag for ordinering.</w:t>
      </w:r>
    </w:p>
    <w:p w14:paraId="5B85297E" w14:textId="77777777" w:rsidR="00D41138" w:rsidRPr="002748AE" w:rsidRDefault="00D41138" w:rsidP="00F526B8">
      <w:pPr>
        <w:ind w:left="851"/>
        <w:rPr>
          <w:sz w:val="24"/>
          <w:szCs w:val="24"/>
        </w:rPr>
      </w:pPr>
    </w:p>
    <w:p w14:paraId="1E95A88F" w14:textId="77777777" w:rsidR="00D41138" w:rsidRPr="002748AE" w:rsidRDefault="00D41138" w:rsidP="00F526B8">
      <w:pPr>
        <w:ind w:left="851"/>
        <w:rPr>
          <w:b/>
          <w:sz w:val="24"/>
          <w:szCs w:val="24"/>
        </w:rPr>
      </w:pPr>
      <w:r w:rsidRPr="002748AE">
        <w:rPr>
          <w:b/>
          <w:sz w:val="24"/>
          <w:szCs w:val="24"/>
        </w:rPr>
        <w:t xml:space="preserve">Tabel 6. </w:t>
      </w:r>
      <w:r w:rsidRPr="002748AE">
        <w:rPr>
          <w:b/>
          <w:i/>
          <w:sz w:val="24"/>
          <w:szCs w:val="24"/>
        </w:rPr>
        <w:t>CFTR</w:t>
      </w:r>
      <w:r w:rsidRPr="002748AE">
        <w:rPr>
          <w:b/>
          <w:sz w:val="24"/>
          <w:szCs w:val="24"/>
        </w:rPr>
        <w:t xml:space="preserve">-mutationer, der er identificeret som værende responsive over for ivacaftor/tezacaftor/elexacaftor baseret på kliniske og/eller </w:t>
      </w:r>
      <w:r w:rsidRPr="002748AE">
        <w:rPr>
          <w:b/>
          <w:i/>
          <w:sz w:val="24"/>
          <w:szCs w:val="24"/>
        </w:rPr>
        <w:t>in vitro</w:t>
      </w:r>
      <w:r w:rsidRPr="002748AE">
        <w:rPr>
          <w:b/>
          <w:sz w:val="24"/>
          <w:szCs w:val="24"/>
        </w:rPr>
        <w:t>-data</w:t>
      </w:r>
    </w:p>
    <w:p w14:paraId="6E702AFF" w14:textId="77777777" w:rsidR="00D41138" w:rsidRPr="002748AE" w:rsidRDefault="00D41138" w:rsidP="00D41138">
      <w:pPr>
        <w:pStyle w:val="Brdtekst"/>
        <w:kinsoku w:val="0"/>
        <w:overflowPunct w:val="0"/>
        <w:ind w:left="0"/>
        <w:rPr>
          <w:b/>
          <w:color w:val="000000" w:themeColor="text1"/>
        </w:rPr>
      </w:pPr>
    </w:p>
    <w:tbl>
      <w:tblPr>
        <w:tblStyle w:val="Tabel-Gitter"/>
        <w:tblW w:w="5000" w:type="pct"/>
        <w:jc w:val="center"/>
        <w:tblInd w:w="0" w:type="dxa"/>
        <w:tblLook w:val="04A0" w:firstRow="1" w:lastRow="0" w:firstColumn="1" w:lastColumn="0" w:noHBand="0" w:noVBand="1"/>
      </w:tblPr>
      <w:tblGrid>
        <w:gridCol w:w="2084"/>
        <w:gridCol w:w="2072"/>
        <w:gridCol w:w="1675"/>
        <w:gridCol w:w="2278"/>
        <w:gridCol w:w="1519"/>
      </w:tblGrid>
      <w:tr w:rsidR="00D41138" w:rsidRPr="00337216" w14:paraId="64F9EADD" w14:textId="77777777" w:rsidTr="00F526B8">
        <w:trPr>
          <w:jc w:val="center"/>
        </w:trPr>
        <w:tc>
          <w:tcPr>
            <w:tcW w:w="1082" w:type="pct"/>
            <w:tcBorders>
              <w:top w:val="single" w:sz="4" w:space="0" w:color="auto"/>
              <w:left w:val="single" w:sz="4" w:space="0" w:color="auto"/>
              <w:bottom w:val="single" w:sz="4" w:space="0" w:color="auto"/>
              <w:right w:val="single" w:sz="4" w:space="0" w:color="auto"/>
            </w:tcBorders>
            <w:tcMar>
              <w:top w:w="28" w:type="dxa"/>
              <w:left w:w="0" w:type="dxa"/>
              <w:bottom w:w="28" w:type="dxa"/>
              <w:right w:w="0" w:type="dxa"/>
            </w:tcMar>
            <w:hideMark/>
          </w:tcPr>
          <w:p w14:paraId="602E698D" w14:textId="77777777" w:rsidR="00D41138" w:rsidRPr="00337216" w:rsidRDefault="00D41138">
            <w:pPr>
              <w:pStyle w:val="Brdtekst"/>
              <w:kinsoku w:val="0"/>
              <w:overflowPunct w:val="0"/>
              <w:ind w:left="57"/>
              <w:rPr>
                <w:rFonts w:ascii="Times New Roman" w:hAnsi="Times New Roman"/>
                <w:bCs/>
                <w:color w:val="000000" w:themeColor="text1"/>
                <w:sz w:val="20"/>
                <w:szCs w:val="20"/>
                <w:lang w:eastAsia="ru-RU"/>
              </w:rPr>
            </w:pPr>
            <w:r w:rsidRPr="00337216">
              <w:rPr>
                <w:rFonts w:ascii="Times New Roman" w:hAnsi="Times New Roman"/>
                <w:bCs/>
                <w:color w:val="000000" w:themeColor="text1"/>
                <w:sz w:val="20"/>
                <w:szCs w:val="20"/>
                <w:lang w:eastAsia="ru-RU"/>
              </w:rPr>
              <w:t>293A→G</w:t>
            </w:r>
          </w:p>
          <w:p w14:paraId="6F943C3B" w14:textId="77777777" w:rsidR="00D41138" w:rsidRPr="00337216" w:rsidRDefault="00D41138">
            <w:pPr>
              <w:pStyle w:val="Brdtekst"/>
              <w:kinsoku w:val="0"/>
              <w:overflowPunct w:val="0"/>
              <w:ind w:left="57"/>
              <w:rPr>
                <w:rFonts w:ascii="Times New Roman" w:hAnsi="Times New Roman"/>
                <w:bCs/>
                <w:color w:val="000000" w:themeColor="text1"/>
                <w:sz w:val="20"/>
                <w:szCs w:val="20"/>
                <w:lang w:eastAsia="ru-RU"/>
              </w:rPr>
            </w:pPr>
            <w:r w:rsidRPr="00337216">
              <w:rPr>
                <w:rFonts w:ascii="Times New Roman" w:hAnsi="Times New Roman"/>
                <w:bCs/>
                <w:color w:val="000000" w:themeColor="text1"/>
                <w:sz w:val="20"/>
                <w:szCs w:val="20"/>
                <w:lang w:eastAsia="ru-RU"/>
              </w:rPr>
              <w:t>314del9</w:t>
            </w:r>
          </w:p>
          <w:p w14:paraId="24D7A6DC" w14:textId="77777777" w:rsidR="00D41138" w:rsidRPr="00337216" w:rsidRDefault="00D41138">
            <w:pPr>
              <w:pStyle w:val="Brdtekst"/>
              <w:kinsoku w:val="0"/>
              <w:overflowPunct w:val="0"/>
              <w:ind w:left="57"/>
              <w:rPr>
                <w:rFonts w:ascii="Times New Roman" w:hAnsi="Times New Roman"/>
                <w:bCs/>
                <w:color w:val="000000" w:themeColor="text1"/>
                <w:sz w:val="20"/>
                <w:szCs w:val="20"/>
                <w:lang w:eastAsia="ru-RU"/>
              </w:rPr>
            </w:pPr>
            <w:r w:rsidRPr="00337216">
              <w:rPr>
                <w:rFonts w:ascii="Times New Roman" w:hAnsi="Times New Roman"/>
                <w:bCs/>
                <w:color w:val="000000" w:themeColor="text1"/>
                <w:sz w:val="20"/>
                <w:szCs w:val="20"/>
                <w:lang w:eastAsia="ru-RU"/>
              </w:rPr>
              <w:t>546insCTA</w:t>
            </w:r>
          </w:p>
          <w:p w14:paraId="0029107B" w14:textId="77777777" w:rsidR="00D41138" w:rsidRPr="00337216" w:rsidRDefault="00D41138">
            <w:pPr>
              <w:pStyle w:val="Brdtekst"/>
              <w:kinsoku w:val="0"/>
              <w:overflowPunct w:val="0"/>
              <w:ind w:left="57"/>
              <w:rPr>
                <w:rFonts w:ascii="Times New Roman" w:hAnsi="Times New Roman"/>
                <w:bCs/>
                <w:color w:val="000000" w:themeColor="text1"/>
                <w:sz w:val="20"/>
                <w:szCs w:val="20"/>
                <w:lang w:eastAsia="ru-RU"/>
              </w:rPr>
            </w:pPr>
            <w:r w:rsidRPr="00337216">
              <w:rPr>
                <w:rFonts w:ascii="Times New Roman" w:hAnsi="Times New Roman"/>
                <w:bCs/>
                <w:color w:val="000000" w:themeColor="text1"/>
                <w:sz w:val="20"/>
                <w:szCs w:val="20"/>
                <w:lang w:eastAsia="ru-RU"/>
              </w:rPr>
              <w:t>548insTAC</w:t>
            </w:r>
          </w:p>
          <w:p w14:paraId="4269E7E5" w14:textId="77777777" w:rsidR="00D41138" w:rsidRPr="00337216" w:rsidRDefault="00D41138">
            <w:pPr>
              <w:pStyle w:val="Brdtekst"/>
              <w:kinsoku w:val="0"/>
              <w:overflowPunct w:val="0"/>
              <w:ind w:left="57"/>
              <w:rPr>
                <w:rFonts w:ascii="Times New Roman" w:hAnsi="Times New Roman"/>
                <w:bCs/>
                <w:color w:val="000000" w:themeColor="text1"/>
                <w:sz w:val="20"/>
                <w:szCs w:val="20"/>
                <w:lang w:eastAsia="ru-RU"/>
              </w:rPr>
            </w:pPr>
            <w:r w:rsidRPr="00337216">
              <w:rPr>
                <w:rFonts w:ascii="Times New Roman" w:hAnsi="Times New Roman"/>
                <w:bCs/>
                <w:color w:val="000000" w:themeColor="text1"/>
                <w:sz w:val="20"/>
                <w:szCs w:val="20"/>
                <w:lang w:eastAsia="ru-RU"/>
              </w:rPr>
              <w:t>711+3A→G*</w:t>
            </w:r>
          </w:p>
          <w:p w14:paraId="73F21248" w14:textId="77777777" w:rsidR="00D41138" w:rsidRPr="00337216" w:rsidRDefault="00D41138">
            <w:pPr>
              <w:pStyle w:val="Brdtekst"/>
              <w:kinsoku w:val="0"/>
              <w:overflowPunct w:val="0"/>
              <w:ind w:left="57"/>
              <w:rPr>
                <w:rFonts w:ascii="Times New Roman" w:hAnsi="Times New Roman"/>
                <w:bCs/>
                <w:color w:val="000000" w:themeColor="text1"/>
                <w:sz w:val="20"/>
                <w:szCs w:val="20"/>
                <w:lang w:eastAsia="ru-RU"/>
              </w:rPr>
            </w:pPr>
            <w:r w:rsidRPr="00337216">
              <w:rPr>
                <w:rFonts w:ascii="Times New Roman" w:hAnsi="Times New Roman"/>
                <w:bCs/>
                <w:color w:val="000000" w:themeColor="text1"/>
                <w:sz w:val="20"/>
                <w:szCs w:val="20"/>
                <w:lang w:eastAsia="ru-RU"/>
              </w:rPr>
              <w:t>1140-1151dup</w:t>
            </w:r>
          </w:p>
          <w:p w14:paraId="28B4576F" w14:textId="77777777" w:rsidR="00D41138" w:rsidRPr="00337216" w:rsidRDefault="00D41138">
            <w:pPr>
              <w:pStyle w:val="Brdtekst"/>
              <w:kinsoku w:val="0"/>
              <w:overflowPunct w:val="0"/>
              <w:ind w:left="57"/>
              <w:rPr>
                <w:rFonts w:ascii="Times New Roman" w:hAnsi="Times New Roman"/>
                <w:bCs/>
                <w:color w:val="000000" w:themeColor="text1"/>
                <w:sz w:val="20"/>
                <w:szCs w:val="20"/>
                <w:lang w:eastAsia="ru-RU"/>
              </w:rPr>
            </w:pPr>
            <w:r w:rsidRPr="00337216">
              <w:rPr>
                <w:rFonts w:ascii="Times New Roman" w:hAnsi="Times New Roman"/>
                <w:bCs/>
                <w:color w:val="000000" w:themeColor="text1"/>
                <w:sz w:val="20"/>
                <w:szCs w:val="20"/>
                <w:lang w:eastAsia="ru-RU"/>
              </w:rPr>
              <w:t>1461insGAT</w:t>
            </w:r>
          </w:p>
          <w:p w14:paraId="298AF9CB" w14:textId="77777777" w:rsidR="00D41138" w:rsidRPr="00337216" w:rsidRDefault="00D41138">
            <w:pPr>
              <w:pStyle w:val="Brdtekst"/>
              <w:kinsoku w:val="0"/>
              <w:overflowPunct w:val="0"/>
              <w:ind w:left="57"/>
              <w:rPr>
                <w:rFonts w:ascii="Times New Roman" w:hAnsi="Times New Roman"/>
                <w:bCs/>
                <w:color w:val="000000" w:themeColor="text1"/>
                <w:sz w:val="20"/>
                <w:szCs w:val="20"/>
                <w:lang w:eastAsia="ru-RU"/>
              </w:rPr>
            </w:pPr>
            <w:r w:rsidRPr="00337216">
              <w:rPr>
                <w:rFonts w:ascii="Times New Roman" w:hAnsi="Times New Roman"/>
                <w:bCs/>
                <w:color w:val="000000" w:themeColor="text1"/>
                <w:sz w:val="20"/>
                <w:szCs w:val="20"/>
                <w:lang w:eastAsia="ru-RU"/>
              </w:rPr>
              <w:t>1507_1515del9</w:t>
            </w:r>
          </w:p>
          <w:p w14:paraId="539DAAA0" w14:textId="77777777" w:rsidR="00D41138" w:rsidRPr="00337216" w:rsidRDefault="00D41138">
            <w:pPr>
              <w:pStyle w:val="Brdtekst"/>
              <w:kinsoku w:val="0"/>
              <w:overflowPunct w:val="0"/>
              <w:ind w:left="57"/>
              <w:rPr>
                <w:rFonts w:ascii="Times New Roman" w:hAnsi="Times New Roman"/>
                <w:bCs/>
                <w:color w:val="000000" w:themeColor="text1"/>
                <w:sz w:val="20"/>
                <w:szCs w:val="20"/>
                <w:lang w:eastAsia="ru-RU"/>
              </w:rPr>
            </w:pPr>
            <w:r w:rsidRPr="00337216">
              <w:rPr>
                <w:rFonts w:ascii="Times New Roman" w:hAnsi="Times New Roman"/>
                <w:bCs/>
                <w:color w:val="000000" w:themeColor="text1"/>
                <w:sz w:val="20"/>
                <w:szCs w:val="20"/>
                <w:lang w:eastAsia="ru-RU"/>
              </w:rPr>
              <w:t>2055del9</w:t>
            </w:r>
          </w:p>
          <w:p w14:paraId="62A799B5" w14:textId="77777777" w:rsidR="00D41138" w:rsidRPr="00337216" w:rsidRDefault="00D41138">
            <w:pPr>
              <w:pStyle w:val="Brdtekst"/>
              <w:kinsoku w:val="0"/>
              <w:overflowPunct w:val="0"/>
              <w:ind w:left="57"/>
              <w:rPr>
                <w:rFonts w:ascii="Times New Roman" w:hAnsi="Times New Roman"/>
                <w:bCs/>
                <w:color w:val="000000" w:themeColor="text1"/>
                <w:sz w:val="20"/>
                <w:szCs w:val="20"/>
                <w:lang w:eastAsia="ru-RU"/>
              </w:rPr>
            </w:pPr>
            <w:r w:rsidRPr="00337216">
              <w:rPr>
                <w:rFonts w:ascii="Times New Roman" w:hAnsi="Times New Roman"/>
                <w:bCs/>
                <w:color w:val="000000" w:themeColor="text1"/>
                <w:sz w:val="20"/>
                <w:szCs w:val="20"/>
                <w:lang w:eastAsia="ru-RU"/>
              </w:rPr>
              <w:t>2183A→G</w:t>
            </w:r>
          </w:p>
          <w:p w14:paraId="52C0AFEF" w14:textId="77777777" w:rsidR="00D41138" w:rsidRPr="00337216" w:rsidRDefault="00D41138">
            <w:pPr>
              <w:pStyle w:val="Brdtekst"/>
              <w:kinsoku w:val="0"/>
              <w:overflowPunct w:val="0"/>
              <w:ind w:left="57"/>
              <w:rPr>
                <w:rFonts w:ascii="Times New Roman" w:hAnsi="Times New Roman"/>
                <w:bCs/>
                <w:color w:val="000000" w:themeColor="text1"/>
                <w:sz w:val="20"/>
                <w:szCs w:val="20"/>
                <w:lang w:eastAsia="ru-RU"/>
              </w:rPr>
            </w:pPr>
            <w:r w:rsidRPr="00337216">
              <w:rPr>
                <w:rFonts w:ascii="Times New Roman" w:hAnsi="Times New Roman"/>
                <w:bCs/>
                <w:color w:val="000000" w:themeColor="text1"/>
                <w:sz w:val="20"/>
                <w:szCs w:val="20"/>
                <w:lang w:eastAsia="ru-RU"/>
              </w:rPr>
              <w:t>2789+5G→A*</w:t>
            </w:r>
          </w:p>
          <w:p w14:paraId="452A5557" w14:textId="77777777" w:rsidR="00D41138" w:rsidRPr="00337216" w:rsidRDefault="00D41138">
            <w:pPr>
              <w:pStyle w:val="Brdtekst"/>
              <w:kinsoku w:val="0"/>
              <w:overflowPunct w:val="0"/>
              <w:ind w:left="57"/>
              <w:rPr>
                <w:rFonts w:ascii="Times New Roman" w:hAnsi="Times New Roman"/>
                <w:bCs/>
                <w:color w:val="000000" w:themeColor="text1"/>
                <w:sz w:val="20"/>
                <w:szCs w:val="20"/>
                <w:lang w:eastAsia="ru-RU"/>
              </w:rPr>
            </w:pPr>
            <w:r w:rsidRPr="00337216">
              <w:rPr>
                <w:rFonts w:ascii="Times New Roman" w:hAnsi="Times New Roman"/>
                <w:bCs/>
                <w:color w:val="000000" w:themeColor="text1"/>
                <w:sz w:val="20"/>
                <w:szCs w:val="20"/>
                <w:lang w:eastAsia="ru-RU"/>
              </w:rPr>
              <w:lastRenderedPageBreak/>
              <w:t>2851A/G</w:t>
            </w:r>
          </w:p>
          <w:p w14:paraId="0418CB91" w14:textId="77777777" w:rsidR="00D41138" w:rsidRPr="00337216" w:rsidRDefault="00D41138">
            <w:pPr>
              <w:pStyle w:val="Brdtekst"/>
              <w:kinsoku w:val="0"/>
              <w:overflowPunct w:val="0"/>
              <w:ind w:left="57"/>
              <w:rPr>
                <w:rFonts w:ascii="Times New Roman" w:hAnsi="Times New Roman"/>
                <w:bCs/>
                <w:color w:val="000000" w:themeColor="text1"/>
                <w:sz w:val="20"/>
                <w:szCs w:val="20"/>
                <w:lang w:eastAsia="ru-RU"/>
              </w:rPr>
            </w:pPr>
            <w:r w:rsidRPr="00337216">
              <w:rPr>
                <w:rFonts w:ascii="Times New Roman" w:hAnsi="Times New Roman"/>
                <w:bCs/>
                <w:color w:val="000000" w:themeColor="text1"/>
                <w:sz w:val="20"/>
                <w:szCs w:val="20"/>
                <w:lang w:eastAsia="ru-RU"/>
              </w:rPr>
              <w:t>3007del6</w:t>
            </w:r>
          </w:p>
          <w:p w14:paraId="46462ECD" w14:textId="77777777" w:rsidR="00D41138" w:rsidRPr="00337216" w:rsidRDefault="00D41138">
            <w:pPr>
              <w:pStyle w:val="Brdtekst"/>
              <w:kinsoku w:val="0"/>
              <w:overflowPunct w:val="0"/>
              <w:ind w:left="57"/>
              <w:rPr>
                <w:rFonts w:ascii="Times New Roman" w:hAnsi="Times New Roman"/>
                <w:bCs/>
                <w:color w:val="000000" w:themeColor="text1"/>
                <w:sz w:val="20"/>
                <w:szCs w:val="20"/>
                <w:lang w:eastAsia="ru-RU"/>
              </w:rPr>
            </w:pPr>
            <w:r w:rsidRPr="00337216">
              <w:rPr>
                <w:rFonts w:ascii="Times New Roman" w:hAnsi="Times New Roman"/>
                <w:bCs/>
                <w:color w:val="000000" w:themeColor="text1"/>
                <w:sz w:val="20"/>
                <w:szCs w:val="20"/>
                <w:lang w:eastAsia="ru-RU"/>
              </w:rPr>
              <w:t>3132T→G</w:t>
            </w:r>
          </w:p>
          <w:p w14:paraId="0D7E4000" w14:textId="77777777" w:rsidR="00D41138" w:rsidRPr="00337216" w:rsidRDefault="00D41138">
            <w:pPr>
              <w:pStyle w:val="Brdtekst"/>
              <w:kinsoku w:val="0"/>
              <w:overflowPunct w:val="0"/>
              <w:ind w:left="57"/>
              <w:rPr>
                <w:rFonts w:ascii="Times New Roman" w:hAnsi="Times New Roman"/>
                <w:bCs/>
                <w:color w:val="000000" w:themeColor="text1"/>
                <w:sz w:val="20"/>
                <w:szCs w:val="20"/>
                <w:lang w:eastAsia="ru-RU"/>
              </w:rPr>
            </w:pPr>
            <w:r w:rsidRPr="00337216">
              <w:rPr>
                <w:rFonts w:ascii="Times New Roman" w:hAnsi="Times New Roman"/>
                <w:bCs/>
                <w:color w:val="000000" w:themeColor="text1"/>
                <w:sz w:val="20"/>
                <w:szCs w:val="20"/>
                <w:lang w:eastAsia="ru-RU"/>
              </w:rPr>
              <w:t>3141del9</w:t>
            </w:r>
          </w:p>
          <w:p w14:paraId="3F69E517" w14:textId="77777777" w:rsidR="00D41138" w:rsidRPr="00337216" w:rsidRDefault="00D41138">
            <w:pPr>
              <w:pStyle w:val="Brdtekst"/>
              <w:kinsoku w:val="0"/>
              <w:overflowPunct w:val="0"/>
              <w:ind w:left="57"/>
              <w:rPr>
                <w:rFonts w:ascii="Times New Roman" w:hAnsi="Times New Roman"/>
                <w:bCs/>
                <w:color w:val="000000" w:themeColor="text1"/>
                <w:sz w:val="20"/>
                <w:szCs w:val="20"/>
                <w:lang w:eastAsia="ru-RU"/>
              </w:rPr>
            </w:pPr>
            <w:r w:rsidRPr="00337216">
              <w:rPr>
                <w:rFonts w:ascii="Times New Roman" w:hAnsi="Times New Roman"/>
                <w:bCs/>
                <w:color w:val="000000" w:themeColor="text1"/>
                <w:sz w:val="20"/>
                <w:szCs w:val="20"/>
                <w:lang w:eastAsia="ru-RU"/>
              </w:rPr>
              <w:t>3143del9</w:t>
            </w:r>
          </w:p>
          <w:p w14:paraId="5C8679D2" w14:textId="77777777" w:rsidR="00D41138" w:rsidRPr="00337216" w:rsidRDefault="00D41138">
            <w:pPr>
              <w:pStyle w:val="Brdtekst"/>
              <w:kinsoku w:val="0"/>
              <w:overflowPunct w:val="0"/>
              <w:ind w:left="57"/>
              <w:rPr>
                <w:rFonts w:ascii="Times New Roman" w:hAnsi="Times New Roman"/>
                <w:bCs/>
                <w:color w:val="000000" w:themeColor="text1"/>
                <w:sz w:val="20"/>
                <w:szCs w:val="20"/>
                <w:lang w:eastAsia="ru-RU"/>
              </w:rPr>
            </w:pPr>
            <w:r w:rsidRPr="00337216">
              <w:rPr>
                <w:rFonts w:ascii="Times New Roman" w:hAnsi="Times New Roman"/>
                <w:bCs/>
                <w:color w:val="000000" w:themeColor="text1"/>
                <w:sz w:val="20"/>
                <w:szCs w:val="20"/>
                <w:lang w:eastAsia="ru-RU"/>
              </w:rPr>
              <w:t>3272-26A→G*†</w:t>
            </w:r>
          </w:p>
          <w:p w14:paraId="2DFC5EA8" w14:textId="77777777" w:rsidR="00D41138" w:rsidRPr="00337216" w:rsidRDefault="00D41138">
            <w:pPr>
              <w:pStyle w:val="Brdtekst"/>
              <w:kinsoku w:val="0"/>
              <w:overflowPunct w:val="0"/>
              <w:ind w:left="57"/>
              <w:rPr>
                <w:rFonts w:ascii="Times New Roman" w:hAnsi="Times New Roman"/>
                <w:bCs/>
                <w:color w:val="000000" w:themeColor="text1"/>
                <w:sz w:val="20"/>
                <w:szCs w:val="20"/>
                <w:lang w:eastAsia="ru-RU"/>
              </w:rPr>
            </w:pPr>
            <w:r w:rsidRPr="00337216">
              <w:rPr>
                <w:rFonts w:ascii="Times New Roman" w:hAnsi="Times New Roman"/>
                <w:bCs/>
                <w:color w:val="000000" w:themeColor="text1"/>
                <w:sz w:val="20"/>
                <w:szCs w:val="20"/>
                <w:lang w:eastAsia="ru-RU"/>
              </w:rPr>
              <w:t>3331del6</w:t>
            </w:r>
          </w:p>
          <w:p w14:paraId="45C8260D" w14:textId="77777777" w:rsidR="00D41138" w:rsidRPr="00337216" w:rsidRDefault="00D41138">
            <w:pPr>
              <w:pStyle w:val="Brdtekst"/>
              <w:kinsoku w:val="0"/>
              <w:overflowPunct w:val="0"/>
              <w:ind w:left="57"/>
              <w:rPr>
                <w:rFonts w:ascii="Times New Roman" w:hAnsi="Times New Roman"/>
                <w:bCs/>
                <w:color w:val="000000" w:themeColor="text1"/>
                <w:sz w:val="20"/>
                <w:szCs w:val="20"/>
                <w:lang w:eastAsia="ru-RU"/>
              </w:rPr>
            </w:pPr>
            <w:r w:rsidRPr="00337216">
              <w:rPr>
                <w:rFonts w:ascii="Times New Roman" w:hAnsi="Times New Roman"/>
                <w:bCs/>
                <w:color w:val="000000" w:themeColor="text1"/>
                <w:sz w:val="20"/>
                <w:szCs w:val="20"/>
                <w:lang w:eastAsia="ru-RU"/>
              </w:rPr>
              <w:t>3410T→C</w:t>
            </w:r>
          </w:p>
          <w:p w14:paraId="2A68A474" w14:textId="77777777" w:rsidR="00D41138" w:rsidRPr="00337216" w:rsidRDefault="00D41138">
            <w:pPr>
              <w:pStyle w:val="Brdtekst"/>
              <w:kinsoku w:val="0"/>
              <w:overflowPunct w:val="0"/>
              <w:ind w:left="57"/>
              <w:rPr>
                <w:rFonts w:ascii="Times New Roman" w:hAnsi="Times New Roman"/>
                <w:bCs/>
                <w:color w:val="000000" w:themeColor="text1"/>
                <w:sz w:val="20"/>
                <w:szCs w:val="20"/>
                <w:lang w:eastAsia="ru-RU"/>
              </w:rPr>
            </w:pPr>
            <w:r w:rsidRPr="00337216">
              <w:rPr>
                <w:rFonts w:ascii="Times New Roman" w:hAnsi="Times New Roman"/>
                <w:bCs/>
                <w:color w:val="000000" w:themeColor="text1"/>
                <w:sz w:val="20"/>
                <w:szCs w:val="20"/>
                <w:lang w:eastAsia="ru-RU"/>
              </w:rPr>
              <w:t>3523A→G</w:t>
            </w:r>
          </w:p>
          <w:p w14:paraId="0B79C6EB" w14:textId="77777777" w:rsidR="00D41138" w:rsidRPr="00337216" w:rsidRDefault="00D41138">
            <w:pPr>
              <w:pStyle w:val="Brdtekst"/>
              <w:kinsoku w:val="0"/>
              <w:overflowPunct w:val="0"/>
              <w:ind w:left="57"/>
              <w:rPr>
                <w:rFonts w:ascii="Times New Roman" w:hAnsi="Times New Roman"/>
                <w:bCs/>
                <w:color w:val="000000" w:themeColor="text1"/>
                <w:sz w:val="20"/>
                <w:szCs w:val="20"/>
                <w:lang w:eastAsia="ru-RU"/>
              </w:rPr>
            </w:pPr>
            <w:r w:rsidRPr="00337216">
              <w:rPr>
                <w:rFonts w:ascii="Times New Roman" w:hAnsi="Times New Roman"/>
                <w:bCs/>
                <w:color w:val="000000" w:themeColor="text1"/>
                <w:sz w:val="20"/>
                <w:szCs w:val="20"/>
                <w:lang w:eastAsia="ru-RU"/>
              </w:rPr>
              <w:t>3601A→C</w:t>
            </w:r>
          </w:p>
          <w:p w14:paraId="59D0D181" w14:textId="77777777" w:rsidR="00D41138" w:rsidRPr="00337216" w:rsidRDefault="00D41138">
            <w:pPr>
              <w:pStyle w:val="Brdtekst"/>
              <w:kinsoku w:val="0"/>
              <w:overflowPunct w:val="0"/>
              <w:ind w:left="57"/>
              <w:rPr>
                <w:rFonts w:ascii="Times New Roman" w:hAnsi="Times New Roman"/>
                <w:bCs/>
                <w:color w:val="000000" w:themeColor="text1"/>
                <w:sz w:val="20"/>
                <w:szCs w:val="20"/>
                <w:lang w:eastAsia="ru-RU"/>
              </w:rPr>
            </w:pPr>
            <w:r w:rsidRPr="00337216">
              <w:rPr>
                <w:rFonts w:ascii="Times New Roman" w:hAnsi="Times New Roman"/>
                <w:bCs/>
                <w:color w:val="000000" w:themeColor="text1"/>
                <w:sz w:val="20"/>
                <w:szCs w:val="20"/>
                <w:lang w:eastAsia="ru-RU"/>
              </w:rPr>
              <w:t>3761T→G</w:t>
            </w:r>
          </w:p>
          <w:p w14:paraId="3B021B2E" w14:textId="77777777" w:rsidR="00D41138" w:rsidRPr="00337216" w:rsidRDefault="00D41138">
            <w:pPr>
              <w:pStyle w:val="Brdtekst"/>
              <w:kinsoku w:val="0"/>
              <w:overflowPunct w:val="0"/>
              <w:ind w:left="57"/>
              <w:rPr>
                <w:rFonts w:ascii="Times New Roman" w:hAnsi="Times New Roman"/>
                <w:bCs/>
                <w:color w:val="000000" w:themeColor="text1"/>
                <w:sz w:val="20"/>
                <w:szCs w:val="20"/>
                <w:lang w:eastAsia="ru-RU"/>
              </w:rPr>
            </w:pPr>
            <w:r w:rsidRPr="00337216">
              <w:rPr>
                <w:rFonts w:ascii="Times New Roman" w:hAnsi="Times New Roman"/>
                <w:bCs/>
                <w:color w:val="000000" w:themeColor="text1"/>
                <w:sz w:val="20"/>
                <w:szCs w:val="20"/>
                <w:lang w:eastAsia="ru-RU"/>
              </w:rPr>
              <w:t>3791C/T</w:t>
            </w:r>
          </w:p>
          <w:p w14:paraId="5AD97AF7" w14:textId="77777777" w:rsidR="00D41138" w:rsidRPr="00337216" w:rsidRDefault="00D41138">
            <w:pPr>
              <w:pStyle w:val="Brdtekst"/>
              <w:kinsoku w:val="0"/>
              <w:overflowPunct w:val="0"/>
              <w:ind w:left="57"/>
              <w:rPr>
                <w:rFonts w:ascii="Times New Roman" w:hAnsi="Times New Roman"/>
                <w:bCs/>
                <w:color w:val="000000" w:themeColor="text1"/>
                <w:sz w:val="20"/>
                <w:szCs w:val="20"/>
                <w:lang w:eastAsia="ru-RU"/>
              </w:rPr>
            </w:pPr>
            <w:r w:rsidRPr="00337216">
              <w:rPr>
                <w:rFonts w:ascii="Times New Roman" w:hAnsi="Times New Roman"/>
                <w:bCs/>
                <w:color w:val="000000" w:themeColor="text1"/>
                <w:sz w:val="20"/>
                <w:szCs w:val="20"/>
                <w:lang w:eastAsia="ru-RU"/>
              </w:rPr>
              <w:t>3849+10kbC→T*†</w:t>
            </w:r>
          </w:p>
          <w:p w14:paraId="644F4BF7" w14:textId="77777777" w:rsidR="00D41138" w:rsidRPr="00337216" w:rsidRDefault="00D41138">
            <w:pPr>
              <w:pStyle w:val="Brdtekst"/>
              <w:kinsoku w:val="0"/>
              <w:overflowPunct w:val="0"/>
              <w:ind w:left="57"/>
              <w:rPr>
                <w:rFonts w:ascii="Times New Roman" w:hAnsi="Times New Roman"/>
                <w:bCs/>
                <w:color w:val="000000" w:themeColor="text1"/>
                <w:sz w:val="20"/>
                <w:szCs w:val="20"/>
                <w:lang w:val="en-US" w:eastAsia="ru-RU"/>
              </w:rPr>
            </w:pPr>
            <w:r w:rsidRPr="00337216">
              <w:rPr>
                <w:rFonts w:ascii="Times New Roman" w:hAnsi="Times New Roman"/>
                <w:bCs/>
                <w:color w:val="000000" w:themeColor="text1"/>
                <w:sz w:val="20"/>
                <w:szCs w:val="20"/>
                <w:lang w:val="en-US" w:eastAsia="ru-RU"/>
              </w:rPr>
              <w:t>3850G→A</w:t>
            </w:r>
          </w:p>
          <w:p w14:paraId="512234B2" w14:textId="77777777" w:rsidR="00D41138" w:rsidRPr="00337216" w:rsidRDefault="00D41138">
            <w:pPr>
              <w:pStyle w:val="Brdtekst"/>
              <w:kinsoku w:val="0"/>
              <w:overflowPunct w:val="0"/>
              <w:ind w:left="57"/>
              <w:rPr>
                <w:rFonts w:ascii="Times New Roman" w:hAnsi="Times New Roman"/>
                <w:bCs/>
                <w:color w:val="000000" w:themeColor="text1"/>
                <w:sz w:val="20"/>
                <w:szCs w:val="20"/>
                <w:lang w:val="en-US" w:eastAsia="ru-RU"/>
              </w:rPr>
            </w:pPr>
            <w:r w:rsidRPr="00337216">
              <w:rPr>
                <w:rFonts w:ascii="Times New Roman" w:hAnsi="Times New Roman"/>
                <w:bCs/>
                <w:color w:val="000000" w:themeColor="text1"/>
                <w:sz w:val="20"/>
                <w:szCs w:val="20"/>
                <w:lang w:val="en-US" w:eastAsia="ru-RU"/>
              </w:rPr>
              <w:t>3978G→C</w:t>
            </w:r>
          </w:p>
          <w:p w14:paraId="284C7512" w14:textId="77777777" w:rsidR="00D41138" w:rsidRPr="00337216" w:rsidRDefault="00D41138">
            <w:pPr>
              <w:pStyle w:val="Brdtekst"/>
              <w:kinsoku w:val="0"/>
              <w:overflowPunct w:val="0"/>
              <w:ind w:left="57"/>
              <w:rPr>
                <w:rFonts w:ascii="Times New Roman" w:hAnsi="Times New Roman"/>
                <w:bCs/>
                <w:color w:val="000000" w:themeColor="text1"/>
                <w:sz w:val="20"/>
                <w:szCs w:val="20"/>
                <w:lang w:val="en-US" w:eastAsia="ru-RU"/>
              </w:rPr>
            </w:pPr>
            <w:r w:rsidRPr="00337216">
              <w:rPr>
                <w:rFonts w:ascii="Times New Roman" w:hAnsi="Times New Roman"/>
                <w:bCs/>
                <w:color w:val="000000" w:themeColor="text1"/>
                <w:sz w:val="20"/>
                <w:szCs w:val="20"/>
                <w:lang w:val="en-US" w:eastAsia="ru-RU"/>
              </w:rPr>
              <w:t>A46D</w:t>
            </w:r>
          </w:p>
          <w:p w14:paraId="1833F64E" w14:textId="77777777" w:rsidR="00D41138" w:rsidRPr="00337216" w:rsidRDefault="00D41138">
            <w:pPr>
              <w:pStyle w:val="Brdtekst"/>
              <w:kinsoku w:val="0"/>
              <w:overflowPunct w:val="0"/>
              <w:ind w:left="57"/>
              <w:rPr>
                <w:rFonts w:ascii="Times New Roman" w:hAnsi="Times New Roman"/>
                <w:bCs/>
                <w:color w:val="000000" w:themeColor="text1"/>
                <w:sz w:val="20"/>
                <w:szCs w:val="20"/>
                <w:lang w:val="en-US" w:eastAsia="ru-RU"/>
              </w:rPr>
            </w:pPr>
            <w:r w:rsidRPr="00337216">
              <w:rPr>
                <w:rFonts w:ascii="Times New Roman" w:hAnsi="Times New Roman"/>
                <w:bCs/>
                <w:color w:val="000000" w:themeColor="text1"/>
                <w:sz w:val="20"/>
                <w:szCs w:val="20"/>
                <w:lang w:val="en-US" w:eastAsia="ru-RU"/>
              </w:rPr>
              <w:t>A62P</w:t>
            </w:r>
          </w:p>
          <w:p w14:paraId="1C7CBBBF" w14:textId="77777777" w:rsidR="00D41138" w:rsidRPr="00337216" w:rsidRDefault="00D41138">
            <w:pPr>
              <w:pStyle w:val="Brdtekst"/>
              <w:kinsoku w:val="0"/>
              <w:overflowPunct w:val="0"/>
              <w:ind w:left="57"/>
              <w:rPr>
                <w:rFonts w:ascii="Times New Roman" w:hAnsi="Times New Roman"/>
                <w:bCs/>
                <w:color w:val="000000" w:themeColor="text1"/>
                <w:sz w:val="20"/>
                <w:szCs w:val="20"/>
                <w:lang w:val="en-US" w:eastAsia="ru-RU"/>
              </w:rPr>
            </w:pPr>
            <w:r w:rsidRPr="00337216">
              <w:rPr>
                <w:rFonts w:ascii="Times New Roman" w:hAnsi="Times New Roman"/>
                <w:bCs/>
                <w:color w:val="000000" w:themeColor="text1"/>
                <w:sz w:val="20"/>
                <w:szCs w:val="20"/>
                <w:lang w:val="en-US" w:eastAsia="ru-RU"/>
              </w:rPr>
              <w:t>A107G</w:t>
            </w:r>
          </w:p>
          <w:p w14:paraId="783B44B5" w14:textId="77777777" w:rsidR="00D41138" w:rsidRPr="00337216" w:rsidRDefault="00D41138">
            <w:pPr>
              <w:pStyle w:val="Brdtekst"/>
              <w:kinsoku w:val="0"/>
              <w:overflowPunct w:val="0"/>
              <w:ind w:left="57"/>
              <w:rPr>
                <w:rFonts w:ascii="Times New Roman" w:hAnsi="Times New Roman"/>
                <w:bCs/>
                <w:color w:val="000000" w:themeColor="text1"/>
                <w:sz w:val="20"/>
                <w:szCs w:val="20"/>
                <w:lang w:val="en-US" w:eastAsia="ru-RU"/>
              </w:rPr>
            </w:pPr>
            <w:r w:rsidRPr="00337216">
              <w:rPr>
                <w:rFonts w:ascii="Times New Roman" w:hAnsi="Times New Roman"/>
                <w:bCs/>
                <w:color w:val="000000" w:themeColor="text1"/>
                <w:sz w:val="20"/>
                <w:szCs w:val="20"/>
                <w:lang w:val="en-US" w:eastAsia="ru-RU"/>
              </w:rPr>
              <w:t>A120T</w:t>
            </w:r>
          </w:p>
          <w:p w14:paraId="14C7C80C" w14:textId="77777777" w:rsidR="00D41138" w:rsidRPr="00337216" w:rsidRDefault="00D41138">
            <w:pPr>
              <w:pStyle w:val="Brdtekst"/>
              <w:kinsoku w:val="0"/>
              <w:overflowPunct w:val="0"/>
              <w:ind w:left="57"/>
              <w:rPr>
                <w:rFonts w:ascii="Times New Roman" w:hAnsi="Times New Roman"/>
                <w:bCs/>
                <w:color w:val="000000" w:themeColor="text1"/>
                <w:sz w:val="20"/>
                <w:szCs w:val="20"/>
                <w:lang w:val="en-US" w:eastAsia="ru-RU"/>
              </w:rPr>
            </w:pPr>
            <w:r w:rsidRPr="00337216">
              <w:rPr>
                <w:rFonts w:ascii="Times New Roman" w:hAnsi="Times New Roman"/>
                <w:bCs/>
                <w:color w:val="000000" w:themeColor="text1"/>
                <w:sz w:val="20"/>
                <w:szCs w:val="20"/>
                <w:lang w:val="en-US" w:eastAsia="ru-RU"/>
              </w:rPr>
              <w:t>A141D</w:t>
            </w:r>
          </w:p>
          <w:p w14:paraId="4F52243D" w14:textId="77777777" w:rsidR="00D41138" w:rsidRPr="00337216" w:rsidRDefault="00D41138">
            <w:pPr>
              <w:pStyle w:val="Brdtekst"/>
              <w:kinsoku w:val="0"/>
              <w:overflowPunct w:val="0"/>
              <w:ind w:left="57"/>
              <w:rPr>
                <w:rFonts w:ascii="Times New Roman" w:hAnsi="Times New Roman"/>
                <w:bCs/>
                <w:color w:val="000000" w:themeColor="text1"/>
                <w:sz w:val="20"/>
                <w:szCs w:val="20"/>
                <w:lang w:val="en-US" w:eastAsia="ru-RU"/>
              </w:rPr>
            </w:pPr>
            <w:r w:rsidRPr="00337216">
              <w:rPr>
                <w:rFonts w:ascii="Times New Roman" w:hAnsi="Times New Roman"/>
                <w:bCs/>
                <w:color w:val="000000" w:themeColor="text1"/>
                <w:sz w:val="20"/>
                <w:szCs w:val="20"/>
                <w:lang w:val="en-US" w:eastAsia="ru-RU"/>
              </w:rPr>
              <w:t>A155P</w:t>
            </w:r>
          </w:p>
          <w:p w14:paraId="1D4514A0" w14:textId="77777777" w:rsidR="00D41138" w:rsidRPr="00337216" w:rsidRDefault="00D41138">
            <w:pPr>
              <w:pStyle w:val="Brdtekst"/>
              <w:kinsoku w:val="0"/>
              <w:overflowPunct w:val="0"/>
              <w:ind w:left="57"/>
              <w:rPr>
                <w:rFonts w:ascii="Times New Roman" w:hAnsi="Times New Roman"/>
                <w:bCs/>
                <w:color w:val="000000" w:themeColor="text1"/>
                <w:sz w:val="20"/>
                <w:szCs w:val="20"/>
                <w:lang w:val="en-US" w:eastAsia="ru-RU"/>
              </w:rPr>
            </w:pPr>
            <w:r w:rsidRPr="00337216">
              <w:rPr>
                <w:rFonts w:ascii="Times New Roman" w:hAnsi="Times New Roman"/>
                <w:bCs/>
                <w:color w:val="000000" w:themeColor="text1"/>
                <w:sz w:val="20"/>
                <w:szCs w:val="20"/>
                <w:lang w:val="en-US" w:eastAsia="ru-RU"/>
              </w:rPr>
              <w:t>A234D</w:t>
            </w:r>
          </w:p>
          <w:p w14:paraId="7E34F724" w14:textId="77777777" w:rsidR="00D41138" w:rsidRPr="00337216" w:rsidRDefault="00D41138">
            <w:pPr>
              <w:pStyle w:val="Brdtekst"/>
              <w:kinsoku w:val="0"/>
              <w:overflowPunct w:val="0"/>
              <w:ind w:left="57"/>
              <w:rPr>
                <w:rFonts w:ascii="Times New Roman" w:hAnsi="Times New Roman"/>
                <w:bCs/>
                <w:color w:val="000000" w:themeColor="text1"/>
                <w:sz w:val="20"/>
                <w:szCs w:val="20"/>
                <w:lang w:val="en-US" w:eastAsia="ru-RU"/>
              </w:rPr>
            </w:pPr>
            <w:r w:rsidRPr="00337216">
              <w:rPr>
                <w:rFonts w:ascii="Times New Roman" w:hAnsi="Times New Roman"/>
                <w:bCs/>
                <w:color w:val="000000" w:themeColor="text1"/>
                <w:sz w:val="20"/>
                <w:szCs w:val="20"/>
                <w:lang w:val="en-US" w:eastAsia="ru-RU"/>
              </w:rPr>
              <w:t>A234V</w:t>
            </w:r>
          </w:p>
          <w:p w14:paraId="50FA290C" w14:textId="77777777" w:rsidR="00D41138" w:rsidRPr="00337216" w:rsidRDefault="00D41138">
            <w:pPr>
              <w:pStyle w:val="Brdtekst"/>
              <w:kinsoku w:val="0"/>
              <w:overflowPunct w:val="0"/>
              <w:ind w:left="57"/>
              <w:rPr>
                <w:rFonts w:ascii="Times New Roman" w:hAnsi="Times New Roman"/>
                <w:bCs/>
                <w:color w:val="000000" w:themeColor="text1"/>
                <w:sz w:val="20"/>
                <w:szCs w:val="20"/>
                <w:lang w:val="en-US" w:eastAsia="ru-RU"/>
              </w:rPr>
            </w:pPr>
            <w:r w:rsidRPr="00337216">
              <w:rPr>
                <w:rFonts w:ascii="Times New Roman" w:hAnsi="Times New Roman"/>
                <w:bCs/>
                <w:color w:val="000000" w:themeColor="text1"/>
                <w:sz w:val="20"/>
                <w:szCs w:val="20"/>
                <w:lang w:val="en-US" w:eastAsia="ru-RU"/>
              </w:rPr>
              <w:t>A238V</w:t>
            </w:r>
          </w:p>
          <w:p w14:paraId="28058CB3" w14:textId="77777777" w:rsidR="00D41138" w:rsidRPr="00337216" w:rsidRDefault="00D41138">
            <w:pPr>
              <w:pStyle w:val="Brdtekst"/>
              <w:kinsoku w:val="0"/>
              <w:overflowPunct w:val="0"/>
              <w:ind w:left="57"/>
              <w:rPr>
                <w:rFonts w:ascii="Times New Roman" w:hAnsi="Times New Roman"/>
                <w:bCs/>
                <w:color w:val="000000" w:themeColor="text1"/>
                <w:sz w:val="20"/>
                <w:szCs w:val="20"/>
                <w:lang w:val="en-US" w:eastAsia="ru-RU"/>
              </w:rPr>
            </w:pPr>
            <w:r w:rsidRPr="00337216">
              <w:rPr>
                <w:rFonts w:ascii="Times New Roman" w:hAnsi="Times New Roman"/>
                <w:bCs/>
                <w:color w:val="000000" w:themeColor="text1"/>
                <w:sz w:val="20"/>
                <w:szCs w:val="20"/>
                <w:lang w:val="en-US" w:eastAsia="ru-RU"/>
              </w:rPr>
              <w:t>A309D</w:t>
            </w:r>
          </w:p>
          <w:p w14:paraId="77F3729C" w14:textId="77777777" w:rsidR="00D41138" w:rsidRPr="00337216" w:rsidRDefault="00D41138">
            <w:pPr>
              <w:pStyle w:val="Brdtekst"/>
              <w:kinsoku w:val="0"/>
              <w:overflowPunct w:val="0"/>
              <w:ind w:left="57"/>
              <w:rPr>
                <w:rFonts w:ascii="Times New Roman" w:hAnsi="Times New Roman"/>
                <w:bCs/>
                <w:color w:val="000000" w:themeColor="text1"/>
                <w:sz w:val="20"/>
                <w:szCs w:val="20"/>
                <w:lang w:val="en-US" w:eastAsia="ru-RU"/>
              </w:rPr>
            </w:pPr>
            <w:r w:rsidRPr="00337216">
              <w:rPr>
                <w:rFonts w:ascii="Times New Roman" w:hAnsi="Times New Roman"/>
                <w:bCs/>
                <w:color w:val="000000" w:themeColor="text1"/>
                <w:sz w:val="20"/>
                <w:szCs w:val="20"/>
                <w:lang w:val="en-US" w:eastAsia="ru-RU"/>
              </w:rPr>
              <w:t>A349V</w:t>
            </w:r>
          </w:p>
          <w:p w14:paraId="5180C4BB" w14:textId="77777777" w:rsidR="00D41138" w:rsidRPr="00337216" w:rsidRDefault="00D41138">
            <w:pPr>
              <w:pStyle w:val="Brdtekst"/>
              <w:kinsoku w:val="0"/>
              <w:overflowPunct w:val="0"/>
              <w:ind w:left="57"/>
              <w:rPr>
                <w:rFonts w:ascii="Times New Roman" w:hAnsi="Times New Roman"/>
                <w:bCs/>
                <w:color w:val="000000" w:themeColor="text1"/>
                <w:sz w:val="20"/>
                <w:szCs w:val="20"/>
                <w:lang w:val="en-US" w:eastAsia="ru-RU"/>
              </w:rPr>
            </w:pPr>
            <w:r w:rsidRPr="00337216">
              <w:rPr>
                <w:rFonts w:ascii="Times New Roman" w:hAnsi="Times New Roman"/>
                <w:bCs/>
                <w:color w:val="000000" w:themeColor="text1"/>
                <w:sz w:val="20"/>
                <w:szCs w:val="20"/>
                <w:lang w:val="en-US" w:eastAsia="ru-RU"/>
              </w:rPr>
              <w:t>A357T</w:t>
            </w:r>
          </w:p>
          <w:p w14:paraId="54080FBA" w14:textId="77777777" w:rsidR="00D41138" w:rsidRPr="00337216" w:rsidRDefault="00D41138">
            <w:pPr>
              <w:pStyle w:val="Brdtekst"/>
              <w:kinsoku w:val="0"/>
              <w:overflowPunct w:val="0"/>
              <w:ind w:left="57"/>
              <w:rPr>
                <w:rFonts w:ascii="Times New Roman" w:hAnsi="Times New Roman"/>
                <w:bCs/>
                <w:color w:val="000000" w:themeColor="text1"/>
                <w:sz w:val="20"/>
                <w:szCs w:val="20"/>
                <w:lang w:val="en-US" w:eastAsia="ru-RU"/>
              </w:rPr>
            </w:pPr>
            <w:r w:rsidRPr="00337216">
              <w:rPr>
                <w:rFonts w:ascii="Times New Roman" w:hAnsi="Times New Roman"/>
                <w:bCs/>
                <w:color w:val="000000" w:themeColor="text1"/>
                <w:sz w:val="20"/>
                <w:szCs w:val="20"/>
                <w:lang w:val="en-US" w:eastAsia="ru-RU"/>
              </w:rPr>
              <w:t>A455E*†</w:t>
            </w:r>
          </w:p>
          <w:p w14:paraId="54502B96" w14:textId="77777777" w:rsidR="00D41138" w:rsidRPr="00337216" w:rsidRDefault="00D41138">
            <w:pPr>
              <w:pStyle w:val="Brdtekst"/>
              <w:kinsoku w:val="0"/>
              <w:overflowPunct w:val="0"/>
              <w:ind w:left="57"/>
              <w:rPr>
                <w:rFonts w:ascii="Times New Roman" w:hAnsi="Times New Roman"/>
                <w:bCs/>
                <w:color w:val="000000" w:themeColor="text1"/>
                <w:sz w:val="20"/>
                <w:szCs w:val="20"/>
                <w:lang w:val="en-US" w:eastAsia="ru-RU"/>
              </w:rPr>
            </w:pPr>
            <w:r w:rsidRPr="00337216">
              <w:rPr>
                <w:rFonts w:ascii="Times New Roman" w:hAnsi="Times New Roman"/>
                <w:bCs/>
                <w:color w:val="000000" w:themeColor="text1"/>
                <w:sz w:val="20"/>
                <w:szCs w:val="20"/>
                <w:lang w:val="en-US" w:eastAsia="ru-RU"/>
              </w:rPr>
              <w:t>A455V</w:t>
            </w:r>
          </w:p>
          <w:p w14:paraId="22A4EB3E" w14:textId="77777777" w:rsidR="00D41138" w:rsidRPr="00337216" w:rsidRDefault="00D41138">
            <w:pPr>
              <w:pStyle w:val="Brdtekst"/>
              <w:kinsoku w:val="0"/>
              <w:overflowPunct w:val="0"/>
              <w:ind w:left="57"/>
              <w:rPr>
                <w:rFonts w:ascii="Times New Roman" w:hAnsi="Times New Roman"/>
                <w:bCs/>
                <w:color w:val="000000" w:themeColor="text1"/>
                <w:sz w:val="20"/>
                <w:szCs w:val="20"/>
                <w:lang w:val="en-US" w:eastAsia="ru-RU"/>
              </w:rPr>
            </w:pPr>
            <w:r w:rsidRPr="00337216">
              <w:rPr>
                <w:rFonts w:ascii="Times New Roman" w:hAnsi="Times New Roman"/>
                <w:bCs/>
                <w:color w:val="000000" w:themeColor="text1"/>
                <w:sz w:val="20"/>
                <w:szCs w:val="20"/>
                <w:lang w:val="en-US" w:eastAsia="ru-RU"/>
              </w:rPr>
              <w:t>A457T</w:t>
            </w:r>
          </w:p>
          <w:p w14:paraId="2BE16385" w14:textId="77777777" w:rsidR="00D41138" w:rsidRPr="00337216" w:rsidRDefault="00D41138">
            <w:pPr>
              <w:pStyle w:val="Brdtekst"/>
              <w:kinsoku w:val="0"/>
              <w:overflowPunct w:val="0"/>
              <w:ind w:left="57"/>
              <w:rPr>
                <w:rFonts w:ascii="Times New Roman" w:hAnsi="Times New Roman"/>
                <w:bCs/>
                <w:color w:val="000000" w:themeColor="text1"/>
                <w:sz w:val="20"/>
                <w:szCs w:val="20"/>
                <w:lang w:val="en-US" w:eastAsia="ru-RU"/>
              </w:rPr>
            </w:pPr>
            <w:r w:rsidRPr="00337216">
              <w:rPr>
                <w:rFonts w:ascii="Times New Roman" w:hAnsi="Times New Roman"/>
                <w:bCs/>
                <w:color w:val="000000" w:themeColor="text1"/>
                <w:sz w:val="20"/>
                <w:szCs w:val="20"/>
                <w:lang w:val="en-US" w:eastAsia="ru-RU"/>
              </w:rPr>
              <w:t>A462P</w:t>
            </w:r>
          </w:p>
          <w:p w14:paraId="00B3AF6D" w14:textId="77777777" w:rsidR="00D41138" w:rsidRPr="00337216" w:rsidRDefault="00D41138">
            <w:pPr>
              <w:pStyle w:val="Brdtekst"/>
              <w:kinsoku w:val="0"/>
              <w:overflowPunct w:val="0"/>
              <w:ind w:left="57"/>
              <w:rPr>
                <w:rFonts w:ascii="Times New Roman" w:hAnsi="Times New Roman"/>
                <w:bCs/>
                <w:color w:val="000000" w:themeColor="text1"/>
                <w:sz w:val="20"/>
                <w:szCs w:val="20"/>
                <w:lang w:val="en-US" w:eastAsia="ru-RU"/>
              </w:rPr>
            </w:pPr>
            <w:r w:rsidRPr="00337216">
              <w:rPr>
                <w:rFonts w:ascii="Times New Roman" w:hAnsi="Times New Roman"/>
                <w:bCs/>
                <w:color w:val="000000" w:themeColor="text1"/>
                <w:sz w:val="20"/>
                <w:szCs w:val="20"/>
                <w:lang w:val="en-US" w:eastAsia="ru-RU"/>
              </w:rPr>
              <w:t>A534E</w:t>
            </w:r>
          </w:p>
          <w:p w14:paraId="085D8E5E" w14:textId="77777777" w:rsidR="00D41138" w:rsidRPr="00337216" w:rsidRDefault="00D41138">
            <w:pPr>
              <w:pStyle w:val="Brdtekst"/>
              <w:kinsoku w:val="0"/>
              <w:overflowPunct w:val="0"/>
              <w:ind w:left="57"/>
              <w:rPr>
                <w:rFonts w:ascii="Times New Roman" w:hAnsi="Times New Roman"/>
                <w:bCs/>
                <w:color w:val="000000" w:themeColor="text1"/>
                <w:sz w:val="20"/>
                <w:szCs w:val="20"/>
                <w:lang w:val="en-US" w:eastAsia="ru-RU"/>
              </w:rPr>
            </w:pPr>
            <w:r w:rsidRPr="00337216">
              <w:rPr>
                <w:rFonts w:ascii="Times New Roman" w:hAnsi="Times New Roman"/>
                <w:bCs/>
                <w:color w:val="000000" w:themeColor="text1"/>
                <w:sz w:val="20"/>
                <w:szCs w:val="20"/>
                <w:lang w:val="en-US" w:eastAsia="ru-RU"/>
              </w:rPr>
              <w:t>A554E</w:t>
            </w:r>
          </w:p>
          <w:p w14:paraId="082B4E3F" w14:textId="77777777" w:rsidR="00D41138" w:rsidRPr="00337216" w:rsidRDefault="00D41138">
            <w:pPr>
              <w:pStyle w:val="Brdtekst"/>
              <w:kinsoku w:val="0"/>
              <w:overflowPunct w:val="0"/>
              <w:ind w:left="57"/>
              <w:rPr>
                <w:rFonts w:ascii="Times New Roman" w:hAnsi="Times New Roman"/>
                <w:bCs/>
                <w:color w:val="000000" w:themeColor="text1"/>
                <w:sz w:val="20"/>
                <w:szCs w:val="20"/>
                <w:lang w:val="en-US" w:eastAsia="ru-RU"/>
              </w:rPr>
            </w:pPr>
            <w:r w:rsidRPr="00337216">
              <w:rPr>
                <w:rFonts w:ascii="Times New Roman" w:hAnsi="Times New Roman"/>
                <w:bCs/>
                <w:color w:val="000000" w:themeColor="text1"/>
                <w:sz w:val="20"/>
                <w:szCs w:val="20"/>
                <w:lang w:val="en-US" w:eastAsia="ru-RU"/>
              </w:rPr>
              <w:t>A566D</w:t>
            </w:r>
          </w:p>
          <w:p w14:paraId="0065784E" w14:textId="77777777" w:rsidR="00D41138" w:rsidRPr="00337216" w:rsidRDefault="00D41138">
            <w:pPr>
              <w:pStyle w:val="Brdtekst"/>
              <w:kinsoku w:val="0"/>
              <w:overflowPunct w:val="0"/>
              <w:ind w:left="57"/>
              <w:rPr>
                <w:rFonts w:ascii="Times New Roman" w:hAnsi="Times New Roman"/>
                <w:bCs/>
                <w:color w:val="000000" w:themeColor="text1"/>
                <w:sz w:val="20"/>
                <w:szCs w:val="20"/>
                <w:lang w:val="en-US" w:eastAsia="ru-RU"/>
              </w:rPr>
            </w:pPr>
            <w:r w:rsidRPr="00337216">
              <w:rPr>
                <w:rFonts w:ascii="Times New Roman" w:hAnsi="Times New Roman"/>
                <w:bCs/>
                <w:color w:val="000000" w:themeColor="text1"/>
                <w:sz w:val="20"/>
                <w:szCs w:val="20"/>
                <w:lang w:val="en-US" w:eastAsia="ru-RU"/>
              </w:rPr>
              <w:t>A872E</w:t>
            </w:r>
          </w:p>
          <w:p w14:paraId="4FC50703" w14:textId="77777777" w:rsidR="00D41138" w:rsidRPr="00337216" w:rsidRDefault="00D41138">
            <w:pPr>
              <w:pStyle w:val="Brdtekst"/>
              <w:kinsoku w:val="0"/>
              <w:overflowPunct w:val="0"/>
              <w:ind w:left="57"/>
              <w:rPr>
                <w:rFonts w:ascii="Times New Roman" w:hAnsi="Times New Roman"/>
                <w:bCs/>
                <w:color w:val="000000" w:themeColor="text1"/>
                <w:sz w:val="20"/>
                <w:szCs w:val="20"/>
                <w:lang w:val="en-US" w:eastAsia="ru-RU"/>
              </w:rPr>
            </w:pPr>
            <w:r w:rsidRPr="00337216">
              <w:rPr>
                <w:rFonts w:ascii="Times New Roman" w:hAnsi="Times New Roman"/>
                <w:bCs/>
                <w:color w:val="000000" w:themeColor="text1"/>
                <w:sz w:val="20"/>
                <w:szCs w:val="20"/>
                <w:lang w:val="en-US" w:eastAsia="ru-RU"/>
              </w:rPr>
              <w:t>A1006E</w:t>
            </w:r>
          </w:p>
          <w:p w14:paraId="54AAE8E7" w14:textId="77777777" w:rsidR="00D41138" w:rsidRPr="00337216" w:rsidRDefault="00D41138">
            <w:pPr>
              <w:pStyle w:val="Brdtekst"/>
              <w:kinsoku w:val="0"/>
              <w:overflowPunct w:val="0"/>
              <w:ind w:left="57"/>
              <w:rPr>
                <w:rFonts w:ascii="Times New Roman" w:hAnsi="Times New Roman"/>
                <w:bCs/>
                <w:color w:val="000000" w:themeColor="text1"/>
                <w:sz w:val="20"/>
                <w:szCs w:val="20"/>
                <w:lang w:val="en-US" w:eastAsia="ru-RU"/>
              </w:rPr>
            </w:pPr>
            <w:r w:rsidRPr="00337216">
              <w:rPr>
                <w:rFonts w:ascii="Times New Roman" w:hAnsi="Times New Roman"/>
                <w:bCs/>
                <w:color w:val="000000" w:themeColor="text1"/>
                <w:sz w:val="20"/>
                <w:szCs w:val="20"/>
                <w:lang w:val="en-US" w:eastAsia="ru-RU"/>
              </w:rPr>
              <w:t>A1025D</w:t>
            </w:r>
          </w:p>
          <w:p w14:paraId="3BB5B831" w14:textId="77777777" w:rsidR="00D41138" w:rsidRPr="00337216" w:rsidRDefault="00D41138">
            <w:pPr>
              <w:pStyle w:val="Brdtekst"/>
              <w:kinsoku w:val="0"/>
              <w:overflowPunct w:val="0"/>
              <w:ind w:left="57"/>
              <w:rPr>
                <w:rFonts w:ascii="Times New Roman" w:hAnsi="Times New Roman"/>
                <w:bCs/>
                <w:color w:val="000000" w:themeColor="text1"/>
                <w:sz w:val="20"/>
                <w:szCs w:val="20"/>
                <w:lang w:val="en-US" w:eastAsia="ru-RU"/>
              </w:rPr>
            </w:pPr>
            <w:r w:rsidRPr="00337216">
              <w:rPr>
                <w:rFonts w:ascii="Times New Roman" w:hAnsi="Times New Roman"/>
                <w:bCs/>
                <w:color w:val="000000" w:themeColor="text1"/>
                <w:sz w:val="20"/>
                <w:szCs w:val="20"/>
                <w:lang w:val="en-US" w:eastAsia="ru-RU"/>
              </w:rPr>
              <w:t>A1067P</w:t>
            </w:r>
          </w:p>
          <w:p w14:paraId="4567F436" w14:textId="77777777" w:rsidR="00D41138" w:rsidRPr="00337216" w:rsidRDefault="00D41138">
            <w:pPr>
              <w:pStyle w:val="Brdtekst"/>
              <w:kinsoku w:val="0"/>
              <w:overflowPunct w:val="0"/>
              <w:ind w:left="0"/>
              <w:rPr>
                <w:rFonts w:ascii="Times New Roman" w:hAnsi="Times New Roman"/>
                <w:bCs/>
                <w:color w:val="000000" w:themeColor="text1"/>
                <w:sz w:val="20"/>
                <w:szCs w:val="20"/>
                <w:lang w:val="en-US" w:eastAsia="ru-RU"/>
              </w:rPr>
            </w:pPr>
            <w:r w:rsidRPr="00337216">
              <w:rPr>
                <w:rFonts w:ascii="Times New Roman" w:hAnsi="Times New Roman"/>
                <w:bCs/>
                <w:color w:val="000000" w:themeColor="text1"/>
                <w:sz w:val="20"/>
                <w:szCs w:val="20"/>
                <w:lang w:val="en-US" w:eastAsia="ru-RU"/>
              </w:rPr>
              <w:t xml:space="preserve"> A1067T</w:t>
            </w:r>
          </w:p>
          <w:p w14:paraId="40108F3D" w14:textId="77777777" w:rsidR="00D41138" w:rsidRPr="00337216" w:rsidRDefault="00D41138">
            <w:pPr>
              <w:pStyle w:val="Brdtekst"/>
              <w:kinsoku w:val="0"/>
              <w:overflowPunct w:val="0"/>
              <w:ind w:left="57"/>
              <w:rPr>
                <w:rFonts w:ascii="Times New Roman" w:hAnsi="Times New Roman"/>
                <w:bCs/>
                <w:color w:val="000000" w:themeColor="text1"/>
                <w:sz w:val="20"/>
                <w:szCs w:val="20"/>
                <w:lang w:val="en-US" w:eastAsia="ru-RU"/>
              </w:rPr>
            </w:pPr>
            <w:r w:rsidRPr="00337216">
              <w:rPr>
                <w:rFonts w:ascii="Times New Roman" w:hAnsi="Times New Roman"/>
                <w:bCs/>
                <w:color w:val="000000" w:themeColor="text1"/>
                <w:sz w:val="20"/>
                <w:szCs w:val="20"/>
                <w:lang w:val="en-US" w:eastAsia="ru-RU"/>
              </w:rPr>
              <w:t>A1067V</w:t>
            </w:r>
          </w:p>
          <w:p w14:paraId="5653E5E9" w14:textId="77777777" w:rsidR="00D41138" w:rsidRPr="00337216" w:rsidRDefault="00D41138">
            <w:pPr>
              <w:pStyle w:val="Brdtekst"/>
              <w:kinsoku w:val="0"/>
              <w:overflowPunct w:val="0"/>
              <w:ind w:left="57"/>
              <w:rPr>
                <w:rFonts w:ascii="Times New Roman" w:hAnsi="Times New Roman"/>
                <w:bCs/>
                <w:color w:val="000000" w:themeColor="text1"/>
                <w:sz w:val="20"/>
                <w:szCs w:val="20"/>
                <w:lang w:val="en-US" w:eastAsia="ru-RU"/>
              </w:rPr>
            </w:pPr>
            <w:r w:rsidRPr="00337216">
              <w:rPr>
                <w:rFonts w:ascii="Times New Roman" w:hAnsi="Times New Roman"/>
                <w:bCs/>
                <w:color w:val="000000" w:themeColor="text1"/>
                <w:sz w:val="20"/>
                <w:szCs w:val="20"/>
                <w:lang w:val="en-US" w:eastAsia="ru-RU"/>
              </w:rPr>
              <w:t>A1081V</w:t>
            </w:r>
          </w:p>
          <w:p w14:paraId="6BA7F1CF" w14:textId="77777777" w:rsidR="00D41138" w:rsidRPr="00337216" w:rsidRDefault="00D41138">
            <w:pPr>
              <w:pStyle w:val="Brdtekst"/>
              <w:kinsoku w:val="0"/>
              <w:overflowPunct w:val="0"/>
              <w:ind w:left="57"/>
              <w:rPr>
                <w:rFonts w:ascii="Times New Roman" w:hAnsi="Times New Roman"/>
                <w:bCs/>
                <w:color w:val="000000" w:themeColor="text1"/>
                <w:sz w:val="20"/>
                <w:szCs w:val="20"/>
                <w:lang w:val="en-US" w:eastAsia="ru-RU"/>
              </w:rPr>
            </w:pPr>
            <w:r w:rsidRPr="00337216">
              <w:rPr>
                <w:rFonts w:ascii="Times New Roman" w:hAnsi="Times New Roman"/>
                <w:bCs/>
                <w:color w:val="000000" w:themeColor="text1"/>
                <w:sz w:val="20"/>
                <w:szCs w:val="20"/>
                <w:lang w:val="en-US" w:eastAsia="ru-RU"/>
              </w:rPr>
              <w:t>A1087P</w:t>
            </w:r>
          </w:p>
          <w:p w14:paraId="24F48E0F" w14:textId="77777777" w:rsidR="00D41138" w:rsidRPr="00337216" w:rsidRDefault="00D41138">
            <w:pPr>
              <w:pStyle w:val="Brdtekst"/>
              <w:kinsoku w:val="0"/>
              <w:overflowPunct w:val="0"/>
              <w:ind w:left="57"/>
              <w:rPr>
                <w:rFonts w:ascii="Times New Roman" w:hAnsi="Times New Roman"/>
                <w:bCs/>
                <w:color w:val="000000" w:themeColor="text1"/>
                <w:sz w:val="20"/>
                <w:szCs w:val="20"/>
                <w:lang w:val="en-US" w:eastAsia="ru-RU"/>
              </w:rPr>
            </w:pPr>
            <w:r w:rsidRPr="00337216">
              <w:rPr>
                <w:rFonts w:ascii="Times New Roman" w:hAnsi="Times New Roman"/>
                <w:bCs/>
                <w:color w:val="000000" w:themeColor="text1"/>
                <w:sz w:val="20"/>
                <w:szCs w:val="20"/>
                <w:lang w:val="en-US" w:eastAsia="ru-RU"/>
              </w:rPr>
              <w:t>A1319E</w:t>
            </w:r>
          </w:p>
          <w:p w14:paraId="54FA92AA" w14:textId="77777777" w:rsidR="00D41138" w:rsidRPr="00337216" w:rsidRDefault="00D41138">
            <w:pPr>
              <w:pStyle w:val="Brdtekst"/>
              <w:kinsoku w:val="0"/>
              <w:overflowPunct w:val="0"/>
              <w:ind w:left="57"/>
              <w:rPr>
                <w:rFonts w:ascii="Times New Roman" w:hAnsi="Times New Roman"/>
                <w:bCs/>
                <w:color w:val="000000" w:themeColor="text1"/>
                <w:sz w:val="20"/>
                <w:szCs w:val="20"/>
                <w:lang w:val="en-US" w:eastAsia="ru-RU"/>
              </w:rPr>
            </w:pPr>
            <w:r w:rsidRPr="00337216">
              <w:rPr>
                <w:rFonts w:ascii="Times New Roman" w:hAnsi="Times New Roman"/>
                <w:bCs/>
                <w:color w:val="000000" w:themeColor="text1"/>
                <w:sz w:val="20"/>
                <w:szCs w:val="20"/>
                <w:lang w:val="en-US" w:eastAsia="ru-RU"/>
              </w:rPr>
              <w:t>A1374D</w:t>
            </w:r>
          </w:p>
          <w:p w14:paraId="2BD96CF5" w14:textId="77777777" w:rsidR="00D41138" w:rsidRPr="00337216" w:rsidRDefault="00D41138">
            <w:pPr>
              <w:pStyle w:val="Brdtekst"/>
              <w:kinsoku w:val="0"/>
              <w:overflowPunct w:val="0"/>
              <w:ind w:left="57"/>
              <w:rPr>
                <w:rFonts w:ascii="Times New Roman" w:hAnsi="Times New Roman"/>
                <w:bCs/>
                <w:color w:val="000000" w:themeColor="text1"/>
                <w:sz w:val="20"/>
                <w:szCs w:val="20"/>
                <w:lang w:val="en-US" w:eastAsia="ru-RU"/>
              </w:rPr>
            </w:pPr>
            <w:r w:rsidRPr="00337216">
              <w:rPr>
                <w:rFonts w:ascii="Times New Roman" w:hAnsi="Times New Roman"/>
                <w:bCs/>
                <w:color w:val="000000" w:themeColor="text1"/>
                <w:sz w:val="20"/>
                <w:szCs w:val="20"/>
                <w:lang w:val="en-US" w:eastAsia="ru-RU"/>
              </w:rPr>
              <w:t>A1466S</w:t>
            </w:r>
          </w:p>
          <w:p w14:paraId="4F35CDBE" w14:textId="77777777" w:rsidR="00D41138" w:rsidRPr="00337216" w:rsidRDefault="00D41138">
            <w:pPr>
              <w:pStyle w:val="Brdtekst"/>
              <w:kinsoku w:val="0"/>
              <w:overflowPunct w:val="0"/>
              <w:ind w:left="57"/>
              <w:rPr>
                <w:rFonts w:ascii="Times New Roman" w:hAnsi="Times New Roman"/>
                <w:bCs/>
                <w:color w:val="000000" w:themeColor="text1"/>
                <w:sz w:val="20"/>
                <w:szCs w:val="20"/>
                <w:lang w:val="en-US" w:eastAsia="ru-RU"/>
              </w:rPr>
            </w:pPr>
            <w:r w:rsidRPr="00337216">
              <w:rPr>
                <w:rFonts w:ascii="Times New Roman" w:hAnsi="Times New Roman"/>
                <w:bCs/>
                <w:color w:val="000000" w:themeColor="text1"/>
                <w:sz w:val="20"/>
                <w:szCs w:val="20"/>
                <w:lang w:val="en-US" w:eastAsia="ru-RU"/>
              </w:rPr>
              <w:t>C225R</w:t>
            </w:r>
          </w:p>
          <w:p w14:paraId="5E22CA96" w14:textId="77777777" w:rsidR="00D41138" w:rsidRPr="00337216" w:rsidRDefault="00D41138">
            <w:pPr>
              <w:pStyle w:val="Brdtekst"/>
              <w:kinsoku w:val="0"/>
              <w:overflowPunct w:val="0"/>
              <w:ind w:left="57"/>
              <w:rPr>
                <w:rFonts w:ascii="Times New Roman" w:hAnsi="Times New Roman"/>
                <w:bCs/>
                <w:color w:val="000000" w:themeColor="text1"/>
                <w:sz w:val="20"/>
                <w:szCs w:val="20"/>
                <w:lang w:val="en-US" w:eastAsia="ru-RU"/>
              </w:rPr>
            </w:pPr>
            <w:r w:rsidRPr="00337216">
              <w:rPr>
                <w:rFonts w:ascii="Times New Roman" w:hAnsi="Times New Roman"/>
                <w:bCs/>
                <w:color w:val="000000" w:themeColor="text1"/>
                <w:sz w:val="20"/>
                <w:szCs w:val="20"/>
                <w:lang w:val="en-US" w:eastAsia="ru-RU"/>
              </w:rPr>
              <w:t>C491R</w:t>
            </w:r>
          </w:p>
          <w:p w14:paraId="77C2D127" w14:textId="77777777" w:rsidR="00D41138" w:rsidRPr="00337216" w:rsidRDefault="00D41138">
            <w:pPr>
              <w:pStyle w:val="Brdtekst"/>
              <w:kinsoku w:val="0"/>
              <w:overflowPunct w:val="0"/>
              <w:ind w:left="57"/>
              <w:rPr>
                <w:rFonts w:ascii="Times New Roman" w:hAnsi="Times New Roman"/>
                <w:bCs/>
                <w:color w:val="000000" w:themeColor="text1"/>
                <w:sz w:val="20"/>
                <w:szCs w:val="20"/>
                <w:lang w:val="en-US" w:eastAsia="ru-RU"/>
              </w:rPr>
            </w:pPr>
            <w:r w:rsidRPr="00337216">
              <w:rPr>
                <w:rFonts w:ascii="Times New Roman" w:hAnsi="Times New Roman"/>
                <w:bCs/>
                <w:color w:val="000000" w:themeColor="text1"/>
                <w:sz w:val="20"/>
                <w:szCs w:val="20"/>
                <w:lang w:val="en-US" w:eastAsia="ru-RU"/>
              </w:rPr>
              <w:t>C590Y</w:t>
            </w:r>
          </w:p>
          <w:p w14:paraId="07DEBE41" w14:textId="77777777" w:rsidR="00D41138" w:rsidRPr="00337216" w:rsidRDefault="00D41138">
            <w:pPr>
              <w:pStyle w:val="Brdtekst"/>
              <w:kinsoku w:val="0"/>
              <w:overflowPunct w:val="0"/>
              <w:ind w:left="57"/>
              <w:rPr>
                <w:rFonts w:ascii="Times New Roman" w:hAnsi="Times New Roman"/>
                <w:bCs/>
                <w:color w:val="000000" w:themeColor="text1"/>
                <w:sz w:val="20"/>
                <w:szCs w:val="20"/>
                <w:lang w:val="en-US" w:eastAsia="ru-RU"/>
              </w:rPr>
            </w:pPr>
            <w:r w:rsidRPr="00337216">
              <w:rPr>
                <w:rFonts w:ascii="Times New Roman" w:hAnsi="Times New Roman"/>
                <w:bCs/>
                <w:color w:val="000000" w:themeColor="text1"/>
                <w:sz w:val="20"/>
                <w:szCs w:val="20"/>
                <w:lang w:val="en-US" w:eastAsia="ru-RU"/>
              </w:rPr>
              <w:t>C866Y</w:t>
            </w:r>
          </w:p>
          <w:p w14:paraId="07358B79" w14:textId="77777777" w:rsidR="00D41138" w:rsidRPr="00337216" w:rsidRDefault="00D41138">
            <w:pPr>
              <w:pStyle w:val="Brdtekst"/>
              <w:kinsoku w:val="0"/>
              <w:overflowPunct w:val="0"/>
              <w:ind w:left="57"/>
              <w:rPr>
                <w:rFonts w:ascii="Times New Roman" w:hAnsi="Times New Roman"/>
                <w:bCs/>
                <w:color w:val="000000" w:themeColor="text1"/>
                <w:sz w:val="20"/>
                <w:szCs w:val="20"/>
                <w:lang w:val="en-US" w:eastAsia="ru-RU"/>
              </w:rPr>
            </w:pPr>
            <w:r w:rsidRPr="00337216">
              <w:rPr>
                <w:rFonts w:ascii="Times New Roman" w:hAnsi="Times New Roman"/>
                <w:bCs/>
                <w:color w:val="000000" w:themeColor="text1"/>
                <w:sz w:val="20"/>
                <w:szCs w:val="20"/>
                <w:lang w:val="en-US" w:eastAsia="ru-RU"/>
              </w:rPr>
              <w:t>c.1367_1369dupTTG</w:t>
            </w:r>
          </w:p>
          <w:p w14:paraId="2C345BDA" w14:textId="77777777" w:rsidR="00D41138" w:rsidRPr="00337216" w:rsidRDefault="00D41138">
            <w:pPr>
              <w:pStyle w:val="Brdtekst"/>
              <w:kinsoku w:val="0"/>
              <w:overflowPunct w:val="0"/>
              <w:ind w:left="57"/>
              <w:rPr>
                <w:rFonts w:ascii="Times New Roman" w:hAnsi="Times New Roman"/>
                <w:bCs/>
                <w:color w:val="000000" w:themeColor="text1"/>
                <w:sz w:val="20"/>
                <w:szCs w:val="20"/>
                <w:lang w:val="en-US" w:eastAsia="ru-RU"/>
              </w:rPr>
            </w:pPr>
            <w:r w:rsidRPr="00337216">
              <w:rPr>
                <w:rFonts w:ascii="Times New Roman" w:hAnsi="Times New Roman"/>
                <w:bCs/>
                <w:color w:val="000000" w:themeColor="text1"/>
                <w:sz w:val="20"/>
                <w:szCs w:val="20"/>
                <w:lang w:val="en-US" w:eastAsia="ru-RU"/>
              </w:rPr>
              <w:t>D58H</w:t>
            </w:r>
          </w:p>
          <w:p w14:paraId="6FB48B31" w14:textId="77777777" w:rsidR="00D41138" w:rsidRPr="00337216" w:rsidRDefault="00D41138">
            <w:pPr>
              <w:pStyle w:val="Brdtekst"/>
              <w:kinsoku w:val="0"/>
              <w:overflowPunct w:val="0"/>
              <w:ind w:left="57"/>
              <w:rPr>
                <w:rFonts w:ascii="Times New Roman" w:hAnsi="Times New Roman"/>
                <w:bCs/>
                <w:color w:val="000000" w:themeColor="text1"/>
                <w:sz w:val="20"/>
                <w:szCs w:val="20"/>
                <w:lang w:val="en-US" w:eastAsia="ru-RU"/>
              </w:rPr>
            </w:pPr>
            <w:r w:rsidRPr="00337216">
              <w:rPr>
                <w:rFonts w:ascii="Times New Roman" w:hAnsi="Times New Roman"/>
                <w:bCs/>
                <w:color w:val="000000" w:themeColor="text1"/>
                <w:sz w:val="20"/>
                <w:szCs w:val="20"/>
                <w:lang w:val="en-US" w:eastAsia="ru-RU"/>
              </w:rPr>
              <w:t>D58V</w:t>
            </w:r>
          </w:p>
          <w:p w14:paraId="7C4CBE33" w14:textId="77777777" w:rsidR="00D41138" w:rsidRPr="00337216" w:rsidRDefault="00D41138">
            <w:pPr>
              <w:pStyle w:val="Brdtekst"/>
              <w:kinsoku w:val="0"/>
              <w:overflowPunct w:val="0"/>
              <w:ind w:left="57"/>
              <w:rPr>
                <w:rFonts w:ascii="Times New Roman" w:hAnsi="Times New Roman"/>
                <w:bCs/>
                <w:color w:val="000000" w:themeColor="text1"/>
                <w:sz w:val="20"/>
                <w:szCs w:val="20"/>
                <w:lang w:val="en-US" w:eastAsia="ru-RU"/>
              </w:rPr>
            </w:pPr>
            <w:r w:rsidRPr="00337216">
              <w:rPr>
                <w:rFonts w:ascii="Times New Roman" w:hAnsi="Times New Roman"/>
                <w:bCs/>
                <w:color w:val="000000" w:themeColor="text1"/>
                <w:sz w:val="20"/>
                <w:szCs w:val="20"/>
                <w:lang w:val="en-US" w:eastAsia="ru-RU"/>
              </w:rPr>
              <w:t>D110E</w:t>
            </w:r>
          </w:p>
          <w:p w14:paraId="27299DD8" w14:textId="77777777" w:rsidR="00D41138" w:rsidRPr="00337216" w:rsidRDefault="00D41138">
            <w:pPr>
              <w:pStyle w:val="Brdtekst"/>
              <w:kinsoku w:val="0"/>
              <w:overflowPunct w:val="0"/>
              <w:ind w:left="57"/>
              <w:rPr>
                <w:rFonts w:ascii="Times New Roman" w:hAnsi="Times New Roman"/>
                <w:bCs/>
                <w:color w:val="000000" w:themeColor="text1"/>
                <w:sz w:val="20"/>
                <w:szCs w:val="20"/>
                <w:lang w:val="en-US" w:eastAsia="ru-RU"/>
              </w:rPr>
            </w:pPr>
            <w:r w:rsidRPr="00337216">
              <w:rPr>
                <w:rFonts w:ascii="Times New Roman" w:hAnsi="Times New Roman"/>
                <w:bCs/>
                <w:color w:val="000000" w:themeColor="text1"/>
                <w:sz w:val="20"/>
                <w:szCs w:val="20"/>
                <w:lang w:val="en-US" w:eastAsia="ru-RU"/>
              </w:rPr>
              <w:t>D110H</w:t>
            </w:r>
          </w:p>
          <w:p w14:paraId="02992FEE" w14:textId="77777777" w:rsidR="00D41138" w:rsidRPr="00337216" w:rsidRDefault="00D41138">
            <w:pPr>
              <w:pStyle w:val="Brdtekst"/>
              <w:kinsoku w:val="0"/>
              <w:overflowPunct w:val="0"/>
              <w:ind w:left="57"/>
              <w:rPr>
                <w:rFonts w:ascii="Times New Roman" w:hAnsi="Times New Roman"/>
                <w:bCs/>
                <w:color w:val="000000" w:themeColor="text1"/>
                <w:sz w:val="20"/>
                <w:szCs w:val="20"/>
                <w:lang w:val="en-US" w:eastAsia="ru-RU"/>
              </w:rPr>
            </w:pPr>
            <w:r w:rsidRPr="00337216">
              <w:rPr>
                <w:rFonts w:ascii="Times New Roman" w:hAnsi="Times New Roman"/>
                <w:bCs/>
                <w:color w:val="000000" w:themeColor="text1"/>
                <w:sz w:val="20"/>
                <w:szCs w:val="20"/>
                <w:lang w:val="en-US" w:eastAsia="ru-RU"/>
              </w:rPr>
              <w:t>D110N</w:t>
            </w:r>
          </w:p>
          <w:p w14:paraId="49D06360" w14:textId="77777777" w:rsidR="00D41138" w:rsidRPr="00337216" w:rsidRDefault="00D41138">
            <w:pPr>
              <w:pStyle w:val="Brdtekst"/>
              <w:kinsoku w:val="0"/>
              <w:overflowPunct w:val="0"/>
              <w:ind w:left="57"/>
              <w:rPr>
                <w:rFonts w:ascii="Times New Roman" w:hAnsi="Times New Roman"/>
                <w:bCs/>
                <w:color w:val="000000" w:themeColor="text1"/>
                <w:sz w:val="20"/>
                <w:szCs w:val="20"/>
                <w:lang w:val="en-US" w:eastAsia="ru-RU"/>
              </w:rPr>
            </w:pPr>
            <w:r w:rsidRPr="00337216">
              <w:rPr>
                <w:rFonts w:ascii="Times New Roman" w:hAnsi="Times New Roman"/>
                <w:bCs/>
                <w:color w:val="000000" w:themeColor="text1"/>
                <w:sz w:val="20"/>
                <w:szCs w:val="20"/>
                <w:lang w:val="en-US" w:eastAsia="ru-RU"/>
              </w:rPr>
              <w:t>D192G</w:t>
            </w:r>
          </w:p>
          <w:p w14:paraId="5A813045" w14:textId="77777777" w:rsidR="00D41138" w:rsidRPr="00337216" w:rsidRDefault="00D41138">
            <w:pPr>
              <w:pStyle w:val="Brdtekst"/>
              <w:kinsoku w:val="0"/>
              <w:overflowPunct w:val="0"/>
              <w:ind w:left="57"/>
              <w:rPr>
                <w:rFonts w:ascii="Times New Roman" w:hAnsi="Times New Roman"/>
                <w:bCs/>
                <w:color w:val="000000" w:themeColor="text1"/>
                <w:sz w:val="20"/>
                <w:szCs w:val="20"/>
                <w:lang w:val="en-US" w:eastAsia="ru-RU"/>
              </w:rPr>
            </w:pPr>
            <w:r w:rsidRPr="00337216">
              <w:rPr>
                <w:rFonts w:ascii="Times New Roman" w:hAnsi="Times New Roman"/>
                <w:bCs/>
                <w:color w:val="000000" w:themeColor="text1"/>
                <w:sz w:val="20"/>
                <w:szCs w:val="20"/>
                <w:lang w:val="en-US" w:eastAsia="ru-RU"/>
              </w:rPr>
              <w:t>D192N</w:t>
            </w:r>
          </w:p>
          <w:p w14:paraId="2925A21B" w14:textId="77777777" w:rsidR="00D41138" w:rsidRPr="00337216" w:rsidRDefault="00D41138">
            <w:pPr>
              <w:pStyle w:val="Brdtekst"/>
              <w:kinsoku w:val="0"/>
              <w:overflowPunct w:val="0"/>
              <w:ind w:left="57"/>
              <w:rPr>
                <w:rFonts w:ascii="Times New Roman" w:hAnsi="Times New Roman"/>
                <w:bCs/>
                <w:color w:val="000000" w:themeColor="text1"/>
                <w:sz w:val="20"/>
                <w:szCs w:val="20"/>
                <w:lang w:val="en-US" w:eastAsia="ru-RU"/>
              </w:rPr>
            </w:pPr>
            <w:r w:rsidRPr="00337216">
              <w:rPr>
                <w:rFonts w:ascii="Times New Roman" w:hAnsi="Times New Roman"/>
                <w:bCs/>
                <w:color w:val="000000" w:themeColor="text1"/>
                <w:sz w:val="20"/>
                <w:szCs w:val="20"/>
                <w:lang w:val="en-US" w:eastAsia="ru-RU"/>
              </w:rPr>
              <w:t>D373N</w:t>
            </w:r>
          </w:p>
          <w:p w14:paraId="23C8B3E3" w14:textId="77777777" w:rsidR="00D41138" w:rsidRPr="00337216" w:rsidRDefault="00D41138">
            <w:pPr>
              <w:pStyle w:val="Brdtekst"/>
              <w:kinsoku w:val="0"/>
              <w:overflowPunct w:val="0"/>
              <w:ind w:left="57"/>
              <w:rPr>
                <w:rFonts w:ascii="Times New Roman" w:hAnsi="Times New Roman"/>
                <w:bCs/>
                <w:color w:val="000000" w:themeColor="text1"/>
                <w:sz w:val="20"/>
                <w:szCs w:val="20"/>
                <w:lang w:val="en-US" w:eastAsia="ru-RU"/>
              </w:rPr>
            </w:pPr>
            <w:r w:rsidRPr="00337216">
              <w:rPr>
                <w:rFonts w:ascii="Times New Roman" w:hAnsi="Times New Roman"/>
                <w:bCs/>
                <w:color w:val="000000" w:themeColor="text1"/>
                <w:sz w:val="20"/>
                <w:szCs w:val="20"/>
                <w:lang w:val="en-US" w:eastAsia="ru-RU"/>
              </w:rPr>
              <w:t>D426N</w:t>
            </w:r>
          </w:p>
          <w:p w14:paraId="65A9C947" w14:textId="77777777" w:rsidR="00D41138" w:rsidRPr="00337216" w:rsidRDefault="00D41138">
            <w:pPr>
              <w:pStyle w:val="Brdtekst"/>
              <w:kinsoku w:val="0"/>
              <w:overflowPunct w:val="0"/>
              <w:ind w:left="57"/>
              <w:rPr>
                <w:rFonts w:ascii="Times New Roman" w:hAnsi="Times New Roman"/>
                <w:bCs/>
                <w:color w:val="000000" w:themeColor="text1"/>
                <w:sz w:val="20"/>
                <w:szCs w:val="20"/>
                <w:lang w:val="en-US" w:eastAsia="ru-RU"/>
              </w:rPr>
            </w:pPr>
            <w:r w:rsidRPr="00337216">
              <w:rPr>
                <w:rFonts w:ascii="Times New Roman" w:hAnsi="Times New Roman"/>
                <w:bCs/>
                <w:color w:val="000000" w:themeColor="text1"/>
                <w:sz w:val="20"/>
                <w:szCs w:val="20"/>
                <w:lang w:val="en-US" w:eastAsia="ru-RU"/>
              </w:rPr>
              <w:t>D443Y</w:t>
            </w:r>
          </w:p>
          <w:p w14:paraId="3D9BA360" w14:textId="77777777" w:rsidR="00D41138" w:rsidRPr="00337216" w:rsidRDefault="00D41138">
            <w:pPr>
              <w:pStyle w:val="Brdtekst"/>
              <w:kinsoku w:val="0"/>
              <w:overflowPunct w:val="0"/>
              <w:ind w:left="57"/>
              <w:rPr>
                <w:rFonts w:ascii="Times New Roman" w:hAnsi="Times New Roman"/>
                <w:bCs/>
                <w:color w:val="000000" w:themeColor="text1"/>
                <w:sz w:val="20"/>
                <w:szCs w:val="20"/>
                <w:lang w:val="en-US" w:eastAsia="ru-RU"/>
              </w:rPr>
            </w:pPr>
            <w:r w:rsidRPr="00337216">
              <w:rPr>
                <w:rFonts w:ascii="Times New Roman" w:hAnsi="Times New Roman"/>
                <w:bCs/>
                <w:color w:val="000000" w:themeColor="text1"/>
                <w:sz w:val="20"/>
                <w:szCs w:val="20"/>
                <w:lang w:val="en-US" w:eastAsia="ru-RU"/>
              </w:rPr>
              <w:t>D443</w:t>
            </w:r>
            <w:proofErr w:type="gramStart"/>
            <w:r w:rsidRPr="00337216">
              <w:rPr>
                <w:rFonts w:ascii="Times New Roman" w:hAnsi="Times New Roman"/>
                <w:bCs/>
                <w:color w:val="000000" w:themeColor="text1"/>
                <w:sz w:val="20"/>
                <w:szCs w:val="20"/>
                <w:lang w:val="en-US" w:eastAsia="ru-RU"/>
              </w:rPr>
              <w:t>Y;G</w:t>
            </w:r>
            <w:proofErr w:type="gramEnd"/>
            <w:r w:rsidRPr="00337216">
              <w:rPr>
                <w:rFonts w:ascii="Times New Roman" w:hAnsi="Times New Roman"/>
                <w:bCs/>
                <w:color w:val="000000" w:themeColor="text1"/>
                <w:sz w:val="20"/>
                <w:szCs w:val="20"/>
                <w:lang w:val="en-US" w:eastAsia="ru-RU"/>
              </w:rPr>
              <w:t>576A;R668C‡</w:t>
            </w:r>
          </w:p>
          <w:p w14:paraId="16D77A03" w14:textId="77777777" w:rsidR="00D41138" w:rsidRPr="003906CC" w:rsidRDefault="00D41138">
            <w:pPr>
              <w:pStyle w:val="Brdtekst"/>
              <w:kinsoku w:val="0"/>
              <w:overflowPunct w:val="0"/>
              <w:ind w:left="57"/>
              <w:rPr>
                <w:rFonts w:ascii="Times New Roman" w:hAnsi="Times New Roman"/>
                <w:bCs/>
                <w:color w:val="000000" w:themeColor="text1"/>
                <w:sz w:val="20"/>
                <w:szCs w:val="20"/>
                <w:lang w:val="en-US" w:eastAsia="ru-RU"/>
              </w:rPr>
            </w:pPr>
            <w:r w:rsidRPr="003906CC">
              <w:rPr>
                <w:rFonts w:ascii="Times New Roman" w:hAnsi="Times New Roman"/>
                <w:bCs/>
                <w:color w:val="000000" w:themeColor="text1"/>
                <w:sz w:val="20"/>
                <w:szCs w:val="20"/>
                <w:lang w:val="en-US" w:eastAsia="ru-RU"/>
              </w:rPr>
              <w:lastRenderedPageBreak/>
              <w:t>D529G</w:t>
            </w:r>
          </w:p>
          <w:p w14:paraId="63707A49" w14:textId="77777777" w:rsidR="00D41138" w:rsidRPr="003906CC" w:rsidRDefault="00D41138">
            <w:pPr>
              <w:pStyle w:val="Brdtekst"/>
              <w:kinsoku w:val="0"/>
              <w:overflowPunct w:val="0"/>
              <w:ind w:left="57"/>
              <w:rPr>
                <w:rFonts w:ascii="Times New Roman" w:hAnsi="Times New Roman"/>
                <w:bCs/>
                <w:color w:val="000000" w:themeColor="text1"/>
                <w:sz w:val="20"/>
                <w:szCs w:val="20"/>
                <w:lang w:val="en-US" w:eastAsia="ru-RU"/>
              </w:rPr>
            </w:pPr>
            <w:r w:rsidRPr="003906CC">
              <w:rPr>
                <w:rFonts w:ascii="Times New Roman" w:hAnsi="Times New Roman"/>
                <w:bCs/>
                <w:color w:val="000000" w:themeColor="text1"/>
                <w:sz w:val="20"/>
                <w:szCs w:val="20"/>
                <w:lang w:val="en-US" w:eastAsia="ru-RU"/>
              </w:rPr>
              <w:t>D565G</w:t>
            </w:r>
          </w:p>
          <w:p w14:paraId="6D10415F" w14:textId="77777777" w:rsidR="00D41138" w:rsidRPr="003906CC" w:rsidRDefault="00D41138">
            <w:pPr>
              <w:pStyle w:val="Brdtekst"/>
              <w:kinsoku w:val="0"/>
              <w:overflowPunct w:val="0"/>
              <w:ind w:left="57"/>
              <w:rPr>
                <w:rFonts w:ascii="Times New Roman" w:hAnsi="Times New Roman"/>
                <w:bCs/>
                <w:color w:val="000000" w:themeColor="text1"/>
                <w:sz w:val="20"/>
                <w:szCs w:val="20"/>
                <w:lang w:val="en-US" w:eastAsia="ru-RU"/>
              </w:rPr>
            </w:pPr>
            <w:r w:rsidRPr="003906CC">
              <w:rPr>
                <w:rFonts w:ascii="Times New Roman" w:hAnsi="Times New Roman"/>
                <w:bCs/>
                <w:color w:val="000000" w:themeColor="text1"/>
                <w:sz w:val="20"/>
                <w:szCs w:val="20"/>
                <w:lang w:val="en-US" w:eastAsia="ru-RU"/>
              </w:rPr>
              <w:t>D567N</w:t>
            </w:r>
          </w:p>
          <w:p w14:paraId="23A8C735" w14:textId="77777777" w:rsidR="00D41138" w:rsidRPr="003906CC" w:rsidRDefault="00D41138">
            <w:pPr>
              <w:pStyle w:val="Brdtekst"/>
              <w:kinsoku w:val="0"/>
              <w:overflowPunct w:val="0"/>
              <w:ind w:left="57"/>
              <w:rPr>
                <w:rFonts w:ascii="Times New Roman" w:hAnsi="Times New Roman"/>
                <w:bCs/>
                <w:color w:val="000000" w:themeColor="text1"/>
                <w:sz w:val="20"/>
                <w:szCs w:val="20"/>
                <w:lang w:val="en-US" w:eastAsia="ru-RU"/>
              </w:rPr>
            </w:pPr>
            <w:r w:rsidRPr="003906CC">
              <w:rPr>
                <w:rFonts w:ascii="Times New Roman" w:hAnsi="Times New Roman"/>
                <w:bCs/>
                <w:color w:val="000000" w:themeColor="text1"/>
                <w:sz w:val="20"/>
                <w:szCs w:val="20"/>
                <w:lang w:val="en-US" w:eastAsia="ru-RU"/>
              </w:rPr>
              <w:t>D579G</w:t>
            </w:r>
          </w:p>
          <w:p w14:paraId="1CEF1319" w14:textId="77777777" w:rsidR="00D41138" w:rsidRPr="003906CC" w:rsidRDefault="00D41138">
            <w:pPr>
              <w:pStyle w:val="Brdtekst"/>
              <w:kinsoku w:val="0"/>
              <w:overflowPunct w:val="0"/>
              <w:ind w:left="57"/>
              <w:rPr>
                <w:rFonts w:ascii="Times New Roman" w:hAnsi="Times New Roman"/>
                <w:bCs/>
                <w:color w:val="000000" w:themeColor="text1"/>
                <w:sz w:val="20"/>
                <w:szCs w:val="20"/>
                <w:lang w:val="en-US" w:eastAsia="ru-RU"/>
              </w:rPr>
            </w:pPr>
            <w:r w:rsidRPr="003906CC">
              <w:rPr>
                <w:rFonts w:ascii="Times New Roman" w:hAnsi="Times New Roman"/>
                <w:bCs/>
                <w:color w:val="000000" w:themeColor="text1"/>
                <w:sz w:val="20"/>
                <w:szCs w:val="20"/>
                <w:lang w:val="en-US" w:eastAsia="ru-RU"/>
              </w:rPr>
              <w:t>D614G</w:t>
            </w:r>
          </w:p>
          <w:p w14:paraId="1ABC6D91" w14:textId="77777777" w:rsidR="00D41138" w:rsidRPr="003906CC" w:rsidRDefault="00D41138">
            <w:pPr>
              <w:pStyle w:val="Brdtekst"/>
              <w:kinsoku w:val="0"/>
              <w:overflowPunct w:val="0"/>
              <w:ind w:left="57"/>
              <w:rPr>
                <w:rFonts w:ascii="Times New Roman" w:hAnsi="Times New Roman"/>
                <w:bCs/>
                <w:color w:val="000000" w:themeColor="text1"/>
                <w:sz w:val="20"/>
                <w:szCs w:val="20"/>
                <w:lang w:val="en-US" w:eastAsia="ru-RU"/>
              </w:rPr>
            </w:pPr>
            <w:r w:rsidRPr="003906CC">
              <w:rPr>
                <w:rFonts w:ascii="Times New Roman" w:hAnsi="Times New Roman"/>
                <w:bCs/>
                <w:color w:val="000000" w:themeColor="text1"/>
                <w:sz w:val="20"/>
                <w:szCs w:val="20"/>
                <w:lang w:val="en-US" w:eastAsia="ru-RU"/>
              </w:rPr>
              <w:t>D651H</w:t>
            </w:r>
          </w:p>
          <w:p w14:paraId="49C41217" w14:textId="77777777" w:rsidR="00D41138" w:rsidRPr="00337216" w:rsidRDefault="00D41138">
            <w:pPr>
              <w:pStyle w:val="Brdtekst"/>
              <w:kinsoku w:val="0"/>
              <w:overflowPunct w:val="0"/>
              <w:ind w:left="57"/>
              <w:rPr>
                <w:rFonts w:ascii="Times New Roman" w:hAnsi="Times New Roman"/>
                <w:bCs/>
                <w:color w:val="000000" w:themeColor="text1"/>
                <w:sz w:val="20"/>
                <w:szCs w:val="20"/>
                <w:lang w:val="en-US" w:eastAsia="ru-RU"/>
              </w:rPr>
            </w:pPr>
            <w:r w:rsidRPr="00337216">
              <w:rPr>
                <w:rFonts w:ascii="Times New Roman" w:hAnsi="Times New Roman"/>
                <w:bCs/>
                <w:color w:val="000000" w:themeColor="text1"/>
                <w:sz w:val="20"/>
                <w:szCs w:val="20"/>
                <w:lang w:val="en-US" w:eastAsia="ru-RU"/>
              </w:rPr>
              <w:t>D651N</w:t>
            </w:r>
          </w:p>
          <w:p w14:paraId="01F6E1F6" w14:textId="77777777" w:rsidR="00D41138" w:rsidRPr="00337216" w:rsidRDefault="00D41138">
            <w:pPr>
              <w:pStyle w:val="Brdtekst"/>
              <w:kinsoku w:val="0"/>
              <w:overflowPunct w:val="0"/>
              <w:ind w:left="57"/>
              <w:rPr>
                <w:rFonts w:ascii="Times New Roman" w:hAnsi="Times New Roman"/>
                <w:bCs/>
                <w:color w:val="000000" w:themeColor="text1"/>
                <w:sz w:val="20"/>
                <w:szCs w:val="20"/>
                <w:lang w:val="en-US" w:eastAsia="ru-RU"/>
              </w:rPr>
            </w:pPr>
            <w:r w:rsidRPr="00337216">
              <w:rPr>
                <w:rFonts w:ascii="Times New Roman" w:hAnsi="Times New Roman"/>
                <w:bCs/>
                <w:color w:val="000000" w:themeColor="text1"/>
                <w:sz w:val="20"/>
                <w:szCs w:val="20"/>
                <w:lang w:val="en-US" w:eastAsia="ru-RU"/>
              </w:rPr>
              <w:t>D806G</w:t>
            </w:r>
          </w:p>
          <w:p w14:paraId="77475987" w14:textId="77777777" w:rsidR="00D41138" w:rsidRPr="00337216" w:rsidRDefault="00D41138">
            <w:pPr>
              <w:pStyle w:val="Brdtekst"/>
              <w:kinsoku w:val="0"/>
              <w:overflowPunct w:val="0"/>
              <w:ind w:left="57"/>
              <w:rPr>
                <w:rFonts w:ascii="Times New Roman" w:hAnsi="Times New Roman"/>
                <w:bCs/>
                <w:color w:val="000000" w:themeColor="text1"/>
                <w:sz w:val="20"/>
                <w:szCs w:val="20"/>
                <w:lang w:val="en-US" w:eastAsia="ru-RU"/>
              </w:rPr>
            </w:pPr>
            <w:r w:rsidRPr="00337216">
              <w:rPr>
                <w:rFonts w:ascii="Times New Roman" w:hAnsi="Times New Roman"/>
                <w:bCs/>
                <w:color w:val="000000" w:themeColor="text1"/>
                <w:sz w:val="20"/>
                <w:szCs w:val="20"/>
                <w:lang w:val="en-US" w:eastAsia="ru-RU"/>
              </w:rPr>
              <w:t>D924N</w:t>
            </w:r>
          </w:p>
          <w:p w14:paraId="074294F9" w14:textId="77777777" w:rsidR="00D41138" w:rsidRPr="00337216" w:rsidRDefault="00D41138">
            <w:pPr>
              <w:pStyle w:val="Brdtekst"/>
              <w:kinsoku w:val="0"/>
              <w:overflowPunct w:val="0"/>
              <w:ind w:left="57"/>
              <w:rPr>
                <w:rFonts w:ascii="Times New Roman" w:hAnsi="Times New Roman"/>
                <w:bCs/>
                <w:color w:val="000000" w:themeColor="text1"/>
                <w:sz w:val="20"/>
                <w:szCs w:val="20"/>
                <w:lang w:val="en-US" w:eastAsia="ru-RU"/>
              </w:rPr>
            </w:pPr>
            <w:r w:rsidRPr="00337216">
              <w:rPr>
                <w:rFonts w:ascii="Times New Roman" w:hAnsi="Times New Roman"/>
                <w:bCs/>
                <w:color w:val="000000" w:themeColor="text1"/>
                <w:sz w:val="20"/>
                <w:szCs w:val="20"/>
                <w:lang w:val="en-US" w:eastAsia="ru-RU"/>
              </w:rPr>
              <w:t>D979A</w:t>
            </w:r>
          </w:p>
          <w:p w14:paraId="2059C17E" w14:textId="77777777" w:rsidR="00D41138" w:rsidRPr="00337216" w:rsidRDefault="00D41138">
            <w:pPr>
              <w:pStyle w:val="Brdtekst"/>
              <w:kinsoku w:val="0"/>
              <w:overflowPunct w:val="0"/>
              <w:ind w:left="57"/>
              <w:rPr>
                <w:rFonts w:ascii="Times New Roman" w:hAnsi="Times New Roman"/>
                <w:bCs/>
                <w:color w:val="000000" w:themeColor="text1"/>
                <w:sz w:val="20"/>
                <w:szCs w:val="20"/>
                <w:lang w:val="en-US" w:eastAsia="ru-RU"/>
              </w:rPr>
            </w:pPr>
            <w:r w:rsidRPr="00337216">
              <w:rPr>
                <w:rFonts w:ascii="Times New Roman" w:hAnsi="Times New Roman"/>
                <w:bCs/>
                <w:color w:val="000000" w:themeColor="text1"/>
                <w:sz w:val="20"/>
                <w:szCs w:val="20"/>
                <w:lang w:val="en-US" w:eastAsia="ru-RU"/>
              </w:rPr>
              <w:t>D979V</w:t>
            </w:r>
          </w:p>
          <w:p w14:paraId="2E60B89F" w14:textId="77777777" w:rsidR="00D41138" w:rsidRPr="00337216" w:rsidRDefault="00D41138">
            <w:pPr>
              <w:pStyle w:val="Brdtekst"/>
              <w:kinsoku w:val="0"/>
              <w:overflowPunct w:val="0"/>
              <w:ind w:left="57"/>
              <w:rPr>
                <w:rFonts w:ascii="Times New Roman" w:hAnsi="Times New Roman"/>
                <w:bCs/>
                <w:color w:val="000000" w:themeColor="text1"/>
                <w:sz w:val="20"/>
                <w:szCs w:val="20"/>
                <w:lang w:val="en-US" w:eastAsia="ru-RU"/>
              </w:rPr>
            </w:pPr>
            <w:r w:rsidRPr="00337216">
              <w:rPr>
                <w:rFonts w:ascii="Times New Roman" w:hAnsi="Times New Roman"/>
                <w:bCs/>
                <w:color w:val="000000" w:themeColor="text1"/>
                <w:sz w:val="20"/>
                <w:szCs w:val="20"/>
                <w:lang w:val="en-US" w:eastAsia="ru-RU"/>
              </w:rPr>
              <w:t>D985H</w:t>
            </w:r>
          </w:p>
          <w:p w14:paraId="4F9767EE" w14:textId="77777777" w:rsidR="00D41138" w:rsidRPr="00337216" w:rsidRDefault="00D41138">
            <w:pPr>
              <w:pStyle w:val="Brdtekst"/>
              <w:kinsoku w:val="0"/>
              <w:overflowPunct w:val="0"/>
              <w:ind w:left="57"/>
              <w:rPr>
                <w:rFonts w:ascii="Times New Roman" w:hAnsi="Times New Roman"/>
                <w:bCs/>
                <w:color w:val="000000" w:themeColor="text1"/>
                <w:sz w:val="20"/>
                <w:szCs w:val="20"/>
                <w:lang w:val="en-US" w:eastAsia="ru-RU"/>
              </w:rPr>
            </w:pPr>
            <w:r w:rsidRPr="00337216">
              <w:rPr>
                <w:rFonts w:ascii="Times New Roman" w:hAnsi="Times New Roman"/>
                <w:bCs/>
                <w:color w:val="000000" w:themeColor="text1"/>
                <w:sz w:val="20"/>
                <w:szCs w:val="20"/>
                <w:lang w:val="en-US" w:eastAsia="ru-RU"/>
              </w:rPr>
              <w:t>D985Y</w:t>
            </w:r>
          </w:p>
          <w:p w14:paraId="7E7AE9D4" w14:textId="77777777" w:rsidR="00D41138" w:rsidRPr="00337216" w:rsidRDefault="00D41138">
            <w:pPr>
              <w:pStyle w:val="Brdtekst"/>
              <w:kinsoku w:val="0"/>
              <w:overflowPunct w:val="0"/>
              <w:ind w:left="57"/>
              <w:rPr>
                <w:rFonts w:ascii="Times New Roman" w:hAnsi="Times New Roman"/>
                <w:bCs/>
                <w:color w:val="000000" w:themeColor="text1"/>
                <w:sz w:val="20"/>
                <w:szCs w:val="20"/>
                <w:lang w:val="en-US" w:eastAsia="ru-RU"/>
              </w:rPr>
            </w:pPr>
            <w:r w:rsidRPr="00337216">
              <w:rPr>
                <w:rFonts w:ascii="Times New Roman" w:hAnsi="Times New Roman"/>
                <w:bCs/>
                <w:color w:val="000000" w:themeColor="text1"/>
                <w:sz w:val="20"/>
                <w:szCs w:val="20"/>
                <w:lang w:val="en-US" w:eastAsia="ru-RU"/>
              </w:rPr>
              <w:t>D993A</w:t>
            </w:r>
          </w:p>
          <w:p w14:paraId="4C695816" w14:textId="77777777" w:rsidR="00D41138" w:rsidRPr="00337216" w:rsidRDefault="00D41138">
            <w:pPr>
              <w:pStyle w:val="Brdtekst"/>
              <w:kinsoku w:val="0"/>
              <w:overflowPunct w:val="0"/>
              <w:ind w:left="57"/>
              <w:rPr>
                <w:rFonts w:ascii="Times New Roman" w:hAnsi="Times New Roman"/>
                <w:bCs/>
                <w:color w:val="000000" w:themeColor="text1"/>
                <w:sz w:val="20"/>
                <w:szCs w:val="20"/>
                <w:lang w:val="en-US" w:eastAsia="ru-RU"/>
              </w:rPr>
            </w:pPr>
            <w:r w:rsidRPr="00337216">
              <w:rPr>
                <w:rFonts w:ascii="Times New Roman" w:hAnsi="Times New Roman"/>
                <w:bCs/>
                <w:color w:val="000000" w:themeColor="text1"/>
                <w:sz w:val="20"/>
                <w:szCs w:val="20"/>
                <w:lang w:val="en-US" w:eastAsia="ru-RU"/>
              </w:rPr>
              <w:t>D993G</w:t>
            </w:r>
          </w:p>
          <w:p w14:paraId="00651764" w14:textId="77777777" w:rsidR="00D41138" w:rsidRPr="00337216" w:rsidRDefault="00D41138">
            <w:pPr>
              <w:pStyle w:val="Brdtekst"/>
              <w:kinsoku w:val="0"/>
              <w:overflowPunct w:val="0"/>
              <w:ind w:left="57"/>
              <w:rPr>
                <w:rFonts w:ascii="Times New Roman" w:hAnsi="Times New Roman"/>
                <w:bCs/>
                <w:color w:val="000000" w:themeColor="text1"/>
                <w:sz w:val="20"/>
                <w:szCs w:val="20"/>
                <w:lang w:val="en-US" w:eastAsia="ru-RU"/>
              </w:rPr>
            </w:pPr>
            <w:r w:rsidRPr="00337216">
              <w:rPr>
                <w:rFonts w:ascii="Times New Roman" w:hAnsi="Times New Roman"/>
                <w:bCs/>
                <w:color w:val="000000" w:themeColor="text1"/>
                <w:sz w:val="20"/>
                <w:szCs w:val="20"/>
                <w:lang w:val="en-US" w:eastAsia="ru-RU"/>
              </w:rPr>
              <w:t>D993Y</w:t>
            </w:r>
          </w:p>
          <w:p w14:paraId="413F112C" w14:textId="77777777" w:rsidR="00D41138" w:rsidRPr="00337216" w:rsidRDefault="00D41138">
            <w:pPr>
              <w:pStyle w:val="Brdtekst"/>
              <w:kinsoku w:val="0"/>
              <w:overflowPunct w:val="0"/>
              <w:ind w:left="57"/>
              <w:rPr>
                <w:rFonts w:ascii="Times New Roman" w:hAnsi="Times New Roman"/>
                <w:bCs/>
                <w:color w:val="000000" w:themeColor="text1"/>
                <w:sz w:val="20"/>
                <w:szCs w:val="20"/>
                <w:lang w:val="en-US" w:eastAsia="ru-RU"/>
              </w:rPr>
            </w:pPr>
            <w:r w:rsidRPr="00337216">
              <w:rPr>
                <w:rFonts w:ascii="Times New Roman" w:hAnsi="Times New Roman"/>
                <w:bCs/>
                <w:color w:val="000000" w:themeColor="text1"/>
                <w:sz w:val="20"/>
                <w:szCs w:val="20"/>
                <w:lang w:val="en-US" w:eastAsia="ru-RU"/>
              </w:rPr>
              <w:t>D1152A</w:t>
            </w:r>
          </w:p>
          <w:p w14:paraId="2B82A785" w14:textId="77777777" w:rsidR="00D41138" w:rsidRPr="00337216" w:rsidRDefault="00D41138">
            <w:pPr>
              <w:pStyle w:val="Brdtekst"/>
              <w:kinsoku w:val="0"/>
              <w:overflowPunct w:val="0"/>
              <w:ind w:left="57"/>
              <w:rPr>
                <w:rFonts w:ascii="Times New Roman" w:hAnsi="Times New Roman"/>
                <w:bCs/>
                <w:color w:val="000000" w:themeColor="text1"/>
                <w:sz w:val="20"/>
                <w:szCs w:val="20"/>
                <w:lang w:val="en-US" w:eastAsia="ru-RU"/>
              </w:rPr>
            </w:pPr>
            <w:r w:rsidRPr="00337216">
              <w:rPr>
                <w:rFonts w:ascii="Times New Roman" w:hAnsi="Times New Roman"/>
                <w:bCs/>
                <w:color w:val="000000" w:themeColor="text1"/>
                <w:sz w:val="20"/>
                <w:szCs w:val="20"/>
                <w:lang w:val="en-US" w:eastAsia="ru-RU"/>
              </w:rPr>
              <w:t>D1152H*†</w:t>
            </w:r>
          </w:p>
          <w:p w14:paraId="4E6155B5" w14:textId="77777777" w:rsidR="00D41138" w:rsidRPr="00337216" w:rsidRDefault="00D41138">
            <w:pPr>
              <w:pStyle w:val="Brdtekst"/>
              <w:kinsoku w:val="0"/>
              <w:overflowPunct w:val="0"/>
              <w:ind w:left="57"/>
              <w:rPr>
                <w:rFonts w:ascii="Times New Roman" w:hAnsi="Times New Roman"/>
                <w:bCs/>
                <w:color w:val="000000" w:themeColor="text1"/>
                <w:sz w:val="20"/>
                <w:szCs w:val="20"/>
                <w:lang w:val="en-US" w:eastAsia="ru-RU"/>
              </w:rPr>
            </w:pPr>
            <w:r w:rsidRPr="00337216">
              <w:rPr>
                <w:rFonts w:ascii="Times New Roman" w:hAnsi="Times New Roman"/>
                <w:bCs/>
                <w:color w:val="000000" w:themeColor="text1"/>
                <w:sz w:val="20"/>
                <w:szCs w:val="20"/>
                <w:lang w:val="en-US" w:eastAsia="ru-RU"/>
              </w:rPr>
              <w:t>D1270N*</w:t>
            </w:r>
          </w:p>
          <w:p w14:paraId="0721EA08" w14:textId="77777777" w:rsidR="00D41138" w:rsidRPr="00337216" w:rsidRDefault="00D41138">
            <w:pPr>
              <w:pStyle w:val="Brdtekst"/>
              <w:kinsoku w:val="0"/>
              <w:overflowPunct w:val="0"/>
              <w:ind w:left="57"/>
              <w:rPr>
                <w:rFonts w:ascii="Times New Roman" w:hAnsi="Times New Roman"/>
                <w:bCs/>
                <w:color w:val="000000" w:themeColor="text1"/>
                <w:sz w:val="20"/>
                <w:szCs w:val="20"/>
                <w:lang w:val="en-US" w:eastAsia="ru-RU"/>
              </w:rPr>
            </w:pPr>
            <w:r w:rsidRPr="00337216">
              <w:rPr>
                <w:rFonts w:ascii="Times New Roman" w:hAnsi="Times New Roman"/>
                <w:bCs/>
                <w:color w:val="000000" w:themeColor="text1"/>
                <w:sz w:val="20"/>
                <w:szCs w:val="20"/>
                <w:lang w:val="en-US" w:eastAsia="ru-RU"/>
              </w:rPr>
              <w:t>D1270Y</w:t>
            </w:r>
          </w:p>
          <w:p w14:paraId="3B1BF040" w14:textId="77777777" w:rsidR="00D41138" w:rsidRPr="00337216" w:rsidRDefault="00D41138">
            <w:pPr>
              <w:pStyle w:val="Brdtekst"/>
              <w:kinsoku w:val="0"/>
              <w:overflowPunct w:val="0"/>
              <w:ind w:left="57"/>
              <w:rPr>
                <w:rFonts w:ascii="Times New Roman" w:hAnsi="Times New Roman"/>
                <w:bCs/>
                <w:color w:val="000000" w:themeColor="text1"/>
                <w:sz w:val="20"/>
                <w:szCs w:val="20"/>
                <w:lang w:val="en-US" w:eastAsia="ru-RU"/>
              </w:rPr>
            </w:pPr>
            <w:r w:rsidRPr="00337216">
              <w:rPr>
                <w:rFonts w:ascii="Times New Roman" w:hAnsi="Times New Roman"/>
                <w:bCs/>
                <w:color w:val="000000" w:themeColor="text1"/>
                <w:sz w:val="20"/>
                <w:szCs w:val="20"/>
                <w:lang w:val="en-US" w:eastAsia="ru-RU"/>
              </w:rPr>
              <w:t>D1312G</w:t>
            </w:r>
          </w:p>
          <w:p w14:paraId="39DC9BB2" w14:textId="77777777" w:rsidR="00D41138" w:rsidRPr="00337216" w:rsidRDefault="00D41138">
            <w:pPr>
              <w:pStyle w:val="Brdtekst"/>
              <w:kinsoku w:val="0"/>
              <w:overflowPunct w:val="0"/>
              <w:ind w:left="57"/>
              <w:rPr>
                <w:rFonts w:ascii="Times New Roman" w:hAnsi="Times New Roman"/>
                <w:bCs/>
                <w:color w:val="000000" w:themeColor="text1"/>
                <w:sz w:val="20"/>
                <w:szCs w:val="20"/>
                <w:lang w:val="en-US" w:eastAsia="ru-RU"/>
              </w:rPr>
            </w:pPr>
            <w:r w:rsidRPr="00337216">
              <w:rPr>
                <w:rFonts w:ascii="Times New Roman" w:hAnsi="Times New Roman"/>
                <w:bCs/>
                <w:color w:val="000000" w:themeColor="text1"/>
                <w:sz w:val="20"/>
                <w:szCs w:val="20"/>
                <w:lang w:val="en-US" w:eastAsia="ru-RU"/>
              </w:rPr>
              <w:t>D1377H</w:t>
            </w:r>
          </w:p>
          <w:p w14:paraId="5F4DCA56" w14:textId="77777777" w:rsidR="00D41138" w:rsidRPr="00337216" w:rsidRDefault="00D41138">
            <w:pPr>
              <w:pStyle w:val="Brdtekst"/>
              <w:kinsoku w:val="0"/>
              <w:overflowPunct w:val="0"/>
              <w:ind w:left="57"/>
              <w:rPr>
                <w:rFonts w:ascii="Times New Roman" w:hAnsi="Times New Roman"/>
                <w:bCs/>
                <w:color w:val="000000" w:themeColor="text1"/>
                <w:sz w:val="20"/>
                <w:szCs w:val="20"/>
                <w:lang w:val="en-US" w:eastAsia="ru-RU"/>
              </w:rPr>
            </w:pPr>
            <w:r w:rsidRPr="00337216">
              <w:rPr>
                <w:rFonts w:ascii="Times New Roman" w:hAnsi="Times New Roman"/>
                <w:bCs/>
                <w:color w:val="000000" w:themeColor="text1"/>
                <w:sz w:val="20"/>
                <w:szCs w:val="20"/>
                <w:lang w:val="en-US" w:eastAsia="ru-RU"/>
              </w:rPr>
              <w:t>D1445N</w:t>
            </w:r>
          </w:p>
          <w:p w14:paraId="46583ACE" w14:textId="77777777" w:rsidR="00D41138" w:rsidRPr="00337216" w:rsidRDefault="00D41138">
            <w:pPr>
              <w:pStyle w:val="Brdtekst"/>
              <w:kinsoku w:val="0"/>
              <w:overflowPunct w:val="0"/>
              <w:ind w:left="57"/>
              <w:rPr>
                <w:rFonts w:ascii="Times New Roman" w:hAnsi="Times New Roman"/>
                <w:bCs/>
                <w:color w:val="000000" w:themeColor="text1"/>
                <w:sz w:val="20"/>
                <w:szCs w:val="20"/>
                <w:lang w:val="en-US" w:eastAsia="ru-RU"/>
              </w:rPr>
            </w:pPr>
            <w:r w:rsidRPr="00337216">
              <w:rPr>
                <w:rFonts w:ascii="Times New Roman" w:hAnsi="Times New Roman"/>
                <w:bCs/>
                <w:color w:val="000000" w:themeColor="text1"/>
                <w:sz w:val="20"/>
                <w:szCs w:val="20"/>
                <w:lang w:val="en-US" w:eastAsia="ru-RU"/>
              </w:rPr>
              <w:t>E56K</w:t>
            </w:r>
          </w:p>
          <w:p w14:paraId="41D4CA73" w14:textId="77777777" w:rsidR="00D41138" w:rsidRPr="00337216" w:rsidRDefault="00D41138">
            <w:pPr>
              <w:pStyle w:val="Brdtekst"/>
              <w:kinsoku w:val="0"/>
              <w:overflowPunct w:val="0"/>
              <w:ind w:left="57"/>
              <w:rPr>
                <w:rFonts w:ascii="Times New Roman" w:hAnsi="Times New Roman"/>
                <w:bCs/>
                <w:color w:val="000000" w:themeColor="text1"/>
                <w:sz w:val="20"/>
                <w:szCs w:val="20"/>
                <w:lang w:val="en-US" w:eastAsia="ru-RU"/>
              </w:rPr>
            </w:pPr>
            <w:r w:rsidRPr="00337216">
              <w:rPr>
                <w:rFonts w:ascii="Times New Roman" w:hAnsi="Times New Roman"/>
                <w:bCs/>
                <w:color w:val="000000" w:themeColor="text1"/>
                <w:sz w:val="20"/>
                <w:szCs w:val="20"/>
                <w:lang w:val="en-US" w:eastAsia="ru-RU"/>
              </w:rPr>
              <w:t>E60K</w:t>
            </w:r>
          </w:p>
          <w:p w14:paraId="1B6780E9" w14:textId="77777777" w:rsidR="00D41138" w:rsidRPr="00337216" w:rsidRDefault="00D41138">
            <w:pPr>
              <w:pStyle w:val="Brdtekst"/>
              <w:kinsoku w:val="0"/>
              <w:overflowPunct w:val="0"/>
              <w:ind w:left="57"/>
              <w:rPr>
                <w:rFonts w:ascii="Times New Roman" w:hAnsi="Times New Roman"/>
                <w:bCs/>
                <w:color w:val="000000" w:themeColor="text1"/>
                <w:sz w:val="20"/>
                <w:szCs w:val="20"/>
                <w:lang w:val="en-US" w:eastAsia="ru-RU"/>
              </w:rPr>
            </w:pPr>
            <w:r w:rsidRPr="00337216">
              <w:rPr>
                <w:rFonts w:ascii="Times New Roman" w:hAnsi="Times New Roman"/>
                <w:bCs/>
                <w:color w:val="000000" w:themeColor="text1"/>
                <w:sz w:val="20"/>
                <w:szCs w:val="20"/>
                <w:lang w:val="en-US" w:eastAsia="ru-RU"/>
              </w:rPr>
              <w:t>E92K</w:t>
            </w:r>
          </w:p>
          <w:p w14:paraId="6CC92A08" w14:textId="77777777" w:rsidR="00D41138" w:rsidRPr="00337216" w:rsidRDefault="00D41138">
            <w:pPr>
              <w:pStyle w:val="Brdtekst"/>
              <w:kinsoku w:val="0"/>
              <w:overflowPunct w:val="0"/>
              <w:ind w:left="57"/>
              <w:rPr>
                <w:rFonts w:ascii="Times New Roman" w:hAnsi="Times New Roman"/>
                <w:bCs/>
                <w:color w:val="000000" w:themeColor="text1"/>
                <w:sz w:val="20"/>
                <w:szCs w:val="20"/>
                <w:lang w:val="en-US" w:eastAsia="ru-RU"/>
              </w:rPr>
            </w:pPr>
            <w:r w:rsidRPr="00337216">
              <w:rPr>
                <w:rFonts w:ascii="Times New Roman" w:hAnsi="Times New Roman"/>
                <w:bCs/>
                <w:color w:val="000000" w:themeColor="text1"/>
                <w:sz w:val="20"/>
                <w:szCs w:val="20"/>
                <w:lang w:val="en-US" w:eastAsia="ru-RU"/>
              </w:rPr>
              <w:t>E116K</w:t>
            </w:r>
          </w:p>
          <w:p w14:paraId="7C5E685E" w14:textId="77777777" w:rsidR="00D41138" w:rsidRPr="00337216" w:rsidRDefault="00D41138">
            <w:pPr>
              <w:pStyle w:val="Brdtekst"/>
              <w:kinsoku w:val="0"/>
              <w:overflowPunct w:val="0"/>
              <w:ind w:left="57"/>
              <w:rPr>
                <w:rFonts w:ascii="Times New Roman" w:hAnsi="Times New Roman"/>
                <w:bCs/>
                <w:color w:val="000000" w:themeColor="text1"/>
                <w:sz w:val="20"/>
                <w:szCs w:val="20"/>
                <w:lang w:val="en-US" w:eastAsia="ru-RU"/>
              </w:rPr>
            </w:pPr>
            <w:r w:rsidRPr="00337216">
              <w:rPr>
                <w:rFonts w:ascii="Times New Roman" w:hAnsi="Times New Roman"/>
                <w:bCs/>
                <w:color w:val="000000" w:themeColor="text1"/>
                <w:sz w:val="20"/>
                <w:szCs w:val="20"/>
                <w:lang w:val="en-US" w:eastAsia="ru-RU"/>
              </w:rPr>
              <w:t>E116Q</w:t>
            </w:r>
          </w:p>
          <w:p w14:paraId="4CD6DAE7" w14:textId="77777777" w:rsidR="00D41138" w:rsidRPr="00337216" w:rsidRDefault="00D41138">
            <w:pPr>
              <w:pStyle w:val="Brdtekst"/>
              <w:kinsoku w:val="0"/>
              <w:overflowPunct w:val="0"/>
              <w:ind w:left="57"/>
              <w:rPr>
                <w:rFonts w:ascii="Times New Roman" w:hAnsi="Times New Roman"/>
                <w:bCs/>
                <w:color w:val="000000" w:themeColor="text1"/>
                <w:sz w:val="20"/>
                <w:szCs w:val="20"/>
                <w:lang w:eastAsia="ru-RU"/>
              </w:rPr>
            </w:pPr>
            <w:r w:rsidRPr="00337216">
              <w:rPr>
                <w:rFonts w:ascii="Times New Roman" w:hAnsi="Times New Roman"/>
                <w:bCs/>
                <w:color w:val="000000" w:themeColor="text1"/>
                <w:sz w:val="20"/>
                <w:szCs w:val="20"/>
                <w:lang w:eastAsia="ru-RU"/>
              </w:rPr>
              <w:t>E193K</w:t>
            </w:r>
          </w:p>
        </w:tc>
        <w:tc>
          <w:tcPr>
            <w:tcW w:w="1076" w:type="pct"/>
            <w:tcBorders>
              <w:top w:val="single" w:sz="4" w:space="0" w:color="auto"/>
              <w:left w:val="single" w:sz="4" w:space="0" w:color="auto"/>
              <w:bottom w:val="single" w:sz="4" w:space="0" w:color="auto"/>
              <w:right w:val="single" w:sz="4" w:space="0" w:color="auto"/>
            </w:tcBorders>
            <w:tcMar>
              <w:top w:w="28" w:type="dxa"/>
              <w:left w:w="0" w:type="dxa"/>
              <w:bottom w:w="28" w:type="dxa"/>
              <w:right w:w="0" w:type="dxa"/>
            </w:tcMar>
            <w:hideMark/>
          </w:tcPr>
          <w:p w14:paraId="6998BA64" w14:textId="77777777" w:rsidR="00D41138" w:rsidRPr="00337216" w:rsidRDefault="00D41138">
            <w:pPr>
              <w:pStyle w:val="Brdtekst"/>
              <w:kinsoku w:val="0"/>
              <w:overflowPunct w:val="0"/>
              <w:ind w:left="57"/>
              <w:rPr>
                <w:rFonts w:ascii="Times New Roman" w:hAnsi="Times New Roman"/>
                <w:bCs/>
                <w:color w:val="000000" w:themeColor="text1"/>
                <w:sz w:val="20"/>
                <w:szCs w:val="20"/>
                <w:lang w:eastAsia="ru-RU"/>
              </w:rPr>
            </w:pPr>
            <w:r w:rsidRPr="00337216">
              <w:rPr>
                <w:rFonts w:ascii="Times New Roman" w:hAnsi="Times New Roman"/>
                <w:bCs/>
                <w:color w:val="000000" w:themeColor="text1"/>
                <w:sz w:val="20"/>
                <w:szCs w:val="20"/>
                <w:lang w:eastAsia="ru-RU"/>
              </w:rPr>
              <w:lastRenderedPageBreak/>
              <w:t>E217G</w:t>
            </w:r>
          </w:p>
          <w:p w14:paraId="23336C71" w14:textId="77777777" w:rsidR="00D41138" w:rsidRPr="00337216" w:rsidRDefault="00D41138">
            <w:pPr>
              <w:pStyle w:val="Brdtekst"/>
              <w:kinsoku w:val="0"/>
              <w:overflowPunct w:val="0"/>
              <w:ind w:left="57"/>
              <w:rPr>
                <w:rFonts w:ascii="Times New Roman" w:hAnsi="Times New Roman"/>
                <w:bCs/>
                <w:color w:val="000000" w:themeColor="text1"/>
                <w:sz w:val="20"/>
                <w:szCs w:val="20"/>
                <w:lang w:eastAsia="ru-RU"/>
              </w:rPr>
            </w:pPr>
            <w:r w:rsidRPr="00337216">
              <w:rPr>
                <w:rFonts w:ascii="Times New Roman" w:hAnsi="Times New Roman"/>
                <w:bCs/>
                <w:color w:val="000000" w:themeColor="text1"/>
                <w:sz w:val="20"/>
                <w:szCs w:val="20"/>
                <w:lang w:eastAsia="ru-RU"/>
              </w:rPr>
              <w:t>E264V</w:t>
            </w:r>
          </w:p>
          <w:p w14:paraId="06D3E3ED" w14:textId="77777777" w:rsidR="00D41138" w:rsidRPr="00337216" w:rsidRDefault="00D41138">
            <w:pPr>
              <w:pStyle w:val="Brdtekst"/>
              <w:kinsoku w:val="0"/>
              <w:overflowPunct w:val="0"/>
              <w:ind w:left="57"/>
              <w:rPr>
                <w:rFonts w:ascii="Times New Roman" w:hAnsi="Times New Roman"/>
                <w:bCs/>
                <w:color w:val="000000" w:themeColor="text1"/>
                <w:sz w:val="20"/>
                <w:szCs w:val="20"/>
                <w:lang w:eastAsia="ru-RU"/>
              </w:rPr>
            </w:pPr>
            <w:r w:rsidRPr="00337216">
              <w:rPr>
                <w:rFonts w:ascii="Times New Roman" w:hAnsi="Times New Roman"/>
                <w:bCs/>
                <w:color w:val="000000" w:themeColor="text1"/>
                <w:sz w:val="20"/>
                <w:szCs w:val="20"/>
                <w:lang w:eastAsia="ru-RU"/>
              </w:rPr>
              <w:t>E282D</w:t>
            </w:r>
          </w:p>
          <w:p w14:paraId="09DBA968" w14:textId="77777777" w:rsidR="00D41138" w:rsidRPr="00337216" w:rsidRDefault="00D41138">
            <w:pPr>
              <w:pStyle w:val="Brdtekst"/>
              <w:kinsoku w:val="0"/>
              <w:overflowPunct w:val="0"/>
              <w:ind w:left="57"/>
              <w:rPr>
                <w:rFonts w:ascii="Times New Roman" w:hAnsi="Times New Roman"/>
                <w:bCs/>
                <w:color w:val="000000" w:themeColor="text1"/>
                <w:sz w:val="20"/>
                <w:szCs w:val="20"/>
                <w:lang w:eastAsia="ru-RU"/>
              </w:rPr>
            </w:pPr>
            <w:r w:rsidRPr="00337216">
              <w:rPr>
                <w:rFonts w:ascii="Times New Roman" w:hAnsi="Times New Roman"/>
                <w:bCs/>
                <w:color w:val="000000" w:themeColor="text1"/>
                <w:sz w:val="20"/>
                <w:szCs w:val="20"/>
                <w:lang w:eastAsia="ru-RU"/>
              </w:rPr>
              <w:t>E292K</w:t>
            </w:r>
          </w:p>
          <w:p w14:paraId="4AFEB7FF" w14:textId="77777777" w:rsidR="00D41138" w:rsidRPr="00337216" w:rsidRDefault="00D41138">
            <w:pPr>
              <w:pStyle w:val="Brdtekst"/>
              <w:kinsoku w:val="0"/>
              <w:overflowPunct w:val="0"/>
              <w:ind w:left="57"/>
              <w:rPr>
                <w:rFonts w:ascii="Times New Roman" w:hAnsi="Times New Roman"/>
                <w:bCs/>
                <w:color w:val="000000" w:themeColor="text1"/>
                <w:sz w:val="20"/>
                <w:szCs w:val="20"/>
                <w:lang w:eastAsia="ru-RU"/>
              </w:rPr>
            </w:pPr>
            <w:r w:rsidRPr="00337216">
              <w:rPr>
                <w:rFonts w:ascii="Times New Roman" w:hAnsi="Times New Roman"/>
                <w:bCs/>
                <w:color w:val="000000" w:themeColor="text1"/>
                <w:sz w:val="20"/>
                <w:szCs w:val="20"/>
                <w:lang w:eastAsia="ru-RU"/>
              </w:rPr>
              <w:t>E384K</w:t>
            </w:r>
          </w:p>
          <w:p w14:paraId="28E59AD6" w14:textId="77777777" w:rsidR="00D41138" w:rsidRPr="00337216" w:rsidRDefault="00D41138">
            <w:pPr>
              <w:pStyle w:val="Brdtekst"/>
              <w:kinsoku w:val="0"/>
              <w:overflowPunct w:val="0"/>
              <w:ind w:left="57"/>
              <w:rPr>
                <w:rFonts w:ascii="Times New Roman" w:hAnsi="Times New Roman"/>
                <w:bCs/>
                <w:color w:val="000000" w:themeColor="text1"/>
                <w:sz w:val="20"/>
                <w:szCs w:val="20"/>
                <w:lang w:eastAsia="ru-RU"/>
              </w:rPr>
            </w:pPr>
            <w:r w:rsidRPr="00337216">
              <w:rPr>
                <w:rFonts w:ascii="Times New Roman" w:hAnsi="Times New Roman"/>
                <w:bCs/>
                <w:color w:val="000000" w:themeColor="text1"/>
                <w:sz w:val="20"/>
                <w:szCs w:val="20"/>
                <w:lang w:eastAsia="ru-RU"/>
              </w:rPr>
              <w:t>E403D</w:t>
            </w:r>
          </w:p>
          <w:p w14:paraId="0B71DE7C" w14:textId="77777777" w:rsidR="00D41138" w:rsidRPr="00337216" w:rsidRDefault="00D41138">
            <w:pPr>
              <w:pStyle w:val="Brdtekst"/>
              <w:kinsoku w:val="0"/>
              <w:overflowPunct w:val="0"/>
              <w:ind w:left="57"/>
              <w:rPr>
                <w:rFonts w:ascii="Times New Roman" w:hAnsi="Times New Roman"/>
                <w:bCs/>
                <w:color w:val="000000" w:themeColor="text1"/>
                <w:sz w:val="20"/>
                <w:szCs w:val="20"/>
                <w:lang w:eastAsia="ru-RU"/>
              </w:rPr>
            </w:pPr>
            <w:r w:rsidRPr="00337216">
              <w:rPr>
                <w:rFonts w:ascii="Times New Roman" w:hAnsi="Times New Roman"/>
                <w:bCs/>
                <w:color w:val="000000" w:themeColor="text1"/>
                <w:sz w:val="20"/>
                <w:szCs w:val="20"/>
                <w:lang w:eastAsia="ru-RU"/>
              </w:rPr>
              <w:t>E474K</w:t>
            </w:r>
          </w:p>
          <w:p w14:paraId="2A70ED40" w14:textId="77777777" w:rsidR="00D41138" w:rsidRPr="00337216" w:rsidRDefault="00D41138">
            <w:pPr>
              <w:pStyle w:val="Brdtekst"/>
              <w:kinsoku w:val="0"/>
              <w:overflowPunct w:val="0"/>
              <w:ind w:left="57"/>
              <w:rPr>
                <w:rFonts w:ascii="Times New Roman" w:hAnsi="Times New Roman"/>
                <w:bCs/>
                <w:color w:val="000000" w:themeColor="text1"/>
                <w:sz w:val="20"/>
                <w:szCs w:val="20"/>
                <w:lang w:eastAsia="ru-RU"/>
              </w:rPr>
            </w:pPr>
            <w:r w:rsidRPr="00337216">
              <w:rPr>
                <w:rFonts w:ascii="Times New Roman" w:hAnsi="Times New Roman"/>
                <w:bCs/>
                <w:color w:val="000000" w:themeColor="text1"/>
                <w:sz w:val="20"/>
                <w:szCs w:val="20"/>
                <w:lang w:eastAsia="ru-RU"/>
              </w:rPr>
              <w:t>E527G</w:t>
            </w:r>
          </w:p>
          <w:p w14:paraId="494A7E8D" w14:textId="77777777" w:rsidR="00D41138" w:rsidRPr="00337216" w:rsidRDefault="00D41138">
            <w:pPr>
              <w:pStyle w:val="Brdtekst"/>
              <w:kinsoku w:val="0"/>
              <w:overflowPunct w:val="0"/>
              <w:ind w:left="57"/>
              <w:rPr>
                <w:rFonts w:ascii="Times New Roman" w:hAnsi="Times New Roman"/>
                <w:bCs/>
                <w:color w:val="000000" w:themeColor="text1"/>
                <w:sz w:val="20"/>
                <w:szCs w:val="20"/>
                <w:lang w:eastAsia="ru-RU"/>
              </w:rPr>
            </w:pPr>
            <w:r w:rsidRPr="00337216">
              <w:rPr>
                <w:rFonts w:ascii="Times New Roman" w:hAnsi="Times New Roman"/>
                <w:bCs/>
                <w:color w:val="000000" w:themeColor="text1"/>
                <w:sz w:val="20"/>
                <w:szCs w:val="20"/>
                <w:lang w:eastAsia="ru-RU"/>
              </w:rPr>
              <w:t>E588V</w:t>
            </w:r>
          </w:p>
          <w:p w14:paraId="49E5B9F1" w14:textId="77777777" w:rsidR="00D41138" w:rsidRPr="00337216" w:rsidRDefault="00D41138">
            <w:pPr>
              <w:pStyle w:val="Brdtekst"/>
              <w:kinsoku w:val="0"/>
              <w:overflowPunct w:val="0"/>
              <w:ind w:left="57"/>
              <w:rPr>
                <w:rFonts w:ascii="Times New Roman" w:hAnsi="Times New Roman"/>
                <w:bCs/>
                <w:color w:val="000000" w:themeColor="text1"/>
                <w:sz w:val="20"/>
                <w:szCs w:val="20"/>
                <w:lang w:eastAsia="ru-RU"/>
              </w:rPr>
            </w:pPr>
            <w:r w:rsidRPr="00337216">
              <w:rPr>
                <w:rFonts w:ascii="Times New Roman" w:hAnsi="Times New Roman"/>
                <w:bCs/>
                <w:color w:val="000000" w:themeColor="text1"/>
                <w:sz w:val="20"/>
                <w:szCs w:val="20"/>
                <w:lang w:eastAsia="ru-RU"/>
              </w:rPr>
              <w:t>E822K</w:t>
            </w:r>
          </w:p>
          <w:p w14:paraId="0D1B40C6" w14:textId="77777777" w:rsidR="00D41138" w:rsidRPr="00337216" w:rsidRDefault="00D41138">
            <w:pPr>
              <w:pStyle w:val="Brdtekst"/>
              <w:kinsoku w:val="0"/>
              <w:overflowPunct w:val="0"/>
              <w:ind w:left="57"/>
              <w:rPr>
                <w:rFonts w:ascii="Times New Roman" w:hAnsi="Times New Roman"/>
                <w:bCs/>
                <w:color w:val="000000" w:themeColor="text1"/>
                <w:sz w:val="20"/>
                <w:szCs w:val="20"/>
                <w:lang w:eastAsia="ru-RU"/>
              </w:rPr>
            </w:pPr>
            <w:r w:rsidRPr="00337216">
              <w:rPr>
                <w:rFonts w:ascii="Times New Roman" w:hAnsi="Times New Roman"/>
                <w:bCs/>
                <w:color w:val="000000" w:themeColor="text1"/>
                <w:sz w:val="20"/>
                <w:szCs w:val="20"/>
                <w:lang w:eastAsia="ru-RU"/>
              </w:rPr>
              <w:t>E831X</w:t>
            </w:r>
          </w:p>
          <w:p w14:paraId="6990A6D2" w14:textId="77777777" w:rsidR="00D41138" w:rsidRPr="00337216" w:rsidRDefault="00D41138">
            <w:pPr>
              <w:pStyle w:val="Brdtekst"/>
              <w:kinsoku w:val="0"/>
              <w:overflowPunct w:val="0"/>
              <w:ind w:left="57"/>
              <w:rPr>
                <w:rFonts w:ascii="Times New Roman" w:hAnsi="Times New Roman"/>
                <w:bCs/>
                <w:color w:val="000000" w:themeColor="text1"/>
                <w:sz w:val="20"/>
                <w:szCs w:val="20"/>
                <w:lang w:eastAsia="ru-RU"/>
              </w:rPr>
            </w:pPr>
            <w:r w:rsidRPr="00337216">
              <w:rPr>
                <w:rFonts w:ascii="Times New Roman" w:hAnsi="Times New Roman"/>
                <w:bCs/>
                <w:color w:val="000000" w:themeColor="text1"/>
                <w:sz w:val="20"/>
                <w:szCs w:val="20"/>
                <w:lang w:eastAsia="ru-RU"/>
              </w:rPr>
              <w:lastRenderedPageBreak/>
              <w:t>E1104K</w:t>
            </w:r>
          </w:p>
          <w:p w14:paraId="6D5CBDA6" w14:textId="77777777" w:rsidR="00D41138" w:rsidRPr="00337216" w:rsidRDefault="00D41138">
            <w:pPr>
              <w:pStyle w:val="Brdtekst"/>
              <w:kinsoku w:val="0"/>
              <w:overflowPunct w:val="0"/>
              <w:ind w:left="57"/>
              <w:rPr>
                <w:rFonts w:ascii="Times New Roman" w:hAnsi="Times New Roman"/>
                <w:bCs/>
                <w:color w:val="000000" w:themeColor="text1"/>
                <w:sz w:val="20"/>
                <w:szCs w:val="20"/>
                <w:lang w:eastAsia="ru-RU"/>
              </w:rPr>
            </w:pPr>
            <w:r w:rsidRPr="00337216">
              <w:rPr>
                <w:rFonts w:ascii="Times New Roman" w:hAnsi="Times New Roman"/>
                <w:bCs/>
                <w:color w:val="000000" w:themeColor="text1"/>
                <w:sz w:val="20"/>
                <w:szCs w:val="20"/>
                <w:lang w:eastAsia="ru-RU"/>
              </w:rPr>
              <w:t>E1104V</w:t>
            </w:r>
          </w:p>
          <w:p w14:paraId="19E470B5" w14:textId="77777777" w:rsidR="00D41138" w:rsidRPr="00337216" w:rsidRDefault="00D41138">
            <w:pPr>
              <w:pStyle w:val="Brdtekst"/>
              <w:kinsoku w:val="0"/>
              <w:overflowPunct w:val="0"/>
              <w:ind w:left="57"/>
              <w:rPr>
                <w:rFonts w:ascii="Times New Roman" w:hAnsi="Times New Roman"/>
                <w:bCs/>
                <w:color w:val="000000" w:themeColor="text1"/>
                <w:sz w:val="20"/>
                <w:szCs w:val="20"/>
                <w:lang w:eastAsia="ru-RU"/>
              </w:rPr>
            </w:pPr>
            <w:r w:rsidRPr="00337216">
              <w:rPr>
                <w:rFonts w:ascii="Times New Roman" w:hAnsi="Times New Roman"/>
                <w:bCs/>
                <w:color w:val="000000" w:themeColor="text1"/>
                <w:sz w:val="20"/>
                <w:szCs w:val="20"/>
                <w:lang w:eastAsia="ru-RU"/>
              </w:rPr>
              <w:t>E1126K</w:t>
            </w:r>
          </w:p>
          <w:p w14:paraId="6BC49CB4" w14:textId="77777777" w:rsidR="00D41138" w:rsidRPr="00337216" w:rsidRDefault="00D41138">
            <w:pPr>
              <w:pStyle w:val="Brdtekst"/>
              <w:kinsoku w:val="0"/>
              <w:overflowPunct w:val="0"/>
              <w:ind w:left="57"/>
              <w:rPr>
                <w:rFonts w:ascii="Times New Roman" w:hAnsi="Times New Roman"/>
                <w:bCs/>
                <w:color w:val="000000" w:themeColor="text1"/>
                <w:sz w:val="20"/>
                <w:szCs w:val="20"/>
                <w:lang w:eastAsia="ru-RU"/>
              </w:rPr>
            </w:pPr>
            <w:r w:rsidRPr="00337216">
              <w:rPr>
                <w:rFonts w:ascii="Times New Roman" w:hAnsi="Times New Roman"/>
                <w:bCs/>
                <w:color w:val="000000" w:themeColor="text1"/>
                <w:sz w:val="20"/>
                <w:szCs w:val="20"/>
                <w:lang w:eastAsia="ru-RU"/>
              </w:rPr>
              <w:t>E1221V</w:t>
            </w:r>
          </w:p>
          <w:p w14:paraId="70BC9422" w14:textId="77777777" w:rsidR="00D41138" w:rsidRPr="00337216" w:rsidRDefault="00D41138">
            <w:pPr>
              <w:pStyle w:val="Brdtekst"/>
              <w:kinsoku w:val="0"/>
              <w:overflowPunct w:val="0"/>
              <w:ind w:left="57"/>
              <w:rPr>
                <w:rFonts w:ascii="Times New Roman" w:hAnsi="Times New Roman"/>
                <w:bCs/>
                <w:color w:val="000000" w:themeColor="text1"/>
                <w:sz w:val="20"/>
                <w:szCs w:val="20"/>
                <w:lang w:eastAsia="ru-RU"/>
              </w:rPr>
            </w:pPr>
            <w:r w:rsidRPr="00337216">
              <w:rPr>
                <w:rFonts w:ascii="Times New Roman" w:hAnsi="Times New Roman"/>
                <w:bCs/>
                <w:color w:val="000000" w:themeColor="text1"/>
                <w:sz w:val="20"/>
                <w:szCs w:val="20"/>
                <w:lang w:eastAsia="ru-RU"/>
              </w:rPr>
              <w:t>E1228K</w:t>
            </w:r>
          </w:p>
          <w:p w14:paraId="0D8BC82D" w14:textId="77777777" w:rsidR="00D41138" w:rsidRPr="00337216" w:rsidRDefault="00D41138">
            <w:pPr>
              <w:pStyle w:val="Brdtekst"/>
              <w:kinsoku w:val="0"/>
              <w:overflowPunct w:val="0"/>
              <w:ind w:left="57"/>
              <w:rPr>
                <w:rFonts w:ascii="Times New Roman" w:hAnsi="Times New Roman"/>
                <w:bCs/>
                <w:color w:val="000000" w:themeColor="text1"/>
                <w:sz w:val="20"/>
                <w:szCs w:val="20"/>
                <w:lang w:eastAsia="ru-RU"/>
              </w:rPr>
            </w:pPr>
            <w:r w:rsidRPr="00337216">
              <w:rPr>
                <w:rFonts w:ascii="Times New Roman" w:hAnsi="Times New Roman"/>
                <w:bCs/>
                <w:color w:val="000000" w:themeColor="text1"/>
                <w:sz w:val="20"/>
                <w:szCs w:val="20"/>
                <w:lang w:eastAsia="ru-RU"/>
              </w:rPr>
              <w:t>E1409K</w:t>
            </w:r>
          </w:p>
          <w:p w14:paraId="468B2882" w14:textId="77777777" w:rsidR="00D41138" w:rsidRPr="00337216" w:rsidRDefault="00D41138">
            <w:pPr>
              <w:pStyle w:val="Brdtekst"/>
              <w:kinsoku w:val="0"/>
              <w:overflowPunct w:val="0"/>
              <w:ind w:left="57"/>
              <w:rPr>
                <w:rFonts w:ascii="Times New Roman" w:hAnsi="Times New Roman"/>
                <w:bCs/>
                <w:color w:val="000000" w:themeColor="text1"/>
                <w:sz w:val="20"/>
                <w:szCs w:val="20"/>
                <w:lang w:eastAsia="ru-RU"/>
              </w:rPr>
            </w:pPr>
            <w:r w:rsidRPr="00337216">
              <w:rPr>
                <w:rFonts w:ascii="Times New Roman" w:hAnsi="Times New Roman"/>
                <w:bCs/>
                <w:color w:val="000000" w:themeColor="text1"/>
                <w:sz w:val="20"/>
                <w:szCs w:val="20"/>
                <w:lang w:eastAsia="ru-RU"/>
              </w:rPr>
              <w:t>E1433K</w:t>
            </w:r>
          </w:p>
          <w:p w14:paraId="639DEBF9" w14:textId="77777777" w:rsidR="00D41138" w:rsidRPr="00337216" w:rsidRDefault="00D41138">
            <w:pPr>
              <w:pStyle w:val="Brdtekst"/>
              <w:kinsoku w:val="0"/>
              <w:overflowPunct w:val="0"/>
              <w:ind w:left="57"/>
              <w:rPr>
                <w:rFonts w:ascii="Times New Roman" w:hAnsi="Times New Roman"/>
                <w:bCs/>
                <w:color w:val="000000" w:themeColor="text1"/>
                <w:sz w:val="20"/>
                <w:szCs w:val="20"/>
                <w:lang w:eastAsia="ru-RU"/>
              </w:rPr>
            </w:pPr>
            <w:r w:rsidRPr="00337216">
              <w:rPr>
                <w:rFonts w:ascii="Times New Roman" w:hAnsi="Times New Roman"/>
                <w:bCs/>
                <w:color w:val="000000" w:themeColor="text1"/>
                <w:sz w:val="20"/>
                <w:szCs w:val="20"/>
                <w:lang w:eastAsia="ru-RU"/>
              </w:rPr>
              <w:t>F87L</w:t>
            </w:r>
          </w:p>
          <w:p w14:paraId="3C72AD1D" w14:textId="77777777" w:rsidR="00D41138" w:rsidRPr="00337216" w:rsidRDefault="00D41138">
            <w:pPr>
              <w:pStyle w:val="Brdtekst"/>
              <w:kinsoku w:val="0"/>
              <w:overflowPunct w:val="0"/>
              <w:ind w:left="57"/>
              <w:rPr>
                <w:rFonts w:ascii="Times New Roman" w:hAnsi="Times New Roman"/>
                <w:bCs/>
                <w:color w:val="000000" w:themeColor="text1"/>
                <w:sz w:val="20"/>
                <w:szCs w:val="20"/>
                <w:lang w:eastAsia="ru-RU"/>
              </w:rPr>
            </w:pPr>
            <w:r w:rsidRPr="00337216">
              <w:rPr>
                <w:rFonts w:ascii="Times New Roman" w:hAnsi="Times New Roman"/>
                <w:bCs/>
                <w:color w:val="000000" w:themeColor="text1"/>
                <w:sz w:val="20"/>
                <w:szCs w:val="20"/>
                <w:lang w:eastAsia="ru-RU"/>
              </w:rPr>
              <w:t>F191V</w:t>
            </w:r>
          </w:p>
          <w:p w14:paraId="1667FC77" w14:textId="77777777" w:rsidR="00D41138" w:rsidRPr="00337216" w:rsidRDefault="00D41138">
            <w:pPr>
              <w:pStyle w:val="Brdtekst"/>
              <w:kinsoku w:val="0"/>
              <w:overflowPunct w:val="0"/>
              <w:ind w:left="57"/>
              <w:rPr>
                <w:rFonts w:ascii="Times New Roman" w:hAnsi="Times New Roman"/>
                <w:bCs/>
                <w:color w:val="000000" w:themeColor="text1"/>
                <w:sz w:val="20"/>
                <w:szCs w:val="20"/>
                <w:lang w:eastAsia="ru-RU"/>
              </w:rPr>
            </w:pPr>
            <w:r w:rsidRPr="00337216">
              <w:rPr>
                <w:rFonts w:ascii="Times New Roman" w:hAnsi="Times New Roman"/>
                <w:bCs/>
                <w:color w:val="000000" w:themeColor="text1"/>
                <w:sz w:val="20"/>
                <w:szCs w:val="20"/>
                <w:lang w:eastAsia="ru-RU"/>
              </w:rPr>
              <w:t>F200I</w:t>
            </w:r>
          </w:p>
          <w:p w14:paraId="2E4D2D49" w14:textId="77777777" w:rsidR="00D41138" w:rsidRPr="00337216" w:rsidRDefault="00D41138">
            <w:pPr>
              <w:pStyle w:val="Brdtekst"/>
              <w:kinsoku w:val="0"/>
              <w:overflowPunct w:val="0"/>
              <w:ind w:left="57"/>
              <w:rPr>
                <w:rFonts w:ascii="Times New Roman" w:hAnsi="Times New Roman"/>
                <w:bCs/>
                <w:color w:val="000000" w:themeColor="text1"/>
                <w:sz w:val="20"/>
                <w:szCs w:val="20"/>
                <w:lang w:eastAsia="ru-RU"/>
              </w:rPr>
            </w:pPr>
            <w:r w:rsidRPr="00337216">
              <w:rPr>
                <w:rFonts w:ascii="Times New Roman" w:hAnsi="Times New Roman"/>
                <w:bCs/>
                <w:color w:val="000000" w:themeColor="text1"/>
                <w:sz w:val="20"/>
                <w:szCs w:val="20"/>
                <w:lang w:eastAsia="ru-RU"/>
              </w:rPr>
              <w:t>F311del</w:t>
            </w:r>
          </w:p>
          <w:p w14:paraId="61CF0B01" w14:textId="77777777" w:rsidR="00D41138" w:rsidRPr="00337216" w:rsidRDefault="00D41138">
            <w:pPr>
              <w:pStyle w:val="Brdtekst"/>
              <w:kinsoku w:val="0"/>
              <w:overflowPunct w:val="0"/>
              <w:ind w:left="57"/>
              <w:rPr>
                <w:rFonts w:ascii="Times New Roman" w:hAnsi="Times New Roman"/>
                <w:bCs/>
                <w:color w:val="000000" w:themeColor="text1"/>
                <w:sz w:val="20"/>
                <w:szCs w:val="20"/>
                <w:lang w:eastAsia="ru-RU"/>
              </w:rPr>
            </w:pPr>
            <w:r w:rsidRPr="00337216">
              <w:rPr>
                <w:rFonts w:ascii="Times New Roman" w:hAnsi="Times New Roman"/>
                <w:bCs/>
                <w:color w:val="000000" w:themeColor="text1"/>
                <w:sz w:val="20"/>
                <w:szCs w:val="20"/>
                <w:lang w:eastAsia="ru-RU"/>
              </w:rPr>
              <w:t>F311L</w:t>
            </w:r>
          </w:p>
          <w:p w14:paraId="5EE61C20" w14:textId="77777777" w:rsidR="00D41138" w:rsidRPr="00337216" w:rsidRDefault="00D41138">
            <w:pPr>
              <w:pStyle w:val="Brdtekst"/>
              <w:kinsoku w:val="0"/>
              <w:overflowPunct w:val="0"/>
              <w:ind w:left="57"/>
              <w:rPr>
                <w:rFonts w:ascii="Times New Roman" w:hAnsi="Times New Roman"/>
                <w:bCs/>
                <w:color w:val="000000" w:themeColor="text1"/>
                <w:sz w:val="20"/>
                <w:szCs w:val="20"/>
                <w:lang w:eastAsia="ru-RU"/>
              </w:rPr>
            </w:pPr>
            <w:r w:rsidRPr="00337216">
              <w:rPr>
                <w:rFonts w:ascii="Times New Roman" w:hAnsi="Times New Roman"/>
                <w:bCs/>
                <w:color w:val="000000" w:themeColor="text1"/>
                <w:sz w:val="20"/>
                <w:szCs w:val="20"/>
                <w:lang w:eastAsia="ru-RU"/>
              </w:rPr>
              <w:t>F312del</w:t>
            </w:r>
          </w:p>
          <w:p w14:paraId="3CD1CDA5" w14:textId="77777777" w:rsidR="00D41138" w:rsidRPr="00337216" w:rsidRDefault="00D41138">
            <w:pPr>
              <w:pStyle w:val="Brdtekst"/>
              <w:kinsoku w:val="0"/>
              <w:overflowPunct w:val="0"/>
              <w:ind w:left="57"/>
              <w:rPr>
                <w:rFonts w:ascii="Times New Roman" w:hAnsi="Times New Roman"/>
                <w:bCs/>
                <w:color w:val="000000" w:themeColor="text1"/>
                <w:sz w:val="20"/>
                <w:szCs w:val="20"/>
                <w:lang w:eastAsia="ru-RU"/>
              </w:rPr>
            </w:pPr>
            <w:r w:rsidRPr="00337216">
              <w:rPr>
                <w:rFonts w:ascii="Times New Roman" w:hAnsi="Times New Roman"/>
                <w:bCs/>
                <w:color w:val="000000" w:themeColor="text1"/>
                <w:sz w:val="20"/>
                <w:szCs w:val="20"/>
                <w:lang w:eastAsia="ru-RU"/>
              </w:rPr>
              <w:t>F433L</w:t>
            </w:r>
          </w:p>
          <w:p w14:paraId="57CAFA7F" w14:textId="77777777" w:rsidR="00D41138" w:rsidRPr="00337216" w:rsidRDefault="00D41138">
            <w:pPr>
              <w:pStyle w:val="Brdtekst"/>
              <w:kinsoku w:val="0"/>
              <w:overflowPunct w:val="0"/>
              <w:ind w:left="57"/>
              <w:rPr>
                <w:rFonts w:ascii="Times New Roman" w:hAnsi="Times New Roman"/>
                <w:bCs/>
                <w:color w:val="000000" w:themeColor="text1"/>
                <w:sz w:val="20"/>
                <w:szCs w:val="20"/>
                <w:lang w:eastAsia="ru-RU"/>
              </w:rPr>
            </w:pPr>
            <w:r w:rsidRPr="00337216">
              <w:rPr>
                <w:rFonts w:ascii="Times New Roman" w:hAnsi="Times New Roman"/>
                <w:bCs/>
                <w:color w:val="000000" w:themeColor="text1"/>
                <w:sz w:val="20"/>
                <w:szCs w:val="20"/>
                <w:lang w:eastAsia="ru-RU"/>
              </w:rPr>
              <w:t>F508C;S1251 N‡</w:t>
            </w:r>
          </w:p>
          <w:p w14:paraId="20F8C5E3" w14:textId="77777777" w:rsidR="00D41138" w:rsidRPr="00337216" w:rsidRDefault="00D41138">
            <w:pPr>
              <w:pStyle w:val="Brdtekst"/>
              <w:kinsoku w:val="0"/>
              <w:overflowPunct w:val="0"/>
              <w:ind w:left="57"/>
              <w:rPr>
                <w:rFonts w:ascii="Times New Roman" w:hAnsi="Times New Roman"/>
                <w:bCs/>
                <w:color w:val="000000" w:themeColor="text1"/>
                <w:sz w:val="20"/>
                <w:szCs w:val="20"/>
                <w:lang w:eastAsia="ru-RU"/>
              </w:rPr>
            </w:pPr>
            <w:r w:rsidRPr="00337216">
              <w:rPr>
                <w:rFonts w:ascii="Times New Roman" w:hAnsi="Times New Roman"/>
                <w:bCs/>
                <w:color w:val="000000" w:themeColor="text1"/>
                <w:sz w:val="20"/>
                <w:szCs w:val="20"/>
                <w:lang w:eastAsia="ru-RU"/>
              </w:rPr>
              <w:t>F508del*</w:t>
            </w:r>
          </w:p>
          <w:p w14:paraId="02CC5096" w14:textId="77777777" w:rsidR="00D41138" w:rsidRPr="00337216" w:rsidRDefault="00D41138">
            <w:pPr>
              <w:pStyle w:val="Brdtekst"/>
              <w:kinsoku w:val="0"/>
              <w:overflowPunct w:val="0"/>
              <w:ind w:left="57"/>
              <w:rPr>
                <w:rFonts w:ascii="Times New Roman" w:hAnsi="Times New Roman"/>
                <w:bCs/>
                <w:color w:val="000000" w:themeColor="text1"/>
                <w:sz w:val="20"/>
                <w:szCs w:val="20"/>
                <w:lang w:eastAsia="ru-RU"/>
              </w:rPr>
            </w:pPr>
            <w:r w:rsidRPr="00337216">
              <w:rPr>
                <w:rFonts w:ascii="Times New Roman" w:hAnsi="Times New Roman"/>
                <w:bCs/>
                <w:color w:val="000000" w:themeColor="text1"/>
                <w:sz w:val="20"/>
                <w:szCs w:val="20"/>
                <w:lang w:eastAsia="ru-RU"/>
              </w:rPr>
              <w:t>F508del;R1438W‡</w:t>
            </w:r>
          </w:p>
          <w:p w14:paraId="733C4A07" w14:textId="77777777" w:rsidR="00D41138" w:rsidRPr="00337216" w:rsidRDefault="00D41138">
            <w:pPr>
              <w:pStyle w:val="Brdtekst"/>
              <w:kinsoku w:val="0"/>
              <w:overflowPunct w:val="0"/>
              <w:ind w:left="57"/>
              <w:rPr>
                <w:rFonts w:ascii="Times New Roman" w:hAnsi="Times New Roman"/>
                <w:bCs/>
                <w:color w:val="000000" w:themeColor="text1"/>
                <w:sz w:val="20"/>
                <w:szCs w:val="20"/>
                <w:lang w:eastAsia="ru-RU"/>
              </w:rPr>
            </w:pPr>
            <w:r w:rsidRPr="00337216">
              <w:rPr>
                <w:rFonts w:ascii="Times New Roman" w:hAnsi="Times New Roman"/>
                <w:bCs/>
                <w:color w:val="000000" w:themeColor="text1"/>
                <w:sz w:val="20"/>
                <w:szCs w:val="20"/>
                <w:lang w:eastAsia="ru-RU"/>
              </w:rPr>
              <w:t>F575Y</w:t>
            </w:r>
          </w:p>
          <w:p w14:paraId="6AF0EFF2" w14:textId="77777777" w:rsidR="00D41138" w:rsidRPr="00337216" w:rsidRDefault="00D41138">
            <w:pPr>
              <w:pStyle w:val="Brdtekst"/>
              <w:kinsoku w:val="0"/>
              <w:overflowPunct w:val="0"/>
              <w:ind w:left="57"/>
              <w:rPr>
                <w:rFonts w:ascii="Times New Roman" w:hAnsi="Times New Roman"/>
                <w:bCs/>
                <w:color w:val="000000" w:themeColor="text1"/>
                <w:sz w:val="20"/>
                <w:szCs w:val="20"/>
                <w:lang w:val="en-US" w:eastAsia="ru-RU"/>
              </w:rPr>
            </w:pPr>
            <w:r w:rsidRPr="00337216">
              <w:rPr>
                <w:rFonts w:ascii="Times New Roman" w:hAnsi="Times New Roman"/>
                <w:bCs/>
                <w:color w:val="000000" w:themeColor="text1"/>
                <w:sz w:val="20"/>
                <w:szCs w:val="20"/>
                <w:lang w:val="en-US" w:eastAsia="ru-RU"/>
              </w:rPr>
              <w:t>F587I</w:t>
            </w:r>
          </w:p>
          <w:p w14:paraId="3831FBFE" w14:textId="77777777" w:rsidR="00D41138" w:rsidRPr="00337216" w:rsidRDefault="00D41138">
            <w:pPr>
              <w:pStyle w:val="Brdtekst"/>
              <w:kinsoku w:val="0"/>
              <w:overflowPunct w:val="0"/>
              <w:ind w:left="57"/>
              <w:rPr>
                <w:rFonts w:ascii="Times New Roman" w:hAnsi="Times New Roman"/>
                <w:bCs/>
                <w:color w:val="000000" w:themeColor="text1"/>
                <w:sz w:val="20"/>
                <w:szCs w:val="20"/>
                <w:lang w:val="en-US" w:eastAsia="ru-RU"/>
              </w:rPr>
            </w:pPr>
            <w:r w:rsidRPr="00337216">
              <w:rPr>
                <w:rFonts w:ascii="Times New Roman" w:hAnsi="Times New Roman"/>
                <w:bCs/>
                <w:color w:val="000000" w:themeColor="text1"/>
                <w:sz w:val="20"/>
                <w:szCs w:val="20"/>
                <w:lang w:val="en-US" w:eastAsia="ru-RU"/>
              </w:rPr>
              <w:t>F587L</w:t>
            </w:r>
          </w:p>
          <w:p w14:paraId="709D1A75" w14:textId="77777777" w:rsidR="00D41138" w:rsidRPr="00337216" w:rsidRDefault="00D41138">
            <w:pPr>
              <w:pStyle w:val="Brdtekst"/>
              <w:kinsoku w:val="0"/>
              <w:overflowPunct w:val="0"/>
              <w:ind w:left="57"/>
              <w:rPr>
                <w:rFonts w:ascii="Times New Roman" w:hAnsi="Times New Roman"/>
                <w:bCs/>
                <w:color w:val="000000" w:themeColor="text1"/>
                <w:sz w:val="20"/>
                <w:szCs w:val="20"/>
                <w:lang w:val="en-US" w:eastAsia="ru-RU"/>
              </w:rPr>
            </w:pPr>
            <w:r w:rsidRPr="00337216">
              <w:rPr>
                <w:rFonts w:ascii="Times New Roman" w:hAnsi="Times New Roman"/>
                <w:bCs/>
                <w:color w:val="000000" w:themeColor="text1"/>
                <w:sz w:val="20"/>
                <w:szCs w:val="20"/>
                <w:lang w:val="en-US" w:eastAsia="ru-RU"/>
              </w:rPr>
              <w:t>F693L(TTG)</w:t>
            </w:r>
          </w:p>
          <w:p w14:paraId="560CFCE1" w14:textId="77777777" w:rsidR="00D41138" w:rsidRPr="00337216" w:rsidRDefault="00D41138">
            <w:pPr>
              <w:pStyle w:val="Brdtekst"/>
              <w:kinsoku w:val="0"/>
              <w:overflowPunct w:val="0"/>
              <w:ind w:left="57"/>
              <w:rPr>
                <w:rFonts w:ascii="Times New Roman" w:hAnsi="Times New Roman"/>
                <w:bCs/>
                <w:color w:val="000000" w:themeColor="text1"/>
                <w:sz w:val="20"/>
                <w:szCs w:val="20"/>
                <w:lang w:val="en-US" w:eastAsia="ru-RU"/>
              </w:rPr>
            </w:pPr>
            <w:r w:rsidRPr="00337216">
              <w:rPr>
                <w:rFonts w:ascii="Times New Roman" w:hAnsi="Times New Roman"/>
                <w:bCs/>
                <w:color w:val="000000" w:themeColor="text1"/>
                <w:sz w:val="20"/>
                <w:szCs w:val="20"/>
                <w:lang w:val="en-US" w:eastAsia="ru-RU"/>
              </w:rPr>
              <w:t>F932S</w:t>
            </w:r>
          </w:p>
          <w:p w14:paraId="4B4E1FAD" w14:textId="77777777" w:rsidR="00D41138" w:rsidRPr="00337216" w:rsidRDefault="00D41138">
            <w:pPr>
              <w:pStyle w:val="Brdtekst"/>
              <w:kinsoku w:val="0"/>
              <w:overflowPunct w:val="0"/>
              <w:ind w:left="57"/>
              <w:rPr>
                <w:rFonts w:ascii="Times New Roman" w:hAnsi="Times New Roman"/>
                <w:bCs/>
                <w:color w:val="000000" w:themeColor="text1"/>
                <w:sz w:val="20"/>
                <w:szCs w:val="20"/>
                <w:lang w:val="en-US" w:eastAsia="ru-RU"/>
              </w:rPr>
            </w:pPr>
            <w:r w:rsidRPr="00337216">
              <w:rPr>
                <w:rFonts w:ascii="Times New Roman" w:hAnsi="Times New Roman"/>
                <w:bCs/>
                <w:color w:val="000000" w:themeColor="text1"/>
                <w:sz w:val="20"/>
                <w:szCs w:val="20"/>
                <w:lang w:val="en-US" w:eastAsia="ru-RU"/>
              </w:rPr>
              <w:t>F1016S</w:t>
            </w:r>
          </w:p>
          <w:p w14:paraId="0F2204D2" w14:textId="77777777" w:rsidR="00D41138" w:rsidRPr="00337216" w:rsidRDefault="00D41138">
            <w:pPr>
              <w:pStyle w:val="Brdtekst"/>
              <w:kinsoku w:val="0"/>
              <w:overflowPunct w:val="0"/>
              <w:ind w:left="57"/>
              <w:rPr>
                <w:rFonts w:ascii="Times New Roman" w:hAnsi="Times New Roman"/>
                <w:bCs/>
                <w:color w:val="000000" w:themeColor="text1"/>
                <w:sz w:val="20"/>
                <w:szCs w:val="20"/>
                <w:lang w:val="en-US" w:eastAsia="ru-RU"/>
              </w:rPr>
            </w:pPr>
            <w:r w:rsidRPr="00337216">
              <w:rPr>
                <w:rFonts w:ascii="Times New Roman" w:hAnsi="Times New Roman"/>
                <w:bCs/>
                <w:color w:val="000000" w:themeColor="text1"/>
                <w:sz w:val="20"/>
                <w:szCs w:val="20"/>
                <w:lang w:val="en-US" w:eastAsia="ru-RU"/>
              </w:rPr>
              <w:t>F1052V</w:t>
            </w:r>
          </w:p>
          <w:p w14:paraId="271F9F04" w14:textId="77777777" w:rsidR="00D41138" w:rsidRPr="00337216" w:rsidRDefault="00D41138">
            <w:pPr>
              <w:pStyle w:val="Brdtekst"/>
              <w:kinsoku w:val="0"/>
              <w:overflowPunct w:val="0"/>
              <w:ind w:left="57"/>
              <w:rPr>
                <w:rFonts w:ascii="Times New Roman" w:hAnsi="Times New Roman"/>
                <w:bCs/>
                <w:color w:val="000000" w:themeColor="text1"/>
                <w:sz w:val="20"/>
                <w:szCs w:val="20"/>
                <w:lang w:val="en-US" w:eastAsia="ru-RU"/>
              </w:rPr>
            </w:pPr>
            <w:r w:rsidRPr="00337216">
              <w:rPr>
                <w:rFonts w:ascii="Times New Roman" w:hAnsi="Times New Roman"/>
                <w:bCs/>
                <w:color w:val="000000" w:themeColor="text1"/>
                <w:sz w:val="20"/>
                <w:szCs w:val="20"/>
                <w:lang w:val="en-US" w:eastAsia="ru-RU"/>
              </w:rPr>
              <w:t>F1074L</w:t>
            </w:r>
          </w:p>
          <w:p w14:paraId="0324352C" w14:textId="77777777" w:rsidR="00D41138" w:rsidRPr="00337216" w:rsidRDefault="00D41138">
            <w:pPr>
              <w:pStyle w:val="Brdtekst"/>
              <w:kinsoku w:val="0"/>
              <w:overflowPunct w:val="0"/>
              <w:ind w:left="57"/>
              <w:rPr>
                <w:rFonts w:ascii="Times New Roman" w:hAnsi="Times New Roman"/>
                <w:bCs/>
                <w:color w:val="000000" w:themeColor="text1"/>
                <w:sz w:val="20"/>
                <w:szCs w:val="20"/>
                <w:lang w:val="en-US" w:eastAsia="ru-RU"/>
              </w:rPr>
            </w:pPr>
            <w:r w:rsidRPr="00337216">
              <w:rPr>
                <w:rFonts w:ascii="Times New Roman" w:hAnsi="Times New Roman"/>
                <w:bCs/>
                <w:color w:val="000000" w:themeColor="text1"/>
                <w:sz w:val="20"/>
                <w:szCs w:val="20"/>
                <w:lang w:val="en-US" w:eastAsia="ru-RU"/>
              </w:rPr>
              <w:t>F1078S</w:t>
            </w:r>
          </w:p>
          <w:p w14:paraId="1F188EDC" w14:textId="77777777" w:rsidR="00D41138" w:rsidRPr="00337216" w:rsidRDefault="00D41138">
            <w:pPr>
              <w:pStyle w:val="Brdtekst"/>
              <w:kinsoku w:val="0"/>
              <w:overflowPunct w:val="0"/>
              <w:ind w:left="57"/>
              <w:rPr>
                <w:rFonts w:ascii="Times New Roman" w:hAnsi="Times New Roman"/>
                <w:bCs/>
                <w:color w:val="000000" w:themeColor="text1"/>
                <w:sz w:val="20"/>
                <w:szCs w:val="20"/>
                <w:lang w:val="en-US" w:eastAsia="ru-RU"/>
              </w:rPr>
            </w:pPr>
            <w:r w:rsidRPr="00337216">
              <w:rPr>
                <w:rFonts w:ascii="Times New Roman" w:hAnsi="Times New Roman"/>
                <w:bCs/>
                <w:color w:val="000000" w:themeColor="text1"/>
                <w:sz w:val="20"/>
                <w:szCs w:val="20"/>
                <w:lang w:val="en-US" w:eastAsia="ru-RU"/>
              </w:rPr>
              <w:t>F1099L</w:t>
            </w:r>
          </w:p>
          <w:p w14:paraId="0C2D5868" w14:textId="77777777" w:rsidR="00D41138" w:rsidRPr="00337216" w:rsidRDefault="00D41138">
            <w:pPr>
              <w:pStyle w:val="Brdtekst"/>
              <w:kinsoku w:val="0"/>
              <w:overflowPunct w:val="0"/>
              <w:ind w:left="57"/>
              <w:rPr>
                <w:rFonts w:ascii="Times New Roman" w:hAnsi="Times New Roman"/>
                <w:bCs/>
                <w:color w:val="000000" w:themeColor="text1"/>
                <w:sz w:val="20"/>
                <w:szCs w:val="20"/>
                <w:lang w:val="en-US" w:eastAsia="ru-RU"/>
              </w:rPr>
            </w:pPr>
            <w:r w:rsidRPr="00337216">
              <w:rPr>
                <w:rFonts w:ascii="Times New Roman" w:hAnsi="Times New Roman"/>
                <w:bCs/>
                <w:color w:val="000000" w:themeColor="text1"/>
                <w:sz w:val="20"/>
                <w:szCs w:val="20"/>
                <w:lang w:val="en-US" w:eastAsia="ru-RU"/>
              </w:rPr>
              <w:t>F1107L</w:t>
            </w:r>
          </w:p>
          <w:p w14:paraId="42A54707" w14:textId="77777777" w:rsidR="00D41138" w:rsidRPr="00337216" w:rsidRDefault="00D41138">
            <w:pPr>
              <w:pStyle w:val="Brdtekst"/>
              <w:kinsoku w:val="0"/>
              <w:overflowPunct w:val="0"/>
              <w:ind w:left="57"/>
              <w:rPr>
                <w:rFonts w:ascii="Times New Roman" w:hAnsi="Times New Roman"/>
                <w:bCs/>
                <w:color w:val="000000" w:themeColor="text1"/>
                <w:sz w:val="20"/>
                <w:szCs w:val="20"/>
                <w:lang w:val="en-US" w:eastAsia="ru-RU"/>
              </w:rPr>
            </w:pPr>
            <w:r w:rsidRPr="00337216">
              <w:rPr>
                <w:rFonts w:ascii="Times New Roman" w:hAnsi="Times New Roman"/>
                <w:bCs/>
                <w:color w:val="000000" w:themeColor="text1"/>
                <w:sz w:val="20"/>
                <w:szCs w:val="20"/>
                <w:lang w:val="en-US" w:eastAsia="ru-RU"/>
              </w:rPr>
              <w:t>G27E</w:t>
            </w:r>
          </w:p>
          <w:p w14:paraId="59A2A8B0" w14:textId="77777777" w:rsidR="00D41138" w:rsidRPr="00337216" w:rsidRDefault="00D41138">
            <w:pPr>
              <w:pStyle w:val="Brdtekst"/>
              <w:kinsoku w:val="0"/>
              <w:overflowPunct w:val="0"/>
              <w:ind w:left="57"/>
              <w:rPr>
                <w:rFonts w:ascii="Times New Roman" w:hAnsi="Times New Roman"/>
                <w:bCs/>
                <w:color w:val="000000" w:themeColor="text1"/>
                <w:sz w:val="20"/>
                <w:szCs w:val="20"/>
                <w:lang w:val="en-US" w:eastAsia="ru-RU"/>
              </w:rPr>
            </w:pPr>
            <w:r w:rsidRPr="00337216">
              <w:rPr>
                <w:rFonts w:ascii="Times New Roman" w:hAnsi="Times New Roman"/>
                <w:bCs/>
                <w:color w:val="000000" w:themeColor="text1"/>
                <w:sz w:val="20"/>
                <w:szCs w:val="20"/>
                <w:lang w:val="en-US" w:eastAsia="ru-RU"/>
              </w:rPr>
              <w:t>G27R</w:t>
            </w:r>
          </w:p>
          <w:p w14:paraId="502E5D46" w14:textId="77777777" w:rsidR="00D41138" w:rsidRPr="00337216" w:rsidRDefault="00D41138">
            <w:pPr>
              <w:pStyle w:val="Brdtekst"/>
              <w:kinsoku w:val="0"/>
              <w:overflowPunct w:val="0"/>
              <w:ind w:left="57"/>
              <w:rPr>
                <w:rFonts w:ascii="Times New Roman" w:hAnsi="Times New Roman"/>
                <w:bCs/>
                <w:color w:val="000000" w:themeColor="text1"/>
                <w:sz w:val="20"/>
                <w:szCs w:val="20"/>
                <w:lang w:val="en-US" w:eastAsia="ru-RU"/>
              </w:rPr>
            </w:pPr>
            <w:r w:rsidRPr="00337216">
              <w:rPr>
                <w:rFonts w:ascii="Times New Roman" w:hAnsi="Times New Roman"/>
                <w:bCs/>
                <w:color w:val="000000" w:themeColor="text1"/>
                <w:sz w:val="20"/>
                <w:szCs w:val="20"/>
                <w:lang w:val="en-US" w:eastAsia="ru-RU"/>
              </w:rPr>
              <w:t>G126D</w:t>
            </w:r>
          </w:p>
          <w:p w14:paraId="1DBD3181" w14:textId="77777777" w:rsidR="00D41138" w:rsidRPr="00337216" w:rsidRDefault="00D41138">
            <w:pPr>
              <w:pStyle w:val="Brdtekst"/>
              <w:kinsoku w:val="0"/>
              <w:overflowPunct w:val="0"/>
              <w:ind w:left="57"/>
              <w:rPr>
                <w:rFonts w:ascii="Times New Roman" w:hAnsi="Times New Roman"/>
                <w:bCs/>
                <w:color w:val="000000" w:themeColor="text1"/>
                <w:sz w:val="20"/>
                <w:szCs w:val="20"/>
                <w:lang w:val="en-US" w:eastAsia="ru-RU"/>
              </w:rPr>
            </w:pPr>
            <w:r w:rsidRPr="00337216">
              <w:rPr>
                <w:rFonts w:ascii="Times New Roman" w:hAnsi="Times New Roman"/>
                <w:bCs/>
                <w:color w:val="000000" w:themeColor="text1"/>
                <w:sz w:val="20"/>
                <w:szCs w:val="20"/>
                <w:lang w:val="en-US" w:eastAsia="ru-RU"/>
              </w:rPr>
              <w:t>G178E</w:t>
            </w:r>
          </w:p>
          <w:p w14:paraId="7E20EAFD" w14:textId="77777777" w:rsidR="00D41138" w:rsidRPr="00337216" w:rsidRDefault="00D41138">
            <w:pPr>
              <w:pStyle w:val="Brdtekst"/>
              <w:kinsoku w:val="0"/>
              <w:overflowPunct w:val="0"/>
              <w:ind w:left="57"/>
              <w:rPr>
                <w:rFonts w:ascii="Times New Roman" w:hAnsi="Times New Roman"/>
                <w:bCs/>
                <w:color w:val="000000" w:themeColor="text1"/>
                <w:sz w:val="20"/>
                <w:szCs w:val="20"/>
                <w:lang w:val="en-US" w:eastAsia="ru-RU"/>
              </w:rPr>
            </w:pPr>
            <w:r w:rsidRPr="00337216">
              <w:rPr>
                <w:rFonts w:ascii="Times New Roman" w:hAnsi="Times New Roman"/>
                <w:bCs/>
                <w:color w:val="000000" w:themeColor="text1"/>
                <w:sz w:val="20"/>
                <w:szCs w:val="20"/>
                <w:lang w:val="en-US" w:eastAsia="ru-RU"/>
              </w:rPr>
              <w:t>G178R</w:t>
            </w:r>
          </w:p>
          <w:p w14:paraId="4FE3F6E7" w14:textId="77777777" w:rsidR="00D41138" w:rsidRPr="00337216" w:rsidRDefault="00D41138">
            <w:pPr>
              <w:pStyle w:val="Brdtekst"/>
              <w:kinsoku w:val="0"/>
              <w:overflowPunct w:val="0"/>
              <w:ind w:left="57"/>
              <w:rPr>
                <w:rFonts w:ascii="Times New Roman" w:hAnsi="Times New Roman"/>
                <w:bCs/>
                <w:color w:val="000000" w:themeColor="text1"/>
                <w:sz w:val="20"/>
                <w:szCs w:val="20"/>
                <w:lang w:val="en-US" w:eastAsia="ru-RU"/>
              </w:rPr>
            </w:pPr>
            <w:r w:rsidRPr="00337216">
              <w:rPr>
                <w:rFonts w:ascii="Times New Roman" w:hAnsi="Times New Roman"/>
                <w:bCs/>
                <w:color w:val="000000" w:themeColor="text1"/>
                <w:sz w:val="20"/>
                <w:szCs w:val="20"/>
                <w:lang w:val="en-US" w:eastAsia="ru-RU"/>
              </w:rPr>
              <w:t>G194R</w:t>
            </w:r>
          </w:p>
          <w:p w14:paraId="7783D3A8" w14:textId="77777777" w:rsidR="00D41138" w:rsidRPr="00337216" w:rsidRDefault="00D41138">
            <w:pPr>
              <w:pStyle w:val="Brdtekst"/>
              <w:kinsoku w:val="0"/>
              <w:overflowPunct w:val="0"/>
              <w:ind w:left="57"/>
              <w:rPr>
                <w:rFonts w:ascii="Times New Roman" w:hAnsi="Times New Roman"/>
                <w:bCs/>
                <w:color w:val="000000" w:themeColor="text1"/>
                <w:sz w:val="20"/>
                <w:szCs w:val="20"/>
                <w:lang w:val="da-DK" w:eastAsia="ru-RU"/>
              </w:rPr>
            </w:pPr>
            <w:r w:rsidRPr="00337216">
              <w:rPr>
                <w:rFonts w:ascii="Times New Roman" w:hAnsi="Times New Roman"/>
                <w:bCs/>
                <w:color w:val="000000" w:themeColor="text1"/>
                <w:sz w:val="20"/>
                <w:szCs w:val="20"/>
                <w:lang w:val="da-DK" w:eastAsia="ru-RU"/>
              </w:rPr>
              <w:t>G194V</w:t>
            </w:r>
          </w:p>
          <w:p w14:paraId="175BC8C6" w14:textId="77777777" w:rsidR="00D41138" w:rsidRPr="00337216" w:rsidRDefault="00D41138">
            <w:pPr>
              <w:pStyle w:val="Brdtekst"/>
              <w:kinsoku w:val="0"/>
              <w:overflowPunct w:val="0"/>
              <w:ind w:left="57"/>
              <w:rPr>
                <w:rFonts w:ascii="Times New Roman" w:hAnsi="Times New Roman"/>
                <w:bCs/>
                <w:color w:val="000000" w:themeColor="text1"/>
                <w:sz w:val="20"/>
                <w:szCs w:val="20"/>
                <w:lang w:val="da-DK" w:eastAsia="ru-RU"/>
              </w:rPr>
            </w:pPr>
            <w:r w:rsidRPr="00337216">
              <w:rPr>
                <w:rFonts w:ascii="Times New Roman" w:hAnsi="Times New Roman"/>
                <w:bCs/>
                <w:color w:val="000000" w:themeColor="text1"/>
                <w:sz w:val="20"/>
                <w:szCs w:val="20"/>
                <w:lang w:val="da-DK" w:eastAsia="ru-RU"/>
              </w:rPr>
              <w:t>G213E</w:t>
            </w:r>
          </w:p>
          <w:p w14:paraId="37320768" w14:textId="77777777" w:rsidR="00D41138" w:rsidRPr="00337216" w:rsidRDefault="00D41138">
            <w:pPr>
              <w:pStyle w:val="Brdtekst"/>
              <w:kinsoku w:val="0"/>
              <w:overflowPunct w:val="0"/>
              <w:ind w:left="57"/>
              <w:rPr>
                <w:rFonts w:ascii="Times New Roman" w:hAnsi="Times New Roman"/>
                <w:bCs/>
                <w:color w:val="000000" w:themeColor="text1"/>
                <w:sz w:val="20"/>
                <w:szCs w:val="20"/>
                <w:lang w:val="da-DK" w:eastAsia="ru-RU"/>
              </w:rPr>
            </w:pPr>
            <w:r w:rsidRPr="00337216">
              <w:rPr>
                <w:rFonts w:ascii="Times New Roman" w:hAnsi="Times New Roman"/>
                <w:bCs/>
                <w:color w:val="000000" w:themeColor="text1"/>
                <w:sz w:val="20"/>
                <w:szCs w:val="20"/>
                <w:lang w:val="da-DK" w:eastAsia="ru-RU"/>
              </w:rPr>
              <w:t>G213</w:t>
            </w:r>
            <w:proofErr w:type="gramStart"/>
            <w:r w:rsidRPr="00337216">
              <w:rPr>
                <w:rFonts w:ascii="Times New Roman" w:hAnsi="Times New Roman"/>
                <w:bCs/>
                <w:color w:val="000000" w:themeColor="text1"/>
                <w:sz w:val="20"/>
                <w:szCs w:val="20"/>
                <w:lang w:val="da-DK" w:eastAsia="ru-RU"/>
              </w:rPr>
              <w:t>E;R</w:t>
            </w:r>
            <w:proofErr w:type="gramEnd"/>
            <w:r w:rsidRPr="00337216">
              <w:rPr>
                <w:rFonts w:ascii="Times New Roman" w:hAnsi="Times New Roman"/>
                <w:bCs/>
                <w:color w:val="000000" w:themeColor="text1"/>
                <w:sz w:val="20"/>
                <w:szCs w:val="20"/>
                <w:lang w:val="da-DK" w:eastAsia="ru-RU"/>
              </w:rPr>
              <w:t>668C‡</w:t>
            </w:r>
          </w:p>
          <w:p w14:paraId="1552F275" w14:textId="77777777" w:rsidR="00D41138" w:rsidRPr="00337216" w:rsidRDefault="00D41138">
            <w:pPr>
              <w:pStyle w:val="Brdtekst"/>
              <w:kinsoku w:val="0"/>
              <w:overflowPunct w:val="0"/>
              <w:ind w:left="57"/>
              <w:rPr>
                <w:rFonts w:ascii="Times New Roman" w:hAnsi="Times New Roman"/>
                <w:bCs/>
                <w:color w:val="000000" w:themeColor="text1"/>
                <w:sz w:val="20"/>
                <w:szCs w:val="20"/>
                <w:lang w:val="da-DK" w:eastAsia="ru-RU"/>
              </w:rPr>
            </w:pPr>
            <w:r w:rsidRPr="00337216">
              <w:rPr>
                <w:rFonts w:ascii="Times New Roman" w:hAnsi="Times New Roman"/>
                <w:bCs/>
                <w:color w:val="000000" w:themeColor="text1"/>
                <w:sz w:val="20"/>
                <w:szCs w:val="20"/>
                <w:lang w:val="da-DK" w:eastAsia="ru-RU"/>
              </w:rPr>
              <w:t>G213V</w:t>
            </w:r>
          </w:p>
          <w:p w14:paraId="2A2C2588" w14:textId="77777777" w:rsidR="00D41138" w:rsidRPr="00337216" w:rsidRDefault="00D41138">
            <w:pPr>
              <w:pStyle w:val="Brdtekst"/>
              <w:kinsoku w:val="0"/>
              <w:overflowPunct w:val="0"/>
              <w:ind w:left="57"/>
              <w:rPr>
                <w:rFonts w:ascii="Times New Roman" w:hAnsi="Times New Roman"/>
                <w:bCs/>
                <w:color w:val="000000" w:themeColor="text1"/>
                <w:sz w:val="20"/>
                <w:szCs w:val="20"/>
                <w:lang w:val="da-DK" w:eastAsia="ru-RU"/>
              </w:rPr>
            </w:pPr>
            <w:r w:rsidRPr="00337216">
              <w:rPr>
                <w:rFonts w:ascii="Times New Roman" w:hAnsi="Times New Roman"/>
                <w:bCs/>
                <w:color w:val="000000" w:themeColor="text1"/>
                <w:sz w:val="20"/>
                <w:szCs w:val="20"/>
                <w:lang w:val="da-DK" w:eastAsia="ru-RU"/>
              </w:rPr>
              <w:t>G226R</w:t>
            </w:r>
          </w:p>
          <w:p w14:paraId="7AA8A0A1" w14:textId="77777777" w:rsidR="00D41138" w:rsidRPr="00337216" w:rsidRDefault="00D41138">
            <w:pPr>
              <w:pStyle w:val="Brdtekst"/>
              <w:kinsoku w:val="0"/>
              <w:overflowPunct w:val="0"/>
              <w:ind w:left="57"/>
              <w:rPr>
                <w:rFonts w:ascii="Times New Roman" w:hAnsi="Times New Roman"/>
                <w:bCs/>
                <w:color w:val="000000" w:themeColor="text1"/>
                <w:sz w:val="20"/>
                <w:szCs w:val="20"/>
                <w:lang w:val="en-US" w:eastAsia="ru-RU"/>
              </w:rPr>
            </w:pPr>
            <w:r w:rsidRPr="00337216">
              <w:rPr>
                <w:rFonts w:ascii="Times New Roman" w:hAnsi="Times New Roman"/>
                <w:bCs/>
                <w:color w:val="000000" w:themeColor="text1"/>
                <w:sz w:val="20"/>
                <w:szCs w:val="20"/>
                <w:lang w:val="en-US" w:eastAsia="ru-RU"/>
              </w:rPr>
              <w:t>G239R</w:t>
            </w:r>
          </w:p>
          <w:p w14:paraId="3227329B" w14:textId="77777777" w:rsidR="00D41138" w:rsidRPr="00337216" w:rsidRDefault="00D41138">
            <w:pPr>
              <w:pStyle w:val="Brdtekst"/>
              <w:kinsoku w:val="0"/>
              <w:overflowPunct w:val="0"/>
              <w:ind w:left="57"/>
              <w:rPr>
                <w:rFonts w:ascii="Times New Roman" w:hAnsi="Times New Roman"/>
                <w:bCs/>
                <w:color w:val="000000" w:themeColor="text1"/>
                <w:sz w:val="20"/>
                <w:szCs w:val="20"/>
                <w:lang w:val="en-US" w:eastAsia="ru-RU"/>
              </w:rPr>
            </w:pPr>
            <w:r w:rsidRPr="00337216">
              <w:rPr>
                <w:rFonts w:ascii="Times New Roman" w:hAnsi="Times New Roman"/>
                <w:bCs/>
                <w:color w:val="000000" w:themeColor="text1"/>
                <w:sz w:val="20"/>
                <w:szCs w:val="20"/>
                <w:lang w:val="en-US" w:eastAsia="ru-RU"/>
              </w:rPr>
              <w:t>G253R</w:t>
            </w:r>
          </w:p>
          <w:p w14:paraId="24CD305D" w14:textId="77777777" w:rsidR="00D41138" w:rsidRPr="00337216" w:rsidRDefault="00D41138">
            <w:pPr>
              <w:pStyle w:val="Brdtekst"/>
              <w:kinsoku w:val="0"/>
              <w:overflowPunct w:val="0"/>
              <w:ind w:left="57"/>
              <w:rPr>
                <w:rFonts w:ascii="Times New Roman" w:hAnsi="Times New Roman"/>
                <w:bCs/>
                <w:color w:val="000000" w:themeColor="text1"/>
                <w:sz w:val="20"/>
                <w:szCs w:val="20"/>
                <w:lang w:val="en-US" w:eastAsia="ru-RU"/>
              </w:rPr>
            </w:pPr>
            <w:r w:rsidRPr="00337216">
              <w:rPr>
                <w:rFonts w:ascii="Times New Roman" w:hAnsi="Times New Roman"/>
                <w:bCs/>
                <w:color w:val="000000" w:themeColor="text1"/>
                <w:sz w:val="20"/>
                <w:szCs w:val="20"/>
                <w:lang w:val="en-US" w:eastAsia="ru-RU"/>
              </w:rPr>
              <w:t>G314E</w:t>
            </w:r>
          </w:p>
          <w:p w14:paraId="6EC52145" w14:textId="77777777" w:rsidR="00D41138" w:rsidRPr="00337216" w:rsidRDefault="00D41138">
            <w:pPr>
              <w:pStyle w:val="Brdtekst"/>
              <w:kinsoku w:val="0"/>
              <w:overflowPunct w:val="0"/>
              <w:ind w:left="57"/>
              <w:rPr>
                <w:rFonts w:ascii="Times New Roman" w:hAnsi="Times New Roman"/>
                <w:bCs/>
                <w:color w:val="000000" w:themeColor="text1"/>
                <w:sz w:val="20"/>
                <w:szCs w:val="20"/>
                <w:lang w:val="en-US" w:eastAsia="ru-RU"/>
              </w:rPr>
            </w:pPr>
            <w:r w:rsidRPr="00337216">
              <w:rPr>
                <w:rFonts w:ascii="Times New Roman" w:hAnsi="Times New Roman"/>
                <w:bCs/>
                <w:color w:val="000000" w:themeColor="text1"/>
                <w:sz w:val="20"/>
                <w:szCs w:val="20"/>
                <w:lang w:val="en-US" w:eastAsia="ru-RU"/>
              </w:rPr>
              <w:t>G314R</w:t>
            </w:r>
          </w:p>
          <w:p w14:paraId="1B9A4AD5" w14:textId="77777777" w:rsidR="00D41138" w:rsidRPr="00337216" w:rsidRDefault="00D41138">
            <w:pPr>
              <w:pStyle w:val="Brdtekst"/>
              <w:kinsoku w:val="0"/>
              <w:overflowPunct w:val="0"/>
              <w:ind w:left="57"/>
              <w:rPr>
                <w:rFonts w:ascii="Times New Roman" w:hAnsi="Times New Roman"/>
                <w:bCs/>
                <w:color w:val="000000" w:themeColor="text1"/>
                <w:sz w:val="20"/>
                <w:szCs w:val="20"/>
                <w:lang w:val="en-US" w:eastAsia="ru-RU"/>
              </w:rPr>
            </w:pPr>
            <w:r w:rsidRPr="00337216">
              <w:rPr>
                <w:rFonts w:ascii="Times New Roman" w:hAnsi="Times New Roman"/>
                <w:bCs/>
                <w:color w:val="000000" w:themeColor="text1"/>
                <w:sz w:val="20"/>
                <w:szCs w:val="20"/>
                <w:lang w:val="en-US" w:eastAsia="ru-RU"/>
              </w:rPr>
              <w:t>G424S</w:t>
            </w:r>
          </w:p>
          <w:p w14:paraId="09357D1D" w14:textId="77777777" w:rsidR="00D41138" w:rsidRPr="00337216" w:rsidRDefault="00D41138">
            <w:pPr>
              <w:pStyle w:val="Brdtekst"/>
              <w:kinsoku w:val="0"/>
              <w:overflowPunct w:val="0"/>
              <w:ind w:left="57"/>
              <w:rPr>
                <w:rFonts w:ascii="Times New Roman" w:hAnsi="Times New Roman"/>
                <w:bCs/>
                <w:color w:val="000000" w:themeColor="text1"/>
                <w:sz w:val="20"/>
                <w:szCs w:val="20"/>
                <w:lang w:val="en-US" w:eastAsia="ru-RU"/>
              </w:rPr>
            </w:pPr>
            <w:r w:rsidRPr="00337216">
              <w:rPr>
                <w:rFonts w:ascii="Times New Roman" w:hAnsi="Times New Roman"/>
                <w:bCs/>
                <w:color w:val="000000" w:themeColor="text1"/>
                <w:sz w:val="20"/>
                <w:szCs w:val="20"/>
                <w:lang w:val="en-US" w:eastAsia="ru-RU"/>
              </w:rPr>
              <w:t>G437D</w:t>
            </w:r>
          </w:p>
          <w:p w14:paraId="640D69B2" w14:textId="77777777" w:rsidR="00D41138" w:rsidRPr="00337216" w:rsidRDefault="00D41138">
            <w:pPr>
              <w:pStyle w:val="Brdtekst"/>
              <w:kinsoku w:val="0"/>
              <w:overflowPunct w:val="0"/>
              <w:ind w:left="57"/>
              <w:rPr>
                <w:rFonts w:ascii="Times New Roman" w:hAnsi="Times New Roman"/>
                <w:bCs/>
                <w:color w:val="000000" w:themeColor="text1"/>
                <w:sz w:val="20"/>
                <w:szCs w:val="20"/>
                <w:lang w:val="en-US" w:eastAsia="ru-RU"/>
              </w:rPr>
            </w:pPr>
            <w:r w:rsidRPr="00337216">
              <w:rPr>
                <w:rFonts w:ascii="Times New Roman" w:hAnsi="Times New Roman"/>
                <w:bCs/>
                <w:color w:val="000000" w:themeColor="text1"/>
                <w:sz w:val="20"/>
                <w:szCs w:val="20"/>
                <w:lang w:val="en-US" w:eastAsia="ru-RU"/>
              </w:rPr>
              <w:t>G461R</w:t>
            </w:r>
          </w:p>
          <w:p w14:paraId="719CB94A" w14:textId="77777777" w:rsidR="00D41138" w:rsidRPr="00337216" w:rsidRDefault="00D41138">
            <w:pPr>
              <w:pStyle w:val="Brdtekst"/>
              <w:kinsoku w:val="0"/>
              <w:overflowPunct w:val="0"/>
              <w:ind w:left="57"/>
              <w:rPr>
                <w:rFonts w:ascii="Times New Roman" w:hAnsi="Times New Roman"/>
                <w:bCs/>
                <w:color w:val="000000" w:themeColor="text1"/>
                <w:sz w:val="20"/>
                <w:szCs w:val="20"/>
                <w:lang w:val="en-US" w:eastAsia="ru-RU"/>
              </w:rPr>
            </w:pPr>
            <w:r w:rsidRPr="00337216">
              <w:rPr>
                <w:rFonts w:ascii="Times New Roman" w:hAnsi="Times New Roman"/>
                <w:bCs/>
                <w:color w:val="000000" w:themeColor="text1"/>
                <w:sz w:val="20"/>
                <w:szCs w:val="20"/>
                <w:lang w:val="en-US" w:eastAsia="ru-RU"/>
              </w:rPr>
              <w:t>G461V</w:t>
            </w:r>
          </w:p>
          <w:p w14:paraId="247D2DBE" w14:textId="77777777" w:rsidR="00D41138" w:rsidRPr="00337216" w:rsidRDefault="00D41138">
            <w:pPr>
              <w:pStyle w:val="Brdtekst"/>
              <w:kinsoku w:val="0"/>
              <w:overflowPunct w:val="0"/>
              <w:ind w:left="57"/>
              <w:rPr>
                <w:rFonts w:ascii="Times New Roman" w:hAnsi="Times New Roman"/>
                <w:bCs/>
                <w:color w:val="000000" w:themeColor="text1"/>
                <w:sz w:val="20"/>
                <w:szCs w:val="20"/>
                <w:lang w:val="en-US" w:eastAsia="ru-RU"/>
              </w:rPr>
            </w:pPr>
            <w:r w:rsidRPr="00337216">
              <w:rPr>
                <w:rFonts w:ascii="Times New Roman" w:hAnsi="Times New Roman"/>
                <w:bCs/>
                <w:color w:val="000000" w:themeColor="text1"/>
                <w:sz w:val="20"/>
                <w:szCs w:val="20"/>
                <w:lang w:val="en-US" w:eastAsia="ru-RU"/>
              </w:rPr>
              <w:t>G463V</w:t>
            </w:r>
          </w:p>
          <w:p w14:paraId="71508E30" w14:textId="77777777" w:rsidR="00D41138" w:rsidRPr="00337216" w:rsidRDefault="00D41138">
            <w:pPr>
              <w:pStyle w:val="Brdtekst"/>
              <w:kinsoku w:val="0"/>
              <w:overflowPunct w:val="0"/>
              <w:ind w:left="57"/>
              <w:rPr>
                <w:rFonts w:ascii="Times New Roman" w:hAnsi="Times New Roman"/>
                <w:bCs/>
                <w:color w:val="000000" w:themeColor="text1"/>
                <w:sz w:val="20"/>
                <w:szCs w:val="20"/>
                <w:lang w:val="en-US" w:eastAsia="ru-RU"/>
              </w:rPr>
            </w:pPr>
            <w:r w:rsidRPr="00337216">
              <w:rPr>
                <w:rFonts w:ascii="Times New Roman" w:hAnsi="Times New Roman"/>
                <w:bCs/>
                <w:color w:val="000000" w:themeColor="text1"/>
                <w:sz w:val="20"/>
                <w:szCs w:val="20"/>
                <w:lang w:val="en-US" w:eastAsia="ru-RU"/>
              </w:rPr>
              <w:t>G480C</w:t>
            </w:r>
          </w:p>
          <w:p w14:paraId="3A6BC22C" w14:textId="77777777" w:rsidR="00D41138" w:rsidRPr="00337216" w:rsidRDefault="00D41138">
            <w:pPr>
              <w:pStyle w:val="Brdtekst"/>
              <w:kinsoku w:val="0"/>
              <w:overflowPunct w:val="0"/>
              <w:ind w:left="57"/>
              <w:rPr>
                <w:rFonts w:ascii="Times New Roman" w:hAnsi="Times New Roman"/>
                <w:bCs/>
                <w:color w:val="000000" w:themeColor="text1"/>
                <w:sz w:val="20"/>
                <w:szCs w:val="20"/>
                <w:lang w:val="en-US" w:eastAsia="ru-RU"/>
              </w:rPr>
            </w:pPr>
            <w:r w:rsidRPr="00337216">
              <w:rPr>
                <w:rFonts w:ascii="Times New Roman" w:hAnsi="Times New Roman"/>
                <w:bCs/>
                <w:color w:val="000000" w:themeColor="text1"/>
                <w:sz w:val="20"/>
                <w:szCs w:val="20"/>
                <w:lang w:val="en-US" w:eastAsia="ru-RU"/>
              </w:rPr>
              <w:t>G480D</w:t>
            </w:r>
          </w:p>
          <w:p w14:paraId="5304D9D7" w14:textId="77777777" w:rsidR="00D41138" w:rsidRPr="00337216" w:rsidRDefault="00D41138">
            <w:pPr>
              <w:pStyle w:val="Brdtekst"/>
              <w:kinsoku w:val="0"/>
              <w:overflowPunct w:val="0"/>
              <w:ind w:left="57"/>
              <w:rPr>
                <w:rFonts w:ascii="Times New Roman" w:hAnsi="Times New Roman"/>
                <w:bCs/>
                <w:color w:val="000000" w:themeColor="text1"/>
                <w:sz w:val="20"/>
                <w:szCs w:val="20"/>
                <w:lang w:val="en-US" w:eastAsia="ru-RU"/>
              </w:rPr>
            </w:pPr>
            <w:r w:rsidRPr="00337216">
              <w:rPr>
                <w:rFonts w:ascii="Times New Roman" w:hAnsi="Times New Roman"/>
                <w:bCs/>
                <w:color w:val="000000" w:themeColor="text1"/>
                <w:sz w:val="20"/>
                <w:szCs w:val="20"/>
                <w:lang w:val="en-US" w:eastAsia="ru-RU"/>
              </w:rPr>
              <w:t>G480S</w:t>
            </w:r>
          </w:p>
          <w:p w14:paraId="7C25EE5C" w14:textId="77777777" w:rsidR="00D41138" w:rsidRPr="00337216" w:rsidRDefault="00D41138">
            <w:pPr>
              <w:pStyle w:val="Brdtekst"/>
              <w:kinsoku w:val="0"/>
              <w:overflowPunct w:val="0"/>
              <w:ind w:left="57"/>
              <w:rPr>
                <w:rFonts w:ascii="Times New Roman" w:hAnsi="Times New Roman"/>
                <w:bCs/>
                <w:color w:val="000000" w:themeColor="text1"/>
                <w:sz w:val="20"/>
                <w:szCs w:val="20"/>
                <w:lang w:val="en-US" w:eastAsia="ru-RU"/>
              </w:rPr>
            </w:pPr>
            <w:r w:rsidRPr="00337216">
              <w:rPr>
                <w:rFonts w:ascii="Times New Roman" w:hAnsi="Times New Roman"/>
                <w:bCs/>
                <w:color w:val="000000" w:themeColor="text1"/>
                <w:sz w:val="20"/>
                <w:szCs w:val="20"/>
                <w:lang w:val="en-US" w:eastAsia="ru-RU"/>
              </w:rPr>
              <w:t>G500D</w:t>
            </w:r>
          </w:p>
          <w:p w14:paraId="563636C8" w14:textId="77777777" w:rsidR="00D41138" w:rsidRPr="00337216" w:rsidRDefault="00D41138">
            <w:pPr>
              <w:pStyle w:val="Brdtekst"/>
              <w:kinsoku w:val="0"/>
              <w:overflowPunct w:val="0"/>
              <w:ind w:left="57"/>
              <w:rPr>
                <w:rFonts w:ascii="Times New Roman" w:hAnsi="Times New Roman"/>
                <w:bCs/>
                <w:color w:val="000000" w:themeColor="text1"/>
                <w:sz w:val="20"/>
                <w:szCs w:val="20"/>
                <w:lang w:val="en-US" w:eastAsia="ru-RU"/>
              </w:rPr>
            </w:pPr>
            <w:r w:rsidRPr="00337216">
              <w:rPr>
                <w:rFonts w:ascii="Times New Roman" w:hAnsi="Times New Roman"/>
                <w:bCs/>
                <w:color w:val="000000" w:themeColor="text1"/>
                <w:sz w:val="20"/>
                <w:szCs w:val="20"/>
                <w:lang w:val="en-US" w:eastAsia="ru-RU"/>
              </w:rPr>
              <w:t>G545R</w:t>
            </w:r>
          </w:p>
          <w:p w14:paraId="78E07E21" w14:textId="77777777" w:rsidR="00D41138" w:rsidRPr="00337216" w:rsidRDefault="00D41138">
            <w:pPr>
              <w:pStyle w:val="Brdtekst"/>
              <w:kinsoku w:val="0"/>
              <w:overflowPunct w:val="0"/>
              <w:ind w:left="57"/>
              <w:rPr>
                <w:rFonts w:ascii="Times New Roman" w:hAnsi="Times New Roman"/>
                <w:bCs/>
                <w:color w:val="000000" w:themeColor="text1"/>
                <w:sz w:val="20"/>
                <w:szCs w:val="20"/>
                <w:lang w:val="en-US" w:eastAsia="ru-RU"/>
              </w:rPr>
            </w:pPr>
            <w:r w:rsidRPr="00337216">
              <w:rPr>
                <w:rFonts w:ascii="Times New Roman" w:hAnsi="Times New Roman"/>
                <w:bCs/>
                <w:color w:val="000000" w:themeColor="text1"/>
                <w:sz w:val="20"/>
                <w:szCs w:val="20"/>
                <w:lang w:val="en-US" w:eastAsia="ru-RU"/>
              </w:rPr>
              <w:t>G551A</w:t>
            </w:r>
          </w:p>
          <w:p w14:paraId="5753B245" w14:textId="77777777" w:rsidR="00D41138" w:rsidRPr="00337216" w:rsidRDefault="00D41138">
            <w:pPr>
              <w:pStyle w:val="Brdtekst"/>
              <w:kinsoku w:val="0"/>
              <w:overflowPunct w:val="0"/>
              <w:ind w:left="57"/>
              <w:rPr>
                <w:rFonts w:ascii="Times New Roman" w:hAnsi="Times New Roman"/>
                <w:bCs/>
                <w:color w:val="000000" w:themeColor="text1"/>
                <w:sz w:val="20"/>
                <w:szCs w:val="20"/>
                <w:lang w:val="en-US" w:eastAsia="ru-RU"/>
              </w:rPr>
            </w:pPr>
            <w:r w:rsidRPr="00337216">
              <w:rPr>
                <w:rFonts w:ascii="Times New Roman" w:hAnsi="Times New Roman"/>
                <w:bCs/>
                <w:color w:val="000000" w:themeColor="text1"/>
                <w:sz w:val="20"/>
                <w:szCs w:val="20"/>
                <w:lang w:val="en-US" w:eastAsia="ru-RU"/>
              </w:rPr>
              <w:t>G551D*</w:t>
            </w:r>
          </w:p>
          <w:p w14:paraId="40EAEBB1" w14:textId="77777777" w:rsidR="00D41138" w:rsidRPr="00337216" w:rsidRDefault="00D41138">
            <w:pPr>
              <w:pStyle w:val="Brdtekst"/>
              <w:kinsoku w:val="0"/>
              <w:overflowPunct w:val="0"/>
              <w:ind w:left="57"/>
              <w:rPr>
                <w:rFonts w:ascii="Times New Roman" w:hAnsi="Times New Roman"/>
                <w:bCs/>
                <w:color w:val="000000" w:themeColor="text1"/>
                <w:sz w:val="20"/>
                <w:szCs w:val="20"/>
                <w:lang w:val="en-US" w:eastAsia="ru-RU"/>
              </w:rPr>
            </w:pPr>
            <w:r w:rsidRPr="00337216">
              <w:rPr>
                <w:rFonts w:ascii="Times New Roman" w:hAnsi="Times New Roman"/>
                <w:bCs/>
                <w:color w:val="000000" w:themeColor="text1"/>
                <w:sz w:val="20"/>
                <w:szCs w:val="20"/>
                <w:lang w:val="en-US" w:eastAsia="ru-RU"/>
              </w:rPr>
              <w:t>G551R</w:t>
            </w:r>
          </w:p>
          <w:p w14:paraId="0F60AAFD" w14:textId="77777777" w:rsidR="00D41138" w:rsidRPr="00337216" w:rsidRDefault="00D41138">
            <w:pPr>
              <w:pStyle w:val="Brdtekst"/>
              <w:kinsoku w:val="0"/>
              <w:overflowPunct w:val="0"/>
              <w:ind w:left="57"/>
              <w:rPr>
                <w:rFonts w:ascii="Times New Roman" w:hAnsi="Times New Roman"/>
                <w:bCs/>
                <w:color w:val="000000" w:themeColor="text1"/>
                <w:sz w:val="20"/>
                <w:szCs w:val="20"/>
                <w:lang w:val="en-US" w:eastAsia="ru-RU"/>
              </w:rPr>
            </w:pPr>
            <w:r w:rsidRPr="00337216">
              <w:rPr>
                <w:rFonts w:ascii="Times New Roman" w:hAnsi="Times New Roman"/>
                <w:bCs/>
                <w:color w:val="000000" w:themeColor="text1"/>
                <w:sz w:val="20"/>
                <w:szCs w:val="20"/>
                <w:lang w:val="en-US" w:eastAsia="ru-RU"/>
              </w:rPr>
              <w:t>G551S</w:t>
            </w:r>
          </w:p>
          <w:p w14:paraId="0A8C5C8B" w14:textId="77777777" w:rsidR="00D41138" w:rsidRPr="00337216" w:rsidRDefault="00D41138">
            <w:pPr>
              <w:pStyle w:val="Brdtekst"/>
              <w:kinsoku w:val="0"/>
              <w:overflowPunct w:val="0"/>
              <w:ind w:left="57"/>
              <w:rPr>
                <w:rFonts w:ascii="Times New Roman" w:hAnsi="Times New Roman"/>
                <w:bCs/>
                <w:color w:val="000000" w:themeColor="text1"/>
                <w:sz w:val="20"/>
                <w:szCs w:val="20"/>
                <w:lang w:val="en-US" w:eastAsia="ru-RU"/>
              </w:rPr>
            </w:pPr>
            <w:r w:rsidRPr="00337216">
              <w:rPr>
                <w:rFonts w:ascii="Times New Roman" w:hAnsi="Times New Roman"/>
                <w:bCs/>
                <w:color w:val="000000" w:themeColor="text1"/>
                <w:sz w:val="20"/>
                <w:szCs w:val="20"/>
                <w:lang w:val="en-US" w:eastAsia="ru-RU"/>
              </w:rPr>
              <w:t>G576</w:t>
            </w:r>
            <w:proofErr w:type="gramStart"/>
            <w:r w:rsidRPr="00337216">
              <w:rPr>
                <w:rFonts w:ascii="Times New Roman" w:hAnsi="Times New Roman"/>
                <w:bCs/>
                <w:color w:val="000000" w:themeColor="text1"/>
                <w:sz w:val="20"/>
                <w:szCs w:val="20"/>
                <w:lang w:val="en-US" w:eastAsia="ru-RU"/>
              </w:rPr>
              <w:t>A;R</w:t>
            </w:r>
            <w:proofErr w:type="gramEnd"/>
            <w:r w:rsidRPr="00337216">
              <w:rPr>
                <w:rFonts w:ascii="Times New Roman" w:hAnsi="Times New Roman"/>
                <w:bCs/>
                <w:color w:val="000000" w:themeColor="text1"/>
                <w:sz w:val="20"/>
                <w:szCs w:val="20"/>
                <w:lang w:val="en-US" w:eastAsia="ru-RU"/>
              </w:rPr>
              <w:t>668C‡</w:t>
            </w:r>
          </w:p>
          <w:p w14:paraId="45C6EF8D" w14:textId="77777777" w:rsidR="00D41138" w:rsidRPr="00337216" w:rsidRDefault="00D41138">
            <w:pPr>
              <w:pStyle w:val="Brdtekst"/>
              <w:kinsoku w:val="0"/>
              <w:overflowPunct w:val="0"/>
              <w:ind w:left="57"/>
              <w:rPr>
                <w:rFonts w:ascii="Times New Roman" w:hAnsi="Times New Roman"/>
                <w:bCs/>
                <w:color w:val="000000" w:themeColor="text1"/>
                <w:sz w:val="20"/>
                <w:szCs w:val="20"/>
                <w:lang w:val="en-US" w:eastAsia="ru-RU"/>
              </w:rPr>
            </w:pPr>
            <w:r w:rsidRPr="00337216">
              <w:rPr>
                <w:rFonts w:ascii="Times New Roman" w:hAnsi="Times New Roman"/>
                <w:bCs/>
                <w:color w:val="000000" w:themeColor="text1"/>
                <w:sz w:val="20"/>
                <w:szCs w:val="20"/>
                <w:lang w:val="en-US" w:eastAsia="ru-RU"/>
              </w:rPr>
              <w:t>G576</w:t>
            </w:r>
            <w:proofErr w:type="gramStart"/>
            <w:r w:rsidRPr="00337216">
              <w:rPr>
                <w:rFonts w:ascii="Times New Roman" w:hAnsi="Times New Roman"/>
                <w:bCs/>
                <w:color w:val="000000" w:themeColor="text1"/>
                <w:sz w:val="20"/>
                <w:szCs w:val="20"/>
                <w:lang w:val="en-US" w:eastAsia="ru-RU"/>
              </w:rPr>
              <w:t>A;S</w:t>
            </w:r>
            <w:proofErr w:type="gramEnd"/>
            <w:r w:rsidRPr="00337216">
              <w:rPr>
                <w:rFonts w:ascii="Times New Roman" w:hAnsi="Times New Roman"/>
                <w:bCs/>
                <w:color w:val="000000" w:themeColor="text1"/>
                <w:sz w:val="20"/>
                <w:szCs w:val="20"/>
                <w:lang w:val="en-US" w:eastAsia="ru-RU"/>
              </w:rPr>
              <w:t>1359Y‡</w:t>
            </w:r>
          </w:p>
          <w:p w14:paraId="7BE0D0C1" w14:textId="77777777" w:rsidR="00D41138" w:rsidRPr="00337216" w:rsidRDefault="00D41138">
            <w:pPr>
              <w:pStyle w:val="Brdtekst"/>
              <w:kinsoku w:val="0"/>
              <w:overflowPunct w:val="0"/>
              <w:ind w:left="57"/>
              <w:rPr>
                <w:rFonts w:ascii="Times New Roman" w:hAnsi="Times New Roman"/>
                <w:bCs/>
                <w:color w:val="000000" w:themeColor="text1"/>
                <w:sz w:val="20"/>
                <w:szCs w:val="20"/>
                <w:lang w:val="en-US" w:eastAsia="ru-RU"/>
              </w:rPr>
            </w:pPr>
            <w:r w:rsidRPr="00337216">
              <w:rPr>
                <w:rFonts w:ascii="Times New Roman" w:hAnsi="Times New Roman"/>
                <w:bCs/>
                <w:color w:val="000000" w:themeColor="text1"/>
                <w:sz w:val="20"/>
                <w:szCs w:val="20"/>
                <w:lang w:val="en-US" w:eastAsia="ru-RU"/>
              </w:rPr>
              <w:t>G622D</w:t>
            </w:r>
          </w:p>
          <w:p w14:paraId="7AB588D3" w14:textId="77777777" w:rsidR="00D41138" w:rsidRPr="00337216" w:rsidRDefault="00D41138">
            <w:pPr>
              <w:pStyle w:val="Brdtekst"/>
              <w:kinsoku w:val="0"/>
              <w:overflowPunct w:val="0"/>
              <w:ind w:left="57"/>
              <w:rPr>
                <w:rFonts w:ascii="Times New Roman" w:hAnsi="Times New Roman"/>
                <w:bCs/>
                <w:color w:val="000000" w:themeColor="text1"/>
                <w:sz w:val="20"/>
                <w:szCs w:val="20"/>
                <w:lang w:val="en-US" w:eastAsia="ru-RU"/>
              </w:rPr>
            </w:pPr>
            <w:r w:rsidRPr="00337216">
              <w:rPr>
                <w:rFonts w:ascii="Times New Roman" w:hAnsi="Times New Roman"/>
                <w:bCs/>
                <w:color w:val="000000" w:themeColor="text1"/>
                <w:sz w:val="20"/>
                <w:szCs w:val="20"/>
                <w:lang w:val="en-US" w:eastAsia="ru-RU"/>
              </w:rPr>
              <w:t>G622V</w:t>
            </w:r>
          </w:p>
          <w:p w14:paraId="214F0BA7" w14:textId="77777777" w:rsidR="00D41138" w:rsidRPr="00337216" w:rsidRDefault="00D41138">
            <w:pPr>
              <w:pStyle w:val="Brdtekst"/>
              <w:kinsoku w:val="0"/>
              <w:overflowPunct w:val="0"/>
              <w:ind w:left="57"/>
              <w:rPr>
                <w:rFonts w:ascii="Times New Roman" w:hAnsi="Times New Roman"/>
                <w:bCs/>
                <w:color w:val="000000" w:themeColor="text1"/>
                <w:sz w:val="20"/>
                <w:szCs w:val="20"/>
                <w:lang w:val="en-US" w:eastAsia="ru-RU"/>
              </w:rPr>
            </w:pPr>
            <w:r w:rsidRPr="00337216">
              <w:rPr>
                <w:rFonts w:ascii="Times New Roman" w:hAnsi="Times New Roman"/>
                <w:bCs/>
                <w:color w:val="000000" w:themeColor="text1"/>
                <w:sz w:val="20"/>
                <w:szCs w:val="20"/>
                <w:lang w:val="en-US" w:eastAsia="ru-RU"/>
              </w:rPr>
              <w:lastRenderedPageBreak/>
              <w:t>G628A</w:t>
            </w:r>
          </w:p>
          <w:p w14:paraId="707EC907" w14:textId="77777777" w:rsidR="00D41138" w:rsidRPr="00337216" w:rsidRDefault="00D41138">
            <w:pPr>
              <w:pStyle w:val="Brdtekst"/>
              <w:kinsoku w:val="0"/>
              <w:overflowPunct w:val="0"/>
              <w:ind w:left="57"/>
              <w:rPr>
                <w:rFonts w:ascii="Times New Roman" w:hAnsi="Times New Roman"/>
                <w:bCs/>
                <w:color w:val="000000" w:themeColor="text1"/>
                <w:sz w:val="20"/>
                <w:szCs w:val="20"/>
                <w:lang w:val="en-US" w:eastAsia="ru-RU"/>
              </w:rPr>
            </w:pPr>
            <w:r w:rsidRPr="00337216">
              <w:rPr>
                <w:rFonts w:ascii="Times New Roman" w:hAnsi="Times New Roman"/>
                <w:bCs/>
                <w:color w:val="000000" w:themeColor="text1"/>
                <w:sz w:val="20"/>
                <w:szCs w:val="20"/>
                <w:lang w:val="en-US" w:eastAsia="ru-RU"/>
              </w:rPr>
              <w:t>G628R</w:t>
            </w:r>
          </w:p>
          <w:p w14:paraId="4AF2F6B2" w14:textId="77777777" w:rsidR="00D41138" w:rsidRPr="00337216" w:rsidRDefault="00D41138">
            <w:pPr>
              <w:pStyle w:val="Brdtekst"/>
              <w:kinsoku w:val="0"/>
              <w:overflowPunct w:val="0"/>
              <w:ind w:left="57"/>
              <w:rPr>
                <w:rFonts w:ascii="Times New Roman" w:hAnsi="Times New Roman"/>
                <w:bCs/>
                <w:color w:val="000000" w:themeColor="text1"/>
                <w:sz w:val="20"/>
                <w:szCs w:val="20"/>
                <w:lang w:val="en-US" w:eastAsia="ru-RU"/>
              </w:rPr>
            </w:pPr>
            <w:r w:rsidRPr="00337216">
              <w:rPr>
                <w:rFonts w:ascii="Times New Roman" w:hAnsi="Times New Roman"/>
                <w:bCs/>
                <w:color w:val="000000" w:themeColor="text1"/>
                <w:sz w:val="20"/>
                <w:szCs w:val="20"/>
                <w:lang w:val="en-US" w:eastAsia="ru-RU"/>
              </w:rPr>
              <w:t>G85E*†</w:t>
            </w:r>
          </w:p>
          <w:p w14:paraId="65EEECE5" w14:textId="77777777" w:rsidR="00D41138" w:rsidRPr="00337216" w:rsidRDefault="00D41138">
            <w:pPr>
              <w:pStyle w:val="Brdtekst"/>
              <w:kinsoku w:val="0"/>
              <w:overflowPunct w:val="0"/>
              <w:ind w:left="57"/>
              <w:rPr>
                <w:rFonts w:ascii="Times New Roman" w:hAnsi="Times New Roman"/>
                <w:bCs/>
                <w:color w:val="000000" w:themeColor="text1"/>
                <w:sz w:val="20"/>
                <w:szCs w:val="20"/>
                <w:lang w:val="en-US" w:eastAsia="ru-RU"/>
              </w:rPr>
            </w:pPr>
            <w:r w:rsidRPr="00337216">
              <w:rPr>
                <w:rFonts w:ascii="Times New Roman" w:hAnsi="Times New Roman"/>
                <w:bCs/>
                <w:color w:val="000000" w:themeColor="text1"/>
                <w:sz w:val="20"/>
                <w:szCs w:val="20"/>
                <w:lang w:val="en-US" w:eastAsia="ru-RU"/>
              </w:rPr>
              <w:t>G930E</w:t>
            </w:r>
          </w:p>
          <w:p w14:paraId="1A02EC0E" w14:textId="77777777" w:rsidR="00D41138" w:rsidRPr="00337216" w:rsidRDefault="00D41138">
            <w:pPr>
              <w:pStyle w:val="Brdtekst"/>
              <w:kinsoku w:val="0"/>
              <w:overflowPunct w:val="0"/>
              <w:ind w:left="57"/>
              <w:rPr>
                <w:rFonts w:ascii="Times New Roman" w:hAnsi="Times New Roman"/>
                <w:bCs/>
                <w:color w:val="000000" w:themeColor="text1"/>
                <w:sz w:val="20"/>
                <w:szCs w:val="20"/>
                <w:lang w:val="en-US" w:eastAsia="ru-RU"/>
              </w:rPr>
            </w:pPr>
            <w:r w:rsidRPr="00337216">
              <w:rPr>
                <w:rFonts w:ascii="Times New Roman" w:hAnsi="Times New Roman"/>
                <w:bCs/>
                <w:color w:val="000000" w:themeColor="text1"/>
                <w:sz w:val="20"/>
                <w:szCs w:val="20"/>
                <w:lang w:val="en-US" w:eastAsia="ru-RU"/>
              </w:rPr>
              <w:t>G970D</w:t>
            </w:r>
          </w:p>
          <w:p w14:paraId="7D2686E9" w14:textId="77777777" w:rsidR="00D41138" w:rsidRPr="00337216" w:rsidRDefault="00D41138">
            <w:pPr>
              <w:pStyle w:val="Brdtekst"/>
              <w:kinsoku w:val="0"/>
              <w:overflowPunct w:val="0"/>
              <w:ind w:left="57"/>
              <w:rPr>
                <w:rFonts w:ascii="Times New Roman" w:hAnsi="Times New Roman"/>
                <w:bCs/>
                <w:color w:val="000000" w:themeColor="text1"/>
                <w:sz w:val="20"/>
                <w:szCs w:val="20"/>
                <w:lang w:val="en-US" w:eastAsia="ru-RU"/>
              </w:rPr>
            </w:pPr>
            <w:r w:rsidRPr="00337216">
              <w:rPr>
                <w:rFonts w:ascii="Times New Roman" w:hAnsi="Times New Roman"/>
                <w:bCs/>
                <w:color w:val="000000" w:themeColor="text1"/>
                <w:sz w:val="20"/>
                <w:szCs w:val="20"/>
                <w:lang w:val="en-US" w:eastAsia="ru-RU"/>
              </w:rPr>
              <w:t>G970S</w:t>
            </w:r>
          </w:p>
          <w:p w14:paraId="4A1290D4" w14:textId="77777777" w:rsidR="00D41138" w:rsidRPr="00337216" w:rsidRDefault="00D41138">
            <w:pPr>
              <w:pStyle w:val="Brdtekst"/>
              <w:kinsoku w:val="0"/>
              <w:overflowPunct w:val="0"/>
              <w:ind w:left="57"/>
              <w:rPr>
                <w:rFonts w:ascii="Times New Roman" w:hAnsi="Times New Roman"/>
                <w:bCs/>
                <w:color w:val="000000" w:themeColor="text1"/>
                <w:sz w:val="20"/>
                <w:szCs w:val="20"/>
                <w:lang w:val="en-US" w:eastAsia="ru-RU"/>
              </w:rPr>
            </w:pPr>
            <w:r w:rsidRPr="00337216">
              <w:rPr>
                <w:rFonts w:ascii="Times New Roman" w:hAnsi="Times New Roman"/>
                <w:bCs/>
                <w:color w:val="000000" w:themeColor="text1"/>
                <w:sz w:val="20"/>
                <w:szCs w:val="20"/>
                <w:lang w:val="en-US" w:eastAsia="ru-RU"/>
              </w:rPr>
              <w:t>G970V</w:t>
            </w:r>
          </w:p>
          <w:p w14:paraId="454AFC57" w14:textId="77777777" w:rsidR="00D41138" w:rsidRPr="00337216" w:rsidRDefault="00D41138">
            <w:pPr>
              <w:pStyle w:val="Brdtekst"/>
              <w:kinsoku w:val="0"/>
              <w:overflowPunct w:val="0"/>
              <w:ind w:left="57"/>
              <w:rPr>
                <w:rFonts w:ascii="Times New Roman" w:hAnsi="Times New Roman"/>
                <w:bCs/>
                <w:color w:val="000000" w:themeColor="text1"/>
                <w:sz w:val="20"/>
                <w:szCs w:val="20"/>
                <w:lang w:val="en-US" w:eastAsia="ru-RU"/>
              </w:rPr>
            </w:pPr>
            <w:r w:rsidRPr="00337216">
              <w:rPr>
                <w:rFonts w:ascii="Times New Roman" w:hAnsi="Times New Roman"/>
                <w:bCs/>
                <w:color w:val="000000" w:themeColor="text1"/>
                <w:sz w:val="20"/>
                <w:szCs w:val="20"/>
                <w:lang w:val="en-US" w:eastAsia="ru-RU"/>
              </w:rPr>
              <w:t>G1047D</w:t>
            </w:r>
          </w:p>
          <w:p w14:paraId="68BF81F3" w14:textId="77777777" w:rsidR="00D41138" w:rsidRPr="00337216" w:rsidRDefault="00D41138">
            <w:pPr>
              <w:pStyle w:val="Brdtekst"/>
              <w:kinsoku w:val="0"/>
              <w:overflowPunct w:val="0"/>
              <w:ind w:left="57"/>
              <w:rPr>
                <w:rFonts w:ascii="Times New Roman" w:hAnsi="Times New Roman"/>
                <w:bCs/>
                <w:color w:val="000000" w:themeColor="text1"/>
                <w:sz w:val="20"/>
                <w:szCs w:val="20"/>
                <w:lang w:val="en-US" w:eastAsia="ru-RU"/>
              </w:rPr>
            </w:pPr>
            <w:r w:rsidRPr="00337216">
              <w:rPr>
                <w:rFonts w:ascii="Times New Roman" w:hAnsi="Times New Roman"/>
                <w:bCs/>
                <w:color w:val="000000" w:themeColor="text1"/>
                <w:sz w:val="20"/>
                <w:szCs w:val="20"/>
                <w:lang w:val="en-US" w:eastAsia="ru-RU"/>
              </w:rPr>
              <w:t>G1047R</w:t>
            </w:r>
          </w:p>
          <w:p w14:paraId="15E93A25" w14:textId="77777777" w:rsidR="00D41138" w:rsidRPr="00337216" w:rsidRDefault="00D41138">
            <w:pPr>
              <w:pStyle w:val="Brdtekst"/>
              <w:kinsoku w:val="0"/>
              <w:overflowPunct w:val="0"/>
              <w:ind w:left="57"/>
              <w:rPr>
                <w:rFonts w:ascii="Times New Roman" w:hAnsi="Times New Roman"/>
                <w:bCs/>
                <w:color w:val="000000" w:themeColor="text1"/>
                <w:sz w:val="20"/>
                <w:szCs w:val="20"/>
                <w:lang w:val="en-US" w:eastAsia="ru-RU"/>
              </w:rPr>
            </w:pPr>
            <w:r w:rsidRPr="00337216">
              <w:rPr>
                <w:rFonts w:ascii="Times New Roman" w:hAnsi="Times New Roman"/>
                <w:bCs/>
                <w:color w:val="000000" w:themeColor="text1"/>
                <w:sz w:val="20"/>
                <w:szCs w:val="20"/>
                <w:lang w:val="en-US" w:eastAsia="ru-RU"/>
              </w:rPr>
              <w:t>G1061R</w:t>
            </w:r>
          </w:p>
          <w:p w14:paraId="2F686260" w14:textId="77777777" w:rsidR="00D41138" w:rsidRPr="00337216" w:rsidRDefault="00D41138">
            <w:pPr>
              <w:pStyle w:val="Brdtekst"/>
              <w:kinsoku w:val="0"/>
              <w:overflowPunct w:val="0"/>
              <w:ind w:left="57"/>
              <w:rPr>
                <w:rFonts w:ascii="Times New Roman" w:hAnsi="Times New Roman"/>
                <w:bCs/>
                <w:color w:val="000000" w:themeColor="text1"/>
                <w:sz w:val="20"/>
                <w:szCs w:val="20"/>
                <w:lang w:val="en-US" w:eastAsia="ru-RU"/>
              </w:rPr>
            </w:pPr>
            <w:r w:rsidRPr="00337216">
              <w:rPr>
                <w:rFonts w:ascii="Times New Roman" w:hAnsi="Times New Roman"/>
                <w:bCs/>
                <w:color w:val="000000" w:themeColor="text1"/>
                <w:sz w:val="20"/>
                <w:szCs w:val="20"/>
                <w:lang w:val="en-US" w:eastAsia="ru-RU"/>
              </w:rPr>
              <w:t>G1069R</w:t>
            </w:r>
          </w:p>
          <w:p w14:paraId="5292DAE9" w14:textId="77777777" w:rsidR="00D41138" w:rsidRPr="00337216" w:rsidRDefault="00D41138">
            <w:pPr>
              <w:pStyle w:val="Brdtekst"/>
              <w:kinsoku w:val="0"/>
              <w:overflowPunct w:val="0"/>
              <w:ind w:left="57"/>
              <w:rPr>
                <w:rFonts w:ascii="Times New Roman" w:hAnsi="Times New Roman"/>
                <w:bCs/>
                <w:color w:val="000000" w:themeColor="text1"/>
                <w:sz w:val="20"/>
                <w:szCs w:val="20"/>
                <w:lang w:val="en-US" w:eastAsia="ru-RU"/>
              </w:rPr>
            </w:pPr>
            <w:r w:rsidRPr="00337216">
              <w:rPr>
                <w:rFonts w:ascii="Times New Roman" w:hAnsi="Times New Roman"/>
                <w:bCs/>
                <w:color w:val="000000" w:themeColor="text1"/>
                <w:sz w:val="20"/>
                <w:szCs w:val="20"/>
                <w:lang w:val="en-US" w:eastAsia="ru-RU"/>
              </w:rPr>
              <w:t>G1123R</w:t>
            </w:r>
          </w:p>
          <w:p w14:paraId="66E4F4E8" w14:textId="77777777" w:rsidR="00D41138" w:rsidRPr="00337216" w:rsidRDefault="00D41138">
            <w:pPr>
              <w:pStyle w:val="Brdtekst"/>
              <w:kinsoku w:val="0"/>
              <w:overflowPunct w:val="0"/>
              <w:ind w:left="57"/>
              <w:rPr>
                <w:rFonts w:ascii="Times New Roman" w:hAnsi="Times New Roman"/>
                <w:bCs/>
                <w:color w:val="000000" w:themeColor="text1"/>
                <w:sz w:val="20"/>
                <w:szCs w:val="20"/>
                <w:lang w:val="en-US" w:eastAsia="ru-RU"/>
              </w:rPr>
            </w:pPr>
            <w:r w:rsidRPr="00337216">
              <w:rPr>
                <w:rFonts w:ascii="Times New Roman" w:hAnsi="Times New Roman"/>
                <w:bCs/>
                <w:color w:val="000000" w:themeColor="text1"/>
                <w:sz w:val="20"/>
                <w:szCs w:val="20"/>
                <w:lang w:val="en-US" w:eastAsia="ru-RU"/>
              </w:rPr>
              <w:t>G1173S</w:t>
            </w:r>
          </w:p>
          <w:p w14:paraId="7894676E" w14:textId="77777777" w:rsidR="00D41138" w:rsidRPr="00337216" w:rsidRDefault="00D41138">
            <w:pPr>
              <w:pStyle w:val="Brdtekst"/>
              <w:kinsoku w:val="0"/>
              <w:overflowPunct w:val="0"/>
              <w:ind w:left="57"/>
              <w:rPr>
                <w:rFonts w:ascii="Times New Roman" w:hAnsi="Times New Roman"/>
                <w:bCs/>
                <w:color w:val="000000" w:themeColor="text1"/>
                <w:sz w:val="20"/>
                <w:szCs w:val="20"/>
                <w:lang w:val="en-US" w:eastAsia="ru-RU"/>
              </w:rPr>
            </w:pPr>
            <w:r w:rsidRPr="00337216">
              <w:rPr>
                <w:rFonts w:ascii="Times New Roman" w:hAnsi="Times New Roman"/>
                <w:bCs/>
                <w:color w:val="000000" w:themeColor="text1"/>
                <w:sz w:val="20"/>
                <w:szCs w:val="20"/>
                <w:lang w:val="en-US" w:eastAsia="ru-RU"/>
              </w:rPr>
              <w:t>G1237V</w:t>
            </w:r>
          </w:p>
          <w:p w14:paraId="7050F087" w14:textId="77777777" w:rsidR="00D41138" w:rsidRPr="00337216" w:rsidRDefault="00D41138">
            <w:pPr>
              <w:pStyle w:val="Brdtekst"/>
              <w:kinsoku w:val="0"/>
              <w:overflowPunct w:val="0"/>
              <w:ind w:left="57"/>
              <w:rPr>
                <w:rFonts w:ascii="Times New Roman" w:hAnsi="Times New Roman"/>
                <w:bCs/>
                <w:color w:val="000000" w:themeColor="text1"/>
                <w:sz w:val="20"/>
                <w:szCs w:val="20"/>
                <w:lang w:val="en-US" w:eastAsia="ru-RU"/>
              </w:rPr>
            </w:pPr>
            <w:r w:rsidRPr="00337216">
              <w:rPr>
                <w:rFonts w:ascii="Times New Roman" w:hAnsi="Times New Roman"/>
                <w:bCs/>
                <w:color w:val="000000" w:themeColor="text1"/>
                <w:sz w:val="20"/>
                <w:szCs w:val="20"/>
                <w:lang w:val="en-US" w:eastAsia="ru-RU"/>
              </w:rPr>
              <w:t>G1244E</w:t>
            </w:r>
          </w:p>
          <w:p w14:paraId="6C2857C3" w14:textId="77777777" w:rsidR="00D41138" w:rsidRPr="00337216" w:rsidRDefault="00D41138">
            <w:pPr>
              <w:pStyle w:val="Brdtekst"/>
              <w:kinsoku w:val="0"/>
              <w:overflowPunct w:val="0"/>
              <w:ind w:left="57"/>
              <w:rPr>
                <w:rFonts w:ascii="Times New Roman" w:hAnsi="Times New Roman"/>
                <w:bCs/>
                <w:color w:val="000000" w:themeColor="text1"/>
                <w:sz w:val="20"/>
                <w:szCs w:val="20"/>
                <w:lang w:val="en-US" w:eastAsia="ru-RU"/>
              </w:rPr>
            </w:pPr>
            <w:r w:rsidRPr="00337216">
              <w:rPr>
                <w:rFonts w:ascii="Times New Roman" w:hAnsi="Times New Roman"/>
                <w:bCs/>
                <w:color w:val="000000" w:themeColor="text1"/>
                <w:sz w:val="20"/>
                <w:szCs w:val="20"/>
                <w:lang w:val="en-US" w:eastAsia="ru-RU"/>
              </w:rPr>
              <w:t>G1244R</w:t>
            </w:r>
          </w:p>
          <w:p w14:paraId="62BBC342" w14:textId="77777777" w:rsidR="00D41138" w:rsidRPr="00337216" w:rsidRDefault="00D41138">
            <w:pPr>
              <w:pStyle w:val="Brdtekst"/>
              <w:kinsoku w:val="0"/>
              <w:overflowPunct w:val="0"/>
              <w:ind w:left="57"/>
              <w:rPr>
                <w:rFonts w:ascii="Times New Roman" w:hAnsi="Times New Roman"/>
                <w:bCs/>
                <w:color w:val="000000" w:themeColor="text1"/>
                <w:sz w:val="20"/>
                <w:szCs w:val="20"/>
                <w:lang w:val="en-US" w:eastAsia="ru-RU"/>
              </w:rPr>
            </w:pPr>
            <w:r w:rsidRPr="00337216">
              <w:rPr>
                <w:rFonts w:ascii="Times New Roman" w:hAnsi="Times New Roman"/>
                <w:bCs/>
                <w:color w:val="000000" w:themeColor="text1"/>
                <w:sz w:val="20"/>
                <w:szCs w:val="20"/>
                <w:lang w:val="en-US" w:eastAsia="ru-RU"/>
              </w:rPr>
              <w:t>G1247R</w:t>
            </w:r>
          </w:p>
          <w:p w14:paraId="583E98B6" w14:textId="77777777" w:rsidR="00D41138" w:rsidRPr="00337216" w:rsidRDefault="00D41138">
            <w:pPr>
              <w:pStyle w:val="Brdtekst"/>
              <w:kinsoku w:val="0"/>
              <w:overflowPunct w:val="0"/>
              <w:ind w:left="57"/>
              <w:rPr>
                <w:rFonts w:ascii="Times New Roman" w:hAnsi="Times New Roman"/>
                <w:bCs/>
                <w:color w:val="000000" w:themeColor="text1"/>
                <w:sz w:val="20"/>
                <w:szCs w:val="20"/>
                <w:lang w:val="en-US" w:eastAsia="ru-RU"/>
              </w:rPr>
            </w:pPr>
            <w:r w:rsidRPr="00337216">
              <w:rPr>
                <w:rFonts w:ascii="Times New Roman" w:hAnsi="Times New Roman"/>
                <w:bCs/>
                <w:color w:val="000000" w:themeColor="text1"/>
                <w:sz w:val="20"/>
                <w:szCs w:val="20"/>
                <w:lang w:val="en-US" w:eastAsia="ru-RU"/>
              </w:rPr>
              <w:t>G1249E</w:t>
            </w:r>
          </w:p>
          <w:p w14:paraId="747560DF" w14:textId="77777777" w:rsidR="00D41138" w:rsidRPr="00337216" w:rsidRDefault="00D41138">
            <w:pPr>
              <w:pStyle w:val="Brdtekst"/>
              <w:kinsoku w:val="0"/>
              <w:overflowPunct w:val="0"/>
              <w:ind w:left="57"/>
              <w:rPr>
                <w:rFonts w:ascii="Times New Roman" w:hAnsi="Times New Roman"/>
                <w:bCs/>
                <w:color w:val="000000" w:themeColor="text1"/>
                <w:sz w:val="20"/>
                <w:szCs w:val="20"/>
                <w:lang w:val="en-US" w:eastAsia="ru-RU"/>
              </w:rPr>
            </w:pPr>
            <w:r w:rsidRPr="00337216">
              <w:rPr>
                <w:rFonts w:ascii="Times New Roman" w:hAnsi="Times New Roman"/>
                <w:bCs/>
                <w:color w:val="000000" w:themeColor="text1"/>
                <w:sz w:val="20"/>
                <w:szCs w:val="20"/>
                <w:lang w:val="en-US" w:eastAsia="ru-RU"/>
              </w:rPr>
              <w:t>G1249R</w:t>
            </w:r>
          </w:p>
          <w:p w14:paraId="56123449" w14:textId="77777777" w:rsidR="00D41138" w:rsidRPr="00337216" w:rsidRDefault="00D41138">
            <w:pPr>
              <w:pStyle w:val="Brdtekst"/>
              <w:kinsoku w:val="0"/>
              <w:overflowPunct w:val="0"/>
              <w:ind w:left="57"/>
              <w:rPr>
                <w:rFonts w:ascii="Times New Roman" w:hAnsi="Times New Roman"/>
                <w:bCs/>
                <w:color w:val="000000" w:themeColor="text1"/>
                <w:sz w:val="20"/>
                <w:szCs w:val="20"/>
                <w:lang w:val="en-US" w:eastAsia="ru-RU"/>
              </w:rPr>
            </w:pPr>
            <w:r w:rsidRPr="00337216">
              <w:rPr>
                <w:rFonts w:ascii="Times New Roman" w:hAnsi="Times New Roman"/>
                <w:bCs/>
                <w:color w:val="000000" w:themeColor="text1"/>
                <w:sz w:val="20"/>
                <w:szCs w:val="20"/>
                <w:lang w:val="en-US" w:eastAsia="ru-RU"/>
              </w:rPr>
              <w:t>G1265V</w:t>
            </w:r>
          </w:p>
          <w:p w14:paraId="136CB64E" w14:textId="77777777" w:rsidR="00D41138" w:rsidRPr="00337216" w:rsidRDefault="00D41138">
            <w:pPr>
              <w:pStyle w:val="Brdtekst"/>
              <w:kinsoku w:val="0"/>
              <w:overflowPunct w:val="0"/>
              <w:ind w:left="57"/>
              <w:rPr>
                <w:rFonts w:ascii="Times New Roman" w:hAnsi="Times New Roman"/>
                <w:bCs/>
                <w:color w:val="000000" w:themeColor="text1"/>
                <w:sz w:val="20"/>
                <w:szCs w:val="20"/>
                <w:lang w:val="en-US" w:eastAsia="ru-RU"/>
              </w:rPr>
            </w:pPr>
            <w:r w:rsidRPr="00337216">
              <w:rPr>
                <w:rFonts w:ascii="Times New Roman" w:hAnsi="Times New Roman"/>
                <w:bCs/>
                <w:color w:val="000000" w:themeColor="text1"/>
                <w:sz w:val="20"/>
                <w:szCs w:val="20"/>
                <w:lang w:val="en-US" w:eastAsia="ru-RU"/>
              </w:rPr>
              <w:t>G1298V</w:t>
            </w:r>
          </w:p>
          <w:p w14:paraId="4C9A8362" w14:textId="77777777" w:rsidR="00D41138" w:rsidRPr="00337216" w:rsidRDefault="00D41138">
            <w:pPr>
              <w:pStyle w:val="Brdtekst"/>
              <w:kinsoku w:val="0"/>
              <w:overflowPunct w:val="0"/>
              <w:ind w:left="57"/>
              <w:rPr>
                <w:rFonts w:ascii="Times New Roman" w:hAnsi="Times New Roman"/>
                <w:bCs/>
                <w:color w:val="000000" w:themeColor="text1"/>
                <w:sz w:val="20"/>
                <w:szCs w:val="20"/>
                <w:lang w:val="en-US" w:eastAsia="ru-RU"/>
              </w:rPr>
            </w:pPr>
            <w:r w:rsidRPr="00337216">
              <w:rPr>
                <w:rFonts w:ascii="Times New Roman" w:hAnsi="Times New Roman"/>
                <w:bCs/>
                <w:color w:val="000000" w:themeColor="text1"/>
                <w:sz w:val="20"/>
                <w:szCs w:val="20"/>
                <w:lang w:val="en-US" w:eastAsia="ru-RU"/>
              </w:rPr>
              <w:t>G1349D</w:t>
            </w:r>
          </w:p>
          <w:p w14:paraId="5EAF3784" w14:textId="77777777" w:rsidR="00D41138" w:rsidRPr="00337216" w:rsidRDefault="00D41138">
            <w:pPr>
              <w:pStyle w:val="Brdtekst"/>
              <w:kinsoku w:val="0"/>
              <w:overflowPunct w:val="0"/>
              <w:ind w:left="57"/>
              <w:rPr>
                <w:rFonts w:ascii="Times New Roman" w:hAnsi="Times New Roman"/>
                <w:bCs/>
                <w:color w:val="000000" w:themeColor="text1"/>
                <w:sz w:val="20"/>
                <w:szCs w:val="20"/>
                <w:lang w:val="en-US" w:eastAsia="ru-RU"/>
              </w:rPr>
            </w:pPr>
            <w:r w:rsidRPr="00337216">
              <w:rPr>
                <w:rFonts w:ascii="Times New Roman" w:hAnsi="Times New Roman"/>
                <w:bCs/>
                <w:color w:val="000000" w:themeColor="text1"/>
                <w:sz w:val="20"/>
                <w:szCs w:val="20"/>
                <w:lang w:val="en-US" w:eastAsia="ru-RU"/>
              </w:rPr>
              <w:t>G149</w:t>
            </w:r>
            <w:proofErr w:type="gramStart"/>
            <w:r w:rsidRPr="00337216">
              <w:rPr>
                <w:rFonts w:ascii="Times New Roman" w:hAnsi="Times New Roman"/>
                <w:bCs/>
                <w:color w:val="000000" w:themeColor="text1"/>
                <w:sz w:val="20"/>
                <w:szCs w:val="20"/>
                <w:lang w:val="en-US" w:eastAsia="ru-RU"/>
              </w:rPr>
              <w:t>R;G</w:t>
            </w:r>
            <w:proofErr w:type="gramEnd"/>
            <w:r w:rsidRPr="00337216">
              <w:rPr>
                <w:rFonts w:ascii="Times New Roman" w:hAnsi="Times New Roman"/>
                <w:bCs/>
                <w:color w:val="000000" w:themeColor="text1"/>
                <w:sz w:val="20"/>
                <w:szCs w:val="20"/>
                <w:lang w:val="en-US" w:eastAsia="ru-RU"/>
              </w:rPr>
              <w:t>576A;R668C‡</w:t>
            </w:r>
          </w:p>
          <w:p w14:paraId="02F1B8E5" w14:textId="77777777" w:rsidR="00D41138" w:rsidRPr="00337216" w:rsidRDefault="00D41138">
            <w:pPr>
              <w:pStyle w:val="Brdtekst"/>
              <w:kinsoku w:val="0"/>
              <w:overflowPunct w:val="0"/>
              <w:ind w:left="57"/>
              <w:rPr>
                <w:rFonts w:ascii="Times New Roman" w:hAnsi="Times New Roman"/>
                <w:bCs/>
                <w:color w:val="000000" w:themeColor="text1"/>
                <w:sz w:val="20"/>
                <w:szCs w:val="20"/>
                <w:lang w:val="en-US" w:eastAsia="ru-RU"/>
              </w:rPr>
            </w:pPr>
            <w:r w:rsidRPr="00337216">
              <w:rPr>
                <w:rFonts w:ascii="Times New Roman" w:hAnsi="Times New Roman"/>
                <w:bCs/>
                <w:color w:val="000000" w:themeColor="text1"/>
                <w:sz w:val="20"/>
                <w:szCs w:val="20"/>
                <w:lang w:val="en-US" w:eastAsia="ru-RU"/>
              </w:rPr>
              <w:t>H139L</w:t>
            </w:r>
          </w:p>
          <w:p w14:paraId="0E4ED8ED" w14:textId="77777777" w:rsidR="00D41138" w:rsidRPr="00337216" w:rsidRDefault="00D41138">
            <w:pPr>
              <w:pStyle w:val="Brdtekst"/>
              <w:kinsoku w:val="0"/>
              <w:overflowPunct w:val="0"/>
              <w:ind w:left="57"/>
              <w:rPr>
                <w:rFonts w:ascii="Times New Roman" w:hAnsi="Times New Roman"/>
                <w:bCs/>
                <w:color w:val="000000" w:themeColor="text1"/>
                <w:sz w:val="20"/>
                <w:szCs w:val="20"/>
                <w:lang w:val="en-US" w:eastAsia="ru-RU"/>
              </w:rPr>
            </w:pPr>
            <w:r w:rsidRPr="00337216">
              <w:rPr>
                <w:rFonts w:ascii="Times New Roman" w:hAnsi="Times New Roman"/>
                <w:bCs/>
                <w:color w:val="000000" w:themeColor="text1"/>
                <w:sz w:val="20"/>
                <w:szCs w:val="20"/>
                <w:lang w:val="en-US" w:eastAsia="ru-RU"/>
              </w:rPr>
              <w:t>H139R</w:t>
            </w:r>
          </w:p>
          <w:p w14:paraId="01E4A444" w14:textId="77777777" w:rsidR="00D41138" w:rsidRPr="00337216" w:rsidRDefault="00D41138">
            <w:pPr>
              <w:pStyle w:val="Brdtekst"/>
              <w:kinsoku w:val="0"/>
              <w:overflowPunct w:val="0"/>
              <w:ind w:left="57"/>
              <w:rPr>
                <w:rFonts w:ascii="Times New Roman" w:hAnsi="Times New Roman"/>
                <w:bCs/>
                <w:color w:val="000000" w:themeColor="text1"/>
                <w:sz w:val="20"/>
                <w:szCs w:val="20"/>
                <w:lang w:val="en-US" w:eastAsia="ru-RU"/>
              </w:rPr>
            </w:pPr>
            <w:r w:rsidRPr="00337216">
              <w:rPr>
                <w:rFonts w:ascii="Times New Roman" w:hAnsi="Times New Roman"/>
                <w:bCs/>
                <w:color w:val="000000" w:themeColor="text1"/>
                <w:sz w:val="20"/>
                <w:szCs w:val="20"/>
                <w:lang w:val="en-US" w:eastAsia="ru-RU"/>
              </w:rPr>
              <w:t>H146R</w:t>
            </w:r>
          </w:p>
          <w:p w14:paraId="3B7E769B" w14:textId="77777777" w:rsidR="00D41138" w:rsidRPr="00337216" w:rsidRDefault="00D41138">
            <w:pPr>
              <w:pStyle w:val="Brdtekst"/>
              <w:kinsoku w:val="0"/>
              <w:overflowPunct w:val="0"/>
              <w:ind w:left="57"/>
              <w:rPr>
                <w:rFonts w:ascii="Times New Roman" w:hAnsi="Times New Roman"/>
                <w:bCs/>
                <w:color w:val="000000" w:themeColor="text1"/>
                <w:sz w:val="20"/>
                <w:szCs w:val="20"/>
                <w:lang w:val="en-US" w:eastAsia="ru-RU"/>
              </w:rPr>
            </w:pPr>
            <w:r w:rsidRPr="00337216">
              <w:rPr>
                <w:rFonts w:ascii="Times New Roman" w:hAnsi="Times New Roman"/>
                <w:bCs/>
                <w:color w:val="000000" w:themeColor="text1"/>
                <w:sz w:val="20"/>
                <w:szCs w:val="20"/>
                <w:lang w:val="en-US" w:eastAsia="ru-RU"/>
              </w:rPr>
              <w:t>H199Q</w:t>
            </w:r>
          </w:p>
          <w:p w14:paraId="7D98F119" w14:textId="77777777" w:rsidR="00D41138" w:rsidRPr="00337216" w:rsidRDefault="00D41138">
            <w:pPr>
              <w:pStyle w:val="Brdtekst"/>
              <w:kinsoku w:val="0"/>
              <w:overflowPunct w:val="0"/>
              <w:ind w:left="57"/>
              <w:rPr>
                <w:rFonts w:ascii="Times New Roman" w:hAnsi="Times New Roman"/>
                <w:bCs/>
                <w:color w:val="000000" w:themeColor="text1"/>
                <w:sz w:val="20"/>
                <w:szCs w:val="20"/>
                <w:lang w:val="en-US" w:eastAsia="ru-RU"/>
              </w:rPr>
            </w:pPr>
            <w:r w:rsidRPr="00337216">
              <w:rPr>
                <w:rFonts w:ascii="Times New Roman" w:hAnsi="Times New Roman"/>
                <w:bCs/>
                <w:color w:val="000000" w:themeColor="text1"/>
                <w:sz w:val="20"/>
                <w:szCs w:val="20"/>
                <w:lang w:val="en-US" w:eastAsia="ru-RU"/>
              </w:rPr>
              <w:t>H199Y</w:t>
            </w:r>
          </w:p>
          <w:p w14:paraId="6F66464A" w14:textId="77777777" w:rsidR="00D41138" w:rsidRPr="00337216" w:rsidRDefault="00D41138">
            <w:pPr>
              <w:pStyle w:val="Brdtekst"/>
              <w:kinsoku w:val="0"/>
              <w:overflowPunct w:val="0"/>
              <w:ind w:left="57"/>
              <w:rPr>
                <w:rFonts w:ascii="Times New Roman" w:hAnsi="Times New Roman"/>
                <w:bCs/>
                <w:color w:val="000000" w:themeColor="text1"/>
                <w:sz w:val="20"/>
                <w:szCs w:val="20"/>
                <w:lang w:val="en-US" w:eastAsia="ru-RU"/>
              </w:rPr>
            </w:pPr>
            <w:r w:rsidRPr="00337216">
              <w:rPr>
                <w:rFonts w:ascii="Times New Roman" w:hAnsi="Times New Roman"/>
                <w:bCs/>
                <w:color w:val="000000" w:themeColor="text1"/>
                <w:sz w:val="20"/>
                <w:szCs w:val="20"/>
                <w:lang w:val="en-US" w:eastAsia="ru-RU"/>
              </w:rPr>
              <w:t>H609L</w:t>
            </w:r>
          </w:p>
          <w:p w14:paraId="41A3689D" w14:textId="77777777" w:rsidR="00D41138" w:rsidRPr="00337216" w:rsidRDefault="00D41138">
            <w:pPr>
              <w:pStyle w:val="Brdtekst"/>
              <w:kinsoku w:val="0"/>
              <w:overflowPunct w:val="0"/>
              <w:ind w:left="57"/>
              <w:rPr>
                <w:rFonts w:ascii="Times New Roman" w:hAnsi="Times New Roman"/>
                <w:bCs/>
                <w:color w:val="000000" w:themeColor="text1"/>
                <w:sz w:val="20"/>
                <w:szCs w:val="20"/>
                <w:lang w:val="en-US" w:eastAsia="ru-RU"/>
              </w:rPr>
            </w:pPr>
            <w:r w:rsidRPr="00337216">
              <w:rPr>
                <w:rFonts w:ascii="Times New Roman" w:hAnsi="Times New Roman"/>
                <w:bCs/>
                <w:color w:val="000000" w:themeColor="text1"/>
                <w:sz w:val="20"/>
                <w:szCs w:val="20"/>
                <w:lang w:val="en-US" w:eastAsia="ru-RU"/>
              </w:rPr>
              <w:t>H620P</w:t>
            </w:r>
          </w:p>
        </w:tc>
        <w:tc>
          <w:tcPr>
            <w:tcW w:w="870" w:type="pct"/>
            <w:tcBorders>
              <w:top w:val="single" w:sz="4" w:space="0" w:color="auto"/>
              <w:left w:val="single" w:sz="4" w:space="0" w:color="auto"/>
              <w:bottom w:val="single" w:sz="4" w:space="0" w:color="auto"/>
              <w:right w:val="single" w:sz="4" w:space="0" w:color="auto"/>
            </w:tcBorders>
            <w:tcMar>
              <w:top w:w="28" w:type="dxa"/>
              <w:left w:w="0" w:type="dxa"/>
              <w:bottom w:w="28" w:type="dxa"/>
              <w:right w:w="0" w:type="dxa"/>
            </w:tcMar>
            <w:hideMark/>
          </w:tcPr>
          <w:p w14:paraId="34F11FE2" w14:textId="77777777" w:rsidR="00D41138" w:rsidRPr="00337216" w:rsidRDefault="00D41138">
            <w:pPr>
              <w:pStyle w:val="Brdtekst"/>
              <w:kinsoku w:val="0"/>
              <w:overflowPunct w:val="0"/>
              <w:ind w:left="57"/>
              <w:rPr>
                <w:rFonts w:ascii="Times New Roman" w:hAnsi="Times New Roman"/>
                <w:bCs/>
                <w:color w:val="000000" w:themeColor="text1"/>
                <w:sz w:val="20"/>
                <w:szCs w:val="20"/>
                <w:lang w:val="en-US" w:eastAsia="ru-RU"/>
              </w:rPr>
            </w:pPr>
            <w:r w:rsidRPr="00337216">
              <w:rPr>
                <w:rFonts w:ascii="Times New Roman" w:hAnsi="Times New Roman"/>
                <w:bCs/>
                <w:color w:val="000000" w:themeColor="text1"/>
                <w:sz w:val="20"/>
                <w:szCs w:val="20"/>
                <w:lang w:val="en-US" w:eastAsia="ru-RU"/>
              </w:rPr>
              <w:lastRenderedPageBreak/>
              <w:t>H620Q</w:t>
            </w:r>
          </w:p>
          <w:p w14:paraId="2160FA91" w14:textId="77777777" w:rsidR="00D41138" w:rsidRPr="00337216" w:rsidRDefault="00D41138">
            <w:pPr>
              <w:pStyle w:val="Brdtekst"/>
              <w:kinsoku w:val="0"/>
              <w:overflowPunct w:val="0"/>
              <w:ind w:left="57"/>
              <w:rPr>
                <w:rFonts w:ascii="Times New Roman" w:hAnsi="Times New Roman"/>
                <w:bCs/>
                <w:color w:val="000000" w:themeColor="text1"/>
                <w:sz w:val="20"/>
                <w:szCs w:val="20"/>
                <w:lang w:val="en-US" w:eastAsia="ru-RU"/>
              </w:rPr>
            </w:pPr>
            <w:r w:rsidRPr="00337216">
              <w:rPr>
                <w:rFonts w:ascii="Times New Roman" w:hAnsi="Times New Roman"/>
                <w:bCs/>
                <w:color w:val="000000" w:themeColor="text1"/>
                <w:sz w:val="20"/>
                <w:szCs w:val="20"/>
                <w:lang w:val="en-US" w:eastAsia="ru-RU"/>
              </w:rPr>
              <w:t>H939R</w:t>
            </w:r>
          </w:p>
          <w:p w14:paraId="207961DF" w14:textId="77777777" w:rsidR="00D41138" w:rsidRPr="00337216" w:rsidRDefault="00D41138">
            <w:pPr>
              <w:pStyle w:val="Brdtekst"/>
              <w:kinsoku w:val="0"/>
              <w:overflowPunct w:val="0"/>
              <w:ind w:left="57"/>
              <w:rPr>
                <w:rFonts w:ascii="Times New Roman" w:hAnsi="Times New Roman"/>
                <w:bCs/>
                <w:color w:val="000000" w:themeColor="text1"/>
                <w:sz w:val="20"/>
                <w:szCs w:val="20"/>
                <w:lang w:val="en-US" w:eastAsia="ru-RU"/>
              </w:rPr>
            </w:pPr>
            <w:r w:rsidRPr="00337216">
              <w:rPr>
                <w:rFonts w:ascii="Times New Roman" w:hAnsi="Times New Roman"/>
                <w:bCs/>
                <w:color w:val="000000" w:themeColor="text1"/>
                <w:sz w:val="20"/>
                <w:szCs w:val="20"/>
                <w:lang w:val="en-US" w:eastAsia="ru-RU"/>
              </w:rPr>
              <w:t>H939</w:t>
            </w:r>
            <w:proofErr w:type="gramStart"/>
            <w:r w:rsidRPr="00337216">
              <w:rPr>
                <w:rFonts w:ascii="Times New Roman" w:hAnsi="Times New Roman"/>
                <w:bCs/>
                <w:color w:val="000000" w:themeColor="text1"/>
                <w:sz w:val="20"/>
                <w:szCs w:val="20"/>
                <w:lang w:val="en-US" w:eastAsia="ru-RU"/>
              </w:rPr>
              <w:t>R;H</w:t>
            </w:r>
            <w:proofErr w:type="gramEnd"/>
            <w:r w:rsidRPr="00337216">
              <w:rPr>
                <w:rFonts w:ascii="Times New Roman" w:hAnsi="Times New Roman"/>
                <w:bCs/>
                <w:color w:val="000000" w:themeColor="text1"/>
                <w:sz w:val="20"/>
                <w:szCs w:val="20"/>
                <w:lang w:val="en-US" w:eastAsia="ru-RU"/>
              </w:rPr>
              <w:t>949L‡</w:t>
            </w:r>
          </w:p>
          <w:p w14:paraId="6BAC6FA4" w14:textId="77777777" w:rsidR="00D41138" w:rsidRPr="00337216" w:rsidRDefault="00D41138">
            <w:pPr>
              <w:pStyle w:val="Brdtekst"/>
              <w:kinsoku w:val="0"/>
              <w:overflowPunct w:val="0"/>
              <w:ind w:left="57"/>
              <w:rPr>
                <w:rFonts w:ascii="Times New Roman" w:hAnsi="Times New Roman"/>
                <w:bCs/>
                <w:color w:val="000000" w:themeColor="text1"/>
                <w:sz w:val="20"/>
                <w:szCs w:val="20"/>
                <w:lang w:val="en-US" w:eastAsia="ru-RU"/>
              </w:rPr>
            </w:pPr>
            <w:r w:rsidRPr="00337216">
              <w:rPr>
                <w:rFonts w:ascii="Times New Roman" w:hAnsi="Times New Roman"/>
                <w:bCs/>
                <w:color w:val="000000" w:themeColor="text1"/>
                <w:sz w:val="20"/>
                <w:szCs w:val="20"/>
                <w:lang w:val="en-US" w:eastAsia="ru-RU"/>
              </w:rPr>
              <w:t>H954P</w:t>
            </w:r>
          </w:p>
          <w:p w14:paraId="5143D94B" w14:textId="77777777" w:rsidR="00D41138" w:rsidRPr="00337216" w:rsidRDefault="00D41138">
            <w:pPr>
              <w:pStyle w:val="Brdtekst"/>
              <w:kinsoku w:val="0"/>
              <w:overflowPunct w:val="0"/>
              <w:ind w:left="57"/>
              <w:rPr>
                <w:rFonts w:ascii="Times New Roman" w:hAnsi="Times New Roman"/>
                <w:bCs/>
                <w:color w:val="000000" w:themeColor="text1"/>
                <w:sz w:val="20"/>
                <w:szCs w:val="20"/>
                <w:lang w:val="en-US" w:eastAsia="ru-RU"/>
              </w:rPr>
            </w:pPr>
            <w:r w:rsidRPr="00337216">
              <w:rPr>
                <w:rFonts w:ascii="Times New Roman" w:hAnsi="Times New Roman"/>
                <w:bCs/>
                <w:color w:val="000000" w:themeColor="text1"/>
                <w:sz w:val="20"/>
                <w:szCs w:val="20"/>
                <w:lang w:val="en-US" w:eastAsia="ru-RU"/>
              </w:rPr>
              <w:t>H1054D</w:t>
            </w:r>
          </w:p>
          <w:p w14:paraId="32F3EFAF" w14:textId="77777777" w:rsidR="00D41138" w:rsidRPr="00337216" w:rsidRDefault="00D41138">
            <w:pPr>
              <w:pStyle w:val="Brdtekst"/>
              <w:kinsoku w:val="0"/>
              <w:overflowPunct w:val="0"/>
              <w:ind w:left="57"/>
              <w:rPr>
                <w:rFonts w:ascii="Times New Roman" w:hAnsi="Times New Roman"/>
                <w:bCs/>
                <w:color w:val="000000" w:themeColor="text1"/>
                <w:sz w:val="20"/>
                <w:szCs w:val="20"/>
                <w:lang w:val="en-US" w:eastAsia="ru-RU"/>
              </w:rPr>
            </w:pPr>
            <w:r w:rsidRPr="00337216">
              <w:rPr>
                <w:rFonts w:ascii="Times New Roman" w:hAnsi="Times New Roman"/>
                <w:bCs/>
                <w:color w:val="000000" w:themeColor="text1"/>
                <w:sz w:val="20"/>
                <w:szCs w:val="20"/>
                <w:lang w:val="en-US" w:eastAsia="ru-RU"/>
              </w:rPr>
              <w:t>H1079P</w:t>
            </w:r>
          </w:p>
          <w:p w14:paraId="533ED375" w14:textId="77777777" w:rsidR="00D41138" w:rsidRPr="00337216" w:rsidRDefault="00D41138">
            <w:pPr>
              <w:pStyle w:val="Brdtekst"/>
              <w:kinsoku w:val="0"/>
              <w:overflowPunct w:val="0"/>
              <w:ind w:left="57"/>
              <w:rPr>
                <w:rFonts w:ascii="Times New Roman" w:hAnsi="Times New Roman"/>
                <w:bCs/>
                <w:color w:val="000000" w:themeColor="text1"/>
                <w:sz w:val="20"/>
                <w:szCs w:val="20"/>
                <w:lang w:val="en-US" w:eastAsia="ru-RU"/>
              </w:rPr>
            </w:pPr>
            <w:r w:rsidRPr="00337216">
              <w:rPr>
                <w:rFonts w:ascii="Times New Roman" w:hAnsi="Times New Roman"/>
                <w:bCs/>
                <w:color w:val="000000" w:themeColor="text1"/>
                <w:sz w:val="20"/>
                <w:szCs w:val="20"/>
                <w:lang w:val="en-US" w:eastAsia="ru-RU"/>
              </w:rPr>
              <w:t>H1085P</w:t>
            </w:r>
          </w:p>
          <w:p w14:paraId="2C4302E7" w14:textId="77777777" w:rsidR="00D41138" w:rsidRPr="00337216" w:rsidRDefault="00D41138">
            <w:pPr>
              <w:pStyle w:val="Brdtekst"/>
              <w:kinsoku w:val="0"/>
              <w:overflowPunct w:val="0"/>
              <w:ind w:left="57"/>
              <w:rPr>
                <w:rFonts w:ascii="Times New Roman" w:hAnsi="Times New Roman"/>
                <w:bCs/>
                <w:color w:val="000000" w:themeColor="text1"/>
                <w:sz w:val="20"/>
                <w:szCs w:val="20"/>
                <w:lang w:val="en-US" w:eastAsia="ru-RU"/>
              </w:rPr>
            </w:pPr>
            <w:r w:rsidRPr="00337216">
              <w:rPr>
                <w:rFonts w:ascii="Times New Roman" w:hAnsi="Times New Roman"/>
                <w:bCs/>
                <w:color w:val="000000" w:themeColor="text1"/>
                <w:sz w:val="20"/>
                <w:szCs w:val="20"/>
                <w:lang w:val="en-US" w:eastAsia="ru-RU"/>
              </w:rPr>
              <w:t>H1085R</w:t>
            </w:r>
          </w:p>
          <w:p w14:paraId="21D311C4" w14:textId="77777777" w:rsidR="00D41138" w:rsidRPr="00337216" w:rsidRDefault="00D41138">
            <w:pPr>
              <w:pStyle w:val="Brdtekst"/>
              <w:kinsoku w:val="0"/>
              <w:overflowPunct w:val="0"/>
              <w:ind w:left="57"/>
              <w:rPr>
                <w:rFonts w:ascii="Times New Roman" w:hAnsi="Times New Roman"/>
                <w:bCs/>
                <w:color w:val="000000" w:themeColor="text1"/>
                <w:sz w:val="20"/>
                <w:szCs w:val="20"/>
                <w:lang w:val="en-US" w:eastAsia="ru-RU"/>
              </w:rPr>
            </w:pPr>
            <w:r w:rsidRPr="00337216">
              <w:rPr>
                <w:rFonts w:ascii="Times New Roman" w:hAnsi="Times New Roman"/>
                <w:bCs/>
                <w:color w:val="000000" w:themeColor="text1"/>
                <w:sz w:val="20"/>
                <w:szCs w:val="20"/>
                <w:lang w:val="en-US" w:eastAsia="ru-RU"/>
              </w:rPr>
              <w:t>H1375N</w:t>
            </w:r>
          </w:p>
          <w:p w14:paraId="395D485F" w14:textId="77777777" w:rsidR="00D41138" w:rsidRPr="00337216" w:rsidRDefault="00D41138">
            <w:pPr>
              <w:pStyle w:val="Brdtekst"/>
              <w:kinsoku w:val="0"/>
              <w:overflowPunct w:val="0"/>
              <w:ind w:left="57"/>
              <w:rPr>
                <w:rFonts w:ascii="Times New Roman" w:hAnsi="Times New Roman"/>
                <w:bCs/>
                <w:color w:val="000000" w:themeColor="text1"/>
                <w:sz w:val="20"/>
                <w:szCs w:val="20"/>
                <w:lang w:val="en-US" w:eastAsia="ru-RU"/>
              </w:rPr>
            </w:pPr>
            <w:r w:rsidRPr="00337216">
              <w:rPr>
                <w:rFonts w:ascii="Times New Roman" w:hAnsi="Times New Roman"/>
                <w:bCs/>
                <w:color w:val="000000" w:themeColor="text1"/>
                <w:sz w:val="20"/>
                <w:szCs w:val="20"/>
                <w:lang w:val="en-US" w:eastAsia="ru-RU"/>
              </w:rPr>
              <w:t>H1375P</w:t>
            </w:r>
          </w:p>
          <w:p w14:paraId="4AAE38E1" w14:textId="77777777" w:rsidR="00D41138" w:rsidRPr="00337216" w:rsidRDefault="00D41138">
            <w:pPr>
              <w:pStyle w:val="Brdtekst"/>
              <w:kinsoku w:val="0"/>
              <w:overflowPunct w:val="0"/>
              <w:ind w:left="57"/>
              <w:rPr>
                <w:rFonts w:ascii="Times New Roman" w:hAnsi="Times New Roman"/>
                <w:bCs/>
                <w:color w:val="000000" w:themeColor="text1"/>
                <w:sz w:val="20"/>
                <w:szCs w:val="20"/>
                <w:lang w:val="en-US" w:eastAsia="ru-RU"/>
              </w:rPr>
            </w:pPr>
            <w:r w:rsidRPr="00337216">
              <w:rPr>
                <w:rFonts w:ascii="Times New Roman" w:hAnsi="Times New Roman"/>
                <w:bCs/>
                <w:color w:val="000000" w:themeColor="text1"/>
                <w:sz w:val="20"/>
                <w:szCs w:val="20"/>
                <w:lang w:val="en-US" w:eastAsia="ru-RU"/>
              </w:rPr>
              <w:t>I86M</w:t>
            </w:r>
          </w:p>
          <w:p w14:paraId="18C8FDD0" w14:textId="77777777" w:rsidR="00D41138" w:rsidRPr="00337216" w:rsidRDefault="00D41138">
            <w:pPr>
              <w:pStyle w:val="Brdtekst"/>
              <w:kinsoku w:val="0"/>
              <w:overflowPunct w:val="0"/>
              <w:ind w:left="57"/>
              <w:rPr>
                <w:rFonts w:ascii="Times New Roman" w:hAnsi="Times New Roman"/>
                <w:bCs/>
                <w:color w:val="000000" w:themeColor="text1"/>
                <w:sz w:val="20"/>
                <w:szCs w:val="20"/>
                <w:lang w:eastAsia="ru-RU"/>
              </w:rPr>
            </w:pPr>
            <w:r w:rsidRPr="00337216">
              <w:rPr>
                <w:rFonts w:ascii="Times New Roman" w:hAnsi="Times New Roman"/>
                <w:bCs/>
                <w:color w:val="000000" w:themeColor="text1"/>
                <w:sz w:val="20"/>
                <w:szCs w:val="20"/>
                <w:lang w:eastAsia="ru-RU"/>
              </w:rPr>
              <w:lastRenderedPageBreak/>
              <w:t>I105N</w:t>
            </w:r>
          </w:p>
          <w:p w14:paraId="71BDC184" w14:textId="77777777" w:rsidR="00D41138" w:rsidRPr="00337216" w:rsidRDefault="00D41138">
            <w:pPr>
              <w:pStyle w:val="Brdtekst"/>
              <w:kinsoku w:val="0"/>
              <w:overflowPunct w:val="0"/>
              <w:ind w:left="57"/>
              <w:rPr>
                <w:rFonts w:ascii="Times New Roman" w:hAnsi="Times New Roman"/>
                <w:bCs/>
                <w:color w:val="000000" w:themeColor="text1"/>
                <w:sz w:val="20"/>
                <w:szCs w:val="20"/>
                <w:lang w:eastAsia="ru-RU"/>
              </w:rPr>
            </w:pPr>
            <w:r w:rsidRPr="00337216">
              <w:rPr>
                <w:rFonts w:ascii="Times New Roman" w:hAnsi="Times New Roman"/>
                <w:bCs/>
                <w:color w:val="000000" w:themeColor="text1"/>
                <w:sz w:val="20"/>
                <w:szCs w:val="20"/>
                <w:lang w:eastAsia="ru-RU"/>
              </w:rPr>
              <w:t>I125T</w:t>
            </w:r>
          </w:p>
          <w:p w14:paraId="17B5E48F" w14:textId="77777777" w:rsidR="00D41138" w:rsidRPr="00337216" w:rsidRDefault="00D41138">
            <w:pPr>
              <w:pStyle w:val="Brdtekst"/>
              <w:kinsoku w:val="0"/>
              <w:overflowPunct w:val="0"/>
              <w:ind w:left="57"/>
              <w:rPr>
                <w:rFonts w:ascii="Times New Roman" w:hAnsi="Times New Roman"/>
                <w:bCs/>
                <w:color w:val="000000" w:themeColor="text1"/>
                <w:sz w:val="20"/>
                <w:szCs w:val="20"/>
                <w:lang w:eastAsia="ru-RU"/>
              </w:rPr>
            </w:pPr>
            <w:r w:rsidRPr="00337216">
              <w:rPr>
                <w:rFonts w:ascii="Times New Roman" w:hAnsi="Times New Roman"/>
                <w:bCs/>
                <w:color w:val="000000" w:themeColor="text1"/>
                <w:sz w:val="20"/>
                <w:szCs w:val="20"/>
                <w:lang w:eastAsia="ru-RU"/>
              </w:rPr>
              <w:t>I148L</w:t>
            </w:r>
          </w:p>
          <w:p w14:paraId="380E0250" w14:textId="77777777" w:rsidR="00D41138" w:rsidRPr="00337216" w:rsidRDefault="00D41138">
            <w:pPr>
              <w:pStyle w:val="Brdtekst"/>
              <w:kinsoku w:val="0"/>
              <w:overflowPunct w:val="0"/>
              <w:ind w:left="57"/>
              <w:rPr>
                <w:rFonts w:ascii="Times New Roman" w:hAnsi="Times New Roman"/>
                <w:bCs/>
                <w:color w:val="000000" w:themeColor="text1"/>
                <w:sz w:val="20"/>
                <w:szCs w:val="20"/>
                <w:lang w:eastAsia="ru-RU"/>
              </w:rPr>
            </w:pPr>
            <w:r w:rsidRPr="00337216">
              <w:rPr>
                <w:rFonts w:ascii="Times New Roman" w:hAnsi="Times New Roman"/>
                <w:bCs/>
                <w:color w:val="000000" w:themeColor="text1"/>
                <w:sz w:val="20"/>
                <w:szCs w:val="20"/>
                <w:lang w:eastAsia="ru-RU"/>
              </w:rPr>
              <w:t>I148N</w:t>
            </w:r>
          </w:p>
          <w:p w14:paraId="0C7B9207" w14:textId="77777777" w:rsidR="00D41138" w:rsidRPr="00337216" w:rsidRDefault="00D41138">
            <w:pPr>
              <w:pStyle w:val="Brdtekst"/>
              <w:kinsoku w:val="0"/>
              <w:overflowPunct w:val="0"/>
              <w:ind w:left="57"/>
              <w:rPr>
                <w:rFonts w:ascii="Times New Roman" w:hAnsi="Times New Roman"/>
                <w:bCs/>
                <w:color w:val="000000" w:themeColor="text1"/>
                <w:sz w:val="20"/>
                <w:szCs w:val="20"/>
                <w:lang w:eastAsia="ru-RU"/>
              </w:rPr>
            </w:pPr>
            <w:r w:rsidRPr="00337216">
              <w:rPr>
                <w:rFonts w:ascii="Times New Roman" w:hAnsi="Times New Roman"/>
                <w:bCs/>
                <w:color w:val="000000" w:themeColor="text1"/>
                <w:sz w:val="20"/>
                <w:szCs w:val="20"/>
                <w:lang w:eastAsia="ru-RU"/>
              </w:rPr>
              <w:t>I175V</w:t>
            </w:r>
          </w:p>
          <w:p w14:paraId="7B9DDDA6" w14:textId="77777777" w:rsidR="00D41138" w:rsidRPr="00337216" w:rsidRDefault="00D41138">
            <w:pPr>
              <w:pStyle w:val="Brdtekst"/>
              <w:kinsoku w:val="0"/>
              <w:overflowPunct w:val="0"/>
              <w:ind w:left="57"/>
              <w:rPr>
                <w:rFonts w:ascii="Times New Roman" w:hAnsi="Times New Roman"/>
                <w:bCs/>
                <w:color w:val="000000" w:themeColor="text1"/>
                <w:sz w:val="20"/>
                <w:szCs w:val="20"/>
                <w:lang w:eastAsia="ru-RU"/>
              </w:rPr>
            </w:pPr>
            <w:r w:rsidRPr="00337216">
              <w:rPr>
                <w:rFonts w:ascii="Times New Roman" w:hAnsi="Times New Roman"/>
                <w:bCs/>
                <w:color w:val="000000" w:themeColor="text1"/>
                <w:sz w:val="20"/>
                <w:szCs w:val="20"/>
                <w:lang w:eastAsia="ru-RU"/>
              </w:rPr>
              <w:t>I331N</w:t>
            </w:r>
          </w:p>
          <w:p w14:paraId="724D119A" w14:textId="77777777" w:rsidR="00D41138" w:rsidRPr="00337216" w:rsidRDefault="00D41138">
            <w:pPr>
              <w:pStyle w:val="Brdtekst"/>
              <w:kinsoku w:val="0"/>
              <w:overflowPunct w:val="0"/>
              <w:ind w:left="57"/>
              <w:rPr>
                <w:rFonts w:ascii="Times New Roman" w:hAnsi="Times New Roman"/>
                <w:bCs/>
                <w:color w:val="000000" w:themeColor="text1"/>
                <w:sz w:val="20"/>
                <w:szCs w:val="20"/>
                <w:lang w:eastAsia="ru-RU"/>
              </w:rPr>
            </w:pPr>
            <w:r w:rsidRPr="00337216">
              <w:rPr>
                <w:rFonts w:ascii="Times New Roman" w:hAnsi="Times New Roman"/>
                <w:bCs/>
                <w:color w:val="000000" w:themeColor="text1"/>
                <w:sz w:val="20"/>
                <w:szCs w:val="20"/>
                <w:lang w:eastAsia="ru-RU"/>
              </w:rPr>
              <w:t>I336K</w:t>
            </w:r>
          </w:p>
          <w:p w14:paraId="11A93B28" w14:textId="77777777" w:rsidR="00D41138" w:rsidRPr="00337216" w:rsidRDefault="00D41138">
            <w:pPr>
              <w:pStyle w:val="Brdtekst"/>
              <w:kinsoku w:val="0"/>
              <w:overflowPunct w:val="0"/>
              <w:ind w:left="57"/>
              <w:rPr>
                <w:rFonts w:ascii="Times New Roman" w:hAnsi="Times New Roman"/>
                <w:bCs/>
                <w:color w:val="000000" w:themeColor="text1"/>
                <w:sz w:val="20"/>
                <w:szCs w:val="20"/>
                <w:lang w:eastAsia="ru-RU"/>
              </w:rPr>
            </w:pPr>
            <w:r w:rsidRPr="00337216">
              <w:rPr>
                <w:rFonts w:ascii="Times New Roman" w:hAnsi="Times New Roman"/>
                <w:bCs/>
                <w:color w:val="000000" w:themeColor="text1"/>
                <w:sz w:val="20"/>
                <w:szCs w:val="20"/>
                <w:lang w:eastAsia="ru-RU"/>
              </w:rPr>
              <w:t>I336L</w:t>
            </w:r>
          </w:p>
          <w:p w14:paraId="244F2AE6" w14:textId="77777777" w:rsidR="00D41138" w:rsidRPr="00337216" w:rsidRDefault="00D41138">
            <w:pPr>
              <w:pStyle w:val="Brdtekst"/>
              <w:kinsoku w:val="0"/>
              <w:overflowPunct w:val="0"/>
              <w:ind w:left="57"/>
              <w:rPr>
                <w:rFonts w:ascii="Times New Roman" w:hAnsi="Times New Roman"/>
                <w:bCs/>
                <w:color w:val="000000" w:themeColor="text1"/>
                <w:sz w:val="20"/>
                <w:szCs w:val="20"/>
                <w:lang w:eastAsia="ru-RU"/>
              </w:rPr>
            </w:pPr>
            <w:r w:rsidRPr="00337216">
              <w:rPr>
                <w:rFonts w:ascii="Times New Roman" w:hAnsi="Times New Roman"/>
                <w:bCs/>
                <w:color w:val="000000" w:themeColor="text1"/>
                <w:sz w:val="20"/>
                <w:szCs w:val="20"/>
                <w:lang w:eastAsia="ru-RU"/>
              </w:rPr>
              <w:t>I444S</w:t>
            </w:r>
          </w:p>
          <w:p w14:paraId="0C2D8A55" w14:textId="77777777" w:rsidR="00D41138" w:rsidRPr="00337216" w:rsidRDefault="00D41138">
            <w:pPr>
              <w:pStyle w:val="Brdtekst"/>
              <w:kinsoku w:val="0"/>
              <w:overflowPunct w:val="0"/>
              <w:ind w:left="57"/>
              <w:rPr>
                <w:rFonts w:ascii="Times New Roman" w:hAnsi="Times New Roman"/>
                <w:bCs/>
                <w:color w:val="000000" w:themeColor="text1"/>
                <w:sz w:val="20"/>
                <w:szCs w:val="20"/>
                <w:lang w:eastAsia="ru-RU"/>
              </w:rPr>
            </w:pPr>
            <w:r w:rsidRPr="00337216">
              <w:rPr>
                <w:rFonts w:ascii="Times New Roman" w:hAnsi="Times New Roman"/>
                <w:bCs/>
                <w:color w:val="000000" w:themeColor="text1"/>
                <w:sz w:val="20"/>
                <w:szCs w:val="20"/>
                <w:lang w:eastAsia="ru-RU"/>
              </w:rPr>
              <w:t>I497S</w:t>
            </w:r>
          </w:p>
          <w:p w14:paraId="4A208B03" w14:textId="77777777" w:rsidR="00D41138" w:rsidRPr="00337216" w:rsidRDefault="00D41138">
            <w:pPr>
              <w:pStyle w:val="Brdtekst"/>
              <w:kinsoku w:val="0"/>
              <w:overflowPunct w:val="0"/>
              <w:ind w:left="57"/>
              <w:rPr>
                <w:rFonts w:ascii="Times New Roman" w:hAnsi="Times New Roman"/>
                <w:bCs/>
                <w:color w:val="000000" w:themeColor="text1"/>
                <w:sz w:val="20"/>
                <w:szCs w:val="20"/>
                <w:lang w:eastAsia="ru-RU"/>
              </w:rPr>
            </w:pPr>
            <w:r w:rsidRPr="00337216">
              <w:rPr>
                <w:rFonts w:ascii="Times New Roman" w:hAnsi="Times New Roman"/>
                <w:bCs/>
                <w:color w:val="000000" w:themeColor="text1"/>
                <w:sz w:val="20"/>
                <w:szCs w:val="20"/>
                <w:lang w:eastAsia="ru-RU"/>
              </w:rPr>
              <w:t>I502T</w:t>
            </w:r>
          </w:p>
          <w:p w14:paraId="5D81CB67" w14:textId="77777777" w:rsidR="00D41138" w:rsidRPr="00337216" w:rsidRDefault="00D41138">
            <w:pPr>
              <w:pStyle w:val="Brdtekst"/>
              <w:kinsoku w:val="0"/>
              <w:overflowPunct w:val="0"/>
              <w:ind w:left="57"/>
              <w:rPr>
                <w:rFonts w:ascii="Times New Roman" w:hAnsi="Times New Roman"/>
                <w:bCs/>
                <w:color w:val="000000" w:themeColor="text1"/>
                <w:sz w:val="20"/>
                <w:szCs w:val="20"/>
                <w:lang w:eastAsia="ru-RU"/>
              </w:rPr>
            </w:pPr>
            <w:r w:rsidRPr="00337216">
              <w:rPr>
                <w:rFonts w:ascii="Times New Roman" w:hAnsi="Times New Roman"/>
                <w:bCs/>
                <w:color w:val="000000" w:themeColor="text1"/>
                <w:sz w:val="20"/>
                <w:szCs w:val="20"/>
                <w:lang w:eastAsia="ru-RU"/>
              </w:rPr>
              <w:t>I506L</w:t>
            </w:r>
          </w:p>
          <w:p w14:paraId="57651C09" w14:textId="77777777" w:rsidR="00D41138" w:rsidRPr="00337216" w:rsidRDefault="00D41138">
            <w:pPr>
              <w:pStyle w:val="Brdtekst"/>
              <w:kinsoku w:val="0"/>
              <w:overflowPunct w:val="0"/>
              <w:ind w:left="57"/>
              <w:rPr>
                <w:rFonts w:ascii="Times New Roman" w:hAnsi="Times New Roman"/>
                <w:bCs/>
                <w:color w:val="000000" w:themeColor="text1"/>
                <w:sz w:val="20"/>
                <w:szCs w:val="20"/>
                <w:lang w:eastAsia="ru-RU"/>
              </w:rPr>
            </w:pPr>
            <w:r w:rsidRPr="00337216">
              <w:rPr>
                <w:rFonts w:ascii="Times New Roman" w:hAnsi="Times New Roman"/>
                <w:bCs/>
                <w:color w:val="000000" w:themeColor="text1"/>
                <w:sz w:val="20"/>
                <w:szCs w:val="20"/>
                <w:lang w:eastAsia="ru-RU"/>
              </w:rPr>
              <w:t>I506V</w:t>
            </w:r>
          </w:p>
          <w:p w14:paraId="5CF17B81" w14:textId="77777777" w:rsidR="00D41138" w:rsidRPr="00337216" w:rsidRDefault="00D41138">
            <w:pPr>
              <w:pStyle w:val="Brdtekst"/>
              <w:kinsoku w:val="0"/>
              <w:overflowPunct w:val="0"/>
              <w:ind w:left="57"/>
              <w:rPr>
                <w:rFonts w:ascii="Times New Roman" w:hAnsi="Times New Roman"/>
                <w:bCs/>
                <w:color w:val="000000" w:themeColor="text1"/>
                <w:sz w:val="20"/>
                <w:szCs w:val="20"/>
                <w:lang w:eastAsia="ru-RU"/>
              </w:rPr>
            </w:pPr>
            <w:r w:rsidRPr="00337216">
              <w:rPr>
                <w:rFonts w:ascii="Times New Roman" w:hAnsi="Times New Roman"/>
                <w:bCs/>
                <w:color w:val="000000" w:themeColor="text1"/>
                <w:sz w:val="20"/>
                <w:szCs w:val="20"/>
                <w:lang w:eastAsia="ru-RU"/>
              </w:rPr>
              <w:t>I506V;D1168G‡</w:t>
            </w:r>
          </w:p>
          <w:p w14:paraId="371BF5D5" w14:textId="77777777" w:rsidR="00D41138" w:rsidRPr="00337216" w:rsidRDefault="00D41138">
            <w:pPr>
              <w:pStyle w:val="Brdtekst"/>
              <w:kinsoku w:val="0"/>
              <w:overflowPunct w:val="0"/>
              <w:ind w:left="57"/>
              <w:rPr>
                <w:rFonts w:ascii="Times New Roman" w:hAnsi="Times New Roman"/>
                <w:bCs/>
                <w:color w:val="000000" w:themeColor="text1"/>
                <w:sz w:val="20"/>
                <w:szCs w:val="20"/>
                <w:lang w:eastAsia="ru-RU"/>
              </w:rPr>
            </w:pPr>
            <w:r w:rsidRPr="00337216">
              <w:rPr>
                <w:rFonts w:ascii="Times New Roman" w:hAnsi="Times New Roman"/>
                <w:bCs/>
                <w:color w:val="000000" w:themeColor="text1"/>
                <w:sz w:val="20"/>
                <w:szCs w:val="20"/>
                <w:lang w:eastAsia="ru-RU"/>
              </w:rPr>
              <w:t>I521S</w:t>
            </w:r>
          </w:p>
          <w:p w14:paraId="46B2AA6B" w14:textId="77777777" w:rsidR="00D41138" w:rsidRPr="00337216" w:rsidRDefault="00D41138">
            <w:pPr>
              <w:pStyle w:val="Brdtekst"/>
              <w:kinsoku w:val="0"/>
              <w:overflowPunct w:val="0"/>
              <w:ind w:left="57"/>
              <w:rPr>
                <w:rFonts w:ascii="Times New Roman" w:hAnsi="Times New Roman"/>
                <w:bCs/>
                <w:color w:val="000000" w:themeColor="text1"/>
                <w:sz w:val="20"/>
                <w:szCs w:val="20"/>
                <w:lang w:eastAsia="ru-RU"/>
              </w:rPr>
            </w:pPr>
            <w:r w:rsidRPr="00337216">
              <w:rPr>
                <w:rFonts w:ascii="Times New Roman" w:hAnsi="Times New Roman"/>
                <w:bCs/>
                <w:color w:val="000000" w:themeColor="text1"/>
                <w:sz w:val="20"/>
                <w:szCs w:val="20"/>
                <w:lang w:eastAsia="ru-RU"/>
              </w:rPr>
              <w:t>I530N</w:t>
            </w:r>
          </w:p>
          <w:p w14:paraId="4F40B3FF" w14:textId="77777777" w:rsidR="00D41138" w:rsidRPr="00337216" w:rsidRDefault="00D41138">
            <w:pPr>
              <w:pStyle w:val="Brdtekst"/>
              <w:kinsoku w:val="0"/>
              <w:overflowPunct w:val="0"/>
              <w:ind w:left="57"/>
              <w:rPr>
                <w:rFonts w:ascii="Times New Roman" w:hAnsi="Times New Roman"/>
                <w:bCs/>
                <w:color w:val="000000" w:themeColor="text1"/>
                <w:sz w:val="20"/>
                <w:szCs w:val="20"/>
                <w:lang w:eastAsia="ru-RU"/>
              </w:rPr>
            </w:pPr>
            <w:r w:rsidRPr="00337216">
              <w:rPr>
                <w:rFonts w:ascii="Times New Roman" w:hAnsi="Times New Roman"/>
                <w:bCs/>
                <w:color w:val="000000" w:themeColor="text1"/>
                <w:sz w:val="20"/>
                <w:szCs w:val="20"/>
                <w:lang w:eastAsia="ru-RU"/>
              </w:rPr>
              <w:t>I556V</w:t>
            </w:r>
          </w:p>
          <w:p w14:paraId="00461169" w14:textId="77777777" w:rsidR="00D41138" w:rsidRPr="00337216" w:rsidRDefault="00D41138">
            <w:pPr>
              <w:pStyle w:val="Brdtekst"/>
              <w:kinsoku w:val="0"/>
              <w:overflowPunct w:val="0"/>
              <w:ind w:left="57"/>
              <w:rPr>
                <w:rFonts w:ascii="Times New Roman" w:hAnsi="Times New Roman"/>
                <w:bCs/>
                <w:color w:val="000000" w:themeColor="text1"/>
                <w:sz w:val="20"/>
                <w:szCs w:val="20"/>
                <w:lang w:eastAsia="ru-RU"/>
              </w:rPr>
            </w:pPr>
            <w:r w:rsidRPr="00337216">
              <w:rPr>
                <w:rFonts w:ascii="Times New Roman" w:hAnsi="Times New Roman"/>
                <w:bCs/>
                <w:color w:val="000000" w:themeColor="text1"/>
                <w:sz w:val="20"/>
                <w:szCs w:val="20"/>
                <w:lang w:eastAsia="ru-RU"/>
              </w:rPr>
              <w:t>I586V</w:t>
            </w:r>
          </w:p>
          <w:p w14:paraId="1B169F78" w14:textId="77777777" w:rsidR="00D41138" w:rsidRPr="00337216" w:rsidRDefault="00D41138">
            <w:pPr>
              <w:pStyle w:val="Brdtekst"/>
              <w:kinsoku w:val="0"/>
              <w:overflowPunct w:val="0"/>
              <w:ind w:left="57"/>
              <w:rPr>
                <w:rFonts w:ascii="Times New Roman" w:hAnsi="Times New Roman"/>
                <w:bCs/>
                <w:color w:val="000000" w:themeColor="text1"/>
                <w:sz w:val="20"/>
                <w:szCs w:val="20"/>
                <w:lang w:eastAsia="ru-RU"/>
              </w:rPr>
            </w:pPr>
            <w:r w:rsidRPr="00337216">
              <w:rPr>
                <w:rFonts w:ascii="Times New Roman" w:hAnsi="Times New Roman"/>
                <w:bCs/>
                <w:color w:val="000000" w:themeColor="text1"/>
                <w:sz w:val="20"/>
                <w:szCs w:val="20"/>
                <w:lang w:eastAsia="ru-RU"/>
              </w:rPr>
              <w:t>I601F</w:t>
            </w:r>
          </w:p>
          <w:p w14:paraId="4DF08C85" w14:textId="77777777" w:rsidR="00D41138" w:rsidRPr="00337216" w:rsidRDefault="00D41138">
            <w:pPr>
              <w:pStyle w:val="Brdtekst"/>
              <w:kinsoku w:val="0"/>
              <w:overflowPunct w:val="0"/>
              <w:ind w:left="57"/>
              <w:rPr>
                <w:rFonts w:ascii="Times New Roman" w:hAnsi="Times New Roman"/>
                <w:bCs/>
                <w:color w:val="000000" w:themeColor="text1"/>
                <w:sz w:val="20"/>
                <w:szCs w:val="20"/>
                <w:lang w:eastAsia="ru-RU"/>
              </w:rPr>
            </w:pPr>
            <w:r w:rsidRPr="00337216">
              <w:rPr>
                <w:rFonts w:ascii="Times New Roman" w:hAnsi="Times New Roman"/>
                <w:bCs/>
                <w:color w:val="000000" w:themeColor="text1"/>
                <w:sz w:val="20"/>
                <w:szCs w:val="20"/>
                <w:lang w:eastAsia="ru-RU"/>
              </w:rPr>
              <w:t>I618N</w:t>
            </w:r>
          </w:p>
          <w:p w14:paraId="204BAEF3" w14:textId="77777777" w:rsidR="00D41138" w:rsidRPr="00337216" w:rsidRDefault="00D41138">
            <w:pPr>
              <w:pStyle w:val="Brdtekst"/>
              <w:kinsoku w:val="0"/>
              <w:overflowPunct w:val="0"/>
              <w:ind w:left="57"/>
              <w:rPr>
                <w:rFonts w:ascii="Times New Roman" w:hAnsi="Times New Roman"/>
                <w:bCs/>
                <w:color w:val="000000" w:themeColor="text1"/>
                <w:sz w:val="20"/>
                <w:szCs w:val="20"/>
                <w:lang w:eastAsia="ru-RU"/>
              </w:rPr>
            </w:pPr>
            <w:r w:rsidRPr="00337216">
              <w:rPr>
                <w:rFonts w:ascii="Times New Roman" w:hAnsi="Times New Roman"/>
                <w:bCs/>
                <w:color w:val="000000" w:themeColor="text1"/>
                <w:sz w:val="20"/>
                <w:szCs w:val="20"/>
                <w:lang w:eastAsia="ru-RU"/>
              </w:rPr>
              <w:t>I618T</w:t>
            </w:r>
          </w:p>
          <w:p w14:paraId="12835195" w14:textId="77777777" w:rsidR="00D41138" w:rsidRPr="00337216" w:rsidRDefault="00D41138">
            <w:pPr>
              <w:pStyle w:val="Brdtekst"/>
              <w:kinsoku w:val="0"/>
              <w:overflowPunct w:val="0"/>
              <w:ind w:left="57"/>
              <w:rPr>
                <w:rFonts w:ascii="Times New Roman" w:hAnsi="Times New Roman"/>
                <w:bCs/>
                <w:color w:val="000000" w:themeColor="text1"/>
                <w:sz w:val="20"/>
                <w:szCs w:val="20"/>
                <w:lang w:eastAsia="ru-RU"/>
              </w:rPr>
            </w:pPr>
            <w:r w:rsidRPr="00337216">
              <w:rPr>
                <w:rFonts w:ascii="Times New Roman" w:hAnsi="Times New Roman"/>
                <w:bCs/>
                <w:color w:val="000000" w:themeColor="text1"/>
                <w:sz w:val="20"/>
                <w:szCs w:val="20"/>
                <w:lang w:eastAsia="ru-RU"/>
              </w:rPr>
              <w:t>I980K</w:t>
            </w:r>
          </w:p>
          <w:p w14:paraId="52DD8889" w14:textId="77777777" w:rsidR="00D41138" w:rsidRPr="00337216" w:rsidRDefault="00D41138">
            <w:pPr>
              <w:pStyle w:val="Brdtekst"/>
              <w:kinsoku w:val="0"/>
              <w:overflowPunct w:val="0"/>
              <w:ind w:left="57"/>
              <w:rPr>
                <w:rFonts w:ascii="Times New Roman" w:hAnsi="Times New Roman"/>
                <w:bCs/>
                <w:color w:val="000000" w:themeColor="text1"/>
                <w:sz w:val="20"/>
                <w:szCs w:val="20"/>
                <w:lang w:eastAsia="ru-RU"/>
              </w:rPr>
            </w:pPr>
            <w:r w:rsidRPr="00337216">
              <w:rPr>
                <w:rFonts w:ascii="Times New Roman" w:hAnsi="Times New Roman"/>
                <w:bCs/>
                <w:color w:val="000000" w:themeColor="text1"/>
                <w:sz w:val="20"/>
                <w:szCs w:val="20"/>
                <w:lang w:eastAsia="ru-RU"/>
              </w:rPr>
              <w:t>I1023R</w:t>
            </w:r>
          </w:p>
          <w:p w14:paraId="17CBCD95" w14:textId="77777777" w:rsidR="00D41138" w:rsidRPr="00337216" w:rsidRDefault="00D41138">
            <w:pPr>
              <w:pStyle w:val="Brdtekst"/>
              <w:kinsoku w:val="0"/>
              <w:overflowPunct w:val="0"/>
              <w:ind w:left="57"/>
              <w:rPr>
                <w:rFonts w:ascii="Times New Roman" w:hAnsi="Times New Roman"/>
                <w:bCs/>
                <w:color w:val="000000" w:themeColor="text1"/>
                <w:sz w:val="20"/>
                <w:szCs w:val="20"/>
                <w:lang w:eastAsia="ru-RU"/>
              </w:rPr>
            </w:pPr>
            <w:r w:rsidRPr="00337216">
              <w:rPr>
                <w:rFonts w:ascii="Times New Roman" w:hAnsi="Times New Roman"/>
                <w:bCs/>
                <w:color w:val="000000" w:themeColor="text1"/>
                <w:sz w:val="20"/>
                <w:szCs w:val="20"/>
                <w:lang w:eastAsia="ru-RU"/>
              </w:rPr>
              <w:t>I1139V</w:t>
            </w:r>
          </w:p>
          <w:p w14:paraId="009A907E" w14:textId="77777777" w:rsidR="00D41138" w:rsidRPr="00337216" w:rsidRDefault="00D41138">
            <w:pPr>
              <w:pStyle w:val="Brdtekst"/>
              <w:kinsoku w:val="0"/>
              <w:overflowPunct w:val="0"/>
              <w:ind w:left="57"/>
              <w:rPr>
                <w:rFonts w:ascii="Times New Roman" w:hAnsi="Times New Roman"/>
                <w:bCs/>
                <w:color w:val="000000" w:themeColor="text1"/>
                <w:sz w:val="20"/>
                <w:szCs w:val="20"/>
                <w:lang w:eastAsia="ru-RU"/>
              </w:rPr>
            </w:pPr>
            <w:r w:rsidRPr="00337216">
              <w:rPr>
                <w:rFonts w:ascii="Times New Roman" w:hAnsi="Times New Roman"/>
                <w:bCs/>
                <w:color w:val="000000" w:themeColor="text1"/>
                <w:sz w:val="20"/>
                <w:szCs w:val="20"/>
                <w:lang w:eastAsia="ru-RU"/>
              </w:rPr>
              <w:t>I1203V</w:t>
            </w:r>
          </w:p>
          <w:p w14:paraId="44A5F090" w14:textId="77777777" w:rsidR="00D41138" w:rsidRPr="00337216" w:rsidRDefault="00D41138">
            <w:pPr>
              <w:pStyle w:val="Brdtekst"/>
              <w:kinsoku w:val="0"/>
              <w:overflowPunct w:val="0"/>
              <w:ind w:left="57"/>
              <w:rPr>
                <w:rFonts w:ascii="Times New Roman" w:hAnsi="Times New Roman"/>
                <w:bCs/>
                <w:color w:val="000000" w:themeColor="text1"/>
                <w:sz w:val="20"/>
                <w:szCs w:val="20"/>
                <w:lang w:eastAsia="ru-RU"/>
              </w:rPr>
            </w:pPr>
            <w:r w:rsidRPr="00337216">
              <w:rPr>
                <w:rFonts w:ascii="Times New Roman" w:hAnsi="Times New Roman"/>
                <w:bCs/>
                <w:color w:val="000000" w:themeColor="text1"/>
                <w:sz w:val="20"/>
                <w:szCs w:val="20"/>
                <w:lang w:eastAsia="ru-RU"/>
              </w:rPr>
              <w:t>I1234L</w:t>
            </w:r>
          </w:p>
          <w:p w14:paraId="2D0AA665" w14:textId="77777777" w:rsidR="00D41138" w:rsidRPr="00337216" w:rsidRDefault="00D41138">
            <w:pPr>
              <w:pStyle w:val="Brdtekst"/>
              <w:kinsoku w:val="0"/>
              <w:overflowPunct w:val="0"/>
              <w:ind w:left="57"/>
              <w:rPr>
                <w:rFonts w:ascii="Times New Roman" w:hAnsi="Times New Roman"/>
                <w:bCs/>
                <w:color w:val="000000" w:themeColor="text1"/>
                <w:sz w:val="20"/>
                <w:szCs w:val="20"/>
                <w:lang w:eastAsia="ru-RU"/>
              </w:rPr>
            </w:pPr>
            <w:r w:rsidRPr="00337216">
              <w:rPr>
                <w:rFonts w:ascii="Times New Roman" w:hAnsi="Times New Roman"/>
                <w:bCs/>
                <w:color w:val="000000" w:themeColor="text1"/>
                <w:sz w:val="20"/>
                <w:szCs w:val="20"/>
                <w:lang w:eastAsia="ru-RU"/>
              </w:rPr>
              <w:t>I1234V</w:t>
            </w:r>
          </w:p>
          <w:p w14:paraId="0C9E4D15" w14:textId="77777777" w:rsidR="00D41138" w:rsidRPr="00337216" w:rsidRDefault="00D41138">
            <w:pPr>
              <w:pStyle w:val="Brdtekst"/>
              <w:kinsoku w:val="0"/>
              <w:overflowPunct w:val="0"/>
              <w:ind w:left="57"/>
              <w:rPr>
                <w:rFonts w:ascii="Times New Roman" w:hAnsi="Times New Roman"/>
                <w:bCs/>
                <w:color w:val="000000" w:themeColor="text1"/>
                <w:sz w:val="20"/>
                <w:szCs w:val="20"/>
                <w:lang w:eastAsia="ru-RU"/>
              </w:rPr>
            </w:pPr>
            <w:r w:rsidRPr="00337216">
              <w:rPr>
                <w:rFonts w:ascii="Times New Roman" w:hAnsi="Times New Roman"/>
                <w:bCs/>
                <w:color w:val="000000" w:themeColor="text1"/>
                <w:sz w:val="20"/>
                <w:szCs w:val="20"/>
                <w:lang w:eastAsia="ru-RU"/>
              </w:rPr>
              <w:t>I1269N</w:t>
            </w:r>
          </w:p>
          <w:p w14:paraId="2FFFD0AF" w14:textId="77777777" w:rsidR="00D41138" w:rsidRPr="00337216" w:rsidRDefault="00D41138">
            <w:pPr>
              <w:pStyle w:val="Brdtekst"/>
              <w:kinsoku w:val="0"/>
              <w:overflowPunct w:val="0"/>
              <w:ind w:left="57"/>
              <w:rPr>
                <w:rFonts w:ascii="Times New Roman" w:hAnsi="Times New Roman"/>
                <w:bCs/>
                <w:color w:val="000000" w:themeColor="text1"/>
                <w:sz w:val="20"/>
                <w:szCs w:val="20"/>
                <w:lang w:eastAsia="ru-RU"/>
              </w:rPr>
            </w:pPr>
            <w:r w:rsidRPr="00337216">
              <w:rPr>
                <w:rFonts w:ascii="Times New Roman" w:hAnsi="Times New Roman"/>
                <w:bCs/>
                <w:color w:val="000000" w:themeColor="text1"/>
                <w:sz w:val="20"/>
                <w:szCs w:val="20"/>
                <w:lang w:eastAsia="ru-RU"/>
              </w:rPr>
              <w:t>I1366N</w:t>
            </w:r>
          </w:p>
          <w:p w14:paraId="03F589F1" w14:textId="77777777" w:rsidR="00D41138" w:rsidRPr="00337216" w:rsidRDefault="00D41138">
            <w:pPr>
              <w:pStyle w:val="Brdtekst"/>
              <w:kinsoku w:val="0"/>
              <w:overflowPunct w:val="0"/>
              <w:ind w:left="57"/>
              <w:rPr>
                <w:rFonts w:ascii="Times New Roman" w:hAnsi="Times New Roman"/>
                <w:bCs/>
                <w:color w:val="000000" w:themeColor="text1"/>
                <w:sz w:val="20"/>
                <w:szCs w:val="20"/>
                <w:lang w:eastAsia="ru-RU"/>
              </w:rPr>
            </w:pPr>
            <w:r w:rsidRPr="00337216">
              <w:rPr>
                <w:rFonts w:ascii="Times New Roman" w:hAnsi="Times New Roman"/>
                <w:bCs/>
                <w:color w:val="000000" w:themeColor="text1"/>
                <w:sz w:val="20"/>
                <w:szCs w:val="20"/>
                <w:lang w:eastAsia="ru-RU"/>
              </w:rPr>
              <w:t>I1366T</w:t>
            </w:r>
          </w:p>
          <w:p w14:paraId="7DB99726" w14:textId="77777777" w:rsidR="00D41138" w:rsidRPr="00337216" w:rsidRDefault="00D41138">
            <w:pPr>
              <w:pStyle w:val="Brdtekst"/>
              <w:kinsoku w:val="0"/>
              <w:overflowPunct w:val="0"/>
              <w:ind w:left="57"/>
              <w:rPr>
                <w:rFonts w:ascii="Times New Roman" w:hAnsi="Times New Roman"/>
                <w:bCs/>
                <w:color w:val="000000" w:themeColor="text1"/>
                <w:sz w:val="20"/>
                <w:szCs w:val="20"/>
                <w:lang w:eastAsia="ru-RU"/>
              </w:rPr>
            </w:pPr>
            <w:r w:rsidRPr="00337216">
              <w:rPr>
                <w:rFonts w:ascii="Times New Roman" w:hAnsi="Times New Roman"/>
                <w:bCs/>
                <w:color w:val="000000" w:themeColor="text1"/>
                <w:sz w:val="20"/>
                <w:szCs w:val="20"/>
                <w:lang w:eastAsia="ru-RU"/>
              </w:rPr>
              <w:t>K162E</w:t>
            </w:r>
          </w:p>
          <w:p w14:paraId="53E87A46" w14:textId="77777777" w:rsidR="00D41138" w:rsidRPr="00337216" w:rsidRDefault="00D41138">
            <w:pPr>
              <w:pStyle w:val="Brdtekst"/>
              <w:kinsoku w:val="0"/>
              <w:overflowPunct w:val="0"/>
              <w:ind w:left="57"/>
              <w:rPr>
                <w:rFonts w:ascii="Times New Roman" w:hAnsi="Times New Roman"/>
                <w:bCs/>
                <w:color w:val="000000" w:themeColor="text1"/>
                <w:sz w:val="20"/>
                <w:szCs w:val="20"/>
                <w:lang w:eastAsia="ru-RU"/>
              </w:rPr>
            </w:pPr>
            <w:r w:rsidRPr="00337216">
              <w:rPr>
                <w:rFonts w:ascii="Times New Roman" w:hAnsi="Times New Roman"/>
                <w:bCs/>
                <w:color w:val="000000" w:themeColor="text1"/>
                <w:sz w:val="20"/>
                <w:szCs w:val="20"/>
                <w:lang w:eastAsia="ru-RU"/>
              </w:rPr>
              <w:t>K464E</w:t>
            </w:r>
          </w:p>
          <w:p w14:paraId="18A7B7CF" w14:textId="77777777" w:rsidR="00D41138" w:rsidRPr="00337216" w:rsidRDefault="00D41138">
            <w:pPr>
              <w:pStyle w:val="Brdtekst"/>
              <w:kinsoku w:val="0"/>
              <w:overflowPunct w:val="0"/>
              <w:ind w:left="57"/>
              <w:rPr>
                <w:rFonts w:ascii="Times New Roman" w:hAnsi="Times New Roman"/>
                <w:bCs/>
                <w:color w:val="000000" w:themeColor="text1"/>
                <w:sz w:val="20"/>
                <w:szCs w:val="20"/>
                <w:lang w:eastAsia="ru-RU"/>
              </w:rPr>
            </w:pPr>
            <w:r w:rsidRPr="00337216">
              <w:rPr>
                <w:rFonts w:ascii="Times New Roman" w:hAnsi="Times New Roman"/>
                <w:bCs/>
                <w:color w:val="000000" w:themeColor="text1"/>
                <w:sz w:val="20"/>
                <w:szCs w:val="20"/>
                <w:lang w:eastAsia="ru-RU"/>
              </w:rPr>
              <w:t>K464N</w:t>
            </w:r>
          </w:p>
          <w:p w14:paraId="754334A5" w14:textId="77777777" w:rsidR="00D41138" w:rsidRPr="00337216" w:rsidRDefault="00D41138">
            <w:pPr>
              <w:pStyle w:val="Brdtekst"/>
              <w:kinsoku w:val="0"/>
              <w:overflowPunct w:val="0"/>
              <w:ind w:left="57"/>
              <w:rPr>
                <w:rFonts w:ascii="Times New Roman" w:hAnsi="Times New Roman"/>
                <w:bCs/>
                <w:color w:val="000000" w:themeColor="text1"/>
                <w:sz w:val="20"/>
                <w:szCs w:val="20"/>
                <w:lang w:eastAsia="ru-RU"/>
              </w:rPr>
            </w:pPr>
            <w:r w:rsidRPr="00337216">
              <w:rPr>
                <w:rFonts w:ascii="Times New Roman" w:hAnsi="Times New Roman"/>
                <w:bCs/>
                <w:color w:val="000000" w:themeColor="text1"/>
                <w:sz w:val="20"/>
                <w:szCs w:val="20"/>
                <w:lang w:eastAsia="ru-RU"/>
              </w:rPr>
              <w:t>K522E</w:t>
            </w:r>
          </w:p>
          <w:p w14:paraId="2E47A3D7" w14:textId="77777777" w:rsidR="00D41138" w:rsidRPr="00337216" w:rsidRDefault="00D41138">
            <w:pPr>
              <w:pStyle w:val="Brdtekst"/>
              <w:kinsoku w:val="0"/>
              <w:overflowPunct w:val="0"/>
              <w:ind w:left="57"/>
              <w:rPr>
                <w:rFonts w:ascii="Times New Roman" w:hAnsi="Times New Roman"/>
                <w:bCs/>
                <w:color w:val="000000" w:themeColor="text1"/>
                <w:sz w:val="20"/>
                <w:szCs w:val="20"/>
                <w:lang w:eastAsia="ru-RU"/>
              </w:rPr>
            </w:pPr>
            <w:r w:rsidRPr="00337216">
              <w:rPr>
                <w:rFonts w:ascii="Times New Roman" w:hAnsi="Times New Roman"/>
                <w:bCs/>
                <w:color w:val="000000" w:themeColor="text1"/>
                <w:sz w:val="20"/>
                <w:szCs w:val="20"/>
                <w:lang w:eastAsia="ru-RU"/>
              </w:rPr>
              <w:t>K522Q</w:t>
            </w:r>
          </w:p>
          <w:p w14:paraId="0D65395D" w14:textId="77777777" w:rsidR="00D41138" w:rsidRPr="00337216" w:rsidRDefault="00D41138">
            <w:pPr>
              <w:pStyle w:val="Brdtekst"/>
              <w:kinsoku w:val="0"/>
              <w:overflowPunct w:val="0"/>
              <w:ind w:left="57"/>
              <w:rPr>
                <w:rFonts w:ascii="Times New Roman" w:hAnsi="Times New Roman"/>
                <w:bCs/>
                <w:color w:val="000000" w:themeColor="text1"/>
                <w:sz w:val="20"/>
                <w:szCs w:val="20"/>
                <w:lang w:eastAsia="ru-RU"/>
              </w:rPr>
            </w:pPr>
            <w:r w:rsidRPr="00337216">
              <w:rPr>
                <w:rFonts w:ascii="Times New Roman" w:hAnsi="Times New Roman"/>
                <w:bCs/>
                <w:color w:val="000000" w:themeColor="text1"/>
                <w:sz w:val="20"/>
                <w:szCs w:val="20"/>
                <w:lang w:eastAsia="ru-RU"/>
              </w:rPr>
              <w:t>K951E</w:t>
            </w:r>
          </w:p>
          <w:p w14:paraId="7F56587B" w14:textId="77777777" w:rsidR="00D41138" w:rsidRPr="00337216" w:rsidRDefault="00D41138">
            <w:pPr>
              <w:pStyle w:val="Brdtekst"/>
              <w:kinsoku w:val="0"/>
              <w:overflowPunct w:val="0"/>
              <w:ind w:left="57"/>
              <w:rPr>
                <w:rFonts w:ascii="Times New Roman" w:hAnsi="Times New Roman"/>
                <w:bCs/>
                <w:color w:val="000000" w:themeColor="text1"/>
                <w:sz w:val="20"/>
                <w:szCs w:val="20"/>
                <w:lang w:val="en-US" w:eastAsia="ru-RU"/>
              </w:rPr>
            </w:pPr>
            <w:r w:rsidRPr="00337216">
              <w:rPr>
                <w:rFonts w:ascii="Times New Roman" w:hAnsi="Times New Roman"/>
                <w:bCs/>
                <w:color w:val="000000" w:themeColor="text1"/>
                <w:sz w:val="20"/>
                <w:szCs w:val="20"/>
                <w:lang w:val="en-US" w:eastAsia="ru-RU"/>
              </w:rPr>
              <w:t>K1060T</w:t>
            </w:r>
          </w:p>
          <w:p w14:paraId="2E8D73A0" w14:textId="77777777" w:rsidR="00D41138" w:rsidRPr="00337216" w:rsidRDefault="00D41138">
            <w:pPr>
              <w:pStyle w:val="Brdtekst"/>
              <w:kinsoku w:val="0"/>
              <w:overflowPunct w:val="0"/>
              <w:ind w:left="57"/>
              <w:rPr>
                <w:rFonts w:ascii="Times New Roman" w:hAnsi="Times New Roman"/>
                <w:bCs/>
                <w:color w:val="000000" w:themeColor="text1"/>
                <w:sz w:val="20"/>
                <w:szCs w:val="20"/>
                <w:lang w:val="en-US" w:eastAsia="ru-RU"/>
              </w:rPr>
            </w:pPr>
            <w:r w:rsidRPr="00337216">
              <w:rPr>
                <w:rFonts w:ascii="Times New Roman" w:hAnsi="Times New Roman"/>
                <w:bCs/>
                <w:color w:val="000000" w:themeColor="text1"/>
                <w:sz w:val="20"/>
                <w:szCs w:val="20"/>
                <w:lang w:val="en-US" w:eastAsia="ru-RU"/>
              </w:rPr>
              <w:t>L15P</w:t>
            </w:r>
          </w:p>
          <w:p w14:paraId="03998E3B" w14:textId="77777777" w:rsidR="00D41138" w:rsidRPr="00337216" w:rsidRDefault="00D41138">
            <w:pPr>
              <w:pStyle w:val="Brdtekst"/>
              <w:kinsoku w:val="0"/>
              <w:overflowPunct w:val="0"/>
              <w:ind w:left="57"/>
              <w:rPr>
                <w:rFonts w:ascii="Times New Roman" w:hAnsi="Times New Roman"/>
                <w:bCs/>
                <w:color w:val="000000" w:themeColor="text1"/>
                <w:sz w:val="20"/>
                <w:szCs w:val="20"/>
                <w:lang w:val="en-US" w:eastAsia="ru-RU"/>
              </w:rPr>
            </w:pPr>
            <w:r w:rsidRPr="00337216">
              <w:rPr>
                <w:rFonts w:ascii="Times New Roman" w:hAnsi="Times New Roman"/>
                <w:bCs/>
                <w:color w:val="000000" w:themeColor="text1"/>
                <w:sz w:val="20"/>
                <w:szCs w:val="20"/>
                <w:lang w:val="en-US" w:eastAsia="ru-RU"/>
              </w:rPr>
              <w:t>L15</w:t>
            </w:r>
            <w:proofErr w:type="gramStart"/>
            <w:r w:rsidRPr="00337216">
              <w:rPr>
                <w:rFonts w:ascii="Times New Roman" w:hAnsi="Times New Roman"/>
                <w:bCs/>
                <w:color w:val="000000" w:themeColor="text1"/>
                <w:sz w:val="20"/>
                <w:szCs w:val="20"/>
                <w:lang w:val="en-US" w:eastAsia="ru-RU"/>
              </w:rPr>
              <w:t>P;L</w:t>
            </w:r>
            <w:proofErr w:type="gramEnd"/>
            <w:r w:rsidRPr="00337216">
              <w:rPr>
                <w:rFonts w:ascii="Times New Roman" w:hAnsi="Times New Roman"/>
                <w:bCs/>
                <w:color w:val="000000" w:themeColor="text1"/>
                <w:sz w:val="20"/>
                <w:szCs w:val="20"/>
                <w:lang w:val="en-US" w:eastAsia="ru-RU"/>
              </w:rPr>
              <w:t>1253F‡</w:t>
            </w:r>
          </w:p>
          <w:p w14:paraId="34F21D64" w14:textId="77777777" w:rsidR="00D41138" w:rsidRPr="00337216" w:rsidRDefault="00D41138">
            <w:pPr>
              <w:pStyle w:val="Brdtekst"/>
              <w:kinsoku w:val="0"/>
              <w:overflowPunct w:val="0"/>
              <w:ind w:left="57"/>
              <w:rPr>
                <w:rFonts w:ascii="Times New Roman" w:hAnsi="Times New Roman"/>
                <w:bCs/>
                <w:color w:val="000000" w:themeColor="text1"/>
                <w:sz w:val="20"/>
                <w:szCs w:val="20"/>
                <w:lang w:val="en-US" w:eastAsia="ru-RU"/>
              </w:rPr>
            </w:pPr>
            <w:r w:rsidRPr="00337216">
              <w:rPr>
                <w:rFonts w:ascii="Times New Roman" w:hAnsi="Times New Roman"/>
                <w:bCs/>
                <w:color w:val="000000" w:themeColor="text1"/>
                <w:sz w:val="20"/>
                <w:szCs w:val="20"/>
                <w:lang w:val="en-US" w:eastAsia="ru-RU"/>
              </w:rPr>
              <w:t>L32P</w:t>
            </w:r>
          </w:p>
          <w:p w14:paraId="475E4265" w14:textId="77777777" w:rsidR="00D41138" w:rsidRPr="00337216" w:rsidRDefault="00D41138">
            <w:pPr>
              <w:pStyle w:val="Brdtekst"/>
              <w:kinsoku w:val="0"/>
              <w:overflowPunct w:val="0"/>
              <w:ind w:left="57"/>
              <w:rPr>
                <w:rFonts w:ascii="Times New Roman" w:hAnsi="Times New Roman"/>
                <w:bCs/>
                <w:color w:val="000000" w:themeColor="text1"/>
                <w:sz w:val="20"/>
                <w:szCs w:val="20"/>
                <w:lang w:val="en-US" w:eastAsia="ru-RU"/>
              </w:rPr>
            </w:pPr>
            <w:r w:rsidRPr="00337216">
              <w:rPr>
                <w:rFonts w:ascii="Times New Roman" w:hAnsi="Times New Roman"/>
                <w:bCs/>
                <w:color w:val="000000" w:themeColor="text1"/>
                <w:sz w:val="20"/>
                <w:szCs w:val="20"/>
                <w:lang w:val="en-US" w:eastAsia="ru-RU"/>
              </w:rPr>
              <w:t>L88S</w:t>
            </w:r>
          </w:p>
          <w:p w14:paraId="0625F7F5" w14:textId="77777777" w:rsidR="00D41138" w:rsidRPr="00337216" w:rsidRDefault="00D41138">
            <w:pPr>
              <w:pStyle w:val="Brdtekst"/>
              <w:kinsoku w:val="0"/>
              <w:overflowPunct w:val="0"/>
              <w:ind w:left="57"/>
              <w:rPr>
                <w:rFonts w:ascii="Times New Roman" w:hAnsi="Times New Roman"/>
                <w:bCs/>
                <w:color w:val="000000" w:themeColor="text1"/>
                <w:sz w:val="20"/>
                <w:szCs w:val="20"/>
                <w:lang w:val="en-US" w:eastAsia="ru-RU"/>
              </w:rPr>
            </w:pPr>
            <w:r w:rsidRPr="00337216">
              <w:rPr>
                <w:rFonts w:ascii="Times New Roman" w:hAnsi="Times New Roman"/>
                <w:bCs/>
                <w:color w:val="000000" w:themeColor="text1"/>
                <w:sz w:val="20"/>
                <w:szCs w:val="20"/>
                <w:lang w:val="en-US" w:eastAsia="ru-RU"/>
              </w:rPr>
              <w:t>L102</w:t>
            </w:r>
            <w:proofErr w:type="gramStart"/>
            <w:r w:rsidRPr="00337216">
              <w:rPr>
                <w:rFonts w:ascii="Times New Roman" w:hAnsi="Times New Roman"/>
                <w:bCs/>
                <w:color w:val="000000" w:themeColor="text1"/>
                <w:sz w:val="20"/>
                <w:szCs w:val="20"/>
                <w:lang w:val="en-US" w:eastAsia="ru-RU"/>
              </w:rPr>
              <w:t>R;F</w:t>
            </w:r>
            <w:proofErr w:type="gramEnd"/>
            <w:r w:rsidRPr="00337216">
              <w:rPr>
                <w:rFonts w:ascii="Times New Roman" w:hAnsi="Times New Roman"/>
                <w:bCs/>
                <w:color w:val="000000" w:themeColor="text1"/>
                <w:sz w:val="20"/>
                <w:szCs w:val="20"/>
                <w:lang w:val="en-US" w:eastAsia="ru-RU"/>
              </w:rPr>
              <w:t>1016S‡</w:t>
            </w:r>
          </w:p>
          <w:p w14:paraId="79A62E9E" w14:textId="77777777" w:rsidR="00D41138" w:rsidRPr="00337216" w:rsidRDefault="00D41138">
            <w:pPr>
              <w:pStyle w:val="Brdtekst"/>
              <w:kinsoku w:val="0"/>
              <w:overflowPunct w:val="0"/>
              <w:ind w:left="57"/>
              <w:rPr>
                <w:rFonts w:ascii="Times New Roman" w:hAnsi="Times New Roman"/>
                <w:bCs/>
                <w:color w:val="000000" w:themeColor="text1"/>
                <w:sz w:val="20"/>
                <w:szCs w:val="20"/>
                <w:lang w:val="en-US" w:eastAsia="ru-RU"/>
              </w:rPr>
            </w:pPr>
            <w:r w:rsidRPr="00337216">
              <w:rPr>
                <w:rFonts w:ascii="Times New Roman" w:hAnsi="Times New Roman"/>
                <w:bCs/>
                <w:color w:val="000000" w:themeColor="text1"/>
                <w:sz w:val="20"/>
                <w:szCs w:val="20"/>
                <w:lang w:val="en-US" w:eastAsia="ru-RU"/>
              </w:rPr>
              <w:t>L137P</w:t>
            </w:r>
          </w:p>
          <w:p w14:paraId="77576193" w14:textId="77777777" w:rsidR="00D41138" w:rsidRPr="00337216" w:rsidRDefault="00D41138">
            <w:pPr>
              <w:pStyle w:val="Brdtekst"/>
              <w:kinsoku w:val="0"/>
              <w:overflowPunct w:val="0"/>
              <w:ind w:left="57"/>
              <w:rPr>
                <w:rFonts w:ascii="Times New Roman" w:hAnsi="Times New Roman"/>
                <w:bCs/>
                <w:color w:val="000000" w:themeColor="text1"/>
                <w:sz w:val="20"/>
                <w:szCs w:val="20"/>
                <w:lang w:val="en-US" w:eastAsia="ru-RU"/>
              </w:rPr>
            </w:pPr>
            <w:r w:rsidRPr="00337216">
              <w:rPr>
                <w:rFonts w:ascii="Times New Roman" w:hAnsi="Times New Roman"/>
                <w:bCs/>
                <w:color w:val="000000" w:themeColor="text1"/>
                <w:sz w:val="20"/>
                <w:szCs w:val="20"/>
                <w:lang w:val="en-US" w:eastAsia="ru-RU"/>
              </w:rPr>
              <w:t>L159S</w:t>
            </w:r>
          </w:p>
          <w:p w14:paraId="6E47401B" w14:textId="77777777" w:rsidR="00D41138" w:rsidRPr="00337216" w:rsidRDefault="00D41138">
            <w:pPr>
              <w:pStyle w:val="Brdtekst"/>
              <w:kinsoku w:val="0"/>
              <w:overflowPunct w:val="0"/>
              <w:ind w:left="57"/>
              <w:rPr>
                <w:rFonts w:ascii="Times New Roman" w:hAnsi="Times New Roman"/>
                <w:bCs/>
                <w:color w:val="000000" w:themeColor="text1"/>
                <w:sz w:val="20"/>
                <w:szCs w:val="20"/>
                <w:lang w:val="en-US" w:eastAsia="ru-RU"/>
              </w:rPr>
            </w:pPr>
            <w:r w:rsidRPr="00337216">
              <w:rPr>
                <w:rFonts w:ascii="Times New Roman" w:hAnsi="Times New Roman"/>
                <w:bCs/>
                <w:color w:val="000000" w:themeColor="text1"/>
                <w:sz w:val="20"/>
                <w:szCs w:val="20"/>
                <w:lang w:val="en-US" w:eastAsia="ru-RU"/>
              </w:rPr>
              <w:t>L165S</w:t>
            </w:r>
          </w:p>
          <w:p w14:paraId="3E7347D1" w14:textId="77777777" w:rsidR="00D41138" w:rsidRPr="00337216" w:rsidRDefault="00D41138">
            <w:pPr>
              <w:pStyle w:val="Brdtekst"/>
              <w:kinsoku w:val="0"/>
              <w:overflowPunct w:val="0"/>
              <w:ind w:left="57"/>
              <w:rPr>
                <w:rFonts w:ascii="Times New Roman" w:hAnsi="Times New Roman"/>
                <w:bCs/>
                <w:color w:val="000000" w:themeColor="text1"/>
                <w:sz w:val="20"/>
                <w:szCs w:val="20"/>
                <w:lang w:val="en-US" w:eastAsia="ru-RU"/>
              </w:rPr>
            </w:pPr>
            <w:r w:rsidRPr="00337216">
              <w:rPr>
                <w:rFonts w:ascii="Times New Roman" w:hAnsi="Times New Roman"/>
                <w:bCs/>
                <w:color w:val="000000" w:themeColor="text1"/>
                <w:sz w:val="20"/>
                <w:szCs w:val="20"/>
                <w:lang w:val="en-US" w:eastAsia="ru-RU"/>
              </w:rPr>
              <w:t>L167R</w:t>
            </w:r>
          </w:p>
          <w:p w14:paraId="6796E814" w14:textId="77777777" w:rsidR="00D41138" w:rsidRPr="00337216" w:rsidRDefault="00D41138">
            <w:pPr>
              <w:pStyle w:val="Brdtekst"/>
              <w:kinsoku w:val="0"/>
              <w:overflowPunct w:val="0"/>
              <w:ind w:left="57"/>
              <w:rPr>
                <w:rFonts w:ascii="Times New Roman" w:hAnsi="Times New Roman"/>
                <w:bCs/>
                <w:color w:val="000000" w:themeColor="text1"/>
                <w:sz w:val="20"/>
                <w:szCs w:val="20"/>
                <w:lang w:val="en-US" w:eastAsia="ru-RU"/>
              </w:rPr>
            </w:pPr>
            <w:r w:rsidRPr="00337216">
              <w:rPr>
                <w:rFonts w:ascii="Times New Roman" w:hAnsi="Times New Roman"/>
                <w:bCs/>
                <w:color w:val="000000" w:themeColor="text1"/>
                <w:sz w:val="20"/>
                <w:szCs w:val="20"/>
                <w:lang w:val="en-US" w:eastAsia="ru-RU"/>
              </w:rPr>
              <w:t>L206W*†</w:t>
            </w:r>
          </w:p>
          <w:p w14:paraId="2352283A" w14:textId="77777777" w:rsidR="00D41138" w:rsidRPr="00337216" w:rsidRDefault="00D41138">
            <w:pPr>
              <w:pStyle w:val="Brdtekst"/>
              <w:kinsoku w:val="0"/>
              <w:overflowPunct w:val="0"/>
              <w:ind w:left="57"/>
              <w:rPr>
                <w:rFonts w:ascii="Times New Roman" w:hAnsi="Times New Roman"/>
                <w:bCs/>
                <w:color w:val="000000" w:themeColor="text1"/>
                <w:sz w:val="20"/>
                <w:szCs w:val="20"/>
                <w:lang w:val="en-US" w:eastAsia="ru-RU"/>
              </w:rPr>
            </w:pPr>
            <w:r w:rsidRPr="00337216">
              <w:rPr>
                <w:rFonts w:ascii="Times New Roman" w:hAnsi="Times New Roman"/>
                <w:bCs/>
                <w:color w:val="000000" w:themeColor="text1"/>
                <w:sz w:val="20"/>
                <w:szCs w:val="20"/>
                <w:lang w:val="en-US" w:eastAsia="ru-RU"/>
              </w:rPr>
              <w:t>L210P</w:t>
            </w:r>
          </w:p>
          <w:p w14:paraId="21DDEE32" w14:textId="77777777" w:rsidR="00D41138" w:rsidRPr="00337216" w:rsidRDefault="00D41138">
            <w:pPr>
              <w:pStyle w:val="Brdtekst"/>
              <w:kinsoku w:val="0"/>
              <w:overflowPunct w:val="0"/>
              <w:ind w:left="57"/>
              <w:rPr>
                <w:rFonts w:ascii="Times New Roman" w:hAnsi="Times New Roman"/>
                <w:bCs/>
                <w:color w:val="000000" w:themeColor="text1"/>
                <w:sz w:val="20"/>
                <w:szCs w:val="20"/>
                <w:lang w:val="en-US" w:eastAsia="ru-RU"/>
              </w:rPr>
            </w:pPr>
            <w:r w:rsidRPr="00337216">
              <w:rPr>
                <w:rFonts w:ascii="Times New Roman" w:hAnsi="Times New Roman"/>
                <w:bCs/>
                <w:color w:val="000000" w:themeColor="text1"/>
                <w:sz w:val="20"/>
                <w:szCs w:val="20"/>
                <w:lang w:val="en-US" w:eastAsia="ru-RU"/>
              </w:rPr>
              <w:t>L293P</w:t>
            </w:r>
          </w:p>
          <w:p w14:paraId="5A07C5AF" w14:textId="77777777" w:rsidR="00D41138" w:rsidRPr="00337216" w:rsidRDefault="00D41138">
            <w:pPr>
              <w:pStyle w:val="Brdtekst"/>
              <w:kinsoku w:val="0"/>
              <w:overflowPunct w:val="0"/>
              <w:ind w:left="57"/>
              <w:rPr>
                <w:rFonts w:ascii="Times New Roman" w:hAnsi="Times New Roman"/>
                <w:bCs/>
                <w:color w:val="000000" w:themeColor="text1"/>
                <w:sz w:val="20"/>
                <w:szCs w:val="20"/>
                <w:lang w:val="en-US" w:eastAsia="ru-RU"/>
              </w:rPr>
            </w:pPr>
            <w:r w:rsidRPr="00337216">
              <w:rPr>
                <w:rFonts w:ascii="Times New Roman" w:hAnsi="Times New Roman"/>
                <w:bCs/>
                <w:color w:val="000000" w:themeColor="text1"/>
                <w:sz w:val="20"/>
                <w:szCs w:val="20"/>
                <w:lang w:val="en-US" w:eastAsia="ru-RU"/>
              </w:rPr>
              <w:t>L327P</w:t>
            </w:r>
          </w:p>
          <w:p w14:paraId="7737BC63" w14:textId="77777777" w:rsidR="00D41138" w:rsidRPr="00337216" w:rsidRDefault="00D41138">
            <w:pPr>
              <w:pStyle w:val="Brdtekst"/>
              <w:kinsoku w:val="0"/>
              <w:overflowPunct w:val="0"/>
              <w:ind w:left="57"/>
              <w:rPr>
                <w:rFonts w:ascii="Times New Roman" w:hAnsi="Times New Roman"/>
                <w:bCs/>
                <w:color w:val="000000" w:themeColor="text1"/>
                <w:sz w:val="20"/>
                <w:szCs w:val="20"/>
                <w:lang w:val="en-US" w:eastAsia="ru-RU"/>
              </w:rPr>
            </w:pPr>
            <w:r w:rsidRPr="00337216">
              <w:rPr>
                <w:rFonts w:ascii="Times New Roman" w:hAnsi="Times New Roman"/>
                <w:bCs/>
                <w:color w:val="000000" w:themeColor="text1"/>
                <w:sz w:val="20"/>
                <w:szCs w:val="20"/>
                <w:lang w:val="en-US" w:eastAsia="ru-RU"/>
              </w:rPr>
              <w:t>L333F</w:t>
            </w:r>
          </w:p>
          <w:p w14:paraId="30431ECC" w14:textId="77777777" w:rsidR="00D41138" w:rsidRPr="00337216" w:rsidRDefault="00D41138">
            <w:pPr>
              <w:pStyle w:val="Brdtekst"/>
              <w:kinsoku w:val="0"/>
              <w:overflowPunct w:val="0"/>
              <w:ind w:left="57"/>
              <w:rPr>
                <w:rFonts w:ascii="Times New Roman" w:hAnsi="Times New Roman"/>
                <w:bCs/>
                <w:color w:val="000000" w:themeColor="text1"/>
                <w:sz w:val="20"/>
                <w:szCs w:val="20"/>
                <w:lang w:val="en-US" w:eastAsia="ru-RU"/>
              </w:rPr>
            </w:pPr>
            <w:r w:rsidRPr="00337216">
              <w:rPr>
                <w:rFonts w:ascii="Times New Roman" w:hAnsi="Times New Roman"/>
                <w:bCs/>
                <w:color w:val="000000" w:themeColor="text1"/>
                <w:sz w:val="20"/>
                <w:szCs w:val="20"/>
                <w:lang w:val="en-US" w:eastAsia="ru-RU"/>
              </w:rPr>
              <w:t>L333H</w:t>
            </w:r>
          </w:p>
          <w:p w14:paraId="1A014344" w14:textId="77777777" w:rsidR="00D41138" w:rsidRPr="00337216" w:rsidRDefault="00D41138">
            <w:pPr>
              <w:pStyle w:val="Brdtekst"/>
              <w:kinsoku w:val="0"/>
              <w:overflowPunct w:val="0"/>
              <w:ind w:left="57"/>
              <w:rPr>
                <w:rFonts w:ascii="Times New Roman" w:hAnsi="Times New Roman"/>
                <w:bCs/>
                <w:color w:val="000000" w:themeColor="text1"/>
                <w:sz w:val="20"/>
                <w:szCs w:val="20"/>
                <w:lang w:val="en-US" w:eastAsia="ru-RU"/>
              </w:rPr>
            </w:pPr>
            <w:r w:rsidRPr="00337216">
              <w:rPr>
                <w:rFonts w:ascii="Times New Roman" w:hAnsi="Times New Roman"/>
                <w:bCs/>
                <w:color w:val="000000" w:themeColor="text1"/>
                <w:sz w:val="20"/>
                <w:szCs w:val="20"/>
                <w:lang w:val="en-US" w:eastAsia="ru-RU"/>
              </w:rPr>
              <w:t>L346P</w:t>
            </w:r>
          </w:p>
          <w:p w14:paraId="3D7E424C" w14:textId="77777777" w:rsidR="00D41138" w:rsidRPr="00337216" w:rsidRDefault="00D41138">
            <w:pPr>
              <w:pStyle w:val="Brdtekst"/>
              <w:kinsoku w:val="0"/>
              <w:overflowPunct w:val="0"/>
              <w:ind w:left="57"/>
              <w:rPr>
                <w:rFonts w:ascii="Times New Roman" w:hAnsi="Times New Roman"/>
                <w:bCs/>
                <w:color w:val="000000" w:themeColor="text1"/>
                <w:sz w:val="20"/>
                <w:szCs w:val="20"/>
                <w:lang w:val="en-US" w:eastAsia="ru-RU"/>
              </w:rPr>
            </w:pPr>
            <w:r w:rsidRPr="00337216">
              <w:rPr>
                <w:rFonts w:ascii="Times New Roman" w:hAnsi="Times New Roman"/>
                <w:bCs/>
                <w:color w:val="000000" w:themeColor="text1"/>
                <w:sz w:val="20"/>
                <w:szCs w:val="20"/>
                <w:lang w:val="en-US" w:eastAsia="ru-RU"/>
              </w:rPr>
              <w:t>L441P</w:t>
            </w:r>
          </w:p>
          <w:p w14:paraId="2FC23919" w14:textId="77777777" w:rsidR="00D41138" w:rsidRPr="00337216" w:rsidRDefault="00D41138">
            <w:pPr>
              <w:pStyle w:val="Brdtekst"/>
              <w:kinsoku w:val="0"/>
              <w:overflowPunct w:val="0"/>
              <w:ind w:left="57"/>
              <w:rPr>
                <w:rFonts w:ascii="Times New Roman" w:hAnsi="Times New Roman"/>
                <w:bCs/>
                <w:color w:val="000000" w:themeColor="text1"/>
                <w:sz w:val="20"/>
                <w:szCs w:val="20"/>
                <w:lang w:val="en-US" w:eastAsia="ru-RU"/>
              </w:rPr>
            </w:pPr>
            <w:r w:rsidRPr="00337216">
              <w:rPr>
                <w:rFonts w:ascii="Times New Roman" w:hAnsi="Times New Roman"/>
                <w:bCs/>
                <w:color w:val="000000" w:themeColor="text1"/>
                <w:sz w:val="20"/>
                <w:szCs w:val="20"/>
                <w:lang w:val="en-US" w:eastAsia="ru-RU"/>
              </w:rPr>
              <w:t>L453S</w:t>
            </w:r>
          </w:p>
          <w:p w14:paraId="4915459B" w14:textId="77777777" w:rsidR="00D41138" w:rsidRPr="00337216" w:rsidRDefault="00D41138">
            <w:pPr>
              <w:pStyle w:val="Brdtekst"/>
              <w:kinsoku w:val="0"/>
              <w:overflowPunct w:val="0"/>
              <w:ind w:left="57"/>
              <w:rPr>
                <w:rFonts w:ascii="Times New Roman" w:hAnsi="Times New Roman"/>
                <w:bCs/>
                <w:color w:val="000000" w:themeColor="text1"/>
                <w:sz w:val="20"/>
                <w:szCs w:val="20"/>
                <w:lang w:val="en-US" w:eastAsia="ru-RU"/>
              </w:rPr>
            </w:pPr>
            <w:r w:rsidRPr="00337216">
              <w:rPr>
                <w:rFonts w:ascii="Times New Roman" w:hAnsi="Times New Roman"/>
                <w:bCs/>
                <w:color w:val="000000" w:themeColor="text1"/>
                <w:sz w:val="20"/>
                <w:szCs w:val="20"/>
                <w:lang w:val="en-US" w:eastAsia="ru-RU"/>
              </w:rPr>
              <w:t>L467F</w:t>
            </w:r>
          </w:p>
          <w:p w14:paraId="501C16C3" w14:textId="77777777" w:rsidR="00D41138" w:rsidRPr="00337216" w:rsidRDefault="00D41138">
            <w:pPr>
              <w:pStyle w:val="Brdtekst"/>
              <w:kinsoku w:val="0"/>
              <w:overflowPunct w:val="0"/>
              <w:ind w:left="57"/>
              <w:rPr>
                <w:rFonts w:ascii="Times New Roman" w:hAnsi="Times New Roman"/>
                <w:bCs/>
                <w:color w:val="000000" w:themeColor="text1"/>
                <w:sz w:val="20"/>
                <w:szCs w:val="20"/>
                <w:lang w:val="en-US" w:eastAsia="ru-RU"/>
              </w:rPr>
            </w:pPr>
            <w:r w:rsidRPr="00337216">
              <w:rPr>
                <w:rFonts w:ascii="Times New Roman" w:hAnsi="Times New Roman"/>
                <w:bCs/>
                <w:color w:val="000000" w:themeColor="text1"/>
                <w:sz w:val="20"/>
                <w:szCs w:val="20"/>
                <w:lang w:val="en-US" w:eastAsia="ru-RU"/>
              </w:rPr>
              <w:t>L558F</w:t>
            </w:r>
          </w:p>
          <w:p w14:paraId="60A20D4E" w14:textId="77777777" w:rsidR="00D41138" w:rsidRPr="00337216" w:rsidRDefault="00D41138">
            <w:pPr>
              <w:pStyle w:val="Brdtekst"/>
              <w:kinsoku w:val="0"/>
              <w:overflowPunct w:val="0"/>
              <w:ind w:left="57"/>
              <w:rPr>
                <w:rFonts w:ascii="Times New Roman" w:hAnsi="Times New Roman"/>
                <w:bCs/>
                <w:color w:val="000000" w:themeColor="text1"/>
                <w:sz w:val="20"/>
                <w:szCs w:val="20"/>
                <w:lang w:val="en-US" w:eastAsia="ru-RU"/>
              </w:rPr>
            </w:pPr>
            <w:r w:rsidRPr="00337216">
              <w:rPr>
                <w:rFonts w:ascii="Times New Roman" w:hAnsi="Times New Roman"/>
                <w:bCs/>
                <w:color w:val="000000" w:themeColor="text1"/>
                <w:sz w:val="20"/>
                <w:szCs w:val="20"/>
                <w:lang w:val="en-US" w:eastAsia="ru-RU"/>
              </w:rPr>
              <w:t>L619S</w:t>
            </w:r>
          </w:p>
          <w:p w14:paraId="43E55AB4" w14:textId="77777777" w:rsidR="00D41138" w:rsidRPr="00337216" w:rsidRDefault="00D41138">
            <w:pPr>
              <w:pStyle w:val="Brdtekst"/>
              <w:kinsoku w:val="0"/>
              <w:overflowPunct w:val="0"/>
              <w:ind w:left="57"/>
              <w:rPr>
                <w:rFonts w:ascii="Times New Roman" w:hAnsi="Times New Roman"/>
                <w:bCs/>
                <w:color w:val="000000" w:themeColor="text1"/>
                <w:sz w:val="20"/>
                <w:szCs w:val="20"/>
                <w:lang w:val="en-US" w:eastAsia="ru-RU"/>
              </w:rPr>
            </w:pPr>
            <w:r w:rsidRPr="00337216">
              <w:rPr>
                <w:rFonts w:ascii="Times New Roman" w:hAnsi="Times New Roman"/>
                <w:bCs/>
                <w:color w:val="000000" w:themeColor="text1"/>
                <w:sz w:val="20"/>
                <w:szCs w:val="20"/>
                <w:lang w:val="en-US" w:eastAsia="ru-RU"/>
              </w:rPr>
              <w:t>L633P</w:t>
            </w:r>
          </w:p>
          <w:p w14:paraId="50D57E69" w14:textId="77777777" w:rsidR="00D41138" w:rsidRPr="00337216" w:rsidRDefault="00D41138">
            <w:pPr>
              <w:pStyle w:val="Brdtekst"/>
              <w:kinsoku w:val="0"/>
              <w:overflowPunct w:val="0"/>
              <w:ind w:left="57"/>
              <w:rPr>
                <w:rFonts w:ascii="Times New Roman" w:hAnsi="Times New Roman"/>
                <w:bCs/>
                <w:color w:val="000000" w:themeColor="text1"/>
                <w:sz w:val="20"/>
                <w:szCs w:val="20"/>
                <w:lang w:val="en-US" w:eastAsia="ru-RU"/>
              </w:rPr>
            </w:pPr>
            <w:r w:rsidRPr="00337216">
              <w:rPr>
                <w:rFonts w:ascii="Times New Roman" w:hAnsi="Times New Roman"/>
                <w:bCs/>
                <w:color w:val="000000" w:themeColor="text1"/>
                <w:sz w:val="20"/>
                <w:szCs w:val="20"/>
                <w:lang w:val="en-US" w:eastAsia="ru-RU"/>
              </w:rPr>
              <w:t>L636P</w:t>
            </w:r>
          </w:p>
          <w:p w14:paraId="295F65E0" w14:textId="77777777" w:rsidR="00D41138" w:rsidRPr="00337216" w:rsidRDefault="00D41138">
            <w:pPr>
              <w:pStyle w:val="Brdtekst"/>
              <w:kinsoku w:val="0"/>
              <w:overflowPunct w:val="0"/>
              <w:ind w:left="57"/>
              <w:rPr>
                <w:rFonts w:ascii="Times New Roman" w:hAnsi="Times New Roman"/>
                <w:bCs/>
                <w:color w:val="000000" w:themeColor="text1"/>
                <w:sz w:val="20"/>
                <w:szCs w:val="20"/>
                <w:lang w:val="en-US" w:eastAsia="ru-RU"/>
              </w:rPr>
            </w:pPr>
            <w:r w:rsidRPr="00337216">
              <w:rPr>
                <w:rFonts w:ascii="Times New Roman" w:hAnsi="Times New Roman"/>
                <w:bCs/>
                <w:color w:val="000000" w:themeColor="text1"/>
                <w:sz w:val="20"/>
                <w:szCs w:val="20"/>
                <w:lang w:val="en-US" w:eastAsia="ru-RU"/>
              </w:rPr>
              <w:t>L927P</w:t>
            </w:r>
          </w:p>
          <w:p w14:paraId="4BD41326" w14:textId="77777777" w:rsidR="00D41138" w:rsidRPr="00337216" w:rsidRDefault="00D41138">
            <w:pPr>
              <w:pStyle w:val="Brdtekst"/>
              <w:kinsoku w:val="0"/>
              <w:overflowPunct w:val="0"/>
              <w:ind w:left="57"/>
              <w:rPr>
                <w:rFonts w:ascii="Times New Roman" w:hAnsi="Times New Roman"/>
                <w:bCs/>
                <w:color w:val="000000" w:themeColor="text1"/>
                <w:sz w:val="20"/>
                <w:szCs w:val="20"/>
                <w:lang w:val="en-US" w:eastAsia="ru-RU"/>
              </w:rPr>
            </w:pPr>
            <w:r w:rsidRPr="00337216">
              <w:rPr>
                <w:rFonts w:ascii="Times New Roman" w:hAnsi="Times New Roman"/>
                <w:bCs/>
                <w:color w:val="000000" w:themeColor="text1"/>
                <w:sz w:val="20"/>
                <w:szCs w:val="20"/>
                <w:lang w:val="en-US" w:eastAsia="ru-RU"/>
              </w:rPr>
              <w:lastRenderedPageBreak/>
              <w:t>L967</w:t>
            </w:r>
            <w:proofErr w:type="gramStart"/>
            <w:r w:rsidRPr="00337216">
              <w:rPr>
                <w:rFonts w:ascii="Times New Roman" w:hAnsi="Times New Roman"/>
                <w:bCs/>
                <w:color w:val="000000" w:themeColor="text1"/>
                <w:sz w:val="20"/>
                <w:szCs w:val="20"/>
                <w:lang w:val="en-US" w:eastAsia="ru-RU"/>
              </w:rPr>
              <w:t>F;L</w:t>
            </w:r>
            <w:proofErr w:type="gramEnd"/>
            <w:r w:rsidRPr="00337216">
              <w:rPr>
                <w:rFonts w:ascii="Times New Roman" w:hAnsi="Times New Roman"/>
                <w:bCs/>
                <w:color w:val="000000" w:themeColor="text1"/>
                <w:sz w:val="20"/>
                <w:szCs w:val="20"/>
                <w:lang w:val="en-US" w:eastAsia="ru-RU"/>
              </w:rPr>
              <w:t>1096R‡</w:t>
            </w:r>
          </w:p>
          <w:p w14:paraId="21EF6B4E" w14:textId="77777777" w:rsidR="00D41138" w:rsidRPr="00337216" w:rsidRDefault="00D41138">
            <w:pPr>
              <w:pStyle w:val="Brdtekst"/>
              <w:kinsoku w:val="0"/>
              <w:overflowPunct w:val="0"/>
              <w:ind w:left="57"/>
              <w:rPr>
                <w:rFonts w:ascii="Times New Roman" w:hAnsi="Times New Roman"/>
                <w:bCs/>
                <w:color w:val="000000" w:themeColor="text1"/>
                <w:sz w:val="20"/>
                <w:szCs w:val="20"/>
                <w:lang w:val="en-US" w:eastAsia="ru-RU"/>
              </w:rPr>
            </w:pPr>
            <w:r w:rsidRPr="00337216">
              <w:rPr>
                <w:rFonts w:ascii="Times New Roman" w:hAnsi="Times New Roman"/>
                <w:bCs/>
                <w:color w:val="000000" w:themeColor="text1"/>
                <w:sz w:val="20"/>
                <w:szCs w:val="20"/>
                <w:lang w:val="en-US" w:eastAsia="ru-RU"/>
              </w:rPr>
              <w:t>L973F</w:t>
            </w:r>
          </w:p>
          <w:p w14:paraId="78F44249" w14:textId="77777777" w:rsidR="00D41138" w:rsidRPr="00337216" w:rsidRDefault="00D41138">
            <w:pPr>
              <w:pStyle w:val="Brdtekst"/>
              <w:kinsoku w:val="0"/>
              <w:overflowPunct w:val="0"/>
              <w:ind w:left="57"/>
              <w:rPr>
                <w:rFonts w:ascii="Times New Roman" w:hAnsi="Times New Roman"/>
                <w:bCs/>
                <w:color w:val="000000" w:themeColor="text1"/>
                <w:sz w:val="20"/>
                <w:szCs w:val="20"/>
                <w:lang w:val="en-US" w:eastAsia="ru-RU"/>
              </w:rPr>
            </w:pPr>
            <w:r w:rsidRPr="00337216">
              <w:rPr>
                <w:rFonts w:ascii="Times New Roman" w:hAnsi="Times New Roman"/>
                <w:bCs/>
                <w:color w:val="000000" w:themeColor="text1"/>
                <w:sz w:val="20"/>
                <w:szCs w:val="20"/>
                <w:lang w:val="en-US" w:eastAsia="ru-RU"/>
              </w:rPr>
              <w:t>L1011S</w:t>
            </w:r>
          </w:p>
          <w:p w14:paraId="4D9FD824" w14:textId="77777777" w:rsidR="00D41138" w:rsidRPr="00337216" w:rsidRDefault="00D41138">
            <w:pPr>
              <w:pStyle w:val="Brdtekst"/>
              <w:kinsoku w:val="0"/>
              <w:overflowPunct w:val="0"/>
              <w:ind w:left="57"/>
              <w:rPr>
                <w:rFonts w:ascii="Times New Roman" w:hAnsi="Times New Roman"/>
                <w:bCs/>
                <w:color w:val="000000" w:themeColor="text1"/>
                <w:sz w:val="20"/>
                <w:szCs w:val="20"/>
                <w:lang w:val="en-US" w:eastAsia="ru-RU"/>
              </w:rPr>
            </w:pPr>
            <w:r w:rsidRPr="00337216">
              <w:rPr>
                <w:rFonts w:ascii="Times New Roman" w:hAnsi="Times New Roman"/>
                <w:bCs/>
                <w:color w:val="000000" w:themeColor="text1"/>
                <w:sz w:val="20"/>
                <w:szCs w:val="20"/>
                <w:lang w:val="en-US" w:eastAsia="ru-RU"/>
              </w:rPr>
              <w:t>L1065R</w:t>
            </w:r>
          </w:p>
          <w:p w14:paraId="0833AD08" w14:textId="77777777" w:rsidR="00D41138" w:rsidRPr="00337216" w:rsidRDefault="00D41138">
            <w:pPr>
              <w:pStyle w:val="Brdtekst"/>
              <w:kinsoku w:val="0"/>
              <w:overflowPunct w:val="0"/>
              <w:ind w:left="57"/>
              <w:rPr>
                <w:rFonts w:ascii="Times New Roman" w:hAnsi="Times New Roman"/>
                <w:bCs/>
                <w:color w:val="000000" w:themeColor="text1"/>
                <w:sz w:val="20"/>
                <w:szCs w:val="20"/>
                <w:lang w:val="en-US" w:eastAsia="ru-RU"/>
              </w:rPr>
            </w:pPr>
            <w:r w:rsidRPr="00337216">
              <w:rPr>
                <w:rFonts w:ascii="Times New Roman" w:hAnsi="Times New Roman"/>
                <w:bCs/>
                <w:color w:val="000000" w:themeColor="text1"/>
                <w:sz w:val="20"/>
                <w:szCs w:val="20"/>
                <w:lang w:val="en-US" w:eastAsia="ru-RU"/>
              </w:rPr>
              <w:t>L1077P*†</w:t>
            </w:r>
          </w:p>
          <w:p w14:paraId="4181B81D" w14:textId="77777777" w:rsidR="00D41138" w:rsidRPr="00337216" w:rsidRDefault="00D41138">
            <w:pPr>
              <w:pStyle w:val="Brdtekst"/>
              <w:kinsoku w:val="0"/>
              <w:overflowPunct w:val="0"/>
              <w:ind w:left="57"/>
              <w:rPr>
                <w:rFonts w:ascii="Times New Roman" w:hAnsi="Times New Roman"/>
                <w:bCs/>
                <w:color w:val="000000" w:themeColor="text1"/>
                <w:sz w:val="20"/>
                <w:szCs w:val="20"/>
                <w:lang w:val="en-US" w:eastAsia="ru-RU"/>
              </w:rPr>
            </w:pPr>
            <w:r w:rsidRPr="00337216">
              <w:rPr>
                <w:rFonts w:ascii="Times New Roman" w:hAnsi="Times New Roman"/>
                <w:bCs/>
                <w:color w:val="000000" w:themeColor="text1"/>
                <w:sz w:val="20"/>
                <w:szCs w:val="20"/>
                <w:lang w:val="en-US" w:eastAsia="ru-RU"/>
              </w:rPr>
              <w:t>L1227S</w:t>
            </w:r>
          </w:p>
          <w:p w14:paraId="288110D2" w14:textId="77777777" w:rsidR="00D41138" w:rsidRPr="00337216" w:rsidRDefault="00D41138">
            <w:pPr>
              <w:pStyle w:val="Brdtekst"/>
              <w:kinsoku w:val="0"/>
              <w:overflowPunct w:val="0"/>
              <w:ind w:left="57"/>
              <w:rPr>
                <w:rFonts w:ascii="Times New Roman" w:hAnsi="Times New Roman"/>
                <w:bCs/>
                <w:color w:val="000000" w:themeColor="text1"/>
                <w:sz w:val="20"/>
                <w:szCs w:val="20"/>
                <w:lang w:val="en-US" w:eastAsia="ru-RU"/>
              </w:rPr>
            </w:pPr>
            <w:r w:rsidRPr="00337216">
              <w:rPr>
                <w:rFonts w:ascii="Times New Roman" w:hAnsi="Times New Roman"/>
                <w:bCs/>
                <w:color w:val="000000" w:themeColor="text1"/>
                <w:sz w:val="20"/>
                <w:szCs w:val="20"/>
                <w:lang w:val="en-US" w:eastAsia="ru-RU"/>
              </w:rPr>
              <w:t>L1324P</w:t>
            </w:r>
          </w:p>
          <w:p w14:paraId="7A6F0B6C" w14:textId="77777777" w:rsidR="00D41138" w:rsidRPr="00337216" w:rsidRDefault="00D41138">
            <w:pPr>
              <w:pStyle w:val="Brdtekst"/>
              <w:kinsoku w:val="0"/>
              <w:overflowPunct w:val="0"/>
              <w:ind w:left="57"/>
              <w:rPr>
                <w:rFonts w:ascii="Times New Roman" w:hAnsi="Times New Roman"/>
                <w:bCs/>
                <w:color w:val="000000" w:themeColor="text1"/>
                <w:sz w:val="20"/>
                <w:szCs w:val="20"/>
                <w:lang w:val="en-US" w:eastAsia="ru-RU"/>
              </w:rPr>
            </w:pPr>
            <w:r w:rsidRPr="00337216">
              <w:rPr>
                <w:rFonts w:ascii="Times New Roman" w:hAnsi="Times New Roman"/>
                <w:bCs/>
                <w:color w:val="000000" w:themeColor="text1"/>
                <w:sz w:val="20"/>
                <w:szCs w:val="20"/>
                <w:lang w:val="en-US" w:eastAsia="ru-RU"/>
              </w:rPr>
              <w:t>L1335P</w:t>
            </w:r>
          </w:p>
          <w:p w14:paraId="111624D9" w14:textId="77777777" w:rsidR="00D41138" w:rsidRPr="00337216" w:rsidRDefault="00D41138">
            <w:pPr>
              <w:pStyle w:val="Brdtekst"/>
              <w:kinsoku w:val="0"/>
              <w:overflowPunct w:val="0"/>
              <w:ind w:left="57"/>
              <w:rPr>
                <w:rFonts w:ascii="Times New Roman" w:hAnsi="Times New Roman"/>
                <w:bCs/>
                <w:color w:val="000000" w:themeColor="text1"/>
                <w:sz w:val="20"/>
                <w:szCs w:val="20"/>
                <w:lang w:val="en-US" w:eastAsia="ru-RU"/>
              </w:rPr>
            </w:pPr>
            <w:r w:rsidRPr="00337216">
              <w:rPr>
                <w:rFonts w:ascii="Times New Roman" w:hAnsi="Times New Roman"/>
                <w:bCs/>
                <w:color w:val="000000" w:themeColor="text1"/>
                <w:sz w:val="20"/>
                <w:szCs w:val="20"/>
                <w:lang w:val="en-US" w:eastAsia="ru-RU"/>
              </w:rPr>
              <w:t>L1388P</w:t>
            </w:r>
          </w:p>
          <w:p w14:paraId="199060FE" w14:textId="77777777" w:rsidR="00D41138" w:rsidRPr="00337216" w:rsidRDefault="00D41138">
            <w:pPr>
              <w:pStyle w:val="Brdtekst"/>
              <w:kinsoku w:val="0"/>
              <w:overflowPunct w:val="0"/>
              <w:ind w:left="57"/>
              <w:rPr>
                <w:rFonts w:ascii="Times New Roman" w:hAnsi="Times New Roman"/>
                <w:bCs/>
                <w:color w:val="000000" w:themeColor="text1"/>
                <w:sz w:val="20"/>
                <w:szCs w:val="20"/>
                <w:lang w:eastAsia="ru-RU"/>
              </w:rPr>
            </w:pPr>
            <w:r w:rsidRPr="00337216">
              <w:rPr>
                <w:rFonts w:ascii="Times New Roman" w:hAnsi="Times New Roman"/>
                <w:bCs/>
                <w:color w:val="000000" w:themeColor="text1"/>
                <w:sz w:val="20"/>
                <w:szCs w:val="20"/>
                <w:lang w:eastAsia="ru-RU"/>
              </w:rPr>
              <w:t>L1480P</w:t>
            </w:r>
          </w:p>
          <w:p w14:paraId="52E5A0AD" w14:textId="77777777" w:rsidR="00D41138" w:rsidRPr="00337216" w:rsidRDefault="00D41138">
            <w:pPr>
              <w:pStyle w:val="Brdtekst"/>
              <w:kinsoku w:val="0"/>
              <w:overflowPunct w:val="0"/>
              <w:ind w:left="57"/>
              <w:rPr>
                <w:rFonts w:ascii="Times New Roman" w:hAnsi="Times New Roman"/>
                <w:bCs/>
                <w:color w:val="000000" w:themeColor="text1"/>
                <w:sz w:val="20"/>
                <w:szCs w:val="20"/>
                <w:lang w:eastAsia="ru-RU"/>
              </w:rPr>
            </w:pPr>
            <w:r w:rsidRPr="00337216">
              <w:rPr>
                <w:rFonts w:ascii="Times New Roman" w:hAnsi="Times New Roman"/>
                <w:bCs/>
                <w:color w:val="000000" w:themeColor="text1"/>
                <w:sz w:val="20"/>
                <w:szCs w:val="20"/>
                <w:lang w:eastAsia="ru-RU"/>
              </w:rPr>
              <w:t>M150K</w:t>
            </w:r>
          </w:p>
          <w:p w14:paraId="4E51F3B9" w14:textId="77777777" w:rsidR="00D41138" w:rsidRPr="00337216" w:rsidRDefault="00D41138">
            <w:pPr>
              <w:pStyle w:val="Brdtekst"/>
              <w:kinsoku w:val="0"/>
              <w:overflowPunct w:val="0"/>
              <w:ind w:left="57"/>
              <w:rPr>
                <w:rFonts w:ascii="Times New Roman" w:hAnsi="Times New Roman"/>
                <w:bCs/>
                <w:color w:val="000000" w:themeColor="text1"/>
                <w:sz w:val="20"/>
                <w:szCs w:val="20"/>
                <w:lang w:eastAsia="ru-RU"/>
              </w:rPr>
            </w:pPr>
            <w:r w:rsidRPr="00337216">
              <w:rPr>
                <w:rFonts w:ascii="Times New Roman" w:hAnsi="Times New Roman"/>
                <w:bCs/>
                <w:color w:val="000000" w:themeColor="text1"/>
                <w:sz w:val="20"/>
                <w:szCs w:val="20"/>
                <w:lang w:eastAsia="ru-RU"/>
              </w:rPr>
              <w:t>M150R</w:t>
            </w:r>
          </w:p>
          <w:p w14:paraId="38FFE91B" w14:textId="77777777" w:rsidR="00D41138" w:rsidRPr="00337216" w:rsidRDefault="00D41138">
            <w:pPr>
              <w:pStyle w:val="Brdtekst"/>
              <w:kinsoku w:val="0"/>
              <w:overflowPunct w:val="0"/>
              <w:ind w:left="57"/>
              <w:rPr>
                <w:rFonts w:ascii="Times New Roman" w:hAnsi="Times New Roman"/>
                <w:bCs/>
                <w:color w:val="000000" w:themeColor="text1"/>
                <w:sz w:val="20"/>
                <w:szCs w:val="20"/>
                <w:lang w:eastAsia="ru-RU"/>
              </w:rPr>
            </w:pPr>
            <w:r w:rsidRPr="00337216">
              <w:rPr>
                <w:rFonts w:ascii="Times New Roman" w:hAnsi="Times New Roman"/>
                <w:bCs/>
                <w:color w:val="000000" w:themeColor="text1"/>
                <w:sz w:val="20"/>
                <w:szCs w:val="20"/>
                <w:lang w:eastAsia="ru-RU"/>
              </w:rPr>
              <w:t>M152L</w:t>
            </w:r>
          </w:p>
          <w:p w14:paraId="4C9E9609" w14:textId="77777777" w:rsidR="00D41138" w:rsidRPr="00337216" w:rsidRDefault="00D41138">
            <w:pPr>
              <w:pStyle w:val="Brdtekst"/>
              <w:kinsoku w:val="0"/>
              <w:overflowPunct w:val="0"/>
              <w:ind w:left="57"/>
              <w:rPr>
                <w:rFonts w:ascii="Times New Roman" w:hAnsi="Times New Roman"/>
                <w:bCs/>
                <w:color w:val="000000" w:themeColor="text1"/>
                <w:sz w:val="20"/>
                <w:szCs w:val="20"/>
                <w:lang w:eastAsia="ru-RU"/>
              </w:rPr>
            </w:pPr>
            <w:r w:rsidRPr="00337216">
              <w:rPr>
                <w:rFonts w:ascii="Times New Roman" w:hAnsi="Times New Roman"/>
                <w:bCs/>
                <w:color w:val="000000" w:themeColor="text1"/>
                <w:sz w:val="20"/>
                <w:szCs w:val="20"/>
                <w:lang w:eastAsia="ru-RU"/>
              </w:rPr>
              <w:t>M152V</w:t>
            </w:r>
          </w:p>
          <w:p w14:paraId="7AEEC051" w14:textId="77777777" w:rsidR="00D41138" w:rsidRPr="00337216" w:rsidRDefault="00D41138">
            <w:pPr>
              <w:pStyle w:val="Brdtekst"/>
              <w:kinsoku w:val="0"/>
              <w:overflowPunct w:val="0"/>
              <w:ind w:left="57"/>
              <w:rPr>
                <w:rFonts w:ascii="Times New Roman" w:hAnsi="Times New Roman"/>
                <w:bCs/>
                <w:color w:val="000000" w:themeColor="text1"/>
                <w:sz w:val="20"/>
                <w:szCs w:val="20"/>
                <w:lang w:eastAsia="ru-RU"/>
              </w:rPr>
            </w:pPr>
            <w:r w:rsidRPr="00337216">
              <w:rPr>
                <w:rFonts w:ascii="Times New Roman" w:hAnsi="Times New Roman"/>
                <w:bCs/>
                <w:color w:val="000000" w:themeColor="text1"/>
                <w:sz w:val="20"/>
                <w:szCs w:val="20"/>
                <w:lang w:eastAsia="ru-RU"/>
              </w:rPr>
              <w:t>M265R</w:t>
            </w:r>
          </w:p>
          <w:p w14:paraId="3454D697" w14:textId="77777777" w:rsidR="00D41138" w:rsidRPr="00337216" w:rsidRDefault="00D41138">
            <w:pPr>
              <w:pStyle w:val="Brdtekst"/>
              <w:kinsoku w:val="0"/>
              <w:overflowPunct w:val="0"/>
              <w:ind w:left="57"/>
              <w:rPr>
                <w:rFonts w:ascii="Times New Roman" w:hAnsi="Times New Roman"/>
                <w:bCs/>
                <w:color w:val="000000" w:themeColor="text1"/>
                <w:sz w:val="20"/>
                <w:szCs w:val="20"/>
                <w:lang w:eastAsia="ru-RU"/>
              </w:rPr>
            </w:pPr>
            <w:r w:rsidRPr="00337216">
              <w:rPr>
                <w:rFonts w:ascii="Times New Roman" w:hAnsi="Times New Roman"/>
                <w:bCs/>
                <w:color w:val="000000" w:themeColor="text1"/>
                <w:sz w:val="20"/>
                <w:szCs w:val="20"/>
                <w:lang w:eastAsia="ru-RU"/>
              </w:rPr>
              <w:t>M348K</w:t>
            </w:r>
          </w:p>
          <w:p w14:paraId="35B93FBD" w14:textId="77777777" w:rsidR="00D41138" w:rsidRPr="00337216" w:rsidRDefault="00D41138">
            <w:pPr>
              <w:pStyle w:val="Brdtekst"/>
              <w:kinsoku w:val="0"/>
              <w:overflowPunct w:val="0"/>
              <w:ind w:left="57"/>
              <w:rPr>
                <w:rFonts w:ascii="Times New Roman" w:hAnsi="Times New Roman"/>
                <w:bCs/>
                <w:color w:val="000000" w:themeColor="text1"/>
                <w:sz w:val="20"/>
                <w:szCs w:val="20"/>
                <w:lang w:eastAsia="ru-RU"/>
              </w:rPr>
            </w:pPr>
            <w:r w:rsidRPr="00337216">
              <w:rPr>
                <w:rFonts w:ascii="Times New Roman" w:hAnsi="Times New Roman"/>
                <w:bCs/>
                <w:color w:val="000000" w:themeColor="text1"/>
                <w:sz w:val="20"/>
                <w:szCs w:val="20"/>
                <w:lang w:eastAsia="ru-RU"/>
              </w:rPr>
              <w:t>M394L</w:t>
            </w:r>
          </w:p>
          <w:p w14:paraId="1ECF0A2E" w14:textId="77777777" w:rsidR="00D41138" w:rsidRPr="00337216" w:rsidRDefault="00D41138">
            <w:pPr>
              <w:pStyle w:val="Brdtekst"/>
              <w:kinsoku w:val="0"/>
              <w:overflowPunct w:val="0"/>
              <w:ind w:left="57"/>
              <w:rPr>
                <w:rFonts w:ascii="Times New Roman" w:hAnsi="Times New Roman"/>
                <w:bCs/>
                <w:color w:val="000000" w:themeColor="text1"/>
                <w:sz w:val="20"/>
                <w:szCs w:val="20"/>
                <w:lang w:eastAsia="ru-RU"/>
              </w:rPr>
            </w:pPr>
            <w:r w:rsidRPr="00337216">
              <w:rPr>
                <w:rFonts w:ascii="Times New Roman" w:hAnsi="Times New Roman"/>
                <w:bCs/>
                <w:color w:val="000000" w:themeColor="text1"/>
                <w:sz w:val="20"/>
                <w:szCs w:val="20"/>
                <w:lang w:eastAsia="ru-RU"/>
              </w:rPr>
              <w:t>M469V</w:t>
            </w:r>
          </w:p>
          <w:p w14:paraId="07C65C5C" w14:textId="77777777" w:rsidR="00D41138" w:rsidRPr="00337216" w:rsidRDefault="00D41138">
            <w:pPr>
              <w:pStyle w:val="Brdtekst"/>
              <w:kinsoku w:val="0"/>
              <w:overflowPunct w:val="0"/>
              <w:ind w:left="57"/>
              <w:rPr>
                <w:rFonts w:ascii="Times New Roman" w:hAnsi="Times New Roman"/>
                <w:bCs/>
                <w:color w:val="000000" w:themeColor="text1"/>
                <w:sz w:val="20"/>
                <w:szCs w:val="20"/>
                <w:lang w:eastAsia="ru-RU"/>
              </w:rPr>
            </w:pPr>
            <w:r w:rsidRPr="00337216">
              <w:rPr>
                <w:rFonts w:ascii="Times New Roman" w:hAnsi="Times New Roman"/>
                <w:bCs/>
                <w:color w:val="000000" w:themeColor="text1"/>
                <w:sz w:val="20"/>
                <w:szCs w:val="20"/>
                <w:lang w:eastAsia="ru-RU"/>
              </w:rPr>
              <w:t>M498I</w:t>
            </w:r>
          </w:p>
          <w:p w14:paraId="5FD1DA23" w14:textId="77777777" w:rsidR="00D41138" w:rsidRPr="00337216" w:rsidRDefault="00D41138">
            <w:pPr>
              <w:pStyle w:val="Brdtekst"/>
              <w:kinsoku w:val="0"/>
              <w:overflowPunct w:val="0"/>
              <w:ind w:left="57"/>
              <w:rPr>
                <w:rFonts w:ascii="Times New Roman" w:hAnsi="Times New Roman"/>
                <w:bCs/>
                <w:color w:val="000000" w:themeColor="text1"/>
                <w:sz w:val="20"/>
                <w:szCs w:val="20"/>
                <w:lang w:eastAsia="ru-RU"/>
              </w:rPr>
            </w:pPr>
            <w:r w:rsidRPr="00337216">
              <w:rPr>
                <w:rFonts w:ascii="Times New Roman" w:hAnsi="Times New Roman"/>
                <w:bCs/>
                <w:color w:val="000000" w:themeColor="text1"/>
                <w:sz w:val="20"/>
                <w:szCs w:val="20"/>
                <w:lang w:eastAsia="ru-RU"/>
              </w:rPr>
              <w:t>M952I</w:t>
            </w:r>
          </w:p>
          <w:p w14:paraId="10AA4AB5" w14:textId="77777777" w:rsidR="00D41138" w:rsidRPr="00337216" w:rsidRDefault="00D41138">
            <w:pPr>
              <w:pStyle w:val="Brdtekst"/>
              <w:kinsoku w:val="0"/>
              <w:overflowPunct w:val="0"/>
              <w:ind w:left="57"/>
              <w:rPr>
                <w:rFonts w:ascii="Times New Roman" w:hAnsi="Times New Roman"/>
                <w:bCs/>
                <w:color w:val="000000" w:themeColor="text1"/>
                <w:sz w:val="20"/>
                <w:szCs w:val="20"/>
                <w:lang w:eastAsia="ru-RU"/>
              </w:rPr>
            </w:pPr>
            <w:r w:rsidRPr="00337216">
              <w:rPr>
                <w:rFonts w:ascii="Times New Roman" w:hAnsi="Times New Roman"/>
                <w:bCs/>
                <w:color w:val="000000" w:themeColor="text1"/>
                <w:sz w:val="20"/>
                <w:szCs w:val="20"/>
                <w:lang w:eastAsia="ru-RU"/>
              </w:rPr>
              <w:t>M952T</w:t>
            </w:r>
          </w:p>
          <w:p w14:paraId="7000BAFF" w14:textId="77777777" w:rsidR="00D41138" w:rsidRPr="00337216" w:rsidRDefault="00D41138">
            <w:pPr>
              <w:pStyle w:val="Brdtekst"/>
              <w:kinsoku w:val="0"/>
              <w:overflowPunct w:val="0"/>
              <w:ind w:left="57"/>
              <w:rPr>
                <w:rFonts w:ascii="Times New Roman" w:hAnsi="Times New Roman"/>
                <w:bCs/>
                <w:color w:val="000000" w:themeColor="text1"/>
                <w:sz w:val="20"/>
                <w:szCs w:val="20"/>
                <w:lang w:eastAsia="ru-RU"/>
              </w:rPr>
            </w:pPr>
            <w:r w:rsidRPr="00337216">
              <w:rPr>
                <w:rFonts w:ascii="Times New Roman" w:hAnsi="Times New Roman"/>
                <w:bCs/>
                <w:color w:val="000000" w:themeColor="text1"/>
                <w:sz w:val="20"/>
                <w:szCs w:val="20"/>
                <w:lang w:eastAsia="ru-RU"/>
              </w:rPr>
              <w:t>M961L</w:t>
            </w:r>
          </w:p>
          <w:p w14:paraId="6712C025" w14:textId="77777777" w:rsidR="00D41138" w:rsidRPr="00337216" w:rsidRDefault="00D41138">
            <w:pPr>
              <w:pStyle w:val="Brdtekst"/>
              <w:kinsoku w:val="0"/>
              <w:overflowPunct w:val="0"/>
              <w:ind w:left="57"/>
              <w:rPr>
                <w:rFonts w:ascii="Times New Roman" w:hAnsi="Times New Roman"/>
                <w:bCs/>
                <w:color w:val="000000" w:themeColor="text1"/>
                <w:sz w:val="20"/>
                <w:szCs w:val="20"/>
                <w:lang w:eastAsia="ru-RU"/>
              </w:rPr>
            </w:pPr>
            <w:r w:rsidRPr="00337216">
              <w:rPr>
                <w:rFonts w:ascii="Times New Roman" w:hAnsi="Times New Roman"/>
                <w:bCs/>
                <w:color w:val="000000" w:themeColor="text1"/>
                <w:sz w:val="20"/>
                <w:szCs w:val="20"/>
                <w:lang w:eastAsia="ru-RU"/>
              </w:rPr>
              <w:t>M1101K*†</w:t>
            </w:r>
          </w:p>
          <w:p w14:paraId="556240DA" w14:textId="77777777" w:rsidR="00D41138" w:rsidRPr="00337216" w:rsidRDefault="00D41138">
            <w:pPr>
              <w:pStyle w:val="Brdtekst"/>
              <w:kinsoku w:val="0"/>
              <w:overflowPunct w:val="0"/>
              <w:ind w:left="57"/>
              <w:rPr>
                <w:rFonts w:ascii="Times New Roman" w:hAnsi="Times New Roman"/>
                <w:bCs/>
                <w:color w:val="000000" w:themeColor="text1"/>
                <w:sz w:val="20"/>
                <w:szCs w:val="20"/>
                <w:lang w:eastAsia="ru-RU"/>
              </w:rPr>
            </w:pPr>
            <w:r w:rsidRPr="00337216">
              <w:rPr>
                <w:rFonts w:ascii="Times New Roman" w:hAnsi="Times New Roman"/>
                <w:bCs/>
                <w:color w:val="000000" w:themeColor="text1"/>
                <w:sz w:val="20"/>
                <w:szCs w:val="20"/>
                <w:lang w:eastAsia="ru-RU"/>
              </w:rPr>
              <w:t>M1137R</w:t>
            </w:r>
          </w:p>
          <w:p w14:paraId="355EDD3D" w14:textId="77777777" w:rsidR="00D41138" w:rsidRPr="00337216" w:rsidRDefault="00D41138">
            <w:pPr>
              <w:pStyle w:val="Brdtekst"/>
              <w:kinsoku w:val="0"/>
              <w:overflowPunct w:val="0"/>
              <w:ind w:left="57"/>
              <w:rPr>
                <w:rFonts w:ascii="Times New Roman" w:hAnsi="Times New Roman"/>
                <w:bCs/>
                <w:color w:val="000000" w:themeColor="text1"/>
                <w:sz w:val="20"/>
                <w:szCs w:val="20"/>
                <w:lang w:eastAsia="ru-RU"/>
              </w:rPr>
            </w:pPr>
            <w:r w:rsidRPr="00337216">
              <w:rPr>
                <w:rFonts w:ascii="Times New Roman" w:hAnsi="Times New Roman"/>
                <w:bCs/>
                <w:color w:val="000000" w:themeColor="text1"/>
                <w:sz w:val="20"/>
                <w:szCs w:val="20"/>
                <w:lang w:eastAsia="ru-RU"/>
              </w:rPr>
              <w:t>M1137V</w:t>
            </w:r>
          </w:p>
          <w:p w14:paraId="135A322C" w14:textId="77777777" w:rsidR="00D41138" w:rsidRPr="00337216" w:rsidRDefault="00D41138">
            <w:pPr>
              <w:pStyle w:val="Brdtekst"/>
              <w:kinsoku w:val="0"/>
              <w:overflowPunct w:val="0"/>
              <w:ind w:left="57"/>
              <w:rPr>
                <w:rFonts w:ascii="Times New Roman" w:hAnsi="Times New Roman"/>
                <w:bCs/>
                <w:color w:val="000000" w:themeColor="text1"/>
                <w:sz w:val="20"/>
                <w:szCs w:val="20"/>
                <w:lang w:eastAsia="ru-RU"/>
              </w:rPr>
            </w:pPr>
            <w:r w:rsidRPr="00337216">
              <w:rPr>
                <w:rFonts w:ascii="Times New Roman" w:hAnsi="Times New Roman"/>
                <w:bCs/>
                <w:color w:val="000000" w:themeColor="text1"/>
                <w:sz w:val="20"/>
                <w:szCs w:val="20"/>
                <w:lang w:eastAsia="ru-RU"/>
              </w:rPr>
              <w:t>M1210K</w:t>
            </w:r>
          </w:p>
          <w:p w14:paraId="064380A1" w14:textId="77777777" w:rsidR="00D41138" w:rsidRPr="00337216" w:rsidRDefault="00D41138">
            <w:pPr>
              <w:pStyle w:val="Brdtekst"/>
              <w:kinsoku w:val="0"/>
              <w:overflowPunct w:val="0"/>
              <w:ind w:left="57"/>
              <w:rPr>
                <w:rFonts w:ascii="Times New Roman" w:hAnsi="Times New Roman"/>
                <w:bCs/>
                <w:color w:val="000000" w:themeColor="text1"/>
                <w:sz w:val="20"/>
                <w:szCs w:val="20"/>
                <w:lang w:eastAsia="ru-RU"/>
              </w:rPr>
            </w:pPr>
            <w:r w:rsidRPr="00337216">
              <w:rPr>
                <w:rFonts w:ascii="Times New Roman" w:hAnsi="Times New Roman"/>
                <w:bCs/>
                <w:color w:val="000000" w:themeColor="text1"/>
                <w:sz w:val="20"/>
                <w:szCs w:val="20"/>
                <w:lang w:eastAsia="ru-RU"/>
              </w:rPr>
              <w:t>N186K</w:t>
            </w:r>
          </w:p>
          <w:p w14:paraId="66AA4E44" w14:textId="77777777" w:rsidR="00D41138" w:rsidRPr="00337216" w:rsidRDefault="00D41138">
            <w:pPr>
              <w:pStyle w:val="Brdtekst"/>
              <w:kinsoku w:val="0"/>
              <w:overflowPunct w:val="0"/>
              <w:ind w:left="57"/>
              <w:rPr>
                <w:rFonts w:ascii="Times New Roman" w:hAnsi="Times New Roman"/>
                <w:bCs/>
                <w:color w:val="000000" w:themeColor="text1"/>
                <w:sz w:val="20"/>
                <w:szCs w:val="20"/>
                <w:lang w:eastAsia="ru-RU"/>
              </w:rPr>
            </w:pPr>
            <w:r w:rsidRPr="00337216">
              <w:rPr>
                <w:rFonts w:ascii="Times New Roman" w:hAnsi="Times New Roman"/>
                <w:bCs/>
                <w:color w:val="000000" w:themeColor="text1"/>
                <w:sz w:val="20"/>
                <w:szCs w:val="20"/>
                <w:lang w:eastAsia="ru-RU"/>
              </w:rPr>
              <w:t>N187K</w:t>
            </w:r>
          </w:p>
          <w:p w14:paraId="2E89863C" w14:textId="77777777" w:rsidR="00D41138" w:rsidRPr="00337216" w:rsidRDefault="00D41138">
            <w:pPr>
              <w:pStyle w:val="Brdtekst"/>
              <w:kinsoku w:val="0"/>
              <w:overflowPunct w:val="0"/>
              <w:ind w:left="57"/>
              <w:rPr>
                <w:rFonts w:ascii="Times New Roman" w:hAnsi="Times New Roman"/>
                <w:bCs/>
                <w:color w:val="000000" w:themeColor="text1"/>
                <w:sz w:val="20"/>
                <w:szCs w:val="20"/>
                <w:lang w:eastAsia="ru-RU"/>
              </w:rPr>
            </w:pPr>
            <w:r w:rsidRPr="00337216">
              <w:rPr>
                <w:rFonts w:ascii="Times New Roman" w:hAnsi="Times New Roman"/>
                <w:bCs/>
                <w:color w:val="000000" w:themeColor="text1"/>
                <w:sz w:val="20"/>
                <w:szCs w:val="20"/>
                <w:lang w:eastAsia="ru-RU"/>
              </w:rPr>
              <w:t>N396Y</w:t>
            </w:r>
          </w:p>
          <w:p w14:paraId="6CEF651D" w14:textId="77777777" w:rsidR="00D41138" w:rsidRPr="00337216" w:rsidRDefault="00D41138">
            <w:pPr>
              <w:pStyle w:val="Brdtekst"/>
              <w:kinsoku w:val="0"/>
              <w:overflowPunct w:val="0"/>
              <w:ind w:left="57"/>
              <w:rPr>
                <w:rFonts w:ascii="Times New Roman" w:hAnsi="Times New Roman"/>
                <w:bCs/>
                <w:color w:val="000000" w:themeColor="text1"/>
                <w:sz w:val="20"/>
                <w:szCs w:val="20"/>
                <w:lang w:eastAsia="ru-RU"/>
              </w:rPr>
            </w:pPr>
            <w:r w:rsidRPr="00337216">
              <w:rPr>
                <w:rFonts w:ascii="Times New Roman" w:hAnsi="Times New Roman"/>
                <w:bCs/>
                <w:color w:val="000000" w:themeColor="text1"/>
                <w:sz w:val="20"/>
                <w:szCs w:val="20"/>
                <w:lang w:eastAsia="ru-RU"/>
              </w:rPr>
              <w:t>N418S</w:t>
            </w:r>
          </w:p>
        </w:tc>
        <w:tc>
          <w:tcPr>
            <w:tcW w:w="1183" w:type="pct"/>
            <w:tcBorders>
              <w:top w:val="single" w:sz="4" w:space="0" w:color="auto"/>
              <w:left w:val="single" w:sz="4" w:space="0" w:color="auto"/>
              <w:bottom w:val="single" w:sz="4" w:space="0" w:color="auto"/>
              <w:right w:val="single" w:sz="4" w:space="0" w:color="auto"/>
            </w:tcBorders>
            <w:tcMar>
              <w:top w:w="28" w:type="dxa"/>
              <w:left w:w="0" w:type="dxa"/>
              <w:bottom w:w="28" w:type="dxa"/>
              <w:right w:w="0" w:type="dxa"/>
            </w:tcMar>
            <w:hideMark/>
          </w:tcPr>
          <w:p w14:paraId="37070804" w14:textId="77777777" w:rsidR="00D41138" w:rsidRPr="00337216" w:rsidRDefault="00D41138">
            <w:pPr>
              <w:pStyle w:val="Brdtekst"/>
              <w:kinsoku w:val="0"/>
              <w:overflowPunct w:val="0"/>
              <w:ind w:left="57"/>
              <w:rPr>
                <w:rFonts w:ascii="Times New Roman" w:hAnsi="Times New Roman"/>
                <w:bCs/>
                <w:color w:val="000000" w:themeColor="text1"/>
                <w:sz w:val="20"/>
                <w:szCs w:val="20"/>
                <w:lang w:eastAsia="ru-RU"/>
              </w:rPr>
            </w:pPr>
            <w:r w:rsidRPr="00337216">
              <w:rPr>
                <w:rFonts w:ascii="Times New Roman" w:hAnsi="Times New Roman"/>
                <w:bCs/>
                <w:color w:val="000000" w:themeColor="text1"/>
                <w:sz w:val="20"/>
                <w:szCs w:val="20"/>
                <w:lang w:eastAsia="ru-RU"/>
              </w:rPr>
              <w:lastRenderedPageBreak/>
              <w:t>N900K</w:t>
            </w:r>
          </w:p>
          <w:p w14:paraId="23CB4C4F" w14:textId="77777777" w:rsidR="00D41138" w:rsidRPr="00337216" w:rsidRDefault="00D41138">
            <w:pPr>
              <w:pStyle w:val="Brdtekst"/>
              <w:kinsoku w:val="0"/>
              <w:overflowPunct w:val="0"/>
              <w:ind w:left="57"/>
              <w:rPr>
                <w:rFonts w:ascii="Times New Roman" w:hAnsi="Times New Roman"/>
                <w:bCs/>
                <w:color w:val="000000" w:themeColor="text1"/>
                <w:sz w:val="20"/>
                <w:szCs w:val="20"/>
                <w:lang w:eastAsia="ru-RU"/>
              </w:rPr>
            </w:pPr>
            <w:r w:rsidRPr="00337216">
              <w:rPr>
                <w:rFonts w:ascii="Times New Roman" w:hAnsi="Times New Roman"/>
                <w:bCs/>
                <w:color w:val="000000" w:themeColor="text1"/>
                <w:sz w:val="20"/>
                <w:szCs w:val="20"/>
                <w:lang w:eastAsia="ru-RU"/>
              </w:rPr>
              <w:t>N1088D</w:t>
            </w:r>
          </w:p>
          <w:p w14:paraId="493B37C8" w14:textId="77777777" w:rsidR="00D41138" w:rsidRPr="00337216" w:rsidRDefault="00D41138">
            <w:pPr>
              <w:pStyle w:val="Brdtekst"/>
              <w:kinsoku w:val="0"/>
              <w:overflowPunct w:val="0"/>
              <w:ind w:left="57"/>
              <w:rPr>
                <w:rFonts w:ascii="Times New Roman" w:hAnsi="Times New Roman"/>
                <w:bCs/>
                <w:color w:val="000000" w:themeColor="text1"/>
                <w:sz w:val="20"/>
                <w:szCs w:val="20"/>
                <w:lang w:eastAsia="ru-RU"/>
              </w:rPr>
            </w:pPr>
            <w:r w:rsidRPr="00337216">
              <w:rPr>
                <w:rFonts w:ascii="Times New Roman" w:hAnsi="Times New Roman"/>
                <w:bCs/>
                <w:color w:val="000000" w:themeColor="text1"/>
                <w:sz w:val="20"/>
                <w:szCs w:val="20"/>
                <w:lang w:eastAsia="ru-RU"/>
              </w:rPr>
              <w:t>N1195T</w:t>
            </w:r>
          </w:p>
          <w:p w14:paraId="7FD7DFA0" w14:textId="77777777" w:rsidR="00D41138" w:rsidRPr="00337216" w:rsidRDefault="00D41138">
            <w:pPr>
              <w:pStyle w:val="Brdtekst"/>
              <w:kinsoku w:val="0"/>
              <w:overflowPunct w:val="0"/>
              <w:ind w:left="57"/>
              <w:rPr>
                <w:rFonts w:ascii="Times New Roman" w:hAnsi="Times New Roman"/>
                <w:bCs/>
                <w:color w:val="000000" w:themeColor="text1"/>
                <w:sz w:val="20"/>
                <w:szCs w:val="20"/>
                <w:lang w:eastAsia="ru-RU"/>
              </w:rPr>
            </w:pPr>
            <w:r w:rsidRPr="00337216">
              <w:rPr>
                <w:rFonts w:ascii="Times New Roman" w:hAnsi="Times New Roman"/>
                <w:bCs/>
                <w:color w:val="000000" w:themeColor="text1"/>
                <w:sz w:val="20"/>
                <w:szCs w:val="20"/>
                <w:lang w:eastAsia="ru-RU"/>
              </w:rPr>
              <w:t>N1303I</w:t>
            </w:r>
          </w:p>
          <w:p w14:paraId="17AAF384" w14:textId="77777777" w:rsidR="00D41138" w:rsidRPr="00337216" w:rsidRDefault="00D41138">
            <w:pPr>
              <w:pStyle w:val="Brdtekst"/>
              <w:kinsoku w:val="0"/>
              <w:overflowPunct w:val="0"/>
              <w:ind w:left="57"/>
              <w:rPr>
                <w:rFonts w:ascii="Times New Roman" w:hAnsi="Times New Roman"/>
                <w:bCs/>
                <w:color w:val="000000" w:themeColor="text1"/>
                <w:sz w:val="20"/>
                <w:szCs w:val="20"/>
                <w:lang w:eastAsia="ru-RU"/>
              </w:rPr>
            </w:pPr>
            <w:r w:rsidRPr="00337216">
              <w:rPr>
                <w:rFonts w:ascii="Times New Roman" w:hAnsi="Times New Roman"/>
                <w:bCs/>
                <w:color w:val="000000" w:themeColor="text1"/>
                <w:sz w:val="20"/>
                <w:szCs w:val="20"/>
                <w:lang w:eastAsia="ru-RU"/>
              </w:rPr>
              <w:t>N1303K*</w:t>
            </w:r>
          </w:p>
          <w:p w14:paraId="144CC222" w14:textId="77777777" w:rsidR="00D41138" w:rsidRPr="00337216" w:rsidRDefault="00D41138">
            <w:pPr>
              <w:pStyle w:val="Brdtekst"/>
              <w:kinsoku w:val="0"/>
              <w:overflowPunct w:val="0"/>
              <w:ind w:left="57"/>
              <w:rPr>
                <w:rFonts w:ascii="Times New Roman" w:hAnsi="Times New Roman"/>
                <w:bCs/>
                <w:color w:val="000000" w:themeColor="text1"/>
                <w:sz w:val="20"/>
                <w:szCs w:val="20"/>
                <w:lang w:val="en-US" w:eastAsia="ru-RU"/>
              </w:rPr>
            </w:pPr>
            <w:r w:rsidRPr="00337216">
              <w:rPr>
                <w:rFonts w:ascii="Times New Roman" w:hAnsi="Times New Roman"/>
                <w:bCs/>
                <w:color w:val="000000" w:themeColor="text1"/>
                <w:sz w:val="20"/>
                <w:szCs w:val="20"/>
                <w:lang w:val="en-US" w:eastAsia="ru-RU"/>
              </w:rPr>
              <w:t>P5L†</w:t>
            </w:r>
          </w:p>
          <w:p w14:paraId="5FC04826" w14:textId="77777777" w:rsidR="00D41138" w:rsidRPr="00337216" w:rsidRDefault="00D41138">
            <w:pPr>
              <w:pStyle w:val="Brdtekst"/>
              <w:kinsoku w:val="0"/>
              <w:overflowPunct w:val="0"/>
              <w:ind w:left="57"/>
              <w:rPr>
                <w:rFonts w:ascii="Times New Roman" w:hAnsi="Times New Roman"/>
                <w:bCs/>
                <w:color w:val="000000" w:themeColor="text1"/>
                <w:sz w:val="20"/>
                <w:szCs w:val="20"/>
                <w:lang w:val="en-US" w:eastAsia="ru-RU"/>
              </w:rPr>
            </w:pPr>
            <w:r w:rsidRPr="00337216">
              <w:rPr>
                <w:rFonts w:ascii="Times New Roman" w:hAnsi="Times New Roman"/>
                <w:bCs/>
                <w:color w:val="000000" w:themeColor="text1"/>
                <w:sz w:val="20"/>
                <w:szCs w:val="20"/>
                <w:lang w:val="en-US" w:eastAsia="ru-RU"/>
              </w:rPr>
              <w:t>P67L*</w:t>
            </w:r>
          </w:p>
          <w:p w14:paraId="6E9CC3AD" w14:textId="77777777" w:rsidR="00D41138" w:rsidRPr="00337216" w:rsidRDefault="00D41138">
            <w:pPr>
              <w:pStyle w:val="Brdtekst"/>
              <w:kinsoku w:val="0"/>
              <w:overflowPunct w:val="0"/>
              <w:ind w:left="57"/>
              <w:rPr>
                <w:rFonts w:ascii="Times New Roman" w:hAnsi="Times New Roman"/>
                <w:bCs/>
                <w:color w:val="000000" w:themeColor="text1"/>
                <w:sz w:val="20"/>
                <w:szCs w:val="20"/>
                <w:lang w:val="en-US" w:eastAsia="ru-RU"/>
              </w:rPr>
            </w:pPr>
            <w:r w:rsidRPr="00337216">
              <w:rPr>
                <w:rFonts w:ascii="Times New Roman" w:hAnsi="Times New Roman"/>
                <w:bCs/>
                <w:color w:val="000000" w:themeColor="text1"/>
                <w:sz w:val="20"/>
                <w:szCs w:val="20"/>
                <w:lang w:val="en-US" w:eastAsia="ru-RU"/>
              </w:rPr>
              <w:t>P111L</w:t>
            </w:r>
          </w:p>
          <w:p w14:paraId="0F0BB6F1" w14:textId="77777777" w:rsidR="00D41138" w:rsidRPr="00337216" w:rsidRDefault="00D41138">
            <w:pPr>
              <w:pStyle w:val="Brdtekst"/>
              <w:kinsoku w:val="0"/>
              <w:overflowPunct w:val="0"/>
              <w:ind w:left="57"/>
              <w:rPr>
                <w:rFonts w:ascii="Times New Roman" w:hAnsi="Times New Roman"/>
                <w:bCs/>
                <w:color w:val="000000" w:themeColor="text1"/>
                <w:sz w:val="20"/>
                <w:szCs w:val="20"/>
                <w:lang w:val="en-US" w:eastAsia="ru-RU"/>
              </w:rPr>
            </w:pPr>
            <w:r w:rsidRPr="00337216">
              <w:rPr>
                <w:rFonts w:ascii="Times New Roman" w:hAnsi="Times New Roman"/>
                <w:bCs/>
                <w:color w:val="000000" w:themeColor="text1"/>
                <w:sz w:val="20"/>
                <w:szCs w:val="20"/>
                <w:lang w:val="en-US" w:eastAsia="ru-RU"/>
              </w:rPr>
              <w:t>P140S</w:t>
            </w:r>
          </w:p>
          <w:p w14:paraId="4F75EF07" w14:textId="77777777" w:rsidR="00D41138" w:rsidRPr="00337216" w:rsidRDefault="00D41138">
            <w:pPr>
              <w:pStyle w:val="Brdtekst"/>
              <w:kinsoku w:val="0"/>
              <w:overflowPunct w:val="0"/>
              <w:ind w:left="57"/>
              <w:rPr>
                <w:rFonts w:ascii="Times New Roman" w:hAnsi="Times New Roman"/>
                <w:bCs/>
                <w:color w:val="000000" w:themeColor="text1"/>
                <w:sz w:val="20"/>
                <w:szCs w:val="20"/>
                <w:lang w:val="en-US" w:eastAsia="ru-RU"/>
              </w:rPr>
            </w:pPr>
            <w:r w:rsidRPr="00337216">
              <w:rPr>
                <w:rFonts w:ascii="Times New Roman" w:hAnsi="Times New Roman"/>
                <w:bCs/>
                <w:color w:val="000000" w:themeColor="text1"/>
                <w:sz w:val="20"/>
                <w:szCs w:val="20"/>
                <w:lang w:val="en-US" w:eastAsia="ru-RU"/>
              </w:rPr>
              <w:t>P205S</w:t>
            </w:r>
          </w:p>
          <w:p w14:paraId="7A5FB136" w14:textId="77777777" w:rsidR="00D41138" w:rsidRPr="00337216" w:rsidRDefault="00D41138">
            <w:pPr>
              <w:pStyle w:val="Brdtekst"/>
              <w:kinsoku w:val="0"/>
              <w:overflowPunct w:val="0"/>
              <w:ind w:left="57"/>
              <w:rPr>
                <w:rFonts w:ascii="Times New Roman" w:hAnsi="Times New Roman"/>
                <w:bCs/>
                <w:color w:val="000000" w:themeColor="text1"/>
                <w:sz w:val="20"/>
                <w:szCs w:val="20"/>
                <w:lang w:val="en-US" w:eastAsia="ru-RU"/>
              </w:rPr>
            </w:pPr>
            <w:r w:rsidRPr="00337216">
              <w:rPr>
                <w:rFonts w:ascii="Times New Roman" w:hAnsi="Times New Roman"/>
                <w:bCs/>
                <w:color w:val="000000" w:themeColor="text1"/>
                <w:sz w:val="20"/>
                <w:szCs w:val="20"/>
                <w:lang w:val="en-US" w:eastAsia="ru-RU"/>
              </w:rPr>
              <w:t>P439S</w:t>
            </w:r>
          </w:p>
          <w:p w14:paraId="441E645F" w14:textId="77777777" w:rsidR="00D41138" w:rsidRPr="00337216" w:rsidRDefault="00D41138">
            <w:pPr>
              <w:pStyle w:val="Brdtekst"/>
              <w:kinsoku w:val="0"/>
              <w:overflowPunct w:val="0"/>
              <w:ind w:left="57"/>
              <w:rPr>
                <w:rFonts w:ascii="Times New Roman" w:hAnsi="Times New Roman"/>
                <w:bCs/>
                <w:color w:val="000000" w:themeColor="text1"/>
                <w:sz w:val="20"/>
                <w:szCs w:val="20"/>
                <w:lang w:val="en-US" w:eastAsia="ru-RU"/>
              </w:rPr>
            </w:pPr>
            <w:r w:rsidRPr="00337216">
              <w:rPr>
                <w:rFonts w:ascii="Times New Roman" w:hAnsi="Times New Roman"/>
                <w:bCs/>
                <w:color w:val="000000" w:themeColor="text1"/>
                <w:sz w:val="20"/>
                <w:szCs w:val="20"/>
                <w:lang w:val="en-US" w:eastAsia="ru-RU"/>
              </w:rPr>
              <w:lastRenderedPageBreak/>
              <w:t>P499A</w:t>
            </w:r>
          </w:p>
          <w:p w14:paraId="5CFD5ECF" w14:textId="77777777" w:rsidR="00D41138" w:rsidRPr="00337216" w:rsidRDefault="00D41138">
            <w:pPr>
              <w:pStyle w:val="Brdtekst"/>
              <w:kinsoku w:val="0"/>
              <w:overflowPunct w:val="0"/>
              <w:ind w:left="57"/>
              <w:rPr>
                <w:rFonts w:ascii="Times New Roman" w:hAnsi="Times New Roman"/>
                <w:bCs/>
                <w:color w:val="000000" w:themeColor="text1"/>
                <w:sz w:val="20"/>
                <w:szCs w:val="20"/>
                <w:lang w:val="en-US" w:eastAsia="ru-RU"/>
              </w:rPr>
            </w:pPr>
            <w:r w:rsidRPr="00337216">
              <w:rPr>
                <w:rFonts w:ascii="Times New Roman" w:hAnsi="Times New Roman"/>
                <w:bCs/>
                <w:color w:val="000000" w:themeColor="text1"/>
                <w:sz w:val="20"/>
                <w:szCs w:val="20"/>
                <w:lang w:val="en-US" w:eastAsia="ru-RU"/>
              </w:rPr>
              <w:t>P574H</w:t>
            </w:r>
          </w:p>
          <w:p w14:paraId="7F2B2448" w14:textId="77777777" w:rsidR="00D41138" w:rsidRPr="00337216" w:rsidRDefault="00D41138">
            <w:pPr>
              <w:pStyle w:val="Brdtekst"/>
              <w:kinsoku w:val="0"/>
              <w:overflowPunct w:val="0"/>
              <w:ind w:left="57"/>
              <w:rPr>
                <w:rFonts w:ascii="Times New Roman" w:hAnsi="Times New Roman"/>
                <w:bCs/>
                <w:color w:val="000000" w:themeColor="text1"/>
                <w:sz w:val="20"/>
                <w:szCs w:val="20"/>
                <w:lang w:val="en-US" w:eastAsia="ru-RU"/>
              </w:rPr>
            </w:pPr>
            <w:r w:rsidRPr="00337216">
              <w:rPr>
                <w:rFonts w:ascii="Times New Roman" w:hAnsi="Times New Roman"/>
                <w:bCs/>
                <w:color w:val="000000" w:themeColor="text1"/>
                <w:sz w:val="20"/>
                <w:szCs w:val="20"/>
                <w:lang w:val="en-US" w:eastAsia="ru-RU"/>
              </w:rPr>
              <w:t>P750L</w:t>
            </w:r>
          </w:p>
          <w:p w14:paraId="351BCC60" w14:textId="77777777" w:rsidR="00D41138" w:rsidRPr="00337216" w:rsidRDefault="00D41138">
            <w:pPr>
              <w:pStyle w:val="Brdtekst"/>
              <w:kinsoku w:val="0"/>
              <w:overflowPunct w:val="0"/>
              <w:ind w:left="57"/>
              <w:rPr>
                <w:rFonts w:ascii="Times New Roman" w:hAnsi="Times New Roman"/>
                <w:bCs/>
                <w:color w:val="000000" w:themeColor="text1"/>
                <w:sz w:val="20"/>
                <w:szCs w:val="20"/>
                <w:lang w:val="en-US" w:eastAsia="ru-RU"/>
              </w:rPr>
            </w:pPr>
            <w:r w:rsidRPr="00337216">
              <w:rPr>
                <w:rFonts w:ascii="Times New Roman" w:hAnsi="Times New Roman"/>
                <w:bCs/>
                <w:color w:val="000000" w:themeColor="text1"/>
                <w:sz w:val="20"/>
                <w:szCs w:val="20"/>
                <w:lang w:val="en-US" w:eastAsia="ru-RU"/>
              </w:rPr>
              <w:t>P798S</w:t>
            </w:r>
          </w:p>
          <w:p w14:paraId="067C6036" w14:textId="77777777" w:rsidR="00D41138" w:rsidRPr="00337216" w:rsidRDefault="00D41138">
            <w:pPr>
              <w:pStyle w:val="Brdtekst"/>
              <w:kinsoku w:val="0"/>
              <w:overflowPunct w:val="0"/>
              <w:ind w:left="57"/>
              <w:rPr>
                <w:rFonts w:ascii="Times New Roman" w:hAnsi="Times New Roman"/>
                <w:bCs/>
                <w:color w:val="000000" w:themeColor="text1"/>
                <w:sz w:val="20"/>
                <w:szCs w:val="20"/>
                <w:lang w:val="en-US" w:eastAsia="ru-RU"/>
              </w:rPr>
            </w:pPr>
            <w:r w:rsidRPr="00337216">
              <w:rPr>
                <w:rFonts w:ascii="Times New Roman" w:hAnsi="Times New Roman"/>
                <w:bCs/>
                <w:color w:val="000000" w:themeColor="text1"/>
                <w:sz w:val="20"/>
                <w:szCs w:val="20"/>
                <w:lang w:val="en-US" w:eastAsia="ru-RU"/>
              </w:rPr>
              <w:t>P988R</w:t>
            </w:r>
          </w:p>
          <w:p w14:paraId="6C83A938" w14:textId="77777777" w:rsidR="00D41138" w:rsidRPr="00337216" w:rsidRDefault="00D41138">
            <w:pPr>
              <w:pStyle w:val="Brdtekst"/>
              <w:kinsoku w:val="0"/>
              <w:overflowPunct w:val="0"/>
              <w:ind w:left="57"/>
              <w:rPr>
                <w:rFonts w:ascii="Times New Roman" w:hAnsi="Times New Roman"/>
                <w:bCs/>
                <w:color w:val="000000" w:themeColor="text1"/>
                <w:sz w:val="20"/>
                <w:szCs w:val="20"/>
                <w:lang w:val="en-US" w:eastAsia="ru-RU"/>
              </w:rPr>
            </w:pPr>
            <w:r w:rsidRPr="00337216">
              <w:rPr>
                <w:rFonts w:ascii="Times New Roman" w:hAnsi="Times New Roman"/>
                <w:bCs/>
                <w:color w:val="000000" w:themeColor="text1"/>
                <w:sz w:val="20"/>
                <w:szCs w:val="20"/>
                <w:lang w:val="en-US" w:eastAsia="ru-RU"/>
              </w:rPr>
              <w:t>P1013H</w:t>
            </w:r>
          </w:p>
          <w:p w14:paraId="11FFACA0" w14:textId="77777777" w:rsidR="00D41138" w:rsidRPr="00337216" w:rsidRDefault="00D41138">
            <w:pPr>
              <w:pStyle w:val="Brdtekst"/>
              <w:kinsoku w:val="0"/>
              <w:overflowPunct w:val="0"/>
              <w:ind w:left="57"/>
              <w:rPr>
                <w:rFonts w:ascii="Times New Roman" w:hAnsi="Times New Roman"/>
                <w:bCs/>
                <w:color w:val="000000" w:themeColor="text1"/>
                <w:sz w:val="20"/>
                <w:szCs w:val="20"/>
                <w:lang w:val="en-US" w:eastAsia="ru-RU"/>
              </w:rPr>
            </w:pPr>
            <w:r w:rsidRPr="00337216">
              <w:rPr>
                <w:rFonts w:ascii="Times New Roman" w:hAnsi="Times New Roman"/>
                <w:bCs/>
                <w:color w:val="000000" w:themeColor="text1"/>
                <w:sz w:val="20"/>
                <w:szCs w:val="20"/>
                <w:lang w:val="en-US" w:eastAsia="ru-RU"/>
              </w:rPr>
              <w:t>P1013L</w:t>
            </w:r>
          </w:p>
          <w:p w14:paraId="188E4387" w14:textId="77777777" w:rsidR="00D41138" w:rsidRPr="00337216" w:rsidRDefault="00D41138">
            <w:pPr>
              <w:pStyle w:val="Brdtekst"/>
              <w:kinsoku w:val="0"/>
              <w:overflowPunct w:val="0"/>
              <w:ind w:left="57"/>
              <w:rPr>
                <w:rFonts w:ascii="Times New Roman" w:hAnsi="Times New Roman"/>
                <w:bCs/>
                <w:color w:val="000000" w:themeColor="text1"/>
                <w:sz w:val="20"/>
                <w:szCs w:val="20"/>
                <w:lang w:val="en-US" w:eastAsia="ru-RU"/>
              </w:rPr>
            </w:pPr>
            <w:r w:rsidRPr="00337216">
              <w:rPr>
                <w:rFonts w:ascii="Times New Roman" w:hAnsi="Times New Roman"/>
                <w:bCs/>
                <w:color w:val="000000" w:themeColor="text1"/>
                <w:sz w:val="20"/>
                <w:szCs w:val="20"/>
                <w:lang w:val="en-US" w:eastAsia="ru-RU"/>
              </w:rPr>
              <w:t>P1021L</w:t>
            </w:r>
          </w:p>
          <w:p w14:paraId="24C15DDF" w14:textId="77777777" w:rsidR="00D41138" w:rsidRPr="00337216" w:rsidRDefault="00D41138">
            <w:pPr>
              <w:pStyle w:val="Brdtekst"/>
              <w:kinsoku w:val="0"/>
              <w:overflowPunct w:val="0"/>
              <w:ind w:left="57"/>
              <w:rPr>
                <w:rFonts w:ascii="Times New Roman" w:hAnsi="Times New Roman"/>
                <w:bCs/>
                <w:color w:val="000000" w:themeColor="text1"/>
                <w:sz w:val="20"/>
                <w:szCs w:val="20"/>
                <w:lang w:val="en-US" w:eastAsia="ru-RU"/>
              </w:rPr>
            </w:pPr>
            <w:r w:rsidRPr="00337216">
              <w:rPr>
                <w:rFonts w:ascii="Times New Roman" w:hAnsi="Times New Roman"/>
                <w:bCs/>
                <w:color w:val="000000" w:themeColor="text1"/>
                <w:sz w:val="20"/>
                <w:szCs w:val="20"/>
                <w:lang w:val="en-US" w:eastAsia="ru-RU"/>
              </w:rPr>
              <w:t>P1021T</w:t>
            </w:r>
          </w:p>
          <w:p w14:paraId="293B06F6" w14:textId="77777777" w:rsidR="00D41138" w:rsidRPr="00337216" w:rsidRDefault="00D41138">
            <w:pPr>
              <w:pStyle w:val="Brdtekst"/>
              <w:kinsoku w:val="0"/>
              <w:overflowPunct w:val="0"/>
              <w:ind w:left="57"/>
              <w:rPr>
                <w:rFonts w:ascii="Times New Roman" w:hAnsi="Times New Roman"/>
                <w:bCs/>
                <w:color w:val="000000" w:themeColor="text1"/>
                <w:sz w:val="20"/>
                <w:szCs w:val="20"/>
                <w:lang w:val="en-US" w:eastAsia="ru-RU"/>
              </w:rPr>
            </w:pPr>
            <w:r w:rsidRPr="00337216">
              <w:rPr>
                <w:rFonts w:ascii="Times New Roman" w:hAnsi="Times New Roman"/>
                <w:bCs/>
                <w:color w:val="000000" w:themeColor="text1"/>
                <w:sz w:val="20"/>
                <w:szCs w:val="20"/>
                <w:lang w:val="en-US" w:eastAsia="ru-RU"/>
              </w:rPr>
              <w:t>P1372T</w:t>
            </w:r>
          </w:p>
          <w:p w14:paraId="5886C1C4" w14:textId="77777777" w:rsidR="00D41138" w:rsidRPr="00337216" w:rsidRDefault="00D41138">
            <w:pPr>
              <w:pStyle w:val="Brdtekst"/>
              <w:kinsoku w:val="0"/>
              <w:overflowPunct w:val="0"/>
              <w:ind w:left="57"/>
              <w:rPr>
                <w:rFonts w:ascii="Times New Roman" w:hAnsi="Times New Roman"/>
                <w:bCs/>
                <w:color w:val="000000" w:themeColor="text1"/>
                <w:sz w:val="20"/>
                <w:szCs w:val="20"/>
                <w:lang w:val="en-US" w:eastAsia="ru-RU"/>
              </w:rPr>
            </w:pPr>
            <w:r w:rsidRPr="00337216">
              <w:rPr>
                <w:rFonts w:ascii="Times New Roman" w:hAnsi="Times New Roman"/>
                <w:bCs/>
                <w:color w:val="000000" w:themeColor="text1"/>
                <w:sz w:val="20"/>
                <w:szCs w:val="20"/>
                <w:lang w:val="en-US" w:eastAsia="ru-RU"/>
              </w:rPr>
              <w:t>Q30P</w:t>
            </w:r>
          </w:p>
          <w:p w14:paraId="44C45119" w14:textId="77777777" w:rsidR="00D41138" w:rsidRPr="00337216" w:rsidRDefault="00D41138">
            <w:pPr>
              <w:pStyle w:val="Brdtekst"/>
              <w:kinsoku w:val="0"/>
              <w:overflowPunct w:val="0"/>
              <w:ind w:left="57"/>
              <w:rPr>
                <w:rFonts w:ascii="Times New Roman" w:hAnsi="Times New Roman"/>
                <w:bCs/>
                <w:color w:val="000000" w:themeColor="text1"/>
                <w:sz w:val="20"/>
                <w:szCs w:val="20"/>
                <w:lang w:val="en-US" w:eastAsia="ru-RU"/>
              </w:rPr>
            </w:pPr>
            <w:r w:rsidRPr="00337216">
              <w:rPr>
                <w:rFonts w:ascii="Times New Roman" w:hAnsi="Times New Roman"/>
                <w:bCs/>
                <w:color w:val="000000" w:themeColor="text1"/>
                <w:sz w:val="20"/>
                <w:szCs w:val="20"/>
                <w:lang w:val="en-US" w:eastAsia="ru-RU"/>
              </w:rPr>
              <w:t>Q98P</w:t>
            </w:r>
          </w:p>
          <w:p w14:paraId="3A67FE34" w14:textId="77777777" w:rsidR="00D41138" w:rsidRPr="00337216" w:rsidRDefault="00D41138">
            <w:pPr>
              <w:pStyle w:val="Brdtekst"/>
              <w:kinsoku w:val="0"/>
              <w:overflowPunct w:val="0"/>
              <w:ind w:left="57"/>
              <w:rPr>
                <w:rFonts w:ascii="Times New Roman" w:hAnsi="Times New Roman"/>
                <w:bCs/>
                <w:color w:val="000000" w:themeColor="text1"/>
                <w:sz w:val="20"/>
                <w:szCs w:val="20"/>
                <w:lang w:val="en-US" w:eastAsia="ru-RU"/>
              </w:rPr>
            </w:pPr>
            <w:r w:rsidRPr="00337216">
              <w:rPr>
                <w:rFonts w:ascii="Times New Roman" w:hAnsi="Times New Roman"/>
                <w:bCs/>
                <w:color w:val="000000" w:themeColor="text1"/>
                <w:sz w:val="20"/>
                <w:szCs w:val="20"/>
                <w:lang w:val="en-US" w:eastAsia="ru-RU"/>
              </w:rPr>
              <w:t>Q98R</w:t>
            </w:r>
          </w:p>
          <w:p w14:paraId="428FEDBA" w14:textId="77777777" w:rsidR="00D41138" w:rsidRPr="00337216" w:rsidRDefault="00D41138">
            <w:pPr>
              <w:pStyle w:val="Brdtekst"/>
              <w:kinsoku w:val="0"/>
              <w:overflowPunct w:val="0"/>
              <w:ind w:left="57"/>
              <w:rPr>
                <w:rFonts w:ascii="Times New Roman" w:hAnsi="Times New Roman"/>
                <w:bCs/>
                <w:color w:val="000000" w:themeColor="text1"/>
                <w:sz w:val="20"/>
                <w:szCs w:val="20"/>
                <w:lang w:val="en-US" w:eastAsia="ru-RU"/>
              </w:rPr>
            </w:pPr>
            <w:r w:rsidRPr="00337216">
              <w:rPr>
                <w:rFonts w:ascii="Times New Roman" w:hAnsi="Times New Roman"/>
                <w:bCs/>
                <w:color w:val="000000" w:themeColor="text1"/>
                <w:sz w:val="20"/>
                <w:szCs w:val="20"/>
                <w:lang w:val="en-US" w:eastAsia="ru-RU"/>
              </w:rPr>
              <w:t>Q151K</w:t>
            </w:r>
          </w:p>
          <w:p w14:paraId="269FD46F" w14:textId="77777777" w:rsidR="00D41138" w:rsidRPr="00337216" w:rsidRDefault="00D41138">
            <w:pPr>
              <w:pStyle w:val="Brdtekst"/>
              <w:kinsoku w:val="0"/>
              <w:overflowPunct w:val="0"/>
              <w:ind w:left="57"/>
              <w:rPr>
                <w:rFonts w:ascii="Times New Roman" w:hAnsi="Times New Roman"/>
                <w:bCs/>
                <w:color w:val="000000" w:themeColor="text1"/>
                <w:sz w:val="20"/>
                <w:szCs w:val="20"/>
                <w:lang w:val="en-US" w:eastAsia="ru-RU"/>
              </w:rPr>
            </w:pPr>
            <w:r w:rsidRPr="00337216">
              <w:rPr>
                <w:rFonts w:ascii="Times New Roman" w:hAnsi="Times New Roman"/>
                <w:bCs/>
                <w:color w:val="000000" w:themeColor="text1"/>
                <w:sz w:val="20"/>
                <w:szCs w:val="20"/>
                <w:lang w:val="en-US" w:eastAsia="ru-RU"/>
              </w:rPr>
              <w:t>Q179K</w:t>
            </w:r>
          </w:p>
          <w:p w14:paraId="5CA57453" w14:textId="77777777" w:rsidR="00D41138" w:rsidRPr="00337216" w:rsidRDefault="00D41138">
            <w:pPr>
              <w:pStyle w:val="Brdtekst"/>
              <w:kinsoku w:val="0"/>
              <w:overflowPunct w:val="0"/>
              <w:ind w:left="57"/>
              <w:rPr>
                <w:rFonts w:ascii="Times New Roman" w:hAnsi="Times New Roman"/>
                <w:bCs/>
                <w:color w:val="000000" w:themeColor="text1"/>
                <w:sz w:val="20"/>
                <w:szCs w:val="20"/>
                <w:lang w:val="en-US" w:eastAsia="ru-RU"/>
              </w:rPr>
            </w:pPr>
            <w:r w:rsidRPr="00337216">
              <w:rPr>
                <w:rFonts w:ascii="Times New Roman" w:hAnsi="Times New Roman"/>
                <w:bCs/>
                <w:color w:val="000000" w:themeColor="text1"/>
                <w:sz w:val="20"/>
                <w:szCs w:val="20"/>
                <w:lang w:val="en-US" w:eastAsia="ru-RU"/>
              </w:rPr>
              <w:t>Q237E</w:t>
            </w:r>
          </w:p>
          <w:p w14:paraId="526C715D" w14:textId="77777777" w:rsidR="00D41138" w:rsidRPr="00337216" w:rsidRDefault="00D41138">
            <w:pPr>
              <w:pStyle w:val="Brdtekst"/>
              <w:kinsoku w:val="0"/>
              <w:overflowPunct w:val="0"/>
              <w:ind w:left="57"/>
              <w:rPr>
                <w:rFonts w:ascii="Times New Roman" w:hAnsi="Times New Roman"/>
                <w:bCs/>
                <w:color w:val="000000" w:themeColor="text1"/>
                <w:sz w:val="20"/>
                <w:szCs w:val="20"/>
                <w:lang w:val="en-US" w:eastAsia="ru-RU"/>
              </w:rPr>
            </w:pPr>
            <w:r w:rsidRPr="00337216">
              <w:rPr>
                <w:rFonts w:ascii="Times New Roman" w:hAnsi="Times New Roman"/>
                <w:bCs/>
                <w:color w:val="000000" w:themeColor="text1"/>
                <w:sz w:val="20"/>
                <w:szCs w:val="20"/>
                <w:lang w:val="en-US" w:eastAsia="ru-RU"/>
              </w:rPr>
              <w:t>Q237H</w:t>
            </w:r>
          </w:p>
          <w:p w14:paraId="2545D521" w14:textId="77777777" w:rsidR="00D41138" w:rsidRPr="00337216" w:rsidRDefault="00D41138">
            <w:pPr>
              <w:pStyle w:val="Brdtekst"/>
              <w:kinsoku w:val="0"/>
              <w:overflowPunct w:val="0"/>
              <w:ind w:left="57"/>
              <w:rPr>
                <w:rFonts w:ascii="Times New Roman" w:hAnsi="Times New Roman"/>
                <w:bCs/>
                <w:color w:val="000000" w:themeColor="text1"/>
                <w:sz w:val="20"/>
                <w:szCs w:val="20"/>
                <w:lang w:val="en-US" w:eastAsia="ru-RU"/>
              </w:rPr>
            </w:pPr>
            <w:r w:rsidRPr="00337216">
              <w:rPr>
                <w:rFonts w:ascii="Times New Roman" w:hAnsi="Times New Roman"/>
                <w:bCs/>
                <w:color w:val="000000" w:themeColor="text1"/>
                <w:sz w:val="20"/>
                <w:szCs w:val="20"/>
                <w:lang w:val="en-US" w:eastAsia="ru-RU"/>
              </w:rPr>
              <w:t>Q237P</w:t>
            </w:r>
          </w:p>
          <w:p w14:paraId="030E0C63" w14:textId="77777777" w:rsidR="00D41138" w:rsidRPr="00337216" w:rsidRDefault="00D41138">
            <w:pPr>
              <w:pStyle w:val="Brdtekst"/>
              <w:kinsoku w:val="0"/>
              <w:overflowPunct w:val="0"/>
              <w:ind w:left="57"/>
              <w:rPr>
                <w:rFonts w:ascii="Times New Roman" w:hAnsi="Times New Roman"/>
                <w:bCs/>
                <w:color w:val="000000" w:themeColor="text1"/>
                <w:sz w:val="20"/>
                <w:szCs w:val="20"/>
                <w:lang w:val="en-US" w:eastAsia="ru-RU"/>
              </w:rPr>
            </w:pPr>
            <w:r w:rsidRPr="00337216">
              <w:rPr>
                <w:rFonts w:ascii="Times New Roman" w:hAnsi="Times New Roman"/>
                <w:bCs/>
                <w:color w:val="000000" w:themeColor="text1"/>
                <w:sz w:val="20"/>
                <w:szCs w:val="20"/>
                <w:lang w:val="en-US" w:eastAsia="ru-RU"/>
              </w:rPr>
              <w:t>Q359</w:t>
            </w:r>
            <w:proofErr w:type="gramStart"/>
            <w:r w:rsidRPr="00337216">
              <w:rPr>
                <w:rFonts w:ascii="Times New Roman" w:hAnsi="Times New Roman"/>
                <w:bCs/>
                <w:color w:val="000000" w:themeColor="text1"/>
                <w:sz w:val="20"/>
                <w:szCs w:val="20"/>
                <w:lang w:val="en-US" w:eastAsia="ru-RU"/>
              </w:rPr>
              <w:t>K;T</w:t>
            </w:r>
            <w:proofErr w:type="gramEnd"/>
            <w:r w:rsidRPr="00337216">
              <w:rPr>
                <w:rFonts w:ascii="Times New Roman" w:hAnsi="Times New Roman"/>
                <w:bCs/>
                <w:color w:val="000000" w:themeColor="text1"/>
                <w:sz w:val="20"/>
                <w:szCs w:val="20"/>
                <w:lang w:val="en-US" w:eastAsia="ru-RU"/>
              </w:rPr>
              <w:t>360K‡</w:t>
            </w:r>
          </w:p>
          <w:p w14:paraId="4CFDEAAF" w14:textId="77777777" w:rsidR="00D41138" w:rsidRPr="00337216" w:rsidRDefault="00D41138">
            <w:pPr>
              <w:pStyle w:val="Brdtekst"/>
              <w:kinsoku w:val="0"/>
              <w:overflowPunct w:val="0"/>
              <w:ind w:left="57"/>
              <w:rPr>
                <w:rFonts w:ascii="Times New Roman" w:hAnsi="Times New Roman"/>
                <w:bCs/>
                <w:color w:val="000000" w:themeColor="text1"/>
                <w:sz w:val="20"/>
                <w:szCs w:val="20"/>
                <w:lang w:val="en-US" w:eastAsia="ru-RU"/>
              </w:rPr>
            </w:pPr>
            <w:r w:rsidRPr="00337216">
              <w:rPr>
                <w:rFonts w:ascii="Times New Roman" w:hAnsi="Times New Roman"/>
                <w:bCs/>
                <w:color w:val="000000" w:themeColor="text1"/>
                <w:sz w:val="20"/>
                <w:szCs w:val="20"/>
                <w:lang w:val="en-US" w:eastAsia="ru-RU"/>
              </w:rPr>
              <w:t>Q359R</w:t>
            </w:r>
          </w:p>
          <w:p w14:paraId="442128AC" w14:textId="77777777" w:rsidR="00D41138" w:rsidRPr="00337216" w:rsidRDefault="00D41138">
            <w:pPr>
              <w:pStyle w:val="Brdtekst"/>
              <w:kinsoku w:val="0"/>
              <w:overflowPunct w:val="0"/>
              <w:ind w:left="57"/>
              <w:rPr>
                <w:rFonts w:ascii="Times New Roman" w:hAnsi="Times New Roman"/>
                <w:bCs/>
                <w:color w:val="000000" w:themeColor="text1"/>
                <w:sz w:val="20"/>
                <w:szCs w:val="20"/>
                <w:lang w:val="en-US" w:eastAsia="ru-RU"/>
              </w:rPr>
            </w:pPr>
            <w:r w:rsidRPr="00337216">
              <w:rPr>
                <w:rFonts w:ascii="Times New Roman" w:hAnsi="Times New Roman"/>
                <w:bCs/>
                <w:color w:val="000000" w:themeColor="text1"/>
                <w:sz w:val="20"/>
                <w:szCs w:val="20"/>
                <w:lang w:val="en-US" w:eastAsia="ru-RU"/>
              </w:rPr>
              <w:t>Q372H</w:t>
            </w:r>
          </w:p>
          <w:p w14:paraId="47222AF2" w14:textId="77777777" w:rsidR="00D41138" w:rsidRPr="00337216" w:rsidRDefault="00D41138">
            <w:pPr>
              <w:pStyle w:val="Brdtekst"/>
              <w:kinsoku w:val="0"/>
              <w:overflowPunct w:val="0"/>
              <w:ind w:left="57"/>
              <w:rPr>
                <w:rFonts w:ascii="Times New Roman" w:hAnsi="Times New Roman"/>
                <w:bCs/>
                <w:color w:val="000000" w:themeColor="text1"/>
                <w:sz w:val="20"/>
                <w:szCs w:val="20"/>
                <w:lang w:val="en-US" w:eastAsia="ru-RU"/>
              </w:rPr>
            </w:pPr>
            <w:r w:rsidRPr="00337216">
              <w:rPr>
                <w:rFonts w:ascii="Times New Roman" w:hAnsi="Times New Roman"/>
                <w:bCs/>
                <w:color w:val="000000" w:themeColor="text1"/>
                <w:sz w:val="20"/>
                <w:szCs w:val="20"/>
                <w:lang w:val="en-US" w:eastAsia="ru-RU"/>
              </w:rPr>
              <w:t>Q493L</w:t>
            </w:r>
          </w:p>
          <w:p w14:paraId="04D6654D" w14:textId="77777777" w:rsidR="00D41138" w:rsidRPr="00337216" w:rsidRDefault="00D41138">
            <w:pPr>
              <w:pStyle w:val="Brdtekst"/>
              <w:kinsoku w:val="0"/>
              <w:overflowPunct w:val="0"/>
              <w:ind w:left="57"/>
              <w:rPr>
                <w:rFonts w:ascii="Times New Roman" w:hAnsi="Times New Roman"/>
                <w:bCs/>
                <w:color w:val="000000" w:themeColor="text1"/>
                <w:sz w:val="20"/>
                <w:szCs w:val="20"/>
                <w:lang w:val="en-US" w:eastAsia="ru-RU"/>
              </w:rPr>
            </w:pPr>
            <w:r w:rsidRPr="00337216">
              <w:rPr>
                <w:rFonts w:ascii="Times New Roman" w:hAnsi="Times New Roman"/>
                <w:bCs/>
                <w:color w:val="000000" w:themeColor="text1"/>
                <w:sz w:val="20"/>
                <w:szCs w:val="20"/>
                <w:lang w:val="en-US" w:eastAsia="ru-RU"/>
              </w:rPr>
              <w:t>Q493R</w:t>
            </w:r>
          </w:p>
          <w:p w14:paraId="2FF8F737" w14:textId="77777777" w:rsidR="00D41138" w:rsidRPr="00337216" w:rsidRDefault="00D41138">
            <w:pPr>
              <w:pStyle w:val="Brdtekst"/>
              <w:kinsoku w:val="0"/>
              <w:overflowPunct w:val="0"/>
              <w:ind w:left="57"/>
              <w:rPr>
                <w:rFonts w:ascii="Times New Roman" w:hAnsi="Times New Roman"/>
                <w:bCs/>
                <w:color w:val="000000" w:themeColor="text1"/>
                <w:sz w:val="20"/>
                <w:szCs w:val="20"/>
                <w:lang w:val="en-US" w:eastAsia="ru-RU"/>
              </w:rPr>
            </w:pPr>
            <w:r w:rsidRPr="00337216">
              <w:rPr>
                <w:rFonts w:ascii="Times New Roman" w:hAnsi="Times New Roman"/>
                <w:bCs/>
                <w:color w:val="000000" w:themeColor="text1"/>
                <w:sz w:val="20"/>
                <w:szCs w:val="20"/>
                <w:lang w:val="en-US" w:eastAsia="ru-RU"/>
              </w:rPr>
              <w:t>Q552P</w:t>
            </w:r>
          </w:p>
          <w:p w14:paraId="7D30D451" w14:textId="77777777" w:rsidR="00D41138" w:rsidRPr="00337216" w:rsidRDefault="00D41138">
            <w:pPr>
              <w:pStyle w:val="Brdtekst"/>
              <w:kinsoku w:val="0"/>
              <w:overflowPunct w:val="0"/>
              <w:ind w:left="57"/>
              <w:rPr>
                <w:rFonts w:ascii="Times New Roman" w:hAnsi="Times New Roman"/>
                <w:bCs/>
                <w:color w:val="000000" w:themeColor="text1"/>
                <w:sz w:val="20"/>
                <w:szCs w:val="20"/>
                <w:lang w:val="en-US" w:eastAsia="ru-RU"/>
              </w:rPr>
            </w:pPr>
            <w:r w:rsidRPr="00337216">
              <w:rPr>
                <w:rFonts w:ascii="Times New Roman" w:hAnsi="Times New Roman"/>
                <w:bCs/>
                <w:color w:val="000000" w:themeColor="text1"/>
                <w:sz w:val="20"/>
                <w:szCs w:val="20"/>
                <w:lang w:val="en-US" w:eastAsia="ru-RU"/>
              </w:rPr>
              <w:t>Q1012P</w:t>
            </w:r>
          </w:p>
          <w:p w14:paraId="554E1160" w14:textId="77777777" w:rsidR="00D41138" w:rsidRPr="00337216" w:rsidRDefault="00D41138">
            <w:pPr>
              <w:pStyle w:val="Brdtekst"/>
              <w:kinsoku w:val="0"/>
              <w:overflowPunct w:val="0"/>
              <w:ind w:left="57"/>
              <w:rPr>
                <w:rFonts w:ascii="Times New Roman" w:hAnsi="Times New Roman"/>
                <w:bCs/>
                <w:color w:val="000000" w:themeColor="text1"/>
                <w:sz w:val="20"/>
                <w:szCs w:val="20"/>
                <w:lang w:val="en-US" w:eastAsia="ru-RU"/>
              </w:rPr>
            </w:pPr>
            <w:r w:rsidRPr="00337216">
              <w:rPr>
                <w:rFonts w:ascii="Times New Roman" w:hAnsi="Times New Roman"/>
                <w:bCs/>
                <w:color w:val="000000" w:themeColor="text1"/>
                <w:sz w:val="20"/>
                <w:szCs w:val="20"/>
                <w:lang w:val="en-US" w:eastAsia="ru-RU"/>
              </w:rPr>
              <w:t>Q1209P</w:t>
            </w:r>
          </w:p>
          <w:p w14:paraId="2EFD63B9" w14:textId="77777777" w:rsidR="00D41138" w:rsidRPr="00337216" w:rsidRDefault="00D41138">
            <w:pPr>
              <w:pStyle w:val="Brdtekst"/>
              <w:kinsoku w:val="0"/>
              <w:overflowPunct w:val="0"/>
              <w:ind w:left="57"/>
              <w:rPr>
                <w:rFonts w:ascii="Times New Roman" w:hAnsi="Times New Roman"/>
                <w:bCs/>
                <w:color w:val="000000" w:themeColor="text1"/>
                <w:sz w:val="20"/>
                <w:szCs w:val="20"/>
                <w:lang w:val="en-US" w:eastAsia="ru-RU"/>
              </w:rPr>
            </w:pPr>
            <w:r w:rsidRPr="00337216">
              <w:rPr>
                <w:rFonts w:ascii="Times New Roman" w:hAnsi="Times New Roman"/>
                <w:bCs/>
                <w:color w:val="000000" w:themeColor="text1"/>
                <w:sz w:val="20"/>
                <w:szCs w:val="20"/>
                <w:lang w:val="en-US" w:eastAsia="ru-RU"/>
              </w:rPr>
              <w:t>Q1291H</w:t>
            </w:r>
          </w:p>
          <w:p w14:paraId="49E76D80" w14:textId="77777777" w:rsidR="00D41138" w:rsidRPr="00337216" w:rsidRDefault="00D41138">
            <w:pPr>
              <w:pStyle w:val="Brdtekst"/>
              <w:kinsoku w:val="0"/>
              <w:overflowPunct w:val="0"/>
              <w:ind w:left="57"/>
              <w:rPr>
                <w:rFonts w:ascii="Times New Roman" w:hAnsi="Times New Roman"/>
                <w:bCs/>
                <w:color w:val="000000" w:themeColor="text1"/>
                <w:sz w:val="20"/>
                <w:szCs w:val="20"/>
                <w:lang w:val="en-US" w:eastAsia="ru-RU"/>
              </w:rPr>
            </w:pPr>
            <w:r w:rsidRPr="00337216">
              <w:rPr>
                <w:rFonts w:ascii="Times New Roman" w:hAnsi="Times New Roman"/>
                <w:bCs/>
                <w:color w:val="000000" w:themeColor="text1"/>
                <w:sz w:val="20"/>
                <w:szCs w:val="20"/>
                <w:lang w:val="en-US" w:eastAsia="ru-RU"/>
              </w:rPr>
              <w:t>Q1291R</w:t>
            </w:r>
          </w:p>
          <w:p w14:paraId="4E60914E" w14:textId="77777777" w:rsidR="00D41138" w:rsidRPr="00337216" w:rsidRDefault="00D41138">
            <w:pPr>
              <w:pStyle w:val="Brdtekst"/>
              <w:kinsoku w:val="0"/>
              <w:overflowPunct w:val="0"/>
              <w:ind w:left="57"/>
              <w:rPr>
                <w:rFonts w:ascii="Times New Roman" w:hAnsi="Times New Roman"/>
                <w:bCs/>
                <w:color w:val="000000" w:themeColor="text1"/>
                <w:sz w:val="20"/>
                <w:szCs w:val="20"/>
                <w:lang w:val="en-US" w:eastAsia="ru-RU"/>
              </w:rPr>
            </w:pPr>
            <w:r w:rsidRPr="00337216">
              <w:rPr>
                <w:rFonts w:ascii="Times New Roman" w:hAnsi="Times New Roman"/>
                <w:bCs/>
                <w:color w:val="000000" w:themeColor="text1"/>
                <w:sz w:val="20"/>
                <w:szCs w:val="20"/>
                <w:lang w:val="en-US" w:eastAsia="ru-RU"/>
              </w:rPr>
              <w:t>Q1313K</w:t>
            </w:r>
          </w:p>
          <w:p w14:paraId="69B333F3" w14:textId="77777777" w:rsidR="00D41138" w:rsidRPr="00337216" w:rsidRDefault="00D41138">
            <w:pPr>
              <w:pStyle w:val="Brdtekst"/>
              <w:kinsoku w:val="0"/>
              <w:overflowPunct w:val="0"/>
              <w:ind w:left="57"/>
              <w:rPr>
                <w:rFonts w:ascii="Times New Roman" w:hAnsi="Times New Roman"/>
                <w:bCs/>
                <w:color w:val="000000" w:themeColor="text1"/>
                <w:sz w:val="20"/>
                <w:szCs w:val="20"/>
                <w:lang w:eastAsia="ru-RU"/>
              </w:rPr>
            </w:pPr>
            <w:r w:rsidRPr="00337216">
              <w:rPr>
                <w:rFonts w:ascii="Times New Roman" w:hAnsi="Times New Roman"/>
                <w:bCs/>
                <w:color w:val="000000" w:themeColor="text1"/>
                <w:sz w:val="20"/>
                <w:szCs w:val="20"/>
                <w:lang w:eastAsia="ru-RU"/>
              </w:rPr>
              <w:t>Q1352H</w:t>
            </w:r>
          </w:p>
          <w:p w14:paraId="1ADCF095" w14:textId="77777777" w:rsidR="00D41138" w:rsidRPr="00337216" w:rsidRDefault="00D41138">
            <w:pPr>
              <w:pStyle w:val="Brdtekst"/>
              <w:kinsoku w:val="0"/>
              <w:overflowPunct w:val="0"/>
              <w:ind w:left="57"/>
              <w:rPr>
                <w:rFonts w:ascii="Times New Roman" w:hAnsi="Times New Roman"/>
                <w:bCs/>
                <w:color w:val="000000" w:themeColor="text1"/>
                <w:sz w:val="20"/>
                <w:szCs w:val="20"/>
                <w:lang w:eastAsia="ru-RU"/>
              </w:rPr>
            </w:pPr>
            <w:r w:rsidRPr="00337216">
              <w:rPr>
                <w:rFonts w:ascii="Times New Roman" w:hAnsi="Times New Roman"/>
                <w:bCs/>
                <w:color w:val="000000" w:themeColor="text1"/>
                <w:sz w:val="20"/>
                <w:szCs w:val="20"/>
                <w:lang w:eastAsia="ru-RU"/>
              </w:rPr>
              <w:t>R31L</w:t>
            </w:r>
          </w:p>
          <w:p w14:paraId="29064EE9" w14:textId="77777777" w:rsidR="00D41138" w:rsidRPr="00337216" w:rsidRDefault="00D41138">
            <w:pPr>
              <w:pStyle w:val="Brdtekst"/>
              <w:kinsoku w:val="0"/>
              <w:overflowPunct w:val="0"/>
              <w:ind w:left="57"/>
              <w:rPr>
                <w:rFonts w:ascii="Times New Roman" w:hAnsi="Times New Roman"/>
                <w:bCs/>
                <w:color w:val="000000" w:themeColor="text1"/>
                <w:sz w:val="20"/>
                <w:szCs w:val="20"/>
                <w:lang w:eastAsia="ru-RU"/>
              </w:rPr>
            </w:pPr>
            <w:r w:rsidRPr="00337216">
              <w:rPr>
                <w:rFonts w:ascii="Times New Roman" w:hAnsi="Times New Roman"/>
                <w:bCs/>
                <w:color w:val="000000" w:themeColor="text1"/>
                <w:sz w:val="20"/>
                <w:szCs w:val="20"/>
                <w:lang w:eastAsia="ru-RU"/>
              </w:rPr>
              <w:t>R74Q</w:t>
            </w:r>
          </w:p>
          <w:p w14:paraId="720DFEC2" w14:textId="77777777" w:rsidR="00D41138" w:rsidRPr="00337216" w:rsidRDefault="00D41138">
            <w:pPr>
              <w:pStyle w:val="Brdtekst"/>
              <w:kinsoku w:val="0"/>
              <w:overflowPunct w:val="0"/>
              <w:ind w:left="57"/>
              <w:rPr>
                <w:rFonts w:ascii="Times New Roman" w:hAnsi="Times New Roman"/>
                <w:bCs/>
                <w:color w:val="000000" w:themeColor="text1"/>
                <w:sz w:val="20"/>
                <w:szCs w:val="20"/>
                <w:lang w:eastAsia="ru-RU"/>
              </w:rPr>
            </w:pPr>
            <w:r w:rsidRPr="00337216">
              <w:rPr>
                <w:rFonts w:ascii="Times New Roman" w:hAnsi="Times New Roman"/>
                <w:bCs/>
                <w:color w:val="000000" w:themeColor="text1"/>
                <w:sz w:val="20"/>
                <w:szCs w:val="20"/>
                <w:lang w:eastAsia="ru-RU"/>
              </w:rPr>
              <w:t>R74Q;R297Q‡</w:t>
            </w:r>
          </w:p>
          <w:p w14:paraId="1DF34892" w14:textId="77777777" w:rsidR="00D41138" w:rsidRPr="00337216" w:rsidRDefault="00D41138">
            <w:pPr>
              <w:pStyle w:val="Brdtekst"/>
              <w:kinsoku w:val="0"/>
              <w:overflowPunct w:val="0"/>
              <w:ind w:left="57"/>
              <w:rPr>
                <w:rFonts w:ascii="Times New Roman" w:hAnsi="Times New Roman"/>
                <w:bCs/>
                <w:color w:val="000000" w:themeColor="text1"/>
                <w:sz w:val="20"/>
                <w:szCs w:val="20"/>
                <w:lang w:eastAsia="ru-RU"/>
              </w:rPr>
            </w:pPr>
            <w:r w:rsidRPr="00337216">
              <w:rPr>
                <w:rFonts w:ascii="Times New Roman" w:hAnsi="Times New Roman"/>
                <w:bCs/>
                <w:color w:val="000000" w:themeColor="text1"/>
                <w:sz w:val="20"/>
                <w:szCs w:val="20"/>
                <w:lang w:eastAsia="ru-RU"/>
              </w:rPr>
              <w:t>R74Q;V201M;D1270N‡</w:t>
            </w:r>
          </w:p>
          <w:p w14:paraId="1933D8B1" w14:textId="77777777" w:rsidR="00D41138" w:rsidRPr="00337216" w:rsidRDefault="00D41138">
            <w:pPr>
              <w:pStyle w:val="Brdtekst"/>
              <w:kinsoku w:val="0"/>
              <w:overflowPunct w:val="0"/>
              <w:ind w:left="57"/>
              <w:rPr>
                <w:rFonts w:ascii="Times New Roman" w:hAnsi="Times New Roman"/>
                <w:bCs/>
                <w:color w:val="000000" w:themeColor="text1"/>
                <w:sz w:val="20"/>
                <w:szCs w:val="20"/>
                <w:lang w:eastAsia="ru-RU"/>
              </w:rPr>
            </w:pPr>
            <w:r w:rsidRPr="00337216">
              <w:rPr>
                <w:rFonts w:ascii="Times New Roman" w:hAnsi="Times New Roman"/>
                <w:bCs/>
                <w:color w:val="000000" w:themeColor="text1"/>
                <w:sz w:val="20"/>
                <w:szCs w:val="20"/>
                <w:lang w:eastAsia="ru-RU"/>
              </w:rPr>
              <w:t>R74W</w:t>
            </w:r>
          </w:p>
          <w:p w14:paraId="750CB4FF" w14:textId="77777777" w:rsidR="00D41138" w:rsidRPr="00337216" w:rsidRDefault="00D41138">
            <w:pPr>
              <w:pStyle w:val="Brdtekst"/>
              <w:kinsoku w:val="0"/>
              <w:overflowPunct w:val="0"/>
              <w:ind w:left="57"/>
              <w:rPr>
                <w:rFonts w:ascii="Times New Roman" w:hAnsi="Times New Roman"/>
                <w:bCs/>
                <w:color w:val="000000" w:themeColor="text1"/>
                <w:sz w:val="20"/>
                <w:szCs w:val="20"/>
                <w:lang w:val="en-US" w:eastAsia="ru-RU"/>
              </w:rPr>
            </w:pPr>
            <w:r w:rsidRPr="00337216">
              <w:rPr>
                <w:rFonts w:ascii="Times New Roman" w:hAnsi="Times New Roman"/>
                <w:bCs/>
                <w:color w:val="000000" w:themeColor="text1"/>
                <w:sz w:val="20"/>
                <w:szCs w:val="20"/>
                <w:lang w:val="en-US" w:eastAsia="ru-RU"/>
              </w:rPr>
              <w:t>R74</w:t>
            </w:r>
            <w:proofErr w:type="gramStart"/>
            <w:r w:rsidRPr="00337216">
              <w:rPr>
                <w:rFonts w:ascii="Times New Roman" w:hAnsi="Times New Roman"/>
                <w:bCs/>
                <w:color w:val="000000" w:themeColor="text1"/>
                <w:sz w:val="20"/>
                <w:szCs w:val="20"/>
                <w:lang w:val="en-US" w:eastAsia="ru-RU"/>
              </w:rPr>
              <w:t>W;D</w:t>
            </w:r>
            <w:proofErr w:type="gramEnd"/>
            <w:r w:rsidRPr="00337216">
              <w:rPr>
                <w:rFonts w:ascii="Times New Roman" w:hAnsi="Times New Roman"/>
                <w:bCs/>
                <w:color w:val="000000" w:themeColor="text1"/>
                <w:sz w:val="20"/>
                <w:szCs w:val="20"/>
                <w:lang w:val="en-US" w:eastAsia="ru-RU"/>
              </w:rPr>
              <w:t>1270N‡</w:t>
            </w:r>
          </w:p>
          <w:p w14:paraId="03888B68" w14:textId="77777777" w:rsidR="00D41138" w:rsidRPr="00337216" w:rsidRDefault="00D41138">
            <w:pPr>
              <w:pStyle w:val="Brdtekst"/>
              <w:kinsoku w:val="0"/>
              <w:overflowPunct w:val="0"/>
              <w:ind w:left="57"/>
              <w:rPr>
                <w:rFonts w:ascii="Times New Roman" w:hAnsi="Times New Roman"/>
                <w:bCs/>
                <w:color w:val="000000" w:themeColor="text1"/>
                <w:sz w:val="20"/>
                <w:szCs w:val="20"/>
                <w:lang w:val="en-US" w:eastAsia="ru-RU"/>
              </w:rPr>
            </w:pPr>
            <w:r w:rsidRPr="00337216">
              <w:rPr>
                <w:rFonts w:ascii="Times New Roman" w:hAnsi="Times New Roman"/>
                <w:bCs/>
                <w:color w:val="000000" w:themeColor="text1"/>
                <w:sz w:val="20"/>
                <w:szCs w:val="20"/>
                <w:lang w:val="en-US" w:eastAsia="ru-RU"/>
              </w:rPr>
              <w:t>R74</w:t>
            </w:r>
            <w:proofErr w:type="gramStart"/>
            <w:r w:rsidRPr="00337216">
              <w:rPr>
                <w:rFonts w:ascii="Times New Roman" w:hAnsi="Times New Roman"/>
                <w:bCs/>
                <w:color w:val="000000" w:themeColor="text1"/>
                <w:sz w:val="20"/>
                <w:szCs w:val="20"/>
                <w:lang w:val="en-US" w:eastAsia="ru-RU"/>
              </w:rPr>
              <w:t>W;R</w:t>
            </w:r>
            <w:proofErr w:type="gramEnd"/>
            <w:r w:rsidRPr="00337216">
              <w:rPr>
                <w:rFonts w:ascii="Times New Roman" w:hAnsi="Times New Roman"/>
                <w:bCs/>
                <w:color w:val="000000" w:themeColor="text1"/>
                <w:sz w:val="20"/>
                <w:szCs w:val="20"/>
                <w:lang w:val="en-US" w:eastAsia="ru-RU"/>
              </w:rPr>
              <w:t>1070W;D1270N‡</w:t>
            </w:r>
          </w:p>
          <w:p w14:paraId="2858D67F" w14:textId="77777777" w:rsidR="00D41138" w:rsidRPr="00337216" w:rsidRDefault="00D41138">
            <w:pPr>
              <w:pStyle w:val="Brdtekst"/>
              <w:kinsoku w:val="0"/>
              <w:overflowPunct w:val="0"/>
              <w:ind w:left="57"/>
              <w:rPr>
                <w:rFonts w:ascii="Times New Roman" w:hAnsi="Times New Roman"/>
                <w:bCs/>
                <w:color w:val="000000" w:themeColor="text1"/>
                <w:sz w:val="20"/>
                <w:szCs w:val="20"/>
                <w:lang w:val="en-US" w:eastAsia="ru-RU"/>
              </w:rPr>
            </w:pPr>
            <w:r w:rsidRPr="00337216">
              <w:rPr>
                <w:rFonts w:ascii="Times New Roman" w:hAnsi="Times New Roman"/>
                <w:bCs/>
                <w:color w:val="000000" w:themeColor="text1"/>
                <w:sz w:val="20"/>
                <w:szCs w:val="20"/>
                <w:lang w:val="en-US" w:eastAsia="ru-RU"/>
              </w:rPr>
              <w:t>R74</w:t>
            </w:r>
            <w:proofErr w:type="gramStart"/>
            <w:r w:rsidRPr="00337216">
              <w:rPr>
                <w:rFonts w:ascii="Times New Roman" w:hAnsi="Times New Roman"/>
                <w:bCs/>
                <w:color w:val="000000" w:themeColor="text1"/>
                <w:sz w:val="20"/>
                <w:szCs w:val="20"/>
                <w:lang w:val="en-US" w:eastAsia="ru-RU"/>
              </w:rPr>
              <w:t>W;S</w:t>
            </w:r>
            <w:proofErr w:type="gramEnd"/>
            <w:r w:rsidRPr="00337216">
              <w:rPr>
                <w:rFonts w:ascii="Times New Roman" w:hAnsi="Times New Roman"/>
                <w:bCs/>
                <w:color w:val="000000" w:themeColor="text1"/>
                <w:sz w:val="20"/>
                <w:szCs w:val="20"/>
                <w:lang w:val="en-US" w:eastAsia="ru-RU"/>
              </w:rPr>
              <w:t>945L‡</w:t>
            </w:r>
          </w:p>
          <w:p w14:paraId="73298513" w14:textId="77777777" w:rsidR="00D41138" w:rsidRPr="00337216" w:rsidRDefault="00D41138">
            <w:pPr>
              <w:pStyle w:val="Brdtekst"/>
              <w:kinsoku w:val="0"/>
              <w:overflowPunct w:val="0"/>
              <w:ind w:left="57"/>
              <w:rPr>
                <w:rFonts w:ascii="Times New Roman" w:hAnsi="Times New Roman"/>
                <w:bCs/>
                <w:color w:val="000000" w:themeColor="text1"/>
                <w:sz w:val="20"/>
                <w:szCs w:val="20"/>
                <w:lang w:val="en-US" w:eastAsia="ru-RU"/>
              </w:rPr>
            </w:pPr>
            <w:r w:rsidRPr="00337216">
              <w:rPr>
                <w:rFonts w:ascii="Times New Roman" w:hAnsi="Times New Roman"/>
                <w:bCs/>
                <w:color w:val="000000" w:themeColor="text1"/>
                <w:sz w:val="20"/>
                <w:szCs w:val="20"/>
                <w:lang w:val="en-US" w:eastAsia="ru-RU"/>
              </w:rPr>
              <w:t>R74</w:t>
            </w:r>
            <w:proofErr w:type="gramStart"/>
            <w:r w:rsidRPr="00337216">
              <w:rPr>
                <w:rFonts w:ascii="Times New Roman" w:hAnsi="Times New Roman"/>
                <w:bCs/>
                <w:color w:val="000000" w:themeColor="text1"/>
                <w:sz w:val="20"/>
                <w:szCs w:val="20"/>
                <w:lang w:val="en-US" w:eastAsia="ru-RU"/>
              </w:rPr>
              <w:t>W;V</w:t>
            </w:r>
            <w:proofErr w:type="gramEnd"/>
            <w:r w:rsidRPr="00337216">
              <w:rPr>
                <w:rFonts w:ascii="Times New Roman" w:hAnsi="Times New Roman"/>
                <w:bCs/>
                <w:color w:val="000000" w:themeColor="text1"/>
                <w:sz w:val="20"/>
                <w:szCs w:val="20"/>
                <w:lang w:val="en-US" w:eastAsia="ru-RU"/>
              </w:rPr>
              <w:t>201M‡</w:t>
            </w:r>
          </w:p>
          <w:p w14:paraId="1AE319EC" w14:textId="77777777" w:rsidR="00D41138" w:rsidRPr="00337216" w:rsidRDefault="00D41138">
            <w:pPr>
              <w:pStyle w:val="Brdtekst"/>
              <w:kinsoku w:val="0"/>
              <w:overflowPunct w:val="0"/>
              <w:ind w:left="57"/>
              <w:rPr>
                <w:rFonts w:ascii="Times New Roman" w:hAnsi="Times New Roman"/>
                <w:bCs/>
                <w:color w:val="000000" w:themeColor="text1"/>
                <w:sz w:val="20"/>
                <w:szCs w:val="20"/>
                <w:lang w:val="en-US" w:eastAsia="ru-RU"/>
              </w:rPr>
            </w:pPr>
            <w:r w:rsidRPr="00337216">
              <w:rPr>
                <w:rFonts w:ascii="Times New Roman" w:hAnsi="Times New Roman"/>
                <w:bCs/>
                <w:color w:val="000000" w:themeColor="text1"/>
                <w:sz w:val="20"/>
                <w:szCs w:val="20"/>
                <w:lang w:val="en-US" w:eastAsia="ru-RU"/>
              </w:rPr>
              <w:t>R74</w:t>
            </w:r>
            <w:proofErr w:type="gramStart"/>
            <w:r w:rsidRPr="00337216">
              <w:rPr>
                <w:rFonts w:ascii="Times New Roman" w:hAnsi="Times New Roman"/>
                <w:bCs/>
                <w:color w:val="000000" w:themeColor="text1"/>
                <w:sz w:val="20"/>
                <w:szCs w:val="20"/>
                <w:lang w:val="en-US" w:eastAsia="ru-RU"/>
              </w:rPr>
              <w:t>W;V</w:t>
            </w:r>
            <w:proofErr w:type="gramEnd"/>
            <w:r w:rsidRPr="00337216">
              <w:rPr>
                <w:rFonts w:ascii="Times New Roman" w:hAnsi="Times New Roman"/>
                <w:bCs/>
                <w:color w:val="000000" w:themeColor="text1"/>
                <w:sz w:val="20"/>
                <w:szCs w:val="20"/>
                <w:lang w:val="en-US" w:eastAsia="ru-RU"/>
              </w:rPr>
              <w:t>201M;D1270N‡</w:t>
            </w:r>
          </w:p>
          <w:p w14:paraId="15663B7E" w14:textId="77777777" w:rsidR="00D41138" w:rsidRPr="00337216" w:rsidRDefault="00D41138">
            <w:pPr>
              <w:pStyle w:val="Brdtekst"/>
              <w:kinsoku w:val="0"/>
              <w:overflowPunct w:val="0"/>
              <w:ind w:left="57"/>
              <w:rPr>
                <w:rFonts w:ascii="Times New Roman" w:hAnsi="Times New Roman"/>
                <w:bCs/>
                <w:color w:val="000000" w:themeColor="text1"/>
                <w:sz w:val="20"/>
                <w:szCs w:val="20"/>
                <w:lang w:eastAsia="ru-RU"/>
              </w:rPr>
            </w:pPr>
            <w:r w:rsidRPr="00337216">
              <w:rPr>
                <w:rFonts w:ascii="Times New Roman" w:hAnsi="Times New Roman"/>
                <w:bCs/>
                <w:color w:val="000000" w:themeColor="text1"/>
                <w:sz w:val="20"/>
                <w:szCs w:val="20"/>
                <w:lang w:eastAsia="ru-RU"/>
              </w:rPr>
              <w:t>R74W;V201M;L997F‡</w:t>
            </w:r>
          </w:p>
          <w:p w14:paraId="0E051290" w14:textId="77777777" w:rsidR="00D41138" w:rsidRPr="00337216" w:rsidRDefault="00D41138">
            <w:pPr>
              <w:pStyle w:val="Brdtekst"/>
              <w:kinsoku w:val="0"/>
              <w:overflowPunct w:val="0"/>
              <w:ind w:left="57"/>
              <w:rPr>
                <w:rFonts w:ascii="Times New Roman" w:hAnsi="Times New Roman"/>
                <w:bCs/>
                <w:color w:val="000000" w:themeColor="text1"/>
                <w:sz w:val="20"/>
                <w:szCs w:val="20"/>
                <w:lang w:eastAsia="ru-RU"/>
              </w:rPr>
            </w:pPr>
            <w:r w:rsidRPr="00337216">
              <w:rPr>
                <w:rFonts w:ascii="Times New Roman" w:hAnsi="Times New Roman"/>
                <w:bCs/>
                <w:color w:val="000000" w:themeColor="text1"/>
                <w:sz w:val="20"/>
                <w:szCs w:val="20"/>
                <w:lang w:eastAsia="ru-RU"/>
              </w:rPr>
              <w:t>R75L</w:t>
            </w:r>
          </w:p>
          <w:p w14:paraId="73A5E438" w14:textId="77777777" w:rsidR="00D41138" w:rsidRPr="00337216" w:rsidRDefault="00D41138">
            <w:pPr>
              <w:pStyle w:val="Brdtekst"/>
              <w:kinsoku w:val="0"/>
              <w:overflowPunct w:val="0"/>
              <w:ind w:left="57"/>
              <w:rPr>
                <w:rFonts w:ascii="Times New Roman" w:hAnsi="Times New Roman"/>
                <w:bCs/>
                <w:color w:val="000000" w:themeColor="text1"/>
                <w:sz w:val="20"/>
                <w:szCs w:val="20"/>
                <w:lang w:val="en-US" w:eastAsia="ru-RU"/>
              </w:rPr>
            </w:pPr>
            <w:r w:rsidRPr="00337216">
              <w:rPr>
                <w:rFonts w:ascii="Times New Roman" w:hAnsi="Times New Roman"/>
                <w:bCs/>
                <w:color w:val="000000" w:themeColor="text1"/>
                <w:sz w:val="20"/>
                <w:szCs w:val="20"/>
                <w:lang w:val="en-US" w:eastAsia="ru-RU"/>
              </w:rPr>
              <w:t>R75</w:t>
            </w:r>
            <w:proofErr w:type="gramStart"/>
            <w:r w:rsidRPr="00337216">
              <w:rPr>
                <w:rFonts w:ascii="Times New Roman" w:hAnsi="Times New Roman"/>
                <w:bCs/>
                <w:color w:val="000000" w:themeColor="text1"/>
                <w:sz w:val="20"/>
                <w:szCs w:val="20"/>
                <w:lang w:val="en-US" w:eastAsia="ru-RU"/>
              </w:rPr>
              <w:t>Q;L</w:t>
            </w:r>
            <w:proofErr w:type="gramEnd"/>
            <w:r w:rsidRPr="00337216">
              <w:rPr>
                <w:rFonts w:ascii="Times New Roman" w:hAnsi="Times New Roman"/>
                <w:bCs/>
                <w:color w:val="000000" w:themeColor="text1"/>
                <w:sz w:val="20"/>
                <w:szCs w:val="20"/>
                <w:lang w:val="en-US" w:eastAsia="ru-RU"/>
              </w:rPr>
              <w:t>1065P‡</w:t>
            </w:r>
          </w:p>
          <w:p w14:paraId="3E31243E" w14:textId="77777777" w:rsidR="00D41138" w:rsidRPr="00337216" w:rsidRDefault="00D41138">
            <w:pPr>
              <w:pStyle w:val="Brdtekst"/>
              <w:kinsoku w:val="0"/>
              <w:overflowPunct w:val="0"/>
              <w:ind w:left="57"/>
              <w:rPr>
                <w:rFonts w:ascii="Times New Roman" w:hAnsi="Times New Roman"/>
                <w:bCs/>
                <w:color w:val="000000" w:themeColor="text1"/>
                <w:sz w:val="20"/>
                <w:szCs w:val="20"/>
                <w:lang w:val="en-US" w:eastAsia="ru-RU"/>
              </w:rPr>
            </w:pPr>
            <w:r w:rsidRPr="00337216">
              <w:rPr>
                <w:rFonts w:ascii="Times New Roman" w:hAnsi="Times New Roman"/>
                <w:bCs/>
                <w:color w:val="000000" w:themeColor="text1"/>
                <w:sz w:val="20"/>
                <w:szCs w:val="20"/>
                <w:lang w:val="en-US" w:eastAsia="ru-RU"/>
              </w:rPr>
              <w:t>R75</w:t>
            </w:r>
            <w:proofErr w:type="gramStart"/>
            <w:r w:rsidRPr="00337216">
              <w:rPr>
                <w:rFonts w:ascii="Times New Roman" w:hAnsi="Times New Roman"/>
                <w:bCs/>
                <w:color w:val="000000" w:themeColor="text1"/>
                <w:sz w:val="20"/>
                <w:szCs w:val="20"/>
                <w:lang w:val="en-US" w:eastAsia="ru-RU"/>
              </w:rPr>
              <w:t>Q;N</w:t>
            </w:r>
            <w:proofErr w:type="gramEnd"/>
            <w:r w:rsidRPr="00337216">
              <w:rPr>
                <w:rFonts w:ascii="Times New Roman" w:hAnsi="Times New Roman"/>
                <w:bCs/>
                <w:color w:val="000000" w:themeColor="text1"/>
                <w:sz w:val="20"/>
                <w:szCs w:val="20"/>
                <w:lang w:val="en-US" w:eastAsia="ru-RU"/>
              </w:rPr>
              <w:t>1088D‡</w:t>
            </w:r>
          </w:p>
          <w:p w14:paraId="7E482793" w14:textId="77777777" w:rsidR="00D41138" w:rsidRPr="00337216" w:rsidRDefault="00D41138">
            <w:pPr>
              <w:pStyle w:val="Brdtekst"/>
              <w:kinsoku w:val="0"/>
              <w:overflowPunct w:val="0"/>
              <w:ind w:left="57"/>
              <w:rPr>
                <w:rFonts w:ascii="Times New Roman" w:hAnsi="Times New Roman"/>
                <w:bCs/>
                <w:color w:val="000000" w:themeColor="text1"/>
                <w:sz w:val="20"/>
                <w:szCs w:val="20"/>
                <w:lang w:val="en-US" w:eastAsia="ru-RU"/>
              </w:rPr>
            </w:pPr>
            <w:r w:rsidRPr="00337216">
              <w:rPr>
                <w:rFonts w:ascii="Times New Roman" w:hAnsi="Times New Roman"/>
                <w:bCs/>
                <w:color w:val="000000" w:themeColor="text1"/>
                <w:sz w:val="20"/>
                <w:szCs w:val="20"/>
                <w:lang w:val="en-US" w:eastAsia="ru-RU"/>
              </w:rPr>
              <w:t>R75</w:t>
            </w:r>
            <w:proofErr w:type="gramStart"/>
            <w:r w:rsidRPr="00337216">
              <w:rPr>
                <w:rFonts w:ascii="Times New Roman" w:hAnsi="Times New Roman"/>
                <w:bCs/>
                <w:color w:val="000000" w:themeColor="text1"/>
                <w:sz w:val="20"/>
                <w:szCs w:val="20"/>
                <w:lang w:val="en-US" w:eastAsia="ru-RU"/>
              </w:rPr>
              <w:t>Q;S</w:t>
            </w:r>
            <w:proofErr w:type="gramEnd"/>
            <w:r w:rsidRPr="00337216">
              <w:rPr>
                <w:rFonts w:ascii="Times New Roman" w:hAnsi="Times New Roman"/>
                <w:bCs/>
                <w:color w:val="000000" w:themeColor="text1"/>
                <w:sz w:val="20"/>
                <w:szCs w:val="20"/>
                <w:lang w:val="en-US" w:eastAsia="ru-RU"/>
              </w:rPr>
              <w:t>549N‡</w:t>
            </w:r>
          </w:p>
          <w:p w14:paraId="3123366D" w14:textId="77777777" w:rsidR="00D41138" w:rsidRPr="00337216" w:rsidRDefault="00D41138">
            <w:pPr>
              <w:pStyle w:val="Brdtekst"/>
              <w:kinsoku w:val="0"/>
              <w:overflowPunct w:val="0"/>
              <w:ind w:left="57"/>
              <w:rPr>
                <w:rFonts w:ascii="Times New Roman" w:hAnsi="Times New Roman"/>
                <w:bCs/>
                <w:color w:val="000000" w:themeColor="text1"/>
                <w:sz w:val="20"/>
                <w:szCs w:val="20"/>
                <w:lang w:val="en-US" w:eastAsia="ru-RU"/>
              </w:rPr>
            </w:pPr>
            <w:r w:rsidRPr="00337216">
              <w:rPr>
                <w:rFonts w:ascii="Times New Roman" w:hAnsi="Times New Roman"/>
                <w:bCs/>
                <w:color w:val="000000" w:themeColor="text1"/>
                <w:sz w:val="20"/>
                <w:szCs w:val="20"/>
                <w:lang w:val="en-US" w:eastAsia="ru-RU"/>
              </w:rPr>
              <w:t>R117C†</w:t>
            </w:r>
          </w:p>
          <w:p w14:paraId="2EEBCF89" w14:textId="77777777" w:rsidR="00D41138" w:rsidRPr="00337216" w:rsidRDefault="00D41138">
            <w:pPr>
              <w:pStyle w:val="Brdtekst"/>
              <w:kinsoku w:val="0"/>
              <w:overflowPunct w:val="0"/>
              <w:ind w:left="57"/>
              <w:rPr>
                <w:rFonts w:ascii="Times New Roman" w:hAnsi="Times New Roman"/>
                <w:bCs/>
                <w:color w:val="000000" w:themeColor="text1"/>
                <w:sz w:val="20"/>
                <w:szCs w:val="20"/>
                <w:lang w:val="en-US" w:eastAsia="ru-RU"/>
              </w:rPr>
            </w:pPr>
            <w:r w:rsidRPr="00337216">
              <w:rPr>
                <w:rFonts w:ascii="Times New Roman" w:hAnsi="Times New Roman"/>
                <w:bCs/>
                <w:color w:val="000000" w:themeColor="text1"/>
                <w:sz w:val="20"/>
                <w:szCs w:val="20"/>
                <w:lang w:val="en-US" w:eastAsia="ru-RU"/>
              </w:rPr>
              <w:t>R117</w:t>
            </w:r>
            <w:proofErr w:type="gramStart"/>
            <w:r w:rsidRPr="00337216">
              <w:rPr>
                <w:rFonts w:ascii="Times New Roman" w:hAnsi="Times New Roman"/>
                <w:bCs/>
                <w:color w:val="000000" w:themeColor="text1"/>
                <w:sz w:val="20"/>
                <w:szCs w:val="20"/>
                <w:lang w:val="en-US" w:eastAsia="ru-RU"/>
              </w:rPr>
              <w:t>C;G</w:t>
            </w:r>
            <w:proofErr w:type="gramEnd"/>
            <w:r w:rsidRPr="00337216">
              <w:rPr>
                <w:rFonts w:ascii="Times New Roman" w:hAnsi="Times New Roman"/>
                <w:bCs/>
                <w:color w:val="000000" w:themeColor="text1"/>
                <w:sz w:val="20"/>
                <w:szCs w:val="20"/>
                <w:lang w:val="en-US" w:eastAsia="ru-RU"/>
              </w:rPr>
              <w:t>576A;R668C‡</w:t>
            </w:r>
          </w:p>
          <w:p w14:paraId="27858FBD" w14:textId="77777777" w:rsidR="00D41138" w:rsidRPr="00337216" w:rsidRDefault="00D41138">
            <w:pPr>
              <w:pStyle w:val="Brdtekst"/>
              <w:kinsoku w:val="0"/>
              <w:overflowPunct w:val="0"/>
              <w:ind w:left="57"/>
              <w:rPr>
                <w:rFonts w:ascii="Times New Roman" w:hAnsi="Times New Roman"/>
                <w:bCs/>
                <w:color w:val="000000" w:themeColor="text1"/>
                <w:sz w:val="20"/>
                <w:szCs w:val="20"/>
                <w:lang w:val="en-US" w:eastAsia="ru-RU"/>
              </w:rPr>
            </w:pPr>
            <w:r w:rsidRPr="00337216">
              <w:rPr>
                <w:rFonts w:ascii="Times New Roman" w:hAnsi="Times New Roman"/>
                <w:bCs/>
                <w:color w:val="000000" w:themeColor="text1"/>
                <w:sz w:val="20"/>
                <w:szCs w:val="20"/>
                <w:lang w:val="en-US" w:eastAsia="ru-RU"/>
              </w:rPr>
              <w:t>R117G</w:t>
            </w:r>
          </w:p>
          <w:p w14:paraId="49E81EC0" w14:textId="77777777" w:rsidR="00D41138" w:rsidRPr="00337216" w:rsidRDefault="00D41138">
            <w:pPr>
              <w:pStyle w:val="Brdtekst"/>
              <w:kinsoku w:val="0"/>
              <w:overflowPunct w:val="0"/>
              <w:ind w:left="57"/>
              <w:rPr>
                <w:rFonts w:ascii="Times New Roman" w:hAnsi="Times New Roman"/>
                <w:bCs/>
                <w:color w:val="000000" w:themeColor="text1"/>
                <w:sz w:val="20"/>
                <w:szCs w:val="20"/>
                <w:lang w:val="en-US" w:eastAsia="ru-RU"/>
              </w:rPr>
            </w:pPr>
            <w:r w:rsidRPr="00337216">
              <w:rPr>
                <w:rFonts w:ascii="Times New Roman" w:hAnsi="Times New Roman"/>
                <w:bCs/>
                <w:color w:val="000000" w:themeColor="text1"/>
                <w:sz w:val="20"/>
                <w:szCs w:val="20"/>
                <w:lang w:val="en-US" w:eastAsia="ru-RU"/>
              </w:rPr>
              <w:t>R117H*</w:t>
            </w:r>
          </w:p>
          <w:p w14:paraId="68F08477" w14:textId="77777777" w:rsidR="00D41138" w:rsidRPr="00337216" w:rsidRDefault="00D41138">
            <w:pPr>
              <w:pStyle w:val="Brdtekst"/>
              <w:kinsoku w:val="0"/>
              <w:overflowPunct w:val="0"/>
              <w:ind w:left="57"/>
              <w:rPr>
                <w:rFonts w:ascii="Times New Roman" w:hAnsi="Times New Roman"/>
                <w:bCs/>
                <w:color w:val="000000" w:themeColor="text1"/>
                <w:sz w:val="20"/>
                <w:szCs w:val="20"/>
                <w:lang w:val="en-US" w:eastAsia="ru-RU"/>
              </w:rPr>
            </w:pPr>
            <w:r w:rsidRPr="00337216">
              <w:rPr>
                <w:rFonts w:ascii="Times New Roman" w:hAnsi="Times New Roman"/>
                <w:bCs/>
                <w:color w:val="000000" w:themeColor="text1"/>
                <w:sz w:val="20"/>
                <w:szCs w:val="20"/>
                <w:lang w:val="en-US" w:eastAsia="ru-RU"/>
              </w:rPr>
              <w:t>R117L</w:t>
            </w:r>
          </w:p>
          <w:p w14:paraId="6E16A577" w14:textId="77777777" w:rsidR="00D41138" w:rsidRPr="00337216" w:rsidRDefault="00D41138">
            <w:pPr>
              <w:pStyle w:val="Brdtekst"/>
              <w:kinsoku w:val="0"/>
              <w:overflowPunct w:val="0"/>
              <w:ind w:left="57"/>
              <w:rPr>
                <w:rFonts w:ascii="Times New Roman" w:hAnsi="Times New Roman"/>
                <w:bCs/>
                <w:color w:val="000000" w:themeColor="text1"/>
                <w:sz w:val="20"/>
                <w:szCs w:val="20"/>
                <w:lang w:val="en-US" w:eastAsia="ru-RU"/>
              </w:rPr>
            </w:pPr>
            <w:r w:rsidRPr="00337216">
              <w:rPr>
                <w:rFonts w:ascii="Times New Roman" w:hAnsi="Times New Roman"/>
                <w:bCs/>
                <w:color w:val="000000" w:themeColor="text1"/>
                <w:sz w:val="20"/>
                <w:szCs w:val="20"/>
                <w:lang w:val="en-US" w:eastAsia="ru-RU"/>
              </w:rPr>
              <w:t>R117</w:t>
            </w:r>
            <w:proofErr w:type="gramStart"/>
            <w:r w:rsidRPr="00337216">
              <w:rPr>
                <w:rFonts w:ascii="Times New Roman" w:hAnsi="Times New Roman"/>
                <w:bCs/>
                <w:color w:val="000000" w:themeColor="text1"/>
                <w:sz w:val="20"/>
                <w:szCs w:val="20"/>
                <w:lang w:val="en-US" w:eastAsia="ru-RU"/>
              </w:rPr>
              <w:t>L;L</w:t>
            </w:r>
            <w:proofErr w:type="gramEnd"/>
            <w:r w:rsidRPr="00337216">
              <w:rPr>
                <w:rFonts w:ascii="Times New Roman" w:hAnsi="Times New Roman"/>
                <w:bCs/>
                <w:color w:val="000000" w:themeColor="text1"/>
                <w:sz w:val="20"/>
                <w:szCs w:val="20"/>
                <w:lang w:val="en-US" w:eastAsia="ru-RU"/>
              </w:rPr>
              <w:t>997F‡</w:t>
            </w:r>
          </w:p>
          <w:p w14:paraId="75D6B712" w14:textId="77777777" w:rsidR="00D41138" w:rsidRPr="00337216" w:rsidRDefault="00D41138">
            <w:pPr>
              <w:pStyle w:val="Brdtekst"/>
              <w:kinsoku w:val="0"/>
              <w:overflowPunct w:val="0"/>
              <w:ind w:left="57"/>
              <w:rPr>
                <w:rFonts w:ascii="Times New Roman" w:hAnsi="Times New Roman"/>
                <w:bCs/>
                <w:color w:val="000000" w:themeColor="text1"/>
                <w:sz w:val="20"/>
                <w:szCs w:val="20"/>
                <w:lang w:val="en-US" w:eastAsia="ru-RU"/>
              </w:rPr>
            </w:pPr>
            <w:r w:rsidRPr="00337216">
              <w:rPr>
                <w:rFonts w:ascii="Times New Roman" w:hAnsi="Times New Roman"/>
                <w:bCs/>
                <w:color w:val="000000" w:themeColor="text1"/>
                <w:sz w:val="20"/>
                <w:szCs w:val="20"/>
                <w:lang w:val="en-US" w:eastAsia="ru-RU"/>
              </w:rPr>
              <w:t>R117P</w:t>
            </w:r>
          </w:p>
          <w:p w14:paraId="493A1CA8" w14:textId="77777777" w:rsidR="00D41138" w:rsidRPr="00337216" w:rsidRDefault="00D41138">
            <w:pPr>
              <w:pStyle w:val="Brdtekst"/>
              <w:kinsoku w:val="0"/>
              <w:overflowPunct w:val="0"/>
              <w:ind w:left="57"/>
              <w:rPr>
                <w:rFonts w:ascii="Times New Roman" w:hAnsi="Times New Roman"/>
                <w:bCs/>
                <w:color w:val="000000" w:themeColor="text1"/>
                <w:sz w:val="20"/>
                <w:szCs w:val="20"/>
                <w:lang w:val="en-US" w:eastAsia="ru-RU"/>
              </w:rPr>
            </w:pPr>
            <w:r w:rsidRPr="00337216">
              <w:rPr>
                <w:rFonts w:ascii="Times New Roman" w:hAnsi="Times New Roman"/>
                <w:bCs/>
                <w:color w:val="000000" w:themeColor="text1"/>
                <w:sz w:val="20"/>
                <w:szCs w:val="20"/>
                <w:lang w:val="en-US" w:eastAsia="ru-RU"/>
              </w:rPr>
              <w:t>R248K</w:t>
            </w:r>
          </w:p>
          <w:p w14:paraId="556A4141" w14:textId="77777777" w:rsidR="00D41138" w:rsidRPr="00337216" w:rsidRDefault="00D41138">
            <w:pPr>
              <w:pStyle w:val="Brdtekst"/>
              <w:kinsoku w:val="0"/>
              <w:overflowPunct w:val="0"/>
              <w:ind w:left="57"/>
              <w:rPr>
                <w:rFonts w:ascii="Times New Roman" w:hAnsi="Times New Roman"/>
                <w:bCs/>
                <w:color w:val="000000" w:themeColor="text1"/>
                <w:sz w:val="20"/>
                <w:szCs w:val="20"/>
                <w:lang w:val="en-US" w:eastAsia="ru-RU"/>
              </w:rPr>
            </w:pPr>
            <w:r w:rsidRPr="00337216">
              <w:rPr>
                <w:rFonts w:ascii="Times New Roman" w:hAnsi="Times New Roman"/>
                <w:bCs/>
                <w:color w:val="000000" w:themeColor="text1"/>
                <w:sz w:val="20"/>
                <w:szCs w:val="20"/>
                <w:lang w:val="en-US" w:eastAsia="ru-RU"/>
              </w:rPr>
              <w:t>R258G</w:t>
            </w:r>
          </w:p>
          <w:p w14:paraId="68564DDA" w14:textId="77777777" w:rsidR="00D41138" w:rsidRPr="00337216" w:rsidRDefault="00D41138">
            <w:pPr>
              <w:pStyle w:val="Brdtekst"/>
              <w:kinsoku w:val="0"/>
              <w:overflowPunct w:val="0"/>
              <w:ind w:left="57"/>
              <w:rPr>
                <w:rFonts w:ascii="Times New Roman" w:hAnsi="Times New Roman"/>
                <w:bCs/>
                <w:color w:val="000000" w:themeColor="text1"/>
                <w:sz w:val="20"/>
                <w:szCs w:val="20"/>
                <w:lang w:val="en-US" w:eastAsia="ru-RU"/>
              </w:rPr>
            </w:pPr>
            <w:r w:rsidRPr="00337216">
              <w:rPr>
                <w:rFonts w:ascii="Times New Roman" w:hAnsi="Times New Roman"/>
                <w:bCs/>
                <w:color w:val="000000" w:themeColor="text1"/>
                <w:sz w:val="20"/>
                <w:szCs w:val="20"/>
                <w:lang w:val="en-US" w:eastAsia="ru-RU"/>
              </w:rPr>
              <w:t>R297Q</w:t>
            </w:r>
          </w:p>
          <w:p w14:paraId="51F58BF8" w14:textId="77777777" w:rsidR="00D41138" w:rsidRPr="00337216" w:rsidRDefault="00D41138">
            <w:pPr>
              <w:pStyle w:val="Brdtekst"/>
              <w:kinsoku w:val="0"/>
              <w:overflowPunct w:val="0"/>
              <w:ind w:left="57"/>
              <w:rPr>
                <w:rFonts w:ascii="Times New Roman" w:hAnsi="Times New Roman"/>
                <w:bCs/>
                <w:color w:val="000000" w:themeColor="text1"/>
                <w:sz w:val="20"/>
                <w:szCs w:val="20"/>
                <w:lang w:val="en-US" w:eastAsia="ru-RU"/>
              </w:rPr>
            </w:pPr>
            <w:r w:rsidRPr="00337216">
              <w:rPr>
                <w:rFonts w:ascii="Times New Roman" w:hAnsi="Times New Roman"/>
                <w:bCs/>
                <w:color w:val="000000" w:themeColor="text1"/>
                <w:sz w:val="20"/>
                <w:szCs w:val="20"/>
                <w:lang w:val="en-US" w:eastAsia="ru-RU"/>
              </w:rPr>
              <w:t>R334L</w:t>
            </w:r>
          </w:p>
          <w:p w14:paraId="540798E3" w14:textId="77777777" w:rsidR="00D41138" w:rsidRPr="00337216" w:rsidRDefault="00D41138">
            <w:pPr>
              <w:pStyle w:val="Brdtekst"/>
              <w:kinsoku w:val="0"/>
              <w:overflowPunct w:val="0"/>
              <w:ind w:left="57"/>
              <w:rPr>
                <w:rFonts w:ascii="Times New Roman" w:hAnsi="Times New Roman"/>
                <w:bCs/>
                <w:color w:val="000000" w:themeColor="text1"/>
                <w:sz w:val="20"/>
                <w:szCs w:val="20"/>
                <w:lang w:val="en-US" w:eastAsia="ru-RU"/>
              </w:rPr>
            </w:pPr>
            <w:r w:rsidRPr="00337216">
              <w:rPr>
                <w:rFonts w:ascii="Times New Roman" w:hAnsi="Times New Roman"/>
                <w:bCs/>
                <w:color w:val="000000" w:themeColor="text1"/>
                <w:sz w:val="20"/>
                <w:szCs w:val="20"/>
                <w:lang w:val="en-US" w:eastAsia="ru-RU"/>
              </w:rPr>
              <w:t>R334Q</w:t>
            </w:r>
          </w:p>
          <w:p w14:paraId="4281169B" w14:textId="77777777" w:rsidR="00D41138" w:rsidRPr="00337216" w:rsidRDefault="00D41138">
            <w:pPr>
              <w:pStyle w:val="Brdtekst"/>
              <w:kinsoku w:val="0"/>
              <w:overflowPunct w:val="0"/>
              <w:ind w:left="57"/>
              <w:rPr>
                <w:rFonts w:ascii="Times New Roman" w:hAnsi="Times New Roman"/>
                <w:bCs/>
                <w:color w:val="000000" w:themeColor="text1"/>
                <w:sz w:val="20"/>
                <w:szCs w:val="20"/>
                <w:lang w:val="en-US" w:eastAsia="ru-RU"/>
              </w:rPr>
            </w:pPr>
            <w:r w:rsidRPr="00337216">
              <w:rPr>
                <w:rFonts w:ascii="Times New Roman" w:hAnsi="Times New Roman"/>
                <w:bCs/>
                <w:color w:val="000000" w:themeColor="text1"/>
                <w:sz w:val="20"/>
                <w:szCs w:val="20"/>
                <w:lang w:val="en-US" w:eastAsia="ru-RU"/>
              </w:rPr>
              <w:t>R334W</w:t>
            </w:r>
          </w:p>
          <w:p w14:paraId="6D4CFF7D" w14:textId="77777777" w:rsidR="00D41138" w:rsidRPr="00337216" w:rsidRDefault="00D41138">
            <w:pPr>
              <w:pStyle w:val="Brdtekst"/>
              <w:kinsoku w:val="0"/>
              <w:overflowPunct w:val="0"/>
              <w:ind w:left="57"/>
              <w:rPr>
                <w:rFonts w:ascii="Times New Roman" w:hAnsi="Times New Roman"/>
                <w:bCs/>
                <w:color w:val="000000" w:themeColor="text1"/>
                <w:sz w:val="20"/>
                <w:szCs w:val="20"/>
                <w:lang w:val="en-US" w:eastAsia="ru-RU"/>
              </w:rPr>
            </w:pPr>
            <w:r w:rsidRPr="00337216">
              <w:rPr>
                <w:rFonts w:ascii="Times New Roman" w:hAnsi="Times New Roman"/>
                <w:bCs/>
                <w:color w:val="000000" w:themeColor="text1"/>
                <w:sz w:val="20"/>
                <w:szCs w:val="20"/>
                <w:lang w:val="en-US" w:eastAsia="ru-RU"/>
              </w:rPr>
              <w:t>R347H*</w:t>
            </w:r>
          </w:p>
          <w:p w14:paraId="3DF24DAE" w14:textId="77777777" w:rsidR="00D41138" w:rsidRPr="00337216" w:rsidRDefault="00D41138">
            <w:pPr>
              <w:pStyle w:val="Brdtekst"/>
              <w:kinsoku w:val="0"/>
              <w:overflowPunct w:val="0"/>
              <w:ind w:left="57"/>
              <w:rPr>
                <w:rFonts w:ascii="Times New Roman" w:hAnsi="Times New Roman"/>
                <w:bCs/>
                <w:color w:val="000000" w:themeColor="text1"/>
                <w:sz w:val="20"/>
                <w:szCs w:val="20"/>
                <w:lang w:val="en-US" w:eastAsia="ru-RU"/>
              </w:rPr>
            </w:pPr>
            <w:r w:rsidRPr="00337216">
              <w:rPr>
                <w:rFonts w:ascii="Times New Roman" w:hAnsi="Times New Roman"/>
                <w:bCs/>
                <w:color w:val="000000" w:themeColor="text1"/>
                <w:sz w:val="20"/>
                <w:szCs w:val="20"/>
                <w:lang w:val="en-US" w:eastAsia="ru-RU"/>
              </w:rPr>
              <w:t>R347L</w:t>
            </w:r>
          </w:p>
          <w:p w14:paraId="139ADC03" w14:textId="77777777" w:rsidR="00D41138" w:rsidRPr="00337216" w:rsidRDefault="00D41138">
            <w:pPr>
              <w:pStyle w:val="Brdtekst"/>
              <w:kinsoku w:val="0"/>
              <w:overflowPunct w:val="0"/>
              <w:ind w:left="57"/>
              <w:rPr>
                <w:rFonts w:ascii="Times New Roman" w:hAnsi="Times New Roman"/>
                <w:bCs/>
                <w:color w:val="000000" w:themeColor="text1"/>
                <w:sz w:val="20"/>
                <w:szCs w:val="20"/>
                <w:lang w:val="en-US" w:eastAsia="ru-RU"/>
              </w:rPr>
            </w:pPr>
            <w:r w:rsidRPr="00337216">
              <w:rPr>
                <w:rFonts w:ascii="Times New Roman" w:hAnsi="Times New Roman"/>
                <w:bCs/>
                <w:color w:val="000000" w:themeColor="text1"/>
                <w:sz w:val="20"/>
                <w:szCs w:val="20"/>
                <w:lang w:val="en-US" w:eastAsia="ru-RU"/>
              </w:rPr>
              <w:t>R347P</w:t>
            </w:r>
          </w:p>
          <w:p w14:paraId="36F723BA" w14:textId="77777777" w:rsidR="00D41138" w:rsidRPr="00337216" w:rsidRDefault="00D41138">
            <w:pPr>
              <w:pStyle w:val="Brdtekst"/>
              <w:kinsoku w:val="0"/>
              <w:overflowPunct w:val="0"/>
              <w:ind w:left="57"/>
              <w:rPr>
                <w:rFonts w:ascii="Times New Roman" w:hAnsi="Times New Roman"/>
                <w:bCs/>
                <w:color w:val="000000" w:themeColor="text1"/>
                <w:sz w:val="20"/>
                <w:szCs w:val="20"/>
                <w:lang w:val="en-US" w:eastAsia="ru-RU"/>
              </w:rPr>
            </w:pPr>
            <w:r w:rsidRPr="00337216">
              <w:rPr>
                <w:rFonts w:ascii="Times New Roman" w:hAnsi="Times New Roman"/>
                <w:bCs/>
                <w:color w:val="000000" w:themeColor="text1"/>
                <w:sz w:val="20"/>
                <w:szCs w:val="20"/>
                <w:lang w:val="en-US" w:eastAsia="ru-RU"/>
              </w:rPr>
              <w:lastRenderedPageBreak/>
              <w:t>R352Q</w:t>
            </w:r>
          </w:p>
          <w:p w14:paraId="422258BB" w14:textId="77777777" w:rsidR="00D41138" w:rsidRPr="00337216" w:rsidRDefault="00D41138">
            <w:pPr>
              <w:pStyle w:val="Brdtekst"/>
              <w:kinsoku w:val="0"/>
              <w:overflowPunct w:val="0"/>
              <w:ind w:left="57"/>
              <w:rPr>
                <w:rFonts w:ascii="Times New Roman" w:hAnsi="Times New Roman"/>
                <w:bCs/>
                <w:color w:val="000000" w:themeColor="text1"/>
                <w:sz w:val="20"/>
                <w:szCs w:val="20"/>
                <w:lang w:val="en-US" w:eastAsia="ru-RU"/>
              </w:rPr>
            </w:pPr>
            <w:r w:rsidRPr="00337216">
              <w:rPr>
                <w:rFonts w:ascii="Times New Roman" w:hAnsi="Times New Roman"/>
                <w:bCs/>
                <w:color w:val="000000" w:themeColor="text1"/>
                <w:sz w:val="20"/>
                <w:szCs w:val="20"/>
                <w:lang w:val="en-US" w:eastAsia="ru-RU"/>
              </w:rPr>
              <w:t>R352W</w:t>
            </w:r>
          </w:p>
          <w:p w14:paraId="3AB2E6AF" w14:textId="77777777" w:rsidR="00D41138" w:rsidRPr="00337216" w:rsidRDefault="00D41138">
            <w:pPr>
              <w:pStyle w:val="Brdtekst"/>
              <w:kinsoku w:val="0"/>
              <w:overflowPunct w:val="0"/>
              <w:ind w:left="57"/>
              <w:rPr>
                <w:rFonts w:ascii="Times New Roman" w:hAnsi="Times New Roman"/>
                <w:bCs/>
                <w:color w:val="000000" w:themeColor="text1"/>
                <w:sz w:val="20"/>
                <w:szCs w:val="20"/>
                <w:lang w:val="en-US" w:eastAsia="ru-RU"/>
              </w:rPr>
            </w:pPr>
            <w:r w:rsidRPr="00337216">
              <w:rPr>
                <w:rFonts w:ascii="Times New Roman" w:hAnsi="Times New Roman"/>
                <w:bCs/>
                <w:color w:val="000000" w:themeColor="text1"/>
                <w:sz w:val="20"/>
                <w:szCs w:val="20"/>
                <w:lang w:val="en-US" w:eastAsia="ru-RU"/>
              </w:rPr>
              <w:t>R516S</w:t>
            </w:r>
          </w:p>
          <w:p w14:paraId="7C489EDD" w14:textId="77777777" w:rsidR="00D41138" w:rsidRPr="00337216" w:rsidRDefault="00D41138">
            <w:pPr>
              <w:pStyle w:val="Brdtekst"/>
              <w:kinsoku w:val="0"/>
              <w:overflowPunct w:val="0"/>
              <w:ind w:left="57"/>
              <w:rPr>
                <w:rFonts w:ascii="Times New Roman" w:hAnsi="Times New Roman"/>
                <w:bCs/>
                <w:color w:val="000000" w:themeColor="text1"/>
                <w:sz w:val="20"/>
                <w:szCs w:val="20"/>
                <w:lang w:val="en-US" w:eastAsia="ru-RU"/>
              </w:rPr>
            </w:pPr>
            <w:r w:rsidRPr="00337216">
              <w:rPr>
                <w:rFonts w:ascii="Times New Roman" w:hAnsi="Times New Roman"/>
                <w:bCs/>
                <w:color w:val="000000" w:themeColor="text1"/>
                <w:sz w:val="20"/>
                <w:szCs w:val="20"/>
                <w:lang w:val="en-US" w:eastAsia="ru-RU"/>
              </w:rPr>
              <w:t>R553Q</w:t>
            </w:r>
          </w:p>
          <w:p w14:paraId="09037595" w14:textId="77777777" w:rsidR="00D41138" w:rsidRPr="00337216" w:rsidRDefault="00D41138">
            <w:pPr>
              <w:pStyle w:val="Brdtekst"/>
              <w:kinsoku w:val="0"/>
              <w:overflowPunct w:val="0"/>
              <w:ind w:left="57"/>
              <w:rPr>
                <w:rFonts w:ascii="Times New Roman" w:hAnsi="Times New Roman"/>
                <w:bCs/>
                <w:color w:val="000000" w:themeColor="text1"/>
                <w:sz w:val="20"/>
                <w:szCs w:val="20"/>
                <w:lang w:val="en-US" w:eastAsia="ru-RU"/>
              </w:rPr>
            </w:pPr>
            <w:r w:rsidRPr="00337216">
              <w:rPr>
                <w:rFonts w:ascii="Times New Roman" w:hAnsi="Times New Roman"/>
                <w:bCs/>
                <w:color w:val="000000" w:themeColor="text1"/>
                <w:sz w:val="20"/>
                <w:szCs w:val="20"/>
                <w:lang w:val="en-US" w:eastAsia="ru-RU"/>
              </w:rPr>
              <w:t>R555G</w:t>
            </w:r>
          </w:p>
          <w:p w14:paraId="64C27AD1" w14:textId="77777777" w:rsidR="00D41138" w:rsidRPr="00337216" w:rsidRDefault="00D41138">
            <w:pPr>
              <w:pStyle w:val="Brdtekst"/>
              <w:kinsoku w:val="0"/>
              <w:overflowPunct w:val="0"/>
              <w:ind w:left="57"/>
              <w:rPr>
                <w:rFonts w:ascii="Times New Roman" w:hAnsi="Times New Roman"/>
                <w:bCs/>
                <w:color w:val="000000" w:themeColor="text1"/>
                <w:sz w:val="20"/>
                <w:szCs w:val="20"/>
                <w:lang w:val="en-US" w:eastAsia="ru-RU"/>
              </w:rPr>
            </w:pPr>
            <w:r w:rsidRPr="00337216">
              <w:rPr>
                <w:rFonts w:ascii="Times New Roman" w:hAnsi="Times New Roman"/>
                <w:bCs/>
                <w:color w:val="000000" w:themeColor="text1"/>
                <w:sz w:val="20"/>
                <w:szCs w:val="20"/>
                <w:lang w:val="en-US" w:eastAsia="ru-RU"/>
              </w:rPr>
              <w:t>R600S</w:t>
            </w:r>
          </w:p>
          <w:p w14:paraId="13EE8BC8" w14:textId="77777777" w:rsidR="00D41138" w:rsidRPr="00337216" w:rsidRDefault="00D41138">
            <w:pPr>
              <w:pStyle w:val="Brdtekst"/>
              <w:kinsoku w:val="0"/>
              <w:overflowPunct w:val="0"/>
              <w:ind w:left="57"/>
              <w:rPr>
                <w:rFonts w:ascii="Times New Roman" w:hAnsi="Times New Roman"/>
                <w:bCs/>
                <w:color w:val="000000" w:themeColor="text1"/>
                <w:sz w:val="20"/>
                <w:szCs w:val="20"/>
                <w:lang w:val="en-US" w:eastAsia="ru-RU"/>
              </w:rPr>
            </w:pPr>
            <w:r w:rsidRPr="00337216">
              <w:rPr>
                <w:rFonts w:ascii="Times New Roman" w:hAnsi="Times New Roman"/>
                <w:bCs/>
                <w:color w:val="000000" w:themeColor="text1"/>
                <w:sz w:val="20"/>
                <w:szCs w:val="20"/>
                <w:lang w:val="en-US" w:eastAsia="ru-RU"/>
              </w:rPr>
              <w:t>R709Q</w:t>
            </w:r>
          </w:p>
          <w:p w14:paraId="417521B1" w14:textId="77777777" w:rsidR="00D41138" w:rsidRPr="00337216" w:rsidRDefault="00D41138">
            <w:pPr>
              <w:pStyle w:val="Brdtekst"/>
              <w:kinsoku w:val="0"/>
              <w:overflowPunct w:val="0"/>
              <w:ind w:left="57"/>
              <w:rPr>
                <w:rFonts w:ascii="Times New Roman" w:hAnsi="Times New Roman"/>
                <w:bCs/>
                <w:color w:val="000000" w:themeColor="text1"/>
                <w:sz w:val="20"/>
                <w:szCs w:val="20"/>
                <w:lang w:val="en-US" w:eastAsia="ru-RU"/>
              </w:rPr>
            </w:pPr>
            <w:r w:rsidRPr="00337216">
              <w:rPr>
                <w:rFonts w:ascii="Times New Roman" w:hAnsi="Times New Roman"/>
                <w:bCs/>
                <w:color w:val="000000" w:themeColor="text1"/>
                <w:sz w:val="20"/>
                <w:szCs w:val="20"/>
                <w:lang w:val="en-US" w:eastAsia="ru-RU"/>
              </w:rPr>
              <w:t>R751L</w:t>
            </w:r>
          </w:p>
          <w:p w14:paraId="459A5952" w14:textId="77777777" w:rsidR="00D41138" w:rsidRPr="00337216" w:rsidRDefault="00D41138">
            <w:pPr>
              <w:pStyle w:val="Brdtekst"/>
              <w:kinsoku w:val="0"/>
              <w:overflowPunct w:val="0"/>
              <w:ind w:left="57"/>
              <w:rPr>
                <w:rFonts w:ascii="Times New Roman" w:hAnsi="Times New Roman"/>
                <w:bCs/>
                <w:color w:val="000000" w:themeColor="text1"/>
                <w:sz w:val="20"/>
                <w:szCs w:val="20"/>
                <w:lang w:val="en-US" w:eastAsia="ru-RU"/>
              </w:rPr>
            </w:pPr>
            <w:r w:rsidRPr="00337216">
              <w:rPr>
                <w:rFonts w:ascii="Times New Roman" w:hAnsi="Times New Roman"/>
                <w:bCs/>
                <w:color w:val="000000" w:themeColor="text1"/>
                <w:sz w:val="20"/>
                <w:szCs w:val="20"/>
                <w:lang w:val="en-US" w:eastAsia="ru-RU"/>
              </w:rPr>
              <w:t>R792G</w:t>
            </w:r>
          </w:p>
          <w:p w14:paraId="4D616658" w14:textId="77777777" w:rsidR="00D41138" w:rsidRPr="00337216" w:rsidRDefault="00D41138">
            <w:pPr>
              <w:pStyle w:val="Brdtekst"/>
              <w:kinsoku w:val="0"/>
              <w:overflowPunct w:val="0"/>
              <w:ind w:left="57"/>
              <w:rPr>
                <w:rFonts w:ascii="Times New Roman" w:hAnsi="Times New Roman"/>
                <w:bCs/>
                <w:color w:val="000000" w:themeColor="text1"/>
                <w:sz w:val="20"/>
                <w:szCs w:val="20"/>
                <w:lang w:val="en-US" w:eastAsia="ru-RU"/>
              </w:rPr>
            </w:pPr>
            <w:r w:rsidRPr="00337216">
              <w:rPr>
                <w:rFonts w:ascii="Times New Roman" w:hAnsi="Times New Roman"/>
                <w:bCs/>
                <w:color w:val="000000" w:themeColor="text1"/>
                <w:sz w:val="20"/>
                <w:szCs w:val="20"/>
                <w:lang w:val="en-US" w:eastAsia="ru-RU"/>
              </w:rPr>
              <w:t>R792Q</w:t>
            </w:r>
          </w:p>
          <w:p w14:paraId="2CA029B8" w14:textId="77777777" w:rsidR="00D41138" w:rsidRPr="00337216" w:rsidRDefault="00D41138">
            <w:pPr>
              <w:pStyle w:val="Brdtekst"/>
              <w:kinsoku w:val="0"/>
              <w:overflowPunct w:val="0"/>
              <w:ind w:left="57"/>
              <w:rPr>
                <w:rFonts w:ascii="Times New Roman" w:hAnsi="Times New Roman"/>
                <w:bCs/>
                <w:color w:val="000000" w:themeColor="text1"/>
                <w:sz w:val="20"/>
                <w:szCs w:val="20"/>
                <w:lang w:val="en-US" w:eastAsia="ru-RU"/>
              </w:rPr>
            </w:pPr>
            <w:r w:rsidRPr="00337216">
              <w:rPr>
                <w:rFonts w:ascii="Times New Roman" w:hAnsi="Times New Roman"/>
                <w:bCs/>
                <w:color w:val="000000" w:themeColor="text1"/>
                <w:sz w:val="20"/>
                <w:szCs w:val="20"/>
                <w:lang w:val="en-US" w:eastAsia="ru-RU"/>
              </w:rPr>
              <w:t>R810G</w:t>
            </w:r>
          </w:p>
          <w:p w14:paraId="176D32F7" w14:textId="77777777" w:rsidR="00D41138" w:rsidRPr="00337216" w:rsidRDefault="00D41138">
            <w:pPr>
              <w:pStyle w:val="Brdtekst"/>
              <w:kinsoku w:val="0"/>
              <w:overflowPunct w:val="0"/>
              <w:ind w:left="57"/>
              <w:rPr>
                <w:rFonts w:ascii="Times New Roman" w:hAnsi="Times New Roman"/>
                <w:bCs/>
                <w:color w:val="000000" w:themeColor="text1"/>
                <w:sz w:val="20"/>
                <w:szCs w:val="20"/>
                <w:lang w:val="en-US" w:eastAsia="ru-RU"/>
              </w:rPr>
            </w:pPr>
            <w:r w:rsidRPr="00337216">
              <w:rPr>
                <w:rFonts w:ascii="Times New Roman" w:hAnsi="Times New Roman"/>
                <w:bCs/>
                <w:color w:val="000000" w:themeColor="text1"/>
                <w:sz w:val="20"/>
                <w:szCs w:val="20"/>
                <w:lang w:val="en-US" w:eastAsia="ru-RU"/>
              </w:rPr>
              <w:t>R851L</w:t>
            </w:r>
          </w:p>
          <w:p w14:paraId="5348ED45" w14:textId="77777777" w:rsidR="00D41138" w:rsidRPr="00337216" w:rsidRDefault="00D41138">
            <w:pPr>
              <w:pStyle w:val="Brdtekst"/>
              <w:kinsoku w:val="0"/>
              <w:overflowPunct w:val="0"/>
              <w:ind w:left="57"/>
              <w:rPr>
                <w:rFonts w:ascii="Times New Roman" w:hAnsi="Times New Roman"/>
                <w:bCs/>
                <w:color w:val="000000" w:themeColor="text1"/>
                <w:sz w:val="20"/>
                <w:szCs w:val="20"/>
                <w:lang w:val="en-US" w:eastAsia="ru-RU"/>
              </w:rPr>
            </w:pPr>
            <w:r w:rsidRPr="00337216">
              <w:rPr>
                <w:rFonts w:ascii="Times New Roman" w:hAnsi="Times New Roman"/>
                <w:bCs/>
                <w:color w:val="000000" w:themeColor="text1"/>
                <w:sz w:val="20"/>
                <w:szCs w:val="20"/>
                <w:lang w:val="en-US" w:eastAsia="ru-RU"/>
              </w:rPr>
              <w:t>R933G</w:t>
            </w:r>
          </w:p>
          <w:p w14:paraId="2FC34B1B" w14:textId="77777777" w:rsidR="00D41138" w:rsidRPr="00337216" w:rsidRDefault="00D41138">
            <w:pPr>
              <w:pStyle w:val="Brdtekst"/>
              <w:kinsoku w:val="0"/>
              <w:overflowPunct w:val="0"/>
              <w:ind w:left="57"/>
              <w:rPr>
                <w:rFonts w:ascii="Times New Roman" w:hAnsi="Times New Roman"/>
                <w:bCs/>
                <w:color w:val="000000" w:themeColor="text1"/>
                <w:sz w:val="20"/>
                <w:szCs w:val="20"/>
                <w:lang w:val="en-US" w:eastAsia="ru-RU"/>
              </w:rPr>
            </w:pPr>
            <w:r w:rsidRPr="00337216">
              <w:rPr>
                <w:rFonts w:ascii="Times New Roman" w:hAnsi="Times New Roman"/>
                <w:bCs/>
                <w:color w:val="000000" w:themeColor="text1"/>
                <w:sz w:val="20"/>
                <w:szCs w:val="20"/>
                <w:lang w:val="en-US" w:eastAsia="ru-RU"/>
              </w:rPr>
              <w:t>R1048G</w:t>
            </w:r>
          </w:p>
          <w:p w14:paraId="722518E2" w14:textId="77777777" w:rsidR="00D41138" w:rsidRPr="00337216" w:rsidRDefault="00D41138">
            <w:pPr>
              <w:pStyle w:val="Brdtekst"/>
              <w:kinsoku w:val="0"/>
              <w:overflowPunct w:val="0"/>
              <w:ind w:left="57"/>
              <w:rPr>
                <w:rFonts w:ascii="Times New Roman" w:hAnsi="Times New Roman"/>
                <w:bCs/>
                <w:color w:val="000000" w:themeColor="text1"/>
                <w:sz w:val="20"/>
                <w:szCs w:val="20"/>
                <w:lang w:val="en-US" w:eastAsia="ru-RU"/>
              </w:rPr>
            </w:pPr>
            <w:r w:rsidRPr="00337216">
              <w:rPr>
                <w:rFonts w:ascii="Times New Roman" w:hAnsi="Times New Roman"/>
                <w:bCs/>
                <w:color w:val="000000" w:themeColor="text1"/>
                <w:sz w:val="20"/>
                <w:szCs w:val="20"/>
                <w:lang w:val="en-US" w:eastAsia="ru-RU"/>
              </w:rPr>
              <w:t>R1066C</w:t>
            </w:r>
          </w:p>
          <w:p w14:paraId="14387A49" w14:textId="77777777" w:rsidR="00D41138" w:rsidRPr="00337216" w:rsidRDefault="00D41138">
            <w:pPr>
              <w:pStyle w:val="Brdtekst"/>
              <w:kinsoku w:val="0"/>
              <w:overflowPunct w:val="0"/>
              <w:ind w:left="57"/>
              <w:rPr>
                <w:rFonts w:ascii="Times New Roman" w:hAnsi="Times New Roman"/>
                <w:bCs/>
                <w:color w:val="000000" w:themeColor="text1"/>
                <w:sz w:val="20"/>
                <w:szCs w:val="20"/>
                <w:lang w:val="en-US" w:eastAsia="ru-RU"/>
              </w:rPr>
            </w:pPr>
            <w:r w:rsidRPr="00337216">
              <w:rPr>
                <w:rFonts w:ascii="Times New Roman" w:hAnsi="Times New Roman"/>
                <w:bCs/>
                <w:color w:val="000000" w:themeColor="text1"/>
                <w:sz w:val="20"/>
                <w:szCs w:val="20"/>
                <w:lang w:val="en-US" w:eastAsia="ru-RU"/>
              </w:rPr>
              <w:t>R1066G</w:t>
            </w:r>
          </w:p>
          <w:p w14:paraId="55B7F073" w14:textId="77777777" w:rsidR="00D41138" w:rsidRPr="00337216" w:rsidRDefault="00D41138">
            <w:pPr>
              <w:pStyle w:val="Brdtekst"/>
              <w:kinsoku w:val="0"/>
              <w:overflowPunct w:val="0"/>
              <w:ind w:left="57"/>
              <w:rPr>
                <w:rFonts w:ascii="Times New Roman" w:hAnsi="Times New Roman"/>
                <w:bCs/>
                <w:color w:val="000000" w:themeColor="text1"/>
                <w:sz w:val="20"/>
                <w:szCs w:val="20"/>
                <w:lang w:val="en-US" w:eastAsia="ru-RU"/>
              </w:rPr>
            </w:pPr>
            <w:r w:rsidRPr="00337216">
              <w:rPr>
                <w:rFonts w:ascii="Times New Roman" w:hAnsi="Times New Roman"/>
                <w:bCs/>
                <w:color w:val="000000" w:themeColor="text1"/>
                <w:sz w:val="20"/>
                <w:szCs w:val="20"/>
                <w:lang w:val="en-US" w:eastAsia="ru-RU"/>
              </w:rPr>
              <w:t>R1066H*†</w:t>
            </w:r>
          </w:p>
          <w:p w14:paraId="0C9052E2" w14:textId="77777777" w:rsidR="00D41138" w:rsidRPr="00337216" w:rsidRDefault="00D41138">
            <w:pPr>
              <w:pStyle w:val="Brdtekst"/>
              <w:kinsoku w:val="0"/>
              <w:overflowPunct w:val="0"/>
              <w:ind w:left="57"/>
              <w:rPr>
                <w:rFonts w:ascii="Times New Roman" w:hAnsi="Times New Roman"/>
                <w:bCs/>
                <w:color w:val="000000" w:themeColor="text1"/>
                <w:sz w:val="20"/>
                <w:szCs w:val="20"/>
                <w:lang w:val="en-US" w:eastAsia="ru-RU"/>
              </w:rPr>
            </w:pPr>
            <w:r w:rsidRPr="00337216">
              <w:rPr>
                <w:rFonts w:ascii="Times New Roman" w:hAnsi="Times New Roman"/>
                <w:bCs/>
                <w:color w:val="000000" w:themeColor="text1"/>
                <w:sz w:val="20"/>
                <w:szCs w:val="20"/>
                <w:lang w:val="en-US" w:eastAsia="ru-RU"/>
              </w:rPr>
              <w:t>R1070P</w:t>
            </w:r>
          </w:p>
          <w:p w14:paraId="17C8592F" w14:textId="77777777" w:rsidR="00D41138" w:rsidRPr="00337216" w:rsidRDefault="00D41138">
            <w:pPr>
              <w:pStyle w:val="Brdtekst"/>
              <w:kinsoku w:val="0"/>
              <w:overflowPunct w:val="0"/>
              <w:ind w:left="57"/>
              <w:rPr>
                <w:rFonts w:ascii="Times New Roman" w:hAnsi="Times New Roman"/>
                <w:bCs/>
                <w:color w:val="000000" w:themeColor="text1"/>
                <w:sz w:val="20"/>
                <w:szCs w:val="20"/>
                <w:lang w:val="en-US" w:eastAsia="ru-RU"/>
              </w:rPr>
            </w:pPr>
            <w:r w:rsidRPr="00337216">
              <w:rPr>
                <w:rFonts w:ascii="Times New Roman" w:hAnsi="Times New Roman"/>
                <w:bCs/>
                <w:color w:val="000000" w:themeColor="text1"/>
                <w:sz w:val="20"/>
                <w:szCs w:val="20"/>
                <w:lang w:val="en-US" w:eastAsia="ru-RU"/>
              </w:rPr>
              <w:t>R1070Q</w:t>
            </w:r>
          </w:p>
          <w:p w14:paraId="7C121293" w14:textId="77777777" w:rsidR="00D41138" w:rsidRPr="00337216" w:rsidRDefault="00D41138">
            <w:pPr>
              <w:pStyle w:val="Brdtekst"/>
              <w:kinsoku w:val="0"/>
              <w:overflowPunct w:val="0"/>
              <w:ind w:left="57"/>
              <w:rPr>
                <w:rFonts w:ascii="Times New Roman" w:hAnsi="Times New Roman"/>
                <w:bCs/>
                <w:color w:val="000000" w:themeColor="text1"/>
                <w:sz w:val="20"/>
                <w:szCs w:val="20"/>
                <w:lang w:val="en-US" w:eastAsia="ru-RU"/>
              </w:rPr>
            </w:pPr>
            <w:r w:rsidRPr="00337216">
              <w:rPr>
                <w:rFonts w:ascii="Times New Roman" w:hAnsi="Times New Roman"/>
                <w:bCs/>
                <w:color w:val="000000" w:themeColor="text1"/>
                <w:sz w:val="20"/>
                <w:szCs w:val="20"/>
                <w:lang w:val="en-US" w:eastAsia="ru-RU"/>
              </w:rPr>
              <w:t>R1070W</w:t>
            </w:r>
          </w:p>
          <w:p w14:paraId="5C5F7B93" w14:textId="77777777" w:rsidR="00D41138" w:rsidRPr="00337216" w:rsidRDefault="00D41138">
            <w:pPr>
              <w:pStyle w:val="Brdtekst"/>
              <w:kinsoku w:val="0"/>
              <w:overflowPunct w:val="0"/>
              <w:ind w:left="57"/>
              <w:rPr>
                <w:rFonts w:ascii="Times New Roman" w:hAnsi="Times New Roman"/>
                <w:bCs/>
                <w:color w:val="000000" w:themeColor="text1"/>
                <w:sz w:val="20"/>
                <w:szCs w:val="20"/>
                <w:lang w:val="en-US" w:eastAsia="ru-RU"/>
              </w:rPr>
            </w:pPr>
            <w:r w:rsidRPr="00337216">
              <w:rPr>
                <w:rFonts w:ascii="Times New Roman" w:hAnsi="Times New Roman"/>
                <w:bCs/>
                <w:color w:val="000000" w:themeColor="text1"/>
                <w:sz w:val="20"/>
                <w:szCs w:val="20"/>
                <w:lang w:val="en-US" w:eastAsia="ru-RU"/>
              </w:rPr>
              <w:t>R1162Q</w:t>
            </w:r>
          </w:p>
          <w:p w14:paraId="56149F13" w14:textId="77777777" w:rsidR="00D41138" w:rsidRPr="00337216" w:rsidRDefault="00D41138">
            <w:pPr>
              <w:pStyle w:val="Brdtekst"/>
              <w:kinsoku w:val="0"/>
              <w:overflowPunct w:val="0"/>
              <w:ind w:left="57"/>
              <w:rPr>
                <w:rFonts w:ascii="Times New Roman" w:hAnsi="Times New Roman"/>
                <w:bCs/>
                <w:color w:val="000000" w:themeColor="text1"/>
                <w:sz w:val="20"/>
                <w:szCs w:val="20"/>
                <w:lang w:val="en-US" w:eastAsia="ru-RU"/>
              </w:rPr>
            </w:pPr>
            <w:r w:rsidRPr="00337216">
              <w:rPr>
                <w:rFonts w:ascii="Times New Roman" w:hAnsi="Times New Roman"/>
                <w:bCs/>
                <w:color w:val="000000" w:themeColor="text1"/>
                <w:sz w:val="20"/>
                <w:szCs w:val="20"/>
                <w:lang w:val="en-US" w:eastAsia="ru-RU"/>
              </w:rPr>
              <w:t>R1239S</w:t>
            </w:r>
          </w:p>
          <w:p w14:paraId="70279296" w14:textId="77777777" w:rsidR="00D41138" w:rsidRPr="00337216" w:rsidRDefault="00D41138">
            <w:pPr>
              <w:pStyle w:val="Brdtekst"/>
              <w:kinsoku w:val="0"/>
              <w:overflowPunct w:val="0"/>
              <w:ind w:left="57"/>
              <w:rPr>
                <w:rFonts w:ascii="Times New Roman" w:hAnsi="Times New Roman"/>
                <w:bCs/>
                <w:color w:val="000000" w:themeColor="text1"/>
                <w:sz w:val="20"/>
                <w:szCs w:val="20"/>
                <w:lang w:val="en-US" w:eastAsia="ru-RU"/>
              </w:rPr>
            </w:pPr>
            <w:r w:rsidRPr="00337216">
              <w:rPr>
                <w:rFonts w:ascii="Times New Roman" w:hAnsi="Times New Roman"/>
                <w:bCs/>
                <w:color w:val="000000" w:themeColor="text1"/>
                <w:sz w:val="20"/>
                <w:szCs w:val="20"/>
                <w:lang w:val="en-US" w:eastAsia="ru-RU"/>
              </w:rPr>
              <w:t>R1283G</w:t>
            </w:r>
          </w:p>
          <w:p w14:paraId="392F79E8" w14:textId="77777777" w:rsidR="00D41138" w:rsidRPr="00337216" w:rsidRDefault="00D41138">
            <w:pPr>
              <w:pStyle w:val="Brdtekst"/>
              <w:kinsoku w:val="0"/>
              <w:overflowPunct w:val="0"/>
              <w:ind w:left="57"/>
              <w:rPr>
                <w:rFonts w:ascii="Times New Roman" w:hAnsi="Times New Roman"/>
                <w:bCs/>
                <w:color w:val="000000" w:themeColor="text1"/>
                <w:sz w:val="20"/>
                <w:szCs w:val="20"/>
                <w:lang w:val="en-US" w:eastAsia="ru-RU"/>
              </w:rPr>
            </w:pPr>
            <w:r w:rsidRPr="00337216">
              <w:rPr>
                <w:rFonts w:ascii="Times New Roman" w:hAnsi="Times New Roman"/>
                <w:bCs/>
                <w:color w:val="000000" w:themeColor="text1"/>
                <w:sz w:val="20"/>
                <w:szCs w:val="20"/>
                <w:lang w:val="en-US" w:eastAsia="ru-RU"/>
              </w:rPr>
              <w:t>R1283M</w:t>
            </w:r>
          </w:p>
          <w:p w14:paraId="6D648508" w14:textId="77777777" w:rsidR="00D41138" w:rsidRPr="00337216" w:rsidRDefault="00D41138">
            <w:pPr>
              <w:pStyle w:val="Brdtekst"/>
              <w:kinsoku w:val="0"/>
              <w:overflowPunct w:val="0"/>
              <w:ind w:left="57"/>
              <w:rPr>
                <w:rFonts w:ascii="Times New Roman" w:hAnsi="Times New Roman"/>
                <w:bCs/>
                <w:color w:val="000000" w:themeColor="text1"/>
                <w:sz w:val="20"/>
                <w:szCs w:val="20"/>
                <w:lang w:val="en-US" w:eastAsia="ru-RU"/>
              </w:rPr>
            </w:pPr>
            <w:r w:rsidRPr="00337216">
              <w:rPr>
                <w:rFonts w:ascii="Times New Roman" w:hAnsi="Times New Roman"/>
                <w:bCs/>
                <w:color w:val="000000" w:themeColor="text1"/>
                <w:sz w:val="20"/>
                <w:szCs w:val="20"/>
                <w:lang w:val="en-US" w:eastAsia="ru-RU"/>
              </w:rPr>
              <w:t>R1283S</w:t>
            </w:r>
          </w:p>
          <w:p w14:paraId="4450763F" w14:textId="77777777" w:rsidR="00D41138" w:rsidRPr="00337216" w:rsidRDefault="00D41138">
            <w:pPr>
              <w:pStyle w:val="Brdtekst"/>
              <w:kinsoku w:val="0"/>
              <w:overflowPunct w:val="0"/>
              <w:ind w:left="57"/>
              <w:rPr>
                <w:rFonts w:ascii="Times New Roman" w:hAnsi="Times New Roman"/>
                <w:bCs/>
                <w:color w:val="000000" w:themeColor="text1"/>
                <w:sz w:val="20"/>
                <w:szCs w:val="20"/>
                <w:lang w:val="en-US" w:eastAsia="ru-RU"/>
              </w:rPr>
            </w:pPr>
            <w:r w:rsidRPr="00337216">
              <w:rPr>
                <w:rFonts w:ascii="Times New Roman" w:hAnsi="Times New Roman"/>
                <w:bCs/>
                <w:color w:val="000000" w:themeColor="text1"/>
                <w:sz w:val="20"/>
                <w:szCs w:val="20"/>
                <w:lang w:val="en-US" w:eastAsia="ru-RU"/>
              </w:rPr>
              <w:t>R1438W</w:t>
            </w:r>
          </w:p>
          <w:p w14:paraId="5DD52FEB" w14:textId="77777777" w:rsidR="00D41138" w:rsidRPr="00337216" w:rsidRDefault="00D41138">
            <w:pPr>
              <w:pStyle w:val="Brdtekst"/>
              <w:kinsoku w:val="0"/>
              <w:overflowPunct w:val="0"/>
              <w:ind w:left="57"/>
              <w:rPr>
                <w:rFonts w:ascii="Times New Roman" w:hAnsi="Times New Roman"/>
                <w:bCs/>
                <w:color w:val="000000" w:themeColor="text1"/>
                <w:sz w:val="20"/>
                <w:szCs w:val="20"/>
                <w:lang w:val="en-US" w:eastAsia="ru-RU"/>
              </w:rPr>
            </w:pPr>
            <w:r w:rsidRPr="00337216">
              <w:rPr>
                <w:rFonts w:ascii="Times New Roman" w:hAnsi="Times New Roman"/>
                <w:bCs/>
                <w:color w:val="000000" w:themeColor="text1"/>
                <w:sz w:val="20"/>
                <w:szCs w:val="20"/>
                <w:lang w:val="en-US" w:eastAsia="ru-RU"/>
              </w:rPr>
              <w:t>S13F</w:t>
            </w:r>
          </w:p>
          <w:p w14:paraId="569C2CD3" w14:textId="77777777" w:rsidR="00D41138" w:rsidRPr="00337216" w:rsidRDefault="00D41138">
            <w:pPr>
              <w:pStyle w:val="Brdtekst"/>
              <w:kinsoku w:val="0"/>
              <w:overflowPunct w:val="0"/>
              <w:ind w:left="57"/>
              <w:rPr>
                <w:rFonts w:ascii="Times New Roman" w:hAnsi="Times New Roman"/>
                <w:bCs/>
                <w:color w:val="000000" w:themeColor="text1"/>
                <w:sz w:val="20"/>
                <w:szCs w:val="20"/>
                <w:lang w:val="en-US" w:eastAsia="ru-RU"/>
              </w:rPr>
            </w:pPr>
            <w:r w:rsidRPr="00337216">
              <w:rPr>
                <w:rFonts w:ascii="Times New Roman" w:hAnsi="Times New Roman"/>
                <w:bCs/>
                <w:color w:val="000000" w:themeColor="text1"/>
                <w:sz w:val="20"/>
                <w:szCs w:val="20"/>
                <w:lang w:val="en-US" w:eastAsia="ru-RU"/>
              </w:rPr>
              <w:t>S13P</w:t>
            </w:r>
          </w:p>
          <w:p w14:paraId="40708E6B" w14:textId="77777777" w:rsidR="00D41138" w:rsidRPr="00337216" w:rsidRDefault="00D41138">
            <w:pPr>
              <w:pStyle w:val="Brdtekst"/>
              <w:kinsoku w:val="0"/>
              <w:overflowPunct w:val="0"/>
              <w:ind w:left="57"/>
              <w:rPr>
                <w:rFonts w:ascii="Times New Roman" w:hAnsi="Times New Roman"/>
                <w:bCs/>
                <w:color w:val="000000" w:themeColor="text1"/>
                <w:sz w:val="20"/>
                <w:szCs w:val="20"/>
                <w:lang w:val="en-US" w:eastAsia="ru-RU"/>
              </w:rPr>
            </w:pPr>
            <w:r w:rsidRPr="00337216">
              <w:rPr>
                <w:rFonts w:ascii="Times New Roman" w:hAnsi="Times New Roman"/>
                <w:bCs/>
                <w:color w:val="000000" w:themeColor="text1"/>
                <w:sz w:val="20"/>
                <w:szCs w:val="20"/>
                <w:lang w:val="en-US" w:eastAsia="ru-RU"/>
              </w:rPr>
              <w:t>S18I</w:t>
            </w:r>
          </w:p>
          <w:p w14:paraId="39146AB3" w14:textId="77777777" w:rsidR="00D41138" w:rsidRPr="00337216" w:rsidRDefault="00D41138">
            <w:pPr>
              <w:pStyle w:val="Brdtekst"/>
              <w:kinsoku w:val="0"/>
              <w:overflowPunct w:val="0"/>
              <w:ind w:left="57"/>
              <w:rPr>
                <w:rFonts w:ascii="Times New Roman" w:hAnsi="Times New Roman"/>
                <w:bCs/>
                <w:color w:val="000000" w:themeColor="text1"/>
                <w:sz w:val="20"/>
                <w:szCs w:val="20"/>
                <w:lang w:val="en-US" w:eastAsia="ru-RU"/>
              </w:rPr>
            </w:pPr>
            <w:r w:rsidRPr="00337216">
              <w:rPr>
                <w:rFonts w:ascii="Times New Roman" w:hAnsi="Times New Roman"/>
                <w:bCs/>
                <w:color w:val="000000" w:themeColor="text1"/>
                <w:sz w:val="20"/>
                <w:szCs w:val="20"/>
                <w:lang w:val="en-US" w:eastAsia="ru-RU"/>
              </w:rPr>
              <w:t>S18N</w:t>
            </w:r>
          </w:p>
        </w:tc>
        <w:tc>
          <w:tcPr>
            <w:tcW w:w="789" w:type="pct"/>
            <w:tcBorders>
              <w:top w:val="single" w:sz="4" w:space="0" w:color="auto"/>
              <w:left w:val="single" w:sz="4" w:space="0" w:color="auto"/>
              <w:bottom w:val="single" w:sz="4" w:space="0" w:color="auto"/>
              <w:right w:val="single" w:sz="4" w:space="0" w:color="auto"/>
            </w:tcBorders>
            <w:tcMar>
              <w:top w:w="28" w:type="dxa"/>
              <w:left w:w="0" w:type="dxa"/>
              <w:bottom w:w="28" w:type="dxa"/>
              <w:right w:w="0" w:type="dxa"/>
            </w:tcMar>
            <w:hideMark/>
          </w:tcPr>
          <w:p w14:paraId="5F4E27F9" w14:textId="77777777" w:rsidR="00D41138" w:rsidRPr="00337216" w:rsidRDefault="00D41138">
            <w:pPr>
              <w:pStyle w:val="Brdtekst"/>
              <w:kinsoku w:val="0"/>
              <w:overflowPunct w:val="0"/>
              <w:ind w:left="57"/>
              <w:rPr>
                <w:rFonts w:ascii="Times New Roman" w:hAnsi="Times New Roman"/>
                <w:bCs/>
                <w:color w:val="000000" w:themeColor="text1"/>
                <w:sz w:val="20"/>
                <w:szCs w:val="20"/>
                <w:lang w:val="en-US" w:eastAsia="ru-RU"/>
              </w:rPr>
            </w:pPr>
            <w:r w:rsidRPr="00337216">
              <w:rPr>
                <w:rFonts w:ascii="Times New Roman" w:hAnsi="Times New Roman"/>
                <w:bCs/>
                <w:color w:val="000000" w:themeColor="text1"/>
                <w:sz w:val="20"/>
                <w:szCs w:val="20"/>
                <w:lang w:val="en-US" w:eastAsia="ru-RU"/>
              </w:rPr>
              <w:lastRenderedPageBreak/>
              <w:t>S50P</w:t>
            </w:r>
          </w:p>
          <w:p w14:paraId="54605838" w14:textId="77777777" w:rsidR="00D41138" w:rsidRPr="00337216" w:rsidRDefault="00D41138">
            <w:pPr>
              <w:pStyle w:val="Brdtekst"/>
              <w:kinsoku w:val="0"/>
              <w:overflowPunct w:val="0"/>
              <w:ind w:left="57"/>
              <w:rPr>
                <w:rFonts w:ascii="Times New Roman" w:hAnsi="Times New Roman"/>
                <w:bCs/>
                <w:color w:val="000000" w:themeColor="text1"/>
                <w:sz w:val="20"/>
                <w:szCs w:val="20"/>
                <w:lang w:val="en-US" w:eastAsia="ru-RU"/>
              </w:rPr>
            </w:pPr>
            <w:r w:rsidRPr="00337216">
              <w:rPr>
                <w:rFonts w:ascii="Times New Roman" w:hAnsi="Times New Roman"/>
                <w:bCs/>
                <w:color w:val="000000" w:themeColor="text1"/>
                <w:sz w:val="20"/>
                <w:szCs w:val="20"/>
                <w:lang w:val="en-US" w:eastAsia="ru-RU"/>
              </w:rPr>
              <w:t>S108F</w:t>
            </w:r>
          </w:p>
          <w:p w14:paraId="0F25313E" w14:textId="77777777" w:rsidR="00D41138" w:rsidRPr="00337216" w:rsidRDefault="00D41138">
            <w:pPr>
              <w:pStyle w:val="Brdtekst"/>
              <w:kinsoku w:val="0"/>
              <w:overflowPunct w:val="0"/>
              <w:ind w:left="57"/>
              <w:rPr>
                <w:rFonts w:ascii="Times New Roman" w:hAnsi="Times New Roman"/>
                <w:bCs/>
                <w:color w:val="000000" w:themeColor="text1"/>
                <w:sz w:val="20"/>
                <w:szCs w:val="20"/>
                <w:lang w:val="en-US" w:eastAsia="ru-RU"/>
              </w:rPr>
            </w:pPr>
            <w:r w:rsidRPr="00337216">
              <w:rPr>
                <w:rFonts w:ascii="Times New Roman" w:hAnsi="Times New Roman"/>
                <w:bCs/>
                <w:color w:val="000000" w:themeColor="text1"/>
                <w:sz w:val="20"/>
                <w:szCs w:val="20"/>
                <w:lang w:val="en-US" w:eastAsia="ru-RU"/>
              </w:rPr>
              <w:t>S158N</w:t>
            </w:r>
          </w:p>
          <w:p w14:paraId="20DEC349" w14:textId="77777777" w:rsidR="00D41138" w:rsidRPr="00337216" w:rsidRDefault="00D41138">
            <w:pPr>
              <w:pStyle w:val="Brdtekst"/>
              <w:kinsoku w:val="0"/>
              <w:overflowPunct w:val="0"/>
              <w:ind w:left="57"/>
              <w:rPr>
                <w:rFonts w:ascii="Times New Roman" w:hAnsi="Times New Roman"/>
                <w:bCs/>
                <w:color w:val="000000" w:themeColor="text1"/>
                <w:sz w:val="20"/>
                <w:szCs w:val="20"/>
                <w:lang w:val="en-US" w:eastAsia="ru-RU"/>
              </w:rPr>
            </w:pPr>
            <w:r w:rsidRPr="00337216">
              <w:rPr>
                <w:rFonts w:ascii="Times New Roman" w:hAnsi="Times New Roman"/>
                <w:bCs/>
                <w:color w:val="000000" w:themeColor="text1"/>
                <w:sz w:val="20"/>
                <w:szCs w:val="20"/>
                <w:lang w:val="en-US" w:eastAsia="ru-RU"/>
              </w:rPr>
              <w:t>S182R</w:t>
            </w:r>
          </w:p>
          <w:p w14:paraId="1CF67DFF" w14:textId="77777777" w:rsidR="00D41138" w:rsidRPr="00337216" w:rsidRDefault="00D41138">
            <w:pPr>
              <w:pStyle w:val="Brdtekst"/>
              <w:kinsoku w:val="0"/>
              <w:overflowPunct w:val="0"/>
              <w:ind w:left="57"/>
              <w:rPr>
                <w:rFonts w:ascii="Times New Roman" w:hAnsi="Times New Roman"/>
                <w:bCs/>
                <w:color w:val="000000" w:themeColor="text1"/>
                <w:sz w:val="20"/>
                <w:szCs w:val="20"/>
                <w:lang w:val="en-US" w:eastAsia="ru-RU"/>
              </w:rPr>
            </w:pPr>
            <w:r w:rsidRPr="00337216">
              <w:rPr>
                <w:rFonts w:ascii="Times New Roman" w:hAnsi="Times New Roman"/>
                <w:bCs/>
                <w:color w:val="000000" w:themeColor="text1"/>
                <w:sz w:val="20"/>
                <w:szCs w:val="20"/>
                <w:lang w:val="en-US" w:eastAsia="ru-RU"/>
              </w:rPr>
              <w:t>S308P</w:t>
            </w:r>
          </w:p>
          <w:p w14:paraId="374C5523" w14:textId="77777777" w:rsidR="00D41138" w:rsidRPr="00337216" w:rsidRDefault="00D41138">
            <w:pPr>
              <w:pStyle w:val="Brdtekst"/>
              <w:kinsoku w:val="0"/>
              <w:overflowPunct w:val="0"/>
              <w:ind w:left="57"/>
              <w:rPr>
                <w:rFonts w:ascii="Times New Roman" w:hAnsi="Times New Roman"/>
                <w:bCs/>
                <w:color w:val="000000" w:themeColor="text1"/>
                <w:sz w:val="20"/>
                <w:szCs w:val="20"/>
                <w:lang w:val="en-US" w:eastAsia="ru-RU"/>
              </w:rPr>
            </w:pPr>
            <w:r w:rsidRPr="00337216">
              <w:rPr>
                <w:rFonts w:ascii="Times New Roman" w:hAnsi="Times New Roman"/>
                <w:bCs/>
                <w:color w:val="000000" w:themeColor="text1"/>
                <w:sz w:val="20"/>
                <w:szCs w:val="20"/>
                <w:lang w:val="en-US" w:eastAsia="ru-RU"/>
              </w:rPr>
              <w:t>S341P</w:t>
            </w:r>
          </w:p>
          <w:p w14:paraId="066AEDB8" w14:textId="77777777" w:rsidR="00D41138" w:rsidRPr="00337216" w:rsidRDefault="00D41138">
            <w:pPr>
              <w:pStyle w:val="Brdtekst"/>
              <w:kinsoku w:val="0"/>
              <w:overflowPunct w:val="0"/>
              <w:ind w:left="57"/>
              <w:rPr>
                <w:rFonts w:ascii="Times New Roman" w:hAnsi="Times New Roman"/>
                <w:bCs/>
                <w:color w:val="000000" w:themeColor="text1"/>
                <w:sz w:val="20"/>
                <w:szCs w:val="20"/>
                <w:lang w:val="en-US" w:eastAsia="ru-RU"/>
              </w:rPr>
            </w:pPr>
            <w:r w:rsidRPr="00337216">
              <w:rPr>
                <w:rFonts w:ascii="Times New Roman" w:hAnsi="Times New Roman"/>
                <w:bCs/>
                <w:color w:val="000000" w:themeColor="text1"/>
                <w:sz w:val="20"/>
                <w:szCs w:val="20"/>
                <w:lang w:val="en-US" w:eastAsia="ru-RU"/>
              </w:rPr>
              <w:t>S364P</w:t>
            </w:r>
          </w:p>
          <w:p w14:paraId="4F2E62B1" w14:textId="77777777" w:rsidR="00D41138" w:rsidRPr="00337216" w:rsidRDefault="00D41138">
            <w:pPr>
              <w:pStyle w:val="Brdtekst"/>
              <w:kinsoku w:val="0"/>
              <w:overflowPunct w:val="0"/>
              <w:ind w:left="57"/>
              <w:rPr>
                <w:rFonts w:ascii="Times New Roman" w:hAnsi="Times New Roman"/>
                <w:bCs/>
                <w:color w:val="000000" w:themeColor="text1"/>
                <w:sz w:val="20"/>
                <w:szCs w:val="20"/>
                <w:lang w:val="en-US" w:eastAsia="ru-RU"/>
              </w:rPr>
            </w:pPr>
            <w:r w:rsidRPr="00337216">
              <w:rPr>
                <w:rFonts w:ascii="Times New Roman" w:hAnsi="Times New Roman"/>
                <w:bCs/>
                <w:color w:val="000000" w:themeColor="text1"/>
                <w:sz w:val="20"/>
                <w:szCs w:val="20"/>
                <w:lang w:val="en-US" w:eastAsia="ru-RU"/>
              </w:rPr>
              <w:t>S434P</w:t>
            </w:r>
          </w:p>
          <w:p w14:paraId="418CF8A4" w14:textId="77777777" w:rsidR="00D41138" w:rsidRPr="00337216" w:rsidRDefault="00D41138">
            <w:pPr>
              <w:pStyle w:val="Brdtekst"/>
              <w:kinsoku w:val="0"/>
              <w:overflowPunct w:val="0"/>
              <w:ind w:left="57"/>
              <w:rPr>
                <w:rFonts w:ascii="Times New Roman" w:hAnsi="Times New Roman"/>
                <w:bCs/>
                <w:color w:val="000000" w:themeColor="text1"/>
                <w:sz w:val="20"/>
                <w:szCs w:val="20"/>
                <w:lang w:val="en-US" w:eastAsia="ru-RU"/>
              </w:rPr>
            </w:pPr>
            <w:r w:rsidRPr="00337216">
              <w:rPr>
                <w:rFonts w:ascii="Times New Roman" w:hAnsi="Times New Roman"/>
                <w:bCs/>
                <w:color w:val="000000" w:themeColor="text1"/>
                <w:sz w:val="20"/>
                <w:szCs w:val="20"/>
                <w:lang w:val="en-US" w:eastAsia="ru-RU"/>
              </w:rPr>
              <w:t>S492F</w:t>
            </w:r>
          </w:p>
          <w:p w14:paraId="582B8B56" w14:textId="77777777" w:rsidR="00D41138" w:rsidRPr="00337216" w:rsidRDefault="00D41138">
            <w:pPr>
              <w:pStyle w:val="Brdtekst"/>
              <w:kinsoku w:val="0"/>
              <w:overflowPunct w:val="0"/>
              <w:ind w:left="57"/>
              <w:rPr>
                <w:rFonts w:ascii="Times New Roman" w:hAnsi="Times New Roman"/>
                <w:bCs/>
                <w:color w:val="000000" w:themeColor="text1"/>
                <w:sz w:val="20"/>
                <w:szCs w:val="20"/>
                <w:lang w:val="en-US" w:eastAsia="ru-RU"/>
              </w:rPr>
            </w:pPr>
            <w:r w:rsidRPr="00337216">
              <w:rPr>
                <w:rFonts w:ascii="Times New Roman" w:hAnsi="Times New Roman"/>
                <w:bCs/>
                <w:color w:val="000000" w:themeColor="text1"/>
                <w:sz w:val="20"/>
                <w:szCs w:val="20"/>
                <w:lang w:val="en-US" w:eastAsia="ru-RU"/>
              </w:rPr>
              <w:t>S519G</w:t>
            </w:r>
          </w:p>
          <w:p w14:paraId="198D4154" w14:textId="77777777" w:rsidR="00D41138" w:rsidRPr="00337216" w:rsidRDefault="00D41138">
            <w:pPr>
              <w:pStyle w:val="Brdtekst"/>
              <w:kinsoku w:val="0"/>
              <w:overflowPunct w:val="0"/>
              <w:ind w:left="57"/>
              <w:rPr>
                <w:rFonts w:ascii="Times New Roman" w:hAnsi="Times New Roman"/>
                <w:bCs/>
                <w:color w:val="000000" w:themeColor="text1"/>
                <w:sz w:val="20"/>
                <w:szCs w:val="20"/>
                <w:lang w:val="en-US" w:eastAsia="ru-RU"/>
              </w:rPr>
            </w:pPr>
            <w:r w:rsidRPr="00337216">
              <w:rPr>
                <w:rFonts w:ascii="Times New Roman" w:hAnsi="Times New Roman"/>
                <w:bCs/>
                <w:color w:val="000000" w:themeColor="text1"/>
                <w:sz w:val="20"/>
                <w:szCs w:val="20"/>
                <w:lang w:val="en-US" w:eastAsia="ru-RU"/>
              </w:rPr>
              <w:t>S531P</w:t>
            </w:r>
          </w:p>
          <w:p w14:paraId="5B0FFA3F" w14:textId="77777777" w:rsidR="00D41138" w:rsidRPr="00337216" w:rsidRDefault="00D41138">
            <w:pPr>
              <w:pStyle w:val="Brdtekst"/>
              <w:kinsoku w:val="0"/>
              <w:overflowPunct w:val="0"/>
              <w:ind w:left="57"/>
              <w:rPr>
                <w:rFonts w:ascii="Times New Roman" w:hAnsi="Times New Roman"/>
                <w:bCs/>
                <w:color w:val="000000" w:themeColor="text1"/>
                <w:sz w:val="20"/>
                <w:szCs w:val="20"/>
                <w:lang w:val="en-US" w:eastAsia="ru-RU"/>
              </w:rPr>
            </w:pPr>
            <w:r w:rsidRPr="00337216">
              <w:rPr>
                <w:rFonts w:ascii="Times New Roman" w:hAnsi="Times New Roman"/>
                <w:bCs/>
                <w:color w:val="000000" w:themeColor="text1"/>
                <w:sz w:val="20"/>
                <w:szCs w:val="20"/>
                <w:lang w:val="en-US" w:eastAsia="ru-RU"/>
              </w:rPr>
              <w:lastRenderedPageBreak/>
              <w:t>S549I</w:t>
            </w:r>
          </w:p>
          <w:p w14:paraId="0F002EB6" w14:textId="77777777" w:rsidR="00D41138" w:rsidRPr="00337216" w:rsidRDefault="00D41138">
            <w:pPr>
              <w:pStyle w:val="Brdtekst"/>
              <w:kinsoku w:val="0"/>
              <w:overflowPunct w:val="0"/>
              <w:ind w:left="57"/>
              <w:rPr>
                <w:rFonts w:ascii="Times New Roman" w:hAnsi="Times New Roman"/>
                <w:bCs/>
                <w:color w:val="000000" w:themeColor="text1"/>
                <w:sz w:val="20"/>
                <w:szCs w:val="20"/>
                <w:lang w:val="en-US" w:eastAsia="ru-RU"/>
              </w:rPr>
            </w:pPr>
            <w:r w:rsidRPr="00337216">
              <w:rPr>
                <w:rFonts w:ascii="Times New Roman" w:hAnsi="Times New Roman"/>
                <w:bCs/>
                <w:color w:val="000000" w:themeColor="text1"/>
                <w:sz w:val="20"/>
                <w:szCs w:val="20"/>
                <w:lang w:val="en-US" w:eastAsia="ru-RU"/>
              </w:rPr>
              <w:t>S549N</w:t>
            </w:r>
          </w:p>
          <w:p w14:paraId="150CBE35" w14:textId="77777777" w:rsidR="00D41138" w:rsidRPr="00337216" w:rsidRDefault="00D41138">
            <w:pPr>
              <w:pStyle w:val="Brdtekst"/>
              <w:kinsoku w:val="0"/>
              <w:overflowPunct w:val="0"/>
              <w:ind w:left="57"/>
              <w:rPr>
                <w:rFonts w:ascii="Times New Roman" w:hAnsi="Times New Roman"/>
                <w:bCs/>
                <w:color w:val="000000" w:themeColor="text1"/>
                <w:sz w:val="20"/>
                <w:szCs w:val="20"/>
                <w:lang w:val="en-US" w:eastAsia="ru-RU"/>
              </w:rPr>
            </w:pPr>
            <w:r w:rsidRPr="00337216">
              <w:rPr>
                <w:rFonts w:ascii="Times New Roman" w:hAnsi="Times New Roman"/>
                <w:bCs/>
                <w:color w:val="000000" w:themeColor="text1"/>
                <w:sz w:val="20"/>
                <w:szCs w:val="20"/>
                <w:lang w:val="en-US" w:eastAsia="ru-RU"/>
              </w:rPr>
              <w:t>S549R*</w:t>
            </w:r>
          </w:p>
          <w:p w14:paraId="24E9B2AD" w14:textId="77777777" w:rsidR="00D41138" w:rsidRPr="00337216" w:rsidRDefault="00D41138">
            <w:pPr>
              <w:pStyle w:val="Brdtekst"/>
              <w:kinsoku w:val="0"/>
              <w:overflowPunct w:val="0"/>
              <w:ind w:left="57"/>
              <w:rPr>
                <w:rFonts w:ascii="Times New Roman" w:hAnsi="Times New Roman"/>
                <w:bCs/>
                <w:color w:val="000000" w:themeColor="text1"/>
                <w:sz w:val="20"/>
                <w:szCs w:val="20"/>
                <w:lang w:val="en-US" w:eastAsia="ru-RU"/>
              </w:rPr>
            </w:pPr>
            <w:r w:rsidRPr="00337216">
              <w:rPr>
                <w:rFonts w:ascii="Times New Roman" w:hAnsi="Times New Roman"/>
                <w:bCs/>
                <w:color w:val="000000" w:themeColor="text1"/>
                <w:sz w:val="20"/>
                <w:szCs w:val="20"/>
                <w:lang w:val="en-US" w:eastAsia="ru-RU"/>
              </w:rPr>
              <w:t>S557F</w:t>
            </w:r>
          </w:p>
          <w:p w14:paraId="34784BE6" w14:textId="77777777" w:rsidR="00D41138" w:rsidRPr="00337216" w:rsidRDefault="00D41138">
            <w:pPr>
              <w:pStyle w:val="Brdtekst"/>
              <w:kinsoku w:val="0"/>
              <w:overflowPunct w:val="0"/>
              <w:ind w:left="57"/>
              <w:rPr>
                <w:rFonts w:ascii="Times New Roman" w:hAnsi="Times New Roman"/>
                <w:bCs/>
                <w:color w:val="000000" w:themeColor="text1"/>
                <w:sz w:val="20"/>
                <w:szCs w:val="20"/>
                <w:lang w:val="en-US" w:eastAsia="ru-RU"/>
              </w:rPr>
            </w:pPr>
            <w:r w:rsidRPr="00337216">
              <w:rPr>
                <w:rFonts w:ascii="Times New Roman" w:hAnsi="Times New Roman"/>
                <w:bCs/>
                <w:color w:val="000000" w:themeColor="text1"/>
                <w:sz w:val="20"/>
                <w:szCs w:val="20"/>
                <w:lang w:val="en-US" w:eastAsia="ru-RU"/>
              </w:rPr>
              <w:t>S589I</w:t>
            </w:r>
          </w:p>
          <w:p w14:paraId="0604811D" w14:textId="77777777" w:rsidR="00D41138" w:rsidRPr="00337216" w:rsidRDefault="00D41138">
            <w:pPr>
              <w:pStyle w:val="Brdtekst"/>
              <w:kinsoku w:val="0"/>
              <w:overflowPunct w:val="0"/>
              <w:ind w:left="57"/>
              <w:rPr>
                <w:rFonts w:ascii="Times New Roman" w:hAnsi="Times New Roman"/>
                <w:bCs/>
                <w:color w:val="000000" w:themeColor="text1"/>
                <w:sz w:val="20"/>
                <w:szCs w:val="20"/>
                <w:lang w:val="en-US" w:eastAsia="ru-RU"/>
              </w:rPr>
            </w:pPr>
            <w:r w:rsidRPr="00337216">
              <w:rPr>
                <w:rFonts w:ascii="Times New Roman" w:hAnsi="Times New Roman"/>
                <w:bCs/>
                <w:color w:val="000000" w:themeColor="text1"/>
                <w:sz w:val="20"/>
                <w:szCs w:val="20"/>
                <w:lang w:val="en-US" w:eastAsia="ru-RU"/>
              </w:rPr>
              <w:t>S589N</w:t>
            </w:r>
          </w:p>
          <w:p w14:paraId="75D9DEBE" w14:textId="77777777" w:rsidR="00D41138" w:rsidRPr="00337216" w:rsidRDefault="00D41138">
            <w:pPr>
              <w:pStyle w:val="Brdtekst"/>
              <w:kinsoku w:val="0"/>
              <w:overflowPunct w:val="0"/>
              <w:ind w:left="57"/>
              <w:rPr>
                <w:rFonts w:ascii="Times New Roman" w:hAnsi="Times New Roman"/>
                <w:bCs/>
                <w:color w:val="000000" w:themeColor="text1"/>
                <w:sz w:val="20"/>
                <w:szCs w:val="20"/>
                <w:lang w:val="en-US" w:eastAsia="ru-RU"/>
              </w:rPr>
            </w:pPr>
            <w:r w:rsidRPr="00337216">
              <w:rPr>
                <w:rFonts w:ascii="Times New Roman" w:hAnsi="Times New Roman"/>
                <w:bCs/>
                <w:color w:val="000000" w:themeColor="text1"/>
                <w:sz w:val="20"/>
                <w:szCs w:val="20"/>
                <w:lang w:val="en-US" w:eastAsia="ru-RU"/>
              </w:rPr>
              <w:t>S624R</w:t>
            </w:r>
          </w:p>
          <w:p w14:paraId="42431B7B" w14:textId="77777777" w:rsidR="00D41138" w:rsidRPr="00337216" w:rsidRDefault="00D41138">
            <w:pPr>
              <w:pStyle w:val="Brdtekst"/>
              <w:kinsoku w:val="0"/>
              <w:overflowPunct w:val="0"/>
              <w:ind w:left="57"/>
              <w:rPr>
                <w:rFonts w:ascii="Times New Roman" w:hAnsi="Times New Roman"/>
                <w:bCs/>
                <w:color w:val="000000" w:themeColor="text1"/>
                <w:sz w:val="20"/>
                <w:szCs w:val="20"/>
                <w:lang w:val="en-US" w:eastAsia="ru-RU"/>
              </w:rPr>
            </w:pPr>
            <w:r w:rsidRPr="00337216">
              <w:rPr>
                <w:rFonts w:ascii="Times New Roman" w:hAnsi="Times New Roman"/>
                <w:bCs/>
                <w:color w:val="000000" w:themeColor="text1"/>
                <w:sz w:val="20"/>
                <w:szCs w:val="20"/>
                <w:lang w:val="en-US" w:eastAsia="ru-RU"/>
              </w:rPr>
              <w:t>S686Y</w:t>
            </w:r>
          </w:p>
          <w:p w14:paraId="23820C49" w14:textId="77777777" w:rsidR="00D41138" w:rsidRPr="00337216" w:rsidRDefault="00D41138">
            <w:pPr>
              <w:pStyle w:val="Brdtekst"/>
              <w:kinsoku w:val="0"/>
              <w:overflowPunct w:val="0"/>
              <w:ind w:left="57"/>
              <w:rPr>
                <w:rFonts w:ascii="Times New Roman" w:hAnsi="Times New Roman"/>
                <w:bCs/>
                <w:color w:val="000000" w:themeColor="text1"/>
                <w:sz w:val="20"/>
                <w:szCs w:val="20"/>
                <w:lang w:val="en-US" w:eastAsia="ru-RU"/>
              </w:rPr>
            </w:pPr>
            <w:r w:rsidRPr="00337216">
              <w:rPr>
                <w:rFonts w:ascii="Times New Roman" w:hAnsi="Times New Roman"/>
                <w:bCs/>
                <w:color w:val="000000" w:themeColor="text1"/>
                <w:sz w:val="20"/>
                <w:szCs w:val="20"/>
                <w:lang w:val="en-US" w:eastAsia="ru-RU"/>
              </w:rPr>
              <w:t>S737F</w:t>
            </w:r>
          </w:p>
          <w:p w14:paraId="4F1E14C0" w14:textId="77777777" w:rsidR="00D41138" w:rsidRPr="00337216" w:rsidRDefault="00D41138">
            <w:pPr>
              <w:pStyle w:val="Brdtekst"/>
              <w:kinsoku w:val="0"/>
              <w:overflowPunct w:val="0"/>
              <w:ind w:left="57"/>
              <w:rPr>
                <w:rFonts w:ascii="Times New Roman" w:hAnsi="Times New Roman"/>
                <w:bCs/>
                <w:color w:val="000000" w:themeColor="text1"/>
                <w:sz w:val="20"/>
                <w:szCs w:val="20"/>
                <w:lang w:val="en-US" w:eastAsia="ru-RU"/>
              </w:rPr>
            </w:pPr>
            <w:r w:rsidRPr="00337216">
              <w:rPr>
                <w:rFonts w:ascii="Times New Roman" w:hAnsi="Times New Roman"/>
                <w:bCs/>
                <w:color w:val="000000" w:themeColor="text1"/>
                <w:sz w:val="20"/>
                <w:szCs w:val="20"/>
                <w:lang w:val="en-US" w:eastAsia="ru-RU"/>
              </w:rPr>
              <w:t>S821G</w:t>
            </w:r>
          </w:p>
          <w:p w14:paraId="500EE77C" w14:textId="77777777" w:rsidR="00D41138" w:rsidRPr="00337216" w:rsidRDefault="00D41138">
            <w:pPr>
              <w:pStyle w:val="Brdtekst"/>
              <w:kinsoku w:val="0"/>
              <w:overflowPunct w:val="0"/>
              <w:ind w:left="57"/>
              <w:rPr>
                <w:rFonts w:ascii="Times New Roman" w:hAnsi="Times New Roman"/>
                <w:bCs/>
                <w:color w:val="000000" w:themeColor="text1"/>
                <w:sz w:val="20"/>
                <w:szCs w:val="20"/>
                <w:lang w:val="en-US" w:eastAsia="ru-RU"/>
              </w:rPr>
            </w:pPr>
            <w:r w:rsidRPr="00337216">
              <w:rPr>
                <w:rFonts w:ascii="Times New Roman" w:hAnsi="Times New Roman"/>
                <w:bCs/>
                <w:color w:val="000000" w:themeColor="text1"/>
                <w:sz w:val="20"/>
                <w:szCs w:val="20"/>
                <w:lang w:val="en-US" w:eastAsia="ru-RU"/>
              </w:rPr>
              <w:t>S898R</w:t>
            </w:r>
          </w:p>
          <w:p w14:paraId="66D362CD" w14:textId="77777777" w:rsidR="00D41138" w:rsidRPr="00337216" w:rsidRDefault="00D41138">
            <w:pPr>
              <w:pStyle w:val="Brdtekst"/>
              <w:kinsoku w:val="0"/>
              <w:overflowPunct w:val="0"/>
              <w:ind w:left="57"/>
              <w:rPr>
                <w:rFonts w:ascii="Times New Roman" w:hAnsi="Times New Roman"/>
                <w:bCs/>
                <w:color w:val="000000" w:themeColor="text1"/>
                <w:sz w:val="20"/>
                <w:szCs w:val="20"/>
                <w:lang w:val="en-US" w:eastAsia="ru-RU"/>
              </w:rPr>
            </w:pPr>
            <w:r w:rsidRPr="00337216">
              <w:rPr>
                <w:rFonts w:ascii="Times New Roman" w:hAnsi="Times New Roman"/>
                <w:bCs/>
                <w:color w:val="000000" w:themeColor="text1"/>
                <w:sz w:val="20"/>
                <w:szCs w:val="20"/>
                <w:lang w:val="en-US" w:eastAsia="ru-RU"/>
              </w:rPr>
              <w:t>S912L</w:t>
            </w:r>
          </w:p>
          <w:p w14:paraId="56823BBF" w14:textId="77777777" w:rsidR="00D41138" w:rsidRPr="00337216" w:rsidRDefault="00D41138">
            <w:pPr>
              <w:pStyle w:val="Brdtekst"/>
              <w:kinsoku w:val="0"/>
              <w:overflowPunct w:val="0"/>
              <w:ind w:left="57"/>
              <w:rPr>
                <w:rFonts w:ascii="Times New Roman" w:hAnsi="Times New Roman"/>
                <w:bCs/>
                <w:color w:val="000000" w:themeColor="text1"/>
                <w:sz w:val="20"/>
                <w:szCs w:val="20"/>
                <w:lang w:val="en-US" w:eastAsia="ru-RU"/>
              </w:rPr>
            </w:pPr>
            <w:r w:rsidRPr="00337216">
              <w:rPr>
                <w:rFonts w:ascii="Times New Roman" w:hAnsi="Times New Roman"/>
                <w:bCs/>
                <w:color w:val="000000" w:themeColor="text1"/>
                <w:sz w:val="20"/>
                <w:szCs w:val="20"/>
                <w:lang w:val="en-US" w:eastAsia="ru-RU"/>
              </w:rPr>
              <w:t>S912</w:t>
            </w:r>
            <w:proofErr w:type="gramStart"/>
            <w:r w:rsidRPr="00337216">
              <w:rPr>
                <w:rFonts w:ascii="Times New Roman" w:hAnsi="Times New Roman"/>
                <w:bCs/>
                <w:color w:val="000000" w:themeColor="text1"/>
                <w:sz w:val="20"/>
                <w:szCs w:val="20"/>
                <w:lang w:val="en-US" w:eastAsia="ru-RU"/>
              </w:rPr>
              <w:t>L;G</w:t>
            </w:r>
            <w:proofErr w:type="gramEnd"/>
            <w:r w:rsidRPr="00337216">
              <w:rPr>
                <w:rFonts w:ascii="Times New Roman" w:hAnsi="Times New Roman"/>
                <w:bCs/>
                <w:color w:val="000000" w:themeColor="text1"/>
                <w:sz w:val="20"/>
                <w:szCs w:val="20"/>
                <w:lang w:val="en-US" w:eastAsia="ru-RU"/>
              </w:rPr>
              <w:t>1244V‡</w:t>
            </w:r>
          </w:p>
          <w:p w14:paraId="5D3AF017" w14:textId="77777777" w:rsidR="00D41138" w:rsidRPr="00337216" w:rsidRDefault="00D41138">
            <w:pPr>
              <w:pStyle w:val="Brdtekst"/>
              <w:kinsoku w:val="0"/>
              <w:overflowPunct w:val="0"/>
              <w:ind w:left="57"/>
              <w:rPr>
                <w:rFonts w:ascii="Times New Roman" w:hAnsi="Times New Roman"/>
                <w:bCs/>
                <w:color w:val="000000" w:themeColor="text1"/>
                <w:sz w:val="20"/>
                <w:szCs w:val="20"/>
                <w:lang w:val="en-US" w:eastAsia="ru-RU"/>
              </w:rPr>
            </w:pPr>
            <w:r w:rsidRPr="00337216">
              <w:rPr>
                <w:rFonts w:ascii="Times New Roman" w:hAnsi="Times New Roman"/>
                <w:bCs/>
                <w:color w:val="000000" w:themeColor="text1"/>
                <w:sz w:val="20"/>
                <w:szCs w:val="20"/>
                <w:lang w:val="en-US" w:eastAsia="ru-RU"/>
              </w:rPr>
              <w:t>S912T</w:t>
            </w:r>
          </w:p>
          <w:p w14:paraId="39199D2A" w14:textId="77777777" w:rsidR="00D41138" w:rsidRPr="00337216" w:rsidRDefault="00D41138">
            <w:pPr>
              <w:pStyle w:val="Brdtekst"/>
              <w:kinsoku w:val="0"/>
              <w:overflowPunct w:val="0"/>
              <w:ind w:left="57"/>
              <w:rPr>
                <w:rFonts w:ascii="Times New Roman" w:hAnsi="Times New Roman"/>
                <w:bCs/>
                <w:color w:val="000000" w:themeColor="text1"/>
                <w:sz w:val="20"/>
                <w:szCs w:val="20"/>
                <w:lang w:val="en-US" w:eastAsia="ru-RU"/>
              </w:rPr>
            </w:pPr>
            <w:r w:rsidRPr="00337216">
              <w:rPr>
                <w:rFonts w:ascii="Times New Roman" w:hAnsi="Times New Roman"/>
                <w:bCs/>
                <w:color w:val="000000" w:themeColor="text1"/>
                <w:sz w:val="20"/>
                <w:szCs w:val="20"/>
                <w:lang w:val="en-US" w:eastAsia="ru-RU"/>
              </w:rPr>
              <w:t>S945L*†</w:t>
            </w:r>
          </w:p>
          <w:p w14:paraId="26AF22EF" w14:textId="77777777" w:rsidR="00D41138" w:rsidRPr="00337216" w:rsidRDefault="00D41138">
            <w:pPr>
              <w:pStyle w:val="Brdtekst"/>
              <w:kinsoku w:val="0"/>
              <w:overflowPunct w:val="0"/>
              <w:ind w:left="57"/>
              <w:rPr>
                <w:rFonts w:ascii="Times New Roman" w:hAnsi="Times New Roman"/>
                <w:bCs/>
                <w:color w:val="000000" w:themeColor="text1"/>
                <w:sz w:val="20"/>
                <w:szCs w:val="20"/>
                <w:lang w:val="en-US" w:eastAsia="ru-RU"/>
              </w:rPr>
            </w:pPr>
            <w:r w:rsidRPr="00337216">
              <w:rPr>
                <w:rFonts w:ascii="Times New Roman" w:hAnsi="Times New Roman"/>
                <w:bCs/>
                <w:color w:val="000000" w:themeColor="text1"/>
                <w:sz w:val="20"/>
                <w:szCs w:val="20"/>
                <w:lang w:val="en-US" w:eastAsia="ru-RU"/>
              </w:rPr>
              <w:t>S955P</w:t>
            </w:r>
          </w:p>
          <w:p w14:paraId="27DBFA06" w14:textId="77777777" w:rsidR="00D41138" w:rsidRPr="00337216" w:rsidRDefault="00D41138">
            <w:pPr>
              <w:pStyle w:val="Brdtekst"/>
              <w:kinsoku w:val="0"/>
              <w:overflowPunct w:val="0"/>
              <w:ind w:left="57"/>
              <w:rPr>
                <w:rFonts w:ascii="Times New Roman" w:hAnsi="Times New Roman"/>
                <w:bCs/>
                <w:color w:val="000000" w:themeColor="text1"/>
                <w:sz w:val="20"/>
                <w:szCs w:val="20"/>
                <w:lang w:val="en-US" w:eastAsia="ru-RU"/>
              </w:rPr>
            </w:pPr>
            <w:r w:rsidRPr="00337216">
              <w:rPr>
                <w:rFonts w:ascii="Times New Roman" w:hAnsi="Times New Roman"/>
                <w:bCs/>
                <w:color w:val="000000" w:themeColor="text1"/>
                <w:sz w:val="20"/>
                <w:szCs w:val="20"/>
                <w:lang w:val="en-US" w:eastAsia="ru-RU"/>
              </w:rPr>
              <w:t>S977F</w:t>
            </w:r>
          </w:p>
          <w:p w14:paraId="3D1391CB" w14:textId="77777777" w:rsidR="00D41138" w:rsidRPr="00337216" w:rsidRDefault="00D41138">
            <w:pPr>
              <w:pStyle w:val="Brdtekst"/>
              <w:kinsoku w:val="0"/>
              <w:overflowPunct w:val="0"/>
              <w:ind w:left="57"/>
              <w:rPr>
                <w:rFonts w:ascii="Times New Roman" w:hAnsi="Times New Roman"/>
                <w:bCs/>
                <w:color w:val="000000" w:themeColor="text1"/>
                <w:sz w:val="20"/>
                <w:szCs w:val="20"/>
                <w:lang w:val="en-US" w:eastAsia="ru-RU"/>
              </w:rPr>
            </w:pPr>
            <w:r w:rsidRPr="00337216">
              <w:rPr>
                <w:rFonts w:ascii="Times New Roman" w:hAnsi="Times New Roman"/>
                <w:bCs/>
                <w:color w:val="000000" w:themeColor="text1"/>
                <w:sz w:val="20"/>
                <w:szCs w:val="20"/>
                <w:lang w:val="en-US" w:eastAsia="ru-RU"/>
              </w:rPr>
              <w:t>S977</w:t>
            </w:r>
            <w:proofErr w:type="gramStart"/>
            <w:r w:rsidRPr="00337216">
              <w:rPr>
                <w:rFonts w:ascii="Times New Roman" w:hAnsi="Times New Roman"/>
                <w:bCs/>
                <w:color w:val="000000" w:themeColor="text1"/>
                <w:sz w:val="20"/>
                <w:szCs w:val="20"/>
                <w:lang w:val="en-US" w:eastAsia="ru-RU"/>
              </w:rPr>
              <w:t>F;R</w:t>
            </w:r>
            <w:proofErr w:type="gramEnd"/>
            <w:r w:rsidRPr="00337216">
              <w:rPr>
                <w:rFonts w:ascii="Times New Roman" w:hAnsi="Times New Roman"/>
                <w:bCs/>
                <w:color w:val="000000" w:themeColor="text1"/>
                <w:sz w:val="20"/>
                <w:szCs w:val="20"/>
                <w:lang w:val="en-US" w:eastAsia="ru-RU"/>
              </w:rPr>
              <w:t>1438W‡</w:t>
            </w:r>
          </w:p>
          <w:p w14:paraId="32CCFBE1" w14:textId="77777777" w:rsidR="00D41138" w:rsidRPr="00337216" w:rsidRDefault="00D41138">
            <w:pPr>
              <w:pStyle w:val="Brdtekst"/>
              <w:kinsoku w:val="0"/>
              <w:overflowPunct w:val="0"/>
              <w:ind w:left="57"/>
              <w:rPr>
                <w:rFonts w:ascii="Times New Roman" w:hAnsi="Times New Roman"/>
                <w:bCs/>
                <w:color w:val="000000" w:themeColor="text1"/>
                <w:sz w:val="20"/>
                <w:szCs w:val="20"/>
                <w:lang w:val="en-US" w:eastAsia="ru-RU"/>
              </w:rPr>
            </w:pPr>
            <w:r w:rsidRPr="00337216">
              <w:rPr>
                <w:rFonts w:ascii="Times New Roman" w:hAnsi="Times New Roman"/>
                <w:bCs/>
                <w:color w:val="000000" w:themeColor="text1"/>
                <w:sz w:val="20"/>
                <w:szCs w:val="20"/>
                <w:lang w:val="en-US" w:eastAsia="ru-RU"/>
              </w:rPr>
              <w:t>S1045Y</w:t>
            </w:r>
          </w:p>
          <w:p w14:paraId="7CE7A620" w14:textId="77777777" w:rsidR="00D41138" w:rsidRPr="00337216" w:rsidRDefault="00D41138">
            <w:pPr>
              <w:pStyle w:val="Brdtekst"/>
              <w:kinsoku w:val="0"/>
              <w:overflowPunct w:val="0"/>
              <w:ind w:left="57"/>
              <w:rPr>
                <w:rFonts w:ascii="Times New Roman" w:hAnsi="Times New Roman"/>
                <w:bCs/>
                <w:color w:val="000000" w:themeColor="text1"/>
                <w:sz w:val="20"/>
                <w:szCs w:val="20"/>
                <w:lang w:val="en-US" w:eastAsia="ru-RU"/>
              </w:rPr>
            </w:pPr>
            <w:r w:rsidRPr="00337216">
              <w:rPr>
                <w:rFonts w:ascii="Times New Roman" w:hAnsi="Times New Roman"/>
                <w:bCs/>
                <w:color w:val="000000" w:themeColor="text1"/>
                <w:sz w:val="20"/>
                <w:szCs w:val="20"/>
                <w:lang w:val="en-US" w:eastAsia="ru-RU"/>
              </w:rPr>
              <w:t>S1118F</w:t>
            </w:r>
          </w:p>
          <w:p w14:paraId="5DDD0D17" w14:textId="77777777" w:rsidR="00D41138" w:rsidRPr="00337216" w:rsidRDefault="00D41138">
            <w:pPr>
              <w:pStyle w:val="Brdtekst"/>
              <w:kinsoku w:val="0"/>
              <w:overflowPunct w:val="0"/>
              <w:ind w:left="57"/>
              <w:rPr>
                <w:rFonts w:ascii="Times New Roman" w:hAnsi="Times New Roman"/>
                <w:bCs/>
                <w:color w:val="000000" w:themeColor="text1"/>
                <w:sz w:val="20"/>
                <w:szCs w:val="20"/>
                <w:lang w:val="en-US" w:eastAsia="ru-RU"/>
              </w:rPr>
            </w:pPr>
            <w:r w:rsidRPr="00337216">
              <w:rPr>
                <w:rFonts w:ascii="Times New Roman" w:hAnsi="Times New Roman"/>
                <w:bCs/>
                <w:color w:val="000000" w:themeColor="text1"/>
                <w:sz w:val="20"/>
                <w:szCs w:val="20"/>
                <w:lang w:val="en-US" w:eastAsia="ru-RU"/>
              </w:rPr>
              <w:t>S1159F</w:t>
            </w:r>
          </w:p>
          <w:p w14:paraId="044C01C0" w14:textId="77777777" w:rsidR="00D41138" w:rsidRPr="00337216" w:rsidRDefault="00D41138">
            <w:pPr>
              <w:pStyle w:val="Brdtekst"/>
              <w:kinsoku w:val="0"/>
              <w:overflowPunct w:val="0"/>
              <w:ind w:left="57"/>
              <w:rPr>
                <w:rFonts w:ascii="Times New Roman" w:hAnsi="Times New Roman"/>
                <w:bCs/>
                <w:color w:val="000000" w:themeColor="text1"/>
                <w:sz w:val="20"/>
                <w:szCs w:val="20"/>
                <w:lang w:val="en-US" w:eastAsia="ru-RU"/>
              </w:rPr>
            </w:pPr>
            <w:r w:rsidRPr="00337216">
              <w:rPr>
                <w:rFonts w:ascii="Times New Roman" w:hAnsi="Times New Roman"/>
                <w:bCs/>
                <w:color w:val="000000" w:themeColor="text1"/>
                <w:sz w:val="20"/>
                <w:szCs w:val="20"/>
                <w:lang w:val="en-US" w:eastAsia="ru-RU"/>
              </w:rPr>
              <w:t>S1159P</w:t>
            </w:r>
          </w:p>
          <w:p w14:paraId="72EBE6C8" w14:textId="77777777" w:rsidR="00D41138" w:rsidRPr="00337216" w:rsidRDefault="00D41138">
            <w:pPr>
              <w:pStyle w:val="Brdtekst"/>
              <w:kinsoku w:val="0"/>
              <w:overflowPunct w:val="0"/>
              <w:ind w:left="57"/>
              <w:rPr>
                <w:rFonts w:ascii="Times New Roman" w:hAnsi="Times New Roman"/>
                <w:bCs/>
                <w:color w:val="000000" w:themeColor="text1"/>
                <w:sz w:val="20"/>
                <w:szCs w:val="20"/>
                <w:lang w:val="en-US" w:eastAsia="ru-RU"/>
              </w:rPr>
            </w:pPr>
            <w:r w:rsidRPr="00337216">
              <w:rPr>
                <w:rFonts w:ascii="Times New Roman" w:hAnsi="Times New Roman"/>
                <w:bCs/>
                <w:color w:val="000000" w:themeColor="text1"/>
                <w:sz w:val="20"/>
                <w:szCs w:val="20"/>
                <w:lang w:val="en-US" w:eastAsia="ru-RU"/>
              </w:rPr>
              <w:t>S1188L</w:t>
            </w:r>
          </w:p>
          <w:p w14:paraId="5F018429" w14:textId="77777777" w:rsidR="00D41138" w:rsidRPr="00337216" w:rsidRDefault="00D41138">
            <w:pPr>
              <w:pStyle w:val="Brdtekst"/>
              <w:kinsoku w:val="0"/>
              <w:overflowPunct w:val="0"/>
              <w:ind w:left="57"/>
              <w:rPr>
                <w:rFonts w:ascii="Times New Roman" w:hAnsi="Times New Roman"/>
                <w:bCs/>
                <w:color w:val="000000" w:themeColor="text1"/>
                <w:sz w:val="20"/>
                <w:szCs w:val="20"/>
                <w:lang w:val="en-US" w:eastAsia="ru-RU"/>
              </w:rPr>
            </w:pPr>
            <w:r w:rsidRPr="00337216">
              <w:rPr>
                <w:rFonts w:ascii="Times New Roman" w:hAnsi="Times New Roman"/>
                <w:bCs/>
                <w:color w:val="000000" w:themeColor="text1"/>
                <w:sz w:val="20"/>
                <w:szCs w:val="20"/>
                <w:lang w:val="en-US" w:eastAsia="ru-RU"/>
              </w:rPr>
              <w:t>S1251N</w:t>
            </w:r>
          </w:p>
          <w:p w14:paraId="5837FC53" w14:textId="77777777" w:rsidR="00D41138" w:rsidRPr="00337216" w:rsidRDefault="00D41138">
            <w:pPr>
              <w:pStyle w:val="Brdtekst"/>
              <w:kinsoku w:val="0"/>
              <w:overflowPunct w:val="0"/>
              <w:ind w:left="57"/>
              <w:rPr>
                <w:rFonts w:ascii="Times New Roman" w:hAnsi="Times New Roman"/>
                <w:bCs/>
                <w:color w:val="000000" w:themeColor="text1"/>
                <w:sz w:val="20"/>
                <w:szCs w:val="20"/>
                <w:lang w:val="en-US" w:eastAsia="ru-RU"/>
              </w:rPr>
            </w:pPr>
            <w:r w:rsidRPr="00337216">
              <w:rPr>
                <w:rFonts w:ascii="Times New Roman" w:hAnsi="Times New Roman"/>
                <w:bCs/>
                <w:color w:val="000000" w:themeColor="text1"/>
                <w:sz w:val="20"/>
                <w:szCs w:val="20"/>
                <w:lang w:val="en-US" w:eastAsia="ru-RU"/>
              </w:rPr>
              <w:t>S1255P</w:t>
            </w:r>
          </w:p>
          <w:p w14:paraId="76D7D769" w14:textId="77777777" w:rsidR="00D41138" w:rsidRPr="00337216" w:rsidRDefault="00D41138">
            <w:pPr>
              <w:pStyle w:val="Brdtekst"/>
              <w:kinsoku w:val="0"/>
              <w:overflowPunct w:val="0"/>
              <w:ind w:left="57"/>
              <w:rPr>
                <w:rFonts w:ascii="Times New Roman" w:hAnsi="Times New Roman"/>
                <w:bCs/>
                <w:color w:val="000000" w:themeColor="text1"/>
                <w:sz w:val="20"/>
                <w:szCs w:val="20"/>
                <w:lang w:val="en-US" w:eastAsia="ru-RU"/>
              </w:rPr>
            </w:pPr>
            <w:r w:rsidRPr="00337216">
              <w:rPr>
                <w:rFonts w:ascii="Times New Roman" w:hAnsi="Times New Roman"/>
                <w:bCs/>
                <w:color w:val="000000" w:themeColor="text1"/>
                <w:sz w:val="20"/>
                <w:szCs w:val="20"/>
                <w:lang w:val="en-US" w:eastAsia="ru-RU"/>
              </w:rPr>
              <w:t>T338I</w:t>
            </w:r>
          </w:p>
          <w:p w14:paraId="516FE07D" w14:textId="77777777" w:rsidR="00D41138" w:rsidRPr="00337216" w:rsidRDefault="00D41138">
            <w:pPr>
              <w:pStyle w:val="Brdtekst"/>
              <w:kinsoku w:val="0"/>
              <w:overflowPunct w:val="0"/>
              <w:ind w:left="57"/>
              <w:rPr>
                <w:rFonts w:ascii="Times New Roman" w:hAnsi="Times New Roman"/>
                <w:bCs/>
                <w:color w:val="000000" w:themeColor="text1"/>
                <w:sz w:val="20"/>
                <w:szCs w:val="20"/>
                <w:lang w:val="en-US" w:eastAsia="ru-RU"/>
              </w:rPr>
            </w:pPr>
            <w:r w:rsidRPr="00337216">
              <w:rPr>
                <w:rFonts w:ascii="Times New Roman" w:hAnsi="Times New Roman"/>
                <w:bCs/>
                <w:color w:val="000000" w:themeColor="text1"/>
                <w:sz w:val="20"/>
                <w:szCs w:val="20"/>
                <w:lang w:val="en-US" w:eastAsia="ru-RU"/>
              </w:rPr>
              <w:t>T351I</w:t>
            </w:r>
          </w:p>
          <w:p w14:paraId="4C03F34D" w14:textId="77777777" w:rsidR="00D41138" w:rsidRPr="00337216" w:rsidRDefault="00D41138">
            <w:pPr>
              <w:pStyle w:val="Brdtekst"/>
              <w:kinsoku w:val="0"/>
              <w:overflowPunct w:val="0"/>
              <w:ind w:left="57"/>
              <w:rPr>
                <w:rFonts w:ascii="Times New Roman" w:hAnsi="Times New Roman"/>
                <w:bCs/>
                <w:color w:val="000000" w:themeColor="text1"/>
                <w:sz w:val="20"/>
                <w:szCs w:val="20"/>
                <w:lang w:val="en-US" w:eastAsia="ru-RU"/>
              </w:rPr>
            </w:pPr>
            <w:r w:rsidRPr="00337216">
              <w:rPr>
                <w:rFonts w:ascii="Times New Roman" w:hAnsi="Times New Roman"/>
                <w:bCs/>
                <w:color w:val="000000" w:themeColor="text1"/>
                <w:sz w:val="20"/>
                <w:szCs w:val="20"/>
                <w:lang w:val="en-US" w:eastAsia="ru-RU"/>
              </w:rPr>
              <w:t>T351S</w:t>
            </w:r>
          </w:p>
          <w:p w14:paraId="4E99AD49" w14:textId="77777777" w:rsidR="00D41138" w:rsidRPr="00337216" w:rsidRDefault="00D41138">
            <w:pPr>
              <w:pStyle w:val="Brdtekst"/>
              <w:kinsoku w:val="0"/>
              <w:overflowPunct w:val="0"/>
              <w:ind w:left="57"/>
              <w:rPr>
                <w:rFonts w:ascii="Times New Roman" w:hAnsi="Times New Roman"/>
                <w:bCs/>
                <w:color w:val="000000" w:themeColor="text1"/>
                <w:sz w:val="20"/>
                <w:szCs w:val="20"/>
                <w:lang w:val="en-US" w:eastAsia="ru-RU"/>
              </w:rPr>
            </w:pPr>
            <w:r w:rsidRPr="00337216">
              <w:rPr>
                <w:rFonts w:ascii="Times New Roman" w:hAnsi="Times New Roman"/>
                <w:bCs/>
                <w:color w:val="000000" w:themeColor="text1"/>
                <w:sz w:val="20"/>
                <w:szCs w:val="20"/>
                <w:lang w:val="en-US" w:eastAsia="ru-RU"/>
              </w:rPr>
              <w:t>T351</w:t>
            </w:r>
            <w:proofErr w:type="gramStart"/>
            <w:r w:rsidRPr="00337216">
              <w:rPr>
                <w:rFonts w:ascii="Times New Roman" w:hAnsi="Times New Roman"/>
                <w:bCs/>
                <w:color w:val="000000" w:themeColor="text1"/>
                <w:sz w:val="20"/>
                <w:szCs w:val="20"/>
                <w:lang w:val="en-US" w:eastAsia="ru-RU"/>
              </w:rPr>
              <w:t>S;R</w:t>
            </w:r>
            <w:proofErr w:type="gramEnd"/>
            <w:r w:rsidRPr="00337216">
              <w:rPr>
                <w:rFonts w:ascii="Times New Roman" w:hAnsi="Times New Roman"/>
                <w:bCs/>
                <w:color w:val="000000" w:themeColor="text1"/>
                <w:sz w:val="20"/>
                <w:szCs w:val="20"/>
                <w:lang w:val="en-US" w:eastAsia="ru-RU"/>
              </w:rPr>
              <w:t>851L‡</w:t>
            </w:r>
          </w:p>
          <w:p w14:paraId="78999AF7" w14:textId="77777777" w:rsidR="00D41138" w:rsidRPr="00337216" w:rsidRDefault="00D41138">
            <w:pPr>
              <w:pStyle w:val="Brdtekst"/>
              <w:kinsoku w:val="0"/>
              <w:overflowPunct w:val="0"/>
              <w:ind w:left="57"/>
              <w:rPr>
                <w:rFonts w:ascii="Times New Roman" w:hAnsi="Times New Roman"/>
                <w:bCs/>
                <w:color w:val="000000" w:themeColor="text1"/>
                <w:sz w:val="20"/>
                <w:szCs w:val="20"/>
                <w:lang w:val="en-US" w:eastAsia="ru-RU"/>
              </w:rPr>
            </w:pPr>
            <w:r w:rsidRPr="00337216">
              <w:rPr>
                <w:rFonts w:ascii="Times New Roman" w:hAnsi="Times New Roman"/>
                <w:bCs/>
                <w:color w:val="000000" w:themeColor="text1"/>
                <w:sz w:val="20"/>
                <w:szCs w:val="20"/>
                <w:lang w:val="en-US" w:eastAsia="ru-RU"/>
              </w:rPr>
              <w:t>T388M</w:t>
            </w:r>
          </w:p>
          <w:p w14:paraId="37DAE094" w14:textId="77777777" w:rsidR="00D41138" w:rsidRPr="00337216" w:rsidRDefault="00D41138">
            <w:pPr>
              <w:pStyle w:val="Brdtekst"/>
              <w:kinsoku w:val="0"/>
              <w:overflowPunct w:val="0"/>
              <w:ind w:left="57"/>
              <w:rPr>
                <w:rFonts w:ascii="Times New Roman" w:hAnsi="Times New Roman"/>
                <w:bCs/>
                <w:color w:val="000000" w:themeColor="text1"/>
                <w:sz w:val="20"/>
                <w:szCs w:val="20"/>
                <w:lang w:val="en-US" w:eastAsia="ru-RU"/>
              </w:rPr>
            </w:pPr>
            <w:r w:rsidRPr="00337216">
              <w:rPr>
                <w:rFonts w:ascii="Times New Roman" w:hAnsi="Times New Roman"/>
                <w:bCs/>
                <w:color w:val="000000" w:themeColor="text1"/>
                <w:sz w:val="20"/>
                <w:szCs w:val="20"/>
                <w:lang w:val="en-US" w:eastAsia="ru-RU"/>
              </w:rPr>
              <w:t>T465I</w:t>
            </w:r>
          </w:p>
          <w:p w14:paraId="62E66881" w14:textId="77777777" w:rsidR="00D41138" w:rsidRPr="00337216" w:rsidRDefault="00D41138">
            <w:pPr>
              <w:pStyle w:val="Brdtekst"/>
              <w:kinsoku w:val="0"/>
              <w:overflowPunct w:val="0"/>
              <w:ind w:left="57"/>
              <w:rPr>
                <w:rFonts w:ascii="Times New Roman" w:hAnsi="Times New Roman"/>
                <w:bCs/>
                <w:color w:val="000000" w:themeColor="text1"/>
                <w:sz w:val="20"/>
                <w:szCs w:val="20"/>
                <w:lang w:val="en-US" w:eastAsia="ru-RU"/>
              </w:rPr>
            </w:pPr>
            <w:r w:rsidRPr="00337216">
              <w:rPr>
                <w:rFonts w:ascii="Times New Roman" w:hAnsi="Times New Roman"/>
                <w:bCs/>
                <w:color w:val="000000" w:themeColor="text1"/>
                <w:sz w:val="20"/>
                <w:szCs w:val="20"/>
                <w:lang w:val="en-US" w:eastAsia="ru-RU"/>
              </w:rPr>
              <w:t>T501A</w:t>
            </w:r>
          </w:p>
          <w:p w14:paraId="3C43F56E" w14:textId="77777777" w:rsidR="00D41138" w:rsidRPr="00337216" w:rsidRDefault="00D41138">
            <w:pPr>
              <w:pStyle w:val="Brdtekst"/>
              <w:kinsoku w:val="0"/>
              <w:overflowPunct w:val="0"/>
              <w:ind w:left="57"/>
              <w:rPr>
                <w:rFonts w:ascii="Times New Roman" w:hAnsi="Times New Roman"/>
                <w:bCs/>
                <w:color w:val="000000" w:themeColor="text1"/>
                <w:sz w:val="20"/>
                <w:szCs w:val="20"/>
                <w:lang w:val="en-US" w:eastAsia="ru-RU"/>
              </w:rPr>
            </w:pPr>
            <w:r w:rsidRPr="00337216">
              <w:rPr>
                <w:rFonts w:ascii="Times New Roman" w:hAnsi="Times New Roman"/>
                <w:bCs/>
                <w:color w:val="000000" w:themeColor="text1"/>
                <w:sz w:val="20"/>
                <w:szCs w:val="20"/>
                <w:lang w:val="en-US" w:eastAsia="ru-RU"/>
              </w:rPr>
              <w:t>T582S</w:t>
            </w:r>
          </w:p>
          <w:p w14:paraId="162B4B44" w14:textId="77777777" w:rsidR="00D41138" w:rsidRPr="00337216" w:rsidRDefault="00D41138">
            <w:pPr>
              <w:pStyle w:val="Brdtekst"/>
              <w:kinsoku w:val="0"/>
              <w:overflowPunct w:val="0"/>
              <w:ind w:left="57"/>
              <w:rPr>
                <w:rFonts w:ascii="Times New Roman" w:hAnsi="Times New Roman"/>
                <w:bCs/>
                <w:color w:val="000000" w:themeColor="text1"/>
                <w:sz w:val="20"/>
                <w:szCs w:val="20"/>
                <w:lang w:val="en-US" w:eastAsia="ru-RU"/>
              </w:rPr>
            </w:pPr>
            <w:r w:rsidRPr="00337216">
              <w:rPr>
                <w:rFonts w:ascii="Times New Roman" w:hAnsi="Times New Roman"/>
                <w:bCs/>
                <w:color w:val="000000" w:themeColor="text1"/>
                <w:sz w:val="20"/>
                <w:szCs w:val="20"/>
                <w:lang w:val="en-US" w:eastAsia="ru-RU"/>
              </w:rPr>
              <w:t>T908N</w:t>
            </w:r>
          </w:p>
          <w:p w14:paraId="15F31C10" w14:textId="77777777" w:rsidR="00D41138" w:rsidRPr="00337216" w:rsidRDefault="00D41138">
            <w:pPr>
              <w:pStyle w:val="Brdtekst"/>
              <w:kinsoku w:val="0"/>
              <w:overflowPunct w:val="0"/>
              <w:ind w:left="57"/>
              <w:rPr>
                <w:rFonts w:ascii="Times New Roman" w:hAnsi="Times New Roman"/>
                <w:bCs/>
                <w:color w:val="000000" w:themeColor="text1"/>
                <w:sz w:val="20"/>
                <w:szCs w:val="20"/>
                <w:lang w:val="en-US" w:eastAsia="ru-RU"/>
              </w:rPr>
            </w:pPr>
            <w:r w:rsidRPr="00337216">
              <w:rPr>
                <w:rFonts w:ascii="Times New Roman" w:hAnsi="Times New Roman"/>
                <w:bCs/>
                <w:color w:val="000000" w:themeColor="text1"/>
                <w:sz w:val="20"/>
                <w:szCs w:val="20"/>
                <w:lang w:val="en-US" w:eastAsia="ru-RU"/>
              </w:rPr>
              <w:t>T990I</w:t>
            </w:r>
          </w:p>
          <w:p w14:paraId="2A8859AC" w14:textId="77777777" w:rsidR="00D41138" w:rsidRPr="00337216" w:rsidRDefault="00D41138">
            <w:pPr>
              <w:pStyle w:val="Brdtekst"/>
              <w:kinsoku w:val="0"/>
              <w:overflowPunct w:val="0"/>
              <w:ind w:left="57"/>
              <w:rPr>
                <w:rFonts w:ascii="Times New Roman" w:hAnsi="Times New Roman"/>
                <w:bCs/>
                <w:color w:val="000000" w:themeColor="text1"/>
                <w:sz w:val="20"/>
                <w:szCs w:val="20"/>
                <w:lang w:val="en-US" w:eastAsia="ru-RU"/>
              </w:rPr>
            </w:pPr>
            <w:r w:rsidRPr="00337216">
              <w:rPr>
                <w:rFonts w:ascii="Times New Roman" w:hAnsi="Times New Roman"/>
                <w:bCs/>
                <w:color w:val="000000" w:themeColor="text1"/>
                <w:sz w:val="20"/>
                <w:szCs w:val="20"/>
                <w:lang w:val="en-US" w:eastAsia="ru-RU"/>
              </w:rPr>
              <w:t>T1036N*</w:t>
            </w:r>
          </w:p>
          <w:p w14:paraId="4BE4D661" w14:textId="77777777" w:rsidR="00D41138" w:rsidRPr="00337216" w:rsidRDefault="00D41138">
            <w:pPr>
              <w:pStyle w:val="Brdtekst"/>
              <w:kinsoku w:val="0"/>
              <w:overflowPunct w:val="0"/>
              <w:ind w:left="57"/>
              <w:rPr>
                <w:rFonts w:ascii="Times New Roman" w:hAnsi="Times New Roman"/>
                <w:bCs/>
                <w:color w:val="000000" w:themeColor="text1"/>
                <w:sz w:val="20"/>
                <w:szCs w:val="20"/>
                <w:lang w:val="en-US" w:eastAsia="ru-RU"/>
              </w:rPr>
            </w:pPr>
            <w:r w:rsidRPr="00337216">
              <w:rPr>
                <w:rFonts w:ascii="Times New Roman" w:hAnsi="Times New Roman"/>
                <w:bCs/>
                <w:color w:val="000000" w:themeColor="text1"/>
                <w:sz w:val="20"/>
                <w:szCs w:val="20"/>
                <w:lang w:val="en-US" w:eastAsia="ru-RU"/>
              </w:rPr>
              <w:t>T1057R</w:t>
            </w:r>
          </w:p>
          <w:p w14:paraId="2501183D" w14:textId="77777777" w:rsidR="00D41138" w:rsidRPr="00337216" w:rsidRDefault="00D41138">
            <w:pPr>
              <w:pStyle w:val="Brdtekst"/>
              <w:kinsoku w:val="0"/>
              <w:overflowPunct w:val="0"/>
              <w:ind w:left="57"/>
              <w:rPr>
                <w:rFonts w:ascii="Times New Roman" w:hAnsi="Times New Roman"/>
                <w:bCs/>
                <w:color w:val="000000" w:themeColor="text1"/>
                <w:sz w:val="20"/>
                <w:szCs w:val="20"/>
                <w:lang w:val="en-US" w:eastAsia="ru-RU"/>
              </w:rPr>
            </w:pPr>
            <w:r w:rsidRPr="00337216">
              <w:rPr>
                <w:rFonts w:ascii="Times New Roman" w:hAnsi="Times New Roman"/>
                <w:bCs/>
                <w:color w:val="000000" w:themeColor="text1"/>
                <w:sz w:val="20"/>
                <w:szCs w:val="20"/>
                <w:lang w:val="en-US" w:eastAsia="ru-RU"/>
              </w:rPr>
              <w:t>T1086A</w:t>
            </w:r>
          </w:p>
          <w:p w14:paraId="360B9D33" w14:textId="77777777" w:rsidR="00D41138" w:rsidRPr="00337216" w:rsidRDefault="00D41138">
            <w:pPr>
              <w:pStyle w:val="Brdtekst"/>
              <w:kinsoku w:val="0"/>
              <w:overflowPunct w:val="0"/>
              <w:ind w:left="57"/>
              <w:rPr>
                <w:rFonts w:ascii="Times New Roman" w:hAnsi="Times New Roman"/>
                <w:bCs/>
                <w:color w:val="000000" w:themeColor="text1"/>
                <w:sz w:val="20"/>
                <w:szCs w:val="20"/>
                <w:lang w:val="en-US" w:eastAsia="ru-RU"/>
              </w:rPr>
            </w:pPr>
            <w:r w:rsidRPr="00337216">
              <w:rPr>
                <w:rFonts w:ascii="Times New Roman" w:hAnsi="Times New Roman"/>
                <w:bCs/>
                <w:color w:val="000000" w:themeColor="text1"/>
                <w:sz w:val="20"/>
                <w:szCs w:val="20"/>
                <w:lang w:val="en-US" w:eastAsia="ru-RU"/>
              </w:rPr>
              <w:t>T1086I</w:t>
            </w:r>
          </w:p>
          <w:p w14:paraId="769A7A7A" w14:textId="77777777" w:rsidR="00D41138" w:rsidRPr="00337216" w:rsidRDefault="00D41138">
            <w:pPr>
              <w:pStyle w:val="Brdtekst"/>
              <w:kinsoku w:val="0"/>
              <w:overflowPunct w:val="0"/>
              <w:ind w:left="57"/>
              <w:rPr>
                <w:rFonts w:ascii="Times New Roman" w:hAnsi="Times New Roman"/>
                <w:bCs/>
                <w:color w:val="000000" w:themeColor="text1"/>
                <w:sz w:val="20"/>
                <w:szCs w:val="20"/>
                <w:lang w:val="en-US" w:eastAsia="ru-RU"/>
              </w:rPr>
            </w:pPr>
            <w:r w:rsidRPr="00337216">
              <w:rPr>
                <w:rFonts w:ascii="Times New Roman" w:hAnsi="Times New Roman"/>
                <w:bCs/>
                <w:color w:val="000000" w:themeColor="text1"/>
                <w:sz w:val="20"/>
                <w:szCs w:val="20"/>
                <w:lang w:val="en-US" w:eastAsia="ru-RU"/>
              </w:rPr>
              <w:t>T1246I</w:t>
            </w:r>
          </w:p>
          <w:p w14:paraId="1F598911" w14:textId="77777777" w:rsidR="00D41138" w:rsidRPr="00337216" w:rsidRDefault="00D41138">
            <w:pPr>
              <w:pStyle w:val="Brdtekst"/>
              <w:kinsoku w:val="0"/>
              <w:overflowPunct w:val="0"/>
              <w:ind w:left="57"/>
              <w:rPr>
                <w:rFonts w:ascii="Times New Roman" w:hAnsi="Times New Roman"/>
                <w:bCs/>
                <w:color w:val="000000" w:themeColor="text1"/>
                <w:sz w:val="20"/>
                <w:szCs w:val="20"/>
                <w:lang w:val="en-US" w:eastAsia="ru-RU"/>
              </w:rPr>
            </w:pPr>
            <w:r w:rsidRPr="00337216">
              <w:rPr>
                <w:rFonts w:ascii="Times New Roman" w:hAnsi="Times New Roman"/>
                <w:bCs/>
                <w:color w:val="000000" w:themeColor="text1"/>
                <w:sz w:val="20"/>
                <w:szCs w:val="20"/>
                <w:lang w:val="en-US" w:eastAsia="ru-RU"/>
              </w:rPr>
              <w:t>T1299I</w:t>
            </w:r>
          </w:p>
          <w:p w14:paraId="48EC16A2" w14:textId="77777777" w:rsidR="00D41138" w:rsidRPr="00337216" w:rsidRDefault="00D41138">
            <w:pPr>
              <w:pStyle w:val="Brdtekst"/>
              <w:kinsoku w:val="0"/>
              <w:overflowPunct w:val="0"/>
              <w:ind w:left="57"/>
              <w:rPr>
                <w:rFonts w:ascii="Times New Roman" w:hAnsi="Times New Roman"/>
                <w:bCs/>
                <w:color w:val="000000" w:themeColor="text1"/>
                <w:sz w:val="20"/>
                <w:szCs w:val="20"/>
                <w:lang w:val="en-US" w:eastAsia="ru-RU"/>
              </w:rPr>
            </w:pPr>
            <w:r w:rsidRPr="00337216">
              <w:rPr>
                <w:rFonts w:ascii="Times New Roman" w:hAnsi="Times New Roman"/>
                <w:bCs/>
                <w:color w:val="000000" w:themeColor="text1"/>
                <w:sz w:val="20"/>
                <w:szCs w:val="20"/>
                <w:lang w:val="en-US" w:eastAsia="ru-RU"/>
              </w:rPr>
              <w:t>T1299K</w:t>
            </w:r>
          </w:p>
          <w:p w14:paraId="242D2D4E" w14:textId="77777777" w:rsidR="00D41138" w:rsidRPr="00337216" w:rsidRDefault="00D41138">
            <w:pPr>
              <w:pStyle w:val="Brdtekst"/>
              <w:kinsoku w:val="0"/>
              <w:overflowPunct w:val="0"/>
              <w:ind w:left="57"/>
              <w:rPr>
                <w:rFonts w:ascii="Times New Roman" w:hAnsi="Times New Roman"/>
                <w:bCs/>
                <w:color w:val="000000" w:themeColor="text1"/>
                <w:sz w:val="20"/>
                <w:szCs w:val="20"/>
                <w:lang w:val="en-US" w:eastAsia="ru-RU"/>
              </w:rPr>
            </w:pPr>
            <w:r w:rsidRPr="00337216">
              <w:rPr>
                <w:rFonts w:ascii="Times New Roman" w:hAnsi="Times New Roman"/>
                <w:bCs/>
                <w:color w:val="000000" w:themeColor="text1"/>
                <w:sz w:val="20"/>
                <w:szCs w:val="20"/>
                <w:lang w:val="en-US" w:eastAsia="ru-RU"/>
              </w:rPr>
              <w:t>V11I</w:t>
            </w:r>
          </w:p>
          <w:p w14:paraId="742FC4C0" w14:textId="77777777" w:rsidR="00D41138" w:rsidRPr="00337216" w:rsidRDefault="00D41138">
            <w:pPr>
              <w:pStyle w:val="Brdtekst"/>
              <w:kinsoku w:val="0"/>
              <w:overflowPunct w:val="0"/>
              <w:ind w:left="57"/>
              <w:rPr>
                <w:rFonts w:ascii="Times New Roman" w:hAnsi="Times New Roman"/>
                <w:bCs/>
                <w:color w:val="000000" w:themeColor="text1"/>
                <w:sz w:val="20"/>
                <w:szCs w:val="20"/>
                <w:lang w:val="en-US" w:eastAsia="ru-RU"/>
              </w:rPr>
            </w:pPr>
            <w:r w:rsidRPr="00337216">
              <w:rPr>
                <w:rFonts w:ascii="Times New Roman" w:hAnsi="Times New Roman"/>
                <w:bCs/>
                <w:color w:val="000000" w:themeColor="text1"/>
                <w:sz w:val="20"/>
                <w:szCs w:val="20"/>
                <w:lang w:val="en-US" w:eastAsia="ru-RU"/>
              </w:rPr>
              <w:t>V93D</w:t>
            </w:r>
          </w:p>
          <w:p w14:paraId="679BFB86" w14:textId="77777777" w:rsidR="00D41138" w:rsidRPr="00337216" w:rsidRDefault="00D41138">
            <w:pPr>
              <w:pStyle w:val="Brdtekst"/>
              <w:kinsoku w:val="0"/>
              <w:overflowPunct w:val="0"/>
              <w:ind w:left="57"/>
              <w:rPr>
                <w:rFonts w:ascii="Times New Roman" w:hAnsi="Times New Roman"/>
                <w:bCs/>
                <w:color w:val="000000" w:themeColor="text1"/>
                <w:sz w:val="20"/>
                <w:szCs w:val="20"/>
                <w:lang w:val="en-US" w:eastAsia="ru-RU"/>
              </w:rPr>
            </w:pPr>
            <w:r w:rsidRPr="00337216">
              <w:rPr>
                <w:rFonts w:ascii="Times New Roman" w:hAnsi="Times New Roman"/>
                <w:bCs/>
                <w:color w:val="000000" w:themeColor="text1"/>
                <w:sz w:val="20"/>
                <w:szCs w:val="20"/>
                <w:lang w:val="en-US" w:eastAsia="ru-RU"/>
              </w:rPr>
              <w:t>V201M</w:t>
            </w:r>
          </w:p>
          <w:p w14:paraId="660D3498" w14:textId="77777777" w:rsidR="00D41138" w:rsidRPr="00337216" w:rsidRDefault="00D41138">
            <w:pPr>
              <w:pStyle w:val="Brdtekst"/>
              <w:kinsoku w:val="0"/>
              <w:overflowPunct w:val="0"/>
              <w:ind w:left="57"/>
              <w:rPr>
                <w:rFonts w:ascii="Times New Roman" w:hAnsi="Times New Roman"/>
                <w:bCs/>
                <w:color w:val="000000" w:themeColor="text1"/>
                <w:sz w:val="20"/>
                <w:szCs w:val="20"/>
                <w:lang w:val="en-US" w:eastAsia="ru-RU"/>
              </w:rPr>
            </w:pPr>
            <w:r w:rsidRPr="00337216">
              <w:rPr>
                <w:rFonts w:ascii="Times New Roman" w:hAnsi="Times New Roman"/>
                <w:bCs/>
                <w:color w:val="000000" w:themeColor="text1"/>
                <w:sz w:val="20"/>
                <w:szCs w:val="20"/>
                <w:lang w:val="en-US" w:eastAsia="ru-RU"/>
              </w:rPr>
              <w:t>V232A</w:t>
            </w:r>
          </w:p>
          <w:p w14:paraId="23A7A128" w14:textId="77777777" w:rsidR="00D41138" w:rsidRPr="00337216" w:rsidRDefault="00D41138">
            <w:pPr>
              <w:pStyle w:val="Brdtekst"/>
              <w:kinsoku w:val="0"/>
              <w:overflowPunct w:val="0"/>
              <w:ind w:left="57"/>
              <w:rPr>
                <w:rFonts w:ascii="Times New Roman" w:hAnsi="Times New Roman"/>
                <w:bCs/>
                <w:color w:val="000000" w:themeColor="text1"/>
                <w:sz w:val="20"/>
                <w:szCs w:val="20"/>
                <w:lang w:val="en-US" w:eastAsia="ru-RU"/>
              </w:rPr>
            </w:pPr>
            <w:r w:rsidRPr="00337216">
              <w:rPr>
                <w:rFonts w:ascii="Times New Roman" w:hAnsi="Times New Roman"/>
                <w:bCs/>
                <w:color w:val="000000" w:themeColor="text1"/>
                <w:sz w:val="20"/>
                <w:szCs w:val="20"/>
                <w:lang w:val="en-US" w:eastAsia="ru-RU"/>
              </w:rPr>
              <w:t>V232D</w:t>
            </w:r>
          </w:p>
          <w:p w14:paraId="70DE519F" w14:textId="77777777" w:rsidR="00D41138" w:rsidRPr="00337216" w:rsidRDefault="00D41138">
            <w:pPr>
              <w:pStyle w:val="Brdtekst"/>
              <w:kinsoku w:val="0"/>
              <w:overflowPunct w:val="0"/>
              <w:ind w:left="57"/>
              <w:rPr>
                <w:rFonts w:ascii="Times New Roman" w:hAnsi="Times New Roman"/>
                <w:bCs/>
                <w:color w:val="000000" w:themeColor="text1"/>
                <w:sz w:val="20"/>
                <w:szCs w:val="20"/>
                <w:lang w:val="en-US" w:eastAsia="ru-RU"/>
              </w:rPr>
            </w:pPr>
            <w:r w:rsidRPr="00337216">
              <w:rPr>
                <w:rFonts w:ascii="Times New Roman" w:hAnsi="Times New Roman"/>
                <w:bCs/>
                <w:color w:val="000000" w:themeColor="text1"/>
                <w:sz w:val="20"/>
                <w:szCs w:val="20"/>
                <w:lang w:val="en-US" w:eastAsia="ru-RU"/>
              </w:rPr>
              <w:t>V317A</w:t>
            </w:r>
          </w:p>
          <w:p w14:paraId="1BEE35A7" w14:textId="77777777" w:rsidR="00D41138" w:rsidRPr="00337216" w:rsidRDefault="00D41138">
            <w:pPr>
              <w:pStyle w:val="Brdtekst"/>
              <w:kinsoku w:val="0"/>
              <w:overflowPunct w:val="0"/>
              <w:ind w:left="57"/>
              <w:rPr>
                <w:rFonts w:ascii="Times New Roman" w:hAnsi="Times New Roman"/>
                <w:bCs/>
                <w:color w:val="000000" w:themeColor="text1"/>
                <w:sz w:val="20"/>
                <w:szCs w:val="20"/>
                <w:lang w:val="en-US" w:eastAsia="ru-RU"/>
              </w:rPr>
            </w:pPr>
            <w:r w:rsidRPr="00337216">
              <w:rPr>
                <w:rFonts w:ascii="Times New Roman" w:hAnsi="Times New Roman"/>
                <w:bCs/>
                <w:color w:val="000000" w:themeColor="text1"/>
                <w:sz w:val="20"/>
                <w:szCs w:val="20"/>
                <w:lang w:val="en-US" w:eastAsia="ru-RU"/>
              </w:rPr>
              <w:t>V322M</w:t>
            </w:r>
          </w:p>
          <w:p w14:paraId="1C8D08EF" w14:textId="77777777" w:rsidR="00D41138" w:rsidRPr="00337216" w:rsidRDefault="00D41138">
            <w:pPr>
              <w:pStyle w:val="Brdtekst"/>
              <w:kinsoku w:val="0"/>
              <w:overflowPunct w:val="0"/>
              <w:ind w:left="57"/>
              <w:rPr>
                <w:rFonts w:ascii="Times New Roman" w:hAnsi="Times New Roman"/>
                <w:bCs/>
                <w:color w:val="000000" w:themeColor="text1"/>
                <w:sz w:val="20"/>
                <w:szCs w:val="20"/>
                <w:lang w:val="en-US" w:eastAsia="ru-RU"/>
              </w:rPr>
            </w:pPr>
            <w:r w:rsidRPr="00337216">
              <w:rPr>
                <w:rFonts w:ascii="Times New Roman" w:hAnsi="Times New Roman"/>
                <w:bCs/>
                <w:color w:val="000000" w:themeColor="text1"/>
                <w:sz w:val="20"/>
                <w:szCs w:val="20"/>
                <w:lang w:val="en-US" w:eastAsia="ru-RU"/>
              </w:rPr>
              <w:t>V392G</w:t>
            </w:r>
          </w:p>
          <w:p w14:paraId="699C7451" w14:textId="77777777" w:rsidR="00D41138" w:rsidRPr="00337216" w:rsidRDefault="00D41138">
            <w:pPr>
              <w:pStyle w:val="Brdtekst"/>
              <w:kinsoku w:val="0"/>
              <w:overflowPunct w:val="0"/>
              <w:ind w:left="57"/>
              <w:rPr>
                <w:rFonts w:ascii="Times New Roman" w:hAnsi="Times New Roman"/>
                <w:bCs/>
                <w:color w:val="000000" w:themeColor="text1"/>
                <w:sz w:val="20"/>
                <w:szCs w:val="20"/>
                <w:lang w:val="en-US" w:eastAsia="ru-RU"/>
              </w:rPr>
            </w:pPr>
            <w:r w:rsidRPr="00337216">
              <w:rPr>
                <w:rFonts w:ascii="Times New Roman" w:hAnsi="Times New Roman"/>
                <w:bCs/>
                <w:color w:val="000000" w:themeColor="text1"/>
                <w:sz w:val="20"/>
                <w:szCs w:val="20"/>
                <w:lang w:val="en-US" w:eastAsia="ru-RU"/>
              </w:rPr>
              <w:t>V456A</w:t>
            </w:r>
          </w:p>
          <w:p w14:paraId="322729CF" w14:textId="77777777" w:rsidR="00D41138" w:rsidRPr="00337216" w:rsidRDefault="00D41138">
            <w:pPr>
              <w:pStyle w:val="Brdtekst"/>
              <w:kinsoku w:val="0"/>
              <w:overflowPunct w:val="0"/>
              <w:ind w:left="57"/>
              <w:rPr>
                <w:rFonts w:ascii="Times New Roman" w:hAnsi="Times New Roman"/>
                <w:bCs/>
                <w:color w:val="000000" w:themeColor="text1"/>
                <w:sz w:val="20"/>
                <w:szCs w:val="20"/>
                <w:lang w:val="en-US" w:eastAsia="ru-RU"/>
              </w:rPr>
            </w:pPr>
            <w:r w:rsidRPr="00337216">
              <w:rPr>
                <w:rFonts w:ascii="Times New Roman" w:hAnsi="Times New Roman"/>
                <w:bCs/>
                <w:color w:val="000000" w:themeColor="text1"/>
                <w:sz w:val="20"/>
                <w:szCs w:val="20"/>
                <w:lang w:val="en-US" w:eastAsia="ru-RU"/>
              </w:rPr>
              <w:t>V456F</w:t>
            </w:r>
          </w:p>
          <w:p w14:paraId="237BB0A2" w14:textId="77777777" w:rsidR="00D41138" w:rsidRPr="00337216" w:rsidRDefault="00D41138">
            <w:pPr>
              <w:pStyle w:val="Brdtekst"/>
              <w:kinsoku w:val="0"/>
              <w:overflowPunct w:val="0"/>
              <w:ind w:left="57"/>
              <w:rPr>
                <w:rFonts w:ascii="Times New Roman" w:hAnsi="Times New Roman"/>
                <w:bCs/>
                <w:color w:val="000000" w:themeColor="text1"/>
                <w:sz w:val="20"/>
                <w:szCs w:val="20"/>
                <w:lang w:val="en-US" w:eastAsia="ru-RU"/>
              </w:rPr>
            </w:pPr>
            <w:r w:rsidRPr="00337216">
              <w:rPr>
                <w:rFonts w:ascii="Times New Roman" w:hAnsi="Times New Roman"/>
                <w:bCs/>
                <w:color w:val="000000" w:themeColor="text1"/>
                <w:sz w:val="20"/>
                <w:szCs w:val="20"/>
                <w:lang w:val="en-US" w:eastAsia="ru-RU"/>
              </w:rPr>
              <w:t>V520I</w:t>
            </w:r>
          </w:p>
          <w:p w14:paraId="5B3406CC" w14:textId="77777777" w:rsidR="00D41138" w:rsidRPr="00337216" w:rsidRDefault="00D41138">
            <w:pPr>
              <w:pStyle w:val="Brdtekst"/>
              <w:kinsoku w:val="0"/>
              <w:overflowPunct w:val="0"/>
              <w:ind w:left="57"/>
              <w:rPr>
                <w:rFonts w:ascii="Times New Roman" w:hAnsi="Times New Roman"/>
                <w:bCs/>
                <w:color w:val="000000" w:themeColor="text1"/>
                <w:sz w:val="20"/>
                <w:szCs w:val="20"/>
                <w:lang w:val="en-US" w:eastAsia="ru-RU"/>
              </w:rPr>
            </w:pPr>
            <w:r w:rsidRPr="00337216">
              <w:rPr>
                <w:rFonts w:ascii="Times New Roman" w:hAnsi="Times New Roman"/>
                <w:bCs/>
                <w:color w:val="000000" w:themeColor="text1"/>
                <w:sz w:val="20"/>
                <w:szCs w:val="20"/>
                <w:lang w:val="en-US" w:eastAsia="ru-RU"/>
              </w:rPr>
              <w:t>V562</w:t>
            </w:r>
            <w:proofErr w:type="gramStart"/>
            <w:r w:rsidRPr="00337216">
              <w:rPr>
                <w:rFonts w:ascii="Times New Roman" w:hAnsi="Times New Roman"/>
                <w:bCs/>
                <w:color w:val="000000" w:themeColor="text1"/>
                <w:sz w:val="20"/>
                <w:szCs w:val="20"/>
                <w:lang w:val="en-US" w:eastAsia="ru-RU"/>
              </w:rPr>
              <w:t>I;A</w:t>
            </w:r>
            <w:proofErr w:type="gramEnd"/>
            <w:r w:rsidRPr="00337216">
              <w:rPr>
                <w:rFonts w:ascii="Times New Roman" w:hAnsi="Times New Roman"/>
                <w:bCs/>
                <w:color w:val="000000" w:themeColor="text1"/>
                <w:sz w:val="20"/>
                <w:szCs w:val="20"/>
                <w:lang w:val="en-US" w:eastAsia="ru-RU"/>
              </w:rPr>
              <w:t>1006E‡</w:t>
            </w:r>
          </w:p>
          <w:p w14:paraId="75F5B90A" w14:textId="77777777" w:rsidR="00D41138" w:rsidRPr="00337216" w:rsidRDefault="00D41138">
            <w:pPr>
              <w:pStyle w:val="Brdtekst"/>
              <w:kinsoku w:val="0"/>
              <w:overflowPunct w:val="0"/>
              <w:ind w:left="57"/>
              <w:rPr>
                <w:rFonts w:ascii="Times New Roman" w:hAnsi="Times New Roman"/>
                <w:bCs/>
                <w:color w:val="000000" w:themeColor="text1"/>
                <w:sz w:val="20"/>
                <w:szCs w:val="20"/>
                <w:lang w:val="en-US" w:eastAsia="ru-RU"/>
              </w:rPr>
            </w:pPr>
            <w:r w:rsidRPr="00337216">
              <w:rPr>
                <w:rFonts w:ascii="Times New Roman" w:hAnsi="Times New Roman"/>
                <w:bCs/>
                <w:color w:val="000000" w:themeColor="text1"/>
                <w:sz w:val="20"/>
                <w:szCs w:val="20"/>
                <w:lang w:val="en-US" w:eastAsia="ru-RU"/>
              </w:rPr>
              <w:t>V562L</w:t>
            </w:r>
          </w:p>
          <w:p w14:paraId="6EC8BB47" w14:textId="77777777" w:rsidR="00D41138" w:rsidRPr="00337216" w:rsidRDefault="00D41138">
            <w:pPr>
              <w:pStyle w:val="Brdtekst"/>
              <w:kinsoku w:val="0"/>
              <w:overflowPunct w:val="0"/>
              <w:ind w:left="57"/>
              <w:rPr>
                <w:rFonts w:ascii="Times New Roman" w:hAnsi="Times New Roman"/>
                <w:bCs/>
                <w:color w:val="000000" w:themeColor="text1"/>
                <w:sz w:val="20"/>
                <w:szCs w:val="20"/>
                <w:lang w:val="en-US" w:eastAsia="ru-RU"/>
              </w:rPr>
            </w:pPr>
            <w:r w:rsidRPr="00337216">
              <w:rPr>
                <w:rFonts w:ascii="Times New Roman" w:hAnsi="Times New Roman"/>
                <w:bCs/>
                <w:color w:val="000000" w:themeColor="text1"/>
                <w:sz w:val="20"/>
                <w:szCs w:val="20"/>
                <w:lang w:val="en-US" w:eastAsia="ru-RU"/>
              </w:rPr>
              <w:t>V591A</w:t>
            </w:r>
          </w:p>
          <w:p w14:paraId="25C57C5E" w14:textId="77777777" w:rsidR="00D41138" w:rsidRPr="00337216" w:rsidRDefault="00D41138">
            <w:pPr>
              <w:pStyle w:val="Brdtekst"/>
              <w:kinsoku w:val="0"/>
              <w:overflowPunct w:val="0"/>
              <w:ind w:left="57"/>
              <w:rPr>
                <w:rFonts w:ascii="Times New Roman" w:hAnsi="Times New Roman"/>
                <w:bCs/>
                <w:color w:val="000000" w:themeColor="text1"/>
                <w:sz w:val="20"/>
                <w:szCs w:val="20"/>
                <w:lang w:val="en-US" w:eastAsia="ru-RU"/>
              </w:rPr>
            </w:pPr>
            <w:r w:rsidRPr="00337216">
              <w:rPr>
                <w:rFonts w:ascii="Times New Roman" w:hAnsi="Times New Roman"/>
                <w:bCs/>
                <w:color w:val="000000" w:themeColor="text1"/>
                <w:sz w:val="20"/>
                <w:szCs w:val="20"/>
                <w:lang w:val="en-US" w:eastAsia="ru-RU"/>
              </w:rPr>
              <w:t>V603F</w:t>
            </w:r>
          </w:p>
          <w:p w14:paraId="2440F971" w14:textId="77777777" w:rsidR="00D41138" w:rsidRPr="00337216" w:rsidRDefault="00D41138">
            <w:pPr>
              <w:pStyle w:val="Brdtekst"/>
              <w:kinsoku w:val="0"/>
              <w:overflowPunct w:val="0"/>
              <w:ind w:left="57"/>
              <w:rPr>
                <w:rFonts w:ascii="Times New Roman" w:hAnsi="Times New Roman"/>
                <w:bCs/>
                <w:color w:val="000000" w:themeColor="text1"/>
                <w:sz w:val="20"/>
                <w:szCs w:val="20"/>
                <w:lang w:val="en-US" w:eastAsia="ru-RU"/>
              </w:rPr>
            </w:pPr>
            <w:r w:rsidRPr="00337216">
              <w:rPr>
                <w:rFonts w:ascii="Times New Roman" w:hAnsi="Times New Roman"/>
                <w:bCs/>
                <w:color w:val="000000" w:themeColor="text1"/>
                <w:sz w:val="20"/>
                <w:szCs w:val="20"/>
                <w:lang w:val="en-US" w:eastAsia="ru-RU"/>
              </w:rPr>
              <w:t>V920L</w:t>
            </w:r>
          </w:p>
          <w:p w14:paraId="6BAE2EFA" w14:textId="77777777" w:rsidR="00D41138" w:rsidRPr="00337216" w:rsidRDefault="00D41138">
            <w:pPr>
              <w:pStyle w:val="Brdtekst"/>
              <w:kinsoku w:val="0"/>
              <w:overflowPunct w:val="0"/>
              <w:ind w:left="57"/>
              <w:rPr>
                <w:rFonts w:ascii="Times New Roman" w:hAnsi="Times New Roman"/>
                <w:bCs/>
                <w:color w:val="000000" w:themeColor="text1"/>
                <w:sz w:val="20"/>
                <w:szCs w:val="20"/>
                <w:lang w:val="en-US" w:eastAsia="ru-RU"/>
              </w:rPr>
            </w:pPr>
            <w:r w:rsidRPr="00337216">
              <w:rPr>
                <w:rFonts w:ascii="Times New Roman" w:hAnsi="Times New Roman"/>
                <w:bCs/>
                <w:color w:val="000000" w:themeColor="text1"/>
                <w:sz w:val="20"/>
                <w:szCs w:val="20"/>
                <w:lang w:val="en-US" w:eastAsia="ru-RU"/>
              </w:rPr>
              <w:t>V920M</w:t>
            </w:r>
          </w:p>
          <w:p w14:paraId="144D1F3D" w14:textId="77777777" w:rsidR="00D41138" w:rsidRPr="00337216" w:rsidRDefault="00D41138">
            <w:pPr>
              <w:pStyle w:val="Brdtekst"/>
              <w:kinsoku w:val="0"/>
              <w:overflowPunct w:val="0"/>
              <w:ind w:left="57"/>
              <w:rPr>
                <w:rFonts w:ascii="Times New Roman" w:hAnsi="Times New Roman"/>
                <w:bCs/>
                <w:color w:val="000000" w:themeColor="text1"/>
                <w:sz w:val="20"/>
                <w:szCs w:val="20"/>
                <w:lang w:val="en-US" w:eastAsia="ru-RU"/>
              </w:rPr>
            </w:pPr>
            <w:r w:rsidRPr="00337216">
              <w:rPr>
                <w:rFonts w:ascii="Times New Roman" w:hAnsi="Times New Roman"/>
                <w:bCs/>
                <w:color w:val="000000" w:themeColor="text1"/>
                <w:sz w:val="20"/>
                <w:szCs w:val="20"/>
                <w:lang w:val="en-US" w:eastAsia="ru-RU"/>
              </w:rPr>
              <w:t>V1008D</w:t>
            </w:r>
          </w:p>
          <w:p w14:paraId="6DB428B8" w14:textId="77777777" w:rsidR="00D41138" w:rsidRPr="003906CC" w:rsidRDefault="00D41138">
            <w:pPr>
              <w:pStyle w:val="Brdtekst"/>
              <w:kinsoku w:val="0"/>
              <w:overflowPunct w:val="0"/>
              <w:ind w:left="57"/>
              <w:rPr>
                <w:rFonts w:ascii="Times New Roman" w:hAnsi="Times New Roman"/>
                <w:bCs/>
                <w:color w:val="000000" w:themeColor="text1"/>
                <w:sz w:val="20"/>
                <w:szCs w:val="20"/>
                <w:lang w:val="en-US" w:eastAsia="ru-RU"/>
              </w:rPr>
            </w:pPr>
            <w:r w:rsidRPr="003906CC">
              <w:rPr>
                <w:rFonts w:ascii="Times New Roman" w:hAnsi="Times New Roman"/>
                <w:bCs/>
                <w:color w:val="000000" w:themeColor="text1"/>
                <w:sz w:val="20"/>
                <w:szCs w:val="20"/>
                <w:lang w:val="en-US" w:eastAsia="ru-RU"/>
              </w:rPr>
              <w:t>V1010D</w:t>
            </w:r>
          </w:p>
          <w:p w14:paraId="338B1893" w14:textId="77777777" w:rsidR="00D41138" w:rsidRPr="00337216" w:rsidRDefault="00D41138">
            <w:pPr>
              <w:pStyle w:val="Brdtekst"/>
              <w:kinsoku w:val="0"/>
              <w:overflowPunct w:val="0"/>
              <w:ind w:left="57"/>
              <w:rPr>
                <w:rFonts w:ascii="Times New Roman" w:hAnsi="Times New Roman"/>
                <w:bCs/>
                <w:color w:val="000000" w:themeColor="text1"/>
                <w:sz w:val="20"/>
                <w:szCs w:val="20"/>
                <w:lang w:eastAsia="ru-RU"/>
              </w:rPr>
            </w:pPr>
            <w:r w:rsidRPr="00337216">
              <w:rPr>
                <w:rFonts w:ascii="Times New Roman" w:hAnsi="Times New Roman"/>
                <w:bCs/>
                <w:color w:val="000000" w:themeColor="text1"/>
                <w:sz w:val="20"/>
                <w:szCs w:val="20"/>
                <w:lang w:eastAsia="ru-RU"/>
              </w:rPr>
              <w:lastRenderedPageBreak/>
              <w:t>V1153E</w:t>
            </w:r>
          </w:p>
          <w:p w14:paraId="7A3A9172" w14:textId="77777777" w:rsidR="00D41138" w:rsidRPr="00337216" w:rsidRDefault="00D41138">
            <w:pPr>
              <w:pStyle w:val="Brdtekst"/>
              <w:kinsoku w:val="0"/>
              <w:overflowPunct w:val="0"/>
              <w:ind w:left="57"/>
              <w:rPr>
                <w:rFonts w:ascii="Times New Roman" w:hAnsi="Times New Roman"/>
                <w:bCs/>
                <w:color w:val="000000" w:themeColor="text1"/>
                <w:sz w:val="20"/>
                <w:szCs w:val="20"/>
                <w:lang w:eastAsia="ru-RU"/>
              </w:rPr>
            </w:pPr>
            <w:r w:rsidRPr="00337216">
              <w:rPr>
                <w:rFonts w:ascii="Times New Roman" w:hAnsi="Times New Roman"/>
                <w:bCs/>
                <w:color w:val="000000" w:themeColor="text1"/>
                <w:sz w:val="20"/>
                <w:szCs w:val="20"/>
                <w:lang w:eastAsia="ru-RU"/>
              </w:rPr>
              <w:t>V1240G</w:t>
            </w:r>
          </w:p>
          <w:p w14:paraId="33EABEA5" w14:textId="77777777" w:rsidR="00D41138" w:rsidRPr="00337216" w:rsidRDefault="00D41138">
            <w:pPr>
              <w:pStyle w:val="Brdtekst"/>
              <w:kinsoku w:val="0"/>
              <w:overflowPunct w:val="0"/>
              <w:ind w:left="57"/>
              <w:rPr>
                <w:rFonts w:ascii="Times New Roman" w:hAnsi="Times New Roman"/>
                <w:bCs/>
                <w:color w:val="000000" w:themeColor="text1"/>
                <w:sz w:val="20"/>
                <w:szCs w:val="20"/>
                <w:lang w:eastAsia="ru-RU"/>
              </w:rPr>
            </w:pPr>
            <w:r w:rsidRPr="00337216">
              <w:rPr>
                <w:rFonts w:ascii="Times New Roman" w:hAnsi="Times New Roman"/>
                <w:bCs/>
                <w:color w:val="000000" w:themeColor="text1"/>
                <w:sz w:val="20"/>
                <w:szCs w:val="20"/>
                <w:lang w:eastAsia="ru-RU"/>
              </w:rPr>
              <w:t>V1293G</w:t>
            </w:r>
          </w:p>
          <w:p w14:paraId="4FA0A013" w14:textId="77777777" w:rsidR="00D41138" w:rsidRPr="00337216" w:rsidRDefault="00D41138">
            <w:pPr>
              <w:pStyle w:val="Brdtekst"/>
              <w:kinsoku w:val="0"/>
              <w:overflowPunct w:val="0"/>
              <w:ind w:left="57"/>
              <w:rPr>
                <w:rFonts w:ascii="Times New Roman" w:hAnsi="Times New Roman"/>
                <w:bCs/>
                <w:color w:val="000000" w:themeColor="text1"/>
                <w:sz w:val="20"/>
                <w:szCs w:val="20"/>
                <w:lang w:eastAsia="ru-RU"/>
              </w:rPr>
            </w:pPr>
            <w:r w:rsidRPr="00337216">
              <w:rPr>
                <w:rFonts w:ascii="Times New Roman" w:hAnsi="Times New Roman"/>
                <w:bCs/>
                <w:color w:val="000000" w:themeColor="text1"/>
                <w:sz w:val="20"/>
                <w:szCs w:val="20"/>
                <w:lang w:eastAsia="ru-RU"/>
              </w:rPr>
              <w:t>V1293I</w:t>
            </w:r>
          </w:p>
          <w:p w14:paraId="6029D477" w14:textId="77777777" w:rsidR="00D41138" w:rsidRPr="00337216" w:rsidRDefault="00D41138">
            <w:pPr>
              <w:pStyle w:val="Brdtekst"/>
              <w:kinsoku w:val="0"/>
              <w:overflowPunct w:val="0"/>
              <w:ind w:left="57"/>
              <w:rPr>
                <w:rFonts w:ascii="Times New Roman" w:hAnsi="Times New Roman"/>
                <w:bCs/>
                <w:color w:val="000000" w:themeColor="text1"/>
                <w:sz w:val="20"/>
                <w:szCs w:val="20"/>
                <w:lang w:eastAsia="ru-RU"/>
              </w:rPr>
            </w:pPr>
            <w:r w:rsidRPr="00337216">
              <w:rPr>
                <w:rFonts w:ascii="Times New Roman" w:hAnsi="Times New Roman"/>
                <w:bCs/>
                <w:color w:val="000000" w:themeColor="text1"/>
                <w:sz w:val="20"/>
                <w:szCs w:val="20"/>
                <w:lang w:eastAsia="ru-RU"/>
              </w:rPr>
              <w:t>V1415F</w:t>
            </w:r>
          </w:p>
          <w:p w14:paraId="3FC8B1B9" w14:textId="77777777" w:rsidR="00D41138" w:rsidRPr="00337216" w:rsidRDefault="00D41138">
            <w:pPr>
              <w:pStyle w:val="Brdtekst"/>
              <w:kinsoku w:val="0"/>
              <w:overflowPunct w:val="0"/>
              <w:ind w:left="57"/>
              <w:rPr>
                <w:rFonts w:ascii="Times New Roman" w:hAnsi="Times New Roman"/>
                <w:bCs/>
                <w:color w:val="000000" w:themeColor="text1"/>
                <w:sz w:val="20"/>
                <w:szCs w:val="20"/>
                <w:lang w:eastAsia="ru-RU"/>
              </w:rPr>
            </w:pPr>
            <w:r w:rsidRPr="00337216">
              <w:rPr>
                <w:rFonts w:ascii="Times New Roman" w:hAnsi="Times New Roman"/>
                <w:bCs/>
                <w:color w:val="000000" w:themeColor="text1"/>
                <w:sz w:val="20"/>
                <w:szCs w:val="20"/>
                <w:lang w:eastAsia="ru-RU"/>
              </w:rPr>
              <w:t>W202C</w:t>
            </w:r>
          </w:p>
          <w:p w14:paraId="1156CD8B" w14:textId="77777777" w:rsidR="00D41138" w:rsidRPr="00337216" w:rsidRDefault="00D41138">
            <w:pPr>
              <w:pStyle w:val="Brdtekst"/>
              <w:kinsoku w:val="0"/>
              <w:overflowPunct w:val="0"/>
              <w:ind w:left="57"/>
              <w:rPr>
                <w:rFonts w:ascii="Times New Roman" w:hAnsi="Times New Roman"/>
                <w:bCs/>
                <w:color w:val="000000" w:themeColor="text1"/>
                <w:sz w:val="20"/>
                <w:szCs w:val="20"/>
                <w:lang w:val="en-US" w:eastAsia="ru-RU"/>
              </w:rPr>
            </w:pPr>
            <w:r w:rsidRPr="00337216">
              <w:rPr>
                <w:rFonts w:ascii="Times New Roman" w:hAnsi="Times New Roman"/>
                <w:bCs/>
                <w:color w:val="000000" w:themeColor="text1"/>
                <w:sz w:val="20"/>
                <w:szCs w:val="20"/>
                <w:lang w:val="en-US" w:eastAsia="ru-RU"/>
              </w:rPr>
              <w:t>W361R</w:t>
            </w:r>
          </w:p>
          <w:p w14:paraId="4A17FDF9" w14:textId="77777777" w:rsidR="00D41138" w:rsidRPr="00337216" w:rsidRDefault="00D41138">
            <w:pPr>
              <w:pStyle w:val="Brdtekst"/>
              <w:kinsoku w:val="0"/>
              <w:overflowPunct w:val="0"/>
              <w:ind w:left="57"/>
              <w:rPr>
                <w:rFonts w:ascii="Times New Roman" w:hAnsi="Times New Roman"/>
                <w:bCs/>
                <w:color w:val="000000" w:themeColor="text1"/>
                <w:sz w:val="20"/>
                <w:szCs w:val="20"/>
                <w:lang w:val="en-US" w:eastAsia="ru-RU"/>
              </w:rPr>
            </w:pPr>
            <w:r w:rsidRPr="00337216">
              <w:rPr>
                <w:rFonts w:ascii="Times New Roman" w:hAnsi="Times New Roman"/>
                <w:bCs/>
                <w:color w:val="000000" w:themeColor="text1"/>
                <w:sz w:val="20"/>
                <w:szCs w:val="20"/>
                <w:lang w:val="en-US" w:eastAsia="ru-RU"/>
              </w:rPr>
              <w:t>W496R</w:t>
            </w:r>
          </w:p>
          <w:p w14:paraId="1577274E" w14:textId="77777777" w:rsidR="00D41138" w:rsidRPr="00337216" w:rsidRDefault="00D41138">
            <w:pPr>
              <w:pStyle w:val="Brdtekst"/>
              <w:kinsoku w:val="0"/>
              <w:overflowPunct w:val="0"/>
              <w:ind w:left="57"/>
              <w:rPr>
                <w:rFonts w:ascii="Times New Roman" w:hAnsi="Times New Roman"/>
                <w:bCs/>
                <w:color w:val="000000" w:themeColor="text1"/>
                <w:sz w:val="20"/>
                <w:szCs w:val="20"/>
                <w:lang w:val="en-US" w:eastAsia="ru-RU"/>
              </w:rPr>
            </w:pPr>
            <w:r w:rsidRPr="00337216">
              <w:rPr>
                <w:rFonts w:ascii="Times New Roman" w:hAnsi="Times New Roman"/>
                <w:bCs/>
                <w:color w:val="000000" w:themeColor="text1"/>
                <w:sz w:val="20"/>
                <w:szCs w:val="20"/>
                <w:lang w:val="en-US" w:eastAsia="ru-RU"/>
              </w:rPr>
              <w:t>W1098C</w:t>
            </w:r>
          </w:p>
          <w:p w14:paraId="172B99C1" w14:textId="77777777" w:rsidR="00D41138" w:rsidRPr="00337216" w:rsidRDefault="00D41138">
            <w:pPr>
              <w:pStyle w:val="Brdtekst"/>
              <w:kinsoku w:val="0"/>
              <w:overflowPunct w:val="0"/>
              <w:ind w:left="57"/>
              <w:rPr>
                <w:rFonts w:ascii="Times New Roman" w:hAnsi="Times New Roman"/>
                <w:bCs/>
                <w:color w:val="000000" w:themeColor="text1"/>
                <w:sz w:val="20"/>
                <w:szCs w:val="20"/>
                <w:lang w:val="en-US" w:eastAsia="ru-RU"/>
              </w:rPr>
            </w:pPr>
            <w:r w:rsidRPr="00337216">
              <w:rPr>
                <w:rFonts w:ascii="Times New Roman" w:hAnsi="Times New Roman"/>
                <w:bCs/>
                <w:color w:val="000000" w:themeColor="text1"/>
                <w:sz w:val="20"/>
                <w:szCs w:val="20"/>
                <w:lang w:val="en-US" w:eastAsia="ru-RU"/>
              </w:rPr>
              <w:t>W1282G</w:t>
            </w:r>
          </w:p>
          <w:p w14:paraId="7EB64059" w14:textId="77777777" w:rsidR="00D41138" w:rsidRPr="00337216" w:rsidRDefault="00D41138">
            <w:pPr>
              <w:pStyle w:val="Brdtekst"/>
              <w:kinsoku w:val="0"/>
              <w:overflowPunct w:val="0"/>
              <w:ind w:left="57"/>
              <w:rPr>
                <w:rFonts w:ascii="Times New Roman" w:hAnsi="Times New Roman"/>
                <w:bCs/>
                <w:color w:val="000000" w:themeColor="text1"/>
                <w:sz w:val="20"/>
                <w:szCs w:val="20"/>
                <w:lang w:val="en-US" w:eastAsia="ru-RU"/>
              </w:rPr>
            </w:pPr>
            <w:r w:rsidRPr="00337216">
              <w:rPr>
                <w:rFonts w:ascii="Times New Roman" w:hAnsi="Times New Roman"/>
                <w:bCs/>
                <w:color w:val="000000" w:themeColor="text1"/>
                <w:sz w:val="20"/>
                <w:szCs w:val="20"/>
                <w:lang w:val="en-US" w:eastAsia="ru-RU"/>
              </w:rPr>
              <w:t>W1282R</w:t>
            </w:r>
          </w:p>
          <w:p w14:paraId="30CFA239" w14:textId="77777777" w:rsidR="00D41138" w:rsidRPr="00337216" w:rsidRDefault="00D41138">
            <w:pPr>
              <w:pStyle w:val="Brdtekst"/>
              <w:kinsoku w:val="0"/>
              <w:overflowPunct w:val="0"/>
              <w:ind w:left="57"/>
              <w:rPr>
                <w:rFonts w:ascii="Times New Roman" w:hAnsi="Times New Roman"/>
                <w:bCs/>
                <w:color w:val="000000" w:themeColor="text1"/>
                <w:sz w:val="20"/>
                <w:szCs w:val="20"/>
                <w:lang w:val="en-US" w:eastAsia="ru-RU"/>
              </w:rPr>
            </w:pPr>
            <w:r w:rsidRPr="00337216">
              <w:rPr>
                <w:rFonts w:ascii="Times New Roman" w:hAnsi="Times New Roman"/>
                <w:bCs/>
                <w:color w:val="000000" w:themeColor="text1"/>
                <w:sz w:val="20"/>
                <w:szCs w:val="20"/>
                <w:lang w:val="en-US" w:eastAsia="ru-RU"/>
              </w:rPr>
              <w:t>Y89C</w:t>
            </w:r>
          </w:p>
          <w:p w14:paraId="288F4358" w14:textId="77777777" w:rsidR="00D41138" w:rsidRPr="00337216" w:rsidRDefault="00D41138">
            <w:pPr>
              <w:pStyle w:val="Brdtekst"/>
              <w:kinsoku w:val="0"/>
              <w:overflowPunct w:val="0"/>
              <w:ind w:left="57"/>
              <w:rPr>
                <w:rFonts w:ascii="Times New Roman" w:hAnsi="Times New Roman"/>
                <w:bCs/>
                <w:color w:val="000000" w:themeColor="text1"/>
                <w:sz w:val="20"/>
                <w:szCs w:val="20"/>
                <w:lang w:val="en-US" w:eastAsia="ru-RU"/>
              </w:rPr>
            </w:pPr>
            <w:r w:rsidRPr="00337216">
              <w:rPr>
                <w:rFonts w:ascii="Times New Roman" w:hAnsi="Times New Roman"/>
                <w:bCs/>
                <w:color w:val="000000" w:themeColor="text1"/>
                <w:sz w:val="20"/>
                <w:szCs w:val="20"/>
                <w:lang w:val="en-US" w:eastAsia="ru-RU"/>
              </w:rPr>
              <w:t>Y109H</w:t>
            </w:r>
          </w:p>
          <w:p w14:paraId="1B174A42" w14:textId="77777777" w:rsidR="00D41138" w:rsidRPr="00337216" w:rsidRDefault="00D41138">
            <w:pPr>
              <w:pStyle w:val="Brdtekst"/>
              <w:kinsoku w:val="0"/>
              <w:overflowPunct w:val="0"/>
              <w:ind w:left="57"/>
              <w:rPr>
                <w:rFonts w:ascii="Times New Roman" w:hAnsi="Times New Roman"/>
                <w:bCs/>
                <w:color w:val="000000" w:themeColor="text1"/>
                <w:sz w:val="20"/>
                <w:szCs w:val="20"/>
                <w:lang w:val="en-US" w:eastAsia="ru-RU"/>
              </w:rPr>
            </w:pPr>
            <w:r w:rsidRPr="00337216">
              <w:rPr>
                <w:rFonts w:ascii="Times New Roman" w:hAnsi="Times New Roman"/>
                <w:bCs/>
                <w:color w:val="000000" w:themeColor="text1"/>
                <w:sz w:val="20"/>
                <w:szCs w:val="20"/>
                <w:lang w:val="en-US" w:eastAsia="ru-RU"/>
              </w:rPr>
              <w:t>Y109N</w:t>
            </w:r>
          </w:p>
          <w:p w14:paraId="67887DCC" w14:textId="77777777" w:rsidR="00D41138" w:rsidRPr="00337216" w:rsidRDefault="00D41138">
            <w:pPr>
              <w:pStyle w:val="Brdtekst"/>
              <w:kinsoku w:val="0"/>
              <w:overflowPunct w:val="0"/>
              <w:ind w:left="57"/>
              <w:rPr>
                <w:rFonts w:ascii="Times New Roman" w:hAnsi="Times New Roman"/>
                <w:bCs/>
                <w:color w:val="000000" w:themeColor="text1"/>
                <w:sz w:val="20"/>
                <w:szCs w:val="20"/>
                <w:lang w:val="en-US" w:eastAsia="ru-RU"/>
              </w:rPr>
            </w:pPr>
            <w:r w:rsidRPr="00337216">
              <w:rPr>
                <w:rFonts w:ascii="Times New Roman" w:hAnsi="Times New Roman"/>
                <w:bCs/>
                <w:color w:val="000000" w:themeColor="text1"/>
                <w:sz w:val="20"/>
                <w:szCs w:val="20"/>
                <w:lang w:val="en-US" w:eastAsia="ru-RU"/>
              </w:rPr>
              <w:t>Y122C</w:t>
            </w:r>
          </w:p>
          <w:p w14:paraId="7A4EE14F" w14:textId="77777777" w:rsidR="00D41138" w:rsidRPr="00337216" w:rsidRDefault="00D41138">
            <w:pPr>
              <w:pStyle w:val="Brdtekst"/>
              <w:kinsoku w:val="0"/>
              <w:overflowPunct w:val="0"/>
              <w:ind w:left="57"/>
              <w:rPr>
                <w:rFonts w:ascii="Times New Roman" w:hAnsi="Times New Roman"/>
                <w:bCs/>
                <w:color w:val="000000" w:themeColor="text1"/>
                <w:sz w:val="20"/>
                <w:szCs w:val="20"/>
                <w:lang w:val="en-US" w:eastAsia="ru-RU"/>
              </w:rPr>
            </w:pPr>
            <w:r w:rsidRPr="00337216">
              <w:rPr>
                <w:rFonts w:ascii="Times New Roman" w:hAnsi="Times New Roman"/>
                <w:bCs/>
                <w:color w:val="000000" w:themeColor="text1"/>
                <w:sz w:val="20"/>
                <w:szCs w:val="20"/>
                <w:lang w:val="en-US" w:eastAsia="ru-RU"/>
              </w:rPr>
              <w:t>Y161C</w:t>
            </w:r>
          </w:p>
          <w:p w14:paraId="3F268A9C" w14:textId="77777777" w:rsidR="00D41138" w:rsidRPr="00337216" w:rsidRDefault="00D41138">
            <w:pPr>
              <w:pStyle w:val="Brdtekst"/>
              <w:kinsoku w:val="0"/>
              <w:overflowPunct w:val="0"/>
              <w:ind w:left="57"/>
              <w:rPr>
                <w:rFonts w:ascii="Times New Roman" w:hAnsi="Times New Roman"/>
                <w:bCs/>
                <w:color w:val="000000" w:themeColor="text1"/>
                <w:sz w:val="20"/>
                <w:szCs w:val="20"/>
                <w:lang w:val="en-US" w:eastAsia="ru-RU"/>
              </w:rPr>
            </w:pPr>
            <w:r w:rsidRPr="00337216">
              <w:rPr>
                <w:rFonts w:ascii="Times New Roman" w:hAnsi="Times New Roman"/>
                <w:bCs/>
                <w:color w:val="000000" w:themeColor="text1"/>
                <w:sz w:val="20"/>
                <w:szCs w:val="20"/>
                <w:lang w:val="en-US" w:eastAsia="ru-RU"/>
              </w:rPr>
              <w:t>Y161D</w:t>
            </w:r>
          </w:p>
          <w:p w14:paraId="44A066B4" w14:textId="77777777" w:rsidR="00D41138" w:rsidRPr="00337216" w:rsidRDefault="00D41138">
            <w:pPr>
              <w:pStyle w:val="Brdtekst"/>
              <w:kinsoku w:val="0"/>
              <w:overflowPunct w:val="0"/>
              <w:ind w:left="57"/>
              <w:rPr>
                <w:rFonts w:ascii="Times New Roman" w:hAnsi="Times New Roman"/>
                <w:bCs/>
                <w:color w:val="000000" w:themeColor="text1"/>
                <w:sz w:val="20"/>
                <w:szCs w:val="20"/>
                <w:lang w:val="en-US" w:eastAsia="ru-RU"/>
              </w:rPr>
            </w:pPr>
            <w:r w:rsidRPr="00337216">
              <w:rPr>
                <w:rFonts w:ascii="Times New Roman" w:hAnsi="Times New Roman"/>
                <w:bCs/>
                <w:color w:val="000000" w:themeColor="text1"/>
                <w:sz w:val="20"/>
                <w:szCs w:val="20"/>
                <w:lang w:val="en-US" w:eastAsia="ru-RU"/>
              </w:rPr>
              <w:t>Y161S</w:t>
            </w:r>
          </w:p>
          <w:p w14:paraId="5890CDAC" w14:textId="77777777" w:rsidR="00D41138" w:rsidRPr="00337216" w:rsidRDefault="00D41138">
            <w:pPr>
              <w:pStyle w:val="Brdtekst"/>
              <w:kinsoku w:val="0"/>
              <w:overflowPunct w:val="0"/>
              <w:ind w:left="57"/>
              <w:rPr>
                <w:rFonts w:ascii="Times New Roman" w:hAnsi="Times New Roman"/>
                <w:bCs/>
                <w:color w:val="000000" w:themeColor="text1"/>
                <w:sz w:val="20"/>
                <w:szCs w:val="20"/>
                <w:lang w:val="en-US" w:eastAsia="ru-RU"/>
              </w:rPr>
            </w:pPr>
            <w:r w:rsidRPr="00337216">
              <w:rPr>
                <w:rFonts w:ascii="Times New Roman" w:hAnsi="Times New Roman"/>
                <w:bCs/>
                <w:color w:val="000000" w:themeColor="text1"/>
                <w:sz w:val="20"/>
                <w:szCs w:val="20"/>
                <w:lang w:val="en-US" w:eastAsia="ru-RU"/>
              </w:rPr>
              <w:t>Y301C</w:t>
            </w:r>
          </w:p>
          <w:p w14:paraId="462F27DC" w14:textId="77777777" w:rsidR="00D41138" w:rsidRPr="00337216" w:rsidRDefault="00D41138">
            <w:pPr>
              <w:pStyle w:val="Brdtekst"/>
              <w:kinsoku w:val="0"/>
              <w:overflowPunct w:val="0"/>
              <w:ind w:left="57"/>
              <w:rPr>
                <w:rFonts w:ascii="Times New Roman" w:hAnsi="Times New Roman"/>
                <w:bCs/>
                <w:color w:val="000000" w:themeColor="text1"/>
                <w:sz w:val="20"/>
                <w:szCs w:val="20"/>
                <w:lang w:val="en-US" w:eastAsia="ru-RU"/>
              </w:rPr>
            </w:pPr>
            <w:r w:rsidRPr="00337216">
              <w:rPr>
                <w:rFonts w:ascii="Times New Roman" w:hAnsi="Times New Roman"/>
                <w:bCs/>
                <w:color w:val="000000" w:themeColor="text1"/>
                <w:sz w:val="20"/>
                <w:szCs w:val="20"/>
                <w:lang w:val="en-US" w:eastAsia="ru-RU"/>
              </w:rPr>
              <w:t>Y563N</w:t>
            </w:r>
          </w:p>
          <w:p w14:paraId="1A18FDBD" w14:textId="77777777" w:rsidR="00D41138" w:rsidRPr="00337216" w:rsidRDefault="00D41138">
            <w:pPr>
              <w:pStyle w:val="Brdtekst"/>
              <w:kinsoku w:val="0"/>
              <w:overflowPunct w:val="0"/>
              <w:ind w:left="57"/>
              <w:rPr>
                <w:rFonts w:ascii="Times New Roman" w:hAnsi="Times New Roman"/>
                <w:bCs/>
                <w:color w:val="000000" w:themeColor="text1"/>
                <w:sz w:val="20"/>
                <w:szCs w:val="20"/>
                <w:lang w:val="en-US" w:eastAsia="ru-RU"/>
              </w:rPr>
            </w:pPr>
            <w:r w:rsidRPr="00337216">
              <w:rPr>
                <w:rFonts w:ascii="Times New Roman" w:hAnsi="Times New Roman"/>
                <w:bCs/>
                <w:color w:val="000000" w:themeColor="text1"/>
                <w:sz w:val="20"/>
                <w:szCs w:val="20"/>
                <w:lang w:val="en-US" w:eastAsia="ru-RU"/>
              </w:rPr>
              <w:t>Y913S</w:t>
            </w:r>
          </w:p>
          <w:p w14:paraId="4BCAF4D4" w14:textId="77777777" w:rsidR="00D41138" w:rsidRPr="00337216" w:rsidRDefault="00D41138">
            <w:pPr>
              <w:pStyle w:val="Brdtekst"/>
              <w:kinsoku w:val="0"/>
              <w:overflowPunct w:val="0"/>
              <w:ind w:left="57"/>
              <w:rPr>
                <w:rFonts w:ascii="Times New Roman" w:hAnsi="Times New Roman"/>
                <w:bCs/>
                <w:color w:val="000000" w:themeColor="text1"/>
                <w:sz w:val="20"/>
                <w:szCs w:val="20"/>
                <w:lang w:val="en-US" w:eastAsia="ru-RU"/>
              </w:rPr>
            </w:pPr>
            <w:r w:rsidRPr="00337216">
              <w:rPr>
                <w:rFonts w:ascii="Times New Roman" w:hAnsi="Times New Roman"/>
                <w:bCs/>
                <w:color w:val="000000" w:themeColor="text1"/>
                <w:sz w:val="20"/>
                <w:szCs w:val="20"/>
                <w:lang w:val="en-US" w:eastAsia="ru-RU"/>
              </w:rPr>
              <w:t>Y919C</w:t>
            </w:r>
          </w:p>
          <w:p w14:paraId="441F598F" w14:textId="77777777" w:rsidR="00D41138" w:rsidRPr="00337216" w:rsidRDefault="00D41138">
            <w:pPr>
              <w:pStyle w:val="Brdtekst"/>
              <w:kinsoku w:val="0"/>
              <w:overflowPunct w:val="0"/>
              <w:ind w:left="57"/>
              <w:rPr>
                <w:rFonts w:ascii="Times New Roman" w:hAnsi="Times New Roman"/>
                <w:bCs/>
                <w:color w:val="000000" w:themeColor="text1"/>
                <w:sz w:val="20"/>
                <w:szCs w:val="20"/>
                <w:lang w:val="en-US" w:eastAsia="ru-RU"/>
              </w:rPr>
            </w:pPr>
            <w:r w:rsidRPr="00337216">
              <w:rPr>
                <w:rFonts w:ascii="Times New Roman" w:hAnsi="Times New Roman"/>
                <w:bCs/>
                <w:color w:val="000000" w:themeColor="text1"/>
                <w:sz w:val="20"/>
                <w:szCs w:val="20"/>
                <w:lang w:val="en-US" w:eastAsia="ru-RU"/>
              </w:rPr>
              <w:t>Y1014C</w:t>
            </w:r>
          </w:p>
          <w:p w14:paraId="01BB960C" w14:textId="77777777" w:rsidR="00D41138" w:rsidRPr="00337216" w:rsidRDefault="00D41138">
            <w:pPr>
              <w:pStyle w:val="Brdtekst"/>
              <w:kinsoku w:val="0"/>
              <w:overflowPunct w:val="0"/>
              <w:ind w:left="57"/>
              <w:rPr>
                <w:rFonts w:ascii="Times New Roman" w:hAnsi="Times New Roman"/>
                <w:bCs/>
                <w:color w:val="000000" w:themeColor="text1"/>
                <w:sz w:val="20"/>
                <w:szCs w:val="20"/>
                <w:lang w:val="en-US" w:eastAsia="ru-RU"/>
              </w:rPr>
            </w:pPr>
            <w:r w:rsidRPr="00337216">
              <w:rPr>
                <w:rFonts w:ascii="Times New Roman" w:hAnsi="Times New Roman"/>
                <w:bCs/>
                <w:color w:val="000000" w:themeColor="text1"/>
                <w:sz w:val="20"/>
                <w:szCs w:val="20"/>
                <w:lang w:val="en-US" w:eastAsia="ru-RU"/>
              </w:rPr>
              <w:t>Y1032C</w:t>
            </w:r>
          </w:p>
          <w:p w14:paraId="14780EB2" w14:textId="77777777" w:rsidR="00D41138" w:rsidRPr="00337216" w:rsidRDefault="00D41138">
            <w:pPr>
              <w:pStyle w:val="Brdtekst"/>
              <w:kinsoku w:val="0"/>
              <w:overflowPunct w:val="0"/>
              <w:ind w:left="57"/>
              <w:rPr>
                <w:rFonts w:ascii="Times New Roman" w:hAnsi="Times New Roman"/>
                <w:bCs/>
                <w:color w:val="000000" w:themeColor="text1"/>
                <w:sz w:val="20"/>
                <w:szCs w:val="20"/>
                <w:lang w:eastAsia="ru-RU"/>
              </w:rPr>
            </w:pPr>
            <w:r w:rsidRPr="00337216">
              <w:rPr>
                <w:rFonts w:ascii="Times New Roman" w:hAnsi="Times New Roman"/>
                <w:bCs/>
                <w:color w:val="000000" w:themeColor="text1"/>
                <w:sz w:val="20"/>
                <w:szCs w:val="20"/>
                <w:lang w:eastAsia="ru-RU"/>
              </w:rPr>
              <w:t>Y1032N</w:t>
            </w:r>
          </w:p>
          <w:p w14:paraId="5CD88F51" w14:textId="77777777" w:rsidR="00D41138" w:rsidRPr="00337216" w:rsidRDefault="00D41138">
            <w:pPr>
              <w:pStyle w:val="Brdtekst"/>
              <w:kinsoku w:val="0"/>
              <w:overflowPunct w:val="0"/>
              <w:ind w:left="57"/>
              <w:rPr>
                <w:rFonts w:ascii="Times New Roman" w:hAnsi="Times New Roman"/>
                <w:bCs/>
                <w:color w:val="000000" w:themeColor="text1"/>
                <w:sz w:val="20"/>
                <w:szCs w:val="20"/>
                <w:lang w:eastAsia="ru-RU"/>
              </w:rPr>
            </w:pPr>
            <w:r w:rsidRPr="00337216">
              <w:rPr>
                <w:rFonts w:ascii="Times New Roman" w:hAnsi="Times New Roman"/>
                <w:bCs/>
                <w:color w:val="000000" w:themeColor="text1"/>
                <w:sz w:val="20"/>
                <w:szCs w:val="20"/>
                <w:lang w:eastAsia="ru-RU"/>
              </w:rPr>
              <w:t>Y1073C</w:t>
            </w:r>
          </w:p>
          <w:p w14:paraId="7AFF004C" w14:textId="77777777" w:rsidR="00D41138" w:rsidRPr="00337216" w:rsidRDefault="00D41138">
            <w:pPr>
              <w:pStyle w:val="Brdtekst"/>
              <w:kinsoku w:val="0"/>
              <w:overflowPunct w:val="0"/>
              <w:ind w:left="57"/>
              <w:rPr>
                <w:rFonts w:ascii="Times New Roman" w:hAnsi="Times New Roman"/>
                <w:bCs/>
                <w:color w:val="000000" w:themeColor="text1"/>
                <w:sz w:val="20"/>
                <w:szCs w:val="20"/>
                <w:lang w:eastAsia="ru-RU"/>
              </w:rPr>
            </w:pPr>
            <w:r w:rsidRPr="00337216">
              <w:rPr>
                <w:rFonts w:ascii="Times New Roman" w:hAnsi="Times New Roman"/>
                <w:bCs/>
                <w:color w:val="000000" w:themeColor="text1"/>
                <w:sz w:val="20"/>
                <w:szCs w:val="20"/>
                <w:lang w:eastAsia="ru-RU"/>
              </w:rPr>
              <w:t>Y1092H</w:t>
            </w:r>
          </w:p>
          <w:p w14:paraId="23BB56B4" w14:textId="77777777" w:rsidR="00D41138" w:rsidRPr="00337216" w:rsidRDefault="00D41138">
            <w:pPr>
              <w:pStyle w:val="Brdtekst"/>
              <w:kinsoku w:val="0"/>
              <w:overflowPunct w:val="0"/>
              <w:ind w:left="57"/>
              <w:rPr>
                <w:rFonts w:ascii="Times New Roman" w:hAnsi="Times New Roman"/>
                <w:bCs/>
                <w:color w:val="000000" w:themeColor="text1"/>
                <w:sz w:val="20"/>
                <w:szCs w:val="20"/>
                <w:lang w:eastAsia="ru-RU"/>
              </w:rPr>
            </w:pPr>
            <w:r w:rsidRPr="00337216">
              <w:rPr>
                <w:rFonts w:ascii="Times New Roman" w:hAnsi="Times New Roman"/>
                <w:bCs/>
                <w:color w:val="000000" w:themeColor="text1"/>
                <w:sz w:val="20"/>
                <w:szCs w:val="20"/>
                <w:lang w:eastAsia="ru-RU"/>
              </w:rPr>
              <w:t>Y1381H</w:t>
            </w:r>
          </w:p>
        </w:tc>
      </w:tr>
    </w:tbl>
    <w:p w14:paraId="62B41852" w14:textId="77777777" w:rsidR="00D41138" w:rsidRPr="00337216" w:rsidRDefault="00D41138" w:rsidP="00337216">
      <w:pPr>
        <w:rPr>
          <w:sz w:val="20"/>
          <w:lang w:eastAsia="da-DK"/>
        </w:rPr>
      </w:pPr>
      <w:r w:rsidRPr="00337216">
        <w:rPr>
          <w:sz w:val="20"/>
        </w:rPr>
        <w:lastRenderedPageBreak/>
        <w:t>Der findes personer med CF, der bærer to sjældne non-</w:t>
      </w:r>
      <w:r w:rsidRPr="00337216">
        <w:rPr>
          <w:i/>
          <w:sz w:val="20"/>
        </w:rPr>
        <w:t>F508del</w:t>
      </w:r>
      <w:r w:rsidRPr="00337216">
        <w:rPr>
          <w:sz w:val="20"/>
        </w:rPr>
        <w:t xml:space="preserve"> </w:t>
      </w:r>
      <w:r w:rsidRPr="00337216">
        <w:rPr>
          <w:i/>
          <w:sz w:val="20"/>
        </w:rPr>
        <w:t>CFTR</w:t>
      </w:r>
      <w:r w:rsidRPr="00337216">
        <w:rPr>
          <w:sz w:val="20"/>
        </w:rPr>
        <w:t xml:space="preserve">-mutationer, som ikke er anført i tabel 6. </w:t>
      </w:r>
    </w:p>
    <w:p w14:paraId="3215DB2E" w14:textId="77777777" w:rsidR="00D41138" w:rsidRPr="00337216" w:rsidRDefault="00D41138" w:rsidP="00337216">
      <w:pPr>
        <w:rPr>
          <w:sz w:val="20"/>
        </w:rPr>
      </w:pPr>
      <w:r w:rsidRPr="00337216">
        <w:rPr>
          <w:sz w:val="20"/>
        </w:rPr>
        <w:t xml:space="preserve">Forudsat at de ikke bærer to klasse I (null)-mutationer (mutationer, der vides ikke at producere CFTR-protein) (se pkt. 4.1), er det muligt, at de responderer på behandling. I disse tilfælde kan ivacaftor/tezacaftor/elexacaftor overvejes, hvis lægen mener, at de potentielle fordele opvejer de potentielle risici, og under tæt lægelig supervision. </w:t>
      </w:r>
    </w:p>
    <w:p w14:paraId="0B8641F1" w14:textId="77777777" w:rsidR="00D41138" w:rsidRPr="00337216" w:rsidRDefault="00D41138" w:rsidP="00337216">
      <w:pPr>
        <w:rPr>
          <w:sz w:val="20"/>
        </w:rPr>
      </w:pPr>
      <w:r w:rsidRPr="00337216">
        <w:rPr>
          <w:sz w:val="20"/>
        </w:rPr>
        <w:t xml:space="preserve">Den individuelle CF-diagnose skal stilles ud fra diagnostiske retningslinjer og en klinisk vurdering, da der er en betydelige variabilitet i fænotype for patienter, der bærer samme genotype </w:t>
      </w:r>
    </w:p>
    <w:p w14:paraId="389C5FF1" w14:textId="77777777" w:rsidR="00D41138" w:rsidRPr="00337216" w:rsidRDefault="00D41138" w:rsidP="00337216">
      <w:pPr>
        <w:ind w:left="284" w:hanging="284"/>
        <w:rPr>
          <w:sz w:val="20"/>
        </w:rPr>
      </w:pPr>
      <w:r w:rsidRPr="00337216">
        <w:rPr>
          <w:sz w:val="20"/>
          <w:vertAlign w:val="superscript"/>
        </w:rPr>
        <w:t>⁎</w:t>
      </w:r>
      <w:r w:rsidRPr="00337216">
        <w:rPr>
          <w:sz w:val="20"/>
        </w:rPr>
        <w:t xml:space="preserve"> </w:t>
      </w:r>
      <w:r w:rsidRPr="00337216">
        <w:rPr>
          <w:sz w:val="20"/>
        </w:rPr>
        <w:tab/>
        <w:t xml:space="preserve">Mutationer, der understøttes af kliniske data. </w:t>
      </w:r>
    </w:p>
    <w:p w14:paraId="62196C87" w14:textId="379F3C9E" w:rsidR="00D41138" w:rsidRPr="00337216" w:rsidRDefault="00337216" w:rsidP="00337216">
      <w:pPr>
        <w:ind w:left="284" w:hanging="284"/>
        <w:rPr>
          <w:sz w:val="20"/>
        </w:rPr>
      </w:pPr>
      <w:r w:rsidRPr="00337216">
        <w:rPr>
          <w:bCs/>
          <w:color w:val="000000" w:themeColor="text1"/>
          <w:sz w:val="20"/>
          <w:lang w:eastAsia="ru-RU"/>
        </w:rPr>
        <w:t xml:space="preserve">† </w:t>
      </w:r>
      <w:r>
        <w:rPr>
          <w:bCs/>
          <w:color w:val="000000" w:themeColor="text1"/>
          <w:sz w:val="20"/>
          <w:lang w:eastAsia="ru-RU"/>
        </w:rPr>
        <w:tab/>
      </w:r>
      <w:r w:rsidR="00D41138" w:rsidRPr="00337216">
        <w:rPr>
          <w:sz w:val="20"/>
        </w:rPr>
        <w:t xml:space="preserve">Mutationer, der understøttes af </w:t>
      </w:r>
      <w:proofErr w:type="gramStart"/>
      <w:r w:rsidR="00D41138" w:rsidRPr="00337216">
        <w:rPr>
          <w:i/>
          <w:sz w:val="20"/>
        </w:rPr>
        <w:t>real</w:t>
      </w:r>
      <w:proofErr w:type="gramEnd"/>
      <w:r w:rsidR="00D41138" w:rsidRPr="00337216">
        <w:rPr>
          <w:i/>
          <w:sz w:val="20"/>
        </w:rPr>
        <w:t xml:space="preserve"> world</w:t>
      </w:r>
      <w:r w:rsidR="00D41138" w:rsidRPr="00337216">
        <w:rPr>
          <w:sz w:val="20"/>
        </w:rPr>
        <w:t xml:space="preserve">-data hos ≥ 5 patienter. </w:t>
      </w:r>
    </w:p>
    <w:p w14:paraId="046557EE" w14:textId="72E53BC8" w:rsidR="00D41138" w:rsidRPr="00337216" w:rsidRDefault="00337216" w:rsidP="00337216">
      <w:pPr>
        <w:ind w:left="284" w:hanging="284"/>
        <w:rPr>
          <w:sz w:val="20"/>
        </w:rPr>
      </w:pPr>
      <w:r w:rsidRPr="00337216">
        <w:rPr>
          <w:bCs/>
          <w:color w:val="000000" w:themeColor="text1"/>
          <w:sz w:val="20"/>
          <w:lang w:eastAsia="ru-RU"/>
        </w:rPr>
        <w:t>‡</w:t>
      </w:r>
      <w:r>
        <w:rPr>
          <w:bCs/>
          <w:color w:val="000000" w:themeColor="text1"/>
          <w:sz w:val="20"/>
          <w:lang w:eastAsia="ru-RU"/>
        </w:rPr>
        <w:tab/>
      </w:r>
      <w:r w:rsidR="00D41138" w:rsidRPr="00337216">
        <w:rPr>
          <w:sz w:val="20"/>
        </w:rPr>
        <w:t xml:space="preserve">Komplekse/sammensatte mutationer, hvor en enkelt allel af CFTR-genet har flere mutationer, som eksisterer uafhængigt af tilstedeværelsen af mutationer på den anden allel. </w:t>
      </w:r>
    </w:p>
    <w:p w14:paraId="3EEAF39E" w14:textId="77777777" w:rsidR="00D41138" w:rsidRPr="00337216" w:rsidRDefault="00D41138" w:rsidP="00337216">
      <w:pPr>
        <w:rPr>
          <w:sz w:val="20"/>
        </w:rPr>
      </w:pPr>
      <w:r w:rsidRPr="00337216">
        <w:rPr>
          <w:sz w:val="20"/>
        </w:rPr>
        <w:t>Ikke-annoterede mutationer er medtaget baseret på FRT-analysen, hvor et positivt respons tyder på et klinisk respons.</w:t>
      </w:r>
    </w:p>
    <w:p w14:paraId="5690CA0A" w14:textId="77777777" w:rsidR="00D41138" w:rsidRPr="002748AE" w:rsidRDefault="00D41138" w:rsidP="00F526B8">
      <w:pPr>
        <w:ind w:left="851"/>
        <w:rPr>
          <w:sz w:val="24"/>
          <w:szCs w:val="24"/>
        </w:rPr>
      </w:pPr>
    </w:p>
    <w:p w14:paraId="0BA3D314" w14:textId="77777777" w:rsidR="00D41138" w:rsidRPr="002748AE" w:rsidRDefault="00D41138" w:rsidP="00F526B8">
      <w:pPr>
        <w:ind w:left="851"/>
        <w:rPr>
          <w:sz w:val="24"/>
          <w:szCs w:val="24"/>
        </w:rPr>
      </w:pPr>
      <w:r w:rsidRPr="002748AE">
        <w:rPr>
          <w:sz w:val="24"/>
          <w:szCs w:val="24"/>
          <w:u w:val="single"/>
        </w:rPr>
        <w:t>Farmakodynamisk virkning</w:t>
      </w:r>
      <w:r w:rsidRPr="002748AE">
        <w:rPr>
          <w:sz w:val="24"/>
          <w:szCs w:val="24"/>
        </w:rPr>
        <w:t xml:space="preserve"> </w:t>
      </w:r>
    </w:p>
    <w:p w14:paraId="26E559E5" w14:textId="77777777" w:rsidR="00D41138" w:rsidRPr="002748AE" w:rsidRDefault="00D41138" w:rsidP="00F526B8">
      <w:pPr>
        <w:ind w:left="851"/>
        <w:rPr>
          <w:sz w:val="24"/>
          <w:szCs w:val="24"/>
        </w:rPr>
      </w:pPr>
      <w:r w:rsidRPr="002748AE">
        <w:rPr>
          <w:sz w:val="24"/>
          <w:szCs w:val="24"/>
        </w:rPr>
        <w:t xml:space="preserve"> </w:t>
      </w:r>
    </w:p>
    <w:p w14:paraId="47B65F70" w14:textId="77777777" w:rsidR="00D41138" w:rsidRPr="002748AE" w:rsidRDefault="00D41138" w:rsidP="00F526B8">
      <w:pPr>
        <w:ind w:left="851"/>
        <w:rPr>
          <w:sz w:val="24"/>
          <w:szCs w:val="24"/>
        </w:rPr>
      </w:pPr>
      <w:r w:rsidRPr="002748AE">
        <w:rPr>
          <w:i/>
          <w:sz w:val="24"/>
          <w:szCs w:val="24"/>
        </w:rPr>
        <w:t>Ivacaftor som monoterapi</w:t>
      </w:r>
    </w:p>
    <w:p w14:paraId="3A781CD6" w14:textId="77777777" w:rsidR="00D41138" w:rsidRPr="002748AE" w:rsidRDefault="00D41138" w:rsidP="00F526B8">
      <w:pPr>
        <w:ind w:left="851"/>
        <w:rPr>
          <w:sz w:val="24"/>
          <w:szCs w:val="24"/>
        </w:rPr>
      </w:pPr>
      <w:r w:rsidRPr="002748AE">
        <w:rPr>
          <w:sz w:val="24"/>
          <w:szCs w:val="24"/>
        </w:rPr>
        <w:t xml:space="preserve">I studie 770-102 og 770-103 hos patienter med </w:t>
      </w:r>
      <w:r w:rsidRPr="002748AE">
        <w:rPr>
          <w:i/>
          <w:sz w:val="24"/>
          <w:szCs w:val="24"/>
        </w:rPr>
        <w:t>G551D-</w:t>
      </w:r>
      <w:r w:rsidRPr="002748AE">
        <w:rPr>
          <w:sz w:val="24"/>
          <w:szCs w:val="24"/>
        </w:rPr>
        <w:t xml:space="preserve">mutationen i </w:t>
      </w:r>
      <w:proofErr w:type="gramStart"/>
      <w:r w:rsidRPr="002748AE">
        <w:rPr>
          <w:sz w:val="24"/>
          <w:szCs w:val="24"/>
        </w:rPr>
        <w:t>et allel</w:t>
      </w:r>
      <w:proofErr w:type="gramEnd"/>
      <w:r w:rsidRPr="002748AE">
        <w:rPr>
          <w:sz w:val="24"/>
          <w:szCs w:val="24"/>
        </w:rPr>
        <w:t xml:space="preserve"> på </w:t>
      </w:r>
      <w:r w:rsidRPr="002748AE">
        <w:rPr>
          <w:i/>
          <w:sz w:val="24"/>
          <w:szCs w:val="24"/>
        </w:rPr>
        <w:t>CFTR</w:t>
      </w:r>
      <w:r w:rsidRPr="002748AE">
        <w:rPr>
          <w:sz w:val="24"/>
          <w:szCs w:val="24"/>
        </w:rPr>
        <w:t xml:space="preserve">-genet førte ivacaftor til en hurtig (15 dages), betydelig (den gennemsnitlige ændring i sved-chloridkoncentration fra </w:t>
      </w:r>
      <w:r w:rsidRPr="002748AE">
        <w:rPr>
          <w:i/>
          <w:sz w:val="24"/>
          <w:szCs w:val="24"/>
        </w:rPr>
        <w:t>baseline</w:t>
      </w:r>
      <w:r w:rsidRPr="002748AE">
        <w:rPr>
          <w:sz w:val="24"/>
          <w:szCs w:val="24"/>
        </w:rPr>
        <w:t xml:space="preserve"> til og med uge 24 var hhv. -48 mmol/l [95 % CI: -51; -45] og -54 mmol/l [95 % CI: -62; 47]) og vedvarende (til og med 48 uger) reduktioner i sved-chloridkoncentrationen. </w:t>
      </w:r>
    </w:p>
    <w:p w14:paraId="2CF70CB8" w14:textId="77777777" w:rsidR="00D41138" w:rsidRPr="002748AE" w:rsidRDefault="00D41138" w:rsidP="00F526B8">
      <w:pPr>
        <w:ind w:left="851"/>
        <w:rPr>
          <w:sz w:val="24"/>
          <w:szCs w:val="24"/>
        </w:rPr>
      </w:pPr>
      <w:r w:rsidRPr="002748AE">
        <w:rPr>
          <w:sz w:val="24"/>
          <w:szCs w:val="24"/>
        </w:rPr>
        <w:t xml:space="preserve"> </w:t>
      </w:r>
    </w:p>
    <w:p w14:paraId="1CAFB38E" w14:textId="6F1AED93" w:rsidR="00D41138" w:rsidRPr="002748AE" w:rsidRDefault="00D41138" w:rsidP="00F526B8">
      <w:pPr>
        <w:ind w:left="851"/>
        <w:rPr>
          <w:sz w:val="24"/>
          <w:szCs w:val="24"/>
        </w:rPr>
      </w:pPr>
      <w:r w:rsidRPr="002748AE">
        <w:rPr>
          <w:sz w:val="24"/>
          <w:szCs w:val="24"/>
        </w:rPr>
        <w:t>I studie 770-111, del 1 hos patienter, som havde en non-</w:t>
      </w:r>
      <w:r w:rsidRPr="002748AE">
        <w:rPr>
          <w:i/>
          <w:sz w:val="24"/>
          <w:szCs w:val="24"/>
        </w:rPr>
        <w:t>G551D gating</w:t>
      </w:r>
      <w:r w:rsidRPr="002748AE">
        <w:rPr>
          <w:sz w:val="24"/>
          <w:szCs w:val="24"/>
        </w:rPr>
        <w:t xml:space="preserve">-mutation i </w:t>
      </w:r>
      <w:r w:rsidRPr="002748AE">
        <w:rPr>
          <w:i/>
          <w:sz w:val="24"/>
          <w:szCs w:val="24"/>
        </w:rPr>
        <w:t>CFTR</w:t>
      </w:r>
      <w:r w:rsidRPr="002748AE">
        <w:rPr>
          <w:sz w:val="24"/>
          <w:szCs w:val="24"/>
        </w:rPr>
        <w:t xml:space="preserve">-genet, førte behandling med ivacaftor til en hurtig (15 dage) og betydelig gennemsnitlig ændring fra </w:t>
      </w:r>
      <w:r w:rsidRPr="002748AE">
        <w:rPr>
          <w:i/>
          <w:sz w:val="24"/>
          <w:szCs w:val="24"/>
        </w:rPr>
        <w:t>baseline</w:t>
      </w:r>
      <w:r w:rsidRPr="002748AE">
        <w:rPr>
          <w:sz w:val="24"/>
          <w:szCs w:val="24"/>
        </w:rPr>
        <w:t xml:space="preserve"> i sved-chlorid på -49 mmol/l (95 % CI: -57; -41) til og med 8 ugers behandling. Hos patienter med </w:t>
      </w:r>
      <w:r w:rsidRPr="002748AE">
        <w:rPr>
          <w:i/>
          <w:sz w:val="24"/>
          <w:szCs w:val="24"/>
        </w:rPr>
        <w:t>G970R-CFTR-</w:t>
      </w:r>
      <w:r w:rsidRPr="002748AE">
        <w:rPr>
          <w:sz w:val="24"/>
          <w:szCs w:val="24"/>
        </w:rPr>
        <w:t xml:space="preserve">mutation var den gennemsnitlige (SD) absolutte ændring i sved-chlorid ved uge 8 imidlertid -6,25 (6,55) mmol/l. Resultaterne i del 2 af studiet svarede til resultaterne i del 1. Ved 4-ugers-opfølgningsbesøget (4 uger </w:t>
      </w:r>
      <w:r w:rsidRPr="002748AE">
        <w:rPr>
          <w:sz w:val="24"/>
          <w:szCs w:val="24"/>
        </w:rPr>
        <w:lastRenderedPageBreak/>
        <w:t xml:space="preserve">efter afslutning af dosering med ivacaftor) bevægede middelværdierne for sved-chlorid for hver gruppe sig mod niveauerne før behandling. </w:t>
      </w:r>
    </w:p>
    <w:p w14:paraId="1B8817B8" w14:textId="77777777" w:rsidR="00D41138" w:rsidRPr="002748AE" w:rsidRDefault="00D41138" w:rsidP="00F526B8">
      <w:pPr>
        <w:ind w:left="851"/>
        <w:rPr>
          <w:sz w:val="24"/>
          <w:szCs w:val="24"/>
        </w:rPr>
      </w:pPr>
      <w:r w:rsidRPr="002748AE">
        <w:rPr>
          <w:sz w:val="24"/>
          <w:szCs w:val="24"/>
        </w:rPr>
        <w:t xml:space="preserve"> </w:t>
      </w:r>
    </w:p>
    <w:p w14:paraId="349185D7" w14:textId="771922C6" w:rsidR="00D41138" w:rsidRPr="002748AE" w:rsidRDefault="00D41138" w:rsidP="00F526B8">
      <w:pPr>
        <w:ind w:left="851"/>
        <w:rPr>
          <w:sz w:val="24"/>
          <w:szCs w:val="24"/>
        </w:rPr>
      </w:pPr>
      <w:r w:rsidRPr="002748AE">
        <w:rPr>
          <w:sz w:val="24"/>
          <w:szCs w:val="24"/>
        </w:rPr>
        <w:t xml:space="preserve">I studie 770-110 hos patienter i alderen 6 år eller ældre med CF, som havde en </w:t>
      </w:r>
      <w:r w:rsidRPr="002748AE">
        <w:rPr>
          <w:i/>
          <w:sz w:val="24"/>
          <w:szCs w:val="24"/>
        </w:rPr>
        <w:t>R117H</w:t>
      </w:r>
      <w:r w:rsidRPr="002748AE">
        <w:rPr>
          <w:sz w:val="24"/>
          <w:szCs w:val="24"/>
        </w:rPr>
        <w:t xml:space="preserve">-mutation i </w:t>
      </w:r>
      <w:r w:rsidRPr="002748AE">
        <w:rPr>
          <w:i/>
          <w:sz w:val="24"/>
          <w:szCs w:val="24"/>
        </w:rPr>
        <w:t>CFTR</w:t>
      </w:r>
      <w:r w:rsidRPr="002748AE">
        <w:rPr>
          <w:sz w:val="24"/>
          <w:szCs w:val="24"/>
        </w:rPr>
        <w:t xml:space="preserve">-genet, var behandlingsforskellen i gennemsnitlig ændring i sved-chlorid fra </w:t>
      </w:r>
      <w:r w:rsidRPr="002748AE">
        <w:rPr>
          <w:i/>
          <w:sz w:val="24"/>
          <w:szCs w:val="24"/>
        </w:rPr>
        <w:t xml:space="preserve">baseline </w:t>
      </w:r>
      <w:r w:rsidRPr="002748AE">
        <w:rPr>
          <w:sz w:val="24"/>
          <w:szCs w:val="24"/>
        </w:rPr>
        <w:t xml:space="preserve">til og med uge 24 i behandlingsforløbet -24 mmol/l (95 % CI: -28; -20). I en aldersopdelt undergruppeanalyse var behandlingsforskellen -21,87 mmol/l (95 % CI: -26,46; -17,28) hos patienter i alderen 18 år eller ældre og -27,63 mmol/l (95 % CI: -37,16; -18,10) hos patienter i alderen 6 til 11 år. To patienter i alderen 12 til 17 år indgik i dette studie. </w:t>
      </w:r>
    </w:p>
    <w:p w14:paraId="4DC85083" w14:textId="77777777" w:rsidR="00D41138" w:rsidRPr="002748AE" w:rsidRDefault="00D41138" w:rsidP="00F526B8">
      <w:pPr>
        <w:ind w:left="851"/>
        <w:rPr>
          <w:sz w:val="24"/>
          <w:szCs w:val="24"/>
        </w:rPr>
      </w:pPr>
      <w:r w:rsidRPr="002748AE">
        <w:rPr>
          <w:sz w:val="24"/>
          <w:szCs w:val="24"/>
        </w:rPr>
        <w:t xml:space="preserve"> </w:t>
      </w:r>
    </w:p>
    <w:p w14:paraId="18C58F67" w14:textId="77777777" w:rsidR="00D41138" w:rsidRPr="002748AE" w:rsidRDefault="00D41138" w:rsidP="00F526B8">
      <w:pPr>
        <w:ind w:left="851"/>
        <w:rPr>
          <w:sz w:val="24"/>
          <w:szCs w:val="24"/>
        </w:rPr>
      </w:pPr>
      <w:r w:rsidRPr="002748AE">
        <w:rPr>
          <w:i/>
          <w:sz w:val="24"/>
          <w:szCs w:val="24"/>
        </w:rPr>
        <w:t>Ivacaftor i et kombinationsregime med tezacaftor/ivacaftor</w:t>
      </w:r>
    </w:p>
    <w:p w14:paraId="6E1B25C7" w14:textId="1A58083C" w:rsidR="00D41138" w:rsidRPr="002748AE" w:rsidRDefault="00D41138" w:rsidP="00F526B8">
      <w:pPr>
        <w:ind w:left="851"/>
        <w:rPr>
          <w:sz w:val="24"/>
          <w:szCs w:val="24"/>
        </w:rPr>
      </w:pPr>
      <w:r w:rsidRPr="002748AE">
        <w:rPr>
          <w:sz w:val="24"/>
          <w:szCs w:val="24"/>
        </w:rPr>
        <w:t xml:space="preserve">I studie 661-106 (patienter, der var homozygote for </w:t>
      </w:r>
      <w:r w:rsidRPr="002748AE">
        <w:rPr>
          <w:i/>
          <w:sz w:val="24"/>
          <w:szCs w:val="24"/>
        </w:rPr>
        <w:t>F508del-</w:t>
      </w:r>
      <w:r w:rsidRPr="002748AE">
        <w:rPr>
          <w:sz w:val="24"/>
          <w:szCs w:val="24"/>
        </w:rPr>
        <w:t>mutationen) var behandlings</w:t>
      </w:r>
      <w:r w:rsidR="00401ECA">
        <w:rPr>
          <w:sz w:val="24"/>
          <w:szCs w:val="24"/>
        </w:rPr>
        <w:softHyphen/>
      </w:r>
      <w:r w:rsidRPr="002748AE">
        <w:rPr>
          <w:sz w:val="24"/>
          <w:szCs w:val="24"/>
        </w:rPr>
        <w:t xml:space="preserve">forskellen mellem ivacaftor i kombination med tezacaftor/ivacaftor og placebo i gennemsnitlig absolut ændring fra </w:t>
      </w:r>
      <w:r w:rsidRPr="002748AE">
        <w:rPr>
          <w:i/>
          <w:sz w:val="24"/>
          <w:szCs w:val="24"/>
        </w:rPr>
        <w:t>baseline</w:t>
      </w:r>
      <w:r w:rsidRPr="002748AE">
        <w:rPr>
          <w:sz w:val="24"/>
          <w:szCs w:val="24"/>
        </w:rPr>
        <w:t xml:space="preserve"> i sved-chlorid til og med uge 24 -10,1 mmol/l (95 % CI: -11,4; -8,8). </w:t>
      </w:r>
    </w:p>
    <w:p w14:paraId="22852873" w14:textId="77777777" w:rsidR="00D41138" w:rsidRPr="002748AE" w:rsidRDefault="00D41138" w:rsidP="00F526B8">
      <w:pPr>
        <w:ind w:left="851"/>
        <w:rPr>
          <w:sz w:val="24"/>
          <w:szCs w:val="24"/>
        </w:rPr>
      </w:pPr>
      <w:r w:rsidRPr="002748AE">
        <w:rPr>
          <w:sz w:val="24"/>
          <w:szCs w:val="24"/>
        </w:rPr>
        <w:t xml:space="preserve"> </w:t>
      </w:r>
    </w:p>
    <w:p w14:paraId="696D7FA5" w14:textId="4E8CEC61" w:rsidR="00D41138" w:rsidRPr="002748AE" w:rsidRDefault="00D41138" w:rsidP="00F526B8">
      <w:pPr>
        <w:ind w:left="851"/>
        <w:rPr>
          <w:sz w:val="24"/>
          <w:szCs w:val="24"/>
        </w:rPr>
      </w:pPr>
      <w:r w:rsidRPr="002748AE">
        <w:rPr>
          <w:sz w:val="24"/>
          <w:szCs w:val="24"/>
        </w:rPr>
        <w:t xml:space="preserve">I studie 661-108 (patienter, der var heterozygote for </w:t>
      </w:r>
      <w:r w:rsidRPr="002748AE">
        <w:rPr>
          <w:i/>
          <w:sz w:val="24"/>
          <w:szCs w:val="24"/>
        </w:rPr>
        <w:t>F508del-</w:t>
      </w:r>
      <w:r w:rsidRPr="002748AE">
        <w:rPr>
          <w:sz w:val="24"/>
          <w:szCs w:val="24"/>
        </w:rPr>
        <w:t>mutationen og en anden mutation forbundet med residual CFTR</w:t>
      </w:r>
      <w:r w:rsidRPr="002748AE">
        <w:rPr>
          <w:i/>
          <w:sz w:val="24"/>
          <w:szCs w:val="24"/>
        </w:rPr>
        <w:t>-</w:t>
      </w:r>
      <w:r w:rsidRPr="002748AE">
        <w:rPr>
          <w:sz w:val="24"/>
          <w:szCs w:val="24"/>
        </w:rPr>
        <w:t xml:space="preserve">aktivitet) var behandlingsforskellen i gennemsnitlig absolut ændring fra </w:t>
      </w:r>
      <w:r w:rsidRPr="002748AE">
        <w:rPr>
          <w:i/>
          <w:sz w:val="24"/>
          <w:szCs w:val="24"/>
        </w:rPr>
        <w:t>baseline</w:t>
      </w:r>
      <w:r w:rsidRPr="002748AE">
        <w:rPr>
          <w:sz w:val="24"/>
          <w:szCs w:val="24"/>
        </w:rPr>
        <w:t xml:space="preserve"> i sved-chlorid til og med uge 8 -9,5 mmol/l (95</w:t>
      </w:r>
      <w:r w:rsidR="00401ECA">
        <w:rPr>
          <w:sz w:val="24"/>
          <w:szCs w:val="24"/>
        </w:rPr>
        <w:t> </w:t>
      </w:r>
      <w:r w:rsidRPr="002748AE">
        <w:rPr>
          <w:sz w:val="24"/>
          <w:szCs w:val="24"/>
        </w:rPr>
        <w:t xml:space="preserve">% CI: -11,7; -7,3) mellem tezacaftor/ivacaftor i kombination med ivacaftor og placebo og -4,5 mmol/l (95 % CI: -6,7; -2,3) mellem ivacaftor og placebo. </w:t>
      </w:r>
    </w:p>
    <w:p w14:paraId="28C6BBCD" w14:textId="77777777" w:rsidR="00D41138" w:rsidRPr="002748AE" w:rsidRDefault="00D41138" w:rsidP="00F526B8">
      <w:pPr>
        <w:ind w:left="851"/>
        <w:rPr>
          <w:sz w:val="24"/>
          <w:szCs w:val="24"/>
        </w:rPr>
      </w:pPr>
      <w:r w:rsidRPr="002748AE">
        <w:rPr>
          <w:sz w:val="24"/>
          <w:szCs w:val="24"/>
        </w:rPr>
        <w:t xml:space="preserve"> </w:t>
      </w:r>
    </w:p>
    <w:p w14:paraId="6B1F7FA9" w14:textId="77777777" w:rsidR="00D41138" w:rsidRPr="002748AE" w:rsidRDefault="00D41138" w:rsidP="00F526B8">
      <w:pPr>
        <w:ind w:left="851"/>
        <w:rPr>
          <w:sz w:val="24"/>
          <w:szCs w:val="24"/>
        </w:rPr>
      </w:pPr>
      <w:r w:rsidRPr="002748AE">
        <w:rPr>
          <w:sz w:val="24"/>
          <w:szCs w:val="24"/>
        </w:rPr>
        <w:t xml:space="preserve">I studie 661-115 (patienter i alderen 6 til under 12 år, der var homozygote eller heterozygote for </w:t>
      </w:r>
      <w:r w:rsidRPr="002748AE">
        <w:rPr>
          <w:i/>
          <w:sz w:val="24"/>
          <w:szCs w:val="24"/>
        </w:rPr>
        <w:t>F508del</w:t>
      </w:r>
      <w:r w:rsidRPr="002748AE">
        <w:rPr>
          <w:sz w:val="24"/>
          <w:szCs w:val="24"/>
        </w:rPr>
        <w:t xml:space="preserve">-mutationen og en anden mutation forbundet med residual CFTR-aktivitet) var den gennemsnitlige absolutte ændring under behandling i sved-chlorid fra </w:t>
      </w:r>
      <w:r w:rsidRPr="002748AE">
        <w:rPr>
          <w:i/>
          <w:sz w:val="24"/>
          <w:szCs w:val="24"/>
        </w:rPr>
        <w:t>baseline</w:t>
      </w:r>
      <w:r w:rsidRPr="002748AE">
        <w:rPr>
          <w:sz w:val="24"/>
          <w:szCs w:val="24"/>
        </w:rPr>
        <w:t xml:space="preserve"> ved uge 8 -12,3 mmol/l (95 % CI: -15,3; -9,3) i tezacaftor/ivacaftor-gruppen. </w:t>
      </w:r>
    </w:p>
    <w:p w14:paraId="32716E95" w14:textId="77777777" w:rsidR="00D41138" w:rsidRPr="002748AE" w:rsidRDefault="00D41138" w:rsidP="00F526B8">
      <w:pPr>
        <w:ind w:left="851"/>
        <w:rPr>
          <w:sz w:val="24"/>
          <w:szCs w:val="24"/>
        </w:rPr>
      </w:pPr>
      <w:r w:rsidRPr="002748AE">
        <w:rPr>
          <w:sz w:val="24"/>
          <w:szCs w:val="24"/>
        </w:rPr>
        <w:t xml:space="preserve"> </w:t>
      </w:r>
    </w:p>
    <w:p w14:paraId="44AC0B17" w14:textId="77777777" w:rsidR="00D41138" w:rsidRPr="002748AE" w:rsidRDefault="00D41138" w:rsidP="00F526B8">
      <w:pPr>
        <w:ind w:left="851"/>
        <w:rPr>
          <w:sz w:val="24"/>
          <w:szCs w:val="24"/>
        </w:rPr>
      </w:pPr>
      <w:r w:rsidRPr="002748AE">
        <w:rPr>
          <w:i/>
          <w:sz w:val="24"/>
          <w:szCs w:val="24"/>
        </w:rPr>
        <w:t>Ivacaftor i et kombinationsregime med ivacaftor/tezacaftor/elexacaftor</w:t>
      </w:r>
    </w:p>
    <w:p w14:paraId="17325DB4" w14:textId="4ECCDCFD" w:rsidR="00D41138" w:rsidRPr="002748AE" w:rsidRDefault="00D41138" w:rsidP="00F526B8">
      <w:pPr>
        <w:ind w:left="851"/>
        <w:rPr>
          <w:sz w:val="24"/>
          <w:szCs w:val="24"/>
        </w:rPr>
      </w:pPr>
      <w:r w:rsidRPr="002748AE">
        <w:rPr>
          <w:sz w:val="24"/>
          <w:szCs w:val="24"/>
        </w:rPr>
        <w:t xml:space="preserve">I studie 445-102 (patienter med en </w:t>
      </w:r>
      <w:r w:rsidRPr="002748AE">
        <w:rPr>
          <w:i/>
          <w:sz w:val="24"/>
          <w:szCs w:val="24"/>
        </w:rPr>
        <w:t>F508del-</w:t>
      </w:r>
      <w:r w:rsidRPr="002748AE">
        <w:rPr>
          <w:sz w:val="24"/>
          <w:szCs w:val="24"/>
        </w:rPr>
        <w:t xml:space="preserve">mutation på den ene allel og en mutation på den anden allel, der forudsiger enten ingen produktion af et CFTR-protein eller et CFTR-protein, der ikke transporterer chlorid og ikke reagerer på ivacaftor og tezacaftor/ivacaftor (minimalfunktionsmutation) </w:t>
      </w:r>
      <w:r w:rsidRPr="002748AE">
        <w:rPr>
          <w:i/>
          <w:sz w:val="24"/>
          <w:szCs w:val="24"/>
        </w:rPr>
        <w:t>in vitro</w:t>
      </w:r>
      <w:r w:rsidRPr="002748AE">
        <w:rPr>
          <w:sz w:val="24"/>
          <w:szCs w:val="24"/>
        </w:rPr>
        <w:t>) var behandlingsforskellen for ivacaftor/tezacaf</w:t>
      </w:r>
      <w:r w:rsidR="00401ECA">
        <w:rPr>
          <w:sz w:val="24"/>
          <w:szCs w:val="24"/>
        </w:rPr>
        <w:softHyphen/>
      </w:r>
      <w:r w:rsidRPr="002748AE">
        <w:rPr>
          <w:sz w:val="24"/>
          <w:szCs w:val="24"/>
        </w:rPr>
        <w:t>tor/elexa</w:t>
      </w:r>
      <w:r w:rsidR="00401ECA">
        <w:rPr>
          <w:sz w:val="24"/>
          <w:szCs w:val="24"/>
        </w:rPr>
        <w:softHyphen/>
      </w:r>
      <w:r w:rsidRPr="002748AE">
        <w:rPr>
          <w:sz w:val="24"/>
          <w:szCs w:val="24"/>
        </w:rPr>
        <w:t xml:space="preserve">caftor sammenlignet med placebo for gennemsnitlig absolut ændring i sved-chlorid fra </w:t>
      </w:r>
      <w:r w:rsidRPr="002748AE">
        <w:rPr>
          <w:i/>
          <w:sz w:val="24"/>
          <w:szCs w:val="24"/>
        </w:rPr>
        <w:t>baseline</w:t>
      </w:r>
      <w:r w:rsidRPr="002748AE">
        <w:rPr>
          <w:sz w:val="24"/>
          <w:szCs w:val="24"/>
        </w:rPr>
        <w:t xml:space="preserve"> til og med uge 24 -41,8 mmol/l (95 % CI: 44,4; -39,3). </w:t>
      </w:r>
    </w:p>
    <w:p w14:paraId="02418EE6" w14:textId="77777777" w:rsidR="00D41138" w:rsidRPr="002748AE" w:rsidRDefault="00D41138" w:rsidP="00F526B8">
      <w:pPr>
        <w:ind w:left="851"/>
        <w:rPr>
          <w:sz w:val="24"/>
          <w:szCs w:val="24"/>
        </w:rPr>
      </w:pPr>
      <w:r w:rsidRPr="002748AE">
        <w:rPr>
          <w:sz w:val="24"/>
          <w:szCs w:val="24"/>
        </w:rPr>
        <w:t xml:space="preserve"> </w:t>
      </w:r>
    </w:p>
    <w:p w14:paraId="2813AC21" w14:textId="77777777" w:rsidR="00D41138" w:rsidRPr="002748AE" w:rsidRDefault="00D41138" w:rsidP="00F526B8">
      <w:pPr>
        <w:ind w:left="851"/>
        <w:rPr>
          <w:sz w:val="24"/>
          <w:szCs w:val="24"/>
        </w:rPr>
      </w:pPr>
      <w:r w:rsidRPr="002748AE">
        <w:rPr>
          <w:sz w:val="24"/>
          <w:szCs w:val="24"/>
        </w:rPr>
        <w:t xml:space="preserve">I studie 445-103 (patienter, der var homozygote for </w:t>
      </w:r>
      <w:r w:rsidRPr="002748AE">
        <w:rPr>
          <w:i/>
          <w:sz w:val="24"/>
          <w:szCs w:val="24"/>
        </w:rPr>
        <w:t>F508del-</w:t>
      </w:r>
      <w:r w:rsidRPr="002748AE">
        <w:rPr>
          <w:sz w:val="24"/>
          <w:szCs w:val="24"/>
        </w:rPr>
        <w:t xml:space="preserve">mutationen) var behandlingsforskellen for ivacaftor/tezacaftor/elexacaftor sammenlignet med tezacaftor/ivacaftor for gennemsnitlig absolut ændring i sved-chlorid fra </w:t>
      </w:r>
      <w:r w:rsidRPr="002748AE">
        <w:rPr>
          <w:i/>
          <w:sz w:val="24"/>
          <w:szCs w:val="24"/>
        </w:rPr>
        <w:t>baseline</w:t>
      </w:r>
      <w:r w:rsidRPr="002748AE">
        <w:rPr>
          <w:sz w:val="24"/>
          <w:szCs w:val="24"/>
        </w:rPr>
        <w:t xml:space="preserve"> ved uge 4 -45,1 mmol/l (95 % CI: -50,1; -40,1). </w:t>
      </w:r>
    </w:p>
    <w:p w14:paraId="15BF25AA" w14:textId="77777777" w:rsidR="00D41138" w:rsidRPr="002748AE" w:rsidRDefault="00D41138" w:rsidP="00F526B8">
      <w:pPr>
        <w:ind w:left="851"/>
        <w:rPr>
          <w:sz w:val="24"/>
          <w:szCs w:val="24"/>
        </w:rPr>
      </w:pPr>
      <w:r w:rsidRPr="002748AE">
        <w:rPr>
          <w:sz w:val="24"/>
          <w:szCs w:val="24"/>
        </w:rPr>
        <w:t xml:space="preserve"> </w:t>
      </w:r>
    </w:p>
    <w:p w14:paraId="6114B3A9" w14:textId="77777777" w:rsidR="00D41138" w:rsidRPr="002748AE" w:rsidRDefault="00D41138" w:rsidP="00F526B8">
      <w:pPr>
        <w:ind w:left="851"/>
        <w:rPr>
          <w:sz w:val="24"/>
          <w:szCs w:val="24"/>
        </w:rPr>
      </w:pPr>
      <w:r w:rsidRPr="002748AE">
        <w:rPr>
          <w:sz w:val="24"/>
          <w:szCs w:val="24"/>
        </w:rPr>
        <w:t xml:space="preserve">I studie 445-104 (patienter, der var heterozygote for </w:t>
      </w:r>
      <w:r w:rsidRPr="002748AE">
        <w:rPr>
          <w:i/>
          <w:sz w:val="24"/>
          <w:szCs w:val="24"/>
        </w:rPr>
        <w:t>F508del-</w:t>
      </w:r>
      <w:r w:rsidRPr="002748AE">
        <w:rPr>
          <w:sz w:val="24"/>
          <w:szCs w:val="24"/>
        </w:rPr>
        <w:t xml:space="preserve">mutationen og en mutation på den anden allel med en </w:t>
      </w:r>
      <w:r w:rsidRPr="002748AE">
        <w:rPr>
          <w:i/>
          <w:sz w:val="24"/>
          <w:szCs w:val="24"/>
        </w:rPr>
        <w:t>gating</w:t>
      </w:r>
      <w:r w:rsidRPr="002748AE">
        <w:rPr>
          <w:sz w:val="24"/>
          <w:szCs w:val="24"/>
        </w:rPr>
        <w:t xml:space="preserve">-defekt eller residual CFTR-aktivitet) var behandlingsforskellen for ivacaftor/tezacaftor/elexacaftor sammenlignet med kontrolgruppen (gruppen med ivacaftor som monoterapi eller gruppen med tezacaftor/ivacaftor i kombination med ivacaftor) for gennemsnitlig absolut ændring i sved-chlorid fra </w:t>
      </w:r>
      <w:r w:rsidRPr="002748AE">
        <w:rPr>
          <w:i/>
          <w:sz w:val="24"/>
          <w:szCs w:val="24"/>
        </w:rPr>
        <w:t>baseline</w:t>
      </w:r>
      <w:r w:rsidRPr="002748AE">
        <w:rPr>
          <w:sz w:val="24"/>
          <w:szCs w:val="24"/>
        </w:rPr>
        <w:t xml:space="preserve"> til og med uge 8 -23,1 mmol/l (95 % CI: -26,1; -20,1). </w:t>
      </w:r>
    </w:p>
    <w:p w14:paraId="723D507B" w14:textId="77777777" w:rsidR="00D41138" w:rsidRPr="002748AE" w:rsidRDefault="00D41138" w:rsidP="00F526B8">
      <w:pPr>
        <w:ind w:left="851"/>
        <w:rPr>
          <w:sz w:val="24"/>
          <w:szCs w:val="24"/>
        </w:rPr>
      </w:pPr>
      <w:r w:rsidRPr="002748AE">
        <w:rPr>
          <w:sz w:val="24"/>
          <w:szCs w:val="24"/>
        </w:rPr>
        <w:t xml:space="preserve"> </w:t>
      </w:r>
    </w:p>
    <w:p w14:paraId="354562B7" w14:textId="51C27911" w:rsidR="00D41138" w:rsidRPr="002748AE" w:rsidRDefault="00D41138" w:rsidP="00F526B8">
      <w:pPr>
        <w:ind w:left="851"/>
        <w:rPr>
          <w:sz w:val="24"/>
          <w:szCs w:val="24"/>
        </w:rPr>
      </w:pPr>
      <w:r w:rsidRPr="002748AE">
        <w:rPr>
          <w:sz w:val="24"/>
          <w:szCs w:val="24"/>
        </w:rPr>
        <w:t xml:space="preserve">I studie 445-106 (patienter i alderen 6 år til under 12 år, der var homozygote for </w:t>
      </w:r>
      <w:r w:rsidRPr="002748AE">
        <w:rPr>
          <w:i/>
          <w:sz w:val="24"/>
          <w:szCs w:val="24"/>
        </w:rPr>
        <w:t>F508del</w:t>
      </w:r>
      <w:r w:rsidRPr="002748AE">
        <w:rPr>
          <w:sz w:val="24"/>
          <w:szCs w:val="24"/>
        </w:rPr>
        <w:t xml:space="preserve">-mutationen eller heterozygote for </w:t>
      </w:r>
      <w:r w:rsidRPr="002748AE">
        <w:rPr>
          <w:i/>
          <w:sz w:val="24"/>
          <w:szCs w:val="24"/>
        </w:rPr>
        <w:t>F508del</w:t>
      </w:r>
      <w:r w:rsidRPr="002748AE">
        <w:rPr>
          <w:sz w:val="24"/>
          <w:szCs w:val="24"/>
        </w:rPr>
        <w:t xml:space="preserve">-mutationen og en minimalfunktionsmutation) var den gennemsnitlige absolutte ændring i sved-chlorid fra </w:t>
      </w:r>
      <w:r w:rsidRPr="002748AE">
        <w:rPr>
          <w:i/>
          <w:sz w:val="24"/>
          <w:szCs w:val="24"/>
        </w:rPr>
        <w:t>baseline</w:t>
      </w:r>
      <w:r w:rsidRPr="002748AE">
        <w:rPr>
          <w:sz w:val="24"/>
          <w:szCs w:val="24"/>
        </w:rPr>
        <w:t xml:space="preserve"> (n = 62) til og med </w:t>
      </w:r>
      <w:r w:rsidRPr="002748AE">
        <w:rPr>
          <w:sz w:val="24"/>
          <w:szCs w:val="24"/>
        </w:rPr>
        <w:lastRenderedPageBreak/>
        <w:t>uge 24 (n = 60) -60,9 mmol/l (95 % CI: -63,7; -58,</w:t>
      </w:r>
      <w:proofErr w:type="gramStart"/>
      <w:r w:rsidRPr="002748AE">
        <w:rPr>
          <w:sz w:val="24"/>
          <w:szCs w:val="24"/>
        </w:rPr>
        <w:t>2)</w:t>
      </w:r>
      <w:r w:rsidRPr="002748AE">
        <w:rPr>
          <w:sz w:val="24"/>
          <w:szCs w:val="24"/>
          <w:vertAlign w:val="superscript"/>
        </w:rPr>
        <w:t>*</w:t>
      </w:r>
      <w:proofErr w:type="gramEnd"/>
      <w:r w:rsidRPr="002748AE">
        <w:rPr>
          <w:sz w:val="24"/>
          <w:szCs w:val="24"/>
        </w:rPr>
        <w:t xml:space="preserve">. Den gennemsnitlige absolutte ændring i sved-chlorid fra </w:t>
      </w:r>
      <w:r w:rsidRPr="002748AE">
        <w:rPr>
          <w:i/>
          <w:sz w:val="24"/>
          <w:szCs w:val="24"/>
        </w:rPr>
        <w:t>baseline</w:t>
      </w:r>
      <w:r w:rsidRPr="002748AE">
        <w:rPr>
          <w:sz w:val="24"/>
          <w:szCs w:val="24"/>
        </w:rPr>
        <w:t xml:space="preserve"> til og med uge 12 (n = 59) var -58,6 mmol/l (95 % CI: -61,1; -56,1).  </w:t>
      </w:r>
    </w:p>
    <w:p w14:paraId="41E8CCD7" w14:textId="77777777" w:rsidR="00D41138" w:rsidRPr="002748AE" w:rsidRDefault="00D41138" w:rsidP="00F526B8">
      <w:pPr>
        <w:ind w:left="851"/>
        <w:rPr>
          <w:sz w:val="24"/>
          <w:szCs w:val="24"/>
        </w:rPr>
      </w:pPr>
    </w:p>
    <w:p w14:paraId="1B071D17" w14:textId="77777777" w:rsidR="00D41138" w:rsidRPr="002748AE" w:rsidRDefault="00D41138" w:rsidP="00F526B8">
      <w:pPr>
        <w:ind w:left="851"/>
        <w:rPr>
          <w:sz w:val="24"/>
          <w:szCs w:val="24"/>
        </w:rPr>
      </w:pPr>
      <w:r w:rsidRPr="002748AE">
        <w:rPr>
          <w:sz w:val="24"/>
          <w:szCs w:val="24"/>
        </w:rPr>
        <w:t xml:space="preserve">*Ikke alle deltagere, der var inkluderet i analyserne, havde tilgængelige data ved alle opfølgningsbesøg, især fra uge 16 og frem. Muligheden for indsamling af data i uge 24 var besværliggjort af COVID-19-pandemien. Uge 12-data var mindre påvirket af pandemien. </w:t>
      </w:r>
    </w:p>
    <w:p w14:paraId="7AF3ABAE" w14:textId="77777777" w:rsidR="00D41138" w:rsidRPr="002748AE" w:rsidRDefault="00D41138" w:rsidP="00F526B8">
      <w:pPr>
        <w:ind w:left="851"/>
        <w:rPr>
          <w:sz w:val="24"/>
          <w:szCs w:val="24"/>
        </w:rPr>
      </w:pPr>
      <w:r w:rsidRPr="002748AE">
        <w:rPr>
          <w:sz w:val="24"/>
          <w:szCs w:val="24"/>
        </w:rPr>
        <w:t xml:space="preserve"> </w:t>
      </w:r>
    </w:p>
    <w:p w14:paraId="710E387B" w14:textId="2446C33C" w:rsidR="00D41138" w:rsidRPr="002748AE" w:rsidRDefault="00D41138" w:rsidP="00F526B8">
      <w:pPr>
        <w:ind w:left="851"/>
        <w:rPr>
          <w:sz w:val="24"/>
          <w:szCs w:val="24"/>
        </w:rPr>
      </w:pPr>
      <w:r w:rsidRPr="002748AE">
        <w:rPr>
          <w:sz w:val="24"/>
          <w:szCs w:val="24"/>
        </w:rPr>
        <w:t xml:space="preserve">I studie 445-116 (patienter i alderen 6 år til under 12 år, der var heterozygote for </w:t>
      </w:r>
      <w:r w:rsidRPr="002748AE">
        <w:rPr>
          <w:i/>
          <w:sz w:val="24"/>
          <w:szCs w:val="24"/>
        </w:rPr>
        <w:t>F508del</w:t>
      </w:r>
      <w:r w:rsidRPr="002748AE">
        <w:rPr>
          <w:sz w:val="24"/>
          <w:szCs w:val="24"/>
        </w:rPr>
        <w:t>-mutationen og en minimalfunktionsmutation) var</w:t>
      </w:r>
      <w:r w:rsidR="00401ECA">
        <w:rPr>
          <w:sz w:val="24"/>
          <w:szCs w:val="24"/>
        </w:rPr>
        <w:t xml:space="preserve"> </w:t>
      </w:r>
      <w:r w:rsidRPr="002748AE">
        <w:rPr>
          <w:sz w:val="24"/>
          <w:szCs w:val="24"/>
        </w:rPr>
        <w:t>LS-gennemsnittet af behandlings</w:t>
      </w:r>
      <w:r w:rsidR="00337216">
        <w:rPr>
          <w:sz w:val="24"/>
          <w:szCs w:val="24"/>
        </w:rPr>
        <w:softHyphen/>
      </w:r>
      <w:r w:rsidRPr="002748AE">
        <w:rPr>
          <w:sz w:val="24"/>
          <w:szCs w:val="24"/>
        </w:rPr>
        <w:t xml:space="preserve">forskellen for gruppen med ivacaftor/tezacaftor/elexacaftor i kombination med ivacaftor </w:t>
      </w:r>
      <w:r w:rsidRPr="002748AE">
        <w:rPr>
          <w:i/>
          <w:sz w:val="24"/>
          <w:szCs w:val="24"/>
        </w:rPr>
        <w:t>versus</w:t>
      </w:r>
      <w:r w:rsidRPr="002748AE">
        <w:rPr>
          <w:sz w:val="24"/>
          <w:szCs w:val="24"/>
        </w:rPr>
        <w:t xml:space="preserve"> placebogruppen for absolut ændring i sved-chlorid fra </w:t>
      </w:r>
      <w:r w:rsidRPr="002748AE">
        <w:rPr>
          <w:i/>
          <w:sz w:val="24"/>
          <w:szCs w:val="24"/>
        </w:rPr>
        <w:t>baseline</w:t>
      </w:r>
      <w:r w:rsidRPr="002748AE">
        <w:rPr>
          <w:sz w:val="24"/>
          <w:szCs w:val="24"/>
        </w:rPr>
        <w:t xml:space="preserve"> til og med uge 24 -51,2 mmol/l (95 % CI: -55,3; -47,1). </w:t>
      </w:r>
    </w:p>
    <w:p w14:paraId="4999B3B4" w14:textId="77777777" w:rsidR="00D41138" w:rsidRPr="002748AE" w:rsidRDefault="00D41138" w:rsidP="00F526B8">
      <w:pPr>
        <w:ind w:left="851"/>
        <w:rPr>
          <w:sz w:val="24"/>
          <w:szCs w:val="24"/>
        </w:rPr>
      </w:pPr>
      <w:r w:rsidRPr="002748AE">
        <w:rPr>
          <w:sz w:val="24"/>
          <w:szCs w:val="24"/>
        </w:rPr>
        <w:t xml:space="preserve"> </w:t>
      </w:r>
    </w:p>
    <w:p w14:paraId="335D47F7" w14:textId="338552F7" w:rsidR="00D41138" w:rsidRPr="002748AE" w:rsidRDefault="00D41138" w:rsidP="00F526B8">
      <w:pPr>
        <w:ind w:left="851"/>
        <w:rPr>
          <w:sz w:val="24"/>
          <w:szCs w:val="24"/>
        </w:rPr>
      </w:pPr>
      <w:r w:rsidRPr="002748AE">
        <w:rPr>
          <w:sz w:val="24"/>
          <w:szCs w:val="24"/>
        </w:rPr>
        <w:t>I studie 445-124 (patienter i alderen 6 år og ældre med en kvalificerende non-</w:t>
      </w:r>
      <w:r w:rsidRPr="002748AE">
        <w:rPr>
          <w:i/>
          <w:sz w:val="24"/>
          <w:szCs w:val="24"/>
        </w:rPr>
        <w:t>F508del</w:t>
      </w:r>
      <w:r w:rsidRPr="002748AE">
        <w:rPr>
          <w:sz w:val="24"/>
          <w:szCs w:val="24"/>
        </w:rPr>
        <w:t xml:space="preserve">, ivacaftor/tezacaftor/elexacaftor-responsiv </w:t>
      </w:r>
      <w:r w:rsidRPr="002748AE">
        <w:rPr>
          <w:i/>
          <w:sz w:val="24"/>
          <w:szCs w:val="24"/>
        </w:rPr>
        <w:t>CFTR</w:t>
      </w:r>
      <w:r w:rsidRPr="002748AE">
        <w:rPr>
          <w:sz w:val="24"/>
          <w:szCs w:val="24"/>
        </w:rPr>
        <w:t xml:space="preserve">-mutation) var den gennemsnitlige absolutte ændring i svedchlorid fra </w:t>
      </w:r>
      <w:r w:rsidRPr="002748AE">
        <w:rPr>
          <w:i/>
          <w:sz w:val="24"/>
          <w:szCs w:val="24"/>
        </w:rPr>
        <w:t>baseline</w:t>
      </w:r>
      <w:r w:rsidRPr="002748AE">
        <w:rPr>
          <w:sz w:val="24"/>
          <w:szCs w:val="24"/>
        </w:rPr>
        <w:t xml:space="preserve"> til og med uge 24 sammenlignet med placebo -28,3 mmol/l (95 % CI: -32,1; -24,5 mmol/l, </w:t>
      </w:r>
      <w:r w:rsidRPr="002748AE">
        <w:rPr>
          <w:i/>
          <w:sz w:val="24"/>
          <w:szCs w:val="24"/>
        </w:rPr>
        <w:t>P</w:t>
      </w:r>
      <w:r w:rsidRPr="002748AE">
        <w:rPr>
          <w:sz w:val="24"/>
          <w:szCs w:val="24"/>
        </w:rPr>
        <w:t xml:space="preserve"> &lt;0,0001). </w:t>
      </w:r>
    </w:p>
    <w:p w14:paraId="1C9EAC05" w14:textId="77777777" w:rsidR="00D41138" w:rsidRPr="002748AE" w:rsidRDefault="00D41138" w:rsidP="00F526B8">
      <w:pPr>
        <w:ind w:left="851"/>
        <w:rPr>
          <w:sz w:val="24"/>
          <w:szCs w:val="24"/>
        </w:rPr>
      </w:pPr>
      <w:r w:rsidRPr="002748AE">
        <w:rPr>
          <w:sz w:val="24"/>
          <w:szCs w:val="24"/>
        </w:rPr>
        <w:t xml:space="preserve"> </w:t>
      </w:r>
    </w:p>
    <w:p w14:paraId="0E39F4C4" w14:textId="77777777" w:rsidR="00D41138" w:rsidRPr="002748AE" w:rsidRDefault="00D41138" w:rsidP="00F526B8">
      <w:pPr>
        <w:ind w:left="851"/>
        <w:rPr>
          <w:sz w:val="24"/>
          <w:szCs w:val="24"/>
        </w:rPr>
      </w:pPr>
      <w:r w:rsidRPr="002748AE">
        <w:rPr>
          <w:sz w:val="24"/>
          <w:szCs w:val="24"/>
          <w:u w:val="single"/>
        </w:rPr>
        <w:t>Klinisk virkning og sikkerhed</w:t>
      </w:r>
      <w:r w:rsidRPr="002748AE">
        <w:rPr>
          <w:sz w:val="24"/>
          <w:szCs w:val="24"/>
        </w:rPr>
        <w:t xml:space="preserve"> </w:t>
      </w:r>
    </w:p>
    <w:p w14:paraId="606FB87A" w14:textId="77777777" w:rsidR="00D41138" w:rsidRPr="002748AE" w:rsidRDefault="00D41138" w:rsidP="00F526B8">
      <w:pPr>
        <w:ind w:left="851"/>
        <w:rPr>
          <w:sz w:val="24"/>
          <w:szCs w:val="24"/>
        </w:rPr>
      </w:pPr>
      <w:r w:rsidRPr="002748AE">
        <w:rPr>
          <w:i/>
          <w:sz w:val="24"/>
          <w:szCs w:val="24"/>
        </w:rPr>
        <w:t xml:space="preserve"> </w:t>
      </w:r>
    </w:p>
    <w:p w14:paraId="3904FFC8" w14:textId="77777777" w:rsidR="00D41138" w:rsidRPr="002748AE" w:rsidRDefault="00D41138" w:rsidP="00F526B8">
      <w:pPr>
        <w:ind w:left="851"/>
        <w:rPr>
          <w:sz w:val="24"/>
          <w:szCs w:val="24"/>
        </w:rPr>
      </w:pPr>
      <w:r w:rsidRPr="002748AE">
        <w:rPr>
          <w:i/>
          <w:sz w:val="24"/>
          <w:szCs w:val="24"/>
        </w:rPr>
        <w:t xml:space="preserve">Ivacaftor som monoterapi </w:t>
      </w:r>
    </w:p>
    <w:p w14:paraId="0FD55EDF" w14:textId="77777777" w:rsidR="00D41138" w:rsidRPr="002748AE" w:rsidRDefault="00D41138" w:rsidP="00F526B8">
      <w:pPr>
        <w:ind w:left="851"/>
        <w:rPr>
          <w:sz w:val="24"/>
          <w:szCs w:val="24"/>
        </w:rPr>
      </w:pPr>
      <w:r w:rsidRPr="002748AE">
        <w:rPr>
          <w:i/>
          <w:sz w:val="24"/>
          <w:szCs w:val="24"/>
        </w:rPr>
        <w:t xml:space="preserve"> </w:t>
      </w:r>
    </w:p>
    <w:p w14:paraId="07A541DE" w14:textId="77777777" w:rsidR="00D41138" w:rsidRPr="002748AE" w:rsidRDefault="00D41138" w:rsidP="00F526B8">
      <w:pPr>
        <w:ind w:left="851"/>
        <w:rPr>
          <w:sz w:val="24"/>
          <w:szCs w:val="24"/>
        </w:rPr>
      </w:pPr>
      <w:r w:rsidRPr="002748AE">
        <w:rPr>
          <w:i/>
          <w:sz w:val="24"/>
          <w:szCs w:val="24"/>
          <w:u w:val="single"/>
        </w:rPr>
        <w:t>Studie 770-102 og 770-103: studier hos patienter med CF med G551D gating-mutationer</w:t>
      </w:r>
    </w:p>
    <w:p w14:paraId="69DCA59B" w14:textId="77777777" w:rsidR="00D41138" w:rsidRPr="002748AE" w:rsidRDefault="00D41138" w:rsidP="00F526B8">
      <w:pPr>
        <w:ind w:left="851"/>
        <w:rPr>
          <w:sz w:val="24"/>
          <w:szCs w:val="24"/>
        </w:rPr>
      </w:pPr>
      <w:r w:rsidRPr="002748AE">
        <w:rPr>
          <w:sz w:val="24"/>
          <w:szCs w:val="24"/>
        </w:rPr>
        <w:t xml:space="preserve">Ivacaftors virkning er blevet evalueret i to fase 3 randomiserede, dobbeltblinde, placebokontrollerede multicenter-studier med klinisk stabile patienter med CF, som havde </w:t>
      </w:r>
      <w:r w:rsidRPr="002748AE">
        <w:rPr>
          <w:i/>
          <w:sz w:val="24"/>
          <w:szCs w:val="24"/>
        </w:rPr>
        <w:t>G551D-</w:t>
      </w:r>
      <w:r w:rsidRPr="002748AE">
        <w:rPr>
          <w:sz w:val="24"/>
          <w:szCs w:val="24"/>
        </w:rPr>
        <w:t xml:space="preserve">mutationen i </w:t>
      </w:r>
      <w:r w:rsidRPr="002748AE">
        <w:rPr>
          <w:i/>
          <w:sz w:val="24"/>
          <w:szCs w:val="24"/>
        </w:rPr>
        <w:t>CFTR</w:t>
      </w:r>
      <w:r w:rsidRPr="002748AE">
        <w:rPr>
          <w:sz w:val="24"/>
          <w:szCs w:val="24"/>
        </w:rPr>
        <w:t>-genet på mindst én allel, og havde FEV</w:t>
      </w:r>
      <w:r w:rsidRPr="002748AE">
        <w:rPr>
          <w:sz w:val="24"/>
          <w:szCs w:val="24"/>
          <w:vertAlign w:val="subscript"/>
        </w:rPr>
        <w:t>1</w:t>
      </w:r>
      <w:r w:rsidRPr="002748AE">
        <w:rPr>
          <w:sz w:val="24"/>
          <w:szCs w:val="24"/>
        </w:rPr>
        <w:t xml:space="preserve"> ≥40 % af forventet værdi.  </w:t>
      </w:r>
    </w:p>
    <w:p w14:paraId="50CA21D8" w14:textId="77777777" w:rsidR="00D41138" w:rsidRPr="002748AE" w:rsidRDefault="00D41138" w:rsidP="00F526B8">
      <w:pPr>
        <w:ind w:left="851"/>
        <w:rPr>
          <w:sz w:val="24"/>
          <w:szCs w:val="24"/>
        </w:rPr>
      </w:pPr>
      <w:r w:rsidRPr="002748AE">
        <w:rPr>
          <w:sz w:val="24"/>
          <w:szCs w:val="24"/>
        </w:rPr>
        <w:t xml:space="preserve"> </w:t>
      </w:r>
    </w:p>
    <w:p w14:paraId="7AF211D5" w14:textId="799E1F11" w:rsidR="00D41138" w:rsidRPr="002748AE" w:rsidRDefault="00D41138" w:rsidP="00F526B8">
      <w:pPr>
        <w:ind w:left="851"/>
        <w:rPr>
          <w:sz w:val="24"/>
          <w:szCs w:val="24"/>
        </w:rPr>
      </w:pPr>
      <w:r w:rsidRPr="002748AE">
        <w:rPr>
          <w:sz w:val="24"/>
          <w:szCs w:val="24"/>
        </w:rPr>
        <w:t>Patienter i begge studier blev randomiseret i forholdet 1:1 til enten at få 150 mg ivacaftor eller placebo hver 12 time sammen med fedtholdig mad i 48 uger i tillæg til deres ordinerede CF-behandlinger (f.eks.</w:t>
      </w:r>
      <w:r w:rsidR="00401ECA">
        <w:rPr>
          <w:sz w:val="24"/>
          <w:szCs w:val="24"/>
        </w:rPr>
        <w:t xml:space="preserve"> </w:t>
      </w:r>
      <w:r w:rsidRPr="002748AE">
        <w:rPr>
          <w:sz w:val="24"/>
          <w:szCs w:val="24"/>
        </w:rPr>
        <w:t xml:space="preserve">tobramycin, dornase alfa). Brugen af inhaleret hypertonisk natriumchlorid var ikke tilladt. </w:t>
      </w:r>
    </w:p>
    <w:p w14:paraId="33A30301" w14:textId="77777777" w:rsidR="00D41138" w:rsidRPr="002748AE" w:rsidRDefault="00D41138" w:rsidP="00F526B8">
      <w:pPr>
        <w:ind w:left="851"/>
        <w:rPr>
          <w:sz w:val="24"/>
          <w:szCs w:val="24"/>
        </w:rPr>
      </w:pPr>
      <w:r w:rsidRPr="002748AE">
        <w:rPr>
          <w:sz w:val="24"/>
          <w:szCs w:val="24"/>
        </w:rPr>
        <w:t xml:space="preserve"> </w:t>
      </w:r>
    </w:p>
    <w:p w14:paraId="0FB70320" w14:textId="18399D82" w:rsidR="00D41138" w:rsidRPr="002748AE" w:rsidRDefault="00D41138" w:rsidP="00F526B8">
      <w:pPr>
        <w:ind w:left="851"/>
        <w:rPr>
          <w:sz w:val="24"/>
          <w:szCs w:val="24"/>
        </w:rPr>
      </w:pPr>
      <w:r w:rsidRPr="002748AE">
        <w:rPr>
          <w:sz w:val="24"/>
          <w:szCs w:val="24"/>
        </w:rPr>
        <w:t>Studie 770-102 evaluerede 161 patienter, som var i alderen 12 år eller derover. 122 (75,8</w:t>
      </w:r>
      <w:r w:rsidR="00401ECA">
        <w:rPr>
          <w:sz w:val="24"/>
          <w:szCs w:val="24"/>
        </w:rPr>
        <w:t> </w:t>
      </w:r>
      <w:r w:rsidRPr="002748AE">
        <w:rPr>
          <w:sz w:val="24"/>
          <w:szCs w:val="24"/>
        </w:rPr>
        <w:t xml:space="preserve">%) patienter havde </w:t>
      </w:r>
      <w:r w:rsidRPr="002748AE">
        <w:rPr>
          <w:i/>
          <w:sz w:val="24"/>
          <w:szCs w:val="24"/>
        </w:rPr>
        <w:t>F508del</w:t>
      </w:r>
      <w:r w:rsidRPr="002748AE">
        <w:rPr>
          <w:sz w:val="24"/>
          <w:szCs w:val="24"/>
        </w:rPr>
        <w:t xml:space="preserve">-mutationen i den anden allel. Ved starten af studiet anvendte patienterne i placebogruppen nogle lægemidler med en større hyppighed end i ivacaftor-gruppen. Disse lægemidler omfattede dornase alfa (73,1 % </w:t>
      </w:r>
      <w:r w:rsidRPr="002748AE">
        <w:rPr>
          <w:i/>
          <w:sz w:val="24"/>
          <w:szCs w:val="24"/>
        </w:rPr>
        <w:t>versus</w:t>
      </w:r>
      <w:r w:rsidRPr="002748AE">
        <w:rPr>
          <w:sz w:val="24"/>
          <w:szCs w:val="24"/>
        </w:rPr>
        <w:t xml:space="preserve"> 65,1 %), salbutamol (53,8 % </w:t>
      </w:r>
      <w:r w:rsidRPr="002748AE">
        <w:rPr>
          <w:i/>
          <w:sz w:val="24"/>
          <w:szCs w:val="24"/>
        </w:rPr>
        <w:t>versus</w:t>
      </w:r>
      <w:r w:rsidRPr="002748AE">
        <w:rPr>
          <w:sz w:val="24"/>
          <w:szCs w:val="24"/>
        </w:rPr>
        <w:t xml:space="preserve"> 42,2 %), tobramycin (44,9 % </w:t>
      </w:r>
      <w:r w:rsidRPr="002748AE">
        <w:rPr>
          <w:i/>
          <w:sz w:val="24"/>
          <w:szCs w:val="24"/>
        </w:rPr>
        <w:t>versus</w:t>
      </w:r>
      <w:r w:rsidRPr="002748AE">
        <w:rPr>
          <w:sz w:val="24"/>
          <w:szCs w:val="24"/>
        </w:rPr>
        <w:t xml:space="preserve"> 33,7 %) og salmeterol/fluticason (41,0 % </w:t>
      </w:r>
      <w:r w:rsidRPr="002748AE">
        <w:rPr>
          <w:i/>
          <w:sz w:val="24"/>
          <w:szCs w:val="24"/>
        </w:rPr>
        <w:t>versus</w:t>
      </w:r>
      <w:r w:rsidRPr="002748AE">
        <w:rPr>
          <w:sz w:val="24"/>
          <w:szCs w:val="24"/>
        </w:rPr>
        <w:t xml:space="preserve"> 27,7 %). Ved </w:t>
      </w:r>
      <w:r w:rsidRPr="002748AE">
        <w:rPr>
          <w:i/>
          <w:sz w:val="24"/>
          <w:szCs w:val="24"/>
        </w:rPr>
        <w:t>baseline</w:t>
      </w:r>
      <w:r w:rsidRPr="002748AE">
        <w:rPr>
          <w:sz w:val="24"/>
          <w:szCs w:val="24"/>
        </w:rPr>
        <w:t xml:space="preserve"> var den gennemsnitlige forventede FEV</w:t>
      </w:r>
      <w:r w:rsidRPr="002748AE">
        <w:rPr>
          <w:sz w:val="24"/>
          <w:szCs w:val="24"/>
          <w:vertAlign w:val="subscript"/>
        </w:rPr>
        <w:t>1</w:t>
      </w:r>
      <w:r w:rsidRPr="002748AE">
        <w:rPr>
          <w:sz w:val="24"/>
          <w:szCs w:val="24"/>
        </w:rPr>
        <w:t xml:space="preserve"> 63,6 % (interval: 31,6 % til 98,2 %), og gennemsnitsalderen var 26 år (interval: 12 til 53 år).  </w:t>
      </w:r>
    </w:p>
    <w:p w14:paraId="7AFF9A38" w14:textId="77777777" w:rsidR="00D41138" w:rsidRPr="002748AE" w:rsidRDefault="00D41138" w:rsidP="00F526B8">
      <w:pPr>
        <w:ind w:left="851"/>
        <w:rPr>
          <w:sz w:val="24"/>
          <w:szCs w:val="24"/>
        </w:rPr>
      </w:pPr>
      <w:r w:rsidRPr="002748AE">
        <w:rPr>
          <w:sz w:val="24"/>
          <w:szCs w:val="24"/>
        </w:rPr>
        <w:t xml:space="preserve"> </w:t>
      </w:r>
    </w:p>
    <w:p w14:paraId="3ACC4E01" w14:textId="6E2AE20D" w:rsidR="00D41138" w:rsidRPr="002748AE" w:rsidRDefault="00D41138" w:rsidP="00F526B8">
      <w:pPr>
        <w:ind w:left="851"/>
        <w:rPr>
          <w:sz w:val="24"/>
          <w:szCs w:val="24"/>
        </w:rPr>
      </w:pPr>
      <w:r w:rsidRPr="002748AE">
        <w:rPr>
          <w:sz w:val="24"/>
          <w:szCs w:val="24"/>
        </w:rPr>
        <w:t xml:space="preserve">Studie 770-103 evaluerede 52 patienter, som var i alderen 6 til 11 år ved screening. Den gennemsnitlige (SD) kropsvægt var 30,9 (8,63) kg. 42 (80,8 %) patienter havde </w:t>
      </w:r>
      <w:r w:rsidRPr="002748AE">
        <w:rPr>
          <w:i/>
          <w:sz w:val="24"/>
          <w:szCs w:val="24"/>
        </w:rPr>
        <w:t>F508del</w:t>
      </w:r>
      <w:r w:rsidRPr="002748AE">
        <w:rPr>
          <w:sz w:val="24"/>
          <w:szCs w:val="24"/>
        </w:rPr>
        <w:t xml:space="preserve">-mutationen i den anden allel. Ved </w:t>
      </w:r>
      <w:r w:rsidRPr="002748AE">
        <w:rPr>
          <w:i/>
          <w:sz w:val="24"/>
          <w:szCs w:val="24"/>
        </w:rPr>
        <w:t>baseline</w:t>
      </w:r>
      <w:r w:rsidRPr="002748AE">
        <w:rPr>
          <w:sz w:val="24"/>
          <w:szCs w:val="24"/>
        </w:rPr>
        <w:t xml:space="preserve"> var den gennemsnitlige forventede FEV</w:t>
      </w:r>
      <w:r w:rsidRPr="002748AE">
        <w:rPr>
          <w:sz w:val="24"/>
          <w:szCs w:val="24"/>
          <w:vertAlign w:val="subscript"/>
        </w:rPr>
        <w:t>1</w:t>
      </w:r>
      <w:r w:rsidRPr="002748AE">
        <w:rPr>
          <w:sz w:val="24"/>
          <w:szCs w:val="24"/>
        </w:rPr>
        <w:t xml:space="preserve"> 84,2</w:t>
      </w:r>
      <w:r w:rsidR="00401ECA">
        <w:rPr>
          <w:sz w:val="24"/>
          <w:szCs w:val="24"/>
        </w:rPr>
        <w:t> </w:t>
      </w:r>
      <w:r w:rsidRPr="002748AE">
        <w:rPr>
          <w:sz w:val="24"/>
          <w:szCs w:val="24"/>
        </w:rPr>
        <w:t>% (interval: 44,0 % til 133,8 %), og gennemsnitsalderen var 9 år (interval: 6 til 12 år). 8 (30,8 %) patienter i placebogruppen og 4 (15,4 %) patienter i ivacaftor-gruppen havde en FEV</w:t>
      </w:r>
      <w:r w:rsidRPr="002748AE">
        <w:rPr>
          <w:sz w:val="24"/>
          <w:szCs w:val="24"/>
          <w:vertAlign w:val="subscript"/>
        </w:rPr>
        <w:t>1</w:t>
      </w:r>
      <w:r w:rsidRPr="002748AE">
        <w:rPr>
          <w:sz w:val="24"/>
          <w:szCs w:val="24"/>
        </w:rPr>
        <w:t xml:space="preserve"> under 70 % af den forventede ved </w:t>
      </w:r>
      <w:r w:rsidRPr="002748AE">
        <w:rPr>
          <w:i/>
          <w:sz w:val="24"/>
          <w:szCs w:val="24"/>
        </w:rPr>
        <w:t>baseline</w:t>
      </w:r>
      <w:r w:rsidRPr="002748AE">
        <w:rPr>
          <w:sz w:val="24"/>
          <w:szCs w:val="24"/>
        </w:rPr>
        <w:t xml:space="preserve">. </w:t>
      </w:r>
    </w:p>
    <w:p w14:paraId="4AD95959" w14:textId="77777777" w:rsidR="00D41138" w:rsidRPr="002748AE" w:rsidRDefault="00D41138" w:rsidP="00F526B8">
      <w:pPr>
        <w:ind w:left="851"/>
        <w:rPr>
          <w:sz w:val="24"/>
          <w:szCs w:val="24"/>
        </w:rPr>
      </w:pPr>
      <w:r w:rsidRPr="002748AE">
        <w:rPr>
          <w:sz w:val="24"/>
          <w:szCs w:val="24"/>
        </w:rPr>
        <w:t xml:space="preserve"> </w:t>
      </w:r>
    </w:p>
    <w:p w14:paraId="0F459522" w14:textId="77777777" w:rsidR="00D41138" w:rsidRPr="002748AE" w:rsidRDefault="00D41138" w:rsidP="00F526B8">
      <w:pPr>
        <w:ind w:left="851"/>
        <w:rPr>
          <w:sz w:val="24"/>
          <w:szCs w:val="24"/>
        </w:rPr>
      </w:pPr>
      <w:r w:rsidRPr="002748AE">
        <w:rPr>
          <w:sz w:val="24"/>
          <w:szCs w:val="24"/>
        </w:rPr>
        <w:lastRenderedPageBreak/>
        <w:t xml:space="preserve">Det primære endepunkt for virkning i begge studier var den gennemsnitlige absolutte ændring fra </w:t>
      </w:r>
      <w:r w:rsidRPr="002748AE">
        <w:rPr>
          <w:i/>
          <w:sz w:val="24"/>
          <w:szCs w:val="24"/>
        </w:rPr>
        <w:t>baseline</w:t>
      </w:r>
      <w:r w:rsidRPr="002748AE">
        <w:rPr>
          <w:sz w:val="24"/>
          <w:szCs w:val="24"/>
        </w:rPr>
        <w:t xml:space="preserve"> i procent af forventet FEV</w:t>
      </w:r>
      <w:r w:rsidRPr="002748AE">
        <w:rPr>
          <w:sz w:val="24"/>
          <w:szCs w:val="24"/>
          <w:vertAlign w:val="subscript"/>
        </w:rPr>
        <w:t>1</w:t>
      </w:r>
      <w:r w:rsidRPr="002748AE">
        <w:rPr>
          <w:sz w:val="24"/>
          <w:szCs w:val="24"/>
        </w:rPr>
        <w:t xml:space="preserve"> til og med 24 ugers behandling.  </w:t>
      </w:r>
    </w:p>
    <w:p w14:paraId="7B76FF1B" w14:textId="77777777" w:rsidR="00D41138" w:rsidRPr="002748AE" w:rsidRDefault="00D41138" w:rsidP="00F526B8">
      <w:pPr>
        <w:ind w:left="851"/>
        <w:rPr>
          <w:sz w:val="24"/>
          <w:szCs w:val="24"/>
        </w:rPr>
      </w:pPr>
      <w:r w:rsidRPr="002748AE">
        <w:rPr>
          <w:sz w:val="24"/>
          <w:szCs w:val="24"/>
        </w:rPr>
        <w:t xml:space="preserve"> </w:t>
      </w:r>
    </w:p>
    <w:p w14:paraId="0455F0CD" w14:textId="712BAA62" w:rsidR="00D41138" w:rsidRPr="002748AE" w:rsidRDefault="00D41138" w:rsidP="00F526B8">
      <w:pPr>
        <w:ind w:left="851"/>
        <w:rPr>
          <w:sz w:val="24"/>
          <w:szCs w:val="24"/>
        </w:rPr>
      </w:pPr>
      <w:r w:rsidRPr="002748AE">
        <w:rPr>
          <w:sz w:val="24"/>
          <w:szCs w:val="24"/>
        </w:rPr>
        <w:t>Forskellen ved behandling med ivacaftor og placebo med hensyn til den gennemsnitlige absolutte ændring (95 % CI) i procent af forventet FEV</w:t>
      </w:r>
      <w:r w:rsidRPr="002748AE">
        <w:rPr>
          <w:sz w:val="24"/>
          <w:szCs w:val="24"/>
          <w:vertAlign w:val="subscript"/>
        </w:rPr>
        <w:t>1</w:t>
      </w:r>
      <w:r w:rsidRPr="002748AE">
        <w:rPr>
          <w:sz w:val="24"/>
          <w:szCs w:val="24"/>
        </w:rPr>
        <w:t xml:space="preserve"> fra </w:t>
      </w:r>
      <w:r w:rsidRPr="002748AE">
        <w:rPr>
          <w:i/>
          <w:sz w:val="24"/>
          <w:szCs w:val="24"/>
        </w:rPr>
        <w:t>baseline</w:t>
      </w:r>
      <w:r w:rsidRPr="002748AE">
        <w:rPr>
          <w:sz w:val="24"/>
          <w:szCs w:val="24"/>
        </w:rPr>
        <w:t xml:space="preserve"> til og med uge 24 var 10,6 procentpoints (8,6; 12,6) i studie 770-102 og 12,5 procentpoints (6,6; 18,3) i studie 770-103. Forskellen ved behandling med ivacaftor og placebo med hensyn til den gennemsnitlige relative ændring (95 % CI) i procent af forventet FEV</w:t>
      </w:r>
      <w:r w:rsidRPr="002748AE">
        <w:rPr>
          <w:sz w:val="24"/>
          <w:szCs w:val="24"/>
          <w:vertAlign w:val="subscript"/>
        </w:rPr>
        <w:t>1</w:t>
      </w:r>
      <w:r w:rsidRPr="002748AE">
        <w:rPr>
          <w:sz w:val="24"/>
          <w:szCs w:val="24"/>
        </w:rPr>
        <w:t xml:space="preserve"> fra </w:t>
      </w:r>
      <w:r w:rsidRPr="002748AE">
        <w:rPr>
          <w:i/>
          <w:sz w:val="24"/>
          <w:szCs w:val="24"/>
        </w:rPr>
        <w:t>baseline</w:t>
      </w:r>
      <w:r w:rsidRPr="002748AE">
        <w:rPr>
          <w:sz w:val="24"/>
          <w:szCs w:val="24"/>
        </w:rPr>
        <w:t xml:space="preserve"> til og med uge 24 var 17,1 % (13,9; 20,2) i studie 770-102 og 15,8 % (8,4; 23,2) i studie 770-103. Den gennemsnitlige ændring fra </w:t>
      </w:r>
      <w:r w:rsidRPr="002748AE">
        <w:rPr>
          <w:i/>
          <w:sz w:val="24"/>
          <w:szCs w:val="24"/>
        </w:rPr>
        <w:t>baseline</w:t>
      </w:r>
      <w:r w:rsidRPr="002748AE">
        <w:rPr>
          <w:sz w:val="24"/>
          <w:szCs w:val="24"/>
        </w:rPr>
        <w:t xml:space="preserve"> til og med uge 24 i FEV</w:t>
      </w:r>
      <w:r w:rsidRPr="002748AE">
        <w:rPr>
          <w:sz w:val="24"/>
          <w:szCs w:val="24"/>
          <w:vertAlign w:val="subscript"/>
        </w:rPr>
        <w:t>1</w:t>
      </w:r>
      <w:r w:rsidRPr="002748AE">
        <w:rPr>
          <w:sz w:val="24"/>
          <w:szCs w:val="24"/>
        </w:rPr>
        <w:t xml:space="preserve"> (l) var 0,37 l i ivacaftor-gruppen og 0,01 l i placebo-gruppen i studie 770-102, og 0,30 l i ivacaftor-gruppen og 0,07 l i placebogruppen i studie 770-103. I begge studier sås der hurtigt forbedringer i FEV</w:t>
      </w:r>
      <w:r w:rsidRPr="002748AE">
        <w:rPr>
          <w:sz w:val="24"/>
          <w:szCs w:val="24"/>
          <w:vertAlign w:val="subscript"/>
        </w:rPr>
        <w:t>1</w:t>
      </w:r>
      <w:r w:rsidRPr="002748AE">
        <w:rPr>
          <w:sz w:val="24"/>
          <w:szCs w:val="24"/>
        </w:rPr>
        <w:t xml:space="preserve"> (dag 15), og de varede ved til og med 48 uger.  </w:t>
      </w:r>
    </w:p>
    <w:p w14:paraId="7003ACF4" w14:textId="77777777" w:rsidR="00D41138" w:rsidRPr="002748AE" w:rsidRDefault="00D41138" w:rsidP="00F526B8">
      <w:pPr>
        <w:ind w:left="851"/>
        <w:rPr>
          <w:sz w:val="24"/>
          <w:szCs w:val="24"/>
        </w:rPr>
      </w:pPr>
      <w:r w:rsidRPr="002748AE">
        <w:rPr>
          <w:sz w:val="24"/>
          <w:szCs w:val="24"/>
        </w:rPr>
        <w:t xml:space="preserve"> </w:t>
      </w:r>
    </w:p>
    <w:p w14:paraId="580F0D97" w14:textId="774A92EC" w:rsidR="00D41138" w:rsidRPr="002748AE" w:rsidRDefault="00D41138" w:rsidP="00F526B8">
      <w:pPr>
        <w:ind w:left="851"/>
        <w:rPr>
          <w:sz w:val="24"/>
          <w:szCs w:val="24"/>
        </w:rPr>
      </w:pPr>
      <w:r w:rsidRPr="002748AE">
        <w:rPr>
          <w:sz w:val="24"/>
          <w:szCs w:val="24"/>
        </w:rPr>
        <w:t>Behandlingsforskellen mellem ivacaftor og placebo for den gennemsnitlige absolutte ændring (95 % CI) i procent af forventet FEV</w:t>
      </w:r>
      <w:r w:rsidRPr="002748AE">
        <w:rPr>
          <w:sz w:val="24"/>
          <w:szCs w:val="24"/>
          <w:vertAlign w:val="subscript"/>
        </w:rPr>
        <w:t>1</w:t>
      </w:r>
      <w:r w:rsidRPr="002748AE">
        <w:rPr>
          <w:sz w:val="24"/>
          <w:szCs w:val="24"/>
        </w:rPr>
        <w:t xml:space="preserve"> fra </w:t>
      </w:r>
      <w:r w:rsidRPr="002748AE">
        <w:rPr>
          <w:i/>
          <w:sz w:val="24"/>
          <w:szCs w:val="24"/>
        </w:rPr>
        <w:t>baseline</w:t>
      </w:r>
      <w:r w:rsidRPr="002748AE">
        <w:rPr>
          <w:sz w:val="24"/>
          <w:szCs w:val="24"/>
        </w:rPr>
        <w:t xml:space="preserve"> til og med uge 24 hos patienter fra 12 til 17 år i studie 770-102 var 11,9 procentpoint (5,9; 17,9). Behandlingsforskellen mellem ivacaftor og placebo for den gennemsnitlige absolutte ændring (95 % CI) i procent af forventet FEV</w:t>
      </w:r>
      <w:r w:rsidRPr="002748AE">
        <w:rPr>
          <w:sz w:val="24"/>
          <w:szCs w:val="24"/>
          <w:vertAlign w:val="subscript"/>
        </w:rPr>
        <w:t>1</w:t>
      </w:r>
      <w:r w:rsidRPr="002748AE">
        <w:rPr>
          <w:sz w:val="24"/>
          <w:szCs w:val="24"/>
        </w:rPr>
        <w:t xml:space="preserve"> fra </w:t>
      </w:r>
      <w:r w:rsidRPr="002748AE">
        <w:rPr>
          <w:i/>
          <w:sz w:val="24"/>
          <w:szCs w:val="24"/>
        </w:rPr>
        <w:t>baseline</w:t>
      </w:r>
      <w:r w:rsidRPr="002748AE">
        <w:rPr>
          <w:sz w:val="24"/>
          <w:szCs w:val="24"/>
        </w:rPr>
        <w:t xml:space="preserve"> til og med uge 24 hos patienter med forventet FEV</w:t>
      </w:r>
      <w:r w:rsidRPr="002748AE">
        <w:rPr>
          <w:sz w:val="24"/>
          <w:szCs w:val="24"/>
          <w:vertAlign w:val="subscript"/>
        </w:rPr>
        <w:t>1</w:t>
      </w:r>
      <w:r w:rsidRPr="002748AE">
        <w:rPr>
          <w:sz w:val="24"/>
          <w:szCs w:val="24"/>
        </w:rPr>
        <w:t xml:space="preserve"> ved </w:t>
      </w:r>
      <w:r w:rsidRPr="002748AE">
        <w:rPr>
          <w:i/>
          <w:sz w:val="24"/>
          <w:szCs w:val="24"/>
        </w:rPr>
        <w:t>baseline</w:t>
      </w:r>
      <w:r w:rsidRPr="002748AE">
        <w:rPr>
          <w:sz w:val="24"/>
          <w:szCs w:val="24"/>
        </w:rPr>
        <w:t xml:space="preserve"> over 90 % i studie 770-103 var 6,9 procentpoint</w:t>
      </w:r>
      <w:r w:rsidR="00401ECA">
        <w:rPr>
          <w:sz w:val="24"/>
          <w:szCs w:val="24"/>
        </w:rPr>
        <w:t xml:space="preserve"> </w:t>
      </w:r>
      <w:r w:rsidRPr="002748AE">
        <w:rPr>
          <w:sz w:val="24"/>
          <w:szCs w:val="24"/>
        </w:rPr>
        <w:t xml:space="preserve">(-3,8; 17,6).  </w:t>
      </w:r>
    </w:p>
    <w:p w14:paraId="54894AEC" w14:textId="77777777" w:rsidR="00D41138" w:rsidRPr="002748AE" w:rsidRDefault="00D41138" w:rsidP="00F526B8">
      <w:pPr>
        <w:ind w:left="851"/>
        <w:rPr>
          <w:sz w:val="24"/>
          <w:szCs w:val="24"/>
        </w:rPr>
      </w:pPr>
      <w:r w:rsidRPr="002748AE">
        <w:rPr>
          <w:sz w:val="24"/>
          <w:szCs w:val="24"/>
        </w:rPr>
        <w:t xml:space="preserve"> </w:t>
      </w:r>
    </w:p>
    <w:p w14:paraId="320C1D3F" w14:textId="77777777" w:rsidR="00D41138" w:rsidRPr="002748AE" w:rsidRDefault="00D41138" w:rsidP="00F526B8">
      <w:pPr>
        <w:ind w:left="851"/>
        <w:rPr>
          <w:sz w:val="24"/>
          <w:szCs w:val="24"/>
        </w:rPr>
      </w:pPr>
      <w:r w:rsidRPr="002748AE">
        <w:rPr>
          <w:sz w:val="24"/>
          <w:szCs w:val="24"/>
        </w:rPr>
        <w:t xml:space="preserve">Resultaterne for klinisk relevante sekundære endepunkter er vist i tabel 7. </w:t>
      </w:r>
    </w:p>
    <w:p w14:paraId="15CAC7BD" w14:textId="77777777" w:rsidR="00D41138" w:rsidRPr="002748AE" w:rsidRDefault="00D41138" w:rsidP="00F526B8">
      <w:pPr>
        <w:ind w:left="851"/>
        <w:rPr>
          <w:sz w:val="24"/>
          <w:szCs w:val="24"/>
        </w:rPr>
      </w:pPr>
      <w:r w:rsidRPr="002748AE">
        <w:rPr>
          <w:sz w:val="24"/>
          <w:szCs w:val="24"/>
        </w:rPr>
        <w:t xml:space="preserve"> </w:t>
      </w:r>
    </w:p>
    <w:p w14:paraId="1F5D6CF0" w14:textId="77777777" w:rsidR="00D41138" w:rsidRPr="002748AE" w:rsidRDefault="00D41138" w:rsidP="00401ECA">
      <w:pPr>
        <w:pStyle w:val="Brdtekst"/>
        <w:suppressAutoHyphens/>
        <w:kinsoku w:val="0"/>
        <w:overflowPunct w:val="0"/>
        <w:ind w:left="851"/>
        <w:rPr>
          <w:i/>
          <w:color w:val="000000" w:themeColor="text1"/>
        </w:rPr>
      </w:pPr>
      <w:r w:rsidRPr="002748AE">
        <w:rPr>
          <w:b/>
          <w:color w:val="000000" w:themeColor="text1"/>
        </w:rPr>
        <w:t>Tabel 7: Ivacaftors virkning på andre endepunkter for virkning i studie 770-102 og 770-103</w:t>
      </w:r>
    </w:p>
    <w:p w14:paraId="5E28ED68" w14:textId="77777777" w:rsidR="00D41138" w:rsidRPr="002748AE" w:rsidRDefault="00D41138" w:rsidP="00D41138">
      <w:pPr>
        <w:pStyle w:val="Brdtekst"/>
        <w:suppressAutoHyphens/>
        <w:kinsoku w:val="0"/>
        <w:overflowPunct w:val="0"/>
        <w:ind w:left="0"/>
        <w:rPr>
          <w:b/>
          <w:color w:val="000000" w:themeColor="text1"/>
        </w:rPr>
      </w:pPr>
    </w:p>
    <w:tbl>
      <w:tblPr>
        <w:tblW w:w="5000" w:type="pct"/>
        <w:tblCellMar>
          <w:top w:w="53" w:type="dxa"/>
          <w:bottom w:w="5" w:type="dxa"/>
          <w:right w:w="55" w:type="dxa"/>
        </w:tblCellMar>
        <w:tblLook w:val="04A0" w:firstRow="1" w:lastRow="0" w:firstColumn="1" w:lastColumn="0" w:noHBand="0" w:noVBand="1"/>
      </w:tblPr>
      <w:tblGrid>
        <w:gridCol w:w="2718"/>
        <w:gridCol w:w="2051"/>
        <w:gridCol w:w="1275"/>
        <w:gridCol w:w="2051"/>
        <w:gridCol w:w="1533"/>
      </w:tblGrid>
      <w:tr w:rsidR="00D41138" w:rsidRPr="00401ECA" w14:paraId="6352BCB2" w14:textId="77777777" w:rsidTr="00F526B8">
        <w:trPr>
          <w:trHeight w:val="227"/>
        </w:trPr>
        <w:tc>
          <w:tcPr>
            <w:tcW w:w="1412" w:type="pct"/>
            <w:vMerge w:val="restart"/>
            <w:tcBorders>
              <w:top w:val="single" w:sz="4" w:space="0" w:color="000000"/>
              <w:left w:val="single" w:sz="4" w:space="0" w:color="000000"/>
              <w:bottom w:val="single" w:sz="4" w:space="0" w:color="000000"/>
              <w:right w:val="single" w:sz="4" w:space="0" w:color="000000"/>
            </w:tcBorders>
            <w:tcMar>
              <w:top w:w="28" w:type="dxa"/>
              <w:left w:w="0" w:type="dxa"/>
              <w:bottom w:w="28" w:type="dxa"/>
              <w:right w:w="0" w:type="dxa"/>
            </w:tcMar>
            <w:vAlign w:val="center"/>
            <w:hideMark/>
          </w:tcPr>
          <w:p w14:paraId="63288DCA" w14:textId="77777777" w:rsidR="00D41138" w:rsidRPr="00401ECA" w:rsidRDefault="00D41138">
            <w:pPr>
              <w:pStyle w:val="Brdtekst"/>
              <w:suppressAutoHyphens/>
              <w:kinsoku w:val="0"/>
              <w:overflowPunct w:val="0"/>
              <w:rPr>
                <w:color w:val="000000" w:themeColor="text1"/>
                <w:sz w:val="22"/>
                <w:szCs w:val="22"/>
                <w:lang w:val="ru-RU" w:eastAsia="ru-RU"/>
              </w:rPr>
            </w:pPr>
            <w:r w:rsidRPr="00401ECA">
              <w:rPr>
                <w:b/>
                <w:color w:val="000000" w:themeColor="text1"/>
                <w:sz w:val="22"/>
                <w:szCs w:val="22"/>
                <w:lang w:val="ru-RU" w:eastAsia="ru-RU"/>
              </w:rPr>
              <w:t>Endepunkt</w:t>
            </w:r>
          </w:p>
        </w:tc>
        <w:tc>
          <w:tcPr>
            <w:tcW w:w="1726" w:type="pct"/>
            <w:gridSpan w:val="2"/>
            <w:tcBorders>
              <w:top w:val="single" w:sz="4" w:space="0" w:color="000000"/>
              <w:left w:val="single" w:sz="4" w:space="0" w:color="000000"/>
              <w:bottom w:val="single" w:sz="4" w:space="0" w:color="000000"/>
              <w:right w:val="single" w:sz="4" w:space="0" w:color="000000"/>
            </w:tcBorders>
            <w:tcMar>
              <w:top w:w="28" w:type="dxa"/>
              <w:left w:w="0" w:type="dxa"/>
              <w:bottom w:w="28" w:type="dxa"/>
              <w:right w:w="0" w:type="dxa"/>
            </w:tcMar>
            <w:hideMark/>
          </w:tcPr>
          <w:p w14:paraId="25D46483" w14:textId="77777777" w:rsidR="00D41138" w:rsidRPr="00401ECA" w:rsidRDefault="00D41138">
            <w:pPr>
              <w:pStyle w:val="Brdtekst"/>
              <w:suppressAutoHyphens/>
              <w:kinsoku w:val="0"/>
              <w:overflowPunct w:val="0"/>
              <w:ind w:left="0"/>
              <w:jc w:val="center"/>
              <w:rPr>
                <w:color w:val="000000" w:themeColor="text1"/>
                <w:sz w:val="22"/>
                <w:szCs w:val="22"/>
                <w:lang w:val="ru-RU" w:eastAsia="ru-RU"/>
              </w:rPr>
            </w:pPr>
            <w:r w:rsidRPr="00401ECA">
              <w:rPr>
                <w:b/>
                <w:color w:val="000000" w:themeColor="text1"/>
                <w:sz w:val="22"/>
                <w:szCs w:val="22"/>
                <w:lang w:val="ru-RU" w:eastAsia="ru-RU"/>
              </w:rPr>
              <w:t>Studie 770-102</w:t>
            </w:r>
          </w:p>
        </w:tc>
        <w:tc>
          <w:tcPr>
            <w:tcW w:w="1861" w:type="pct"/>
            <w:gridSpan w:val="2"/>
            <w:tcBorders>
              <w:top w:val="single" w:sz="4" w:space="0" w:color="000000"/>
              <w:left w:val="single" w:sz="4" w:space="0" w:color="000000"/>
              <w:bottom w:val="single" w:sz="4" w:space="0" w:color="000000"/>
              <w:right w:val="single" w:sz="4" w:space="0" w:color="000000"/>
            </w:tcBorders>
            <w:tcMar>
              <w:top w:w="28" w:type="dxa"/>
              <w:left w:w="0" w:type="dxa"/>
              <w:bottom w:w="28" w:type="dxa"/>
              <w:right w:w="0" w:type="dxa"/>
            </w:tcMar>
            <w:hideMark/>
          </w:tcPr>
          <w:p w14:paraId="6020BF2B" w14:textId="77777777" w:rsidR="00D41138" w:rsidRPr="00401ECA" w:rsidRDefault="00D41138">
            <w:pPr>
              <w:pStyle w:val="Brdtekst"/>
              <w:suppressAutoHyphens/>
              <w:kinsoku w:val="0"/>
              <w:overflowPunct w:val="0"/>
              <w:ind w:left="0"/>
              <w:jc w:val="center"/>
              <w:rPr>
                <w:color w:val="000000" w:themeColor="text1"/>
                <w:sz w:val="22"/>
                <w:szCs w:val="22"/>
                <w:lang w:val="ru-RU" w:eastAsia="ru-RU"/>
              </w:rPr>
            </w:pPr>
            <w:r w:rsidRPr="00401ECA">
              <w:rPr>
                <w:b/>
                <w:color w:val="000000" w:themeColor="text1"/>
                <w:sz w:val="22"/>
                <w:szCs w:val="22"/>
                <w:lang w:val="ru-RU" w:eastAsia="ru-RU"/>
              </w:rPr>
              <w:t>Studie 770-103</w:t>
            </w:r>
          </w:p>
        </w:tc>
      </w:tr>
      <w:tr w:rsidR="00D41138" w:rsidRPr="00401ECA" w14:paraId="78C4C44C" w14:textId="77777777" w:rsidTr="00F526B8">
        <w:trPr>
          <w:trHeight w:val="227"/>
        </w:trPr>
        <w:tc>
          <w:tcPr>
            <w:tcW w:w="1412" w:type="pct"/>
            <w:vMerge/>
            <w:tcBorders>
              <w:top w:val="single" w:sz="4" w:space="0" w:color="000000"/>
              <w:left w:val="single" w:sz="4" w:space="0" w:color="000000"/>
              <w:bottom w:val="single" w:sz="4" w:space="0" w:color="000000"/>
              <w:right w:val="single" w:sz="4" w:space="0" w:color="000000"/>
            </w:tcBorders>
            <w:vAlign w:val="center"/>
            <w:hideMark/>
          </w:tcPr>
          <w:p w14:paraId="781DDDF7" w14:textId="77777777" w:rsidR="00D41138" w:rsidRPr="00401ECA" w:rsidRDefault="00D41138">
            <w:pPr>
              <w:rPr>
                <w:color w:val="000000" w:themeColor="text1"/>
                <w:sz w:val="22"/>
                <w:szCs w:val="22"/>
                <w:lang w:val="ru-RU" w:eastAsia="ru-RU"/>
              </w:rPr>
            </w:pPr>
          </w:p>
        </w:tc>
        <w:tc>
          <w:tcPr>
            <w:tcW w:w="1065" w:type="pct"/>
            <w:tcBorders>
              <w:top w:val="single" w:sz="4" w:space="0" w:color="000000"/>
              <w:left w:val="single" w:sz="4" w:space="0" w:color="000000"/>
              <w:bottom w:val="single" w:sz="4" w:space="0" w:color="000000"/>
              <w:right w:val="single" w:sz="4" w:space="0" w:color="000000"/>
            </w:tcBorders>
            <w:tcMar>
              <w:top w:w="28" w:type="dxa"/>
              <w:left w:w="0" w:type="dxa"/>
              <w:bottom w:w="28" w:type="dxa"/>
              <w:right w:w="0" w:type="dxa"/>
            </w:tcMar>
            <w:hideMark/>
          </w:tcPr>
          <w:p w14:paraId="2CD93CC0" w14:textId="77777777" w:rsidR="00D41138" w:rsidRPr="00401ECA" w:rsidRDefault="00D41138">
            <w:pPr>
              <w:pStyle w:val="Brdtekst"/>
              <w:suppressAutoHyphens/>
              <w:kinsoku w:val="0"/>
              <w:overflowPunct w:val="0"/>
              <w:ind w:left="0"/>
              <w:jc w:val="center"/>
              <w:rPr>
                <w:color w:val="000000" w:themeColor="text1"/>
                <w:sz w:val="22"/>
                <w:szCs w:val="22"/>
                <w:lang w:val="ru-RU" w:eastAsia="ru-RU"/>
              </w:rPr>
            </w:pPr>
            <w:r w:rsidRPr="00401ECA">
              <w:rPr>
                <w:b/>
                <w:color w:val="000000" w:themeColor="text1"/>
                <w:sz w:val="22"/>
                <w:szCs w:val="22"/>
                <w:lang w:val="ru-RU" w:eastAsia="ru-RU"/>
              </w:rPr>
              <w:t>Behandlingsforskel</w:t>
            </w:r>
            <w:r w:rsidRPr="00401ECA">
              <w:rPr>
                <w:b/>
                <w:color w:val="000000" w:themeColor="text1"/>
                <w:sz w:val="22"/>
                <w:szCs w:val="22"/>
                <w:vertAlign w:val="superscript"/>
                <w:lang w:val="ru-RU" w:eastAsia="ru-RU"/>
              </w:rPr>
              <w:t>a</w:t>
            </w:r>
          </w:p>
          <w:p w14:paraId="24FC5A82" w14:textId="77777777" w:rsidR="00D41138" w:rsidRPr="00401ECA" w:rsidRDefault="00D41138">
            <w:pPr>
              <w:pStyle w:val="Brdtekst"/>
              <w:suppressAutoHyphens/>
              <w:kinsoku w:val="0"/>
              <w:overflowPunct w:val="0"/>
              <w:ind w:left="0"/>
              <w:jc w:val="center"/>
              <w:rPr>
                <w:color w:val="000000" w:themeColor="text1"/>
                <w:sz w:val="22"/>
                <w:szCs w:val="22"/>
                <w:lang w:val="ru-RU" w:eastAsia="ru-RU"/>
              </w:rPr>
            </w:pPr>
            <w:r w:rsidRPr="00401ECA">
              <w:rPr>
                <w:b/>
                <w:color w:val="000000" w:themeColor="text1"/>
                <w:sz w:val="22"/>
                <w:szCs w:val="22"/>
                <w:lang w:val="ru-RU" w:eastAsia="ru-RU"/>
              </w:rPr>
              <w:t>(95 % CI)</w:t>
            </w:r>
          </w:p>
        </w:tc>
        <w:tc>
          <w:tcPr>
            <w:tcW w:w="662" w:type="pct"/>
            <w:tcBorders>
              <w:top w:val="single" w:sz="4" w:space="0" w:color="000000"/>
              <w:left w:val="single" w:sz="4" w:space="0" w:color="000000"/>
              <w:bottom w:val="single" w:sz="4" w:space="0" w:color="000000"/>
              <w:right w:val="single" w:sz="4" w:space="0" w:color="000000"/>
            </w:tcBorders>
            <w:tcMar>
              <w:top w:w="28" w:type="dxa"/>
              <w:left w:w="0" w:type="dxa"/>
              <w:bottom w:w="28" w:type="dxa"/>
              <w:right w:w="0" w:type="dxa"/>
            </w:tcMar>
            <w:hideMark/>
          </w:tcPr>
          <w:p w14:paraId="0028EF05" w14:textId="77777777" w:rsidR="00D41138" w:rsidRPr="00401ECA" w:rsidRDefault="00D41138">
            <w:pPr>
              <w:pStyle w:val="Brdtekst"/>
              <w:suppressAutoHyphens/>
              <w:kinsoku w:val="0"/>
              <w:overflowPunct w:val="0"/>
              <w:ind w:left="0"/>
              <w:jc w:val="center"/>
              <w:rPr>
                <w:color w:val="000000" w:themeColor="text1"/>
                <w:sz w:val="22"/>
                <w:szCs w:val="22"/>
                <w:lang w:val="ru-RU" w:eastAsia="ru-RU"/>
              </w:rPr>
            </w:pPr>
            <w:r w:rsidRPr="00401ECA">
              <w:rPr>
                <w:b/>
                <w:i/>
                <w:color w:val="000000" w:themeColor="text1"/>
                <w:sz w:val="22"/>
                <w:szCs w:val="22"/>
                <w:lang w:val="ru-RU" w:eastAsia="ru-RU"/>
              </w:rPr>
              <w:t>P-</w:t>
            </w:r>
            <w:r w:rsidRPr="00401ECA">
              <w:rPr>
                <w:b/>
                <w:color w:val="000000" w:themeColor="text1"/>
                <w:sz w:val="22"/>
                <w:szCs w:val="22"/>
                <w:lang w:val="ru-RU" w:eastAsia="ru-RU"/>
              </w:rPr>
              <w:t>værdi</w:t>
            </w:r>
          </w:p>
        </w:tc>
        <w:tc>
          <w:tcPr>
            <w:tcW w:w="1065" w:type="pct"/>
            <w:tcBorders>
              <w:top w:val="single" w:sz="4" w:space="0" w:color="000000"/>
              <w:left w:val="single" w:sz="4" w:space="0" w:color="000000"/>
              <w:bottom w:val="single" w:sz="4" w:space="0" w:color="000000"/>
              <w:right w:val="single" w:sz="4" w:space="0" w:color="000000"/>
            </w:tcBorders>
            <w:tcMar>
              <w:top w:w="28" w:type="dxa"/>
              <w:left w:w="0" w:type="dxa"/>
              <w:bottom w:w="28" w:type="dxa"/>
              <w:right w:w="0" w:type="dxa"/>
            </w:tcMar>
            <w:hideMark/>
          </w:tcPr>
          <w:p w14:paraId="3D66325D" w14:textId="77777777" w:rsidR="00D41138" w:rsidRPr="00401ECA" w:rsidRDefault="00D41138">
            <w:pPr>
              <w:pStyle w:val="Brdtekst"/>
              <w:suppressAutoHyphens/>
              <w:kinsoku w:val="0"/>
              <w:overflowPunct w:val="0"/>
              <w:ind w:left="0"/>
              <w:jc w:val="center"/>
              <w:rPr>
                <w:color w:val="000000" w:themeColor="text1"/>
                <w:sz w:val="22"/>
                <w:szCs w:val="22"/>
                <w:lang w:val="ru-RU" w:eastAsia="ru-RU"/>
              </w:rPr>
            </w:pPr>
            <w:r w:rsidRPr="00401ECA">
              <w:rPr>
                <w:b/>
                <w:color w:val="000000" w:themeColor="text1"/>
                <w:sz w:val="22"/>
                <w:szCs w:val="22"/>
                <w:lang w:val="ru-RU" w:eastAsia="ru-RU"/>
              </w:rPr>
              <w:t>Behandlingsforskel</w:t>
            </w:r>
            <w:r w:rsidRPr="00401ECA">
              <w:rPr>
                <w:b/>
                <w:color w:val="000000" w:themeColor="text1"/>
                <w:sz w:val="22"/>
                <w:szCs w:val="22"/>
                <w:vertAlign w:val="superscript"/>
                <w:lang w:val="ru-RU" w:eastAsia="ru-RU"/>
              </w:rPr>
              <w:t>a</w:t>
            </w:r>
          </w:p>
          <w:p w14:paraId="14A6DF53" w14:textId="77777777" w:rsidR="00D41138" w:rsidRPr="00401ECA" w:rsidRDefault="00D41138">
            <w:pPr>
              <w:pStyle w:val="Brdtekst"/>
              <w:suppressAutoHyphens/>
              <w:kinsoku w:val="0"/>
              <w:overflowPunct w:val="0"/>
              <w:ind w:left="0"/>
              <w:jc w:val="center"/>
              <w:rPr>
                <w:color w:val="000000" w:themeColor="text1"/>
                <w:sz w:val="22"/>
                <w:szCs w:val="22"/>
                <w:lang w:val="ru-RU" w:eastAsia="ru-RU"/>
              </w:rPr>
            </w:pPr>
            <w:r w:rsidRPr="00401ECA">
              <w:rPr>
                <w:b/>
                <w:color w:val="000000" w:themeColor="text1"/>
                <w:sz w:val="22"/>
                <w:szCs w:val="22"/>
                <w:lang w:val="ru-RU" w:eastAsia="ru-RU"/>
              </w:rPr>
              <w:t>(95 % CI)</w:t>
            </w:r>
          </w:p>
        </w:tc>
        <w:tc>
          <w:tcPr>
            <w:tcW w:w="797" w:type="pct"/>
            <w:tcBorders>
              <w:top w:val="single" w:sz="4" w:space="0" w:color="000000"/>
              <w:left w:val="single" w:sz="4" w:space="0" w:color="000000"/>
              <w:bottom w:val="single" w:sz="4" w:space="0" w:color="000000"/>
              <w:right w:val="single" w:sz="4" w:space="0" w:color="000000"/>
            </w:tcBorders>
            <w:tcMar>
              <w:top w:w="28" w:type="dxa"/>
              <w:left w:w="0" w:type="dxa"/>
              <w:bottom w:w="28" w:type="dxa"/>
              <w:right w:w="0" w:type="dxa"/>
            </w:tcMar>
            <w:hideMark/>
          </w:tcPr>
          <w:p w14:paraId="60D2243B" w14:textId="77777777" w:rsidR="00D41138" w:rsidRPr="00401ECA" w:rsidRDefault="00D41138">
            <w:pPr>
              <w:pStyle w:val="Brdtekst"/>
              <w:suppressAutoHyphens/>
              <w:kinsoku w:val="0"/>
              <w:overflowPunct w:val="0"/>
              <w:ind w:left="0"/>
              <w:jc w:val="center"/>
              <w:rPr>
                <w:color w:val="000000" w:themeColor="text1"/>
                <w:sz w:val="22"/>
                <w:szCs w:val="22"/>
                <w:lang w:val="ru-RU" w:eastAsia="ru-RU"/>
              </w:rPr>
            </w:pPr>
            <w:r w:rsidRPr="00401ECA">
              <w:rPr>
                <w:b/>
                <w:i/>
                <w:color w:val="000000" w:themeColor="text1"/>
                <w:sz w:val="22"/>
                <w:szCs w:val="22"/>
                <w:lang w:val="ru-RU" w:eastAsia="ru-RU"/>
              </w:rPr>
              <w:t>P-</w:t>
            </w:r>
            <w:r w:rsidRPr="00401ECA">
              <w:rPr>
                <w:b/>
                <w:color w:val="000000" w:themeColor="text1"/>
                <w:sz w:val="22"/>
                <w:szCs w:val="22"/>
                <w:lang w:val="ru-RU" w:eastAsia="ru-RU"/>
              </w:rPr>
              <w:t>værdi</w:t>
            </w:r>
          </w:p>
        </w:tc>
      </w:tr>
      <w:tr w:rsidR="00D41138" w:rsidRPr="00401ECA" w14:paraId="619EBE54" w14:textId="77777777" w:rsidTr="00F526B8">
        <w:trPr>
          <w:trHeight w:val="227"/>
        </w:trPr>
        <w:tc>
          <w:tcPr>
            <w:tcW w:w="5000" w:type="pct"/>
            <w:gridSpan w:val="5"/>
            <w:tcBorders>
              <w:top w:val="single" w:sz="4" w:space="0" w:color="000000"/>
              <w:left w:val="single" w:sz="4" w:space="0" w:color="000000"/>
              <w:bottom w:val="single" w:sz="4" w:space="0" w:color="000000"/>
              <w:right w:val="single" w:sz="4" w:space="0" w:color="000000"/>
            </w:tcBorders>
            <w:tcMar>
              <w:top w:w="28" w:type="dxa"/>
              <w:left w:w="0" w:type="dxa"/>
              <w:bottom w:w="28" w:type="dxa"/>
              <w:right w:w="0" w:type="dxa"/>
            </w:tcMar>
            <w:hideMark/>
          </w:tcPr>
          <w:p w14:paraId="2FAB81C9" w14:textId="77777777" w:rsidR="00D41138" w:rsidRPr="00401ECA" w:rsidRDefault="00D41138">
            <w:pPr>
              <w:pStyle w:val="Brdtekst"/>
              <w:suppressAutoHyphens/>
              <w:kinsoku w:val="0"/>
              <w:overflowPunct w:val="0"/>
              <w:rPr>
                <w:color w:val="000000" w:themeColor="text1"/>
                <w:sz w:val="22"/>
                <w:szCs w:val="22"/>
                <w:lang w:val="ru-RU" w:eastAsia="ru-RU"/>
              </w:rPr>
            </w:pPr>
            <w:r w:rsidRPr="00401ECA">
              <w:rPr>
                <w:b/>
                <w:color w:val="000000" w:themeColor="text1"/>
                <w:sz w:val="22"/>
                <w:szCs w:val="22"/>
                <w:lang w:val="ru-RU" w:eastAsia="ru-RU"/>
              </w:rPr>
              <w:t xml:space="preserve">Gennemsnitlig absolut ændring fra </w:t>
            </w:r>
            <w:r w:rsidRPr="00401ECA">
              <w:rPr>
                <w:b/>
                <w:i/>
                <w:color w:val="000000" w:themeColor="text1"/>
                <w:sz w:val="22"/>
                <w:szCs w:val="22"/>
                <w:lang w:val="ru-RU" w:eastAsia="ru-RU"/>
              </w:rPr>
              <w:t>baseline</w:t>
            </w:r>
            <w:r w:rsidRPr="00401ECA">
              <w:rPr>
                <w:b/>
                <w:color w:val="000000" w:themeColor="text1"/>
                <w:sz w:val="22"/>
                <w:szCs w:val="22"/>
                <w:lang w:val="ru-RU" w:eastAsia="ru-RU"/>
              </w:rPr>
              <w:t xml:space="preserve"> i CFQ-R</w:t>
            </w:r>
            <w:r w:rsidRPr="00401ECA">
              <w:rPr>
                <w:b/>
                <w:color w:val="000000" w:themeColor="text1"/>
                <w:sz w:val="22"/>
                <w:szCs w:val="22"/>
                <w:vertAlign w:val="superscript"/>
                <w:lang w:val="ru-RU" w:eastAsia="ru-RU"/>
              </w:rPr>
              <w:t>b</w:t>
            </w:r>
            <w:r w:rsidRPr="00401ECA">
              <w:rPr>
                <w:b/>
                <w:color w:val="000000" w:themeColor="text1"/>
                <w:sz w:val="22"/>
                <w:szCs w:val="22"/>
                <w:lang w:val="ru-RU" w:eastAsia="ru-RU"/>
              </w:rPr>
              <w:t xml:space="preserve"> respiratory domain score (points)</w:t>
            </w:r>
            <w:r w:rsidRPr="00401ECA">
              <w:rPr>
                <w:b/>
                <w:color w:val="000000" w:themeColor="text1"/>
                <w:sz w:val="22"/>
                <w:szCs w:val="22"/>
                <w:vertAlign w:val="superscript"/>
                <w:lang w:val="ru-RU" w:eastAsia="ru-RU"/>
              </w:rPr>
              <w:t>c</w:t>
            </w:r>
            <w:r w:rsidRPr="00401ECA">
              <w:rPr>
                <w:b/>
                <w:i/>
                <w:color w:val="000000" w:themeColor="text1"/>
                <w:sz w:val="22"/>
                <w:szCs w:val="22"/>
                <w:lang w:val="ru-RU" w:eastAsia="ru-RU"/>
              </w:rPr>
              <w:t xml:space="preserve"> </w:t>
            </w:r>
          </w:p>
        </w:tc>
      </w:tr>
      <w:tr w:rsidR="00D41138" w:rsidRPr="00401ECA" w14:paraId="72EB0743" w14:textId="77777777" w:rsidTr="00F526B8">
        <w:trPr>
          <w:trHeight w:val="227"/>
        </w:trPr>
        <w:tc>
          <w:tcPr>
            <w:tcW w:w="1412" w:type="pct"/>
            <w:tcBorders>
              <w:top w:val="single" w:sz="4" w:space="0" w:color="000000"/>
              <w:left w:val="single" w:sz="4" w:space="0" w:color="000000"/>
              <w:bottom w:val="single" w:sz="4" w:space="0" w:color="000000"/>
              <w:right w:val="single" w:sz="4" w:space="0" w:color="000000"/>
            </w:tcBorders>
            <w:tcMar>
              <w:top w:w="28" w:type="dxa"/>
              <w:left w:w="0" w:type="dxa"/>
              <w:bottom w:w="28" w:type="dxa"/>
              <w:right w:w="0" w:type="dxa"/>
            </w:tcMar>
            <w:hideMark/>
          </w:tcPr>
          <w:p w14:paraId="21F89334" w14:textId="77777777" w:rsidR="00D41138" w:rsidRPr="00401ECA" w:rsidRDefault="00D41138">
            <w:pPr>
              <w:pStyle w:val="Brdtekst"/>
              <w:suppressAutoHyphens/>
              <w:kinsoku w:val="0"/>
              <w:overflowPunct w:val="0"/>
              <w:rPr>
                <w:color w:val="000000" w:themeColor="text1"/>
                <w:sz w:val="22"/>
                <w:szCs w:val="22"/>
                <w:lang w:val="ru-RU" w:eastAsia="ru-RU"/>
              </w:rPr>
            </w:pPr>
            <w:r w:rsidRPr="00401ECA">
              <w:rPr>
                <w:color w:val="000000" w:themeColor="text1"/>
                <w:sz w:val="22"/>
                <w:szCs w:val="22"/>
                <w:lang w:val="ru-RU" w:eastAsia="ru-RU"/>
              </w:rPr>
              <w:t xml:space="preserve">Til og med uge 24 </w:t>
            </w:r>
          </w:p>
        </w:tc>
        <w:tc>
          <w:tcPr>
            <w:tcW w:w="1065" w:type="pct"/>
            <w:tcBorders>
              <w:top w:val="single" w:sz="4" w:space="0" w:color="000000"/>
              <w:left w:val="single" w:sz="4" w:space="0" w:color="000000"/>
              <w:bottom w:val="single" w:sz="4" w:space="0" w:color="000000"/>
              <w:right w:val="single" w:sz="4" w:space="0" w:color="000000"/>
            </w:tcBorders>
            <w:tcMar>
              <w:top w:w="28" w:type="dxa"/>
              <w:left w:w="0" w:type="dxa"/>
              <w:bottom w:w="28" w:type="dxa"/>
              <w:right w:w="0" w:type="dxa"/>
            </w:tcMar>
            <w:hideMark/>
          </w:tcPr>
          <w:p w14:paraId="583400F0" w14:textId="77777777" w:rsidR="00D41138" w:rsidRPr="00401ECA" w:rsidRDefault="00D41138">
            <w:pPr>
              <w:pStyle w:val="Brdtekst"/>
              <w:suppressAutoHyphens/>
              <w:kinsoku w:val="0"/>
              <w:overflowPunct w:val="0"/>
              <w:ind w:left="0"/>
              <w:jc w:val="center"/>
              <w:rPr>
                <w:color w:val="000000" w:themeColor="text1"/>
                <w:sz w:val="22"/>
                <w:szCs w:val="22"/>
                <w:lang w:val="ru-RU" w:eastAsia="ru-RU"/>
              </w:rPr>
            </w:pPr>
            <w:r w:rsidRPr="00401ECA">
              <w:rPr>
                <w:color w:val="000000" w:themeColor="text1"/>
                <w:sz w:val="22"/>
                <w:szCs w:val="22"/>
                <w:lang w:val="ru-RU" w:eastAsia="ru-RU"/>
              </w:rPr>
              <w:t>8,1</w:t>
            </w:r>
          </w:p>
          <w:p w14:paraId="5E14E93A" w14:textId="77777777" w:rsidR="00D41138" w:rsidRPr="00401ECA" w:rsidRDefault="00D41138">
            <w:pPr>
              <w:pStyle w:val="Brdtekst"/>
              <w:suppressAutoHyphens/>
              <w:kinsoku w:val="0"/>
              <w:overflowPunct w:val="0"/>
              <w:ind w:left="0"/>
              <w:jc w:val="center"/>
              <w:rPr>
                <w:color w:val="000000" w:themeColor="text1"/>
                <w:sz w:val="22"/>
                <w:szCs w:val="22"/>
                <w:lang w:val="ru-RU" w:eastAsia="ru-RU"/>
              </w:rPr>
            </w:pPr>
            <w:r w:rsidRPr="00401ECA">
              <w:rPr>
                <w:color w:val="000000" w:themeColor="text1"/>
                <w:sz w:val="22"/>
                <w:szCs w:val="22"/>
                <w:lang w:val="ru-RU" w:eastAsia="ru-RU"/>
              </w:rPr>
              <w:t>(4,7; 11,4)</w:t>
            </w:r>
          </w:p>
        </w:tc>
        <w:tc>
          <w:tcPr>
            <w:tcW w:w="662" w:type="pct"/>
            <w:tcBorders>
              <w:top w:val="single" w:sz="4" w:space="0" w:color="000000"/>
              <w:left w:val="single" w:sz="4" w:space="0" w:color="000000"/>
              <w:bottom w:val="single" w:sz="4" w:space="0" w:color="000000"/>
              <w:right w:val="single" w:sz="4" w:space="0" w:color="000000"/>
            </w:tcBorders>
            <w:tcMar>
              <w:top w:w="28" w:type="dxa"/>
              <w:left w:w="0" w:type="dxa"/>
              <w:bottom w:w="28" w:type="dxa"/>
              <w:right w:w="0" w:type="dxa"/>
            </w:tcMar>
            <w:hideMark/>
          </w:tcPr>
          <w:p w14:paraId="63444171" w14:textId="77777777" w:rsidR="00D41138" w:rsidRPr="00401ECA" w:rsidRDefault="00D41138">
            <w:pPr>
              <w:pStyle w:val="Brdtekst"/>
              <w:suppressAutoHyphens/>
              <w:kinsoku w:val="0"/>
              <w:overflowPunct w:val="0"/>
              <w:ind w:left="0"/>
              <w:jc w:val="center"/>
              <w:rPr>
                <w:color w:val="000000" w:themeColor="text1"/>
                <w:sz w:val="22"/>
                <w:szCs w:val="22"/>
                <w:lang w:val="ru-RU" w:eastAsia="ru-RU"/>
              </w:rPr>
            </w:pPr>
            <w:r w:rsidRPr="00401ECA">
              <w:rPr>
                <w:color w:val="000000" w:themeColor="text1"/>
                <w:sz w:val="22"/>
                <w:szCs w:val="22"/>
                <w:lang w:val="ru-RU" w:eastAsia="ru-RU"/>
              </w:rPr>
              <w:t>&lt;0,0001</w:t>
            </w:r>
          </w:p>
        </w:tc>
        <w:tc>
          <w:tcPr>
            <w:tcW w:w="1065" w:type="pct"/>
            <w:tcBorders>
              <w:top w:val="single" w:sz="4" w:space="0" w:color="000000"/>
              <w:left w:val="single" w:sz="4" w:space="0" w:color="000000"/>
              <w:bottom w:val="single" w:sz="4" w:space="0" w:color="000000"/>
              <w:right w:val="single" w:sz="4" w:space="0" w:color="000000"/>
            </w:tcBorders>
            <w:tcMar>
              <w:top w:w="28" w:type="dxa"/>
              <w:left w:w="0" w:type="dxa"/>
              <w:bottom w:w="28" w:type="dxa"/>
              <w:right w:w="0" w:type="dxa"/>
            </w:tcMar>
            <w:hideMark/>
          </w:tcPr>
          <w:p w14:paraId="4C8F710E" w14:textId="77777777" w:rsidR="00D41138" w:rsidRPr="00401ECA" w:rsidRDefault="00D41138">
            <w:pPr>
              <w:pStyle w:val="Brdtekst"/>
              <w:suppressAutoHyphens/>
              <w:kinsoku w:val="0"/>
              <w:overflowPunct w:val="0"/>
              <w:ind w:left="0"/>
              <w:jc w:val="center"/>
              <w:rPr>
                <w:color w:val="000000" w:themeColor="text1"/>
                <w:sz w:val="22"/>
                <w:szCs w:val="22"/>
                <w:lang w:val="ru-RU" w:eastAsia="ru-RU"/>
              </w:rPr>
            </w:pPr>
            <w:r w:rsidRPr="00401ECA">
              <w:rPr>
                <w:color w:val="000000" w:themeColor="text1"/>
                <w:sz w:val="22"/>
                <w:szCs w:val="22"/>
                <w:lang w:val="ru-RU" w:eastAsia="ru-RU"/>
              </w:rPr>
              <w:t>6,1</w:t>
            </w:r>
          </w:p>
          <w:p w14:paraId="35F0FA3B" w14:textId="77777777" w:rsidR="00D41138" w:rsidRPr="00401ECA" w:rsidRDefault="00D41138">
            <w:pPr>
              <w:pStyle w:val="Brdtekst"/>
              <w:suppressAutoHyphens/>
              <w:kinsoku w:val="0"/>
              <w:overflowPunct w:val="0"/>
              <w:ind w:left="0"/>
              <w:jc w:val="center"/>
              <w:rPr>
                <w:color w:val="000000" w:themeColor="text1"/>
                <w:sz w:val="22"/>
                <w:szCs w:val="22"/>
                <w:lang w:val="ru-RU" w:eastAsia="ru-RU"/>
              </w:rPr>
            </w:pPr>
            <w:r w:rsidRPr="00401ECA">
              <w:rPr>
                <w:color w:val="000000" w:themeColor="text1"/>
                <w:sz w:val="22"/>
                <w:szCs w:val="22"/>
                <w:lang w:val="ru-RU" w:eastAsia="ru-RU"/>
              </w:rPr>
              <w:t>(-1,4; 13,5)</w:t>
            </w:r>
          </w:p>
        </w:tc>
        <w:tc>
          <w:tcPr>
            <w:tcW w:w="797" w:type="pct"/>
            <w:tcBorders>
              <w:top w:val="single" w:sz="4" w:space="0" w:color="000000"/>
              <w:left w:val="single" w:sz="4" w:space="0" w:color="000000"/>
              <w:bottom w:val="single" w:sz="4" w:space="0" w:color="000000"/>
              <w:right w:val="single" w:sz="4" w:space="0" w:color="000000"/>
            </w:tcBorders>
            <w:tcMar>
              <w:top w:w="28" w:type="dxa"/>
              <w:left w:w="0" w:type="dxa"/>
              <w:bottom w:w="28" w:type="dxa"/>
              <w:right w:w="0" w:type="dxa"/>
            </w:tcMar>
            <w:hideMark/>
          </w:tcPr>
          <w:p w14:paraId="78BC8298" w14:textId="77777777" w:rsidR="00D41138" w:rsidRPr="00401ECA" w:rsidRDefault="00D41138">
            <w:pPr>
              <w:pStyle w:val="Brdtekst"/>
              <w:suppressAutoHyphens/>
              <w:kinsoku w:val="0"/>
              <w:overflowPunct w:val="0"/>
              <w:ind w:left="0"/>
              <w:jc w:val="center"/>
              <w:rPr>
                <w:color w:val="000000" w:themeColor="text1"/>
                <w:sz w:val="22"/>
                <w:szCs w:val="22"/>
                <w:lang w:val="ru-RU" w:eastAsia="ru-RU"/>
              </w:rPr>
            </w:pPr>
            <w:r w:rsidRPr="00401ECA">
              <w:rPr>
                <w:color w:val="000000" w:themeColor="text1"/>
                <w:sz w:val="22"/>
                <w:szCs w:val="22"/>
                <w:lang w:val="ru-RU" w:eastAsia="ru-RU"/>
              </w:rPr>
              <w:t>0,1092</w:t>
            </w:r>
          </w:p>
        </w:tc>
      </w:tr>
      <w:tr w:rsidR="00D41138" w:rsidRPr="00401ECA" w14:paraId="1E950E97" w14:textId="77777777" w:rsidTr="00F526B8">
        <w:trPr>
          <w:trHeight w:val="227"/>
        </w:trPr>
        <w:tc>
          <w:tcPr>
            <w:tcW w:w="1412" w:type="pct"/>
            <w:tcBorders>
              <w:top w:val="single" w:sz="4" w:space="0" w:color="000000"/>
              <w:left w:val="single" w:sz="4" w:space="0" w:color="000000"/>
              <w:bottom w:val="single" w:sz="4" w:space="0" w:color="000000"/>
              <w:right w:val="single" w:sz="4" w:space="0" w:color="000000"/>
            </w:tcBorders>
            <w:tcMar>
              <w:top w:w="28" w:type="dxa"/>
              <w:left w:w="0" w:type="dxa"/>
              <w:bottom w:w="28" w:type="dxa"/>
              <w:right w:w="0" w:type="dxa"/>
            </w:tcMar>
            <w:hideMark/>
          </w:tcPr>
          <w:p w14:paraId="3D8293E5" w14:textId="77777777" w:rsidR="00D41138" w:rsidRPr="00401ECA" w:rsidRDefault="00D41138">
            <w:pPr>
              <w:pStyle w:val="Brdtekst"/>
              <w:suppressAutoHyphens/>
              <w:kinsoku w:val="0"/>
              <w:overflowPunct w:val="0"/>
              <w:rPr>
                <w:color w:val="000000" w:themeColor="text1"/>
                <w:sz w:val="22"/>
                <w:szCs w:val="22"/>
                <w:lang w:val="ru-RU" w:eastAsia="ru-RU"/>
              </w:rPr>
            </w:pPr>
            <w:r w:rsidRPr="00401ECA">
              <w:rPr>
                <w:color w:val="000000" w:themeColor="text1"/>
                <w:sz w:val="22"/>
                <w:szCs w:val="22"/>
                <w:lang w:val="ru-RU" w:eastAsia="ru-RU"/>
              </w:rPr>
              <w:t xml:space="preserve">Til og med uge 48 </w:t>
            </w:r>
          </w:p>
        </w:tc>
        <w:tc>
          <w:tcPr>
            <w:tcW w:w="1065" w:type="pct"/>
            <w:tcBorders>
              <w:top w:val="single" w:sz="4" w:space="0" w:color="000000"/>
              <w:left w:val="single" w:sz="4" w:space="0" w:color="000000"/>
              <w:bottom w:val="single" w:sz="4" w:space="0" w:color="000000"/>
              <w:right w:val="single" w:sz="4" w:space="0" w:color="000000"/>
            </w:tcBorders>
            <w:tcMar>
              <w:top w:w="28" w:type="dxa"/>
              <w:left w:w="0" w:type="dxa"/>
              <w:bottom w:w="28" w:type="dxa"/>
              <w:right w:w="0" w:type="dxa"/>
            </w:tcMar>
            <w:hideMark/>
          </w:tcPr>
          <w:p w14:paraId="55708A16" w14:textId="77777777" w:rsidR="00D41138" w:rsidRPr="00401ECA" w:rsidRDefault="00D41138">
            <w:pPr>
              <w:pStyle w:val="Brdtekst"/>
              <w:suppressAutoHyphens/>
              <w:kinsoku w:val="0"/>
              <w:overflowPunct w:val="0"/>
              <w:ind w:left="0"/>
              <w:jc w:val="center"/>
              <w:rPr>
                <w:color w:val="000000" w:themeColor="text1"/>
                <w:sz w:val="22"/>
                <w:szCs w:val="22"/>
                <w:lang w:val="ru-RU" w:eastAsia="ru-RU"/>
              </w:rPr>
            </w:pPr>
            <w:r w:rsidRPr="00401ECA">
              <w:rPr>
                <w:color w:val="000000" w:themeColor="text1"/>
                <w:sz w:val="22"/>
                <w:szCs w:val="22"/>
                <w:lang w:val="ru-RU" w:eastAsia="ru-RU"/>
              </w:rPr>
              <w:t>8,6</w:t>
            </w:r>
          </w:p>
          <w:p w14:paraId="596E5C49" w14:textId="77777777" w:rsidR="00D41138" w:rsidRPr="00401ECA" w:rsidRDefault="00D41138">
            <w:pPr>
              <w:pStyle w:val="Brdtekst"/>
              <w:suppressAutoHyphens/>
              <w:kinsoku w:val="0"/>
              <w:overflowPunct w:val="0"/>
              <w:ind w:left="0"/>
              <w:jc w:val="center"/>
              <w:rPr>
                <w:color w:val="000000" w:themeColor="text1"/>
                <w:sz w:val="22"/>
                <w:szCs w:val="22"/>
                <w:lang w:val="ru-RU" w:eastAsia="ru-RU"/>
              </w:rPr>
            </w:pPr>
            <w:r w:rsidRPr="00401ECA">
              <w:rPr>
                <w:color w:val="000000" w:themeColor="text1"/>
                <w:sz w:val="22"/>
                <w:szCs w:val="22"/>
                <w:lang w:val="ru-RU" w:eastAsia="ru-RU"/>
              </w:rPr>
              <w:t>(5,3; 11,9)</w:t>
            </w:r>
          </w:p>
        </w:tc>
        <w:tc>
          <w:tcPr>
            <w:tcW w:w="662" w:type="pct"/>
            <w:tcBorders>
              <w:top w:val="single" w:sz="4" w:space="0" w:color="000000"/>
              <w:left w:val="single" w:sz="4" w:space="0" w:color="000000"/>
              <w:bottom w:val="single" w:sz="4" w:space="0" w:color="000000"/>
              <w:right w:val="single" w:sz="4" w:space="0" w:color="000000"/>
            </w:tcBorders>
            <w:tcMar>
              <w:top w:w="28" w:type="dxa"/>
              <w:left w:w="0" w:type="dxa"/>
              <w:bottom w:w="28" w:type="dxa"/>
              <w:right w:w="0" w:type="dxa"/>
            </w:tcMar>
            <w:hideMark/>
          </w:tcPr>
          <w:p w14:paraId="79D744BE" w14:textId="77777777" w:rsidR="00D41138" w:rsidRPr="00401ECA" w:rsidRDefault="00D41138">
            <w:pPr>
              <w:pStyle w:val="Brdtekst"/>
              <w:suppressAutoHyphens/>
              <w:kinsoku w:val="0"/>
              <w:overflowPunct w:val="0"/>
              <w:ind w:left="0"/>
              <w:jc w:val="center"/>
              <w:rPr>
                <w:color w:val="000000" w:themeColor="text1"/>
                <w:sz w:val="22"/>
                <w:szCs w:val="22"/>
                <w:lang w:val="ru-RU" w:eastAsia="ru-RU"/>
              </w:rPr>
            </w:pPr>
            <w:r w:rsidRPr="00401ECA">
              <w:rPr>
                <w:color w:val="000000" w:themeColor="text1"/>
                <w:sz w:val="22"/>
                <w:szCs w:val="22"/>
                <w:lang w:val="ru-RU" w:eastAsia="ru-RU"/>
              </w:rPr>
              <w:t>&lt;0,0001</w:t>
            </w:r>
          </w:p>
        </w:tc>
        <w:tc>
          <w:tcPr>
            <w:tcW w:w="1065" w:type="pct"/>
            <w:tcBorders>
              <w:top w:val="single" w:sz="4" w:space="0" w:color="000000"/>
              <w:left w:val="single" w:sz="4" w:space="0" w:color="000000"/>
              <w:bottom w:val="single" w:sz="4" w:space="0" w:color="000000"/>
              <w:right w:val="single" w:sz="4" w:space="0" w:color="000000"/>
            </w:tcBorders>
            <w:tcMar>
              <w:top w:w="28" w:type="dxa"/>
              <w:left w:w="0" w:type="dxa"/>
              <w:bottom w:w="28" w:type="dxa"/>
              <w:right w:w="0" w:type="dxa"/>
            </w:tcMar>
            <w:hideMark/>
          </w:tcPr>
          <w:p w14:paraId="52752043" w14:textId="77777777" w:rsidR="00D41138" w:rsidRPr="00401ECA" w:rsidRDefault="00D41138">
            <w:pPr>
              <w:pStyle w:val="Brdtekst"/>
              <w:suppressAutoHyphens/>
              <w:kinsoku w:val="0"/>
              <w:overflowPunct w:val="0"/>
              <w:ind w:left="0"/>
              <w:jc w:val="center"/>
              <w:rPr>
                <w:color w:val="000000" w:themeColor="text1"/>
                <w:sz w:val="22"/>
                <w:szCs w:val="22"/>
                <w:lang w:val="ru-RU" w:eastAsia="ru-RU"/>
              </w:rPr>
            </w:pPr>
            <w:r w:rsidRPr="00401ECA">
              <w:rPr>
                <w:color w:val="000000" w:themeColor="text1"/>
                <w:sz w:val="22"/>
                <w:szCs w:val="22"/>
                <w:lang w:val="ru-RU" w:eastAsia="ru-RU"/>
              </w:rPr>
              <w:t>5,1</w:t>
            </w:r>
          </w:p>
          <w:p w14:paraId="72639243" w14:textId="77777777" w:rsidR="00D41138" w:rsidRPr="00401ECA" w:rsidRDefault="00D41138">
            <w:pPr>
              <w:pStyle w:val="Brdtekst"/>
              <w:suppressAutoHyphens/>
              <w:kinsoku w:val="0"/>
              <w:overflowPunct w:val="0"/>
              <w:ind w:left="0"/>
              <w:jc w:val="center"/>
              <w:rPr>
                <w:color w:val="000000" w:themeColor="text1"/>
                <w:sz w:val="22"/>
                <w:szCs w:val="22"/>
                <w:lang w:val="ru-RU" w:eastAsia="ru-RU"/>
              </w:rPr>
            </w:pPr>
            <w:r w:rsidRPr="00401ECA">
              <w:rPr>
                <w:color w:val="000000" w:themeColor="text1"/>
                <w:sz w:val="22"/>
                <w:szCs w:val="22"/>
                <w:lang w:val="ru-RU" w:eastAsia="ru-RU"/>
              </w:rPr>
              <w:t>(-1,6;11,8)</w:t>
            </w:r>
          </w:p>
        </w:tc>
        <w:tc>
          <w:tcPr>
            <w:tcW w:w="797" w:type="pct"/>
            <w:tcBorders>
              <w:top w:val="single" w:sz="4" w:space="0" w:color="000000"/>
              <w:left w:val="single" w:sz="4" w:space="0" w:color="000000"/>
              <w:bottom w:val="single" w:sz="4" w:space="0" w:color="000000"/>
              <w:right w:val="single" w:sz="4" w:space="0" w:color="000000"/>
            </w:tcBorders>
            <w:tcMar>
              <w:top w:w="28" w:type="dxa"/>
              <w:left w:w="0" w:type="dxa"/>
              <w:bottom w:w="28" w:type="dxa"/>
              <w:right w:w="0" w:type="dxa"/>
            </w:tcMar>
            <w:hideMark/>
          </w:tcPr>
          <w:p w14:paraId="70EF1211" w14:textId="77777777" w:rsidR="00D41138" w:rsidRPr="00401ECA" w:rsidRDefault="00D41138">
            <w:pPr>
              <w:pStyle w:val="Brdtekst"/>
              <w:suppressAutoHyphens/>
              <w:kinsoku w:val="0"/>
              <w:overflowPunct w:val="0"/>
              <w:ind w:left="0"/>
              <w:jc w:val="center"/>
              <w:rPr>
                <w:color w:val="000000" w:themeColor="text1"/>
                <w:sz w:val="22"/>
                <w:szCs w:val="22"/>
                <w:lang w:val="ru-RU" w:eastAsia="ru-RU"/>
              </w:rPr>
            </w:pPr>
            <w:r w:rsidRPr="00401ECA">
              <w:rPr>
                <w:color w:val="000000" w:themeColor="text1"/>
                <w:sz w:val="22"/>
                <w:szCs w:val="22"/>
                <w:lang w:val="ru-RU" w:eastAsia="ru-RU"/>
              </w:rPr>
              <w:t>0,1354</w:t>
            </w:r>
          </w:p>
        </w:tc>
      </w:tr>
      <w:tr w:rsidR="00D41138" w:rsidRPr="00401ECA" w14:paraId="352F9747" w14:textId="77777777" w:rsidTr="00F526B8">
        <w:trPr>
          <w:trHeight w:val="227"/>
        </w:trPr>
        <w:tc>
          <w:tcPr>
            <w:tcW w:w="5000" w:type="pct"/>
            <w:gridSpan w:val="5"/>
            <w:tcBorders>
              <w:top w:val="single" w:sz="4" w:space="0" w:color="000000"/>
              <w:left w:val="single" w:sz="4" w:space="0" w:color="000000"/>
              <w:bottom w:val="single" w:sz="4" w:space="0" w:color="000000"/>
              <w:right w:val="single" w:sz="4" w:space="0" w:color="000000"/>
            </w:tcBorders>
            <w:tcMar>
              <w:top w:w="28" w:type="dxa"/>
              <w:left w:w="0" w:type="dxa"/>
              <w:bottom w:w="28" w:type="dxa"/>
              <w:right w:w="0" w:type="dxa"/>
            </w:tcMar>
            <w:hideMark/>
          </w:tcPr>
          <w:p w14:paraId="575D666F" w14:textId="77777777" w:rsidR="00D41138" w:rsidRPr="00401ECA" w:rsidRDefault="00D41138">
            <w:pPr>
              <w:pStyle w:val="Brdtekst"/>
              <w:suppressAutoHyphens/>
              <w:kinsoku w:val="0"/>
              <w:overflowPunct w:val="0"/>
              <w:rPr>
                <w:color w:val="000000" w:themeColor="text1"/>
                <w:sz w:val="22"/>
                <w:szCs w:val="22"/>
                <w:lang w:val="ru-RU" w:eastAsia="ru-RU"/>
              </w:rPr>
            </w:pPr>
            <w:r w:rsidRPr="00401ECA">
              <w:rPr>
                <w:b/>
                <w:color w:val="000000" w:themeColor="text1"/>
                <w:sz w:val="22"/>
                <w:szCs w:val="22"/>
                <w:lang w:val="ru-RU" w:eastAsia="ru-RU"/>
              </w:rPr>
              <w:t xml:space="preserve">Relativ risiko for exacerbation </w:t>
            </w:r>
          </w:p>
        </w:tc>
      </w:tr>
      <w:tr w:rsidR="00D41138" w:rsidRPr="00401ECA" w14:paraId="4F016B6B" w14:textId="77777777" w:rsidTr="00F526B8">
        <w:trPr>
          <w:trHeight w:val="227"/>
        </w:trPr>
        <w:tc>
          <w:tcPr>
            <w:tcW w:w="1412" w:type="pct"/>
            <w:tcBorders>
              <w:top w:val="single" w:sz="4" w:space="0" w:color="000000"/>
              <w:left w:val="single" w:sz="4" w:space="0" w:color="000000"/>
              <w:bottom w:val="single" w:sz="4" w:space="0" w:color="000000"/>
              <w:right w:val="single" w:sz="4" w:space="0" w:color="000000"/>
            </w:tcBorders>
            <w:tcMar>
              <w:top w:w="28" w:type="dxa"/>
              <w:left w:w="0" w:type="dxa"/>
              <w:bottom w:w="28" w:type="dxa"/>
              <w:right w:w="0" w:type="dxa"/>
            </w:tcMar>
            <w:hideMark/>
          </w:tcPr>
          <w:p w14:paraId="7DCB484B" w14:textId="77777777" w:rsidR="00D41138" w:rsidRPr="00401ECA" w:rsidRDefault="00D41138">
            <w:pPr>
              <w:pStyle w:val="Brdtekst"/>
              <w:suppressAutoHyphens/>
              <w:kinsoku w:val="0"/>
              <w:overflowPunct w:val="0"/>
              <w:rPr>
                <w:color w:val="000000" w:themeColor="text1"/>
                <w:sz w:val="22"/>
                <w:szCs w:val="22"/>
                <w:lang w:val="ru-RU" w:eastAsia="ru-RU"/>
              </w:rPr>
            </w:pPr>
            <w:r w:rsidRPr="00401ECA">
              <w:rPr>
                <w:color w:val="000000" w:themeColor="text1"/>
                <w:sz w:val="22"/>
                <w:szCs w:val="22"/>
                <w:lang w:val="ru-RU" w:eastAsia="ru-RU"/>
              </w:rPr>
              <w:t xml:space="preserve">Til og med uge 24 </w:t>
            </w:r>
          </w:p>
        </w:tc>
        <w:tc>
          <w:tcPr>
            <w:tcW w:w="1065" w:type="pct"/>
            <w:tcBorders>
              <w:top w:val="single" w:sz="4" w:space="0" w:color="000000"/>
              <w:left w:val="single" w:sz="4" w:space="0" w:color="000000"/>
              <w:bottom w:val="single" w:sz="4" w:space="0" w:color="000000"/>
              <w:right w:val="single" w:sz="4" w:space="0" w:color="000000"/>
            </w:tcBorders>
            <w:tcMar>
              <w:top w:w="28" w:type="dxa"/>
              <w:left w:w="0" w:type="dxa"/>
              <w:bottom w:w="28" w:type="dxa"/>
              <w:right w:w="0" w:type="dxa"/>
            </w:tcMar>
            <w:hideMark/>
          </w:tcPr>
          <w:p w14:paraId="7AA16CB7" w14:textId="77777777" w:rsidR="00D41138" w:rsidRPr="00401ECA" w:rsidRDefault="00D41138">
            <w:pPr>
              <w:pStyle w:val="Brdtekst"/>
              <w:suppressAutoHyphens/>
              <w:kinsoku w:val="0"/>
              <w:overflowPunct w:val="0"/>
              <w:ind w:left="0"/>
              <w:jc w:val="center"/>
              <w:rPr>
                <w:color w:val="000000" w:themeColor="text1"/>
                <w:sz w:val="22"/>
                <w:szCs w:val="22"/>
                <w:lang w:val="ru-RU" w:eastAsia="ru-RU"/>
              </w:rPr>
            </w:pPr>
            <w:r w:rsidRPr="00401ECA">
              <w:rPr>
                <w:color w:val="000000" w:themeColor="text1"/>
                <w:sz w:val="22"/>
                <w:szCs w:val="22"/>
                <w:lang w:val="ru-RU" w:eastAsia="ru-RU"/>
              </w:rPr>
              <w:t>0,40</w:t>
            </w:r>
            <w:r w:rsidRPr="00401ECA">
              <w:rPr>
                <w:color w:val="000000" w:themeColor="text1"/>
                <w:sz w:val="22"/>
                <w:szCs w:val="22"/>
                <w:vertAlign w:val="superscript"/>
                <w:lang w:val="ru-RU" w:eastAsia="ru-RU"/>
              </w:rPr>
              <w:t>d</w:t>
            </w:r>
          </w:p>
        </w:tc>
        <w:tc>
          <w:tcPr>
            <w:tcW w:w="662" w:type="pct"/>
            <w:tcBorders>
              <w:top w:val="single" w:sz="4" w:space="0" w:color="000000"/>
              <w:left w:val="single" w:sz="4" w:space="0" w:color="000000"/>
              <w:bottom w:val="single" w:sz="4" w:space="0" w:color="000000"/>
              <w:right w:val="single" w:sz="4" w:space="0" w:color="000000"/>
            </w:tcBorders>
            <w:tcMar>
              <w:top w:w="28" w:type="dxa"/>
              <w:left w:w="0" w:type="dxa"/>
              <w:bottom w:w="28" w:type="dxa"/>
              <w:right w:w="0" w:type="dxa"/>
            </w:tcMar>
            <w:hideMark/>
          </w:tcPr>
          <w:p w14:paraId="1DD491E8" w14:textId="77777777" w:rsidR="00D41138" w:rsidRPr="00401ECA" w:rsidRDefault="00D41138">
            <w:pPr>
              <w:pStyle w:val="Brdtekst"/>
              <w:suppressAutoHyphens/>
              <w:kinsoku w:val="0"/>
              <w:overflowPunct w:val="0"/>
              <w:ind w:left="0"/>
              <w:jc w:val="center"/>
              <w:rPr>
                <w:color w:val="000000" w:themeColor="text1"/>
                <w:sz w:val="22"/>
                <w:szCs w:val="22"/>
                <w:lang w:val="ru-RU" w:eastAsia="ru-RU"/>
              </w:rPr>
            </w:pPr>
            <w:r w:rsidRPr="00401ECA">
              <w:rPr>
                <w:color w:val="000000" w:themeColor="text1"/>
                <w:sz w:val="22"/>
                <w:szCs w:val="22"/>
                <w:lang w:val="ru-RU" w:eastAsia="ru-RU"/>
              </w:rPr>
              <w:t>0,0016</w:t>
            </w:r>
          </w:p>
        </w:tc>
        <w:tc>
          <w:tcPr>
            <w:tcW w:w="1065" w:type="pct"/>
            <w:tcBorders>
              <w:top w:val="single" w:sz="4" w:space="0" w:color="000000"/>
              <w:left w:val="single" w:sz="4" w:space="0" w:color="000000"/>
              <w:bottom w:val="single" w:sz="4" w:space="0" w:color="000000"/>
              <w:right w:val="single" w:sz="4" w:space="0" w:color="000000"/>
            </w:tcBorders>
            <w:tcMar>
              <w:top w:w="28" w:type="dxa"/>
              <w:left w:w="0" w:type="dxa"/>
              <w:bottom w:w="28" w:type="dxa"/>
              <w:right w:w="0" w:type="dxa"/>
            </w:tcMar>
            <w:hideMark/>
          </w:tcPr>
          <w:p w14:paraId="7EEE3AA2" w14:textId="77777777" w:rsidR="00D41138" w:rsidRPr="00401ECA" w:rsidRDefault="00D41138">
            <w:pPr>
              <w:pStyle w:val="Brdtekst"/>
              <w:suppressAutoHyphens/>
              <w:kinsoku w:val="0"/>
              <w:overflowPunct w:val="0"/>
              <w:ind w:left="0"/>
              <w:jc w:val="center"/>
              <w:rPr>
                <w:color w:val="000000" w:themeColor="text1"/>
                <w:sz w:val="22"/>
                <w:szCs w:val="22"/>
                <w:lang w:val="ru-RU" w:eastAsia="ru-RU"/>
              </w:rPr>
            </w:pPr>
            <w:r w:rsidRPr="00401ECA">
              <w:rPr>
                <w:color w:val="000000" w:themeColor="text1"/>
                <w:sz w:val="22"/>
                <w:szCs w:val="22"/>
                <w:lang w:val="ru-RU" w:eastAsia="ru-RU"/>
              </w:rPr>
              <w:t>NA</w:t>
            </w:r>
          </w:p>
        </w:tc>
        <w:tc>
          <w:tcPr>
            <w:tcW w:w="797" w:type="pct"/>
            <w:tcBorders>
              <w:top w:val="single" w:sz="4" w:space="0" w:color="000000"/>
              <w:left w:val="single" w:sz="4" w:space="0" w:color="000000"/>
              <w:bottom w:val="single" w:sz="4" w:space="0" w:color="000000"/>
              <w:right w:val="single" w:sz="4" w:space="0" w:color="000000"/>
            </w:tcBorders>
            <w:tcMar>
              <w:top w:w="28" w:type="dxa"/>
              <w:left w:w="0" w:type="dxa"/>
              <w:bottom w:w="28" w:type="dxa"/>
              <w:right w:w="0" w:type="dxa"/>
            </w:tcMar>
            <w:hideMark/>
          </w:tcPr>
          <w:p w14:paraId="144C5263" w14:textId="77777777" w:rsidR="00D41138" w:rsidRPr="00401ECA" w:rsidRDefault="00D41138">
            <w:pPr>
              <w:pStyle w:val="Brdtekst"/>
              <w:suppressAutoHyphens/>
              <w:kinsoku w:val="0"/>
              <w:overflowPunct w:val="0"/>
              <w:ind w:left="0"/>
              <w:jc w:val="center"/>
              <w:rPr>
                <w:color w:val="000000" w:themeColor="text1"/>
                <w:sz w:val="22"/>
                <w:szCs w:val="22"/>
                <w:lang w:val="ru-RU" w:eastAsia="ru-RU"/>
              </w:rPr>
            </w:pPr>
            <w:r w:rsidRPr="00401ECA">
              <w:rPr>
                <w:color w:val="000000" w:themeColor="text1"/>
                <w:sz w:val="22"/>
                <w:szCs w:val="22"/>
                <w:lang w:val="ru-RU" w:eastAsia="ru-RU"/>
              </w:rPr>
              <w:t>NA</w:t>
            </w:r>
          </w:p>
        </w:tc>
      </w:tr>
      <w:tr w:rsidR="00D41138" w:rsidRPr="00401ECA" w14:paraId="36652FB5" w14:textId="77777777" w:rsidTr="00F526B8">
        <w:trPr>
          <w:trHeight w:val="227"/>
        </w:trPr>
        <w:tc>
          <w:tcPr>
            <w:tcW w:w="1412" w:type="pct"/>
            <w:tcBorders>
              <w:top w:val="single" w:sz="4" w:space="0" w:color="000000"/>
              <w:left w:val="single" w:sz="4" w:space="0" w:color="000000"/>
              <w:bottom w:val="single" w:sz="4" w:space="0" w:color="000000"/>
              <w:right w:val="single" w:sz="4" w:space="0" w:color="000000"/>
            </w:tcBorders>
            <w:tcMar>
              <w:top w:w="28" w:type="dxa"/>
              <w:left w:w="0" w:type="dxa"/>
              <w:bottom w:w="28" w:type="dxa"/>
              <w:right w:w="0" w:type="dxa"/>
            </w:tcMar>
            <w:hideMark/>
          </w:tcPr>
          <w:p w14:paraId="0482BE58" w14:textId="77777777" w:rsidR="00D41138" w:rsidRPr="00401ECA" w:rsidRDefault="00D41138">
            <w:pPr>
              <w:pStyle w:val="Brdtekst"/>
              <w:suppressAutoHyphens/>
              <w:kinsoku w:val="0"/>
              <w:overflowPunct w:val="0"/>
              <w:rPr>
                <w:color w:val="000000" w:themeColor="text1"/>
                <w:sz w:val="22"/>
                <w:szCs w:val="22"/>
                <w:lang w:val="ru-RU" w:eastAsia="ru-RU"/>
              </w:rPr>
            </w:pPr>
            <w:r w:rsidRPr="00401ECA">
              <w:rPr>
                <w:color w:val="000000" w:themeColor="text1"/>
                <w:sz w:val="22"/>
                <w:szCs w:val="22"/>
                <w:lang w:val="ru-RU" w:eastAsia="ru-RU"/>
              </w:rPr>
              <w:t xml:space="preserve">Til og med uge 48 </w:t>
            </w:r>
          </w:p>
        </w:tc>
        <w:tc>
          <w:tcPr>
            <w:tcW w:w="1065" w:type="pct"/>
            <w:tcBorders>
              <w:top w:val="single" w:sz="4" w:space="0" w:color="000000"/>
              <w:left w:val="single" w:sz="4" w:space="0" w:color="000000"/>
              <w:bottom w:val="single" w:sz="4" w:space="0" w:color="000000"/>
              <w:right w:val="single" w:sz="4" w:space="0" w:color="000000"/>
            </w:tcBorders>
            <w:tcMar>
              <w:top w:w="28" w:type="dxa"/>
              <w:left w:w="0" w:type="dxa"/>
              <w:bottom w:w="28" w:type="dxa"/>
              <w:right w:w="0" w:type="dxa"/>
            </w:tcMar>
            <w:hideMark/>
          </w:tcPr>
          <w:p w14:paraId="26CCDA9C" w14:textId="77777777" w:rsidR="00D41138" w:rsidRPr="00401ECA" w:rsidRDefault="00D41138">
            <w:pPr>
              <w:pStyle w:val="Brdtekst"/>
              <w:suppressAutoHyphens/>
              <w:kinsoku w:val="0"/>
              <w:overflowPunct w:val="0"/>
              <w:ind w:left="0"/>
              <w:jc w:val="center"/>
              <w:rPr>
                <w:color w:val="000000" w:themeColor="text1"/>
                <w:sz w:val="22"/>
                <w:szCs w:val="22"/>
                <w:lang w:val="ru-RU" w:eastAsia="ru-RU"/>
              </w:rPr>
            </w:pPr>
            <w:r w:rsidRPr="00401ECA">
              <w:rPr>
                <w:color w:val="000000" w:themeColor="text1"/>
                <w:sz w:val="22"/>
                <w:szCs w:val="22"/>
                <w:lang w:val="ru-RU" w:eastAsia="ru-RU"/>
              </w:rPr>
              <w:t>0,46</w:t>
            </w:r>
            <w:r w:rsidRPr="00401ECA">
              <w:rPr>
                <w:color w:val="000000" w:themeColor="text1"/>
                <w:sz w:val="22"/>
                <w:szCs w:val="22"/>
                <w:vertAlign w:val="superscript"/>
                <w:lang w:val="ru-RU" w:eastAsia="ru-RU"/>
              </w:rPr>
              <w:t>d</w:t>
            </w:r>
          </w:p>
        </w:tc>
        <w:tc>
          <w:tcPr>
            <w:tcW w:w="662" w:type="pct"/>
            <w:tcBorders>
              <w:top w:val="single" w:sz="4" w:space="0" w:color="000000"/>
              <w:left w:val="single" w:sz="4" w:space="0" w:color="000000"/>
              <w:bottom w:val="single" w:sz="4" w:space="0" w:color="000000"/>
              <w:right w:val="single" w:sz="4" w:space="0" w:color="000000"/>
            </w:tcBorders>
            <w:tcMar>
              <w:top w:w="28" w:type="dxa"/>
              <w:left w:w="0" w:type="dxa"/>
              <w:bottom w:w="28" w:type="dxa"/>
              <w:right w:w="0" w:type="dxa"/>
            </w:tcMar>
            <w:hideMark/>
          </w:tcPr>
          <w:p w14:paraId="1BEB65B2" w14:textId="77777777" w:rsidR="00D41138" w:rsidRPr="00401ECA" w:rsidRDefault="00D41138">
            <w:pPr>
              <w:pStyle w:val="Brdtekst"/>
              <w:suppressAutoHyphens/>
              <w:kinsoku w:val="0"/>
              <w:overflowPunct w:val="0"/>
              <w:ind w:left="0"/>
              <w:jc w:val="center"/>
              <w:rPr>
                <w:color w:val="000000" w:themeColor="text1"/>
                <w:sz w:val="22"/>
                <w:szCs w:val="22"/>
                <w:lang w:val="ru-RU" w:eastAsia="ru-RU"/>
              </w:rPr>
            </w:pPr>
            <w:r w:rsidRPr="00401ECA">
              <w:rPr>
                <w:color w:val="000000" w:themeColor="text1"/>
                <w:sz w:val="22"/>
                <w:szCs w:val="22"/>
                <w:lang w:val="ru-RU" w:eastAsia="ru-RU"/>
              </w:rPr>
              <w:t>0,0012</w:t>
            </w:r>
          </w:p>
        </w:tc>
        <w:tc>
          <w:tcPr>
            <w:tcW w:w="1065" w:type="pct"/>
            <w:tcBorders>
              <w:top w:val="single" w:sz="4" w:space="0" w:color="000000"/>
              <w:left w:val="single" w:sz="4" w:space="0" w:color="000000"/>
              <w:bottom w:val="single" w:sz="4" w:space="0" w:color="000000"/>
              <w:right w:val="single" w:sz="4" w:space="0" w:color="000000"/>
            </w:tcBorders>
            <w:tcMar>
              <w:top w:w="28" w:type="dxa"/>
              <w:left w:w="0" w:type="dxa"/>
              <w:bottom w:w="28" w:type="dxa"/>
              <w:right w:w="0" w:type="dxa"/>
            </w:tcMar>
            <w:hideMark/>
          </w:tcPr>
          <w:p w14:paraId="30A91B08" w14:textId="77777777" w:rsidR="00D41138" w:rsidRPr="00401ECA" w:rsidRDefault="00D41138">
            <w:pPr>
              <w:pStyle w:val="Brdtekst"/>
              <w:suppressAutoHyphens/>
              <w:kinsoku w:val="0"/>
              <w:overflowPunct w:val="0"/>
              <w:ind w:left="0"/>
              <w:jc w:val="center"/>
              <w:rPr>
                <w:color w:val="000000" w:themeColor="text1"/>
                <w:sz w:val="22"/>
                <w:szCs w:val="22"/>
                <w:lang w:val="ru-RU" w:eastAsia="ru-RU"/>
              </w:rPr>
            </w:pPr>
            <w:r w:rsidRPr="00401ECA">
              <w:rPr>
                <w:color w:val="000000" w:themeColor="text1"/>
                <w:sz w:val="22"/>
                <w:szCs w:val="22"/>
                <w:lang w:val="ru-RU" w:eastAsia="ru-RU"/>
              </w:rPr>
              <w:t>NA</w:t>
            </w:r>
          </w:p>
        </w:tc>
        <w:tc>
          <w:tcPr>
            <w:tcW w:w="797" w:type="pct"/>
            <w:tcBorders>
              <w:top w:val="single" w:sz="4" w:space="0" w:color="000000"/>
              <w:left w:val="single" w:sz="4" w:space="0" w:color="000000"/>
              <w:bottom w:val="single" w:sz="4" w:space="0" w:color="000000"/>
              <w:right w:val="single" w:sz="4" w:space="0" w:color="000000"/>
            </w:tcBorders>
            <w:tcMar>
              <w:top w:w="28" w:type="dxa"/>
              <w:left w:w="0" w:type="dxa"/>
              <w:bottom w:w="28" w:type="dxa"/>
              <w:right w:w="0" w:type="dxa"/>
            </w:tcMar>
            <w:hideMark/>
          </w:tcPr>
          <w:p w14:paraId="627ED2AD" w14:textId="77777777" w:rsidR="00D41138" w:rsidRPr="00401ECA" w:rsidRDefault="00D41138">
            <w:pPr>
              <w:pStyle w:val="Brdtekst"/>
              <w:suppressAutoHyphens/>
              <w:kinsoku w:val="0"/>
              <w:overflowPunct w:val="0"/>
              <w:ind w:left="0"/>
              <w:jc w:val="center"/>
              <w:rPr>
                <w:color w:val="000000" w:themeColor="text1"/>
                <w:sz w:val="22"/>
                <w:szCs w:val="22"/>
                <w:lang w:val="ru-RU" w:eastAsia="ru-RU"/>
              </w:rPr>
            </w:pPr>
            <w:r w:rsidRPr="00401ECA">
              <w:rPr>
                <w:color w:val="000000" w:themeColor="text1"/>
                <w:sz w:val="22"/>
                <w:szCs w:val="22"/>
                <w:lang w:val="ru-RU" w:eastAsia="ru-RU"/>
              </w:rPr>
              <w:t>NA</w:t>
            </w:r>
          </w:p>
        </w:tc>
      </w:tr>
      <w:tr w:rsidR="00D41138" w:rsidRPr="00401ECA" w14:paraId="61AFD5CB" w14:textId="77777777" w:rsidTr="00F526B8">
        <w:trPr>
          <w:trHeight w:val="227"/>
        </w:trPr>
        <w:tc>
          <w:tcPr>
            <w:tcW w:w="5000" w:type="pct"/>
            <w:gridSpan w:val="5"/>
            <w:tcBorders>
              <w:top w:val="single" w:sz="4" w:space="0" w:color="000000"/>
              <w:left w:val="single" w:sz="4" w:space="0" w:color="000000"/>
              <w:bottom w:val="single" w:sz="4" w:space="0" w:color="000000"/>
              <w:right w:val="single" w:sz="4" w:space="0" w:color="000000"/>
            </w:tcBorders>
            <w:tcMar>
              <w:top w:w="28" w:type="dxa"/>
              <w:left w:w="0" w:type="dxa"/>
              <w:bottom w:w="28" w:type="dxa"/>
              <w:right w:w="0" w:type="dxa"/>
            </w:tcMar>
            <w:hideMark/>
          </w:tcPr>
          <w:p w14:paraId="62E40C11" w14:textId="77777777" w:rsidR="00D41138" w:rsidRPr="00401ECA" w:rsidRDefault="00D41138">
            <w:pPr>
              <w:pStyle w:val="Brdtekst"/>
              <w:suppressAutoHyphens/>
              <w:kinsoku w:val="0"/>
              <w:overflowPunct w:val="0"/>
              <w:rPr>
                <w:color w:val="000000" w:themeColor="text1"/>
                <w:sz w:val="22"/>
                <w:szCs w:val="22"/>
                <w:lang w:val="ru-RU" w:eastAsia="ru-RU"/>
              </w:rPr>
            </w:pPr>
            <w:r w:rsidRPr="00401ECA">
              <w:rPr>
                <w:b/>
                <w:color w:val="000000" w:themeColor="text1"/>
                <w:sz w:val="22"/>
                <w:szCs w:val="22"/>
                <w:lang w:val="ru-RU" w:eastAsia="ru-RU"/>
              </w:rPr>
              <w:t xml:space="preserve">Gennemsnitlig absolut ændring fra </w:t>
            </w:r>
            <w:r w:rsidRPr="00401ECA">
              <w:rPr>
                <w:b/>
                <w:i/>
                <w:color w:val="000000" w:themeColor="text1"/>
                <w:sz w:val="22"/>
                <w:szCs w:val="22"/>
                <w:lang w:val="ru-RU" w:eastAsia="ru-RU"/>
              </w:rPr>
              <w:t>baseline</w:t>
            </w:r>
            <w:r w:rsidRPr="00401ECA">
              <w:rPr>
                <w:b/>
                <w:color w:val="000000" w:themeColor="text1"/>
                <w:sz w:val="22"/>
                <w:szCs w:val="22"/>
                <w:lang w:val="ru-RU" w:eastAsia="ru-RU"/>
              </w:rPr>
              <w:t xml:space="preserve"> i kropsvægt (kg) </w:t>
            </w:r>
          </w:p>
        </w:tc>
      </w:tr>
      <w:tr w:rsidR="00D41138" w:rsidRPr="00401ECA" w14:paraId="387B0383" w14:textId="77777777" w:rsidTr="00F526B8">
        <w:trPr>
          <w:trHeight w:val="227"/>
        </w:trPr>
        <w:tc>
          <w:tcPr>
            <w:tcW w:w="1412" w:type="pct"/>
            <w:tcBorders>
              <w:top w:val="single" w:sz="4" w:space="0" w:color="000000"/>
              <w:left w:val="single" w:sz="4" w:space="0" w:color="000000"/>
              <w:bottom w:val="single" w:sz="4" w:space="0" w:color="000000"/>
              <w:right w:val="single" w:sz="4" w:space="0" w:color="000000"/>
            </w:tcBorders>
            <w:tcMar>
              <w:top w:w="28" w:type="dxa"/>
              <w:left w:w="0" w:type="dxa"/>
              <w:bottom w:w="28" w:type="dxa"/>
              <w:right w:w="0" w:type="dxa"/>
            </w:tcMar>
            <w:hideMark/>
          </w:tcPr>
          <w:p w14:paraId="31A9C2FC" w14:textId="77777777" w:rsidR="00D41138" w:rsidRPr="00401ECA" w:rsidRDefault="00D41138">
            <w:pPr>
              <w:pStyle w:val="Brdtekst"/>
              <w:suppressAutoHyphens/>
              <w:kinsoku w:val="0"/>
              <w:overflowPunct w:val="0"/>
              <w:rPr>
                <w:color w:val="000000" w:themeColor="text1"/>
                <w:sz w:val="22"/>
                <w:szCs w:val="22"/>
                <w:lang w:val="ru-RU" w:eastAsia="ru-RU"/>
              </w:rPr>
            </w:pPr>
            <w:r w:rsidRPr="00401ECA">
              <w:rPr>
                <w:color w:val="000000" w:themeColor="text1"/>
                <w:sz w:val="22"/>
                <w:szCs w:val="22"/>
                <w:lang w:val="ru-RU" w:eastAsia="ru-RU"/>
              </w:rPr>
              <w:t xml:space="preserve">Ved uge 24 </w:t>
            </w:r>
          </w:p>
        </w:tc>
        <w:tc>
          <w:tcPr>
            <w:tcW w:w="1065" w:type="pct"/>
            <w:tcBorders>
              <w:top w:val="single" w:sz="4" w:space="0" w:color="000000"/>
              <w:left w:val="single" w:sz="4" w:space="0" w:color="000000"/>
              <w:bottom w:val="single" w:sz="4" w:space="0" w:color="000000"/>
              <w:right w:val="single" w:sz="4" w:space="0" w:color="000000"/>
            </w:tcBorders>
            <w:tcMar>
              <w:top w:w="28" w:type="dxa"/>
              <w:left w:w="0" w:type="dxa"/>
              <w:bottom w:w="28" w:type="dxa"/>
              <w:right w:w="0" w:type="dxa"/>
            </w:tcMar>
            <w:hideMark/>
          </w:tcPr>
          <w:p w14:paraId="58AA0926" w14:textId="77777777" w:rsidR="00D41138" w:rsidRPr="00401ECA" w:rsidRDefault="00D41138">
            <w:pPr>
              <w:pStyle w:val="Brdtekst"/>
              <w:suppressAutoHyphens/>
              <w:kinsoku w:val="0"/>
              <w:overflowPunct w:val="0"/>
              <w:ind w:left="0"/>
              <w:jc w:val="center"/>
              <w:rPr>
                <w:color w:val="000000" w:themeColor="text1"/>
                <w:sz w:val="22"/>
                <w:szCs w:val="22"/>
                <w:lang w:val="ru-RU" w:eastAsia="ru-RU"/>
              </w:rPr>
            </w:pPr>
            <w:r w:rsidRPr="00401ECA">
              <w:rPr>
                <w:color w:val="000000" w:themeColor="text1"/>
                <w:sz w:val="22"/>
                <w:szCs w:val="22"/>
                <w:lang w:val="ru-RU" w:eastAsia="ru-RU"/>
              </w:rPr>
              <w:t>2,8</w:t>
            </w:r>
          </w:p>
          <w:p w14:paraId="0E2DDB36" w14:textId="77777777" w:rsidR="00D41138" w:rsidRPr="00401ECA" w:rsidRDefault="00D41138">
            <w:pPr>
              <w:pStyle w:val="Brdtekst"/>
              <w:suppressAutoHyphens/>
              <w:kinsoku w:val="0"/>
              <w:overflowPunct w:val="0"/>
              <w:ind w:left="0"/>
              <w:jc w:val="center"/>
              <w:rPr>
                <w:color w:val="000000" w:themeColor="text1"/>
                <w:sz w:val="22"/>
                <w:szCs w:val="22"/>
                <w:lang w:val="ru-RU" w:eastAsia="ru-RU"/>
              </w:rPr>
            </w:pPr>
            <w:r w:rsidRPr="00401ECA">
              <w:rPr>
                <w:color w:val="000000" w:themeColor="text1"/>
                <w:sz w:val="22"/>
                <w:szCs w:val="22"/>
                <w:lang w:val="ru-RU" w:eastAsia="ru-RU"/>
              </w:rPr>
              <w:t>(1,8; 3,7)</w:t>
            </w:r>
          </w:p>
        </w:tc>
        <w:tc>
          <w:tcPr>
            <w:tcW w:w="662" w:type="pct"/>
            <w:tcBorders>
              <w:top w:val="single" w:sz="4" w:space="0" w:color="000000"/>
              <w:left w:val="single" w:sz="4" w:space="0" w:color="000000"/>
              <w:bottom w:val="single" w:sz="4" w:space="0" w:color="000000"/>
              <w:right w:val="single" w:sz="4" w:space="0" w:color="000000"/>
            </w:tcBorders>
            <w:tcMar>
              <w:top w:w="28" w:type="dxa"/>
              <w:left w:w="0" w:type="dxa"/>
              <w:bottom w:w="28" w:type="dxa"/>
              <w:right w:w="0" w:type="dxa"/>
            </w:tcMar>
            <w:hideMark/>
          </w:tcPr>
          <w:p w14:paraId="103F6962" w14:textId="77777777" w:rsidR="00D41138" w:rsidRPr="00401ECA" w:rsidRDefault="00D41138">
            <w:pPr>
              <w:pStyle w:val="Brdtekst"/>
              <w:suppressAutoHyphens/>
              <w:kinsoku w:val="0"/>
              <w:overflowPunct w:val="0"/>
              <w:ind w:left="0"/>
              <w:jc w:val="center"/>
              <w:rPr>
                <w:color w:val="000000" w:themeColor="text1"/>
                <w:sz w:val="22"/>
                <w:szCs w:val="22"/>
                <w:lang w:val="ru-RU" w:eastAsia="ru-RU"/>
              </w:rPr>
            </w:pPr>
            <w:r w:rsidRPr="00401ECA">
              <w:rPr>
                <w:color w:val="000000" w:themeColor="text1"/>
                <w:sz w:val="22"/>
                <w:szCs w:val="22"/>
                <w:lang w:val="ru-RU" w:eastAsia="ru-RU"/>
              </w:rPr>
              <w:t>&lt;0,0001</w:t>
            </w:r>
          </w:p>
        </w:tc>
        <w:tc>
          <w:tcPr>
            <w:tcW w:w="1065" w:type="pct"/>
            <w:tcBorders>
              <w:top w:val="single" w:sz="4" w:space="0" w:color="000000"/>
              <w:left w:val="single" w:sz="4" w:space="0" w:color="000000"/>
              <w:bottom w:val="single" w:sz="4" w:space="0" w:color="000000"/>
              <w:right w:val="single" w:sz="4" w:space="0" w:color="000000"/>
            </w:tcBorders>
            <w:tcMar>
              <w:top w:w="28" w:type="dxa"/>
              <w:left w:w="0" w:type="dxa"/>
              <w:bottom w:w="28" w:type="dxa"/>
              <w:right w:w="0" w:type="dxa"/>
            </w:tcMar>
            <w:hideMark/>
          </w:tcPr>
          <w:p w14:paraId="6BBA8201" w14:textId="77777777" w:rsidR="00D41138" w:rsidRPr="00401ECA" w:rsidRDefault="00D41138">
            <w:pPr>
              <w:pStyle w:val="Brdtekst"/>
              <w:suppressAutoHyphens/>
              <w:kinsoku w:val="0"/>
              <w:overflowPunct w:val="0"/>
              <w:ind w:left="0"/>
              <w:jc w:val="center"/>
              <w:rPr>
                <w:color w:val="000000" w:themeColor="text1"/>
                <w:sz w:val="22"/>
                <w:szCs w:val="22"/>
                <w:lang w:val="ru-RU" w:eastAsia="ru-RU"/>
              </w:rPr>
            </w:pPr>
            <w:r w:rsidRPr="00401ECA">
              <w:rPr>
                <w:color w:val="000000" w:themeColor="text1"/>
                <w:sz w:val="22"/>
                <w:szCs w:val="22"/>
                <w:lang w:val="ru-RU" w:eastAsia="ru-RU"/>
              </w:rPr>
              <w:t>1,9</w:t>
            </w:r>
          </w:p>
          <w:p w14:paraId="6D1A6369" w14:textId="77777777" w:rsidR="00D41138" w:rsidRPr="00401ECA" w:rsidRDefault="00D41138">
            <w:pPr>
              <w:pStyle w:val="Brdtekst"/>
              <w:suppressAutoHyphens/>
              <w:kinsoku w:val="0"/>
              <w:overflowPunct w:val="0"/>
              <w:ind w:left="0"/>
              <w:jc w:val="center"/>
              <w:rPr>
                <w:color w:val="000000" w:themeColor="text1"/>
                <w:sz w:val="22"/>
                <w:szCs w:val="22"/>
                <w:lang w:val="ru-RU" w:eastAsia="ru-RU"/>
              </w:rPr>
            </w:pPr>
            <w:r w:rsidRPr="00401ECA">
              <w:rPr>
                <w:color w:val="000000" w:themeColor="text1"/>
                <w:sz w:val="22"/>
                <w:szCs w:val="22"/>
                <w:lang w:val="ru-RU" w:eastAsia="ru-RU"/>
              </w:rPr>
              <w:t>(0,9; 2,9)</w:t>
            </w:r>
          </w:p>
        </w:tc>
        <w:tc>
          <w:tcPr>
            <w:tcW w:w="797" w:type="pct"/>
            <w:tcBorders>
              <w:top w:val="single" w:sz="4" w:space="0" w:color="000000"/>
              <w:left w:val="single" w:sz="4" w:space="0" w:color="000000"/>
              <w:bottom w:val="single" w:sz="4" w:space="0" w:color="000000"/>
              <w:right w:val="single" w:sz="4" w:space="0" w:color="000000"/>
            </w:tcBorders>
            <w:tcMar>
              <w:top w:w="28" w:type="dxa"/>
              <w:left w:w="0" w:type="dxa"/>
              <w:bottom w:w="28" w:type="dxa"/>
              <w:right w:w="0" w:type="dxa"/>
            </w:tcMar>
            <w:hideMark/>
          </w:tcPr>
          <w:p w14:paraId="2864A783" w14:textId="77777777" w:rsidR="00D41138" w:rsidRPr="00401ECA" w:rsidRDefault="00D41138">
            <w:pPr>
              <w:pStyle w:val="Brdtekst"/>
              <w:suppressAutoHyphens/>
              <w:kinsoku w:val="0"/>
              <w:overflowPunct w:val="0"/>
              <w:ind w:left="0"/>
              <w:jc w:val="center"/>
              <w:rPr>
                <w:color w:val="000000" w:themeColor="text1"/>
                <w:sz w:val="22"/>
                <w:szCs w:val="22"/>
                <w:lang w:val="ru-RU" w:eastAsia="ru-RU"/>
              </w:rPr>
            </w:pPr>
            <w:r w:rsidRPr="00401ECA">
              <w:rPr>
                <w:color w:val="000000" w:themeColor="text1"/>
                <w:sz w:val="22"/>
                <w:szCs w:val="22"/>
                <w:lang w:val="ru-RU" w:eastAsia="ru-RU"/>
              </w:rPr>
              <w:t>0,0004</w:t>
            </w:r>
          </w:p>
        </w:tc>
      </w:tr>
      <w:tr w:rsidR="00D41138" w:rsidRPr="00401ECA" w14:paraId="345AC205" w14:textId="77777777" w:rsidTr="00F526B8">
        <w:trPr>
          <w:trHeight w:val="227"/>
        </w:trPr>
        <w:tc>
          <w:tcPr>
            <w:tcW w:w="1412" w:type="pct"/>
            <w:tcBorders>
              <w:top w:val="single" w:sz="4" w:space="0" w:color="000000"/>
              <w:left w:val="single" w:sz="4" w:space="0" w:color="000000"/>
              <w:bottom w:val="single" w:sz="4" w:space="0" w:color="000000"/>
              <w:right w:val="single" w:sz="4" w:space="0" w:color="000000"/>
            </w:tcBorders>
            <w:tcMar>
              <w:top w:w="28" w:type="dxa"/>
              <w:left w:w="0" w:type="dxa"/>
              <w:bottom w:w="28" w:type="dxa"/>
              <w:right w:w="0" w:type="dxa"/>
            </w:tcMar>
            <w:hideMark/>
          </w:tcPr>
          <w:p w14:paraId="624297E6" w14:textId="77777777" w:rsidR="00D41138" w:rsidRPr="00401ECA" w:rsidRDefault="00D41138">
            <w:pPr>
              <w:pStyle w:val="Brdtekst"/>
              <w:suppressAutoHyphens/>
              <w:kinsoku w:val="0"/>
              <w:overflowPunct w:val="0"/>
              <w:rPr>
                <w:color w:val="000000" w:themeColor="text1"/>
                <w:sz w:val="22"/>
                <w:szCs w:val="22"/>
                <w:lang w:val="ru-RU" w:eastAsia="ru-RU"/>
              </w:rPr>
            </w:pPr>
            <w:r w:rsidRPr="00401ECA">
              <w:rPr>
                <w:color w:val="000000" w:themeColor="text1"/>
                <w:sz w:val="22"/>
                <w:szCs w:val="22"/>
                <w:lang w:val="ru-RU" w:eastAsia="ru-RU"/>
              </w:rPr>
              <w:t xml:space="preserve">Ved uge 48 </w:t>
            </w:r>
          </w:p>
        </w:tc>
        <w:tc>
          <w:tcPr>
            <w:tcW w:w="1065" w:type="pct"/>
            <w:tcBorders>
              <w:top w:val="single" w:sz="4" w:space="0" w:color="000000"/>
              <w:left w:val="single" w:sz="4" w:space="0" w:color="000000"/>
              <w:bottom w:val="single" w:sz="4" w:space="0" w:color="000000"/>
              <w:right w:val="single" w:sz="4" w:space="0" w:color="000000"/>
            </w:tcBorders>
            <w:tcMar>
              <w:top w:w="28" w:type="dxa"/>
              <w:left w:w="0" w:type="dxa"/>
              <w:bottom w:w="28" w:type="dxa"/>
              <w:right w:w="0" w:type="dxa"/>
            </w:tcMar>
            <w:hideMark/>
          </w:tcPr>
          <w:p w14:paraId="2FCA2E31" w14:textId="77777777" w:rsidR="00D41138" w:rsidRPr="00401ECA" w:rsidRDefault="00D41138">
            <w:pPr>
              <w:pStyle w:val="Brdtekst"/>
              <w:suppressAutoHyphens/>
              <w:kinsoku w:val="0"/>
              <w:overflowPunct w:val="0"/>
              <w:ind w:left="0"/>
              <w:jc w:val="center"/>
              <w:rPr>
                <w:color w:val="000000" w:themeColor="text1"/>
                <w:sz w:val="22"/>
                <w:szCs w:val="22"/>
                <w:lang w:val="ru-RU" w:eastAsia="ru-RU"/>
              </w:rPr>
            </w:pPr>
            <w:r w:rsidRPr="00401ECA">
              <w:rPr>
                <w:color w:val="000000" w:themeColor="text1"/>
                <w:sz w:val="22"/>
                <w:szCs w:val="22"/>
                <w:lang w:val="ru-RU" w:eastAsia="ru-RU"/>
              </w:rPr>
              <w:t>2,7</w:t>
            </w:r>
          </w:p>
          <w:p w14:paraId="7A5AED42" w14:textId="77777777" w:rsidR="00D41138" w:rsidRPr="00401ECA" w:rsidRDefault="00D41138">
            <w:pPr>
              <w:pStyle w:val="Brdtekst"/>
              <w:suppressAutoHyphens/>
              <w:kinsoku w:val="0"/>
              <w:overflowPunct w:val="0"/>
              <w:ind w:left="0"/>
              <w:jc w:val="center"/>
              <w:rPr>
                <w:color w:val="000000" w:themeColor="text1"/>
                <w:sz w:val="22"/>
                <w:szCs w:val="22"/>
                <w:lang w:val="ru-RU" w:eastAsia="ru-RU"/>
              </w:rPr>
            </w:pPr>
            <w:r w:rsidRPr="00401ECA">
              <w:rPr>
                <w:color w:val="000000" w:themeColor="text1"/>
                <w:sz w:val="22"/>
                <w:szCs w:val="22"/>
                <w:lang w:val="ru-RU" w:eastAsia="ru-RU"/>
              </w:rPr>
              <w:t>(1,3; 4,1)</w:t>
            </w:r>
          </w:p>
        </w:tc>
        <w:tc>
          <w:tcPr>
            <w:tcW w:w="662" w:type="pct"/>
            <w:tcBorders>
              <w:top w:val="single" w:sz="4" w:space="0" w:color="000000"/>
              <w:left w:val="single" w:sz="4" w:space="0" w:color="000000"/>
              <w:bottom w:val="single" w:sz="4" w:space="0" w:color="000000"/>
              <w:right w:val="single" w:sz="4" w:space="0" w:color="000000"/>
            </w:tcBorders>
            <w:tcMar>
              <w:top w:w="28" w:type="dxa"/>
              <w:left w:w="0" w:type="dxa"/>
              <w:bottom w:w="28" w:type="dxa"/>
              <w:right w:w="0" w:type="dxa"/>
            </w:tcMar>
            <w:hideMark/>
          </w:tcPr>
          <w:p w14:paraId="0D4CE68E" w14:textId="77777777" w:rsidR="00D41138" w:rsidRPr="00401ECA" w:rsidRDefault="00D41138">
            <w:pPr>
              <w:pStyle w:val="Brdtekst"/>
              <w:suppressAutoHyphens/>
              <w:kinsoku w:val="0"/>
              <w:overflowPunct w:val="0"/>
              <w:ind w:left="0"/>
              <w:jc w:val="center"/>
              <w:rPr>
                <w:color w:val="000000" w:themeColor="text1"/>
                <w:sz w:val="22"/>
                <w:szCs w:val="22"/>
                <w:lang w:val="ru-RU" w:eastAsia="ru-RU"/>
              </w:rPr>
            </w:pPr>
            <w:r w:rsidRPr="00401ECA">
              <w:rPr>
                <w:color w:val="000000" w:themeColor="text1"/>
                <w:sz w:val="22"/>
                <w:szCs w:val="22"/>
                <w:lang w:val="ru-RU" w:eastAsia="ru-RU"/>
              </w:rPr>
              <w:t>0,0001</w:t>
            </w:r>
          </w:p>
        </w:tc>
        <w:tc>
          <w:tcPr>
            <w:tcW w:w="1065" w:type="pct"/>
            <w:tcBorders>
              <w:top w:val="single" w:sz="4" w:space="0" w:color="000000"/>
              <w:left w:val="single" w:sz="4" w:space="0" w:color="000000"/>
              <w:bottom w:val="single" w:sz="4" w:space="0" w:color="000000"/>
              <w:right w:val="single" w:sz="4" w:space="0" w:color="000000"/>
            </w:tcBorders>
            <w:tcMar>
              <w:top w:w="28" w:type="dxa"/>
              <w:left w:w="0" w:type="dxa"/>
              <w:bottom w:w="28" w:type="dxa"/>
              <w:right w:w="0" w:type="dxa"/>
            </w:tcMar>
            <w:hideMark/>
          </w:tcPr>
          <w:p w14:paraId="5A358683" w14:textId="77777777" w:rsidR="00D41138" w:rsidRPr="00401ECA" w:rsidRDefault="00D41138">
            <w:pPr>
              <w:pStyle w:val="Brdtekst"/>
              <w:suppressAutoHyphens/>
              <w:kinsoku w:val="0"/>
              <w:overflowPunct w:val="0"/>
              <w:ind w:left="0"/>
              <w:jc w:val="center"/>
              <w:rPr>
                <w:color w:val="000000" w:themeColor="text1"/>
                <w:sz w:val="22"/>
                <w:szCs w:val="22"/>
                <w:lang w:val="ru-RU" w:eastAsia="ru-RU"/>
              </w:rPr>
            </w:pPr>
            <w:r w:rsidRPr="00401ECA">
              <w:rPr>
                <w:color w:val="000000" w:themeColor="text1"/>
                <w:sz w:val="22"/>
                <w:szCs w:val="22"/>
                <w:lang w:val="ru-RU" w:eastAsia="ru-RU"/>
              </w:rPr>
              <w:t>2,8</w:t>
            </w:r>
          </w:p>
          <w:p w14:paraId="527640E1" w14:textId="77777777" w:rsidR="00D41138" w:rsidRPr="00401ECA" w:rsidRDefault="00D41138">
            <w:pPr>
              <w:pStyle w:val="Brdtekst"/>
              <w:suppressAutoHyphens/>
              <w:kinsoku w:val="0"/>
              <w:overflowPunct w:val="0"/>
              <w:ind w:left="0"/>
              <w:jc w:val="center"/>
              <w:rPr>
                <w:color w:val="000000" w:themeColor="text1"/>
                <w:sz w:val="22"/>
                <w:szCs w:val="22"/>
                <w:lang w:val="ru-RU" w:eastAsia="ru-RU"/>
              </w:rPr>
            </w:pPr>
            <w:r w:rsidRPr="00401ECA">
              <w:rPr>
                <w:color w:val="000000" w:themeColor="text1"/>
                <w:sz w:val="22"/>
                <w:szCs w:val="22"/>
                <w:lang w:val="ru-RU" w:eastAsia="ru-RU"/>
              </w:rPr>
              <w:t>(1,3; 4,2)</w:t>
            </w:r>
          </w:p>
        </w:tc>
        <w:tc>
          <w:tcPr>
            <w:tcW w:w="797" w:type="pct"/>
            <w:tcBorders>
              <w:top w:val="single" w:sz="4" w:space="0" w:color="000000"/>
              <w:left w:val="single" w:sz="4" w:space="0" w:color="000000"/>
              <w:bottom w:val="single" w:sz="4" w:space="0" w:color="000000"/>
              <w:right w:val="single" w:sz="4" w:space="0" w:color="000000"/>
            </w:tcBorders>
            <w:tcMar>
              <w:top w:w="28" w:type="dxa"/>
              <w:left w:w="0" w:type="dxa"/>
              <w:bottom w:w="28" w:type="dxa"/>
              <w:right w:w="0" w:type="dxa"/>
            </w:tcMar>
            <w:hideMark/>
          </w:tcPr>
          <w:p w14:paraId="1DA3EA28" w14:textId="77777777" w:rsidR="00D41138" w:rsidRPr="00401ECA" w:rsidRDefault="00D41138">
            <w:pPr>
              <w:pStyle w:val="Brdtekst"/>
              <w:suppressAutoHyphens/>
              <w:kinsoku w:val="0"/>
              <w:overflowPunct w:val="0"/>
              <w:ind w:left="0"/>
              <w:jc w:val="center"/>
              <w:rPr>
                <w:color w:val="000000" w:themeColor="text1"/>
                <w:sz w:val="22"/>
                <w:szCs w:val="22"/>
                <w:lang w:val="ru-RU" w:eastAsia="ru-RU"/>
              </w:rPr>
            </w:pPr>
            <w:r w:rsidRPr="00401ECA">
              <w:rPr>
                <w:color w:val="000000" w:themeColor="text1"/>
                <w:sz w:val="22"/>
                <w:szCs w:val="22"/>
                <w:lang w:val="ru-RU" w:eastAsia="ru-RU"/>
              </w:rPr>
              <w:t>0,0002</w:t>
            </w:r>
          </w:p>
        </w:tc>
      </w:tr>
      <w:tr w:rsidR="00D41138" w:rsidRPr="00401ECA" w14:paraId="4CDEB5FF" w14:textId="77777777" w:rsidTr="00F526B8">
        <w:trPr>
          <w:trHeight w:val="227"/>
        </w:trPr>
        <w:tc>
          <w:tcPr>
            <w:tcW w:w="5000" w:type="pct"/>
            <w:gridSpan w:val="5"/>
            <w:tcBorders>
              <w:top w:val="single" w:sz="4" w:space="0" w:color="000000"/>
              <w:left w:val="single" w:sz="4" w:space="0" w:color="000000"/>
              <w:bottom w:val="single" w:sz="4" w:space="0" w:color="000000"/>
              <w:right w:val="single" w:sz="4" w:space="0" w:color="000000"/>
            </w:tcBorders>
            <w:tcMar>
              <w:top w:w="28" w:type="dxa"/>
              <w:left w:w="0" w:type="dxa"/>
              <w:bottom w:w="28" w:type="dxa"/>
              <w:right w:w="0" w:type="dxa"/>
            </w:tcMar>
            <w:hideMark/>
          </w:tcPr>
          <w:p w14:paraId="18D20A38" w14:textId="77777777" w:rsidR="00D41138" w:rsidRPr="00401ECA" w:rsidRDefault="00D41138">
            <w:pPr>
              <w:pStyle w:val="Brdtekst"/>
              <w:keepNext/>
              <w:widowControl/>
              <w:suppressAutoHyphens/>
              <w:kinsoku w:val="0"/>
              <w:overflowPunct w:val="0"/>
              <w:rPr>
                <w:color w:val="000000" w:themeColor="text1"/>
                <w:sz w:val="22"/>
                <w:szCs w:val="22"/>
                <w:lang w:val="ru-RU" w:eastAsia="ru-RU"/>
              </w:rPr>
            </w:pPr>
            <w:r w:rsidRPr="00401ECA">
              <w:rPr>
                <w:b/>
                <w:color w:val="000000" w:themeColor="text1"/>
                <w:sz w:val="22"/>
                <w:szCs w:val="22"/>
                <w:lang w:val="ru-RU" w:eastAsia="ru-RU"/>
              </w:rPr>
              <w:t xml:space="preserve">Gennemsnitlig absolut ændring fra </w:t>
            </w:r>
            <w:r w:rsidRPr="00401ECA">
              <w:rPr>
                <w:b/>
                <w:i/>
                <w:color w:val="000000" w:themeColor="text1"/>
                <w:sz w:val="22"/>
                <w:szCs w:val="22"/>
                <w:lang w:val="ru-RU" w:eastAsia="ru-RU"/>
              </w:rPr>
              <w:t>baseline</w:t>
            </w:r>
            <w:r w:rsidRPr="00401ECA">
              <w:rPr>
                <w:b/>
                <w:color w:val="000000" w:themeColor="text1"/>
                <w:sz w:val="22"/>
                <w:szCs w:val="22"/>
                <w:lang w:val="ru-RU" w:eastAsia="ru-RU"/>
              </w:rPr>
              <w:t xml:space="preserve"> i BMI (kg/m</w:t>
            </w:r>
            <w:r w:rsidRPr="00401ECA">
              <w:rPr>
                <w:b/>
                <w:color w:val="000000" w:themeColor="text1"/>
                <w:sz w:val="22"/>
                <w:szCs w:val="22"/>
                <w:vertAlign w:val="superscript"/>
                <w:lang w:val="ru-RU" w:eastAsia="ru-RU"/>
              </w:rPr>
              <w:t>2</w:t>
            </w:r>
            <w:r w:rsidRPr="00401ECA">
              <w:rPr>
                <w:b/>
                <w:color w:val="000000" w:themeColor="text1"/>
                <w:sz w:val="22"/>
                <w:szCs w:val="22"/>
                <w:lang w:val="ru-RU" w:eastAsia="ru-RU"/>
              </w:rPr>
              <w:t xml:space="preserve">) </w:t>
            </w:r>
          </w:p>
        </w:tc>
      </w:tr>
      <w:tr w:rsidR="00D41138" w:rsidRPr="00401ECA" w14:paraId="628EF0F9" w14:textId="77777777" w:rsidTr="00F526B8">
        <w:trPr>
          <w:trHeight w:val="227"/>
        </w:trPr>
        <w:tc>
          <w:tcPr>
            <w:tcW w:w="1412" w:type="pct"/>
            <w:tcBorders>
              <w:top w:val="single" w:sz="4" w:space="0" w:color="000000"/>
              <w:left w:val="single" w:sz="4" w:space="0" w:color="000000"/>
              <w:bottom w:val="single" w:sz="4" w:space="0" w:color="000000"/>
              <w:right w:val="single" w:sz="4" w:space="0" w:color="000000"/>
            </w:tcBorders>
            <w:tcMar>
              <w:top w:w="28" w:type="dxa"/>
              <w:left w:w="0" w:type="dxa"/>
              <w:bottom w:w="28" w:type="dxa"/>
              <w:right w:w="0" w:type="dxa"/>
            </w:tcMar>
            <w:hideMark/>
          </w:tcPr>
          <w:p w14:paraId="16F8E58F" w14:textId="77777777" w:rsidR="00D41138" w:rsidRPr="00401ECA" w:rsidRDefault="00D41138">
            <w:pPr>
              <w:pStyle w:val="Brdtekst"/>
              <w:keepNext/>
              <w:widowControl/>
              <w:suppressAutoHyphens/>
              <w:kinsoku w:val="0"/>
              <w:overflowPunct w:val="0"/>
              <w:rPr>
                <w:color w:val="000000" w:themeColor="text1"/>
                <w:sz w:val="22"/>
                <w:szCs w:val="22"/>
                <w:lang w:val="ru-RU" w:eastAsia="ru-RU"/>
              </w:rPr>
            </w:pPr>
            <w:r w:rsidRPr="00401ECA">
              <w:rPr>
                <w:color w:val="000000" w:themeColor="text1"/>
                <w:sz w:val="22"/>
                <w:szCs w:val="22"/>
                <w:lang w:val="ru-RU" w:eastAsia="ru-RU"/>
              </w:rPr>
              <w:t xml:space="preserve">Ved uge 24 </w:t>
            </w:r>
          </w:p>
        </w:tc>
        <w:tc>
          <w:tcPr>
            <w:tcW w:w="1065" w:type="pct"/>
            <w:tcBorders>
              <w:top w:val="single" w:sz="4" w:space="0" w:color="000000"/>
              <w:left w:val="single" w:sz="4" w:space="0" w:color="000000"/>
              <w:bottom w:val="single" w:sz="4" w:space="0" w:color="000000"/>
              <w:right w:val="single" w:sz="4" w:space="0" w:color="000000"/>
            </w:tcBorders>
            <w:tcMar>
              <w:top w:w="28" w:type="dxa"/>
              <w:left w:w="0" w:type="dxa"/>
              <w:bottom w:w="28" w:type="dxa"/>
              <w:right w:w="0" w:type="dxa"/>
            </w:tcMar>
            <w:hideMark/>
          </w:tcPr>
          <w:p w14:paraId="658B6455" w14:textId="77777777" w:rsidR="00D41138" w:rsidRPr="00401ECA" w:rsidRDefault="00D41138">
            <w:pPr>
              <w:pStyle w:val="Brdtekst"/>
              <w:keepNext/>
              <w:widowControl/>
              <w:suppressAutoHyphens/>
              <w:kinsoku w:val="0"/>
              <w:overflowPunct w:val="0"/>
              <w:ind w:left="0"/>
              <w:jc w:val="center"/>
              <w:rPr>
                <w:color w:val="000000" w:themeColor="text1"/>
                <w:sz w:val="22"/>
                <w:szCs w:val="22"/>
                <w:lang w:val="ru-RU" w:eastAsia="ru-RU"/>
              </w:rPr>
            </w:pPr>
            <w:r w:rsidRPr="00401ECA">
              <w:rPr>
                <w:color w:val="000000" w:themeColor="text1"/>
                <w:sz w:val="22"/>
                <w:szCs w:val="22"/>
                <w:lang w:val="ru-RU" w:eastAsia="ru-RU"/>
              </w:rPr>
              <w:t>0,94</w:t>
            </w:r>
          </w:p>
          <w:p w14:paraId="2F94F25D" w14:textId="77777777" w:rsidR="00D41138" w:rsidRPr="00401ECA" w:rsidRDefault="00D41138">
            <w:pPr>
              <w:pStyle w:val="Brdtekst"/>
              <w:keepNext/>
              <w:widowControl/>
              <w:suppressAutoHyphens/>
              <w:kinsoku w:val="0"/>
              <w:overflowPunct w:val="0"/>
              <w:ind w:left="0"/>
              <w:jc w:val="center"/>
              <w:rPr>
                <w:color w:val="000000" w:themeColor="text1"/>
                <w:sz w:val="22"/>
                <w:szCs w:val="22"/>
                <w:lang w:val="ru-RU" w:eastAsia="ru-RU"/>
              </w:rPr>
            </w:pPr>
            <w:r w:rsidRPr="00401ECA">
              <w:rPr>
                <w:color w:val="000000" w:themeColor="text1"/>
                <w:sz w:val="22"/>
                <w:szCs w:val="22"/>
                <w:lang w:val="ru-RU" w:eastAsia="ru-RU"/>
              </w:rPr>
              <w:t>(0,62; 1,26)</w:t>
            </w:r>
          </w:p>
        </w:tc>
        <w:tc>
          <w:tcPr>
            <w:tcW w:w="662" w:type="pct"/>
            <w:tcBorders>
              <w:top w:val="single" w:sz="4" w:space="0" w:color="000000"/>
              <w:left w:val="single" w:sz="4" w:space="0" w:color="000000"/>
              <w:bottom w:val="single" w:sz="4" w:space="0" w:color="000000"/>
              <w:right w:val="single" w:sz="4" w:space="0" w:color="000000"/>
            </w:tcBorders>
            <w:tcMar>
              <w:top w:w="28" w:type="dxa"/>
              <w:left w:w="0" w:type="dxa"/>
              <w:bottom w:w="28" w:type="dxa"/>
              <w:right w:w="0" w:type="dxa"/>
            </w:tcMar>
            <w:hideMark/>
          </w:tcPr>
          <w:p w14:paraId="00229954" w14:textId="77777777" w:rsidR="00D41138" w:rsidRPr="00401ECA" w:rsidRDefault="00D41138">
            <w:pPr>
              <w:pStyle w:val="Brdtekst"/>
              <w:keepNext/>
              <w:widowControl/>
              <w:suppressAutoHyphens/>
              <w:kinsoku w:val="0"/>
              <w:overflowPunct w:val="0"/>
              <w:ind w:left="0"/>
              <w:jc w:val="center"/>
              <w:rPr>
                <w:color w:val="000000" w:themeColor="text1"/>
                <w:sz w:val="22"/>
                <w:szCs w:val="22"/>
                <w:lang w:val="ru-RU" w:eastAsia="ru-RU"/>
              </w:rPr>
            </w:pPr>
            <w:r w:rsidRPr="00401ECA">
              <w:rPr>
                <w:color w:val="000000" w:themeColor="text1"/>
                <w:sz w:val="22"/>
                <w:szCs w:val="22"/>
                <w:lang w:val="ru-RU" w:eastAsia="ru-RU"/>
              </w:rPr>
              <w:t>&lt;0,0001</w:t>
            </w:r>
          </w:p>
        </w:tc>
        <w:tc>
          <w:tcPr>
            <w:tcW w:w="1065" w:type="pct"/>
            <w:tcBorders>
              <w:top w:val="single" w:sz="4" w:space="0" w:color="000000"/>
              <w:left w:val="single" w:sz="4" w:space="0" w:color="000000"/>
              <w:bottom w:val="single" w:sz="4" w:space="0" w:color="000000"/>
              <w:right w:val="single" w:sz="4" w:space="0" w:color="000000"/>
            </w:tcBorders>
            <w:tcMar>
              <w:top w:w="28" w:type="dxa"/>
              <w:left w:w="0" w:type="dxa"/>
              <w:bottom w:w="28" w:type="dxa"/>
              <w:right w:w="0" w:type="dxa"/>
            </w:tcMar>
            <w:hideMark/>
          </w:tcPr>
          <w:p w14:paraId="4A60E031" w14:textId="77777777" w:rsidR="00D41138" w:rsidRPr="00401ECA" w:rsidRDefault="00D41138">
            <w:pPr>
              <w:pStyle w:val="Brdtekst"/>
              <w:keepNext/>
              <w:widowControl/>
              <w:suppressAutoHyphens/>
              <w:kinsoku w:val="0"/>
              <w:overflowPunct w:val="0"/>
              <w:ind w:left="0"/>
              <w:jc w:val="center"/>
              <w:rPr>
                <w:color w:val="000000" w:themeColor="text1"/>
                <w:sz w:val="22"/>
                <w:szCs w:val="22"/>
                <w:lang w:val="ru-RU" w:eastAsia="ru-RU"/>
              </w:rPr>
            </w:pPr>
            <w:r w:rsidRPr="00401ECA">
              <w:rPr>
                <w:color w:val="000000" w:themeColor="text1"/>
                <w:sz w:val="22"/>
                <w:szCs w:val="22"/>
                <w:lang w:val="ru-RU" w:eastAsia="ru-RU"/>
              </w:rPr>
              <w:t>0,81</w:t>
            </w:r>
          </w:p>
          <w:p w14:paraId="018585E2" w14:textId="77777777" w:rsidR="00D41138" w:rsidRPr="00401ECA" w:rsidRDefault="00D41138">
            <w:pPr>
              <w:pStyle w:val="Brdtekst"/>
              <w:keepNext/>
              <w:widowControl/>
              <w:suppressAutoHyphens/>
              <w:kinsoku w:val="0"/>
              <w:overflowPunct w:val="0"/>
              <w:ind w:left="0"/>
              <w:jc w:val="center"/>
              <w:rPr>
                <w:color w:val="000000" w:themeColor="text1"/>
                <w:sz w:val="22"/>
                <w:szCs w:val="22"/>
                <w:lang w:val="ru-RU" w:eastAsia="ru-RU"/>
              </w:rPr>
            </w:pPr>
            <w:r w:rsidRPr="00401ECA">
              <w:rPr>
                <w:color w:val="000000" w:themeColor="text1"/>
                <w:sz w:val="22"/>
                <w:szCs w:val="22"/>
                <w:lang w:val="ru-RU" w:eastAsia="ru-RU"/>
              </w:rPr>
              <w:t>(0,34; 1,28)</w:t>
            </w:r>
          </w:p>
        </w:tc>
        <w:tc>
          <w:tcPr>
            <w:tcW w:w="797" w:type="pct"/>
            <w:tcBorders>
              <w:top w:val="single" w:sz="4" w:space="0" w:color="000000"/>
              <w:left w:val="single" w:sz="4" w:space="0" w:color="000000"/>
              <w:bottom w:val="single" w:sz="4" w:space="0" w:color="000000"/>
              <w:right w:val="single" w:sz="4" w:space="0" w:color="000000"/>
            </w:tcBorders>
            <w:tcMar>
              <w:top w:w="28" w:type="dxa"/>
              <w:left w:w="0" w:type="dxa"/>
              <w:bottom w:w="28" w:type="dxa"/>
              <w:right w:w="0" w:type="dxa"/>
            </w:tcMar>
            <w:hideMark/>
          </w:tcPr>
          <w:p w14:paraId="7A6DD4F0" w14:textId="77777777" w:rsidR="00D41138" w:rsidRPr="00401ECA" w:rsidRDefault="00D41138">
            <w:pPr>
              <w:pStyle w:val="Brdtekst"/>
              <w:keepNext/>
              <w:widowControl/>
              <w:suppressAutoHyphens/>
              <w:kinsoku w:val="0"/>
              <w:overflowPunct w:val="0"/>
              <w:ind w:left="0"/>
              <w:jc w:val="center"/>
              <w:rPr>
                <w:color w:val="000000" w:themeColor="text1"/>
                <w:sz w:val="22"/>
                <w:szCs w:val="22"/>
                <w:lang w:val="ru-RU" w:eastAsia="ru-RU"/>
              </w:rPr>
            </w:pPr>
            <w:r w:rsidRPr="00401ECA">
              <w:rPr>
                <w:color w:val="000000" w:themeColor="text1"/>
                <w:sz w:val="22"/>
                <w:szCs w:val="22"/>
                <w:lang w:val="ru-RU" w:eastAsia="ru-RU"/>
              </w:rPr>
              <w:t>0,0008</w:t>
            </w:r>
          </w:p>
        </w:tc>
      </w:tr>
      <w:tr w:rsidR="00D41138" w:rsidRPr="00401ECA" w14:paraId="600229B9" w14:textId="77777777" w:rsidTr="00F526B8">
        <w:trPr>
          <w:trHeight w:val="227"/>
        </w:trPr>
        <w:tc>
          <w:tcPr>
            <w:tcW w:w="1412" w:type="pct"/>
            <w:tcBorders>
              <w:top w:val="single" w:sz="4" w:space="0" w:color="000000"/>
              <w:left w:val="single" w:sz="4" w:space="0" w:color="000000"/>
              <w:bottom w:val="single" w:sz="4" w:space="0" w:color="000000"/>
              <w:right w:val="single" w:sz="4" w:space="0" w:color="000000"/>
            </w:tcBorders>
            <w:tcMar>
              <w:top w:w="28" w:type="dxa"/>
              <w:left w:w="0" w:type="dxa"/>
              <w:bottom w:w="28" w:type="dxa"/>
              <w:right w:w="0" w:type="dxa"/>
            </w:tcMar>
            <w:hideMark/>
          </w:tcPr>
          <w:p w14:paraId="20BF7A84" w14:textId="77777777" w:rsidR="00D41138" w:rsidRPr="00401ECA" w:rsidRDefault="00D41138">
            <w:pPr>
              <w:pStyle w:val="Brdtekst"/>
              <w:keepNext/>
              <w:widowControl/>
              <w:suppressAutoHyphens/>
              <w:kinsoku w:val="0"/>
              <w:overflowPunct w:val="0"/>
              <w:rPr>
                <w:color w:val="000000" w:themeColor="text1"/>
                <w:sz w:val="22"/>
                <w:szCs w:val="22"/>
                <w:lang w:val="ru-RU" w:eastAsia="ru-RU"/>
              </w:rPr>
            </w:pPr>
            <w:r w:rsidRPr="00401ECA">
              <w:rPr>
                <w:color w:val="000000" w:themeColor="text1"/>
                <w:sz w:val="22"/>
                <w:szCs w:val="22"/>
                <w:lang w:val="ru-RU" w:eastAsia="ru-RU"/>
              </w:rPr>
              <w:t xml:space="preserve">Ved uge 48 </w:t>
            </w:r>
          </w:p>
        </w:tc>
        <w:tc>
          <w:tcPr>
            <w:tcW w:w="1065" w:type="pct"/>
            <w:tcBorders>
              <w:top w:val="single" w:sz="4" w:space="0" w:color="000000"/>
              <w:left w:val="single" w:sz="4" w:space="0" w:color="000000"/>
              <w:bottom w:val="single" w:sz="4" w:space="0" w:color="000000"/>
              <w:right w:val="single" w:sz="4" w:space="0" w:color="000000"/>
            </w:tcBorders>
            <w:tcMar>
              <w:top w:w="28" w:type="dxa"/>
              <w:left w:w="0" w:type="dxa"/>
              <w:bottom w:w="28" w:type="dxa"/>
              <w:right w:w="0" w:type="dxa"/>
            </w:tcMar>
            <w:hideMark/>
          </w:tcPr>
          <w:p w14:paraId="6CCBEFAB" w14:textId="77777777" w:rsidR="00D41138" w:rsidRPr="00401ECA" w:rsidRDefault="00D41138">
            <w:pPr>
              <w:pStyle w:val="Brdtekst"/>
              <w:keepNext/>
              <w:widowControl/>
              <w:suppressAutoHyphens/>
              <w:kinsoku w:val="0"/>
              <w:overflowPunct w:val="0"/>
              <w:ind w:left="0"/>
              <w:jc w:val="center"/>
              <w:rPr>
                <w:color w:val="000000" w:themeColor="text1"/>
                <w:sz w:val="22"/>
                <w:szCs w:val="22"/>
                <w:lang w:val="ru-RU" w:eastAsia="ru-RU"/>
              </w:rPr>
            </w:pPr>
            <w:r w:rsidRPr="00401ECA">
              <w:rPr>
                <w:color w:val="000000" w:themeColor="text1"/>
                <w:sz w:val="22"/>
                <w:szCs w:val="22"/>
                <w:lang w:val="ru-RU" w:eastAsia="ru-RU"/>
              </w:rPr>
              <w:t>0,93</w:t>
            </w:r>
          </w:p>
          <w:p w14:paraId="66B66B87" w14:textId="77777777" w:rsidR="00D41138" w:rsidRPr="00401ECA" w:rsidRDefault="00D41138">
            <w:pPr>
              <w:pStyle w:val="Brdtekst"/>
              <w:keepNext/>
              <w:widowControl/>
              <w:suppressAutoHyphens/>
              <w:kinsoku w:val="0"/>
              <w:overflowPunct w:val="0"/>
              <w:ind w:left="0"/>
              <w:jc w:val="center"/>
              <w:rPr>
                <w:color w:val="000000" w:themeColor="text1"/>
                <w:sz w:val="22"/>
                <w:szCs w:val="22"/>
                <w:lang w:val="ru-RU" w:eastAsia="ru-RU"/>
              </w:rPr>
            </w:pPr>
            <w:r w:rsidRPr="00401ECA">
              <w:rPr>
                <w:color w:val="000000" w:themeColor="text1"/>
                <w:sz w:val="22"/>
                <w:szCs w:val="22"/>
                <w:lang w:val="ru-RU" w:eastAsia="ru-RU"/>
              </w:rPr>
              <w:t>(0,48; 1,38)</w:t>
            </w:r>
          </w:p>
        </w:tc>
        <w:tc>
          <w:tcPr>
            <w:tcW w:w="662" w:type="pct"/>
            <w:tcBorders>
              <w:top w:val="single" w:sz="4" w:space="0" w:color="000000"/>
              <w:left w:val="single" w:sz="4" w:space="0" w:color="000000"/>
              <w:bottom w:val="single" w:sz="4" w:space="0" w:color="000000"/>
              <w:right w:val="single" w:sz="4" w:space="0" w:color="000000"/>
            </w:tcBorders>
            <w:tcMar>
              <w:top w:w="28" w:type="dxa"/>
              <w:left w:w="0" w:type="dxa"/>
              <w:bottom w:w="28" w:type="dxa"/>
              <w:right w:w="0" w:type="dxa"/>
            </w:tcMar>
            <w:hideMark/>
          </w:tcPr>
          <w:p w14:paraId="7F481658" w14:textId="77777777" w:rsidR="00D41138" w:rsidRPr="00401ECA" w:rsidRDefault="00D41138">
            <w:pPr>
              <w:pStyle w:val="Brdtekst"/>
              <w:keepNext/>
              <w:widowControl/>
              <w:suppressAutoHyphens/>
              <w:kinsoku w:val="0"/>
              <w:overflowPunct w:val="0"/>
              <w:ind w:left="0"/>
              <w:jc w:val="center"/>
              <w:rPr>
                <w:color w:val="000000" w:themeColor="text1"/>
                <w:sz w:val="22"/>
                <w:szCs w:val="22"/>
                <w:lang w:val="ru-RU" w:eastAsia="ru-RU"/>
              </w:rPr>
            </w:pPr>
            <w:r w:rsidRPr="00401ECA">
              <w:rPr>
                <w:color w:val="000000" w:themeColor="text1"/>
                <w:sz w:val="22"/>
                <w:szCs w:val="22"/>
                <w:lang w:val="ru-RU" w:eastAsia="ru-RU"/>
              </w:rPr>
              <w:t>&lt;0,0001</w:t>
            </w:r>
          </w:p>
        </w:tc>
        <w:tc>
          <w:tcPr>
            <w:tcW w:w="1065" w:type="pct"/>
            <w:tcBorders>
              <w:top w:val="single" w:sz="4" w:space="0" w:color="000000"/>
              <w:left w:val="single" w:sz="4" w:space="0" w:color="000000"/>
              <w:bottom w:val="single" w:sz="4" w:space="0" w:color="000000"/>
              <w:right w:val="single" w:sz="4" w:space="0" w:color="000000"/>
            </w:tcBorders>
            <w:tcMar>
              <w:top w:w="28" w:type="dxa"/>
              <w:left w:w="0" w:type="dxa"/>
              <w:bottom w:w="28" w:type="dxa"/>
              <w:right w:w="0" w:type="dxa"/>
            </w:tcMar>
            <w:hideMark/>
          </w:tcPr>
          <w:p w14:paraId="0B8E3B49" w14:textId="77777777" w:rsidR="00D41138" w:rsidRPr="00401ECA" w:rsidRDefault="00D41138">
            <w:pPr>
              <w:pStyle w:val="Brdtekst"/>
              <w:keepNext/>
              <w:widowControl/>
              <w:suppressAutoHyphens/>
              <w:kinsoku w:val="0"/>
              <w:overflowPunct w:val="0"/>
              <w:ind w:left="0"/>
              <w:jc w:val="center"/>
              <w:rPr>
                <w:color w:val="000000" w:themeColor="text1"/>
                <w:sz w:val="22"/>
                <w:szCs w:val="22"/>
                <w:lang w:val="ru-RU" w:eastAsia="ru-RU"/>
              </w:rPr>
            </w:pPr>
            <w:r w:rsidRPr="00401ECA">
              <w:rPr>
                <w:color w:val="000000" w:themeColor="text1"/>
                <w:sz w:val="22"/>
                <w:szCs w:val="22"/>
                <w:lang w:val="ru-RU" w:eastAsia="ru-RU"/>
              </w:rPr>
              <w:t>1,09</w:t>
            </w:r>
          </w:p>
          <w:p w14:paraId="6A85292C" w14:textId="77777777" w:rsidR="00D41138" w:rsidRPr="00401ECA" w:rsidRDefault="00D41138">
            <w:pPr>
              <w:pStyle w:val="Brdtekst"/>
              <w:keepNext/>
              <w:widowControl/>
              <w:suppressAutoHyphens/>
              <w:kinsoku w:val="0"/>
              <w:overflowPunct w:val="0"/>
              <w:ind w:left="0"/>
              <w:jc w:val="center"/>
              <w:rPr>
                <w:color w:val="000000" w:themeColor="text1"/>
                <w:sz w:val="22"/>
                <w:szCs w:val="22"/>
                <w:lang w:val="ru-RU" w:eastAsia="ru-RU"/>
              </w:rPr>
            </w:pPr>
            <w:r w:rsidRPr="00401ECA">
              <w:rPr>
                <w:color w:val="000000" w:themeColor="text1"/>
                <w:sz w:val="22"/>
                <w:szCs w:val="22"/>
                <w:lang w:val="ru-RU" w:eastAsia="ru-RU"/>
              </w:rPr>
              <w:t>(0,51; 1,67)</w:t>
            </w:r>
          </w:p>
        </w:tc>
        <w:tc>
          <w:tcPr>
            <w:tcW w:w="797" w:type="pct"/>
            <w:tcBorders>
              <w:top w:val="single" w:sz="4" w:space="0" w:color="000000"/>
              <w:left w:val="single" w:sz="4" w:space="0" w:color="000000"/>
              <w:bottom w:val="single" w:sz="4" w:space="0" w:color="000000"/>
              <w:right w:val="single" w:sz="4" w:space="0" w:color="000000"/>
            </w:tcBorders>
            <w:tcMar>
              <w:top w:w="28" w:type="dxa"/>
              <w:left w:w="0" w:type="dxa"/>
              <w:bottom w:w="28" w:type="dxa"/>
              <w:right w:w="0" w:type="dxa"/>
            </w:tcMar>
            <w:hideMark/>
          </w:tcPr>
          <w:p w14:paraId="11896C08" w14:textId="77777777" w:rsidR="00D41138" w:rsidRPr="00401ECA" w:rsidRDefault="00D41138">
            <w:pPr>
              <w:pStyle w:val="Brdtekst"/>
              <w:keepNext/>
              <w:widowControl/>
              <w:suppressAutoHyphens/>
              <w:kinsoku w:val="0"/>
              <w:overflowPunct w:val="0"/>
              <w:ind w:left="0"/>
              <w:jc w:val="center"/>
              <w:rPr>
                <w:color w:val="000000" w:themeColor="text1"/>
                <w:sz w:val="22"/>
                <w:szCs w:val="22"/>
                <w:lang w:val="ru-RU" w:eastAsia="ru-RU"/>
              </w:rPr>
            </w:pPr>
            <w:r w:rsidRPr="00401ECA">
              <w:rPr>
                <w:color w:val="000000" w:themeColor="text1"/>
                <w:sz w:val="22"/>
                <w:szCs w:val="22"/>
                <w:lang w:val="ru-RU" w:eastAsia="ru-RU"/>
              </w:rPr>
              <w:t>0,0003</w:t>
            </w:r>
          </w:p>
        </w:tc>
      </w:tr>
      <w:tr w:rsidR="00D41138" w:rsidRPr="00401ECA" w14:paraId="12F66F1B" w14:textId="77777777" w:rsidTr="00F526B8">
        <w:trPr>
          <w:trHeight w:val="227"/>
        </w:trPr>
        <w:tc>
          <w:tcPr>
            <w:tcW w:w="5000" w:type="pct"/>
            <w:gridSpan w:val="5"/>
            <w:tcBorders>
              <w:top w:val="single" w:sz="4" w:space="0" w:color="000000"/>
              <w:left w:val="single" w:sz="4" w:space="0" w:color="000000"/>
              <w:bottom w:val="single" w:sz="4" w:space="0" w:color="000000"/>
              <w:right w:val="single" w:sz="4" w:space="0" w:color="000000"/>
            </w:tcBorders>
            <w:tcMar>
              <w:top w:w="28" w:type="dxa"/>
              <w:left w:w="0" w:type="dxa"/>
              <w:bottom w:w="28" w:type="dxa"/>
              <w:right w:w="0" w:type="dxa"/>
            </w:tcMar>
            <w:hideMark/>
          </w:tcPr>
          <w:p w14:paraId="4E078E99" w14:textId="77777777" w:rsidR="00D41138" w:rsidRPr="00401ECA" w:rsidRDefault="00D41138">
            <w:pPr>
              <w:pStyle w:val="Brdtekst"/>
              <w:suppressAutoHyphens/>
              <w:kinsoku w:val="0"/>
              <w:overflowPunct w:val="0"/>
              <w:rPr>
                <w:color w:val="000000" w:themeColor="text1"/>
                <w:sz w:val="22"/>
                <w:szCs w:val="22"/>
                <w:lang w:val="ru-RU" w:eastAsia="ru-RU"/>
              </w:rPr>
            </w:pPr>
            <w:r w:rsidRPr="00401ECA">
              <w:rPr>
                <w:b/>
                <w:color w:val="000000" w:themeColor="text1"/>
                <w:sz w:val="22"/>
                <w:szCs w:val="22"/>
                <w:lang w:val="ru-RU" w:eastAsia="ru-RU"/>
              </w:rPr>
              <w:t xml:space="preserve">Gennemsnitlig ændring fra </w:t>
            </w:r>
            <w:r w:rsidRPr="00401ECA">
              <w:rPr>
                <w:b/>
                <w:i/>
                <w:color w:val="000000" w:themeColor="text1"/>
                <w:sz w:val="22"/>
                <w:szCs w:val="22"/>
                <w:lang w:val="ru-RU" w:eastAsia="ru-RU"/>
              </w:rPr>
              <w:t>baseline</w:t>
            </w:r>
            <w:r w:rsidRPr="00401ECA">
              <w:rPr>
                <w:b/>
                <w:color w:val="000000" w:themeColor="text1"/>
                <w:sz w:val="22"/>
                <w:szCs w:val="22"/>
                <w:lang w:val="ru-RU" w:eastAsia="ru-RU"/>
              </w:rPr>
              <w:t xml:space="preserve"> i z-scores</w:t>
            </w:r>
            <w:r w:rsidRPr="00401ECA">
              <w:rPr>
                <w:color w:val="000000" w:themeColor="text1"/>
                <w:sz w:val="22"/>
                <w:szCs w:val="22"/>
                <w:lang w:val="ru-RU" w:eastAsia="ru-RU"/>
              </w:rPr>
              <w:t xml:space="preserve"> </w:t>
            </w:r>
          </w:p>
        </w:tc>
      </w:tr>
      <w:tr w:rsidR="00D41138" w:rsidRPr="00401ECA" w14:paraId="3DFE94A3" w14:textId="77777777" w:rsidTr="00F526B8">
        <w:trPr>
          <w:trHeight w:val="227"/>
        </w:trPr>
        <w:tc>
          <w:tcPr>
            <w:tcW w:w="1412" w:type="pct"/>
            <w:tcBorders>
              <w:top w:val="single" w:sz="4" w:space="0" w:color="000000"/>
              <w:left w:val="single" w:sz="4" w:space="0" w:color="000000"/>
              <w:bottom w:val="single" w:sz="4" w:space="0" w:color="000000"/>
              <w:right w:val="single" w:sz="4" w:space="0" w:color="000000"/>
            </w:tcBorders>
            <w:tcMar>
              <w:top w:w="28" w:type="dxa"/>
              <w:left w:w="0" w:type="dxa"/>
              <w:bottom w:w="28" w:type="dxa"/>
              <w:right w:w="0" w:type="dxa"/>
            </w:tcMar>
            <w:hideMark/>
          </w:tcPr>
          <w:p w14:paraId="13112B63" w14:textId="77777777" w:rsidR="00D41138" w:rsidRPr="00401ECA" w:rsidRDefault="00D41138">
            <w:pPr>
              <w:pStyle w:val="Brdtekst"/>
              <w:suppressAutoHyphens/>
              <w:kinsoku w:val="0"/>
              <w:overflowPunct w:val="0"/>
              <w:rPr>
                <w:color w:val="000000" w:themeColor="text1"/>
                <w:sz w:val="22"/>
                <w:szCs w:val="22"/>
                <w:lang w:val="ru-RU" w:eastAsia="ru-RU"/>
              </w:rPr>
            </w:pPr>
            <w:r w:rsidRPr="00401ECA">
              <w:rPr>
                <w:color w:val="000000" w:themeColor="text1"/>
                <w:sz w:val="22"/>
                <w:szCs w:val="22"/>
                <w:lang w:val="ru-RU" w:eastAsia="ru-RU"/>
              </w:rPr>
              <w:t xml:space="preserve">Vægt-for-alder z-score ved </w:t>
            </w:r>
            <w:r w:rsidRPr="00401ECA">
              <w:rPr>
                <w:color w:val="000000" w:themeColor="text1"/>
                <w:sz w:val="22"/>
                <w:szCs w:val="22"/>
                <w:lang w:val="ru-RU" w:eastAsia="ru-RU"/>
              </w:rPr>
              <w:lastRenderedPageBreak/>
              <w:t>uge 48</w:t>
            </w:r>
            <w:r w:rsidRPr="00401ECA">
              <w:rPr>
                <w:color w:val="000000" w:themeColor="text1"/>
                <w:sz w:val="22"/>
                <w:szCs w:val="22"/>
                <w:vertAlign w:val="superscript"/>
                <w:lang w:val="ru-RU" w:eastAsia="ru-RU"/>
              </w:rPr>
              <w:t>e</w:t>
            </w:r>
            <w:r w:rsidRPr="00401ECA">
              <w:rPr>
                <w:b/>
                <w:color w:val="000000" w:themeColor="text1"/>
                <w:sz w:val="22"/>
                <w:szCs w:val="22"/>
                <w:lang w:val="ru-RU" w:eastAsia="ru-RU"/>
              </w:rPr>
              <w:t xml:space="preserve"> </w:t>
            </w:r>
          </w:p>
        </w:tc>
        <w:tc>
          <w:tcPr>
            <w:tcW w:w="1065" w:type="pct"/>
            <w:tcBorders>
              <w:top w:val="single" w:sz="4" w:space="0" w:color="000000"/>
              <w:left w:val="single" w:sz="4" w:space="0" w:color="000000"/>
              <w:bottom w:val="single" w:sz="4" w:space="0" w:color="000000"/>
              <w:right w:val="single" w:sz="4" w:space="0" w:color="000000"/>
            </w:tcBorders>
            <w:tcMar>
              <w:top w:w="28" w:type="dxa"/>
              <w:left w:w="0" w:type="dxa"/>
              <w:bottom w:w="28" w:type="dxa"/>
              <w:right w:w="0" w:type="dxa"/>
            </w:tcMar>
            <w:hideMark/>
          </w:tcPr>
          <w:p w14:paraId="14BA40DF" w14:textId="77777777" w:rsidR="00D41138" w:rsidRPr="00401ECA" w:rsidRDefault="00D41138">
            <w:pPr>
              <w:pStyle w:val="Brdtekst"/>
              <w:suppressAutoHyphens/>
              <w:kinsoku w:val="0"/>
              <w:overflowPunct w:val="0"/>
              <w:ind w:left="0"/>
              <w:jc w:val="center"/>
              <w:rPr>
                <w:color w:val="000000" w:themeColor="text1"/>
                <w:sz w:val="22"/>
                <w:szCs w:val="22"/>
                <w:lang w:val="ru-RU" w:eastAsia="ru-RU"/>
              </w:rPr>
            </w:pPr>
            <w:r w:rsidRPr="00401ECA">
              <w:rPr>
                <w:color w:val="000000" w:themeColor="text1"/>
                <w:sz w:val="22"/>
                <w:szCs w:val="22"/>
                <w:lang w:val="ru-RU" w:eastAsia="ru-RU"/>
              </w:rPr>
              <w:lastRenderedPageBreak/>
              <w:t>0,33</w:t>
            </w:r>
          </w:p>
          <w:p w14:paraId="48575E90" w14:textId="77777777" w:rsidR="00D41138" w:rsidRPr="00401ECA" w:rsidRDefault="00D41138">
            <w:pPr>
              <w:pStyle w:val="Brdtekst"/>
              <w:suppressAutoHyphens/>
              <w:kinsoku w:val="0"/>
              <w:overflowPunct w:val="0"/>
              <w:ind w:left="0"/>
              <w:jc w:val="center"/>
              <w:rPr>
                <w:color w:val="000000" w:themeColor="text1"/>
                <w:sz w:val="22"/>
                <w:szCs w:val="22"/>
                <w:lang w:val="ru-RU" w:eastAsia="ru-RU"/>
              </w:rPr>
            </w:pPr>
            <w:r w:rsidRPr="00401ECA">
              <w:rPr>
                <w:color w:val="000000" w:themeColor="text1"/>
                <w:sz w:val="22"/>
                <w:szCs w:val="22"/>
                <w:lang w:val="ru-RU" w:eastAsia="ru-RU"/>
              </w:rPr>
              <w:lastRenderedPageBreak/>
              <w:t>(0,04; 0,62)</w:t>
            </w:r>
          </w:p>
        </w:tc>
        <w:tc>
          <w:tcPr>
            <w:tcW w:w="662" w:type="pct"/>
            <w:tcBorders>
              <w:top w:val="single" w:sz="4" w:space="0" w:color="000000"/>
              <w:left w:val="single" w:sz="4" w:space="0" w:color="000000"/>
              <w:bottom w:val="single" w:sz="4" w:space="0" w:color="000000"/>
              <w:right w:val="single" w:sz="4" w:space="0" w:color="000000"/>
            </w:tcBorders>
            <w:tcMar>
              <w:top w:w="28" w:type="dxa"/>
              <w:left w:w="0" w:type="dxa"/>
              <w:bottom w:w="28" w:type="dxa"/>
              <w:right w:w="0" w:type="dxa"/>
            </w:tcMar>
            <w:hideMark/>
          </w:tcPr>
          <w:p w14:paraId="5AD392F4" w14:textId="77777777" w:rsidR="00D41138" w:rsidRPr="00401ECA" w:rsidRDefault="00D41138">
            <w:pPr>
              <w:pStyle w:val="Brdtekst"/>
              <w:suppressAutoHyphens/>
              <w:kinsoku w:val="0"/>
              <w:overflowPunct w:val="0"/>
              <w:ind w:left="0"/>
              <w:jc w:val="center"/>
              <w:rPr>
                <w:color w:val="000000" w:themeColor="text1"/>
                <w:sz w:val="22"/>
                <w:szCs w:val="22"/>
                <w:lang w:val="ru-RU" w:eastAsia="ru-RU"/>
              </w:rPr>
            </w:pPr>
            <w:r w:rsidRPr="00401ECA">
              <w:rPr>
                <w:color w:val="000000" w:themeColor="text1"/>
                <w:sz w:val="22"/>
                <w:szCs w:val="22"/>
                <w:lang w:val="ru-RU" w:eastAsia="ru-RU"/>
              </w:rPr>
              <w:lastRenderedPageBreak/>
              <w:t>0,0260</w:t>
            </w:r>
          </w:p>
        </w:tc>
        <w:tc>
          <w:tcPr>
            <w:tcW w:w="1065" w:type="pct"/>
            <w:tcBorders>
              <w:top w:val="single" w:sz="4" w:space="0" w:color="000000"/>
              <w:left w:val="single" w:sz="4" w:space="0" w:color="000000"/>
              <w:bottom w:val="single" w:sz="4" w:space="0" w:color="000000"/>
              <w:right w:val="single" w:sz="4" w:space="0" w:color="000000"/>
            </w:tcBorders>
            <w:tcMar>
              <w:top w:w="28" w:type="dxa"/>
              <w:left w:w="0" w:type="dxa"/>
              <w:bottom w:w="28" w:type="dxa"/>
              <w:right w:w="0" w:type="dxa"/>
            </w:tcMar>
            <w:hideMark/>
          </w:tcPr>
          <w:p w14:paraId="01B96FEA" w14:textId="77777777" w:rsidR="00D41138" w:rsidRPr="00401ECA" w:rsidRDefault="00D41138">
            <w:pPr>
              <w:pStyle w:val="Brdtekst"/>
              <w:suppressAutoHyphens/>
              <w:kinsoku w:val="0"/>
              <w:overflowPunct w:val="0"/>
              <w:ind w:left="0"/>
              <w:jc w:val="center"/>
              <w:rPr>
                <w:color w:val="000000" w:themeColor="text1"/>
                <w:sz w:val="22"/>
                <w:szCs w:val="22"/>
                <w:lang w:val="ru-RU" w:eastAsia="ru-RU"/>
              </w:rPr>
            </w:pPr>
            <w:r w:rsidRPr="00401ECA">
              <w:rPr>
                <w:color w:val="000000" w:themeColor="text1"/>
                <w:sz w:val="22"/>
                <w:szCs w:val="22"/>
                <w:lang w:val="ru-RU" w:eastAsia="ru-RU"/>
              </w:rPr>
              <w:t>0,39</w:t>
            </w:r>
          </w:p>
          <w:p w14:paraId="42070C3F" w14:textId="77777777" w:rsidR="00D41138" w:rsidRPr="00401ECA" w:rsidRDefault="00D41138">
            <w:pPr>
              <w:pStyle w:val="Brdtekst"/>
              <w:suppressAutoHyphens/>
              <w:kinsoku w:val="0"/>
              <w:overflowPunct w:val="0"/>
              <w:ind w:left="0"/>
              <w:jc w:val="center"/>
              <w:rPr>
                <w:color w:val="000000" w:themeColor="text1"/>
                <w:sz w:val="22"/>
                <w:szCs w:val="22"/>
                <w:lang w:val="ru-RU" w:eastAsia="ru-RU"/>
              </w:rPr>
            </w:pPr>
            <w:r w:rsidRPr="00401ECA">
              <w:rPr>
                <w:color w:val="000000" w:themeColor="text1"/>
                <w:sz w:val="22"/>
                <w:szCs w:val="22"/>
                <w:lang w:val="ru-RU" w:eastAsia="ru-RU"/>
              </w:rPr>
              <w:lastRenderedPageBreak/>
              <w:t>(0,24; 0,53)</w:t>
            </w:r>
          </w:p>
        </w:tc>
        <w:tc>
          <w:tcPr>
            <w:tcW w:w="797" w:type="pct"/>
            <w:tcBorders>
              <w:top w:val="single" w:sz="4" w:space="0" w:color="000000"/>
              <w:left w:val="single" w:sz="4" w:space="0" w:color="000000"/>
              <w:bottom w:val="single" w:sz="4" w:space="0" w:color="000000"/>
              <w:right w:val="single" w:sz="4" w:space="0" w:color="000000"/>
            </w:tcBorders>
            <w:tcMar>
              <w:top w:w="28" w:type="dxa"/>
              <w:left w:w="0" w:type="dxa"/>
              <w:bottom w:w="28" w:type="dxa"/>
              <w:right w:w="0" w:type="dxa"/>
            </w:tcMar>
            <w:hideMark/>
          </w:tcPr>
          <w:p w14:paraId="236D951F" w14:textId="77777777" w:rsidR="00D41138" w:rsidRPr="00401ECA" w:rsidRDefault="00D41138">
            <w:pPr>
              <w:pStyle w:val="Brdtekst"/>
              <w:suppressAutoHyphens/>
              <w:kinsoku w:val="0"/>
              <w:overflowPunct w:val="0"/>
              <w:ind w:left="0"/>
              <w:jc w:val="center"/>
              <w:rPr>
                <w:color w:val="000000" w:themeColor="text1"/>
                <w:sz w:val="22"/>
                <w:szCs w:val="22"/>
                <w:lang w:val="ru-RU" w:eastAsia="ru-RU"/>
              </w:rPr>
            </w:pPr>
            <w:r w:rsidRPr="00401ECA">
              <w:rPr>
                <w:color w:val="000000" w:themeColor="text1"/>
                <w:sz w:val="22"/>
                <w:szCs w:val="22"/>
                <w:lang w:val="ru-RU" w:eastAsia="ru-RU"/>
              </w:rPr>
              <w:lastRenderedPageBreak/>
              <w:t>&lt;0,0001</w:t>
            </w:r>
          </w:p>
        </w:tc>
      </w:tr>
      <w:tr w:rsidR="00D41138" w:rsidRPr="00401ECA" w14:paraId="01C80DCA" w14:textId="77777777" w:rsidTr="00F526B8">
        <w:trPr>
          <w:trHeight w:val="227"/>
        </w:trPr>
        <w:tc>
          <w:tcPr>
            <w:tcW w:w="1412" w:type="pct"/>
            <w:tcBorders>
              <w:top w:val="single" w:sz="4" w:space="0" w:color="000000"/>
              <w:left w:val="single" w:sz="4" w:space="0" w:color="000000"/>
              <w:bottom w:val="single" w:sz="4" w:space="0" w:color="000000"/>
              <w:right w:val="single" w:sz="4" w:space="0" w:color="000000"/>
            </w:tcBorders>
            <w:tcMar>
              <w:top w:w="28" w:type="dxa"/>
              <w:left w:w="0" w:type="dxa"/>
              <w:bottom w:w="28" w:type="dxa"/>
              <w:right w:w="0" w:type="dxa"/>
            </w:tcMar>
            <w:hideMark/>
          </w:tcPr>
          <w:p w14:paraId="6A990AE7" w14:textId="77777777" w:rsidR="00D41138" w:rsidRPr="00401ECA" w:rsidRDefault="00D41138">
            <w:pPr>
              <w:pStyle w:val="Brdtekst"/>
              <w:suppressAutoHyphens/>
              <w:kinsoku w:val="0"/>
              <w:overflowPunct w:val="0"/>
              <w:rPr>
                <w:color w:val="000000" w:themeColor="text1"/>
                <w:sz w:val="22"/>
                <w:szCs w:val="22"/>
                <w:lang w:val="ru-RU" w:eastAsia="ru-RU"/>
              </w:rPr>
            </w:pPr>
            <w:r w:rsidRPr="00401ECA">
              <w:rPr>
                <w:color w:val="000000" w:themeColor="text1"/>
                <w:sz w:val="22"/>
                <w:szCs w:val="22"/>
                <w:lang w:val="ru-RU" w:eastAsia="ru-RU"/>
              </w:rPr>
              <w:t>BMI-for-alder z-score ved uge 48</w:t>
            </w:r>
            <w:r w:rsidRPr="00401ECA">
              <w:rPr>
                <w:color w:val="000000" w:themeColor="text1"/>
                <w:sz w:val="22"/>
                <w:szCs w:val="22"/>
                <w:vertAlign w:val="superscript"/>
                <w:lang w:val="ru-RU" w:eastAsia="ru-RU"/>
              </w:rPr>
              <w:t>e</w:t>
            </w:r>
            <w:r w:rsidRPr="00401ECA">
              <w:rPr>
                <w:b/>
                <w:color w:val="000000" w:themeColor="text1"/>
                <w:sz w:val="22"/>
                <w:szCs w:val="22"/>
                <w:lang w:val="ru-RU" w:eastAsia="ru-RU"/>
              </w:rPr>
              <w:t xml:space="preserve"> </w:t>
            </w:r>
          </w:p>
        </w:tc>
        <w:tc>
          <w:tcPr>
            <w:tcW w:w="1065" w:type="pct"/>
            <w:tcBorders>
              <w:top w:val="single" w:sz="4" w:space="0" w:color="000000"/>
              <w:left w:val="single" w:sz="4" w:space="0" w:color="000000"/>
              <w:bottom w:val="single" w:sz="4" w:space="0" w:color="000000"/>
              <w:right w:val="single" w:sz="4" w:space="0" w:color="000000"/>
            </w:tcBorders>
            <w:tcMar>
              <w:top w:w="28" w:type="dxa"/>
              <w:left w:w="0" w:type="dxa"/>
              <w:bottom w:w="28" w:type="dxa"/>
              <w:right w:w="0" w:type="dxa"/>
            </w:tcMar>
            <w:hideMark/>
          </w:tcPr>
          <w:p w14:paraId="0C442A05" w14:textId="77777777" w:rsidR="00D41138" w:rsidRPr="00401ECA" w:rsidRDefault="00D41138">
            <w:pPr>
              <w:pStyle w:val="Brdtekst"/>
              <w:suppressAutoHyphens/>
              <w:kinsoku w:val="0"/>
              <w:overflowPunct w:val="0"/>
              <w:ind w:left="0"/>
              <w:jc w:val="center"/>
              <w:rPr>
                <w:color w:val="000000" w:themeColor="text1"/>
                <w:sz w:val="22"/>
                <w:szCs w:val="22"/>
                <w:lang w:val="ru-RU" w:eastAsia="ru-RU"/>
              </w:rPr>
            </w:pPr>
            <w:r w:rsidRPr="00401ECA">
              <w:rPr>
                <w:color w:val="000000" w:themeColor="text1"/>
                <w:sz w:val="22"/>
                <w:szCs w:val="22"/>
                <w:lang w:val="ru-RU" w:eastAsia="ru-RU"/>
              </w:rPr>
              <w:t>0,33</w:t>
            </w:r>
          </w:p>
          <w:p w14:paraId="2E0CBD16" w14:textId="77777777" w:rsidR="00D41138" w:rsidRPr="00401ECA" w:rsidRDefault="00D41138">
            <w:pPr>
              <w:pStyle w:val="Brdtekst"/>
              <w:suppressAutoHyphens/>
              <w:kinsoku w:val="0"/>
              <w:overflowPunct w:val="0"/>
              <w:ind w:left="0"/>
              <w:jc w:val="center"/>
              <w:rPr>
                <w:color w:val="000000" w:themeColor="text1"/>
                <w:sz w:val="22"/>
                <w:szCs w:val="22"/>
                <w:lang w:val="ru-RU" w:eastAsia="ru-RU"/>
              </w:rPr>
            </w:pPr>
            <w:r w:rsidRPr="00401ECA">
              <w:rPr>
                <w:color w:val="000000" w:themeColor="text1"/>
                <w:sz w:val="22"/>
                <w:szCs w:val="22"/>
                <w:lang w:val="ru-RU" w:eastAsia="ru-RU"/>
              </w:rPr>
              <w:t>(0,002; 0,65)</w:t>
            </w:r>
          </w:p>
        </w:tc>
        <w:tc>
          <w:tcPr>
            <w:tcW w:w="662" w:type="pct"/>
            <w:tcBorders>
              <w:top w:val="single" w:sz="4" w:space="0" w:color="000000"/>
              <w:left w:val="single" w:sz="4" w:space="0" w:color="000000"/>
              <w:bottom w:val="single" w:sz="4" w:space="0" w:color="000000"/>
              <w:right w:val="single" w:sz="4" w:space="0" w:color="000000"/>
            </w:tcBorders>
            <w:tcMar>
              <w:top w:w="28" w:type="dxa"/>
              <w:left w:w="0" w:type="dxa"/>
              <w:bottom w:w="28" w:type="dxa"/>
              <w:right w:w="0" w:type="dxa"/>
            </w:tcMar>
            <w:hideMark/>
          </w:tcPr>
          <w:p w14:paraId="39BEC278" w14:textId="77777777" w:rsidR="00D41138" w:rsidRPr="00401ECA" w:rsidRDefault="00D41138">
            <w:pPr>
              <w:pStyle w:val="Brdtekst"/>
              <w:suppressAutoHyphens/>
              <w:kinsoku w:val="0"/>
              <w:overflowPunct w:val="0"/>
              <w:ind w:left="0"/>
              <w:jc w:val="center"/>
              <w:rPr>
                <w:color w:val="000000" w:themeColor="text1"/>
                <w:sz w:val="22"/>
                <w:szCs w:val="22"/>
                <w:lang w:val="ru-RU" w:eastAsia="ru-RU"/>
              </w:rPr>
            </w:pPr>
            <w:r w:rsidRPr="00401ECA">
              <w:rPr>
                <w:color w:val="000000" w:themeColor="text1"/>
                <w:sz w:val="22"/>
                <w:szCs w:val="22"/>
                <w:lang w:val="ru-RU" w:eastAsia="ru-RU"/>
              </w:rPr>
              <w:t>0,0490</w:t>
            </w:r>
          </w:p>
        </w:tc>
        <w:tc>
          <w:tcPr>
            <w:tcW w:w="1065" w:type="pct"/>
            <w:tcBorders>
              <w:top w:val="single" w:sz="4" w:space="0" w:color="000000"/>
              <w:left w:val="single" w:sz="4" w:space="0" w:color="000000"/>
              <w:bottom w:val="single" w:sz="4" w:space="0" w:color="000000"/>
              <w:right w:val="single" w:sz="4" w:space="0" w:color="000000"/>
            </w:tcBorders>
            <w:tcMar>
              <w:top w:w="28" w:type="dxa"/>
              <w:left w:w="0" w:type="dxa"/>
              <w:bottom w:w="28" w:type="dxa"/>
              <w:right w:w="0" w:type="dxa"/>
            </w:tcMar>
            <w:hideMark/>
          </w:tcPr>
          <w:p w14:paraId="66374863" w14:textId="77777777" w:rsidR="00D41138" w:rsidRPr="00401ECA" w:rsidRDefault="00D41138">
            <w:pPr>
              <w:pStyle w:val="Brdtekst"/>
              <w:suppressAutoHyphens/>
              <w:kinsoku w:val="0"/>
              <w:overflowPunct w:val="0"/>
              <w:ind w:left="0"/>
              <w:jc w:val="center"/>
              <w:rPr>
                <w:color w:val="000000" w:themeColor="text1"/>
                <w:sz w:val="22"/>
                <w:szCs w:val="22"/>
                <w:lang w:val="ru-RU" w:eastAsia="ru-RU"/>
              </w:rPr>
            </w:pPr>
            <w:r w:rsidRPr="00401ECA">
              <w:rPr>
                <w:color w:val="000000" w:themeColor="text1"/>
                <w:sz w:val="22"/>
                <w:szCs w:val="22"/>
                <w:lang w:val="ru-RU" w:eastAsia="ru-RU"/>
              </w:rPr>
              <w:t>0,45</w:t>
            </w:r>
          </w:p>
          <w:p w14:paraId="71E0F326" w14:textId="77777777" w:rsidR="00D41138" w:rsidRPr="00401ECA" w:rsidRDefault="00D41138">
            <w:pPr>
              <w:pStyle w:val="Brdtekst"/>
              <w:suppressAutoHyphens/>
              <w:kinsoku w:val="0"/>
              <w:overflowPunct w:val="0"/>
              <w:ind w:left="0"/>
              <w:jc w:val="center"/>
              <w:rPr>
                <w:color w:val="000000" w:themeColor="text1"/>
                <w:sz w:val="22"/>
                <w:szCs w:val="22"/>
                <w:lang w:val="ru-RU" w:eastAsia="ru-RU"/>
              </w:rPr>
            </w:pPr>
            <w:r w:rsidRPr="00401ECA">
              <w:rPr>
                <w:color w:val="000000" w:themeColor="text1"/>
                <w:sz w:val="22"/>
                <w:szCs w:val="22"/>
                <w:lang w:val="ru-RU" w:eastAsia="ru-RU"/>
              </w:rPr>
              <w:t>(0,26; 0,65)</w:t>
            </w:r>
          </w:p>
        </w:tc>
        <w:tc>
          <w:tcPr>
            <w:tcW w:w="797" w:type="pct"/>
            <w:tcBorders>
              <w:top w:val="single" w:sz="4" w:space="0" w:color="000000"/>
              <w:left w:val="single" w:sz="4" w:space="0" w:color="000000"/>
              <w:bottom w:val="single" w:sz="4" w:space="0" w:color="000000"/>
              <w:right w:val="single" w:sz="4" w:space="0" w:color="000000"/>
            </w:tcBorders>
            <w:tcMar>
              <w:top w:w="28" w:type="dxa"/>
              <w:left w:w="0" w:type="dxa"/>
              <w:bottom w:w="28" w:type="dxa"/>
              <w:right w:w="0" w:type="dxa"/>
            </w:tcMar>
            <w:hideMark/>
          </w:tcPr>
          <w:p w14:paraId="5DDCFC4D" w14:textId="77777777" w:rsidR="00D41138" w:rsidRPr="00401ECA" w:rsidRDefault="00D41138">
            <w:pPr>
              <w:pStyle w:val="Brdtekst"/>
              <w:suppressAutoHyphens/>
              <w:kinsoku w:val="0"/>
              <w:overflowPunct w:val="0"/>
              <w:ind w:left="0"/>
              <w:jc w:val="center"/>
              <w:rPr>
                <w:color w:val="000000" w:themeColor="text1"/>
                <w:sz w:val="22"/>
                <w:szCs w:val="22"/>
                <w:lang w:val="ru-RU" w:eastAsia="ru-RU"/>
              </w:rPr>
            </w:pPr>
            <w:r w:rsidRPr="00401ECA">
              <w:rPr>
                <w:color w:val="000000" w:themeColor="text1"/>
                <w:sz w:val="22"/>
                <w:szCs w:val="22"/>
                <w:lang w:val="ru-RU" w:eastAsia="ru-RU"/>
              </w:rPr>
              <w:t>&lt;0,0001</w:t>
            </w:r>
          </w:p>
        </w:tc>
      </w:tr>
    </w:tbl>
    <w:p w14:paraId="72C59C80" w14:textId="77777777" w:rsidR="00D41138" w:rsidRPr="00337216" w:rsidRDefault="00D41138" w:rsidP="00D41138">
      <w:pPr>
        <w:pStyle w:val="Brdtekst"/>
        <w:suppressAutoHyphens/>
        <w:kinsoku w:val="0"/>
        <w:overflowPunct w:val="0"/>
        <w:ind w:left="0"/>
        <w:rPr>
          <w:color w:val="000000" w:themeColor="text1"/>
          <w:sz w:val="20"/>
          <w:szCs w:val="20"/>
        </w:rPr>
      </w:pPr>
      <w:r w:rsidRPr="00337216">
        <w:rPr>
          <w:color w:val="000000" w:themeColor="text1"/>
          <w:sz w:val="20"/>
          <w:szCs w:val="20"/>
        </w:rPr>
        <w:t xml:space="preserve">CI: Konfidensinterval, NA: ikke analyseret på grund af en lav forekomst af hændelserne </w:t>
      </w:r>
    </w:p>
    <w:p w14:paraId="2211DB75" w14:textId="235450BD" w:rsidR="00D41138" w:rsidRPr="00337216" w:rsidRDefault="00D41138" w:rsidP="00337216">
      <w:pPr>
        <w:pStyle w:val="Brdtekst"/>
        <w:suppressAutoHyphens/>
        <w:kinsoku w:val="0"/>
        <w:overflowPunct w:val="0"/>
        <w:ind w:left="284" w:hanging="284"/>
        <w:rPr>
          <w:color w:val="000000" w:themeColor="text1"/>
          <w:sz w:val="20"/>
          <w:szCs w:val="20"/>
        </w:rPr>
      </w:pPr>
      <w:r w:rsidRPr="00337216">
        <w:rPr>
          <w:color w:val="000000" w:themeColor="text1"/>
          <w:sz w:val="20"/>
          <w:szCs w:val="20"/>
          <w:vertAlign w:val="superscript"/>
        </w:rPr>
        <w:t xml:space="preserve">a </w:t>
      </w:r>
      <w:r w:rsidR="00337216" w:rsidRPr="00337216">
        <w:rPr>
          <w:color w:val="000000" w:themeColor="text1"/>
          <w:sz w:val="20"/>
          <w:szCs w:val="20"/>
          <w:vertAlign w:val="superscript"/>
        </w:rPr>
        <w:tab/>
      </w:r>
      <w:r w:rsidRPr="00337216">
        <w:rPr>
          <w:color w:val="000000" w:themeColor="text1"/>
          <w:sz w:val="20"/>
          <w:szCs w:val="20"/>
        </w:rPr>
        <w:t xml:space="preserve">Behandlingsforskel=ivacaftors virkning – placebos virkning </w:t>
      </w:r>
    </w:p>
    <w:p w14:paraId="221CD2C6" w14:textId="74AA2E7C" w:rsidR="00D41138" w:rsidRPr="00337216" w:rsidRDefault="00D41138" w:rsidP="00337216">
      <w:pPr>
        <w:pStyle w:val="Brdtekst"/>
        <w:suppressAutoHyphens/>
        <w:kinsoku w:val="0"/>
        <w:overflowPunct w:val="0"/>
        <w:ind w:left="284" w:hanging="284"/>
        <w:rPr>
          <w:color w:val="000000" w:themeColor="text1"/>
          <w:sz w:val="20"/>
          <w:szCs w:val="20"/>
        </w:rPr>
      </w:pPr>
      <w:r w:rsidRPr="00337216">
        <w:rPr>
          <w:color w:val="000000" w:themeColor="text1"/>
          <w:sz w:val="20"/>
          <w:szCs w:val="20"/>
          <w:vertAlign w:val="superscript"/>
        </w:rPr>
        <w:t xml:space="preserve">b </w:t>
      </w:r>
      <w:r w:rsidR="00337216" w:rsidRPr="00337216">
        <w:rPr>
          <w:color w:val="000000" w:themeColor="text1"/>
          <w:sz w:val="20"/>
          <w:szCs w:val="20"/>
          <w:vertAlign w:val="superscript"/>
        </w:rPr>
        <w:tab/>
      </w:r>
      <w:r w:rsidRPr="00337216">
        <w:rPr>
          <w:color w:val="000000" w:themeColor="text1"/>
          <w:sz w:val="20"/>
          <w:szCs w:val="20"/>
        </w:rPr>
        <w:t xml:space="preserve">CFQ-R: </w:t>
      </w:r>
      <w:r w:rsidRPr="00337216">
        <w:rPr>
          <w:i/>
          <w:color w:val="000000" w:themeColor="text1"/>
          <w:sz w:val="20"/>
          <w:szCs w:val="20"/>
        </w:rPr>
        <w:t>Cystic Fibrosis Questionnaire-Revised</w:t>
      </w:r>
      <w:r w:rsidRPr="00337216">
        <w:rPr>
          <w:color w:val="000000" w:themeColor="text1"/>
          <w:sz w:val="20"/>
          <w:szCs w:val="20"/>
        </w:rPr>
        <w:t xml:space="preserve"> er et sygdomsspecifikt, sundhedsrelateret mål for livskvalitet for CF. </w:t>
      </w:r>
    </w:p>
    <w:p w14:paraId="46CEC368" w14:textId="3FC6445B" w:rsidR="00D41138" w:rsidRPr="00337216" w:rsidRDefault="00D41138" w:rsidP="00337216">
      <w:pPr>
        <w:pStyle w:val="Brdtekst"/>
        <w:suppressAutoHyphens/>
        <w:kinsoku w:val="0"/>
        <w:overflowPunct w:val="0"/>
        <w:ind w:left="284" w:hanging="284"/>
        <w:rPr>
          <w:color w:val="000000" w:themeColor="text1"/>
          <w:sz w:val="20"/>
          <w:szCs w:val="20"/>
        </w:rPr>
      </w:pPr>
      <w:r w:rsidRPr="00337216">
        <w:rPr>
          <w:color w:val="000000" w:themeColor="text1"/>
          <w:sz w:val="20"/>
          <w:szCs w:val="20"/>
          <w:vertAlign w:val="superscript"/>
        </w:rPr>
        <w:t>c</w:t>
      </w:r>
      <w:r w:rsidRPr="00337216">
        <w:rPr>
          <w:color w:val="000000" w:themeColor="text1"/>
          <w:sz w:val="20"/>
          <w:szCs w:val="20"/>
        </w:rPr>
        <w:t xml:space="preserve"> </w:t>
      </w:r>
      <w:r w:rsidR="00337216" w:rsidRPr="00337216">
        <w:rPr>
          <w:color w:val="000000" w:themeColor="text1"/>
          <w:sz w:val="20"/>
          <w:szCs w:val="20"/>
        </w:rPr>
        <w:tab/>
      </w:r>
      <w:r w:rsidRPr="00337216">
        <w:rPr>
          <w:color w:val="000000" w:themeColor="text1"/>
          <w:sz w:val="20"/>
          <w:szCs w:val="20"/>
        </w:rPr>
        <w:t xml:space="preserve">Studie 770-102-data var samlet fra CFQ-R for voksne/unge og CFQ-R for børn fra 12 til 13 år. Studie 770-103-data blev opnået fra CFQ-R for børn fra 6 til 11 år. </w:t>
      </w:r>
    </w:p>
    <w:p w14:paraId="052B3F95" w14:textId="343933E5" w:rsidR="00D41138" w:rsidRPr="00337216" w:rsidRDefault="00D41138" w:rsidP="00337216">
      <w:pPr>
        <w:pStyle w:val="Brdtekst"/>
        <w:suppressAutoHyphens/>
        <w:kinsoku w:val="0"/>
        <w:overflowPunct w:val="0"/>
        <w:ind w:left="284" w:hanging="284"/>
        <w:rPr>
          <w:color w:val="000000" w:themeColor="text1"/>
          <w:sz w:val="20"/>
          <w:szCs w:val="20"/>
        </w:rPr>
      </w:pPr>
      <w:r w:rsidRPr="00337216">
        <w:rPr>
          <w:color w:val="000000" w:themeColor="text1"/>
          <w:sz w:val="20"/>
          <w:szCs w:val="20"/>
          <w:vertAlign w:val="superscript"/>
        </w:rPr>
        <w:t xml:space="preserve">d </w:t>
      </w:r>
      <w:r w:rsidR="00337216" w:rsidRPr="00337216">
        <w:rPr>
          <w:color w:val="000000" w:themeColor="text1"/>
          <w:sz w:val="20"/>
          <w:szCs w:val="20"/>
          <w:vertAlign w:val="superscript"/>
        </w:rPr>
        <w:tab/>
      </w:r>
      <w:r w:rsidRPr="00337216">
        <w:rPr>
          <w:color w:val="000000" w:themeColor="text1"/>
          <w:sz w:val="20"/>
          <w:szCs w:val="20"/>
        </w:rPr>
        <w:t>Hazard ratio for tid til første exacerbation</w:t>
      </w:r>
    </w:p>
    <w:p w14:paraId="6732DF97" w14:textId="1188B40F" w:rsidR="00D41138" w:rsidRPr="00337216" w:rsidRDefault="00D41138" w:rsidP="00337216">
      <w:pPr>
        <w:pStyle w:val="Brdtekst"/>
        <w:suppressAutoHyphens/>
        <w:kinsoku w:val="0"/>
        <w:overflowPunct w:val="0"/>
        <w:ind w:left="284" w:hanging="284"/>
        <w:rPr>
          <w:color w:val="000000" w:themeColor="text1"/>
          <w:sz w:val="20"/>
          <w:szCs w:val="20"/>
        </w:rPr>
      </w:pPr>
      <w:r w:rsidRPr="00337216">
        <w:rPr>
          <w:color w:val="000000" w:themeColor="text1"/>
          <w:sz w:val="20"/>
          <w:szCs w:val="20"/>
          <w:vertAlign w:val="superscript"/>
        </w:rPr>
        <w:t xml:space="preserve">e </w:t>
      </w:r>
      <w:r w:rsidR="00337216" w:rsidRPr="00337216">
        <w:rPr>
          <w:color w:val="000000" w:themeColor="text1"/>
          <w:sz w:val="20"/>
          <w:szCs w:val="20"/>
          <w:vertAlign w:val="superscript"/>
        </w:rPr>
        <w:tab/>
      </w:r>
      <w:r w:rsidRPr="00337216">
        <w:rPr>
          <w:color w:val="000000" w:themeColor="text1"/>
          <w:sz w:val="20"/>
          <w:szCs w:val="20"/>
        </w:rPr>
        <w:t xml:space="preserve">Hos personer under 20 år (CDC vækstkurver). </w:t>
      </w:r>
    </w:p>
    <w:p w14:paraId="25B880FE" w14:textId="77777777" w:rsidR="00D41138" w:rsidRPr="002748AE" w:rsidRDefault="00D41138" w:rsidP="00D41138">
      <w:pPr>
        <w:pStyle w:val="Brdtekst"/>
        <w:widowControl/>
        <w:suppressAutoHyphens/>
        <w:kinsoku w:val="0"/>
        <w:overflowPunct w:val="0"/>
        <w:ind w:left="0"/>
        <w:rPr>
          <w:color w:val="000000" w:themeColor="text1"/>
        </w:rPr>
      </w:pPr>
    </w:p>
    <w:p w14:paraId="323961A6" w14:textId="77777777" w:rsidR="00D41138" w:rsidRPr="00337216" w:rsidRDefault="00D41138" w:rsidP="00F526B8">
      <w:pPr>
        <w:ind w:left="851"/>
        <w:rPr>
          <w:i/>
          <w:sz w:val="24"/>
          <w:szCs w:val="24"/>
          <w:u w:val="single"/>
        </w:rPr>
      </w:pPr>
      <w:r w:rsidRPr="00337216">
        <w:rPr>
          <w:i/>
          <w:sz w:val="24"/>
          <w:szCs w:val="24"/>
          <w:u w:val="single"/>
        </w:rPr>
        <w:t xml:space="preserve">Studie 770-111: studie hos patienter med CF med non-G551D gating-mutationer </w:t>
      </w:r>
    </w:p>
    <w:p w14:paraId="5E63DAD2" w14:textId="77777777" w:rsidR="00D41138" w:rsidRPr="002748AE" w:rsidRDefault="00D41138" w:rsidP="00F526B8">
      <w:pPr>
        <w:ind w:left="851"/>
        <w:rPr>
          <w:sz w:val="24"/>
          <w:szCs w:val="24"/>
        </w:rPr>
      </w:pPr>
      <w:r w:rsidRPr="002748AE">
        <w:rPr>
          <w:sz w:val="24"/>
          <w:szCs w:val="24"/>
        </w:rPr>
        <w:t xml:space="preserve">Studie 770-111 var et fase 3, todelt, randomiseret, dobbeltblindet, placebokontrolleret </w:t>
      </w:r>
    </w:p>
    <w:p w14:paraId="37CE8900" w14:textId="77777777" w:rsidR="00D41138" w:rsidRPr="002748AE" w:rsidRDefault="00D41138" w:rsidP="00F526B8">
      <w:pPr>
        <w:ind w:left="851"/>
        <w:rPr>
          <w:sz w:val="24"/>
          <w:szCs w:val="24"/>
        </w:rPr>
      </w:pPr>
      <w:r w:rsidRPr="002748AE">
        <w:rPr>
          <w:sz w:val="24"/>
          <w:szCs w:val="24"/>
        </w:rPr>
        <w:t xml:space="preserve">overkrydsningsstudie (del 1), efterfulgt af en 16-ugers åben forlængelsesperiode (del 2), til at evaluere ivacaftors virkning og sikkerhed hos CF-patienter i alderen 6 år og derover, som har en G970R eller non-G551D gating-mutation i CFTR-genet (G178R, S549N, S549R, G551S, G1244E, S1251N, S1255P eller G1349D). </w:t>
      </w:r>
    </w:p>
    <w:p w14:paraId="096A8F42" w14:textId="77777777" w:rsidR="00D41138" w:rsidRPr="002748AE" w:rsidRDefault="00D41138" w:rsidP="00F526B8">
      <w:pPr>
        <w:ind w:left="851"/>
        <w:rPr>
          <w:sz w:val="24"/>
          <w:szCs w:val="24"/>
        </w:rPr>
      </w:pPr>
      <w:r w:rsidRPr="002748AE">
        <w:rPr>
          <w:sz w:val="24"/>
          <w:szCs w:val="24"/>
        </w:rPr>
        <w:t xml:space="preserve"> </w:t>
      </w:r>
    </w:p>
    <w:p w14:paraId="58068AAD" w14:textId="77777777" w:rsidR="00D41138" w:rsidRPr="002748AE" w:rsidRDefault="00D41138" w:rsidP="00F526B8">
      <w:pPr>
        <w:ind w:left="851"/>
        <w:rPr>
          <w:sz w:val="24"/>
          <w:szCs w:val="24"/>
        </w:rPr>
      </w:pPr>
      <w:r w:rsidRPr="002748AE">
        <w:rPr>
          <w:sz w:val="24"/>
          <w:szCs w:val="24"/>
        </w:rPr>
        <w:t xml:space="preserve">I del 1 blev patienterne randomiseret i forholdet 1:1 til at få enten 150 mg ivacaftor eller placebo hver 12 time sammen med fedtholdig mad i 8 uger i tillæg til deres ordinerede behandlinger mod CF, og de overkrydsede til den anden behandling i andre 8 uger efter en 4- til 8-ugers udvaskningsperiode. Anvendelse af inhaleret hypertonisk saltvand var ikke tilladt. I del 2 fik alle patienter ivacaftor som angivet i del 1 i yderligere 16 uger. Varigheden af kontinuerlig ivacaftor-behandling var 24 uger for patienter, der var randomiseret til placebo/ivacaftor-behandlingssekvens i del 1, og 16 uger for patienter, der var randomiseret til ivacaftor/placebo-behandlingssekvens i del 1. </w:t>
      </w:r>
    </w:p>
    <w:p w14:paraId="0E02F56E" w14:textId="77777777" w:rsidR="00D41138" w:rsidRPr="002748AE" w:rsidRDefault="00D41138" w:rsidP="00F526B8">
      <w:pPr>
        <w:ind w:left="851"/>
        <w:rPr>
          <w:sz w:val="24"/>
          <w:szCs w:val="24"/>
        </w:rPr>
      </w:pPr>
      <w:r w:rsidRPr="002748AE">
        <w:rPr>
          <w:sz w:val="24"/>
          <w:szCs w:val="24"/>
        </w:rPr>
        <w:t xml:space="preserve"> </w:t>
      </w:r>
    </w:p>
    <w:p w14:paraId="228E23A0" w14:textId="77777777" w:rsidR="00D41138" w:rsidRPr="002748AE" w:rsidRDefault="00D41138" w:rsidP="00F526B8">
      <w:pPr>
        <w:ind w:left="851"/>
        <w:rPr>
          <w:sz w:val="24"/>
          <w:szCs w:val="24"/>
        </w:rPr>
      </w:pPr>
      <w:r w:rsidRPr="002748AE">
        <w:rPr>
          <w:sz w:val="24"/>
          <w:szCs w:val="24"/>
        </w:rPr>
        <w:t>39 patienter (gennemsnitsalder 23 år) med baseline-FEV</w:t>
      </w:r>
      <w:r w:rsidRPr="002748AE">
        <w:rPr>
          <w:sz w:val="24"/>
          <w:szCs w:val="24"/>
          <w:vertAlign w:val="subscript"/>
        </w:rPr>
        <w:t>1</w:t>
      </w:r>
      <w:r w:rsidRPr="002748AE">
        <w:rPr>
          <w:sz w:val="24"/>
          <w:szCs w:val="24"/>
        </w:rPr>
        <w:t xml:space="preserve"> ≥40 % forventet (gennemsnitlig FEV</w:t>
      </w:r>
      <w:r w:rsidRPr="002748AE">
        <w:rPr>
          <w:sz w:val="24"/>
          <w:szCs w:val="24"/>
          <w:vertAlign w:val="subscript"/>
        </w:rPr>
        <w:t>1</w:t>
      </w:r>
      <w:r w:rsidRPr="002748AE">
        <w:rPr>
          <w:sz w:val="24"/>
          <w:szCs w:val="24"/>
        </w:rPr>
        <w:t xml:space="preserve"> 78 % forventet [interval: 43 % til 119 %]) indgik. 62 % (24/39) var bærere af F508del-CFTR-mutationen i den anden allel. I alt 36 patienter fortsatte i del 2 (18 i hver behandlingssekvens). </w:t>
      </w:r>
    </w:p>
    <w:p w14:paraId="41F98079" w14:textId="77777777" w:rsidR="00D41138" w:rsidRPr="002748AE" w:rsidRDefault="00D41138" w:rsidP="00F526B8">
      <w:pPr>
        <w:ind w:left="851"/>
        <w:rPr>
          <w:sz w:val="24"/>
          <w:szCs w:val="24"/>
        </w:rPr>
      </w:pPr>
      <w:r w:rsidRPr="002748AE">
        <w:rPr>
          <w:sz w:val="24"/>
          <w:szCs w:val="24"/>
        </w:rPr>
        <w:t xml:space="preserve"> </w:t>
      </w:r>
    </w:p>
    <w:p w14:paraId="1BC28983" w14:textId="0C4B50C5" w:rsidR="00D41138" w:rsidRPr="002748AE" w:rsidRDefault="00D41138" w:rsidP="00F526B8">
      <w:pPr>
        <w:ind w:left="851"/>
        <w:rPr>
          <w:sz w:val="24"/>
          <w:szCs w:val="24"/>
        </w:rPr>
      </w:pPr>
      <w:r w:rsidRPr="002748AE">
        <w:rPr>
          <w:sz w:val="24"/>
          <w:szCs w:val="24"/>
        </w:rPr>
        <w:t>I del 1 af studie 770-111 var den gennemsnitlige FEV</w:t>
      </w:r>
      <w:r w:rsidRPr="002748AE">
        <w:rPr>
          <w:sz w:val="24"/>
          <w:szCs w:val="24"/>
          <w:vertAlign w:val="subscript"/>
        </w:rPr>
        <w:t>1</w:t>
      </w:r>
      <w:r w:rsidRPr="002748AE">
        <w:rPr>
          <w:sz w:val="24"/>
          <w:szCs w:val="24"/>
        </w:rPr>
        <w:t xml:space="preserve"> procent af forventet ved baseline hos placebobehandlede patienter 79,3 %, mens den var 76,4 % hos ivacaftor-behandlede patienter. Den gennemsnitlige samlede værdi efter baseline var hhv. 76,0 % og 83,7 %. Den gennemsnitlige absolutte ændring fra baseline til og med uge 8 i procent af forventet FEV</w:t>
      </w:r>
      <w:r w:rsidRPr="002748AE">
        <w:rPr>
          <w:sz w:val="24"/>
          <w:szCs w:val="24"/>
          <w:vertAlign w:val="subscript"/>
        </w:rPr>
        <w:t>1</w:t>
      </w:r>
      <w:r w:rsidRPr="002748AE">
        <w:rPr>
          <w:sz w:val="24"/>
          <w:szCs w:val="24"/>
        </w:rPr>
        <w:t xml:space="preserve"> (primære virkningsendepunkt) var 7,5 % i ivacaftor-perioden, og -3,2 % i placeboperioden. Den observerede behandlingsforskel (95 % CI) mellem ivacaftor og placebo var 10,7 % (7,3; 14,1) (p &lt; 0,0001). </w:t>
      </w:r>
    </w:p>
    <w:p w14:paraId="11221B1E" w14:textId="77777777" w:rsidR="00D41138" w:rsidRPr="002748AE" w:rsidRDefault="00D41138" w:rsidP="00F526B8">
      <w:pPr>
        <w:ind w:left="851"/>
        <w:rPr>
          <w:sz w:val="24"/>
          <w:szCs w:val="24"/>
        </w:rPr>
      </w:pPr>
      <w:r w:rsidRPr="002748AE">
        <w:rPr>
          <w:sz w:val="24"/>
          <w:szCs w:val="24"/>
        </w:rPr>
        <w:t xml:space="preserve"> </w:t>
      </w:r>
    </w:p>
    <w:p w14:paraId="46625BB1" w14:textId="40665867" w:rsidR="00D41138" w:rsidRPr="002748AE" w:rsidRDefault="00D41138" w:rsidP="00F526B8">
      <w:pPr>
        <w:ind w:left="851"/>
        <w:rPr>
          <w:sz w:val="24"/>
          <w:szCs w:val="24"/>
        </w:rPr>
      </w:pPr>
      <w:r w:rsidRPr="002748AE">
        <w:rPr>
          <w:sz w:val="24"/>
          <w:szCs w:val="24"/>
        </w:rPr>
        <w:t>Ivacaftors virkning i den samlede population i studie 770-111 (herunder de sekundære endepunkter absolut ændring i BMI efter 8 ugers behandling og absolut ændring i CFQ-R-score for respirationssymptomer til og med 8 ugers behandling) og ved individuel mutation (absolut ændring i sved-chlorid og i procent af forventet FEV</w:t>
      </w:r>
      <w:r w:rsidRPr="002748AE">
        <w:rPr>
          <w:sz w:val="24"/>
          <w:szCs w:val="24"/>
          <w:vertAlign w:val="subscript"/>
        </w:rPr>
        <w:t>1</w:t>
      </w:r>
      <w:r w:rsidRPr="002748AE">
        <w:rPr>
          <w:sz w:val="24"/>
          <w:szCs w:val="24"/>
        </w:rPr>
        <w:t xml:space="preserve"> ved uge 8) vises i tabel 8. Virkningen hos patienter med G970R-mutationen kan ikke klarlægges på basis af det kliniske (procent af forventet FEV</w:t>
      </w:r>
      <w:r w:rsidRPr="002748AE">
        <w:rPr>
          <w:sz w:val="24"/>
          <w:szCs w:val="24"/>
          <w:vertAlign w:val="subscript"/>
        </w:rPr>
        <w:t>1</w:t>
      </w:r>
      <w:r w:rsidRPr="002748AE">
        <w:rPr>
          <w:sz w:val="24"/>
          <w:szCs w:val="24"/>
        </w:rPr>
        <w:t xml:space="preserve">) og farmakodynamiske (sved-chlorid) respons på ivacaftor. </w:t>
      </w:r>
    </w:p>
    <w:p w14:paraId="466468C5" w14:textId="00896CB5" w:rsidR="00401ECA" w:rsidRDefault="00D41138" w:rsidP="00F526B8">
      <w:pPr>
        <w:ind w:left="851"/>
        <w:rPr>
          <w:b/>
          <w:sz w:val="24"/>
          <w:szCs w:val="24"/>
        </w:rPr>
      </w:pPr>
      <w:r w:rsidRPr="002748AE">
        <w:rPr>
          <w:b/>
          <w:sz w:val="24"/>
          <w:szCs w:val="24"/>
        </w:rPr>
        <w:t xml:space="preserve"> </w:t>
      </w:r>
    </w:p>
    <w:p w14:paraId="331C0FAE" w14:textId="77777777" w:rsidR="00401ECA" w:rsidRDefault="00401ECA">
      <w:pPr>
        <w:rPr>
          <w:b/>
          <w:sz w:val="24"/>
          <w:szCs w:val="24"/>
        </w:rPr>
      </w:pPr>
      <w:r>
        <w:rPr>
          <w:b/>
          <w:sz w:val="24"/>
          <w:szCs w:val="24"/>
        </w:rPr>
        <w:br w:type="page"/>
      </w:r>
    </w:p>
    <w:p w14:paraId="321591DC" w14:textId="77777777" w:rsidR="00D41138" w:rsidRPr="002748AE" w:rsidRDefault="00D41138" w:rsidP="00F526B8">
      <w:pPr>
        <w:ind w:left="851"/>
        <w:rPr>
          <w:sz w:val="24"/>
          <w:szCs w:val="24"/>
        </w:rPr>
      </w:pPr>
    </w:p>
    <w:p w14:paraId="151434BF" w14:textId="77777777" w:rsidR="00D41138" w:rsidRPr="002748AE" w:rsidRDefault="00D41138" w:rsidP="00F526B8">
      <w:pPr>
        <w:ind w:left="851"/>
        <w:rPr>
          <w:sz w:val="24"/>
          <w:szCs w:val="24"/>
        </w:rPr>
      </w:pPr>
      <w:r w:rsidRPr="002748AE">
        <w:rPr>
          <w:b/>
          <w:sz w:val="24"/>
          <w:szCs w:val="24"/>
        </w:rPr>
        <w:t>Tabel 8: Ivacaftors virkning på virkningsvariable i den samlede population og for specifikke CFTR-mutationer</w:t>
      </w:r>
    </w:p>
    <w:p w14:paraId="43383B6F" w14:textId="77777777" w:rsidR="00D41138" w:rsidRPr="002748AE" w:rsidRDefault="00D41138" w:rsidP="00F526B8">
      <w:pPr>
        <w:ind w:left="851"/>
        <w:rPr>
          <w:b/>
          <w:sz w:val="24"/>
          <w:szCs w:val="24"/>
        </w:rPr>
      </w:pPr>
    </w:p>
    <w:tbl>
      <w:tblPr>
        <w:tblW w:w="5000" w:type="pct"/>
        <w:jc w:val="center"/>
        <w:tblCellMar>
          <w:top w:w="78" w:type="dxa"/>
          <w:left w:w="107" w:type="dxa"/>
          <w:right w:w="91" w:type="dxa"/>
        </w:tblCellMar>
        <w:tblLook w:val="04A0" w:firstRow="1" w:lastRow="0" w:firstColumn="1" w:lastColumn="0" w:noHBand="0" w:noVBand="1"/>
      </w:tblPr>
      <w:tblGrid>
        <w:gridCol w:w="1938"/>
        <w:gridCol w:w="1356"/>
        <w:gridCol w:w="2463"/>
        <w:gridCol w:w="676"/>
        <w:gridCol w:w="3195"/>
      </w:tblGrid>
      <w:tr w:rsidR="00D41138" w:rsidRPr="003906CC" w14:paraId="0844FCE6" w14:textId="77777777" w:rsidTr="002748AE">
        <w:trPr>
          <w:trHeight w:val="227"/>
          <w:jc w:val="center"/>
        </w:trPr>
        <w:tc>
          <w:tcPr>
            <w:tcW w:w="1711" w:type="pct"/>
            <w:gridSpan w:val="2"/>
            <w:tcBorders>
              <w:top w:val="single" w:sz="4" w:space="0" w:color="000000"/>
              <w:left w:val="single" w:sz="4" w:space="0" w:color="000000"/>
              <w:bottom w:val="single" w:sz="4" w:space="0" w:color="000000"/>
              <w:right w:val="single" w:sz="4" w:space="0" w:color="000000"/>
            </w:tcBorders>
            <w:tcMar>
              <w:top w:w="28" w:type="dxa"/>
              <w:left w:w="0" w:type="dxa"/>
              <w:bottom w:w="28" w:type="dxa"/>
              <w:right w:w="0" w:type="dxa"/>
            </w:tcMar>
            <w:hideMark/>
          </w:tcPr>
          <w:p w14:paraId="5F4CE611" w14:textId="77777777" w:rsidR="00D41138" w:rsidRPr="00401ECA" w:rsidRDefault="00D41138">
            <w:pPr>
              <w:pStyle w:val="Brdtekst"/>
              <w:keepNext/>
              <w:widowControl/>
              <w:suppressAutoHyphens/>
              <w:kinsoku w:val="0"/>
              <w:overflowPunct w:val="0"/>
              <w:ind w:left="113"/>
              <w:rPr>
                <w:color w:val="000000" w:themeColor="text1"/>
                <w:sz w:val="22"/>
                <w:szCs w:val="22"/>
                <w:lang w:val="ru-RU" w:eastAsia="ru-RU"/>
              </w:rPr>
            </w:pPr>
            <w:r w:rsidRPr="00401ECA">
              <w:rPr>
                <w:b/>
                <w:color w:val="000000" w:themeColor="text1"/>
                <w:sz w:val="22"/>
                <w:szCs w:val="22"/>
                <w:lang w:val="ru-RU" w:eastAsia="ru-RU"/>
              </w:rPr>
              <w:t>Absolut ændring i procent af forventet FEV</w:t>
            </w:r>
            <w:r w:rsidRPr="00401ECA">
              <w:rPr>
                <w:b/>
                <w:color w:val="000000" w:themeColor="text1"/>
                <w:sz w:val="22"/>
                <w:szCs w:val="22"/>
                <w:vertAlign w:val="subscript"/>
                <w:lang w:val="ru-RU" w:eastAsia="ru-RU"/>
              </w:rPr>
              <w:t>1</w:t>
            </w:r>
          </w:p>
        </w:tc>
        <w:tc>
          <w:tcPr>
            <w:tcW w:w="1630" w:type="pct"/>
            <w:gridSpan w:val="2"/>
            <w:tcBorders>
              <w:top w:val="single" w:sz="4" w:space="0" w:color="000000"/>
              <w:left w:val="single" w:sz="4" w:space="0" w:color="000000"/>
              <w:bottom w:val="single" w:sz="4" w:space="0" w:color="000000"/>
              <w:right w:val="single" w:sz="4" w:space="0" w:color="000000"/>
            </w:tcBorders>
            <w:tcMar>
              <w:top w:w="28" w:type="dxa"/>
              <w:left w:w="0" w:type="dxa"/>
              <w:bottom w:w="28" w:type="dxa"/>
              <w:right w:w="0" w:type="dxa"/>
            </w:tcMar>
            <w:hideMark/>
          </w:tcPr>
          <w:p w14:paraId="242304BA" w14:textId="77777777" w:rsidR="00D41138" w:rsidRPr="00401ECA" w:rsidRDefault="00D41138">
            <w:pPr>
              <w:pStyle w:val="Brdtekst"/>
              <w:keepNext/>
              <w:widowControl/>
              <w:suppressAutoHyphens/>
              <w:kinsoku w:val="0"/>
              <w:overflowPunct w:val="0"/>
              <w:ind w:left="113"/>
              <w:rPr>
                <w:b/>
                <w:color w:val="000000" w:themeColor="text1"/>
                <w:sz w:val="22"/>
                <w:szCs w:val="22"/>
                <w:lang w:val="ru-RU" w:eastAsia="ru-RU"/>
              </w:rPr>
            </w:pPr>
            <w:r w:rsidRPr="00401ECA">
              <w:rPr>
                <w:b/>
                <w:color w:val="000000" w:themeColor="text1"/>
                <w:sz w:val="22"/>
                <w:szCs w:val="22"/>
                <w:lang w:val="ru-RU" w:eastAsia="ru-RU"/>
              </w:rPr>
              <w:t xml:space="preserve">BMI </w:t>
            </w:r>
          </w:p>
          <w:p w14:paraId="6E791248" w14:textId="77777777" w:rsidR="00D41138" w:rsidRPr="00401ECA" w:rsidRDefault="00D41138">
            <w:pPr>
              <w:pStyle w:val="Brdtekst"/>
              <w:keepNext/>
              <w:widowControl/>
              <w:suppressAutoHyphens/>
              <w:kinsoku w:val="0"/>
              <w:overflowPunct w:val="0"/>
              <w:ind w:left="113"/>
              <w:rPr>
                <w:color w:val="000000" w:themeColor="text1"/>
                <w:sz w:val="22"/>
                <w:szCs w:val="22"/>
                <w:lang w:val="ru-RU" w:eastAsia="ru-RU"/>
              </w:rPr>
            </w:pPr>
            <w:r w:rsidRPr="00401ECA">
              <w:rPr>
                <w:b/>
                <w:color w:val="000000" w:themeColor="text1"/>
                <w:sz w:val="22"/>
                <w:szCs w:val="22"/>
                <w:lang w:val="ru-RU" w:eastAsia="ru-RU"/>
              </w:rPr>
              <w:t>(kg/m</w:t>
            </w:r>
            <w:r w:rsidRPr="00401ECA">
              <w:rPr>
                <w:b/>
                <w:color w:val="000000" w:themeColor="text1"/>
                <w:sz w:val="22"/>
                <w:szCs w:val="22"/>
                <w:vertAlign w:val="superscript"/>
                <w:lang w:val="ru-RU" w:eastAsia="ru-RU"/>
              </w:rPr>
              <w:t>2</w:t>
            </w:r>
            <w:r w:rsidRPr="00401ECA">
              <w:rPr>
                <w:b/>
                <w:color w:val="000000" w:themeColor="text1"/>
                <w:sz w:val="22"/>
                <w:szCs w:val="22"/>
                <w:lang w:val="ru-RU" w:eastAsia="ru-RU"/>
              </w:rPr>
              <w:t>)</w:t>
            </w:r>
          </w:p>
        </w:tc>
        <w:tc>
          <w:tcPr>
            <w:tcW w:w="1659" w:type="pct"/>
            <w:tcBorders>
              <w:top w:val="single" w:sz="4" w:space="0" w:color="000000"/>
              <w:left w:val="single" w:sz="4" w:space="0" w:color="000000"/>
              <w:bottom w:val="single" w:sz="4" w:space="0" w:color="000000"/>
              <w:right w:val="single" w:sz="4" w:space="0" w:color="000000"/>
            </w:tcBorders>
            <w:tcMar>
              <w:top w:w="28" w:type="dxa"/>
              <w:left w:w="0" w:type="dxa"/>
              <w:bottom w:w="28" w:type="dxa"/>
              <w:right w:w="0" w:type="dxa"/>
            </w:tcMar>
            <w:hideMark/>
          </w:tcPr>
          <w:p w14:paraId="35BF55A2" w14:textId="77777777" w:rsidR="00D41138" w:rsidRPr="00401ECA" w:rsidRDefault="00D41138">
            <w:pPr>
              <w:pStyle w:val="Brdtekst"/>
              <w:keepNext/>
              <w:widowControl/>
              <w:suppressAutoHyphens/>
              <w:kinsoku w:val="0"/>
              <w:overflowPunct w:val="0"/>
              <w:ind w:left="113"/>
              <w:rPr>
                <w:color w:val="000000" w:themeColor="text1"/>
                <w:sz w:val="22"/>
                <w:szCs w:val="22"/>
                <w:lang w:val="en-US" w:eastAsia="ru-RU"/>
              </w:rPr>
            </w:pPr>
            <w:r w:rsidRPr="00401ECA">
              <w:rPr>
                <w:b/>
                <w:color w:val="000000" w:themeColor="text1"/>
                <w:sz w:val="22"/>
                <w:szCs w:val="22"/>
                <w:lang w:val="en-US" w:eastAsia="ru-RU"/>
              </w:rPr>
              <w:t>CFQ-R-score for respirationssymptomer (points)</w:t>
            </w:r>
          </w:p>
        </w:tc>
      </w:tr>
      <w:tr w:rsidR="00D41138" w:rsidRPr="00401ECA" w14:paraId="22C30F97" w14:textId="77777777" w:rsidTr="002748AE">
        <w:trPr>
          <w:trHeight w:val="227"/>
          <w:jc w:val="center"/>
        </w:trPr>
        <w:tc>
          <w:tcPr>
            <w:tcW w:w="1711" w:type="pct"/>
            <w:gridSpan w:val="2"/>
            <w:tcBorders>
              <w:top w:val="single" w:sz="4" w:space="0" w:color="000000"/>
              <w:left w:val="single" w:sz="4" w:space="0" w:color="000000"/>
              <w:bottom w:val="single" w:sz="4" w:space="0" w:color="000000"/>
              <w:right w:val="single" w:sz="4" w:space="0" w:color="000000"/>
            </w:tcBorders>
            <w:tcMar>
              <w:top w:w="28" w:type="dxa"/>
              <w:left w:w="0" w:type="dxa"/>
              <w:bottom w:w="28" w:type="dxa"/>
              <w:right w:w="0" w:type="dxa"/>
            </w:tcMar>
            <w:hideMark/>
          </w:tcPr>
          <w:p w14:paraId="59A6BD40" w14:textId="77777777" w:rsidR="00D41138" w:rsidRPr="00401ECA" w:rsidRDefault="00D41138">
            <w:pPr>
              <w:pStyle w:val="Brdtekst"/>
              <w:keepNext/>
              <w:widowControl/>
              <w:suppressAutoHyphens/>
              <w:kinsoku w:val="0"/>
              <w:overflowPunct w:val="0"/>
              <w:ind w:left="113"/>
              <w:rPr>
                <w:color w:val="000000" w:themeColor="text1"/>
                <w:sz w:val="22"/>
                <w:szCs w:val="22"/>
                <w:lang w:val="ru-RU" w:eastAsia="ru-RU"/>
              </w:rPr>
            </w:pPr>
            <w:r w:rsidRPr="00401ECA">
              <w:rPr>
                <w:b/>
                <w:color w:val="000000" w:themeColor="text1"/>
                <w:sz w:val="22"/>
                <w:szCs w:val="22"/>
                <w:lang w:val="ru-RU" w:eastAsia="ru-RU"/>
              </w:rPr>
              <w:t>til og med uge 8</w:t>
            </w:r>
          </w:p>
        </w:tc>
        <w:tc>
          <w:tcPr>
            <w:tcW w:w="1630" w:type="pct"/>
            <w:gridSpan w:val="2"/>
            <w:tcBorders>
              <w:top w:val="single" w:sz="4" w:space="0" w:color="000000"/>
              <w:left w:val="single" w:sz="4" w:space="0" w:color="000000"/>
              <w:bottom w:val="single" w:sz="4" w:space="0" w:color="000000"/>
              <w:right w:val="single" w:sz="4" w:space="0" w:color="000000"/>
            </w:tcBorders>
            <w:tcMar>
              <w:top w:w="28" w:type="dxa"/>
              <w:left w:w="0" w:type="dxa"/>
              <w:bottom w:w="28" w:type="dxa"/>
              <w:right w:w="0" w:type="dxa"/>
            </w:tcMar>
            <w:hideMark/>
          </w:tcPr>
          <w:p w14:paraId="6CB714D7" w14:textId="77777777" w:rsidR="00D41138" w:rsidRPr="00401ECA" w:rsidRDefault="00D41138">
            <w:pPr>
              <w:pStyle w:val="Brdtekst"/>
              <w:keepNext/>
              <w:widowControl/>
              <w:suppressAutoHyphens/>
              <w:kinsoku w:val="0"/>
              <w:overflowPunct w:val="0"/>
              <w:ind w:left="113"/>
              <w:rPr>
                <w:color w:val="000000" w:themeColor="text1"/>
                <w:sz w:val="22"/>
                <w:szCs w:val="22"/>
                <w:lang w:val="ru-RU" w:eastAsia="ru-RU"/>
              </w:rPr>
            </w:pPr>
            <w:r w:rsidRPr="00401ECA">
              <w:rPr>
                <w:b/>
                <w:color w:val="000000" w:themeColor="text1"/>
                <w:sz w:val="22"/>
                <w:szCs w:val="22"/>
                <w:lang w:val="ru-RU" w:eastAsia="ru-RU"/>
              </w:rPr>
              <w:t>ved uge 8</w:t>
            </w:r>
          </w:p>
        </w:tc>
        <w:tc>
          <w:tcPr>
            <w:tcW w:w="1659" w:type="pct"/>
            <w:tcBorders>
              <w:top w:val="single" w:sz="4" w:space="0" w:color="000000"/>
              <w:left w:val="single" w:sz="4" w:space="0" w:color="000000"/>
              <w:bottom w:val="single" w:sz="4" w:space="0" w:color="000000"/>
              <w:right w:val="single" w:sz="4" w:space="0" w:color="000000"/>
            </w:tcBorders>
            <w:tcMar>
              <w:top w:w="28" w:type="dxa"/>
              <w:left w:w="0" w:type="dxa"/>
              <w:bottom w:w="28" w:type="dxa"/>
              <w:right w:w="0" w:type="dxa"/>
            </w:tcMar>
            <w:hideMark/>
          </w:tcPr>
          <w:p w14:paraId="46A77F14" w14:textId="77777777" w:rsidR="00D41138" w:rsidRPr="00401ECA" w:rsidRDefault="00D41138">
            <w:pPr>
              <w:pStyle w:val="Brdtekst"/>
              <w:keepNext/>
              <w:widowControl/>
              <w:suppressAutoHyphens/>
              <w:kinsoku w:val="0"/>
              <w:overflowPunct w:val="0"/>
              <w:ind w:left="113"/>
              <w:rPr>
                <w:color w:val="000000" w:themeColor="text1"/>
                <w:sz w:val="22"/>
                <w:szCs w:val="22"/>
                <w:lang w:val="ru-RU" w:eastAsia="ru-RU"/>
              </w:rPr>
            </w:pPr>
            <w:r w:rsidRPr="00401ECA">
              <w:rPr>
                <w:b/>
                <w:color w:val="000000" w:themeColor="text1"/>
                <w:sz w:val="22"/>
                <w:szCs w:val="22"/>
                <w:lang w:val="ru-RU" w:eastAsia="ru-RU"/>
              </w:rPr>
              <w:t>til og med uge 8</w:t>
            </w:r>
          </w:p>
        </w:tc>
      </w:tr>
      <w:tr w:rsidR="00D41138" w:rsidRPr="00401ECA" w14:paraId="40B3B4D9" w14:textId="77777777" w:rsidTr="002748AE">
        <w:trPr>
          <w:trHeight w:val="227"/>
          <w:jc w:val="center"/>
        </w:trPr>
        <w:tc>
          <w:tcPr>
            <w:tcW w:w="5000" w:type="pct"/>
            <w:gridSpan w:val="5"/>
            <w:tcBorders>
              <w:top w:val="single" w:sz="4" w:space="0" w:color="000000"/>
              <w:left w:val="single" w:sz="4" w:space="0" w:color="000000"/>
              <w:bottom w:val="single" w:sz="4" w:space="0" w:color="000000"/>
              <w:right w:val="single" w:sz="4" w:space="0" w:color="000000"/>
            </w:tcBorders>
            <w:tcMar>
              <w:top w:w="28" w:type="dxa"/>
              <w:left w:w="0" w:type="dxa"/>
              <w:bottom w:w="28" w:type="dxa"/>
              <w:right w:w="0" w:type="dxa"/>
            </w:tcMar>
            <w:hideMark/>
          </w:tcPr>
          <w:p w14:paraId="3039C7DB" w14:textId="77777777" w:rsidR="00D41138" w:rsidRPr="00401ECA" w:rsidRDefault="00D41138">
            <w:pPr>
              <w:pStyle w:val="Brdtekst"/>
              <w:keepNext/>
              <w:widowControl/>
              <w:suppressAutoHyphens/>
              <w:kinsoku w:val="0"/>
              <w:overflowPunct w:val="0"/>
              <w:ind w:left="113"/>
              <w:rPr>
                <w:color w:val="000000" w:themeColor="text1"/>
                <w:sz w:val="22"/>
                <w:szCs w:val="22"/>
                <w:lang w:val="ru-RU" w:eastAsia="ru-RU"/>
              </w:rPr>
            </w:pPr>
            <w:r w:rsidRPr="00401ECA">
              <w:rPr>
                <w:color w:val="000000" w:themeColor="text1"/>
                <w:sz w:val="22"/>
                <w:szCs w:val="22"/>
                <w:lang w:val="ru-RU" w:eastAsia="ru-RU"/>
              </w:rPr>
              <w:t xml:space="preserve">Alle patienter (N=39) </w:t>
            </w:r>
          </w:p>
          <w:p w14:paraId="33B4F8A6" w14:textId="77777777" w:rsidR="00D41138" w:rsidRPr="00401ECA" w:rsidRDefault="00D41138">
            <w:pPr>
              <w:pStyle w:val="Brdtekst"/>
              <w:keepNext/>
              <w:widowControl/>
              <w:suppressAutoHyphens/>
              <w:kinsoku w:val="0"/>
              <w:overflowPunct w:val="0"/>
              <w:ind w:left="113"/>
              <w:rPr>
                <w:color w:val="000000" w:themeColor="text1"/>
                <w:sz w:val="22"/>
                <w:szCs w:val="22"/>
                <w:lang w:val="ru-RU" w:eastAsia="ru-RU"/>
              </w:rPr>
            </w:pPr>
            <w:r w:rsidRPr="00401ECA">
              <w:rPr>
                <w:color w:val="000000" w:themeColor="text1"/>
                <w:sz w:val="22"/>
                <w:szCs w:val="22"/>
                <w:lang w:val="ru-RU" w:eastAsia="ru-RU"/>
              </w:rPr>
              <w:t xml:space="preserve">Resultater vist som gennemsnitlig (95 % CI) ændring fra </w:t>
            </w:r>
            <w:r w:rsidRPr="00401ECA">
              <w:rPr>
                <w:i/>
                <w:color w:val="000000" w:themeColor="text1"/>
                <w:sz w:val="22"/>
                <w:szCs w:val="22"/>
                <w:lang w:val="ru-RU" w:eastAsia="ru-RU"/>
              </w:rPr>
              <w:t>baseline</w:t>
            </w:r>
            <w:r w:rsidRPr="00401ECA">
              <w:rPr>
                <w:color w:val="000000" w:themeColor="text1"/>
                <w:sz w:val="22"/>
                <w:szCs w:val="22"/>
                <w:lang w:val="ru-RU" w:eastAsia="ru-RU"/>
              </w:rPr>
              <w:t xml:space="preserve"> for ivacaftor- </w:t>
            </w:r>
            <w:r w:rsidRPr="00401ECA">
              <w:rPr>
                <w:i/>
                <w:color w:val="000000" w:themeColor="text1"/>
                <w:sz w:val="22"/>
                <w:szCs w:val="22"/>
                <w:lang w:val="ru-RU" w:eastAsia="ru-RU"/>
              </w:rPr>
              <w:t>vs.</w:t>
            </w:r>
            <w:r w:rsidRPr="00401ECA">
              <w:rPr>
                <w:color w:val="000000" w:themeColor="text1"/>
                <w:sz w:val="22"/>
                <w:szCs w:val="22"/>
                <w:lang w:val="ru-RU" w:eastAsia="ru-RU"/>
              </w:rPr>
              <w:t xml:space="preserve"> placebobehandlede patienter: </w:t>
            </w:r>
          </w:p>
        </w:tc>
      </w:tr>
      <w:tr w:rsidR="00D41138" w:rsidRPr="00401ECA" w14:paraId="7C26D0B3" w14:textId="77777777" w:rsidTr="002748AE">
        <w:trPr>
          <w:trHeight w:val="227"/>
          <w:jc w:val="center"/>
        </w:trPr>
        <w:tc>
          <w:tcPr>
            <w:tcW w:w="1711" w:type="pct"/>
            <w:gridSpan w:val="2"/>
            <w:tcBorders>
              <w:top w:val="single" w:sz="4" w:space="0" w:color="000000"/>
              <w:left w:val="single" w:sz="4" w:space="0" w:color="000000"/>
              <w:bottom w:val="single" w:sz="4" w:space="0" w:color="000000"/>
              <w:right w:val="single" w:sz="4" w:space="0" w:color="000000"/>
            </w:tcBorders>
            <w:tcMar>
              <w:top w:w="28" w:type="dxa"/>
              <w:left w:w="0" w:type="dxa"/>
              <w:bottom w:w="28" w:type="dxa"/>
              <w:right w:w="0" w:type="dxa"/>
            </w:tcMar>
            <w:hideMark/>
          </w:tcPr>
          <w:p w14:paraId="492DB9AE" w14:textId="77777777" w:rsidR="00D41138" w:rsidRPr="00401ECA" w:rsidRDefault="00D41138">
            <w:pPr>
              <w:pStyle w:val="Brdtekst"/>
              <w:suppressAutoHyphens/>
              <w:kinsoku w:val="0"/>
              <w:overflowPunct w:val="0"/>
              <w:ind w:left="113"/>
              <w:rPr>
                <w:color w:val="000000" w:themeColor="text1"/>
                <w:sz w:val="22"/>
                <w:szCs w:val="22"/>
                <w:lang w:val="ru-RU" w:eastAsia="ru-RU"/>
              </w:rPr>
            </w:pPr>
            <w:r w:rsidRPr="00401ECA">
              <w:rPr>
                <w:color w:val="000000" w:themeColor="text1"/>
                <w:sz w:val="22"/>
                <w:szCs w:val="22"/>
                <w:lang w:val="ru-RU" w:eastAsia="ru-RU"/>
              </w:rPr>
              <w:t>10,7 (7,3; 14,1)</w:t>
            </w:r>
          </w:p>
        </w:tc>
        <w:tc>
          <w:tcPr>
            <w:tcW w:w="1630" w:type="pct"/>
            <w:gridSpan w:val="2"/>
            <w:tcBorders>
              <w:top w:val="single" w:sz="4" w:space="0" w:color="000000"/>
              <w:left w:val="single" w:sz="4" w:space="0" w:color="000000"/>
              <w:bottom w:val="single" w:sz="4" w:space="0" w:color="000000"/>
              <w:right w:val="single" w:sz="4" w:space="0" w:color="000000"/>
            </w:tcBorders>
            <w:tcMar>
              <w:top w:w="28" w:type="dxa"/>
              <w:left w:w="0" w:type="dxa"/>
              <w:bottom w:w="28" w:type="dxa"/>
              <w:right w:w="0" w:type="dxa"/>
            </w:tcMar>
            <w:hideMark/>
          </w:tcPr>
          <w:p w14:paraId="7A3921AC" w14:textId="77777777" w:rsidR="00D41138" w:rsidRPr="00401ECA" w:rsidRDefault="00D41138">
            <w:pPr>
              <w:pStyle w:val="Brdtekst"/>
              <w:suppressAutoHyphens/>
              <w:kinsoku w:val="0"/>
              <w:overflowPunct w:val="0"/>
              <w:ind w:left="113"/>
              <w:rPr>
                <w:color w:val="000000" w:themeColor="text1"/>
                <w:sz w:val="22"/>
                <w:szCs w:val="22"/>
                <w:lang w:val="ru-RU" w:eastAsia="ru-RU"/>
              </w:rPr>
            </w:pPr>
            <w:r w:rsidRPr="00401ECA">
              <w:rPr>
                <w:color w:val="000000" w:themeColor="text1"/>
                <w:sz w:val="22"/>
                <w:szCs w:val="22"/>
                <w:lang w:val="ru-RU" w:eastAsia="ru-RU"/>
              </w:rPr>
              <w:t>0,66 (0,34; 0,99)</w:t>
            </w:r>
          </w:p>
        </w:tc>
        <w:tc>
          <w:tcPr>
            <w:tcW w:w="1659" w:type="pct"/>
            <w:tcBorders>
              <w:top w:val="single" w:sz="4" w:space="0" w:color="000000"/>
              <w:left w:val="single" w:sz="4" w:space="0" w:color="000000"/>
              <w:bottom w:val="single" w:sz="4" w:space="0" w:color="000000"/>
              <w:right w:val="single" w:sz="4" w:space="0" w:color="000000"/>
            </w:tcBorders>
            <w:tcMar>
              <w:top w:w="28" w:type="dxa"/>
              <w:left w:w="0" w:type="dxa"/>
              <w:bottom w:w="28" w:type="dxa"/>
              <w:right w:w="0" w:type="dxa"/>
            </w:tcMar>
            <w:hideMark/>
          </w:tcPr>
          <w:p w14:paraId="7CCDBF0A" w14:textId="77777777" w:rsidR="00D41138" w:rsidRPr="00401ECA" w:rsidRDefault="00D41138">
            <w:pPr>
              <w:pStyle w:val="Brdtekst"/>
              <w:suppressAutoHyphens/>
              <w:kinsoku w:val="0"/>
              <w:overflowPunct w:val="0"/>
              <w:ind w:left="113"/>
              <w:rPr>
                <w:color w:val="000000" w:themeColor="text1"/>
                <w:sz w:val="22"/>
                <w:szCs w:val="22"/>
                <w:lang w:val="ru-RU" w:eastAsia="ru-RU"/>
              </w:rPr>
            </w:pPr>
            <w:r w:rsidRPr="00401ECA">
              <w:rPr>
                <w:color w:val="000000" w:themeColor="text1"/>
                <w:sz w:val="22"/>
                <w:szCs w:val="22"/>
                <w:lang w:val="ru-RU" w:eastAsia="ru-RU"/>
              </w:rPr>
              <w:t>9,6 (4,5; 14,7)</w:t>
            </w:r>
          </w:p>
        </w:tc>
      </w:tr>
      <w:tr w:rsidR="00D41138" w:rsidRPr="00401ECA" w14:paraId="72AE528B" w14:textId="77777777" w:rsidTr="002748AE">
        <w:trPr>
          <w:trHeight w:val="227"/>
          <w:jc w:val="center"/>
        </w:trPr>
        <w:tc>
          <w:tcPr>
            <w:tcW w:w="5000" w:type="pct"/>
            <w:gridSpan w:val="5"/>
            <w:tcBorders>
              <w:top w:val="single" w:sz="4" w:space="0" w:color="000000"/>
              <w:left w:val="single" w:sz="4" w:space="0" w:color="000000"/>
              <w:bottom w:val="single" w:sz="4" w:space="0" w:color="000000"/>
              <w:right w:val="single" w:sz="4" w:space="0" w:color="000000"/>
            </w:tcBorders>
            <w:tcMar>
              <w:top w:w="28" w:type="dxa"/>
              <w:left w:w="0" w:type="dxa"/>
              <w:bottom w:w="28" w:type="dxa"/>
              <w:right w:w="0" w:type="dxa"/>
            </w:tcMar>
            <w:hideMark/>
          </w:tcPr>
          <w:p w14:paraId="78215CC8" w14:textId="77777777" w:rsidR="00D41138" w:rsidRPr="00401ECA" w:rsidRDefault="00D41138">
            <w:pPr>
              <w:pStyle w:val="Brdtekst"/>
              <w:suppressAutoHyphens/>
              <w:kinsoku w:val="0"/>
              <w:overflowPunct w:val="0"/>
              <w:rPr>
                <w:color w:val="000000" w:themeColor="text1"/>
                <w:sz w:val="22"/>
                <w:szCs w:val="22"/>
                <w:lang w:val="ru-RU" w:eastAsia="ru-RU"/>
              </w:rPr>
            </w:pPr>
            <w:r w:rsidRPr="00401ECA">
              <w:rPr>
                <w:b/>
                <w:color w:val="000000" w:themeColor="text1"/>
                <w:sz w:val="22"/>
                <w:szCs w:val="22"/>
                <w:lang w:val="ru-RU" w:eastAsia="ru-RU"/>
              </w:rPr>
              <w:t xml:space="preserve">Patienter grupperet under mutationstype (n) </w:t>
            </w:r>
          </w:p>
          <w:p w14:paraId="32F16B4E" w14:textId="77777777" w:rsidR="00D41138" w:rsidRPr="00401ECA" w:rsidRDefault="00D41138">
            <w:pPr>
              <w:pStyle w:val="Brdtekst"/>
              <w:suppressAutoHyphens/>
              <w:kinsoku w:val="0"/>
              <w:overflowPunct w:val="0"/>
              <w:rPr>
                <w:color w:val="000000" w:themeColor="text1"/>
                <w:sz w:val="22"/>
                <w:szCs w:val="22"/>
                <w:lang w:val="ru-RU" w:eastAsia="ru-RU"/>
              </w:rPr>
            </w:pPr>
            <w:r w:rsidRPr="00401ECA">
              <w:rPr>
                <w:color w:val="000000" w:themeColor="text1"/>
                <w:sz w:val="22"/>
                <w:szCs w:val="22"/>
                <w:lang w:val="ru-RU" w:eastAsia="ru-RU"/>
              </w:rPr>
              <w:t xml:space="preserve">Resultater vist som gennemsnitlig (minimum; maksimum) ændring fra </w:t>
            </w:r>
            <w:r w:rsidRPr="00401ECA">
              <w:rPr>
                <w:i/>
                <w:color w:val="000000" w:themeColor="text1"/>
                <w:sz w:val="22"/>
                <w:szCs w:val="22"/>
                <w:lang w:val="ru-RU" w:eastAsia="ru-RU"/>
              </w:rPr>
              <w:t>baseline</w:t>
            </w:r>
            <w:r w:rsidRPr="00401ECA">
              <w:rPr>
                <w:color w:val="000000" w:themeColor="text1"/>
                <w:sz w:val="22"/>
                <w:szCs w:val="22"/>
                <w:lang w:val="ru-RU" w:eastAsia="ru-RU"/>
              </w:rPr>
              <w:t xml:space="preserve"> for ivacaftor-behandlede patienter ved uge 8</w:t>
            </w:r>
            <w:r w:rsidRPr="00401ECA">
              <w:rPr>
                <w:color w:val="000000" w:themeColor="text1"/>
                <w:sz w:val="22"/>
                <w:szCs w:val="22"/>
                <w:vertAlign w:val="superscript"/>
                <w:lang w:val="ru-RU" w:eastAsia="ru-RU"/>
              </w:rPr>
              <w:t>*</w:t>
            </w:r>
            <w:r w:rsidRPr="00401ECA">
              <w:rPr>
                <w:color w:val="000000" w:themeColor="text1"/>
                <w:sz w:val="22"/>
                <w:szCs w:val="22"/>
                <w:lang w:val="ru-RU" w:eastAsia="ru-RU"/>
              </w:rPr>
              <w:t xml:space="preserve">: </w:t>
            </w:r>
          </w:p>
        </w:tc>
      </w:tr>
      <w:tr w:rsidR="00D41138" w:rsidRPr="00401ECA" w14:paraId="62362EFE" w14:textId="77777777" w:rsidTr="002748AE">
        <w:trPr>
          <w:trHeight w:val="227"/>
          <w:jc w:val="center"/>
        </w:trPr>
        <w:tc>
          <w:tcPr>
            <w:tcW w:w="1007" w:type="pct"/>
            <w:vMerge w:val="restart"/>
            <w:tcBorders>
              <w:top w:val="single" w:sz="4" w:space="0" w:color="000000"/>
              <w:left w:val="single" w:sz="4" w:space="0" w:color="000000"/>
              <w:bottom w:val="single" w:sz="4" w:space="0" w:color="000000"/>
              <w:right w:val="single" w:sz="4" w:space="0" w:color="000000"/>
            </w:tcBorders>
            <w:tcMar>
              <w:top w:w="28" w:type="dxa"/>
              <w:left w:w="0" w:type="dxa"/>
              <w:bottom w:w="28" w:type="dxa"/>
              <w:right w:w="0" w:type="dxa"/>
            </w:tcMar>
            <w:hideMark/>
          </w:tcPr>
          <w:p w14:paraId="24A19C14" w14:textId="77777777" w:rsidR="00D41138" w:rsidRPr="00401ECA" w:rsidRDefault="00D41138">
            <w:pPr>
              <w:pStyle w:val="Brdtekst"/>
              <w:suppressAutoHyphens/>
              <w:kinsoku w:val="0"/>
              <w:overflowPunct w:val="0"/>
              <w:ind w:left="0"/>
              <w:jc w:val="center"/>
              <w:rPr>
                <w:color w:val="000000" w:themeColor="text1"/>
                <w:sz w:val="22"/>
                <w:szCs w:val="22"/>
                <w:lang w:val="ru-RU" w:eastAsia="ru-RU"/>
              </w:rPr>
            </w:pPr>
            <w:r w:rsidRPr="00401ECA">
              <w:rPr>
                <w:b/>
                <w:color w:val="000000" w:themeColor="text1"/>
                <w:sz w:val="22"/>
                <w:szCs w:val="22"/>
                <w:lang w:val="ru-RU" w:eastAsia="ru-RU"/>
              </w:rPr>
              <w:t>Mutation (n)</w:t>
            </w:r>
          </w:p>
          <w:p w14:paraId="66ED6F39" w14:textId="77777777" w:rsidR="00D41138" w:rsidRPr="00401ECA" w:rsidRDefault="00D41138">
            <w:pPr>
              <w:pStyle w:val="Brdtekst"/>
              <w:suppressAutoHyphens/>
              <w:kinsoku w:val="0"/>
              <w:overflowPunct w:val="0"/>
              <w:rPr>
                <w:color w:val="000000" w:themeColor="text1"/>
                <w:sz w:val="22"/>
                <w:szCs w:val="22"/>
                <w:lang w:val="ru-RU" w:eastAsia="ru-RU"/>
              </w:rPr>
            </w:pPr>
            <w:r w:rsidRPr="00401ECA">
              <w:rPr>
                <w:b/>
                <w:color w:val="000000" w:themeColor="text1"/>
                <w:sz w:val="22"/>
                <w:szCs w:val="22"/>
                <w:lang w:val="ru-RU" w:eastAsia="ru-RU"/>
              </w:rPr>
              <w:t xml:space="preserve"> </w:t>
            </w:r>
          </w:p>
        </w:tc>
        <w:tc>
          <w:tcPr>
            <w:tcW w:w="1983" w:type="pct"/>
            <w:gridSpan w:val="2"/>
            <w:tcBorders>
              <w:top w:val="single" w:sz="4" w:space="0" w:color="000000"/>
              <w:left w:val="single" w:sz="4" w:space="0" w:color="000000"/>
              <w:bottom w:val="single" w:sz="4" w:space="0" w:color="000000"/>
              <w:right w:val="single" w:sz="4" w:space="0" w:color="000000"/>
            </w:tcBorders>
            <w:tcMar>
              <w:top w:w="28" w:type="dxa"/>
              <w:left w:w="0" w:type="dxa"/>
              <w:bottom w:w="28" w:type="dxa"/>
              <w:right w:w="0" w:type="dxa"/>
            </w:tcMar>
            <w:hideMark/>
          </w:tcPr>
          <w:p w14:paraId="3DD0D43E" w14:textId="77777777" w:rsidR="00D41138" w:rsidRPr="00401ECA" w:rsidRDefault="00D41138">
            <w:pPr>
              <w:pStyle w:val="Brdtekst"/>
              <w:suppressAutoHyphens/>
              <w:kinsoku w:val="0"/>
              <w:overflowPunct w:val="0"/>
              <w:ind w:left="0"/>
              <w:jc w:val="center"/>
              <w:rPr>
                <w:color w:val="000000" w:themeColor="text1"/>
                <w:sz w:val="22"/>
                <w:szCs w:val="22"/>
                <w:lang w:val="ru-RU" w:eastAsia="ru-RU"/>
              </w:rPr>
            </w:pPr>
            <w:r w:rsidRPr="00401ECA">
              <w:rPr>
                <w:b/>
                <w:color w:val="000000" w:themeColor="text1"/>
                <w:sz w:val="22"/>
                <w:szCs w:val="22"/>
                <w:lang w:val="ru-RU" w:eastAsia="ru-RU"/>
              </w:rPr>
              <w:t>Absolut ændring i sved-chlorid</w:t>
            </w:r>
          </w:p>
          <w:p w14:paraId="0F6B3601" w14:textId="77777777" w:rsidR="00D41138" w:rsidRPr="00401ECA" w:rsidRDefault="00D41138">
            <w:pPr>
              <w:pStyle w:val="Brdtekst"/>
              <w:suppressAutoHyphens/>
              <w:kinsoku w:val="0"/>
              <w:overflowPunct w:val="0"/>
              <w:ind w:left="0"/>
              <w:jc w:val="center"/>
              <w:rPr>
                <w:color w:val="000000" w:themeColor="text1"/>
                <w:sz w:val="22"/>
                <w:szCs w:val="22"/>
                <w:lang w:val="ru-RU" w:eastAsia="ru-RU"/>
              </w:rPr>
            </w:pPr>
            <w:r w:rsidRPr="00401ECA">
              <w:rPr>
                <w:b/>
                <w:color w:val="000000" w:themeColor="text1"/>
                <w:sz w:val="22"/>
                <w:szCs w:val="22"/>
                <w:lang w:val="ru-RU" w:eastAsia="ru-RU"/>
              </w:rPr>
              <w:t>(mmol/l)</w:t>
            </w:r>
          </w:p>
        </w:tc>
        <w:tc>
          <w:tcPr>
            <w:tcW w:w="2010" w:type="pct"/>
            <w:gridSpan w:val="2"/>
            <w:tcBorders>
              <w:top w:val="single" w:sz="4" w:space="0" w:color="000000"/>
              <w:left w:val="single" w:sz="4" w:space="0" w:color="000000"/>
              <w:bottom w:val="single" w:sz="4" w:space="0" w:color="000000"/>
              <w:right w:val="single" w:sz="4" w:space="0" w:color="000000"/>
            </w:tcBorders>
            <w:tcMar>
              <w:top w:w="28" w:type="dxa"/>
              <w:left w:w="0" w:type="dxa"/>
              <w:bottom w:w="28" w:type="dxa"/>
              <w:right w:w="0" w:type="dxa"/>
            </w:tcMar>
            <w:hideMark/>
          </w:tcPr>
          <w:p w14:paraId="1F0371EC" w14:textId="77777777" w:rsidR="00D41138" w:rsidRPr="00401ECA" w:rsidRDefault="00D41138">
            <w:pPr>
              <w:pStyle w:val="Brdtekst"/>
              <w:suppressAutoHyphens/>
              <w:kinsoku w:val="0"/>
              <w:overflowPunct w:val="0"/>
              <w:ind w:left="0"/>
              <w:jc w:val="center"/>
              <w:rPr>
                <w:color w:val="000000" w:themeColor="text1"/>
                <w:sz w:val="22"/>
                <w:szCs w:val="22"/>
                <w:lang w:val="ru-RU" w:eastAsia="ru-RU"/>
              </w:rPr>
            </w:pPr>
            <w:r w:rsidRPr="00401ECA">
              <w:rPr>
                <w:b/>
                <w:color w:val="000000" w:themeColor="text1"/>
                <w:sz w:val="22"/>
                <w:szCs w:val="22"/>
                <w:lang w:val="ru-RU" w:eastAsia="ru-RU"/>
              </w:rPr>
              <w:t>Absolut ændring i procent af forventet FEV</w:t>
            </w:r>
            <w:r w:rsidRPr="00401ECA">
              <w:rPr>
                <w:b/>
                <w:color w:val="000000" w:themeColor="text1"/>
                <w:sz w:val="22"/>
                <w:szCs w:val="22"/>
                <w:vertAlign w:val="subscript"/>
                <w:lang w:val="ru-RU" w:eastAsia="ru-RU"/>
              </w:rPr>
              <w:t>1</w:t>
            </w:r>
            <w:r w:rsidRPr="00401ECA">
              <w:rPr>
                <w:b/>
                <w:color w:val="000000" w:themeColor="text1"/>
                <w:sz w:val="22"/>
                <w:szCs w:val="22"/>
                <w:lang w:val="ru-RU" w:eastAsia="ru-RU"/>
              </w:rPr>
              <w:t xml:space="preserve"> (procentpoints)</w:t>
            </w:r>
          </w:p>
        </w:tc>
      </w:tr>
      <w:tr w:rsidR="00D41138" w:rsidRPr="00401ECA" w14:paraId="53272570" w14:textId="77777777" w:rsidTr="002748AE">
        <w:trPr>
          <w:trHeight w:val="227"/>
          <w:jc w:val="center"/>
        </w:trPr>
        <w:tc>
          <w:tcPr>
            <w:tcW w:w="1007" w:type="pct"/>
            <w:vMerge/>
            <w:tcBorders>
              <w:top w:val="single" w:sz="4" w:space="0" w:color="000000"/>
              <w:left w:val="single" w:sz="4" w:space="0" w:color="000000"/>
              <w:bottom w:val="single" w:sz="4" w:space="0" w:color="000000"/>
              <w:right w:val="single" w:sz="4" w:space="0" w:color="000000"/>
            </w:tcBorders>
            <w:vAlign w:val="center"/>
            <w:hideMark/>
          </w:tcPr>
          <w:p w14:paraId="53B5B252" w14:textId="77777777" w:rsidR="00D41138" w:rsidRPr="00401ECA" w:rsidRDefault="00D41138">
            <w:pPr>
              <w:rPr>
                <w:color w:val="000000" w:themeColor="text1"/>
                <w:sz w:val="22"/>
                <w:szCs w:val="22"/>
                <w:lang w:val="ru-RU" w:eastAsia="ru-RU"/>
              </w:rPr>
            </w:pPr>
          </w:p>
        </w:tc>
        <w:tc>
          <w:tcPr>
            <w:tcW w:w="1983" w:type="pct"/>
            <w:gridSpan w:val="2"/>
            <w:tcBorders>
              <w:top w:val="single" w:sz="4" w:space="0" w:color="000000"/>
              <w:left w:val="single" w:sz="4" w:space="0" w:color="000000"/>
              <w:bottom w:val="single" w:sz="4" w:space="0" w:color="000000"/>
              <w:right w:val="single" w:sz="4" w:space="0" w:color="000000"/>
            </w:tcBorders>
            <w:tcMar>
              <w:top w:w="28" w:type="dxa"/>
              <w:left w:w="0" w:type="dxa"/>
              <w:bottom w:w="28" w:type="dxa"/>
              <w:right w:w="0" w:type="dxa"/>
            </w:tcMar>
            <w:hideMark/>
          </w:tcPr>
          <w:p w14:paraId="7C86CAC7" w14:textId="77777777" w:rsidR="00D41138" w:rsidRPr="00401ECA" w:rsidRDefault="00D41138">
            <w:pPr>
              <w:pStyle w:val="Brdtekst"/>
              <w:suppressAutoHyphens/>
              <w:kinsoku w:val="0"/>
              <w:overflowPunct w:val="0"/>
              <w:ind w:left="0"/>
              <w:jc w:val="center"/>
              <w:rPr>
                <w:color w:val="000000" w:themeColor="text1"/>
                <w:sz w:val="22"/>
                <w:szCs w:val="22"/>
                <w:lang w:val="ru-RU" w:eastAsia="ru-RU"/>
              </w:rPr>
            </w:pPr>
            <w:r w:rsidRPr="00401ECA">
              <w:rPr>
                <w:b/>
                <w:color w:val="000000" w:themeColor="text1"/>
                <w:sz w:val="22"/>
                <w:szCs w:val="22"/>
                <w:lang w:val="ru-RU" w:eastAsia="ru-RU"/>
              </w:rPr>
              <w:t>Ved uge 8</w:t>
            </w:r>
          </w:p>
        </w:tc>
        <w:tc>
          <w:tcPr>
            <w:tcW w:w="2010" w:type="pct"/>
            <w:gridSpan w:val="2"/>
            <w:tcBorders>
              <w:top w:val="single" w:sz="4" w:space="0" w:color="000000"/>
              <w:left w:val="single" w:sz="4" w:space="0" w:color="000000"/>
              <w:bottom w:val="single" w:sz="4" w:space="0" w:color="000000"/>
              <w:right w:val="single" w:sz="4" w:space="0" w:color="000000"/>
            </w:tcBorders>
            <w:tcMar>
              <w:top w:w="28" w:type="dxa"/>
              <w:left w:w="0" w:type="dxa"/>
              <w:bottom w:w="28" w:type="dxa"/>
              <w:right w:w="0" w:type="dxa"/>
            </w:tcMar>
            <w:hideMark/>
          </w:tcPr>
          <w:p w14:paraId="5A1E3013" w14:textId="77777777" w:rsidR="00D41138" w:rsidRPr="00401ECA" w:rsidRDefault="00D41138">
            <w:pPr>
              <w:pStyle w:val="Brdtekst"/>
              <w:suppressAutoHyphens/>
              <w:kinsoku w:val="0"/>
              <w:overflowPunct w:val="0"/>
              <w:ind w:left="0"/>
              <w:jc w:val="center"/>
              <w:rPr>
                <w:color w:val="000000" w:themeColor="text1"/>
                <w:sz w:val="22"/>
                <w:szCs w:val="22"/>
                <w:lang w:val="ru-RU" w:eastAsia="ru-RU"/>
              </w:rPr>
            </w:pPr>
            <w:r w:rsidRPr="00401ECA">
              <w:rPr>
                <w:b/>
                <w:color w:val="000000" w:themeColor="text1"/>
                <w:sz w:val="22"/>
                <w:szCs w:val="22"/>
                <w:lang w:val="ru-RU" w:eastAsia="ru-RU"/>
              </w:rPr>
              <w:t>Ved uge 8</w:t>
            </w:r>
          </w:p>
        </w:tc>
      </w:tr>
      <w:tr w:rsidR="00D41138" w:rsidRPr="00401ECA" w14:paraId="1A9FF202" w14:textId="77777777" w:rsidTr="002748AE">
        <w:trPr>
          <w:trHeight w:val="227"/>
          <w:jc w:val="center"/>
        </w:trPr>
        <w:tc>
          <w:tcPr>
            <w:tcW w:w="1007" w:type="pct"/>
            <w:tcBorders>
              <w:top w:val="single" w:sz="4" w:space="0" w:color="000000"/>
              <w:left w:val="single" w:sz="4" w:space="0" w:color="000000"/>
              <w:bottom w:val="single" w:sz="4" w:space="0" w:color="000000"/>
              <w:right w:val="single" w:sz="4" w:space="0" w:color="000000"/>
            </w:tcBorders>
            <w:tcMar>
              <w:top w:w="28" w:type="dxa"/>
              <w:left w:w="0" w:type="dxa"/>
              <w:bottom w:w="28" w:type="dxa"/>
              <w:right w:w="0" w:type="dxa"/>
            </w:tcMar>
            <w:hideMark/>
          </w:tcPr>
          <w:p w14:paraId="1FD4200B" w14:textId="77777777" w:rsidR="00D41138" w:rsidRPr="00401ECA" w:rsidRDefault="00D41138">
            <w:pPr>
              <w:pStyle w:val="Brdtekst"/>
              <w:suppressAutoHyphens/>
              <w:kinsoku w:val="0"/>
              <w:overflowPunct w:val="0"/>
              <w:ind w:left="113"/>
              <w:jc w:val="center"/>
              <w:rPr>
                <w:color w:val="000000" w:themeColor="text1"/>
                <w:sz w:val="22"/>
                <w:szCs w:val="22"/>
                <w:lang w:val="en-US" w:eastAsia="ru-RU"/>
              </w:rPr>
            </w:pPr>
            <w:r w:rsidRPr="00401ECA">
              <w:rPr>
                <w:i/>
                <w:color w:val="000000" w:themeColor="text1"/>
                <w:sz w:val="22"/>
                <w:szCs w:val="22"/>
                <w:lang w:val="en-US" w:eastAsia="ru-RU"/>
              </w:rPr>
              <w:t>G1244E</w:t>
            </w:r>
            <w:r w:rsidRPr="00401ECA">
              <w:rPr>
                <w:color w:val="000000" w:themeColor="text1"/>
                <w:sz w:val="22"/>
                <w:szCs w:val="22"/>
                <w:lang w:val="en-US" w:eastAsia="ru-RU"/>
              </w:rPr>
              <w:t xml:space="preserve"> (5)</w:t>
            </w:r>
          </w:p>
          <w:p w14:paraId="27DDFE1F" w14:textId="77777777" w:rsidR="00D41138" w:rsidRPr="00401ECA" w:rsidRDefault="00D41138">
            <w:pPr>
              <w:pStyle w:val="Brdtekst"/>
              <w:suppressAutoHyphens/>
              <w:kinsoku w:val="0"/>
              <w:overflowPunct w:val="0"/>
              <w:ind w:left="113"/>
              <w:jc w:val="center"/>
              <w:rPr>
                <w:color w:val="000000" w:themeColor="text1"/>
                <w:sz w:val="22"/>
                <w:szCs w:val="22"/>
                <w:lang w:val="en-US" w:eastAsia="ru-RU"/>
              </w:rPr>
            </w:pPr>
            <w:r w:rsidRPr="00401ECA">
              <w:rPr>
                <w:i/>
                <w:color w:val="000000" w:themeColor="text1"/>
                <w:sz w:val="22"/>
                <w:szCs w:val="22"/>
                <w:lang w:val="en-US" w:eastAsia="ru-RU"/>
              </w:rPr>
              <w:t>G1349D</w:t>
            </w:r>
            <w:r w:rsidRPr="00401ECA">
              <w:rPr>
                <w:color w:val="000000" w:themeColor="text1"/>
                <w:sz w:val="22"/>
                <w:szCs w:val="22"/>
                <w:lang w:val="en-US" w:eastAsia="ru-RU"/>
              </w:rPr>
              <w:t xml:space="preserve"> (2)</w:t>
            </w:r>
          </w:p>
          <w:p w14:paraId="0A6AA09D" w14:textId="77777777" w:rsidR="00D41138" w:rsidRPr="00401ECA" w:rsidRDefault="00D41138">
            <w:pPr>
              <w:pStyle w:val="Brdtekst"/>
              <w:suppressAutoHyphens/>
              <w:kinsoku w:val="0"/>
              <w:overflowPunct w:val="0"/>
              <w:ind w:left="113"/>
              <w:jc w:val="center"/>
              <w:rPr>
                <w:color w:val="000000" w:themeColor="text1"/>
                <w:sz w:val="22"/>
                <w:szCs w:val="22"/>
                <w:lang w:val="en-US" w:eastAsia="ru-RU"/>
              </w:rPr>
            </w:pPr>
            <w:r w:rsidRPr="00401ECA">
              <w:rPr>
                <w:i/>
                <w:color w:val="000000" w:themeColor="text1"/>
                <w:sz w:val="22"/>
                <w:szCs w:val="22"/>
                <w:lang w:val="en-US" w:eastAsia="ru-RU"/>
              </w:rPr>
              <w:t>G178R</w:t>
            </w:r>
            <w:r w:rsidRPr="00401ECA">
              <w:rPr>
                <w:color w:val="000000" w:themeColor="text1"/>
                <w:sz w:val="22"/>
                <w:szCs w:val="22"/>
                <w:lang w:val="en-US" w:eastAsia="ru-RU"/>
              </w:rPr>
              <w:t xml:space="preserve"> (5)</w:t>
            </w:r>
          </w:p>
          <w:p w14:paraId="37A0671A" w14:textId="77777777" w:rsidR="00D41138" w:rsidRPr="00401ECA" w:rsidRDefault="00D41138">
            <w:pPr>
              <w:pStyle w:val="Brdtekst"/>
              <w:suppressAutoHyphens/>
              <w:kinsoku w:val="0"/>
              <w:overflowPunct w:val="0"/>
              <w:ind w:left="113"/>
              <w:jc w:val="center"/>
              <w:rPr>
                <w:color w:val="000000" w:themeColor="text1"/>
                <w:sz w:val="22"/>
                <w:szCs w:val="22"/>
                <w:lang w:val="en-US" w:eastAsia="ru-RU"/>
              </w:rPr>
            </w:pPr>
            <w:r w:rsidRPr="00401ECA">
              <w:rPr>
                <w:i/>
                <w:color w:val="000000" w:themeColor="text1"/>
                <w:sz w:val="22"/>
                <w:szCs w:val="22"/>
                <w:lang w:val="en-US" w:eastAsia="ru-RU"/>
              </w:rPr>
              <w:t>G551S</w:t>
            </w:r>
            <w:r w:rsidRPr="00401ECA">
              <w:rPr>
                <w:color w:val="000000" w:themeColor="text1"/>
                <w:sz w:val="22"/>
                <w:szCs w:val="22"/>
                <w:lang w:val="en-US" w:eastAsia="ru-RU"/>
              </w:rPr>
              <w:t xml:space="preserve"> (2)</w:t>
            </w:r>
          </w:p>
          <w:p w14:paraId="1FA00F8A" w14:textId="77777777" w:rsidR="00D41138" w:rsidRPr="00401ECA" w:rsidRDefault="00D41138">
            <w:pPr>
              <w:pStyle w:val="Brdtekst"/>
              <w:suppressAutoHyphens/>
              <w:kinsoku w:val="0"/>
              <w:overflowPunct w:val="0"/>
              <w:ind w:left="113"/>
              <w:jc w:val="center"/>
              <w:rPr>
                <w:color w:val="000000" w:themeColor="text1"/>
                <w:sz w:val="22"/>
                <w:szCs w:val="22"/>
                <w:lang w:val="en-US" w:eastAsia="ru-RU"/>
              </w:rPr>
            </w:pPr>
            <w:r w:rsidRPr="00401ECA">
              <w:rPr>
                <w:i/>
                <w:color w:val="000000" w:themeColor="text1"/>
                <w:sz w:val="22"/>
                <w:szCs w:val="22"/>
                <w:lang w:val="en-US" w:eastAsia="ru-RU"/>
              </w:rPr>
              <w:t>G970R</w:t>
            </w:r>
            <w:r w:rsidRPr="00401ECA">
              <w:rPr>
                <w:i/>
                <w:color w:val="000000" w:themeColor="text1"/>
                <w:sz w:val="22"/>
                <w:szCs w:val="22"/>
                <w:vertAlign w:val="superscript"/>
                <w:lang w:val="en-US" w:eastAsia="ru-RU"/>
              </w:rPr>
              <w:t>#</w:t>
            </w:r>
            <w:r w:rsidRPr="00401ECA">
              <w:rPr>
                <w:color w:val="000000" w:themeColor="text1"/>
                <w:sz w:val="22"/>
                <w:szCs w:val="22"/>
                <w:lang w:val="en-US" w:eastAsia="ru-RU"/>
              </w:rPr>
              <w:t xml:space="preserve"> (4)</w:t>
            </w:r>
          </w:p>
          <w:p w14:paraId="5A80D25C" w14:textId="77777777" w:rsidR="00D41138" w:rsidRPr="00401ECA" w:rsidRDefault="00D41138">
            <w:pPr>
              <w:pStyle w:val="Brdtekst"/>
              <w:suppressAutoHyphens/>
              <w:kinsoku w:val="0"/>
              <w:overflowPunct w:val="0"/>
              <w:ind w:left="113"/>
              <w:jc w:val="center"/>
              <w:rPr>
                <w:color w:val="000000" w:themeColor="text1"/>
                <w:sz w:val="22"/>
                <w:szCs w:val="22"/>
                <w:lang w:val="ru-RU" w:eastAsia="ru-RU"/>
              </w:rPr>
            </w:pPr>
            <w:r w:rsidRPr="00401ECA">
              <w:rPr>
                <w:i/>
                <w:color w:val="000000" w:themeColor="text1"/>
                <w:sz w:val="22"/>
                <w:szCs w:val="22"/>
                <w:lang w:val="ru-RU" w:eastAsia="ru-RU"/>
              </w:rPr>
              <w:t xml:space="preserve">S1251N </w:t>
            </w:r>
            <w:r w:rsidRPr="00401ECA">
              <w:rPr>
                <w:color w:val="000000" w:themeColor="text1"/>
                <w:sz w:val="22"/>
                <w:szCs w:val="22"/>
                <w:lang w:val="ru-RU" w:eastAsia="ru-RU"/>
              </w:rPr>
              <w:t xml:space="preserve">(8) </w:t>
            </w:r>
            <w:r w:rsidRPr="00401ECA">
              <w:rPr>
                <w:i/>
                <w:color w:val="000000" w:themeColor="text1"/>
                <w:sz w:val="22"/>
                <w:szCs w:val="22"/>
                <w:lang w:val="ru-RU" w:eastAsia="ru-RU"/>
              </w:rPr>
              <w:t>S1255P</w:t>
            </w:r>
            <w:r w:rsidRPr="00401ECA">
              <w:rPr>
                <w:color w:val="000000" w:themeColor="text1"/>
                <w:sz w:val="22"/>
                <w:szCs w:val="22"/>
                <w:lang w:val="ru-RU" w:eastAsia="ru-RU"/>
              </w:rPr>
              <w:t xml:space="preserve"> (2)</w:t>
            </w:r>
          </w:p>
          <w:p w14:paraId="1B12FA3A" w14:textId="77777777" w:rsidR="00D41138" w:rsidRPr="00401ECA" w:rsidRDefault="00D41138">
            <w:pPr>
              <w:pStyle w:val="Brdtekst"/>
              <w:suppressAutoHyphens/>
              <w:kinsoku w:val="0"/>
              <w:overflowPunct w:val="0"/>
              <w:ind w:left="113"/>
              <w:jc w:val="center"/>
              <w:rPr>
                <w:color w:val="000000" w:themeColor="text1"/>
                <w:sz w:val="22"/>
                <w:szCs w:val="22"/>
                <w:lang w:val="ru-RU" w:eastAsia="ru-RU"/>
              </w:rPr>
            </w:pPr>
            <w:r w:rsidRPr="00401ECA">
              <w:rPr>
                <w:i/>
                <w:color w:val="000000" w:themeColor="text1"/>
                <w:sz w:val="22"/>
                <w:szCs w:val="22"/>
                <w:lang w:val="ru-RU" w:eastAsia="ru-RU"/>
              </w:rPr>
              <w:t>S549N</w:t>
            </w:r>
            <w:r w:rsidRPr="00401ECA">
              <w:rPr>
                <w:color w:val="000000" w:themeColor="text1"/>
                <w:sz w:val="22"/>
                <w:szCs w:val="22"/>
                <w:lang w:val="ru-RU" w:eastAsia="ru-RU"/>
              </w:rPr>
              <w:t xml:space="preserve"> (6)</w:t>
            </w:r>
          </w:p>
          <w:p w14:paraId="42163EA3" w14:textId="77777777" w:rsidR="00D41138" w:rsidRPr="00401ECA" w:rsidRDefault="00D41138">
            <w:pPr>
              <w:pStyle w:val="Brdtekst"/>
              <w:suppressAutoHyphens/>
              <w:kinsoku w:val="0"/>
              <w:overflowPunct w:val="0"/>
              <w:ind w:left="113"/>
              <w:jc w:val="center"/>
              <w:rPr>
                <w:color w:val="000000" w:themeColor="text1"/>
                <w:sz w:val="22"/>
                <w:szCs w:val="22"/>
                <w:lang w:val="ru-RU" w:eastAsia="ru-RU"/>
              </w:rPr>
            </w:pPr>
            <w:r w:rsidRPr="00401ECA">
              <w:rPr>
                <w:i/>
                <w:color w:val="000000" w:themeColor="text1"/>
                <w:sz w:val="22"/>
                <w:szCs w:val="22"/>
                <w:lang w:val="ru-RU" w:eastAsia="ru-RU"/>
              </w:rPr>
              <w:t>S549R</w:t>
            </w:r>
            <w:r w:rsidRPr="00401ECA">
              <w:rPr>
                <w:color w:val="000000" w:themeColor="text1"/>
                <w:sz w:val="22"/>
                <w:szCs w:val="22"/>
                <w:lang w:val="ru-RU" w:eastAsia="ru-RU"/>
              </w:rPr>
              <w:t xml:space="preserve"> (4)</w:t>
            </w:r>
          </w:p>
        </w:tc>
        <w:tc>
          <w:tcPr>
            <w:tcW w:w="1983" w:type="pct"/>
            <w:gridSpan w:val="2"/>
            <w:tcBorders>
              <w:top w:val="single" w:sz="4" w:space="0" w:color="000000"/>
              <w:left w:val="single" w:sz="4" w:space="0" w:color="000000"/>
              <w:bottom w:val="single" w:sz="4" w:space="0" w:color="000000"/>
              <w:right w:val="single" w:sz="4" w:space="0" w:color="000000"/>
            </w:tcBorders>
            <w:tcMar>
              <w:top w:w="28" w:type="dxa"/>
              <w:left w:w="0" w:type="dxa"/>
              <w:bottom w:w="28" w:type="dxa"/>
              <w:right w:w="0" w:type="dxa"/>
            </w:tcMar>
            <w:hideMark/>
          </w:tcPr>
          <w:p w14:paraId="6A6DDC90" w14:textId="77777777" w:rsidR="00D41138" w:rsidRPr="00401ECA" w:rsidRDefault="00D41138">
            <w:pPr>
              <w:pStyle w:val="Brdtekst"/>
              <w:suppressAutoHyphens/>
              <w:kinsoku w:val="0"/>
              <w:overflowPunct w:val="0"/>
              <w:ind w:left="0"/>
              <w:jc w:val="center"/>
              <w:rPr>
                <w:color w:val="000000" w:themeColor="text1"/>
                <w:sz w:val="22"/>
                <w:szCs w:val="22"/>
                <w:lang w:val="ru-RU" w:eastAsia="ru-RU"/>
              </w:rPr>
            </w:pPr>
            <w:r w:rsidRPr="00401ECA">
              <w:rPr>
                <w:color w:val="000000" w:themeColor="text1"/>
                <w:sz w:val="22"/>
                <w:szCs w:val="22"/>
                <w:lang w:val="ru-RU" w:eastAsia="ru-RU"/>
              </w:rPr>
              <w:t>-55 (-75; -34)</w:t>
            </w:r>
          </w:p>
          <w:p w14:paraId="13B368FE" w14:textId="77777777" w:rsidR="00D41138" w:rsidRPr="00401ECA" w:rsidRDefault="00D41138">
            <w:pPr>
              <w:pStyle w:val="Brdtekst"/>
              <w:suppressAutoHyphens/>
              <w:kinsoku w:val="0"/>
              <w:overflowPunct w:val="0"/>
              <w:ind w:left="0"/>
              <w:jc w:val="center"/>
              <w:rPr>
                <w:color w:val="000000" w:themeColor="text1"/>
                <w:sz w:val="22"/>
                <w:szCs w:val="22"/>
                <w:lang w:val="ru-RU" w:eastAsia="ru-RU"/>
              </w:rPr>
            </w:pPr>
            <w:r w:rsidRPr="00401ECA">
              <w:rPr>
                <w:color w:val="000000" w:themeColor="text1"/>
                <w:sz w:val="22"/>
                <w:szCs w:val="22"/>
                <w:lang w:val="ru-RU" w:eastAsia="ru-RU"/>
              </w:rPr>
              <w:t>-80 (-82; -79)</w:t>
            </w:r>
          </w:p>
          <w:p w14:paraId="64CF823B" w14:textId="77777777" w:rsidR="00D41138" w:rsidRPr="00401ECA" w:rsidRDefault="00D41138">
            <w:pPr>
              <w:pStyle w:val="Brdtekst"/>
              <w:suppressAutoHyphens/>
              <w:kinsoku w:val="0"/>
              <w:overflowPunct w:val="0"/>
              <w:ind w:left="0"/>
              <w:jc w:val="center"/>
              <w:rPr>
                <w:color w:val="000000" w:themeColor="text1"/>
                <w:sz w:val="22"/>
                <w:szCs w:val="22"/>
                <w:lang w:val="ru-RU" w:eastAsia="ru-RU"/>
              </w:rPr>
            </w:pPr>
            <w:r w:rsidRPr="00401ECA">
              <w:rPr>
                <w:color w:val="000000" w:themeColor="text1"/>
                <w:sz w:val="22"/>
                <w:szCs w:val="22"/>
                <w:lang w:val="ru-RU" w:eastAsia="ru-RU"/>
              </w:rPr>
              <w:t>-53 (-65; -35)</w:t>
            </w:r>
          </w:p>
          <w:p w14:paraId="07C406DA" w14:textId="77777777" w:rsidR="00D41138" w:rsidRPr="00401ECA" w:rsidRDefault="00D41138">
            <w:pPr>
              <w:pStyle w:val="Brdtekst"/>
              <w:suppressAutoHyphens/>
              <w:kinsoku w:val="0"/>
              <w:overflowPunct w:val="0"/>
              <w:ind w:left="0"/>
              <w:jc w:val="center"/>
              <w:rPr>
                <w:color w:val="000000" w:themeColor="text1"/>
                <w:sz w:val="22"/>
                <w:szCs w:val="22"/>
                <w:lang w:val="ru-RU" w:eastAsia="ru-RU"/>
              </w:rPr>
            </w:pPr>
            <w:r w:rsidRPr="00401ECA">
              <w:rPr>
                <w:color w:val="000000" w:themeColor="text1"/>
                <w:sz w:val="22"/>
                <w:szCs w:val="22"/>
                <w:lang w:val="ru-RU" w:eastAsia="ru-RU"/>
              </w:rPr>
              <w:t>-68†</w:t>
            </w:r>
          </w:p>
          <w:p w14:paraId="06477E83" w14:textId="77777777" w:rsidR="00D41138" w:rsidRPr="00401ECA" w:rsidRDefault="00D41138">
            <w:pPr>
              <w:pStyle w:val="Brdtekst"/>
              <w:suppressAutoHyphens/>
              <w:kinsoku w:val="0"/>
              <w:overflowPunct w:val="0"/>
              <w:ind w:left="0"/>
              <w:jc w:val="center"/>
              <w:rPr>
                <w:color w:val="000000" w:themeColor="text1"/>
                <w:sz w:val="22"/>
                <w:szCs w:val="22"/>
                <w:lang w:val="ru-RU" w:eastAsia="ru-RU"/>
              </w:rPr>
            </w:pPr>
            <w:r w:rsidRPr="00401ECA">
              <w:rPr>
                <w:color w:val="000000" w:themeColor="text1"/>
                <w:sz w:val="22"/>
                <w:szCs w:val="22"/>
                <w:lang w:val="ru-RU" w:eastAsia="ru-RU"/>
              </w:rPr>
              <w:t>-6 (-16; -2)</w:t>
            </w:r>
          </w:p>
          <w:p w14:paraId="7FCD2C98" w14:textId="77777777" w:rsidR="00D41138" w:rsidRPr="00401ECA" w:rsidRDefault="00D41138">
            <w:pPr>
              <w:pStyle w:val="Brdtekst"/>
              <w:suppressAutoHyphens/>
              <w:kinsoku w:val="0"/>
              <w:overflowPunct w:val="0"/>
              <w:ind w:left="0"/>
              <w:jc w:val="center"/>
              <w:rPr>
                <w:color w:val="000000" w:themeColor="text1"/>
                <w:sz w:val="22"/>
                <w:szCs w:val="22"/>
                <w:lang w:val="ru-RU" w:eastAsia="ru-RU"/>
              </w:rPr>
            </w:pPr>
            <w:r w:rsidRPr="00401ECA">
              <w:rPr>
                <w:color w:val="000000" w:themeColor="text1"/>
                <w:sz w:val="22"/>
                <w:szCs w:val="22"/>
                <w:lang w:val="ru-RU" w:eastAsia="ru-RU"/>
              </w:rPr>
              <w:t>-54 (-84; -7)</w:t>
            </w:r>
          </w:p>
          <w:p w14:paraId="7D34CE95" w14:textId="77777777" w:rsidR="00D41138" w:rsidRPr="00401ECA" w:rsidRDefault="00D41138">
            <w:pPr>
              <w:pStyle w:val="Brdtekst"/>
              <w:suppressAutoHyphens/>
              <w:kinsoku w:val="0"/>
              <w:overflowPunct w:val="0"/>
              <w:ind w:left="0"/>
              <w:jc w:val="center"/>
              <w:rPr>
                <w:color w:val="000000" w:themeColor="text1"/>
                <w:sz w:val="22"/>
                <w:szCs w:val="22"/>
                <w:lang w:val="ru-RU" w:eastAsia="ru-RU"/>
              </w:rPr>
            </w:pPr>
            <w:r w:rsidRPr="00401ECA">
              <w:rPr>
                <w:color w:val="000000" w:themeColor="text1"/>
                <w:sz w:val="22"/>
                <w:szCs w:val="22"/>
                <w:lang w:val="ru-RU" w:eastAsia="ru-RU"/>
              </w:rPr>
              <w:t>-78 (-82; -74)</w:t>
            </w:r>
          </w:p>
          <w:p w14:paraId="6DE624A2" w14:textId="77777777" w:rsidR="00D41138" w:rsidRPr="00401ECA" w:rsidRDefault="00D41138">
            <w:pPr>
              <w:pStyle w:val="Brdtekst"/>
              <w:suppressAutoHyphens/>
              <w:kinsoku w:val="0"/>
              <w:overflowPunct w:val="0"/>
              <w:ind w:left="0"/>
              <w:jc w:val="center"/>
              <w:rPr>
                <w:color w:val="000000" w:themeColor="text1"/>
                <w:sz w:val="22"/>
                <w:szCs w:val="22"/>
                <w:lang w:val="ru-RU" w:eastAsia="ru-RU"/>
              </w:rPr>
            </w:pPr>
            <w:r w:rsidRPr="00401ECA">
              <w:rPr>
                <w:color w:val="000000" w:themeColor="text1"/>
                <w:sz w:val="22"/>
                <w:szCs w:val="22"/>
                <w:lang w:val="ru-RU" w:eastAsia="ru-RU"/>
              </w:rPr>
              <w:t>-74 (-93; -53)</w:t>
            </w:r>
          </w:p>
          <w:p w14:paraId="31185A75" w14:textId="77777777" w:rsidR="00D41138" w:rsidRPr="00401ECA" w:rsidRDefault="00D41138">
            <w:pPr>
              <w:pStyle w:val="Brdtekst"/>
              <w:suppressAutoHyphens/>
              <w:kinsoku w:val="0"/>
              <w:overflowPunct w:val="0"/>
              <w:ind w:left="0"/>
              <w:jc w:val="center"/>
              <w:rPr>
                <w:color w:val="000000" w:themeColor="text1"/>
                <w:sz w:val="22"/>
                <w:szCs w:val="22"/>
                <w:lang w:val="ru-RU" w:eastAsia="ru-RU"/>
              </w:rPr>
            </w:pPr>
            <w:r w:rsidRPr="00401ECA">
              <w:rPr>
                <w:color w:val="000000" w:themeColor="text1"/>
                <w:sz w:val="22"/>
                <w:szCs w:val="22"/>
                <w:lang w:val="ru-RU" w:eastAsia="ru-RU"/>
              </w:rPr>
              <w:t>-61†† (-71; -54)</w:t>
            </w:r>
          </w:p>
        </w:tc>
        <w:tc>
          <w:tcPr>
            <w:tcW w:w="2010" w:type="pct"/>
            <w:gridSpan w:val="2"/>
            <w:tcBorders>
              <w:top w:val="single" w:sz="4" w:space="0" w:color="000000"/>
              <w:left w:val="single" w:sz="4" w:space="0" w:color="000000"/>
              <w:bottom w:val="single" w:sz="4" w:space="0" w:color="000000"/>
              <w:right w:val="single" w:sz="4" w:space="0" w:color="000000"/>
            </w:tcBorders>
            <w:tcMar>
              <w:top w:w="28" w:type="dxa"/>
              <w:left w:w="0" w:type="dxa"/>
              <w:bottom w:w="28" w:type="dxa"/>
              <w:right w:w="0" w:type="dxa"/>
            </w:tcMar>
            <w:hideMark/>
          </w:tcPr>
          <w:p w14:paraId="0E52FADF" w14:textId="77777777" w:rsidR="00D41138" w:rsidRPr="00401ECA" w:rsidRDefault="00D41138">
            <w:pPr>
              <w:pStyle w:val="Brdtekst"/>
              <w:suppressAutoHyphens/>
              <w:kinsoku w:val="0"/>
              <w:overflowPunct w:val="0"/>
              <w:ind w:left="0"/>
              <w:jc w:val="center"/>
              <w:rPr>
                <w:color w:val="000000" w:themeColor="text1"/>
                <w:sz w:val="22"/>
                <w:szCs w:val="22"/>
                <w:lang w:val="ru-RU" w:eastAsia="ru-RU"/>
              </w:rPr>
            </w:pPr>
            <w:r w:rsidRPr="00401ECA">
              <w:rPr>
                <w:color w:val="000000" w:themeColor="text1"/>
                <w:sz w:val="22"/>
                <w:szCs w:val="22"/>
                <w:lang w:val="ru-RU" w:eastAsia="ru-RU"/>
              </w:rPr>
              <w:t>8 (-1; 18)</w:t>
            </w:r>
          </w:p>
          <w:p w14:paraId="206EF19D" w14:textId="77777777" w:rsidR="00D41138" w:rsidRPr="00401ECA" w:rsidRDefault="00D41138">
            <w:pPr>
              <w:pStyle w:val="Brdtekst"/>
              <w:suppressAutoHyphens/>
              <w:kinsoku w:val="0"/>
              <w:overflowPunct w:val="0"/>
              <w:ind w:left="0"/>
              <w:jc w:val="center"/>
              <w:rPr>
                <w:color w:val="000000" w:themeColor="text1"/>
                <w:sz w:val="22"/>
                <w:szCs w:val="22"/>
                <w:lang w:val="ru-RU" w:eastAsia="ru-RU"/>
              </w:rPr>
            </w:pPr>
            <w:r w:rsidRPr="00401ECA">
              <w:rPr>
                <w:color w:val="000000" w:themeColor="text1"/>
                <w:sz w:val="22"/>
                <w:szCs w:val="22"/>
                <w:lang w:val="ru-RU" w:eastAsia="ru-RU"/>
              </w:rPr>
              <w:t>20 (3; 36)</w:t>
            </w:r>
          </w:p>
          <w:p w14:paraId="5B37DB24" w14:textId="77777777" w:rsidR="00D41138" w:rsidRPr="00401ECA" w:rsidRDefault="00D41138">
            <w:pPr>
              <w:pStyle w:val="Brdtekst"/>
              <w:suppressAutoHyphens/>
              <w:kinsoku w:val="0"/>
              <w:overflowPunct w:val="0"/>
              <w:ind w:left="0"/>
              <w:jc w:val="center"/>
              <w:rPr>
                <w:color w:val="000000" w:themeColor="text1"/>
                <w:sz w:val="22"/>
                <w:szCs w:val="22"/>
                <w:lang w:val="ru-RU" w:eastAsia="ru-RU"/>
              </w:rPr>
            </w:pPr>
            <w:r w:rsidRPr="00401ECA">
              <w:rPr>
                <w:color w:val="000000" w:themeColor="text1"/>
                <w:sz w:val="22"/>
                <w:szCs w:val="22"/>
                <w:lang w:val="ru-RU" w:eastAsia="ru-RU"/>
              </w:rPr>
              <w:t>8 (-1; 18)</w:t>
            </w:r>
          </w:p>
          <w:p w14:paraId="08DEDC62" w14:textId="77777777" w:rsidR="00D41138" w:rsidRPr="00401ECA" w:rsidRDefault="00D41138">
            <w:pPr>
              <w:pStyle w:val="Brdtekst"/>
              <w:suppressAutoHyphens/>
              <w:kinsoku w:val="0"/>
              <w:overflowPunct w:val="0"/>
              <w:ind w:left="0"/>
              <w:jc w:val="center"/>
              <w:rPr>
                <w:color w:val="000000" w:themeColor="text1"/>
                <w:sz w:val="22"/>
                <w:szCs w:val="22"/>
                <w:lang w:val="ru-RU" w:eastAsia="ru-RU"/>
              </w:rPr>
            </w:pPr>
            <w:r w:rsidRPr="00401ECA">
              <w:rPr>
                <w:color w:val="000000" w:themeColor="text1"/>
                <w:sz w:val="22"/>
                <w:szCs w:val="22"/>
                <w:lang w:val="ru-RU" w:eastAsia="ru-RU"/>
              </w:rPr>
              <w:t>3†</w:t>
            </w:r>
          </w:p>
          <w:p w14:paraId="68B94915" w14:textId="77777777" w:rsidR="00D41138" w:rsidRPr="00401ECA" w:rsidRDefault="00D41138">
            <w:pPr>
              <w:pStyle w:val="Brdtekst"/>
              <w:suppressAutoHyphens/>
              <w:kinsoku w:val="0"/>
              <w:overflowPunct w:val="0"/>
              <w:ind w:left="0"/>
              <w:jc w:val="center"/>
              <w:rPr>
                <w:color w:val="000000" w:themeColor="text1"/>
                <w:sz w:val="22"/>
                <w:szCs w:val="22"/>
                <w:lang w:val="ru-RU" w:eastAsia="ru-RU"/>
              </w:rPr>
            </w:pPr>
            <w:r w:rsidRPr="00401ECA">
              <w:rPr>
                <w:color w:val="000000" w:themeColor="text1"/>
                <w:sz w:val="22"/>
                <w:szCs w:val="22"/>
                <w:lang w:val="ru-RU" w:eastAsia="ru-RU"/>
              </w:rPr>
              <w:t>3 (-1; 5)</w:t>
            </w:r>
          </w:p>
          <w:p w14:paraId="27358E49" w14:textId="77777777" w:rsidR="00D41138" w:rsidRPr="00401ECA" w:rsidRDefault="00D41138">
            <w:pPr>
              <w:pStyle w:val="Brdtekst"/>
              <w:suppressAutoHyphens/>
              <w:kinsoku w:val="0"/>
              <w:overflowPunct w:val="0"/>
              <w:ind w:left="0"/>
              <w:jc w:val="center"/>
              <w:rPr>
                <w:color w:val="000000" w:themeColor="text1"/>
                <w:sz w:val="22"/>
                <w:szCs w:val="22"/>
                <w:lang w:val="ru-RU" w:eastAsia="ru-RU"/>
              </w:rPr>
            </w:pPr>
            <w:r w:rsidRPr="00401ECA">
              <w:rPr>
                <w:color w:val="000000" w:themeColor="text1"/>
                <w:sz w:val="22"/>
                <w:szCs w:val="22"/>
                <w:lang w:val="ru-RU" w:eastAsia="ru-RU"/>
              </w:rPr>
              <w:t>9 (-20; 21)</w:t>
            </w:r>
          </w:p>
          <w:p w14:paraId="4CA05053" w14:textId="77777777" w:rsidR="00D41138" w:rsidRPr="00401ECA" w:rsidRDefault="00D41138">
            <w:pPr>
              <w:pStyle w:val="Brdtekst"/>
              <w:suppressAutoHyphens/>
              <w:kinsoku w:val="0"/>
              <w:overflowPunct w:val="0"/>
              <w:ind w:left="0"/>
              <w:jc w:val="center"/>
              <w:rPr>
                <w:color w:val="000000" w:themeColor="text1"/>
                <w:sz w:val="22"/>
                <w:szCs w:val="22"/>
                <w:lang w:val="ru-RU" w:eastAsia="ru-RU"/>
              </w:rPr>
            </w:pPr>
            <w:r w:rsidRPr="00401ECA">
              <w:rPr>
                <w:color w:val="000000" w:themeColor="text1"/>
                <w:sz w:val="22"/>
                <w:szCs w:val="22"/>
                <w:lang w:val="ru-RU" w:eastAsia="ru-RU"/>
              </w:rPr>
              <w:t>3 (-1; 8)</w:t>
            </w:r>
          </w:p>
          <w:p w14:paraId="3D3656C5" w14:textId="77777777" w:rsidR="00D41138" w:rsidRPr="00401ECA" w:rsidRDefault="00D41138">
            <w:pPr>
              <w:pStyle w:val="Brdtekst"/>
              <w:suppressAutoHyphens/>
              <w:kinsoku w:val="0"/>
              <w:overflowPunct w:val="0"/>
              <w:ind w:left="0"/>
              <w:jc w:val="center"/>
              <w:rPr>
                <w:color w:val="000000" w:themeColor="text1"/>
                <w:sz w:val="22"/>
                <w:szCs w:val="22"/>
                <w:lang w:val="ru-RU" w:eastAsia="ru-RU"/>
              </w:rPr>
            </w:pPr>
            <w:r w:rsidRPr="00401ECA">
              <w:rPr>
                <w:color w:val="000000" w:themeColor="text1"/>
                <w:sz w:val="22"/>
                <w:szCs w:val="22"/>
                <w:lang w:val="ru-RU" w:eastAsia="ru-RU"/>
              </w:rPr>
              <w:t>11 (-2; 20)</w:t>
            </w:r>
          </w:p>
          <w:p w14:paraId="68AB9C81" w14:textId="77777777" w:rsidR="00D41138" w:rsidRPr="00401ECA" w:rsidRDefault="00D41138">
            <w:pPr>
              <w:pStyle w:val="Brdtekst"/>
              <w:suppressAutoHyphens/>
              <w:kinsoku w:val="0"/>
              <w:overflowPunct w:val="0"/>
              <w:ind w:left="0"/>
              <w:jc w:val="center"/>
              <w:rPr>
                <w:color w:val="000000" w:themeColor="text1"/>
                <w:sz w:val="22"/>
                <w:szCs w:val="22"/>
                <w:lang w:val="ru-RU" w:eastAsia="ru-RU"/>
              </w:rPr>
            </w:pPr>
            <w:r w:rsidRPr="00401ECA">
              <w:rPr>
                <w:color w:val="000000" w:themeColor="text1"/>
                <w:sz w:val="22"/>
                <w:szCs w:val="22"/>
                <w:lang w:val="ru-RU" w:eastAsia="ru-RU"/>
              </w:rPr>
              <w:t>5 (-3; 13)</w:t>
            </w:r>
          </w:p>
        </w:tc>
      </w:tr>
    </w:tbl>
    <w:p w14:paraId="0513F4D9" w14:textId="315A4228" w:rsidR="00D41138" w:rsidRPr="00337216" w:rsidRDefault="00D41138" w:rsidP="00337216">
      <w:pPr>
        <w:pStyle w:val="Brdtekst"/>
        <w:tabs>
          <w:tab w:val="left" w:pos="284"/>
        </w:tabs>
        <w:suppressAutoHyphens/>
        <w:kinsoku w:val="0"/>
        <w:overflowPunct w:val="0"/>
        <w:ind w:left="0"/>
        <w:rPr>
          <w:color w:val="000000" w:themeColor="text1"/>
          <w:sz w:val="20"/>
          <w:szCs w:val="20"/>
        </w:rPr>
      </w:pPr>
      <w:r w:rsidRPr="00337216">
        <w:rPr>
          <w:color w:val="000000" w:themeColor="text1"/>
          <w:sz w:val="20"/>
          <w:szCs w:val="20"/>
          <w:vertAlign w:val="superscript"/>
        </w:rPr>
        <w:t>*</w:t>
      </w:r>
      <w:r w:rsidRPr="00337216">
        <w:rPr>
          <w:color w:val="000000" w:themeColor="text1"/>
          <w:sz w:val="20"/>
          <w:szCs w:val="20"/>
        </w:rPr>
        <w:t xml:space="preserve"> </w:t>
      </w:r>
      <w:r w:rsidR="00337216" w:rsidRPr="00337216">
        <w:rPr>
          <w:color w:val="000000" w:themeColor="text1"/>
          <w:sz w:val="20"/>
          <w:szCs w:val="20"/>
        </w:rPr>
        <w:tab/>
      </w:r>
      <w:r w:rsidRPr="00337216">
        <w:rPr>
          <w:color w:val="000000" w:themeColor="text1"/>
          <w:sz w:val="20"/>
          <w:szCs w:val="20"/>
        </w:rPr>
        <w:t xml:space="preserve">Statistiske tests blev ikke udført på grund af små tal for de enkelte mutationer. </w:t>
      </w:r>
    </w:p>
    <w:p w14:paraId="69A4CC32" w14:textId="6EA8D118" w:rsidR="00D41138" w:rsidRPr="00337216" w:rsidRDefault="00D41138" w:rsidP="00337216">
      <w:pPr>
        <w:pStyle w:val="Brdtekst"/>
        <w:tabs>
          <w:tab w:val="left" w:pos="284"/>
        </w:tabs>
        <w:suppressAutoHyphens/>
        <w:kinsoku w:val="0"/>
        <w:overflowPunct w:val="0"/>
        <w:ind w:left="0"/>
        <w:rPr>
          <w:color w:val="000000" w:themeColor="text1"/>
          <w:sz w:val="20"/>
          <w:szCs w:val="20"/>
        </w:rPr>
      </w:pPr>
      <w:r w:rsidRPr="00337216">
        <w:rPr>
          <w:color w:val="000000" w:themeColor="text1"/>
          <w:sz w:val="20"/>
          <w:szCs w:val="20"/>
          <w:vertAlign w:val="superscript"/>
        </w:rPr>
        <w:t>†</w:t>
      </w:r>
      <w:r w:rsidRPr="00337216">
        <w:rPr>
          <w:color w:val="000000" w:themeColor="text1"/>
          <w:sz w:val="20"/>
          <w:szCs w:val="20"/>
        </w:rPr>
        <w:t xml:space="preserve"> </w:t>
      </w:r>
      <w:r w:rsidR="00337216" w:rsidRPr="00337216">
        <w:rPr>
          <w:color w:val="000000" w:themeColor="text1"/>
          <w:sz w:val="20"/>
          <w:szCs w:val="20"/>
        </w:rPr>
        <w:tab/>
      </w:r>
      <w:r w:rsidRPr="00337216">
        <w:rPr>
          <w:color w:val="000000" w:themeColor="text1"/>
          <w:sz w:val="20"/>
          <w:szCs w:val="20"/>
        </w:rPr>
        <w:t xml:space="preserve">Afspejler resultater fra den ene patient med </w:t>
      </w:r>
      <w:r w:rsidRPr="00337216">
        <w:rPr>
          <w:i/>
          <w:color w:val="000000" w:themeColor="text1"/>
          <w:sz w:val="20"/>
          <w:szCs w:val="20"/>
        </w:rPr>
        <w:t>G551S</w:t>
      </w:r>
      <w:r w:rsidRPr="00337216">
        <w:rPr>
          <w:color w:val="000000" w:themeColor="text1"/>
          <w:sz w:val="20"/>
          <w:szCs w:val="20"/>
        </w:rPr>
        <w:t xml:space="preserve">-mutation med data ved 8-ugers tidspunktet. </w:t>
      </w:r>
    </w:p>
    <w:p w14:paraId="723A902C" w14:textId="5D6A7A61" w:rsidR="00D41138" w:rsidRPr="00337216" w:rsidRDefault="00D41138" w:rsidP="00337216">
      <w:pPr>
        <w:pStyle w:val="Brdtekst"/>
        <w:tabs>
          <w:tab w:val="left" w:pos="284"/>
        </w:tabs>
        <w:suppressAutoHyphens/>
        <w:kinsoku w:val="0"/>
        <w:overflowPunct w:val="0"/>
        <w:ind w:left="0"/>
        <w:rPr>
          <w:color w:val="000000" w:themeColor="text1"/>
          <w:sz w:val="20"/>
          <w:szCs w:val="20"/>
        </w:rPr>
      </w:pPr>
      <w:r w:rsidRPr="00337216">
        <w:rPr>
          <w:color w:val="000000" w:themeColor="text1"/>
          <w:sz w:val="20"/>
          <w:szCs w:val="20"/>
          <w:vertAlign w:val="superscript"/>
        </w:rPr>
        <w:t>††</w:t>
      </w:r>
      <w:r w:rsidRPr="00337216">
        <w:rPr>
          <w:color w:val="000000" w:themeColor="text1"/>
          <w:sz w:val="20"/>
          <w:szCs w:val="20"/>
        </w:rPr>
        <w:t xml:space="preserve"> </w:t>
      </w:r>
      <w:r w:rsidR="00337216" w:rsidRPr="00337216">
        <w:rPr>
          <w:color w:val="000000" w:themeColor="text1"/>
          <w:sz w:val="20"/>
          <w:szCs w:val="20"/>
        </w:rPr>
        <w:tab/>
      </w:r>
      <w:r w:rsidRPr="00337216">
        <w:rPr>
          <w:color w:val="000000" w:themeColor="text1"/>
          <w:sz w:val="20"/>
          <w:szCs w:val="20"/>
        </w:rPr>
        <w:t xml:space="preserve">n=3 for analysen af den absolutte ændring i sved-chlorid. </w:t>
      </w:r>
    </w:p>
    <w:p w14:paraId="4BB9EB69" w14:textId="58E5D465" w:rsidR="00D41138" w:rsidRPr="00337216" w:rsidRDefault="00D41138" w:rsidP="00337216">
      <w:pPr>
        <w:pStyle w:val="Brdtekst"/>
        <w:widowControl/>
        <w:tabs>
          <w:tab w:val="left" w:pos="284"/>
        </w:tabs>
        <w:suppressAutoHyphens/>
        <w:kinsoku w:val="0"/>
        <w:overflowPunct w:val="0"/>
        <w:ind w:left="0"/>
        <w:rPr>
          <w:color w:val="000000" w:themeColor="text1"/>
          <w:sz w:val="20"/>
          <w:szCs w:val="20"/>
        </w:rPr>
      </w:pPr>
      <w:r w:rsidRPr="00337216">
        <w:rPr>
          <w:color w:val="000000" w:themeColor="text1"/>
          <w:sz w:val="20"/>
          <w:szCs w:val="20"/>
          <w:vertAlign w:val="superscript"/>
        </w:rPr>
        <w:t>#</w:t>
      </w:r>
      <w:r w:rsidRPr="00337216">
        <w:rPr>
          <w:color w:val="000000" w:themeColor="text1"/>
          <w:sz w:val="20"/>
          <w:szCs w:val="20"/>
        </w:rPr>
        <w:t xml:space="preserve"> </w:t>
      </w:r>
      <w:r w:rsidR="00337216" w:rsidRPr="00337216">
        <w:rPr>
          <w:color w:val="000000" w:themeColor="text1"/>
          <w:sz w:val="20"/>
          <w:szCs w:val="20"/>
        </w:rPr>
        <w:tab/>
      </w:r>
      <w:r w:rsidRPr="00337216">
        <w:rPr>
          <w:color w:val="000000" w:themeColor="text1"/>
          <w:sz w:val="20"/>
          <w:szCs w:val="20"/>
        </w:rPr>
        <w:t xml:space="preserve">Forårsager en </w:t>
      </w:r>
      <w:r w:rsidRPr="00337216">
        <w:rPr>
          <w:i/>
          <w:color w:val="000000" w:themeColor="text1"/>
          <w:sz w:val="20"/>
          <w:szCs w:val="20"/>
        </w:rPr>
        <w:t>splicing</w:t>
      </w:r>
      <w:r w:rsidRPr="00337216">
        <w:rPr>
          <w:color w:val="000000" w:themeColor="text1"/>
          <w:sz w:val="20"/>
          <w:szCs w:val="20"/>
        </w:rPr>
        <w:t>-defekt, der fører til kun lidt eller intet CFTR-protein på celleoverfladen.</w:t>
      </w:r>
    </w:p>
    <w:p w14:paraId="3688E5B3" w14:textId="77777777" w:rsidR="00D41138" w:rsidRPr="002748AE" w:rsidRDefault="00D41138" w:rsidP="00D41138">
      <w:pPr>
        <w:pStyle w:val="Brdtekst"/>
        <w:widowControl/>
        <w:suppressAutoHyphens/>
        <w:kinsoku w:val="0"/>
        <w:overflowPunct w:val="0"/>
        <w:ind w:left="0"/>
        <w:rPr>
          <w:color w:val="000000" w:themeColor="text1"/>
        </w:rPr>
      </w:pPr>
    </w:p>
    <w:p w14:paraId="1822910A" w14:textId="55418DE7" w:rsidR="00D41138" w:rsidRPr="002748AE" w:rsidRDefault="00D41138" w:rsidP="002748AE">
      <w:pPr>
        <w:ind w:left="851"/>
        <w:rPr>
          <w:sz w:val="24"/>
          <w:szCs w:val="24"/>
        </w:rPr>
      </w:pPr>
      <w:r w:rsidRPr="002748AE">
        <w:rPr>
          <w:sz w:val="24"/>
          <w:szCs w:val="24"/>
        </w:rPr>
        <w:t>I del 2 af studie 770-111 var den gennemsnitlige (SD) absolutte ændring i procent forventet FEV</w:t>
      </w:r>
      <w:r w:rsidRPr="002748AE">
        <w:rPr>
          <w:sz w:val="24"/>
          <w:szCs w:val="24"/>
          <w:vertAlign w:val="subscript"/>
        </w:rPr>
        <w:t>1</w:t>
      </w:r>
      <w:r w:rsidRPr="002748AE">
        <w:rPr>
          <w:sz w:val="24"/>
          <w:szCs w:val="24"/>
        </w:rPr>
        <w:t xml:space="preserve"> efter 16 uger kontinuerlig ivacaftor-behandling (patienter randomiseret til ivacaftor/placebobehandlingssekvensen i del 1) 10,4 % (13,2 %). Ved opfølgningsbesøget 4 uger efter afslutning på ivacaftor var den gennemsnitlige (SD) absolutte ændring i procent forventet FEV</w:t>
      </w:r>
      <w:r w:rsidRPr="002748AE">
        <w:rPr>
          <w:sz w:val="24"/>
          <w:szCs w:val="24"/>
          <w:vertAlign w:val="subscript"/>
        </w:rPr>
        <w:t>1</w:t>
      </w:r>
      <w:r w:rsidRPr="002748AE">
        <w:rPr>
          <w:sz w:val="24"/>
          <w:szCs w:val="24"/>
        </w:rPr>
        <w:t xml:space="preserve"> fra del 2 ved uge 16 -5,9 % (9,4 %). For patienter randomiseret til placebo/ivacaftor-behandlingssekvensen i del 1 var der en yderligere gennemsnitlig (SD) ændring på 3,3 % (9,3 %) i procent forventet FEV</w:t>
      </w:r>
      <w:r w:rsidRPr="002748AE">
        <w:rPr>
          <w:sz w:val="24"/>
          <w:szCs w:val="24"/>
          <w:vertAlign w:val="subscript"/>
        </w:rPr>
        <w:t>1</w:t>
      </w:r>
      <w:r w:rsidRPr="002748AE">
        <w:rPr>
          <w:sz w:val="24"/>
          <w:szCs w:val="24"/>
        </w:rPr>
        <w:t xml:space="preserve"> efter de yderligere 16 ugers behandling med ivacaftor. Ved opfølgningsbesøget 4 uger efter afslutning på ivacaftor var den gennemsnitlige (SD) absolutte ændring i procent forventet FEV</w:t>
      </w:r>
      <w:r w:rsidRPr="002748AE">
        <w:rPr>
          <w:sz w:val="24"/>
          <w:szCs w:val="24"/>
          <w:vertAlign w:val="subscript"/>
        </w:rPr>
        <w:t>1</w:t>
      </w:r>
      <w:r w:rsidRPr="002748AE">
        <w:rPr>
          <w:sz w:val="24"/>
          <w:szCs w:val="24"/>
        </w:rPr>
        <w:t xml:space="preserve"> fra del 2 ved uge 16 </w:t>
      </w:r>
      <w:r w:rsidRPr="002748AE">
        <w:rPr>
          <w:sz w:val="24"/>
          <w:szCs w:val="24"/>
        </w:rPr>
        <w:br/>
        <w:t xml:space="preserve">-7,4 % (5,5 %). </w:t>
      </w:r>
    </w:p>
    <w:p w14:paraId="0122FB29" w14:textId="77777777" w:rsidR="00D41138" w:rsidRPr="002748AE" w:rsidRDefault="00D41138" w:rsidP="002748AE">
      <w:pPr>
        <w:ind w:left="851"/>
        <w:rPr>
          <w:sz w:val="24"/>
          <w:szCs w:val="24"/>
        </w:rPr>
      </w:pPr>
      <w:r w:rsidRPr="002748AE">
        <w:rPr>
          <w:sz w:val="24"/>
          <w:szCs w:val="24"/>
        </w:rPr>
        <w:t xml:space="preserve"> </w:t>
      </w:r>
    </w:p>
    <w:p w14:paraId="360A1528" w14:textId="77777777" w:rsidR="00D41138" w:rsidRPr="002748AE" w:rsidRDefault="00D41138" w:rsidP="002748AE">
      <w:pPr>
        <w:ind w:left="851"/>
        <w:rPr>
          <w:sz w:val="24"/>
          <w:szCs w:val="24"/>
        </w:rPr>
      </w:pPr>
      <w:r w:rsidRPr="002748AE">
        <w:rPr>
          <w:i/>
          <w:sz w:val="24"/>
          <w:szCs w:val="24"/>
          <w:u w:val="single"/>
        </w:rPr>
        <w:t>Studie 770-104: studie hos patienter med CF med F508del-mutation i CFTR-genet</w:t>
      </w:r>
    </w:p>
    <w:p w14:paraId="3BDA8164" w14:textId="77777777" w:rsidR="00D41138" w:rsidRPr="002748AE" w:rsidRDefault="00D41138" w:rsidP="002748AE">
      <w:pPr>
        <w:ind w:left="851"/>
        <w:rPr>
          <w:sz w:val="24"/>
          <w:szCs w:val="24"/>
        </w:rPr>
      </w:pPr>
      <w:r w:rsidRPr="002748AE">
        <w:rPr>
          <w:sz w:val="24"/>
          <w:szCs w:val="24"/>
        </w:rPr>
        <w:t xml:space="preserve">Studie </w:t>
      </w:r>
      <w:r w:rsidRPr="002748AE">
        <w:rPr>
          <w:iCs/>
          <w:sz w:val="24"/>
          <w:szCs w:val="24"/>
        </w:rPr>
        <w:t>770-104</w:t>
      </w:r>
      <w:r w:rsidRPr="002748AE">
        <w:rPr>
          <w:sz w:val="24"/>
          <w:szCs w:val="24"/>
        </w:rPr>
        <w:t xml:space="preserve"> (del A) var et 16-ugers 4:1 randomiseret, dobbeltblindet, placebokontrolleret fase 2-studie med parallelle grupper af ivacaftor (150 mg hver 12. time) hos 140 patienter i alderen 12 år og derover med CF, som var homozygote for </w:t>
      </w:r>
      <w:r w:rsidRPr="002748AE">
        <w:rPr>
          <w:i/>
          <w:sz w:val="24"/>
          <w:szCs w:val="24"/>
        </w:rPr>
        <w:t>F508del</w:t>
      </w:r>
      <w:r w:rsidRPr="002748AE">
        <w:rPr>
          <w:sz w:val="24"/>
          <w:szCs w:val="24"/>
        </w:rPr>
        <w:t xml:space="preserve">-mutationen i </w:t>
      </w:r>
      <w:r w:rsidRPr="002748AE">
        <w:rPr>
          <w:i/>
          <w:sz w:val="24"/>
          <w:szCs w:val="24"/>
        </w:rPr>
        <w:t>CFTR</w:t>
      </w:r>
      <w:r w:rsidRPr="002748AE">
        <w:rPr>
          <w:sz w:val="24"/>
          <w:szCs w:val="24"/>
        </w:rPr>
        <w:t>-genet, og som havde FEV</w:t>
      </w:r>
      <w:r w:rsidRPr="002748AE">
        <w:rPr>
          <w:sz w:val="24"/>
          <w:szCs w:val="24"/>
          <w:vertAlign w:val="subscript"/>
        </w:rPr>
        <w:t>1</w:t>
      </w:r>
      <w:r w:rsidRPr="002748AE">
        <w:rPr>
          <w:sz w:val="24"/>
          <w:szCs w:val="24"/>
        </w:rPr>
        <w:t xml:space="preserve"> ≥40 % af forventet værdi.  </w:t>
      </w:r>
    </w:p>
    <w:p w14:paraId="48A2A0CF" w14:textId="77777777" w:rsidR="00D41138" w:rsidRPr="002748AE" w:rsidRDefault="00D41138" w:rsidP="002748AE">
      <w:pPr>
        <w:ind w:left="851"/>
        <w:rPr>
          <w:sz w:val="24"/>
          <w:szCs w:val="24"/>
        </w:rPr>
      </w:pPr>
      <w:r w:rsidRPr="002748AE">
        <w:rPr>
          <w:sz w:val="24"/>
          <w:szCs w:val="24"/>
        </w:rPr>
        <w:t xml:space="preserve"> </w:t>
      </w:r>
    </w:p>
    <w:p w14:paraId="768BA16C" w14:textId="4EEDBDA5" w:rsidR="00D41138" w:rsidRPr="002748AE" w:rsidRDefault="00D41138" w:rsidP="002748AE">
      <w:pPr>
        <w:ind w:left="851"/>
        <w:rPr>
          <w:sz w:val="24"/>
          <w:szCs w:val="24"/>
        </w:rPr>
      </w:pPr>
      <w:r w:rsidRPr="002748AE">
        <w:rPr>
          <w:sz w:val="24"/>
          <w:szCs w:val="24"/>
        </w:rPr>
        <w:t xml:space="preserve">Den gennemsnitlige absolutte ændring fra </w:t>
      </w:r>
      <w:r w:rsidRPr="002748AE">
        <w:rPr>
          <w:i/>
          <w:sz w:val="24"/>
          <w:szCs w:val="24"/>
        </w:rPr>
        <w:t>baseline</w:t>
      </w:r>
      <w:r w:rsidRPr="002748AE">
        <w:rPr>
          <w:sz w:val="24"/>
          <w:szCs w:val="24"/>
        </w:rPr>
        <w:t xml:space="preserve"> til og med uge 16 i procent af forventet FEV</w:t>
      </w:r>
      <w:r w:rsidRPr="002748AE">
        <w:rPr>
          <w:sz w:val="24"/>
          <w:szCs w:val="24"/>
          <w:vertAlign w:val="subscript"/>
        </w:rPr>
        <w:t>1</w:t>
      </w:r>
      <w:r w:rsidRPr="002748AE">
        <w:rPr>
          <w:sz w:val="24"/>
          <w:szCs w:val="24"/>
        </w:rPr>
        <w:t xml:space="preserve"> (primært endepunkt for virkning) var 1,5 procentpoints i ivacaftor-gruppen, og -0,2 procentpoints i placebo-gruppen. Den estimerede behandlingsforskel for ivacaftor </w:t>
      </w:r>
      <w:r w:rsidRPr="002748AE">
        <w:rPr>
          <w:i/>
          <w:sz w:val="24"/>
          <w:szCs w:val="24"/>
        </w:rPr>
        <w:t>versus</w:t>
      </w:r>
      <w:r w:rsidRPr="002748AE">
        <w:rPr>
          <w:sz w:val="24"/>
          <w:szCs w:val="24"/>
        </w:rPr>
        <w:t xml:space="preserve"> </w:t>
      </w:r>
      <w:r w:rsidRPr="002748AE">
        <w:rPr>
          <w:sz w:val="24"/>
          <w:szCs w:val="24"/>
        </w:rPr>
        <w:lastRenderedPageBreak/>
        <w:t>placebo var 1,7 procentpoints (95 % CI: -0,6; 4,1), denne forskel var ikke statistisk signifikant (</w:t>
      </w:r>
      <w:r w:rsidRPr="002748AE">
        <w:rPr>
          <w:i/>
          <w:sz w:val="24"/>
          <w:szCs w:val="24"/>
        </w:rPr>
        <w:t xml:space="preserve">p </w:t>
      </w:r>
      <w:r w:rsidRPr="002748AE">
        <w:rPr>
          <w:sz w:val="24"/>
          <w:szCs w:val="24"/>
        </w:rPr>
        <w:t xml:space="preserve">= 0,15). </w:t>
      </w:r>
    </w:p>
    <w:p w14:paraId="65BC91C3" w14:textId="77777777" w:rsidR="00D41138" w:rsidRPr="002748AE" w:rsidRDefault="00D41138" w:rsidP="002748AE">
      <w:pPr>
        <w:ind w:left="851"/>
        <w:rPr>
          <w:sz w:val="24"/>
          <w:szCs w:val="24"/>
        </w:rPr>
      </w:pPr>
      <w:r w:rsidRPr="002748AE">
        <w:rPr>
          <w:sz w:val="24"/>
          <w:szCs w:val="24"/>
        </w:rPr>
        <w:t xml:space="preserve"> </w:t>
      </w:r>
    </w:p>
    <w:p w14:paraId="0E30C47A" w14:textId="77777777" w:rsidR="00D41138" w:rsidRPr="002748AE" w:rsidRDefault="00D41138" w:rsidP="002748AE">
      <w:pPr>
        <w:ind w:left="851"/>
        <w:rPr>
          <w:sz w:val="24"/>
          <w:szCs w:val="24"/>
        </w:rPr>
      </w:pPr>
      <w:r w:rsidRPr="002748AE">
        <w:rPr>
          <w:i/>
          <w:sz w:val="24"/>
          <w:szCs w:val="24"/>
          <w:u w:val="single"/>
        </w:rPr>
        <w:t>Studie 770-105: åbent forlængelsesstudie</w:t>
      </w:r>
    </w:p>
    <w:p w14:paraId="7FEE3F9A" w14:textId="77777777" w:rsidR="00D41138" w:rsidRPr="002748AE" w:rsidRDefault="00D41138" w:rsidP="002748AE">
      <w:pPr>
        <w:ind w:left="851"/>
        <w:rPr>
          <w:sz w:val="24"/>
          <w:szCs w:val="24"/>
        </w:rPr>
      </w:pPr>
      <w:r w:rsidRPr="002748AE">
        <w:rPr>
          <w:sz w:val="24"/>
          <w:szCs w:val="24"/>
        </w:rPr>
        <w:t xml:space="preserve">I studie 770-105 blev patienter, der gennemførte behandlingen i studie 770-102 og 770-103 med placebo, skiftet til ivacaftor, mens patienterne, der fik ivacaftor, fortsatte med at få det i mindst 96 uger, dvs. behandlingsvarigheden med ivacaftor var mindst 96 uger for patienter i placebo/ivacaftor-gruppen, og mindst 144 uger for patienter i ivacaftor/ivacaftor-gruppen. </w:t>
      </w:r>
    </w:p>
    <w:p w14:paraId="720AFB7E" w14:textId="77777777" w:rsidR="00D41138" w:rsidRPr="002748AE" w:rsidRDefault="00D41138" w:rsidP="002748AE">
      <w:pPr>
        <w:ind w:left="851"/>
        <w:rPr>
          <w:sz w:val="24"/>
          <w:szCs w:val="24"/>
        </w:rPr>
      </w:pPr>
      <w:r w:rsidRPr="002748AE">
        <w:rPr>
          <w:sz w:val="24"/>
          <w:szCs w:val="24"/>
        </w:rPr>
        <w:t xml:space="preserve"> </w:t>
      </w:r>
    </w:p>
    <w:p w14:paraId="2A5EF70D" w14:textId="77777777" w:rsidR="00D41138" w:rsidRPr="002748AE" w:rsidRDefault="00D41138" w:rsidP="002748AE">
      <w:pPr>
        <w:ind w:left="851"/>
        <w:rPr>
          <w:sz w:val="24"/>
          <w:szCs w:val="24"/>
        </w:rPr>
      </w:pPr>
      <w:r w:rsidRPr="002748AE">
        <w:rPr>
          <w:sz w:val="24"/>
          <w:szCs w:val="24"/>
        </w:rPr>
        <w:t xml:space="preserve">144 patienter fra studie 770-102 indgik i studie 770-105, 67 i placebo/ivacaftor-gruppen og 77 i ivacaftor/ivacaftor-gruppen. 48 patienter fra studie 770-103 indgik i studie 770-105, 22 i placebo/ivacaftor-gruppen og 26 i ivacaftor/ivacaftor-gruppen. </w:t>
      </w:r>
    </w:p>
    <w:p w14:paraId="18388551" w14:textId="77777777" w:rsidR="00D41138" w:rsidRPr="002748AE" w:rsidRDefault="00D41138" w:rsidP="002748AE">
      <w:pPr>
        <w:ind w:left="851"/>
        <w:rPr>
          <w:sz w:val="24"/>
          <w:szCs w:val="24"/>
        </w:rPr>
      </w:pPr>
      <w:r w:rsidRPr="002748AE">
        <w:rPr>
          <w:sz w:val="24"/>
          <w:szCs w:val="24"/>
        </w:rPr>
        <w:t xml:space="preserve"> </w:t>
      </w:r>
    </w:p>
    <w:p w14:paraId="4B5F34DD" w14:textId="77777777" w:rsidR="00D41138" w:rsidRPr="002748AE" w:rsidRDefault="00D41138" w:rsidP="002748AE">
      <w:pPr>
        <w:ind w:left="851"/>
        <w:rPr>
          <w:sz w:val="24"/>
          <w:szCs w:val="24"/>
        </w:rPr>
      </w:pPr>
      <w:r w:rsidRPr="002748AE">
        <w:rPr>
          <w:sz w:val="24"/>
          <w:szCs w:val="24"/>
        </w:rPr>
        <w:t>Tabel 9 viser den gennemsnitlige (SD) absolutte ændring i procent af forventet FEV</w:t>
      </w:r>
      <w:r w:rsidRPr="002748AE">
        <w:rPr>
          <w:sz w:val="24"/>
          <w:szCs w:val="24"/>
          <w:vertAlign w:val="subscript"/>
        </w:rPr>
        <w:t>1</w:t>
      </w:r>
      <w:r w:rsidRPr="002748AE">
        <w:rPr>
          <w:sz w:val="24"/>
          <w:szCs w:val="24"/>
        </w:rPr>
        <w:t xml:space="preserve"> for begge patientgrupper. For patienter i placebo/ivacaftor-gruppen er procent af forventet FEV</w:t>
      </w:r>
      <w:r w:rsidRPr="002748AE">
        <w:rPr>
          <w:sz w:val="24"/>
          <w:szCs w:val="24"/>
          <w:vertAlign w:val="subscript"/>
        </w:rPr>
        <w:t>1</w:t>
      </w:r>
      <w:r w:rsidRPr="002748AE">
        <w:rPr>
          <w:sz w:val="24"/>
          <w:szCs w:val="24"/>
        </w:rPr>
        <w:t xml:space="preserve"> ved </w:t>
      </w:r>
      <w:r w:rsidRPr="002748AE">
        <w:rPr>
          <w:i/>
          <w:sz w:val="24"/>
          <w:szCs w:val="24"/>
        </w:rPr>
        <w:t>baseline</w:t>
      </w:r>
      <w:r w:rsidRPr="002748AE">
        <w:rPr>
          <w:sz w:val="24"/>
          <w:szCs w:val="24"/>
        </w:rPr>
        <w:t xml:space="preserve"> værdien i studie 770-105, og for patienter i ivacaftor/ivacaftor-gruppen er værdien ved </w:t>
      </w:r>
      <w:r w:rsidRPr="002748AE">
        <w:rPr>
          <w:i/>
          <w:sz w:val="24"/>
          <w:szCs w:val="24"/>
        </w:rPr>
        <w:t>baseline</w:t>
      </w:r>
      <w:r w:rsidRPr="002748AE">
        <w:rPr>
          <w:sz w:val="24"/>
          <w:szCs w:val="24"/>
        </w:rPr>
        <w:t xml:space="preserve"> værdien i studie 770-102 og 770-103. </w:t>
      </w:r>
    </w:p>
    <w:p w14:paraId="1E7BE438" w14:textId="77777777" w:rsidR="00D41138" w:rsidRPr="002748AE" w:rsidRDefault="00D41138" w:rsidP="002748AE">
      <w:pPr>
        <w:ind w:left="851"/>
        <w:rPr>
          <w:sz w:val="24"/>
          <w:szCs w:val="24"/>
        </w:rPr>
      </w:pPr>
      <w:r w:rsidRPr="002748AE">
        <w:rPr>
          <w:b/>
          <w:sz w:val="24"/>
          <w:szCs w:val="24"/>
        </w:rPr>
        <w:t xml:space="preserve"> </w:t>
      </w:r>
    </w:p>
    <w:p w14:paraId="11EEFB55" w14:textId="77777777" w:rsidR="00D41138" w:rsidRPr="002748AE" w:rsidRDefault="00D41138" w:rsidP="00401ECA">
      <w:pPr>
        <w:pStyle w:val="Brdtekst"/>
        <w:suppressAutoHyphens/>
        <w:kinsoku w:val="0"/>
        <w:overflowPunct w:val="0"/>
        <w:ind w:left="851"/>
        <w:rPr>
          <w:color w:val="000000" w:themeColor="text1"/>
        </w:rPr>
      </w:pPr>
      <w:r w:rsidRPr="002748AE">
        <w:rPr>
          <w:b/>
          <w:color w:val="000000" w:themeColor="text1"/>
        </w:rPr>
        <w:t>Tabel 9: Ivacaftors virkning på procent af forventet FEV</w:t>
      </w:r>
      <w:r w:rsidRPr="002748AE">
        <w:rPr>
          <w:b/>
          <w:color w:val="000000" w:themeColor="text1"/>
          <w:vertAlign w:val="subscript"/>
        </w:rPr>
        <w:t>1</w:t>
      </w:r>
      <w:r w:rsidRPr="002748AE">
        <w:rPr>
          <w:b/>
          <w:color w:val="000000" w:themeColor="text1"/>
        </w:rPr>
        <w:t xml:space="preserve"> i studie 770-105</w:t>
      </w:r>
    </w:p>
    <w:p w14:paraId="182CAE31" w14:textId="77777777" w:rsidR="00D41138" w:rsidRPr="002748AE" w:rsidRDefault="00D41138" w:rsidP="00D41138">
      <w:pPr>
        <w:pStyle w:val="Brdtekst"/>
        <w:suppressAutoHyphens/>
        <w:kinsoku w:val="0"/>
        <w:overflowPunct w:val="0"/>
        <w:ind w:left="0"/>
        <w:rPr>
          <w:b/>
          <w:color w:val="000000" w:themeColor="text1"/>
        </w:rPr>
      </w:pPr>
    </w:p>
    <w:tbl>
      <w:tblPr>
        <w:tblStyle w:val="TableGrid"/>
        <w:tblW w:w="5000" w:type="pct"/>
        <w:jc w:val="center"/>
        <w:tblInd w:w="0" w:type="dxa"/>
        <w:tblCellMar>
          <w:top w:w="97" w:type="dxa"/>
          <w:left w:w="108" w:type="dxa"/>
          <w:right w:w="107" w:type="dxa"/>
        </w:tblCellMar>
        <w:tblLook w:val="04A0" w:firstRow="1" w:lastRow="0" w:firstColumn="1" w:lastColumn="0" w:noHBand="0" w:noVBand="1"/>
      </w:tblPr>
      <w:tblGrid>
        <w:gridCol w:w="2612"/>
        <w:gridCol w:w="2653"/>
        <w:gridCol w:w="1390"/>
        <w:gridCol w:w="2973"/>
      </w:tblGrid>
      <w:tr w:rsidR="00D41138" w:rsidRPr="00401ECA" w14:paraId="1226980E" w14:textId="77777777" w:rsidTr="002748AE">
        <w:trPr>
          <w:trHeight w:val="227"/>
          <w:jc w:val="center"/>
        </w:trPr>
        <w:tc>
          <w:tcPr>
            <w:tcW w:w="1356" w:type="pct"/>
            <w:tcBorders>
              <w:top w:val="single" w:sz="4" w:space="0" w:color="000000"/>
              <w:left w:val="single" w:sz="4" w:space="0" w:color="000000"/>
              <w:bottom w:val="single" w:sz="4" w:space="0" w:color="000000"/>
              <w:right w:val="single" w:sz="4" w:space="0" w:color="000000"/>
            </w:tcBorders>
            <w:tcMar>
              <w:top w:w="28" w:type="dxa"/>
              <w:left w:w="0" w:type="dxa"/>
              <w:bottom w:w="28" w:type="dxa"/>
              <w:right w:w="0" w:type="dxa"/>
            </w:tcMar>
            <w:hideMark/>
          </w:tcPr>
          <w:p w14:paraId="05235E21" w14:textId="77777777" w:rsidR="00D41138" w:rsidRPr="00401ECA" w:rsidRDefault="00D41138">
            <w:pPr>
              <w:jc w:val="center"/>
              <w:rPr>
                <w:rFonts w:ascii="Times New Roman" w:hAnsi="Times New Roman" w:cs="Times New Roman"/>
                <w:sz w:val="22"/>
                <w:szCs w:val="22"/>
                <w:lang w:eastAsia="ru-RU"/>
              </w:rPr>
            </w:pPr>
            <w:r w:rsidRPr="00401ECA">
              <w:rPr>
                <w:rFonts w:ascii="Times New Roman" w:hAnsi="Times New Roman" w:cs="Times New Roman"/>
                <w:b/>
                <w:sz w:val="22"/>
                <w:szCs w:val="22"/>
                <w:lang w:eastAsia="ru-RU"/>
              </w:rPr>
              <w:t>Oprindeligt studie og behandlingsgruppe</w:t>
            </w:r>
            <w:r w:rsidRPr="00401ECA">
              <w:rPr>
                <w:rFonts w:ascii="Times New Roman" w:hAnsi="Times New Roman" w:cs="Times New Roman"/>
                <w:sz w:val="22"/>
                <w:szCs w:val="22"/>
                <w:lang w:eastAsia="ru-RU"/>
              </w:rPr>
              <w:t xml:space="preserve"> </w:t>
            </w:r>
          </w:p>
        </w:tc>
        <w:tc>
          <w:tcPr>
            <w:tcW w:w="1378" w:type="pct"/>
            <w:tcBorders>
              <w:top w:val="single" w:sz="4" w:space="0" w:color="000000"/>
              <w:left w:val="single" w:sz="4" w:space="0" w:color="000000"/>
              <w:bottom w:val="single" w:sz="4" w:space="0" w:color="000000"/>
              <w:right w:val="single" w:sz="4" w:space="0" w:color="000000"/>
            </w:tcBorders>
            <w:tcMar>
              <w:top w:w="28" w:type="dxa"/>
              <w:left w:w="0" w:type="dxa"/>
              <w:bottom w:w="28" w:type="dxa"/>
              <w:right w:w="0" w:type="dxa"/>
            </w:tcMar>
            <w:hideMark/>
          </w:tcPr>
          <w:p w14:paraId="38DEC0AD" w14:textId="77777777" w:rsidR="00D41138" w:rsidRPr="00401ECA" w:rsidRDefault="00D41138">
            <w:pPr>
              <w:jc w:val="center"/>
              <w:rPr>
                <w:rFonts w:ascii="Times New Roman" w:hAnsi="Times New Roman" w:cs="Times New Roman"/>
                <w:sz w:val="22"/>
                <w:szCs w:val="22"/>
                <w:lang w:eastAsia="ru-RU"/>
              </w:rPr>
            </w:pPr>
            <w:r w:rsidRPr="00401ECA">
              <w:rPr>
                <w:rFonts w:ascii="Times New Roman" w:hAnsi="Times New Roman" w:cs="Times New Roman"/>
                <w:b/>
                <w:sz w:val="22"/>
                <w:szCs w:val="22"/>
                <w:lang w:eastAsia="ru-RU"/>
              </w:rPr>
              <w:t>Behandlingsvarighed med ivacaftor (uger)</w:t>
            </w:r>
            <w:r w:rsidRPr="00401ECA">
              <w:rPr>
                <w:rFonts w:ascii="Times New Roman" w:hAnsi="Times New Roman" w:cs="Times New Roman"/>
                <w:sz w:val="22"/>
                <w:szCs w:val="22"/>
                <w:lang w:eastAsia="ru-RU"/>
              </w:rPr>
              <w:t xml:space="preserve"> </w:t>
            </w:r>
          </w:p>
        </w:tc>
        <w:tc>
          <w:tcPr>
            <w:tcW w:w="2266" w:type="pct"/>
            <w:gridSpan w:val="2"/>
            <w:tcBorders>
              <w:top w:val="single" w:sz="4" w:space="0" w:color="000000"/>
              <w:left w:val="single" w:sz="4" w:space="0" w:color="000000"/>
              <w:bottom w:val="single" w:sz="4" w:space="0" w:color="000000"/>
              <w:right w:val="single" w:sz="4" w:space="0" w:color="000000"/>
            </w:tcBorders>
            <w:tcMar>
              <w:top w:w="28" w:type="dxa"/>
              <w:left w:w="0" w:type="dxa"/>
              <w:bottom w:w="28" w:type="dxa"/>
              <w:right w:w="0" w:type="dxa"/>
            </w:tcMar>
            <w:hideMark/>
          </w:tcPr>
          <w:p w14:paraId="54927886" w14:textId="77777777" w:rsidR="00D41138" w:rsidRPr="00401ECA" w:rsidRDefault="00D41138">
            <w:pPr>
              <w:jc w:val="center"/>
              <w:rPr>
                <w:rFonts w:ascii="Times New Roman" w:hAnsi="Times New Roman" w:cs="Times New Roman"/>
                <w:sz w:val="22"/>
                <w:szCs w:val="22"/>
                <w:lang w:eastAsia="ru-RU"/>
              </w:rPr>
            </w:pPr>
            <w:r w:rsidRPr="00401ECA">
              <w:rPr>
                <w:rFonts w:ascii="Times New Roman" w:hAnsi="Times New Roman" w:cs="Times New Roman"/>
                <w:b/>
                <w:sz w:val="22"/>
                <w:szCs w:val="22"/>
                <w:lang w:eastAsia="ru-RU"/>
              </w:rPr>
              <w:t xml:space="preserve">Absolut ændring fra </w:t>
            </w:r>
            <w:r w:rsidRPr="00401ECA">
              <w:rPr>
                <w:rFonts w:ascii="Times New Roman" w:hAnsi="Times New Roman" w:cs="Times New Roman"/>
                <w:b/>
                <w:i/>
                <w:sz w:val="22"/>
                <w:szCs w:val="22"/>
                <w:lang w:eastAsia="ru-RU"/>
              </w:rPr>
              <w:t xml:space="preserve">baseline </w:t>
            </w:r>
            <w:r w:rsidRPr="00401ECA">
              <w:rPr>
                <w:rFonts w:ascii="Times New Roman" w:hAnsi="Times New Roman" w:cs="Times New Roman"/>
                <w:b/>
                <w:sz w:val="22"/>
                <w:szCs w:val="22"/>
                <w:lang w:eastAsia="ru-RU"/>
              </w:rPr>
              <w:t>i procent af forventet FEV</w:t>
            </w:r>
            <w:r w:rsidRPr="00401ECA">
              <w:rPr>
                <w:rFonts w:ascii="Times New Roman" w:hAnsi="Times New Roman" w:cs="Times New Roman"/>
                <w:b/>
                <w:sz w:val="22"/>
                <w:szCs w:val="22"/>
                <w:vertAlign w:val="subscript"/>
                <w:lang w:eastAsia="ru-RU"/>
              </w:rPr>
              <w:t>1</w:t>
            </w:r>
            <w:r w:rsidRPr="00401ECA">
              <w:rPr>
                <w:rFonts w:ascii="Times New Roman" w:hAnsi="Times New Roman" w:cs="Times New Roman"/>
                <w:b/>
                <w:sz w:val="22"/>
                <w:szCs w:val="22"/>
                <w:lang w:eastAsia="ru-RU"/>
              </w:rPr>
              <w:t xml:space="preserve"> (procentpoints)</w:t>
            </w:r>
            <w:r w:rsidRPr="00401ECA">
              <w:rPr>
                <w:rFonts w:ascii="Times New Roman" w:hAnsi="Times New Roman" w:cs="Times New Roman"/>
                <w:sz w:val="22"/>
                <w:szCs w:val="22"/>
                <w:lang w:eastAsia="ru-RU"/>
              </w:rPr>
              <w:t xml:space="preserve"> </w:t>
            </w:r>
          </w:p>
        </w:tc>
      </w:tr>
      <w:tr w:rsidR="00D41138" w:rsidRPr="00401ECA" w14:paraId="44F5BC22" w14:textId="77777777" w:rsidTr="002748AE">
        <w:trPr>
          <w:trHeight w:val="227"/>
          <w:jc w:val="center"/>
        </w:trPr>
        <w:tc>
          <w:tcPr>
            <w:tcW w:w="1356" w:type="pct"/>
            <w:tcBorders>
              <w:top w:val="single" w:sz="4" w:space="0" w:color="000000"/>
              <w:left w:val="single" w:sz="4" w:space="0" w:color="000000"/>
              <w:bottom w:val="single" w:sz="4" w:space="0" w:color="000000"/>
              <w:right w:val="single" w:sz="4" w:space="0" w:color="000000"/>
            </w:tcBorders>
            <w:tcMar>
              <w:top w:w="28" w:type="dxa"/>
              <w:left w:w="0" w:type="dxa"/>
              <w:bottom w:w="28" w:type="dxa"/>
              <w:right w:w="0" w:type="dxa"/>
            </w:tcMar>
            <w:hideMark/>
          </w:tcPr>
          <w:p w14:paraId="6DA40FB9" w14:textId="77777777" w:rsidR="00D41138" w:rsidRPr="00401ECA" w:rsidRDefault="00D41138">
            <w:pPr>
              <w:rPr>
                <w:rFonts w:ascii="Times New Roman" w:hAnsi="Times New Roman" w:cs="Times New Roman"/>
                <w:sz w:val="22"/>
                <w:szCs w:val="22"/>
                <w:lang w:eastAsia="ru-RU"/>
              </w:rPr>
            </w:pPr>
            <w:r w:rsidRPr="00401ECA">
              <w:rPr>
                <w:rFonts w:ascii="Times New Roman" w:hAnsi="Times New Roman" w:cs="Times New Roman"/>
                <w:b/>
                <w:sz w:val="22"/>
                <w:szCs w:val="22"/>
                <w:lang w:eastAsia="ru-RU"/>
              </w:rPr>
              <w:t xml:space="preserve"> </w:t>
            </w:r>
          </w:p>
        </w:tc>
        <w:tc>
          <w:tcPr>
            <w:tcW w:w="1378" w:type="pct"/>
            <w:tcBorders>
              <w:top w:val="single" w:sz="4" w:space="0" w:color="000000"/>
              <w:left w:val="single" w:sz="4" w:space="0" w:color="000000"/>
              <w:bottom w:val="single" w:sz="4" w:space="0" w:color="000000"/>
              <w:right w:val="single" w:sz="4" w:space="0" w:color="000000"/>
            </w:tcBorders>
            <w:tcMar>
              <w:top w:w="28" w:type="dxa"/>
              <w:left w:w="0" w:type="dxa"/>
              <w:bottom w:w="28" w:type="dxa"/>
              <w:right w:w="0" w:type="dxa"/>
            </w:tcMar>
            <w:hideMark/>
          </w:tcPr>
          <w:p w14:paraId="49FC26B7" w14:textId="77777777" w:rsidR="00D41138" w:rsidRPr="00401ECA" w:rsidRDefault="00D41138">
            <w:pPr>
              <w:ind w:left="52"/>
              <w:jc w:val="center"/>
              <w:rPr>
                <w:rFonts w:ascii="Times New Roman" w:hAnsi="Times New Roman" w:cs="Times New Roman"/>
                <w:sz w:val="22"/>
                <w:szCs w:val="22"/>
                <w:lang w:eastAsia="ru-RU"/>
              </w:rPr>
            </w:pPr>
            <w:r w:rsidRPr="00401ECA">
              <w:rPr>
                <w:rFonts w:ascii="Times New Roman" w:hAnsi="Times New Roman" w:cs="Times New Roman"/>
                <w:b/>
                <w:sz w:val="22"/>
                <w:szCs w:val="22"/>
                <w:lang w:eastAsia="ru-RU"/>
              </w:rPr>
              <w:t xml:space="preserve"> </w:t>
            </w:r>
          </w:p>
        </w:tc>
        <w:tc>
          <w:tcPr>
            <w:tcW w:w="722" w:type="pct"/>
            <w:tcBorders>
              <w:top w:val="single" w:sz="4" w:space="0" w:color="000000"/>
              <w:left w:val="single" w:sz="4" w:space="0" w:color="000000"/>
              <w:bottom w:val="single" w:sz="4" w:space="0" w:color="000000"/>
              <w:right w:val="single" w:sz="4" w:space="0" w:color="000000"/>
            </w:tcBorders>
            <w:tcMar>
              <w:top w:w="28" w:type="dxa"/>
              <w:left w:w="0" w:type="dxa"/>
              <w:bottom w:w="28" w:type="dxa"/>
              <w:right w:w="0" w:type="dxa"/>
            </w:tcMar>
            <w:hideMark/>
          </w:tcPr>
          <w:p w14:paraId="696613B8" w14:textId="77777777" w:rsidR="00D41138" w:rsidRPr="00401ECA" w:rsidRDefault="00D41138">
            <w:pPr>
              <w:ind w:right="3"/>
              <w:jc w:val="center"/>
              <w:rPr>
                <w:rFonts w:ascii="Times New Roman" w:hAnsi="Times New Roman" w:cs="Times New Roman"/>
                <w:sz w:val="22"/>
                <w:szCs w:val="22"/>
                <w:lang w:eastAsia="ru-RU"/>
              </w:rPr>
            </w:pPr>
            <w:r w:rsidRPr="00401ECA">
              <w:rPr>
                <w:rFonts w:ascii="Times New Roman" w:hAnsi="Times New Roman" w:cs="Times New Roman"/>
                <w:b/>
                <w:sz w:val="22"/>
                <w:szCs w:val="22"/>
                <w:lang w:eastAsia="ru-RU"/>
              </w:rPr>
              <w:t xml:space="preserve">N </w:t>
            </w:r>
          </w:p>
        </w:tc>
        <w:tc>
          <w:tcPr>
            <w:tcW w:w="1544" w:type="pct"/>
            <w:tcBorders>
              <w:top w:val="single" w:sz="4" w:space="0" w:color="000000"/>
              <w:left w:val="single" w:sz="4" w:space="0" w:color="000000"/>
              <w:bottom w:val="single" w:sz="4" w:space="0" w:color="000000"/>
              <w:right w:val="single" w:sz="4" w:space="0" w:color="000000"/>
            </w:tcBorders>
            <w:tcMar>
              <w:top w:w="28" w:type="dxa"/>
              <w:left w:w="0" w:type="dxa"/>
              <w:bottom w:w="28" w:type="dxa"/>
              <w:right w:w="0" w:type="dxa"/>
            </w:tcMar>
            <w:hideMark/>
          </w:tcPr>
          <w:p w14:paraId="0C0F6080" w14:textId="77777777" w:rsidR="00D41138" w:rsidRPr="00401ECA" w:rsidRDefault="00D41138">
            <w:pPr>
              <w:ind w:right="5"/>
              <w:jc w:val="center"/>
              <w:rPr>
                <w:rFonts w:ascii="Times New Roman" w:hAnsi="Times New Roman" w:cs="Times New Roman"/>
                <w:sz w:val="22"/>
                <w:szCs w:val="22"/>
                <w:lang w:eastAsia="ru-RU"/>
              </w:rPr>
            </w:pPr>
            <w:r w:rsidRPr="00401ECA">
              <w:rPr>
                <w:rFonts w:ascii="Times New Roman" w:hAnsi="Times New Roman" w:cs="Times New Roman"/>
                <w:b/>
                <w:sz w:val="22"/>
                <w:szCs w:val="22"/>
                <w:lang w:eastAsia="ru-RU"/>
              </w:rPr>
              <w:t xml:space="preserve">Gennemsnit (SD) </w:t>
            </w:r>
          </w:p>
        </w:tc>
      </w:tr>
      <w:tr w:rsidR="00D41138" w:rsidRPr="00401ECA" w14:paraId="7541A32A" w14:textId="77777777" w:rsidTr="002748AE">
        <w:trPr>
          <w:trHeight w:val="227"/>
          <w:jc w:val="center"/>
        </w:trPr>
        <w:tc>
          <w:tcPr>
            <w:tcW w:w="1356" w:type="pct"/>
            <w:tcBorders>
              <w:top w:val="single" w:sz="4" w:space="0" w:color="000000"/>
              <w:left w:val="single" w:sz="4" w:space="0" w:color="000000"/>
              <w:bottom w:val="single" w:sz="4" w:space="0" w:color="000000"/>
              <w:right w:val="nil"/>
            </w:tcBorders>
            <w:tcMar>
              <w:top w:w="28" w:type="dxa"/>
              <w:left w:w="0" w:type="dxa"/>
              <w:bottom w:w="28" w:type="dxa"/>
              <w:right w:w="0" w:type="dxa"/>
            </w:tcMar>
            <w:hideMark/>
          </w:tcPr>
          <w:p w14:paraId="223F2F95" w14:textId="77777777" w:rsidR="00D41138" w:rsidRPr="00401ECA" w:rsidRDefault="00D41138">
            <w:pPr>
              <w:ind w:left="113"/>
              <w:rPr>
                <w:rFonts w:ascii="Times New Roman" w:hAnsi="Times New Roman" w:cs="Times New Roman"/>
                <w:sz w:val="22"/>
                <w:szCs w:val="22"/>
                <w:lang w:eastAsia="ru-RU"/>
              </w:rPr>
            </w:pPr>
            <w:r w:rsidRPr="00401ECA">
              <w:rPr>
                <w:rFonts w:ascii="Times New Roman" w:hAnsi="Times New Roman" w:cs="Times New Roman"/>
                <w:b/>
                <w:sz w:val="22"/>
                <w:szCs w:val="22"/>
                <w:lang w:eastAsia="ru-RU"/>
              </w:rPr>
              <w:t xml:space="preserve">Studie 770-102 </w:t>
            </w:r>
          </w:p>
        </w:tc>
        <w:tc>
          <w:tcPr>
            <w:tcW w:w="1378" w:type="pct"/>
            <w:tcBorders>
              <w:top w:val="single" w:sz="4" w:space="0" w:color="000000"/>
              <w:left w:val="nil"/>
              <w:bottom w:val="single" w:sz="4" w:space="0" w:color="000000"/>
              <w:right w:val="nil"/>
            </w:tcBorders>
            <w:tcMar>
              <w:top w:w="28" w:type="dxa"/>
              <w:left w:w="0" w:type="dxa"/>
              <w:bottom w:w="28" w:type="dxa"/>
              <w:right w:w="0" w:type="dxa"/>
            </w:tcMar>
          </w:tcPr>
          <w:p w14:paraId="6D1128B0" w14:textId="77777777" w:rsidR="00D41138" w:rsidRPr="00401ECA" w:rsidRDefault="00D41138">
            <w:pPr>
              <w:rPr>
                <w:rFonts w:ascii="Times New Roman" w:hAnsi="Times New Roman" w:cs="Times New Roman"/>
                <w:sz w:val="22"/>
                <w:szCs w:val="22"/>
                <w:lang w:eastAsia="ru-RU"/>
              </w:rPr>
            </w:pPr>
          </w:p>
        </w:tc>
        <w:tc>
          <w:tcPr>
            <w:tcW w:w="2266" w:type="pct"/>
            <w:gridSpan w:val="2"/>
            <w:tcBorders>
              <w:top w:val="single" w:sz="4" w:space="0" w:color="000000"/>
              <w:left w:val="nil"/>
              <w:bottom w:val="single" w:sz="4" w:space="0" w:color="000000"/>
              <w:right w:val="single" w:sz="4" w:space="0" w:color="000000"/>
            </w:tcBorders>
            <w:tcMar>
              <w:top w:w="28" w:type="dxa"/>
              <w:left w:w="0" w:type="dxa"/>
              <w:bottom w:w="28" w:type="dxa"/>
              <w:right w:w="0" w:type="dxa"/>
            </w:tcMar>
          </w:tcPr>
          <w:p w14:paraId="4652E5AB" w14:textId="77777777" w:rsidR="00D41138" w:rsidRPr="00401ECA" w:rsidRDefault="00D41138">
            <w:pPr>
              <w:rPr>
                <w:rFonts w:ascii="Times New Roman" w:hAnsi="Times New Roman" w:cs="Times New Roman"/>
                <w:sz w:val="22"/>
                <w:szCs w:val="22"/>
                <w:lang w:eastAsia="ru-RU"/>
              </w:rPr>
            </w:pPr>
          </w:p>
        </w:tc>
      </w:tr>
      <w:tr w:rsidR="00D41138" w:rsidRPr="00401ECA" w14:paraId="593E9EA5" w14:textId="77777777" w:rsidTr="002748AE">
        <w:trPr>
          <w:trHeight w:val="227"/>
          <w:jc w:val="center"/>
        </w:trPr>
        <w:tc>
          <w:tcPr>
            <w:tcW w:w="1356" w:type="pct"/>
            <w:tcBorders>
              <w:top w:val="single" w:sz="4" w:space="0" w:color="000000"/>
              <w:left w:val="single" w:sz="4" w:space="0" w:color="000000"/>
              <w:bottom w:val="single" w:sz="4" w:space="0" w:color="000000"/>
              <w:right w:val="single" w:sz="4" w:space="0" w:color="000000"/>
            </w:tcBorders>
            <w:tcMar>
              <w:top w:w="28" w:type="dxa"/>
              <w:left w:w="0" w:type="dxa"/>
              <w:bottom w:w="28" w:type="dxa"/>
              <w:right w:w="0" w:type="dxa"/>
            </w:tcMar>
            <w:hideMark/>
          </w:tcPr>
          <w:p w14:paraId="721D7E7C" w14:textId="77777777" w:rsidR="00D41138" w:rsidRPr="00401ECA" w:rsidRDefault="00D41138">
            <w:pPr>
              <w:ind w:left="227"/>
              <w:rPr>
                <w:rFonts w:ascii="Times New Roman" w:hAnsi="Times New Roman" w:cs="Times New Roman"/>
                <w:sz w:val="22"/>
                <w:szCs w:val="22"/>
                <w:lang w:eastAsia="ru-RU"/>
              </w:rPr>
            </w:pPr>
            <w:r w:rsidRPr="00401ECA">
              <w:rPr>
                <w:rFonts w:ascii="Times New Roman" w:hAnsi="Times New Roman" w:cs="Times New Roman"/>
                <w:b/>
                <w:sz w:val="22"/>
                <w:szCs w:val="22"/>
                <w:lang w:eastAsia="ru-RU"/>
              </w:rPr>
              <w:t xml:space="preserve">Ivacaftor </w:t>
            </w:r>
          </w:p>
        </w:tc>
        <w:tc>
          <w:tcPr>
            <w:tcW w:w="1378" w:type="pct"/>
            <w:tcBorders>
              <w:top w:val="single" w:sz="4" w:space="0" w:color="000000"/>
              <w:left w:val="single" w:sz="4" w:space="0" w:color="000000"/>
              <w:bottom w:val="single" w:sz="4" w:space="0" w:color="000000"/>
              <w:right w:val="single" w:sz="4" w:space="0" w:color="000000"/>
            </w:tcBorders>
            <w:tcMar>
              <w:top w:w="28" w:type="dxa"/>
              <w:left w:w="0" w:type="dxa"/>
              <w:bottom w:w="28" w:type="dxa"/>
              <w:right w:w="0" w:type="dxa"/>
            </w:tcMar>
            <w:hideMark/>
          </w:tcPr>
          <w:p w14:paraId="708A618A" w14:textId="77777777" w:rsidR="00D41138" w:rsidRPr="00401ECA" w:rsidRDefault="00D41138">
            <w:pPr>
              <w:ind w:right="1"/>
              <w:jc w:val="center"/>
              <w:rPr>
                <w:rFonts w:ascii="Times New Roman" w:hAnsi="Times New Roman" w:cs="Times New Roman"/>
                <w:sz w:val="22"/>
                <w:szCs w:val="22"/>
                <w:lang w:eastAsia="ru-RU"/>
              </w:rPr>
            </w:pPr>
            <w:r w:rsidRPr="00401ECA">
              <w:rPr>
                <w:rFonts w:ascii="Times New Roman" w:hAnsi="Times New Roman" w:cs="Times New Roman"/>
                <w:sz w:val="22"/>
                <w:szCs w:val="22"/>
                <w:lang w:eastAsia="ru-RU"/>
              </w:rPr>
              <w:t xml:space="preserve">48* </w:t>
            </w:r>
          </w:p>
        </w:tc>
        <w:tc>
          <w:tcPr>
            <w:tcW w:w="722" w:type="pct"/>
            <w:tcBorders>
              <w:top w:val="single" w:sz="4" w:space="0" w:color="000000"/>
              <w:left w:val="single" w:sz="4" w:space="0" w:color="000000"/>
              <w:bottom w:val="single" w:sz="4" w:space="0" w:color="000000"/>
              <w:right w:val="single" w:sz="4" w:space="0" w:color="000000"/>
            </w:tcBorders>
            <w:tcMar>
              <w:top w:w="28" w:type="dxa"/>
              <w:left w:w="0" w:type="dxa"/>
              <w:bottom w:w="28" w:type="dxa"/>
              <w:right w:w="0" w:type="dxa"/>
            </w:tcMar>
            <w:hideMark/>
          </w:tcPr>
          <w:p w14:paraId="07CCED23" w14:textId="77777777" w:rsidR="00D41138" w:rsidRPr="00401ECA" w:rsidRDefault="00D41138">
            <w:pPr>
              <w:ind w:right="2"/>
              <w:jc w:val="center"/>
              <w:rPr>
                <w:rFonts w:ascii="Times New Roman" w:hAnsi="Times New Roman" w:cs="Times New Roman"/>
                <w:sz w:val="22"/>
                <w:szCs w:val="22"/>
                <w:lang w:eastAsia="ru-RU"/>
              </w:rPr>
            </w:pPr>
            <w:r w:rsidRPr="00401ECA">
              <w:rPr>
                <w:rFonts w:ascii="Times New Roman" w:hAnsi="Times New Roman" w:cs="Times New Roman"/>
                <w:sz w:val="22"/>
                <w:szCs w:val="22"/>
                <w:lang w:eastAsia="ru-RU"/>
              </w:rPr>
              <w:t xml:space="preserve">77 </w:t>
            </w:r>
          </w:p>
        </w:tc>
        <w:tc>
          <w:tcPr>
            <w:tcW w:w="1544" w:type="pct"/>
            <w:tcBorders>
              <w:top w:val="single" w:sz="4" w:space="0" w:color="000000"/>
              <w:left w:val="single" w:sz="4" w:space="0" w:color="000000"/>
              <w:bottom w:val="single" w:sz="4" w:space="0" w:color="000000"/>
              <w:right w:val="single" w:sz="4" w:space="0" w:color="000000"/>
            </w:tcBorders>
            <w:tcMar>
              <w:top w:w="28" w:type="dxa"/>
              <w:left w:w="0" w:type="dxa"/>
              <w:bottom w:w="28" w:type="dxa"/>
              <w:right w:w="0" w:type="dxa"/>
            </w:tcMar>
            <w:hideMark/>
          </w:tcPr>
          <w:p w14:paraId="5BB210E2" w14:textId="77777777" w:rsidR="00D41138" w:rsidRPr="00401ECA" w:rsidRDefault="00D41138">
            <w:pPr>
              <w:ind w:right="2"/>
              <w:jc w:val="center"/>
              <w:rPr>
                <w:rFonts w:ascii="Times New Roman" w:hAnsi="Times New Roman" w:cs="Times New Roman"/>
                <w:sz w:val="22"/>
                <w:szCs w:val="22"/>
                <w:lang w:eastAsia="ru-RU"/>
              </w:rPr>
            </w:pPr>
            <w:r w:rsidRPr="00401ECA">
              <w:rPr>
                <w:rFonts w:ascii="Times New Roman" w:hAnsi="Times New Roman" w:cs="Times New Roman"/>
                <w:sz w:val="22"/>
                <w:szCs w:val="22"/>
                <w:lang w:eastAsia="ru-RU"/>
              </w:rPr>
              <w:t xml:space="preserve">9,4 (8,3) </w:t>
            </w:r>
          </w:p>
        </w:tc>
      </w:tr>
      <w:tr w:rsidR="00D41138" w:rsidRPr="00401ECA" w14:paraId="2FEBFBC5" w14:textId="77777777" w:rsidTr="002748AE">
        <w:trPr>
          <w:trHeight w:val="227"/>
          <w:jc w:val="center"/>
        </w:trPr>
        <w:tc>
          <w:tcPr>
            <w:tcW w:w="1356" w:type="pct"/>
            <w:tcBorders>
              <w:top w:val="single" w:sz="4" w:space="0" w:color="000000"/>
              <w:left w:val="single" w:sz="4" w:space="0" w:color="000000"/>
              <w:bottom w:val="single" w:sz="4" w:space="0" w:color="000000"/>
              <w:right w:val="single" w:sz="4" w:space="0" w:color="000000"/>
            </w:tcBorders>
            <w:tcMar>
              <w:top w:w="28" w:type="dxa"/>
              <w:left w:w="0" w:type="dxa"/>
              <w:bottom w:w="28" w:type="dxa"/>
              <w:right w:w="0" w:type="dxa"/>
            </w:tcMar>
            <w:hideMark/>
          </w:tcPr>
          <w:p w14:paraId="5258F309" w14:textId="77777777" w:rsidR="00D41138" w:rsidRPr="00401ECA" w:rsidRDefault="00D41138">
            <w:pPr>
              <w:ind w:left="227"/>
              <w:rPr>
                <w:rFonts w:ascii="Times New Roman" w:hAnsi="Times New Roman" w:cs="Times New Roman"/>
                <w:sz w:val="22"/>
                <w:szCs w:val="22"/>
                <w:lang w:eastAsia="ru-RU"/>
              </w:rPr>
            </w:pPr>
            <w:r w:rsidRPr="00401ECA">
              <w:rPr>
                <w:rFonts w:ascii="Times New Roman" w:hAnsi="Times New Roman" w:cs="Times New Roman"/>
                <w:b/>
                <w:sz w:val="22"/>
                <w:szCs w:val="22"/>
                <w:lang w:eastAsia="ru-RU"/>
              </w:rPr>
              <w:t xml:space="preserve"> </w:t>
            </w:r>
          </w:p>
        </w:tc>
        <w:tc>
          <w:tcPr>
            <w:tcW w:w="1378" w:type="pct"/>
            <w:tcBorders>
              <w:top w:val="single" w:sz="4" w:space="0" w:color="000000"/>
              <w:left w:val="single" w:sz="4" w:space="0" w:color="000000"/>
              <w:bottom w:val="single" w:sz="4" w:space="0" w:color="000000"/>
              <w:right w:val="single" w:sz="4" w:space="0" w:color="000000"/>
            </w:tcBorders>
            <w:tcMar>
              <w:top w:w="28" w:type="dxa"/>
              <w:left w:w="0" w:type="dxa"/>
              <w:bottom w:w="28" w:type="dxa"/>
              <w:right w:w="0" w:type="dxa"/>
            </w:tcMar>
            <w:hideMark/>
          </w:tcPr>
          <w:p w14:paraId="39708AF8" w14:textId="77777777" w:rsidR="00D41138" w:rsidRPr="00401ECA" w:rsidRDefault="00D41138">
            <w:pPr>
              <w:ind w:right="1"/>
              <w:jc w:val="center"/>
              <w:rPr>
                <w:rFonts w:ascii="Times New Roman" w:hAnsi="Times New Roman" w:cs="Times New Roman"/>
                <w:sz w:val="22"/>
                <w:szCs w:val="22"/>
                <w:lang w:eastAsia="ru-RU"/>
              </w:rPr>
            </w:pPr>
            <w:r w:rsidRPr="00401ECA">
              <w:rPr>
                <w:rFonts w:ascii="Times New Roman" w:hAnsi="Times New Roman" w:cs="Times New Roman"/>
                <w:sz w:val="22"/>
                <w:szCs w:val="22"/>
                <w:lang w:eastAsia="ru-RU"/>
              </w:rPr>
              <w:t xml:space="preserve">144 </w:t>
            </w:r>
          </w:p>
        </w:tc>
        <w:tc>
          <w:tcPr>
            <w:tcW w:w="722" w:type="pct"/>
            <w:tcBorders>
              <w:top w:val="single" w:sz="4" w:space="0" w:color="000000"/>
              <w:left w:val="single" w:sz="4" w:space="0" w:color="000000"/>
              <w:bottom w:val="single" w:sz="4" w:space="0" w:color="000000"/>
              <w:right w:val="single" w:sz="4" w:space="0" w:color="000000"/>
            </w:tcBorders>
            <w:tcMar>
              <w:top w:w="28" w:type="dxa"/>
              <w:left w:w="0" w:type="dxa"/>
              <w:bottom w:w="28" w:type="dxa"/>
              <w:right w:w="0" w:type="dxa"/>
            </w:tcMar>
            <w:hideMark/>
          </w:tcPr>
          <w:p w14:paraId="2D9018BF" w14:textId="77777777" w:rsidR="00D41138" w:rsidRPr="00401ECA" w:rsidRDefault="00D41138">
            <w:pPr>
              <w:ind w:right="2"/>
              <w:jc w:val="center"/>
              <w:rPr>
                <w:rFonts w:ascii="Times New Roman" w:hAnsi="Times New Roman" w:cs="Times New Roman"/>
                <w:sz w:val="22"/>
                <w:szCs w:val="22"/>
                <w:lang w:eastAsia="ru-RU"/>
              </w:rPr>
            </w:pPr>
            <w:r w:rsidRPr="00401ECA">
              <w:rPr>
                <w:rFonts w:ascii="Times New Roman" w:hAnsi="Times New Roman" w:cs="Times New Roman"/>
                <w:sz w:val="22"/>
                <w:szCs w:val="22"/>
                <w:lang w:eastAsia="ru-RU"/>
              </w:rPr>
              <w:t xml:space="preserve">72 </w:t>
            </w:r>
          </w:p>
        </w:tc>
        <w:tc>
          <w:tcPr>
            <w:tcW w:w="1544" w:type="pct"/>
            <w:tcBorders>
              <w:top w:val="single" w:sz="4" w:space="0" w:color="000000"/>
              <w:left w:val="single" w:sz="4" w:space="0" w:color="000000"/>
              <w:bottom w:val="single" w:sz="4" w:space="0" w:color="000000"/>
              <w:right w:val="single" w:sz="4" w:space="0" w:color="000000"/>
            </w:tcBorders>
            <w:tcMar>
              <w:top w:w="28" w:type="dxa"/>
              <w:left w:w="0" w:type="dxa"/>
              <w:bottom w:w="28" w:type="dxa"/>
              <w:right w:w="0" w:type="dxa"/>
            </w:tcMar>
            <w:hideMark/>
          </w:tcPr>
          <w:p w14:paraId="0C122A43" w14:textId="77777777" w:rsidR="00D41138" w:rsidRPr="00401ECA" w:rsidRDefault="00D41138">
            <w:pPr>
              <w:ind w:right="2"/>
              <w:jc w:val="center"/>
              <w:rPr>
                <w:rFonts w:ascii="Times New Roman" w:hAnsi="Times New Roman" w:cs="Times New Roman"/>
                <w:sz w:val="22"/>
                <w:szCs w:val="22"/>
                <w:lang w:eastAsia="ru-RU"/>
              </w:rPr>
            </w:pPr>
            <w:r w:rsidRPr="00401ECA">
              <w:rPr>
                <w:rFonts w:ascii="Times New Roman" w:hAnsi="Times New Roman" w:cs="Times New Roman"/>
                <w:sz w:val="22"/>
                <w:szCs w:val="22"/>
                <w:lang w:eastAsia="ru-RU"/>
              </w:rPr>
              <w:t xml:space="preserve">9,4 (10,8) </w:t>
            </w:r>
          </w:p>
        </w:tc>
      </w:tr>
      <w:tr w:rsidR="00D41138" w:rsidRPr="00401ECA" w14:paraId="3631288C" w14:textId="77777777" w:rsidTr="002748AE">
        <w:trPr>
          <w:trHeight w:val="227"/>
          <w:jc w:val="center"/>
        </w:trPr>
        <w:tc>
          <w:tcPr>
            <w:tcW w:w="1356" w:type="pct"/>
            <w:tcBorders>
              <w:top w:val="single" w:sz="4" w:space="0" w:color="000000"/>
              <w:left w:val="single" w:sz="4" w:space="0" w:color="000000"/>
              <w:bottom w:val="single" w:sz="4" w:space="0" w:color="000000"/>
              <w:right w:val="single" w:sz="4" w:space="0" w:color="000000"/>
            </w:tcBorders>
            <w:tcMar>
              <w:top w:w="28" w:type="dxa"/>
              <w:left w:w="0" w:type="dxa"/>
              <w:bottom w:w="28" w:type="dxa"/>
              <w:right w:w="0" w:type="dxa"/>
            </w:tcMar>
            <w:hideMark/>
          </w:tcPr>
          <w:p w14:paraId="0B268D96" w14:textId="77777777" w:rsidR="00D41138" w:rsidRPr="00401ECA" w:rsidRDefault="00D41138">
            <w:pPr>
              <w:ind w:left="227"/>
              <w:rPr>
                <w:rFonts w:ascii="Times New Roman" w:hAnsi="Times New Roman" w:cs="Times New Roman"/>
                <w:sz w:val="22"/>
                <w:szCs w:val="22"/>
                <w:lang w:eastAsia="ru-RU"/>
              </w:rPr>
            </w:pPr>
            <w:r w:rsidRPr="00401ECA">
              <w:rPr>
                <w:rFonts w:ascii="Times New Roman" w:hAnsi="Times New Roman" w:cs="Times New Roman"/>
                <w:b/>
                <w:sz w:val="22"/>
                <w:szCs w:val="22"/>
                <w:lang w:eastAsia="ru-RU"/>
              </w:rPr>
              <w:t xml:space="preserve">Placebo </w:t>
            </w:r>
          </w:p>
        </w:tc>
        <w:tc>
          <w:tcPr>
            <w:tcW w:w="1378" w:type="pct"/>
            <w:tcBorders>
              <w:top w:val="single" w:sz="4" w:space="0" w:color="000000"/>
              <w:left w:val="single" w:sz="4" w:space="0" w:color="000000"/>
              <w:bottom w:val="single" w:sz="4" w:space="0" w:color="000000"/>
              <w:right w:val="single" w:sz="4" w:space="0" w:color="000000"/>
            </w:tcBorders>
            <w:tcMar>
              <w:top w:w="28" w:type="dxa"/>
              <w:left w:w="0" w:type="dxa"/>
              <w:bottom w:w="28" w:type="dxa"/>
              <w:right w:w="0" w:type="dxa"/>
            </w:tcMar>
            <w:hideMark/>
          </w:tcPr>
          <w:p w14:paraId="61125EE0" w14:textId="77777777" w:rsidR="00D41138" w:rsidRPr="00401ECA" w:rsidRDefault="00D41138">
            <w:pPr>
              <w:ind w:right="1"/>
              <w:jc w:val="center"/>
              <w:rPr>
                <w:rFonts w:ascii="Times New Roman" w:hAnsi="Times New Roman" w:cs="Times New Roman"/>
                <w:sz w:val="22"/>
                <w:szCs w:val="22"/>
                <w:lang w:eastAsia="ru-RU"/>
              </w:rPr>
            </w:pPr>
            <w:r w:rsidRPr="00401ECA">
              <w:rPr>
                <w:rFonts w:ascii="Times New Roman" w:hAnsi="Times New Roman" w:cs="Times New Roman"/>
                <w:sz w:val="22"/>
                <w:szCs w:val="22"/>
                <w:lang w:eastAsia="ru-RU"/>
              </w:rPr>
              <w:t xml:space="preserve">0* </w:t>
            </w:r>
          </w:p>
        </w:tc>
        <w:tc>
          <w:tcPr>
            <w:tcW w:w="722" w:type="pct"/>
            <w:tcBorders>
              <w:top w:val="single" w:sz="4" w:space="0" w:color="000000"/>
              <w:left w:val="single" w:sz="4" w:space="0" w:color="000000"/>
              <w:bottom w:val="single" w:sz="4" w:space="0" w:color="000000"/>
              <w:right w:val="single" w:sz="4" w:space="0" w:color="000000"/>
            </w:tcBorders>
            <w:tcMar>
              <w:top w:w="28" w:type="dxa"/>
              <w:left w:w="0" w:type="dxa"/>
              <w:bottom w:w="28" w:type="dxa"/>
              <w:right w:w="0" w:type="dxa"/>
            </w:tcMar>
            <w:hideMark/>
          </w:tcPr>
          <w:p w14:paraId="18CE97BC" w14:textId="77777777" w:rsidR="00D41138" w:rsidRPr="00401ECA" w:rsidRDefault="00D41138">
            <w:pPr>
              <w:ind w:right="1"/>
              <w:jc w:val="center"/>
              <w:rPr>
                <w:rFonts w:ascii="Times New Roman" w:hAnsi="Times New Roman" w:cs="Times New Roman"/>
                <w:sz w:val="22"/>
                <w:szCs w:val="22"/>
                <w:lang w:eastAsia="ru-RU"/>
              </w:rPr>
            </w:pPr>
            <w:r w:rsidRPr="00401ECA">
              <w:rPr>
                <w:rFonts w:ascii="Times New Roman" w:hAnsi="Times New Roman" w:cs="Times New Roman"/>
                <w:sz w:val="22"/>
                <w:szCs w:val="22"/>
                <w:lang w:eastAsia="ru-RU"/>
              </w:rPr>
              <w:t xml:space="preserve">67 </w:t>
            </w:r>
          </w:p>
        </w:tc>
        <w:tc>
          <w:tcPr>
            <w:tcW w:w="1544" w:type="pct"/>
            <w:tcBorders>
              <w:top w:val="single" w:sz="4" w:space="0" w:color="000000"/>
              <w:left w:val="single" w:sz="4" w:space="0" w:color="000000"/>
              <w:bottom w:val="single" w:sz="4" w:space="0" w:color="000000"/>
              <w:right w:val="single" w:sz="4" w:space="0" w:color="000000"/>
            </w:tcBorders>
            <w:tcMar>
              <w:top w:w="28" w:type="dxa"/>
              <w:left w:w="0" w:type="dxa"/>
              <w:bottom w:w="28" w:type="dxa"/>
              <w:right w:w="0" w:type="dxa"/>
            </w:tcMar>
            <w:hideMark/>
          </w:tcPr>
          <w:p w14:paraId="489FD167" w14:textId="77777777" w:rsidR="00D41138" w:rsidRPr="00401ECA" w:rsidRDefault="00D41138">
            <w:pPr>
              <w:ind w:right="4"/>
              <w:jc w:val="center"/>
              <w:rPr>
                <w:rFonts w:ascii="Times New Roman" w:hAnsi="Times New Roman" w:cs="Times New Roman"/>
                <w:sz w:val="22"/>
                <w:szCs w:val="22"/>
                <w:lang w:eastAsia="ru-RU"/>
              </w:rPr>
            </w:pPr>
            <w:r w:rsidRPr="00401ECA">
              <w:rPr>
                <w:rFonts w:ascii="Times New Roman" w:hAnsi="Times New Roman" w:cs="Times New Roman"/>
                <w:sz w:val="22"/>
                <w:szCs w:val="22"/>
                <w:lang w:eastAsia="ru-RU"/>
              </w:rPr>
              <w:t xml:space="preserve">-1,2 (7,8)† </w:t>
            </w:r>
          </w:p>
        </w:tc>
      </w:tr>
      <w:tr w:rsidR="00D41138" w:rsidRPr="00401ECA" w14:paraId="0E85D43B" w14:textId="77777777" w:rsidTr="002748AE">
        <w:trPr>
          <w:trHeight w:val="227"/>
          <w:jc w:val="center"/>
        </w:trPr>
        <w:tc>
          <w:tcPr>
            <w:tcW w:w="1356" w:type="pct"/>
            <w:tcBorders>
              <w:top w:val="single" w:sz="4" w:space="0" w:color="000000"/>
              <w:left w:val="single" w:sz="4" w:space="0" w:color="000000"/>
              <w:bottom w:val="single" w:sz="4" w:space="0" w:color="000000"/>
              <w:right w:val="single" w:sz="4" w:space="0" w:color="000000"/>
            </w:tcBorders>
            <w:tcMar>
              <w:top w:w="28" w:type="dxa"/>
              <w:left w:w="0" w:type="dxa"/>
              <w:bottom w:w="28" w:type="dxa"/>
              <w:right w:w="0" w:type="dxa"/>
            </w:tcMar>
            <w:hideMark/>
          </w:tcPr>
          <w:p w14:paraId="16ED4B51" w14:textId="77777777" w:rsidR="00D41138" w:rsidRPr="00401ECA" w:rsidRDefault="00D41138">
            <w:pPr>
              <w:ind w:left="227"/>
              <w:rPr>
                <w:rFonts w:ascii="Times New Roman" w:hAnsi="Times New Roman" w:cs="Times New Roman"/>
                <w:sz w:val="22"/>
                <w:szCs w:val="22"/>
                <w:lang w:eastAsia="ru-RU"/>
              </w:rPr>
            </w:pPr>
            <w:r w:rsidRPr="00401ECA">
              <w:rPr>
                <w:rFonts w:ascii="Times New Roman" w:hAnsi="Times New Roman" w:cs="Times New Roman"/>
                <w:b/>
                <w:sz w:val="22"/>
                <w:szCs w:val="22"/>
                <w:lang w:eastAsia="ru-RU"/>
              </w:rPr>
              <w:t xml:space="preserve"> </w:t>
            </w:r>
          </w:p>
        </w:tc>
        <w:tc>
          <w:tcPr>
            <w:tcW w:w="1378" w:type="pct"/>
            <w:tcBorders>
              <w:top w:val="single" w:sz="4" w:space="0" w:color="000000"/>
              <w:left w:val="single" w:sz="4" w:space="0" w:color="000000"/>
              <w:bottom w:val="single" w:sz="4" w:space="0" w:color="000000"/>
              <w:right w:val="single" w:sz="4" w:space="0" w:color="000000"/>
            </w:tcBorders>
            <w:tcMar>
              <w:top w:w="28" w:type="dxa"/>
              <w:left w:w="0" w:type="dxa"/>
              <w:bottom w:w="28" w:type="dxa"/>
              <w:right w:w="0" w:type="dxa"/>
            </w:tcMar>
            <w:hideMark/>
          </w:tcPr>
          <w:p w14:paraId="286F2EB4" w14:textId="77777777" w:rsidR="00D41138" w:rsidRPr="00401ECA" w:rsidRDefault="00D41138">
            <w:pPr>
              <w:ind w:right="1"/>
              <w:jc w:val="center"/>
              <w:rPr>
                <w:rFonts w:ascii="Times New Roman" w:hAnsi="Times New Roman" w:cs="Times New Roman"/>
                <w:sz w:val="22"/>
                <w:szCs w:val="22"/>
                <w:lang w:eastAsia="ru-RU"/>
              </w:rPr>
            </w:pPr>
            <w:r w:rsidRPr="00401ECA">
              <w:rPr>
                <w:rFonts w:ascii="Times New Roman" w:hAnsi="Times New Roman" w:cs="Times New Roman"/>
                <w:sz w:val="22"/>
                <w:szCs w:val="22"/>
                <w:lang w:eastAsia="ru-RU"/>
              </w:rPr>
              <w:t xml:space="preserve">96 </w:t>
            </w:r>
          </w:p>
        </w:tc>
        <w:tc>
          <w:tcPr>
            <w:tcW w:w="722" w:type="pct"/>
            <w:tcBorders>
              <w:top w:val="single" w:sz="4" w:space="0" w:color="000000"/>
              <w:left w:val="single" w:sz="4" w:space="0" w:color="000000"/>
              <w:bottom w:val="single" w:sz="4" w:space="0" w:color="000000"/>
              <w:right w:val="single" w:sz="4" w:space="0" w:color="000000"/>
            </w:tcBorders>
            <w:tcMar>
              <w:top w:w="28" w:type="dxa"/>
              <w:left w:w="0" w:type="dxa"/>
              <w:bottom w:w="28" w:type="dxa"/>
              <w:right w:w="0" w:type="dxa"/>
            </w:tcMar>
            <w:hideMark/>
          </w:tcPr>
          <w:p w14:paraId="4C5F85C8" w14:textId="77777777" w:rsidR="00D41138" w:rsidRPr="00401ECA" w:rsidRDefault="00D41138">
            <w:pPr>
              <w:ind w:right="1"/>
              <w:jc w:val="center"/>
              <w:rPr>
                <w:rFonts w:ascii="Times New Roman" w:hAnsi="Times New Roman" w:cs="Times New Roman"/>
                <w:sz w:val="22"/>
                <w:szCs w:val="22"/>
                <w:lang w:eastAsia="ru-RU"/>
              </w:rPr>
            </w:pPr>
            <w:r w:rsidRPr="00401ECA">
              <w:rPr>
                <w:rFonts w:ascii="Times New Roman" w:hAnsi="Times New Roman" w:cs="Times New Roman"/>
                <w:sz w:val="22"/>
                <w:szCs w:val="22"/>
                <w:lang w:eastAsia="ru-RU"/>
              </w:rPr>
              <w:t xml:space="preserve">55 </w:t>
            </w:r>
          </w:p>
        </w:tc>
        <w:tc>
          <w:tcPr>
            <w:tcW w:w="1544" w:type="pct"/>
            <w:tcBorders>
              <w:top w:val="single" w:sz="4" w:space="0" w:color="000000"/>
              <w:left w:val="single" w:sz="4" w:space="0" w:color="000000"/>
              <w:bottom w:val="single" w:sz="4" w:space="0" w:color="000000"/>
              <w:right w:val="single" w:sz="4" w:space="0" w:color="000000"/>
            </w:tcBorders>
            <w:tcMar>
              <w:top w:w="28" w:type="dxa"/>
              <w:left w:w="0" w:type="dxa"/>
              <w:bottom w:w="28" w:type="dxa"/>
              <w:right w:w="0" w:type="dxa"/>
            </w:tcMar>
            <w:hideMark/>
          </w:tcPr>
          <w:p w14:paraId="079C340F" w14:textId="77777777" w:rsidR="00D41138" w:rsidRPr="00401ECA" w:rsidRDefault="00D41138">
            <w:pPr>
              <w:ind w:right="2"/>
              <w:jc w:val="center"/>
              <w:rPr>
                <w:rFonts w:ascii="Times New Roman" w:hAnsi="Times New Roman" w:cs="Times New Roman"/>
                <w:sz w:val="22"/>
                <w:szCs w:val="22"/>
                <w:lang w:eastAsia="ru-RU"/>
              </w:rPr>
            </w:pPr>
            <w:r w:rsidRPr="00401ECA">
              <w:rPr>
                <w:rFonts w:ascii="Times New Roman" w:hAnsi="Times New Roman" w:cs="Times New Roman"/>
                <w:sz w:val="22"/>
                <w:szCs w:val="22"/>
                <w:lang w:eastAsia="ru-RU"/>
              </w:rPr>
              <w:t xml:space="preserve">9,5 (11,2) </w:t>
            </w:r>
          </w:p>
        </w:tc>
      </w:tr>
      <w:tr w:rsidR="00D41138" w:rsidRPr="00401ECA" w14:paraId="7293D7E6" w14:textId="77777777" w:rsidTr="002748AE">
        <w:trPr>
          <w:trHeight w:val="227"/>
          <w:jc w:val="center"/>
        </w:trPr>
        <w:tc>
          <w:tcPr>
            <w:tcW w:w="1356" w:type="pct"/>
            <w:tcBorders>
              <w:top w:val="single" w:sz="4" w:space="0" w:color="000000"/>
              <w:left w:val="single" w:sz="4" w:space="0" w:color="000000"/>
              <w:bottom w:val="single" w:sz="4" w:space="0" w:color="000000"/>
              <w:right w:val="nil"/>
            </w:tcBorders>
            <w:tcMar>
              <w:top w:w="28" w:type="dxa"/>
              <w:left w:w="0" w:type="dxa"/>
              <w:bottom w:w="28" w:type="dxa"/>
              <w:right w:w="0" w:type="dxa"/>
            </w:tcMar>
            <w:hideMark/>
          </w:tcPr>
          <w:p w14:paraId="3F2B986D" w14:textId="77777777" w:rsidR="00D41138" w:rsidRPr="00401ECA" w:rsidRDefault="00D41138">
            <w:pPr>
              <w:ind w:left="113"/>
              <w:rPr>
                <w:rFonts w:ascii="Times New Roman" w:hAnsi="Times New Roman" w:cs="Times New Roman"/>
                <w:sz w:val="22"/>
                <w:szCs w:val="22"/>
                <w:lang w:eastAsia="ru-RU"/>
              </w:rPr>
            </w:pPr>
            <w:r w:rsidRPr="00401ECA">
              <w:rPr>
                <w:rFonts w:ascii="Times New Roman" w:hAnsi="Times New Roman" w:cs="Times New Roman"/>
                <w:b/>
                <w:sz w:val="22"/>
                <w:szCs w:val="22"/>
                <w:lang w:eastAsia="ru-RU"/>
              </w:rPr>
              <w:t xml:space="preserve">Studie 770-103 </w:t>
            </w:r>
          </w:p>
        </w:tc>
        <w:tc>
          <w:tcPr>
            <w:tcW w:w="1378" w:type="pct"/>
            <w:tcBorders>
              <w:top w:val="single" w:sz="4" w:space="0" w:color="000000"/>
              <w:left w:val="nil"/>
              <w:bottom w:val="single" w:sz="4" w:space="0" w:color="000000"/>
              <w:right w:val="nil"/>
            </w:tcBorders>
            <w:tcMar>
              <w:top w:w="28" w:type="dxa"/>
              <w:left w:w="0" w:type="dxa"/>
              <w:bottom w:w="28" w:type="dxa"/>
              <w:right w:w="0" w:type="dxa"/>
            </w:tcMar>
          </w:tcPr>
          <w:p w14:paraId="068361E5" w14:textId="77777777" w:rsidR="00D41138" w:rsidRPr="00401ECA" w:rsidRDefault="00D41138">
            <w:pPr>
              <w:rPr>
                <w:rFonts w:ascii="Times New Roman" w:hAnsi="Times New Roman" w:cs="Times New Roman"/>
                <w:sz w:val="22"/>
                <w:szCs w:val="22"/>
                <w:lang w:eastAsia="ru-RU"/>
              </w:rPr>
            </w:pPr>
          </w:p>
        </w:tc>
        <w:tc>
          <w:tcPr>
            <w:tcW w:w="2266" w:type="pct"/>
            <w:gridSpan w:val="2"/>
            <w:tcBorders>
              <w:top w:val="single" w:sz="4" w:space="0" w:color="000000"/>
              <w:left w:val="nil"/>
              <w:bottom w:val="single" w:sz="4" w:space="0" w:color="000000"/>
              <w:right w:val="single" w:sz="4" w:space="0" w:color="000000"/>
            </w:tcBorders>
            <w:tcMar>
              <w:top w:w="28" w:type="dxa"/>
              <w:left w:w="0" w:type="dxa"/>
              <w:bottom w:w="28" w:type="dxa"/>
              <w:right w:w="0" w:type="dxa"/>
            </w:tcMar>
          </w:tcPr>
          <w:p w14:paraId="794F4EED" w14:textId="77777777" w:rsidR="00D41138" w:rsidRPr="00401ECA" w:rsidRDefault="00D41138">
            <w:pPr>
              <w:rPr>
                <w:rFonts w:ascii="Times New Roman" w:hAnsi="Times New Roman" w:cs="Times New Roman"/>
                <w:sz w:val="22"/>
                <w:szCs w:val="22"/>
                <w:lang w:eastAsia="ru-RU"/>
              </w:rPr>
            </w:pPr>
          </w:p>
        </w:tc>
      </w:tr>
      <w:tr w:rsidR="00D41138" w:rsidRPr="00401ECA" w14:paraId="6F0864DA" w14:textId="77777777" w:rsidTr="002748AE">
        <w:trPr>
          <w:trHeight w:val="227"/>
          <w:jc w:val="center"/>
        </w:trPr>
        <w:tc>
          <w:tcPr>
            <w:tcW w:w="1356" w:type="pct"/>
            <w:tcBorders>
              <w:top w:val="single" w:sz="4" w:space="0" w:color="000000"/>
              <w:left w:val="single" w:sz="4" w:space="0" w:color="000000"/>
              <w:bottom w:val="single" w:sz="4" w:space="0" w:color="000000"/>
              <w:right w:val="single" w:sz="4" w:space="0" w:color="000000"/>
            </w:tcBorders>
            <w:tcMar>
              <w:top w:w="28" w:type="dxa"/>
              <w:left w:w="0" w:type="dxa"/>
              <w:bottom w:w="28" w:type="dxa"/>
              <w:right w:w="0" w:type="dxa"/>
            </w:tcMar>
            <w:hideMark/>
          </w:tcPr>
          <w:p w14:paraId="2CCE91DC" w14:textId="77777777" w:rsidR="00D41138" w:rsidRPr="00401ECA" w:rsidRDefault="00D41138">
            <w:pPr>
              <w:ind w:left="227"/>
              <w:rPr>
                <w:rFonts w:ascii="Times New Roman" w:hAnsi="Times New Roman" w:cs="Times New Roman"/>
                <w:sz w:val="22"/>
                <w:szCs w:val="22"/>
                <w:lang w:eastAsia="ru-RU"/>
              </w:rPr>
            </w:pPr>
            <w:r w:rsidRPr="00401ECA">
              <w:rPr>
                <w:rFonts w:ascii="Times New Roman" w:hAnsi="Times New Roman" w:cs="Times New Roman"/>
                <w:b/>
                <w:sz w:val="22"/>
                <w:szCs w:val="22"/>
                <w:lang w:eastAsia="ru-RU"/>
              </w:rPr>
              <w:t xml:space="preserve">Ivacaftor </w:t>
            </w:r>
          </w:p>
        </w:tc>
        <w:tc>
          <w:tcPr>
            <w:tcW w:w="1378" w:type="pct"/>
            <w:tcBorders>
              <w:top w:val="single" w:sz="4" w:space="0" w:color="000000"/>
              <w:left w:val="single" w:sz="4" w:space="0" w:color="000000"/>
              <w:bottom w:val="single" w:sz="4" w:space="0" w:color="000000"/>
              <w:right w:val="single" w:sz="4" w:space="0" w:color="000000"/>
            </w:tcBorders>
            <w:tcMar>
              <w:top w:w="28" w:type="dxa"/>
              <w:left w:w="0" w:type="dxa"/>
              <w:bottom w:w="28" w:type="dxa"/>
              <w:right w:w="0" w:type="dxa"/>
            </w:tcMar>
            <w:hideMark/>
          </w:tcPr>
          <w:p w14:paraId="0BBE6FC7" w14:textId="77777777" w:rsidR="00D41138" w:rsidRPr="00401ECA" w:rsidRDefault="00D41138">
            <w:pPr>
              <w:ind w:right="2"/>
              <w:jc w:val="center"/>
              <w:rPr>
                <w:rFonts w:ascii="Times New Roman" w:hAnsi="Times New Roman" w:cs="Times New Roman"/>
                <w:sz w:val="22"/>
                <w:szCs w:val="22"/>
                <w:lang w:eastAsia="ru-RU"/>
              </w:rPr>
            </w:pPr>
            <w:r w:rsidRPr="00401ECA">
              <w:rPr>
                <w:rFonts w:ascii="Times New Roman" w:hAnsi="Times New Roman" w:cs="Times New Roman"/>
                <w:sz w:val="22"/>
                <w:szCs w:val="22"/>
                <w:lang w:eastAsia="ru-RU"/>
              </w:rPr>
              <w:t xml:space="preserve">48* </w:t>
            </w:r>
          </w:p>
        </w:tc>
        <w:tc>
          <w:tcPr>
            <w:tcW w:w="722" w:type="pct"/>
            <w:tcBorders>
              <w:top w:val="single" w:sz="4" w:space="0" w:color="000000"/>
              <w:left w:val="single" w:sz="4" w:space="0" w:color="000000"/>
              <w:bottom w:val="single" w:sz="4" w:space="0" w:color="000000"/>
              <w:right w:val="single" w:sz="4" w:space="0" w:color="000000"/>
            </w:tcBorders>
            <w:tcMar>
              <w:top w:w="28" w:type="dxa"/>
              <w:left w:w="0" w:type="dxa"/>
              <w:bottom w:w="28" w:type="dxa"/>
              <w:right w:w="0" w:type="dxa"/>
            </w:tcMar>
            <w:hideMark/>
          </w:tcPr>
          <w:p w14:paraId="23D2EA61" w14:textId="77777777" w:rsidR="00D41138" w:rsidRPr="00401ECA" w:rsidRDefault="00D41138">
            <w:pPr>
              <w:ind w:right="2"/>
              <w:jc w:val="center"/>
              <w:rPr>
                <w:rFonts w:ascii="Times New Roman" w:hAnsi="Times New Roman" w:cs="Times New Roman"/>
                <w:sz w:val="22"/>
                <w:szCs w:val="22"/>
                <w:lang w:eastAsia="ru-RU"/>
              </w:rPr>
            </w:pPr>
            <w:r w:rsidRPr="00401ECA">
              <w:rPr>
                <w:rFonts w:ascii="Times New Roman" w:hAnsi="Times New Roman" w:cs="Times New Roman"/>
                <w:sz w:val="22"/>
                <w:szCs w:val="22"/>
                <w:lang w:eastAsia="ru-RU"/>
              </w:rPr>
              <w:t xml:space="preserve">26 </w:t>
            </w:r>
          </w:p>
        </w:tc>
        <w:tc>
          <w:tcPr>
            <w:tcW w:w="1544" w:type="pct"/>
            <w:tcBorders>
              <w:top w:val="single" w:sz="4" w:space="0" w:color="000000"/>
              <w:left w:val="single" w:sz="4" w:space="0" w:color="000000"/>
              <w:bottom w:val="single" w:sz="4" w:space="0" w:color="000000"/>
              <w:right w:val="single" w:sz="4" w:space="0" w:color="000000"/>
            </w:tcBorders>
            <w:tcMar>
              <w:top w:w="28" w:type="dxa"/>
              <w:left w:w="0" w:type="dxa"/>
              <w:bottom w:w="28" w:type="dxa"/>
              <w:right w:w="0" w:type="dxa"/>
            </w:tcMar>
            <w:hideMark/>
          </w:tcPr>
          <w:p w14:paraId="6D7650D8" w14:textId="77777777" w:rsidR="00D41138" w:rsidRPr="00401ECA" w:rsidRDefault="00D41138">
            <w:pPr>
              <w:ind w:right="2"/>
              <w:jc w:val="center"/>
              <w:rPr>
                <w:rFonts w:ascii="Times New Roman" w:hAnsi="Times New Roman" w:cs="Times New Roman"/>
                <w:sz w:val="22"/>
                <w:szCs w:val="22"/>
                <w:lang w:eastAsia="ru-RU"/>
              </w:rPr>
            </w:pPr>
            <w:r w:rsidRPr="00401ECA">
              <w:rPr>
                <w:rFonts w:ascii="Times New Roman" w:hAnsi="Times New Roman" w:cs="Times New Roman"/>
                <w:sz w:val="22"/>
                <w:szCs w:val="22"/>
                <w:lang w:eastAsia="ru-RU"/>
              </w:rPr>
              <w:t xml:space="preserve">10,2 (15,7) </w:t>
            </w:r>
          </w:p>
        </w:tc>
      </w:tr>
      <w:tr w:rsidR="00D41138" w:rsidRPr="00401ECA" w14:paraId="3550CDB3" w14:textId="77777777" w:rsidTr="002748AE">
        <w:trPr>
          <w:trHeight w:val="227"/>
          <w:jc w:val="center"/>
        </w:trPr>
        <w:tc>
          <w:tcPr>
            <w:tcW w:w="1356" w:type="pct"/>
            <w:tcBorders>
              <w:top w:val="single" w:sz="4" w:space="0" w:color="000000"/>
              <w:left w:val="single" w:sz="4" w:space="0" w:color="000000"/>
              <w:bottom w:val="single" w:sz="4" w:space="0" w:color="000000"/>
              <w:right w:val="single" w:sz="4" w:space="0" w:color="000000"/>
            </w:tcBorders>
            <w:tcMar>
              <w:top w:w="28" w:type="dxa"/>
              <w:left w:w="0" w:type="dxa"/>
              <w:bottom w:w="28" w:type="dxa"/>
              <w:right w:w="0" w:type="dxa"/>
            </w:tcMar>
            <w:hideMark/>
          </w:tcPr>
          <w:p w14:paraId="3011FF19" w14:textId="77777777" w:rsidR="00D41138" w:rsidRPr="00401ECA" w:rsidRDefault="00D41138">
            <w:pPr>
              <w:ind w:left="227"/>
              <w:rPr>
                <w:rFonts w:ascii="Times New Roman" w:hAnsi="Times New Roman" w:cs="Times New Roman"/>
                <w:sz w:val="22"/>
                <w:szCs w:val="22"/>
                <w:lang w:eastAsia="ru-RU"/>
              </w:rPr>
            </w:pPr>
            <w:r w:rsidRPr="00401ECA">
              <w:rPr>
                <w:rFonts w:ascii="Times New Roman" w:hAnsi="Times New Roman" w:cs="Times New Roman"/>
                <w:b/>
                <w:sz w:val="22"/>
                <w:szCs w:val="22"/>
                <w:lang w:eastAsia="ru-RU"/>
              </w:rPr>
              <w:t xml:space="preserve"> </w:t>
            </w:r>
          </w:p>
        </w:tc>
        <w:tc>
          <w:tcPr>
            <w:tcW w:w="1378" w:type="pct"/>
            <w:tcBorders>
              <w:top w:val="single" w:sz="4" w:space="0" w:color="000000"/>
              <w:left w:val="single" w:sz="4" w:space="0" w:color="000000"/>
              <w:bottom w:val="single" w:sz="4" w:space="0" w:color="000000"/>
              <w:right w:val="single" w:sz="4" w:space="0" w:color="000000"/>
            </w:tcBorders>
            <w:tcMar>
              <w:top w:w="28" w:type="dxa"/>
              <w:left w:w="0" w:type="dxa"/>
              <w:bottom w:w="28" w:type="dxa"/>
              <w:right w:w="0" w:type="dxa"/>
            </w:tcMar>
            <w:hideMark/>
          </w:tcPr>
          <w:p w14:paraId="3D743E52" w14:textId="77777777" w:rsidR="00D41138" w:rsidRPr="00401ECA" w:rsidRDefault="00D41138">
            <w:pPr>
              <w:ind w:right="1"/>
              <w:jc w:val="center"/>
              <w:rPr>
                <w:rFonts w:ascii="Times New Roman" w:hAnsi="Times New Roman" w:cs="Times New Roman"/>
                <w:sz w:val="22"/>
                <w:szCs w:val="22"/>
                <w:lang w:eastAsia="ru-RU"/>
              </w:rPr>
            </w:pPr>
            <w:r w:rsidRPr="00401ECA">
              <w:rPr>
                <w:rFonts w:ascii="Times New Roman" w:hAnsi="Times New Roman" w:cs="Times New Roman"/>
                <w:sz w:val="22"/>
                <w:szCs w:val="22"/>
                <w:lang w:eastAsia="ru-RU"/>
              </w:rPr>
              <w:t xml:space="preserve">144 </w:t>
            </w:r>
          </w:p>
        </w:tc>
        <w:tc>
          <w:tcPr>
            <w:tcW w:w="722" w:type="pct"/>
            <w:tcBorders>
              <w:top w:val="single" w:sz="4" w:space="0" w:color="000000"/>
              <w:left w:val="single" w:sz="4" w:space="0" w:color="000000"/>
              <w:bottom w:val="single" w:sz="4" w:space="0" w:color="000000"/>
              <w:right w:val="single" w:sz="4" w:space="0" w:color="000000"/>
            </w:tcBorders>
            <w:tcMar>
              <w:top w:w="28" w:type="dxa"/>
              <w:left w:w="0" w:type="dxa"/>
              <w:bottom w:w="28" w:type="dxa"/>
              <w:right w:w="0" w:type="dxa"/>
            </w:tcMar>
            <w:hideMark/>
          </w:tcPr>
          <w:p w14:paraId="2F879A45" w14:textId="77777777" w:rsidR="00D41138" w:rsidRPr="00401ECA" w:rsidRDefault="00D41138">
            <w:pPr>
              <w:ind w:right="2"/>
              <w:jc w:val="center"/>
              <w:rPr>
                <w:rFonts w:ascii="Times New Roman" w:hAnsi="Times New Roman" w:cs="Times New Roman"/>
                <w:sz w:val="22"/>
                <w:szCs w:val="22"/>
                <w:lang w:eastAsia="ru-RU"/>
              </w:rPr>
            </w:pPr>
            <w:r w:rsidRPr="00401ECA">
              <w:rPr>
                <w:rFonts w:ascii="Times New Roman" w:hAnsi="Times New Roman" w:cs="Times New Roman"/>
                <w:sz w:val="22"/>
                <w:szCs w:val="22"/>
                <w:lang w:eastAsia="ru-RU"/>
              </w:rPr>
              <w:t xml:space="preserve">25 </w:t>
            </w:r>
          </w:p>
        </w:tc>
        <w:tc>
          <w:tcPr>
            <w:tcW w:w="1544" w:type="pct"/>
            <w:tcBorders>
              <w:top w:val="single" w:sz="4" w:space="0" w:color="000000"/>
              <w:left w:val="single" w:sz="4" w:space="0" w:color="000000"/>
              <w:bottom w:val="single" w:sz="4" w:space="0" w:color="000000"/>
              <w:right w:val="single" w:sz="4" w:space="0" w:color="000000"/>
            </w:tcBorders>
            <w:tcMar>
              <w:top w:w="28" w:type="dxa"/>
              <w:left w:w="0" w:type="dxa"/>
              <w:bottom w:w="28" w:type="dxa"/>
              <w:right w:w="0" w:type="dxa"/>
            </w:tcMar>
            <w:hideMark/>
          </w:tcPr>
          <w:p w14:paraId="003611AD" w14:textId="77777777" w:rsidR="00D41138" w:rsidRPr="00401ECA" w:rsidRDefault="00D41138">
            <w:pPr>
              <w:ind w:right="2"/>
              <w:jc w:val="center"/>
              <w:rPr>
                <w:rFonts w:ascii="Times New Roman" w:hAnsi="Times New Roman" w:cs="Times New Roman"/>
                <w:sz w:val="22"/>
                <w:szCs w:val="22"/>
                <w:lang w:eastAsia="ru-RU"/>
              </w:rPr>
            </w:pPr>
            <w:r w:rsidRPr="00401ECA">
              <w:rPr>
                <w:rFonts w:ascii="Times New Roman" w:hAnsi="Times New Roman" w:cs="Times New Roman"/>
                <w:sz w:val="22"/>
                <w:szCs w:val="22"/>
                <w:lang w:eastAsia="ru-RU"/>
              </w:rPr>
              <w:t xml:space="preserve">10,3 (12,4) </w:t>
            </w:r>
          </w:p>
        </w:tc>
      </w:tr>
      <w:tr w:rsidR="00D41138" w:rsidRPr="00401ECA" w14:paraId="71254816" w14:textId="77777777" w:rsidTr="002748AE">
        <w:trPr>
          <w:trHeight w:val="227"/>
          <w:jc w:val="center"/>
        </w:trPr>
        <w:tc>
          <w:tcPr>
            <w:tcW w:w="1356" w:type="pct"/>
            <w:tcBorders>
              <w:top w:val="single" w:sz="4" w:space="0" w:color="000000"/>
              <w:left w:val="single" w:sz="4" w:space="0" w:color="000000"/>
              <w:bottom w:val="single" w:sz="4" w:space="0" w:color="000000"/>
              <w:right w:val="single" w:sz="4" w:space="0" w:color="000000"/>
            </w:tcBorders>
            <w:tcMar>
              <w:top w:w="28" w:type="dxa"/>
              <w:left w:w="0" w:type="dxa"/>
              <w:bottom w:w="28" w:type="dxa"/>
              <w:right w:w="0" w:type="dxa"/>
            </w:tcMar>
            <w:hideMark/>
          </w:tcPr>
          <w:p w14:paraId="77F01A2D" w14:textId="77777777" w:rsidR="00D41138" w:rsidRPr="00401ECA" w:rsidRDefault="00D41138">
            <w:pPr>
              <w:ind w:left="227"/>
              <w:rPr>
                <w:rFonts w:ascii="Times New Roman" w:hAnsi="Times New Roman" w:cs="Times New Roman"/>
                <w:sz w:val="22"/>
                <w:szCs w:val="22"/>
                <w:lang w:eastAsia="ru-RU"/>
              </w:rPr>
            </w:pPr>
            <w:r w:rsidRPr="00401ECA">
              <w:rPr>
                <w:rFonts w:ascii="Times New Roman" w:hAnsi="Times New Roman" w:cs="Times New Roman"/>
                <w:b/>
                <w:sz w:val="22"/>
                <w:szCs w:val="22"/>
                <w:lang w:eastAsia="ru-RU"/>
              </w:rPr>
              <w:t xml:space="preserve">Placebo </w:t>
            </w:r>
          </w:p>
        </w:tc>
        <w:tc>
          <w:tcPr>
            <w:tcW w:w="1378" w:type="pct"/>
            <w:tcBorders>
              <w:top w:val="single" w:sz="4" w:space="0" w:color="000000"/>
              <w:left w:val="single" w:sz="4" w:space="0" w:color="000000"/>
              <w:bottom w:val="single" w:sz="4" w:space="0" w:color="000000"/>
              <w:right w:val="single" w:sz="4" w:space="0" w:color="000000"/>
            </w:tcBorders>
            <w:tcMar>
              <w:top w:w="28" w:type="dxa"/>
              <w:left w:w="0" w:type="dxa"/>
              <w:bottom w:w="28" w:type="dxa"/>
              <w:right w:w="0" w:type="dxa"/>
            </w:tcMar>
            <w:hideMark/>
          </w:tcPr>
          <w:p w14:paraId="512929E1" w14:textId="77777777" w:rsidR="00D41138" w:rsidRPr="00401ECA" w:rsidRDefault="00D41138">
            <w:pPr>
              <w:ind w:right="2"/>
              <w:jc w:val="center"/>
              <w:rPr>
                <w:rFonts w:ascii="Times New Roman" w:hAnsi="Times New Roman" w:cs="Times New Roman"/>
                <w:sz w:val="22"/>
                <w:szCs w:val="22"/>
                <w:lang w:eastAsia="ru-RU"/>
              </w:rPr>
            </w:pPr>
            <w:r w:rsidRPr="00401ECA">
              <w:rPr>
                <w:rFonts w:ascii="Times New Roman" w:hAnsi="Times New Roman" w:cs="Times New Roman"/>
                <w:sz w:val="22"/>
                <w:szCs w:val="22"/>
                <w:lang w:eastAsia="ru-RU"/>
              </w:rPr>
              <w:t xml:space="preserve">0* </w:t>
            </w:r>
          </w:p>
        </w:tc>
        <w:tc>
          <w:tcPr>
            <w:tcW w:w="722" w:type="pct"/>
            <w:tcBorders>
              <w:top w:val="single" w:sz="4" w:space="0" w:color="000000"/>
              <w:left w:val="single" w:sz="4" w:space="0" w:color="000000"/>
              <w:bottom w:val="single" w:sz="4" w:space="0" w:color="000000"/>
              <w:right w:val="single" w:sz="4" w:space="0" w:color="000000"/>
            </w:tcBorders>
            <w:tcMar>
              <w:top w:w="28" w:type="dxa"/>
              <w:left w:w="0" w:type="dxa"/>
              <w:bottom w:w="28" w:type="dxa"/>
              <w:right w:w="0" w:type="dxa"/>
            </w:tcMar>
            <w:hideMark/>
          </w:tcPr>
          <w:p w14:paraId="33388E8E" w14:textId="77777777" w:rsidR="00D41138" w:rsidRPr="00401ECA" w:rsidRDefault="00D41138">
            <w:pPr>
              <w:ind w:right="1"/>
              <w:jc w:val="center"/>
              <w:rPr>
                <w:rFonts w:ascii="Times New Roman" w:hAnsi="Times New Roman" w:cs="Times New Roman"/>
                <w:sz w:val="22"/>
                <w:szCs w:val="22"/>
                <w:lang w:eastAsia="ru-RU"/>
              </w:rPr>
            </w:pPr>
            <w:r w:rsidRPr="00401ECA">
              <w:rPr>
                <w:rFonts w:ascii="Times New Roman" w:hAnsi="Times New Roman" w:cs="Times New Roman"/>
                <w:sz w:val="22"/>
                <w:szCs w:val="22"/>
                <w:lang w:eastAsia="ru-RU"/>
              </w:rPr>
              <w:t xml:space="preserve">22 </w:t>
            </w:r>
          </w:p>
        </w:tc>
        <w:tc>
          <w:tcPr>
            <w:tcW w:w="1544" w:type="pct"/>
            <w:tcBorders>
              <w:top w:val="single" w:sz="4" w:space="0" w:color="000000"/>
              <w:left w:val="single" w:sz="4" w:space="0" w:color="000000"/>
              <w:bottom w:val="single" w:sz="4" w:space="0" w:color="000000"/>
              <w:right w:val="single" w:sz="4" w:space="0" w:color="000000"/>
            </w:tcBorders>
            <w:tcMar>
              <w:top w:w="28" w:type="dxa"/>
              <w:left w:w="0" w:type="dxa"/>
              <w:bottom w:w="28" w:type="dxa"/>
              <w:right w:w="0" w:type="dxa"/>
            </w:tcMar>
            <w:hideMark/>
          </w:tcPr>
          <w:p w14:paraId="1BC1B40E" w14:textId="77777777" w:rsidR="00D41138" w:rsidRPr="00401ECA" w:rsidRDefault="00D41138">
            <w:pPr>
              <w:ind w:right="4"/>
              <w:jc w:val="center"/>
              <w:rPr>
                <w:rFonts w:ascii="Times New Roman" w:hAnsi="Times New Roman" w:cs="Times New Roman"/>
                <w:sz w:val="22"/>
                <w:szCs w:val="22"/>
                <w:lang w:eastAsia="ru-RU"/>
              </w:rPr>
            </w:pPr>
            <w:r w:rsidRPr="00401ECA">
              <w:rPr>
                <w:rFonts w:ascii="Times New Roman" w:hAnsi="Times New Roman" w:cs="Times New Roman"/>
                <w:sz w:val="22"/>
                <w:szCs w:val="22"/>
                <w:lang w:eastAsia="ru-RU"/>
              </w:rPr>
              <w:t xml:space="preserve">-0,6 (10,1)† </w:t>
            </w:r>
          </w:p>
        </w:tc>
      </w:tr>
      <w:tr w:rsidR="00D41138" w:rsidRPr="00401ECA" w14:paraId="4BC77AC1" w14:textId="77777777" w:rsidTr="002748AE">
        <w:trPr>
          <w:trHeight w:val="227"/>
          <w:jc w:val="center"/>
        </w:trPr>
        <w:tc>
          <w:tcPr>
            <w:tcW w:w="1356" w:type="pct"/>
            <w:tcBorders>
              <w:top w:val="single" w:sz="4" w:space="0" w:color="000000"/>
              <w:left w:val="single" w:sz="4" w:space="0" w:color="000000"/>
              <w:bottom w:val="single" w:sz="4" w:space="0" w:color="000000"/>
              <w:right w:val="single" w:sz="4" w:space="0" w:color="000000"/>
            </w:tcBorders>
            <w:tcMar>
              <w:top w:w="28" w:type="dxa"/>
              <w:left w:w="0" w:type="dxa"/>
              <w:bottom w:w="28" w:type="dxa"/>
              <w:right w:w="0" w:type="dxa"/>
            </w:tcMar>
            <w:hideMark/>
          </w:tcPr>
          <w:p w14:paraId="3E4B6D60" w14:textId="77777777" w:rsidR="00D41138" w:rsidRPr="00401ECA" w:rsidRDefault="00D41138">
            <w:pPr>
              <w:ind w:left="227"/>
              <w:rPr>
                <w:rFonts w:ascii="Times New Roman" w:hAnsi="Times New Roman" w:cs="Times New Roman"/>
                <w:sz w:val="22"/>
                <w:szCs w:val="22"/>
                <w:lang w:eastAsia="ru-RU"/>
              </w:rPr>
            </w:pPr>
            <w:r w:rsidRPr="00401ECA">
              <w:rPr>
                <w:rFonts w:ascii="Times New Roman" w:hAnsi="Times New Roman" w:cs="Times New Roman"/>
                <w:b/>
                <w:sz w:val="22"/>
                <w:szCs w:val="22"/>
                <w:lang w:eastAsia="ru-RU"/>
              </w:rPr>
              <w:t xml:space="preserve"> </w:t>
            </w:r>
          </w:p>
        </w:tc>
        <w:tc>
          <w:tcPr>
            <w:tcW w:w="1378" w:type="pct"/>
            <w:tcBorders>
              <w:top w:val="single" w:sz="4" w:space="0" w:color="000000"/>
              <w:left w:val="single" w:sz="4" w:space="0" w:color="000000"/>
              <w:bottom w:val="single" w:sz="4" w:space="0" w:color="000000"/>
              <w:right w:val="single" w:sz="4" w:space="0" w:color="000000"/>
            </w:tcBorders>
            <w:tcMar>
              <w:top w:w="28" w:type="dxa"/>
              <w:left w:w="0" w:type="dxa"/>
              <w:bottom w:w="28" w:type="dxa"/>
              <w:right w:w="0" w:type="dxa"/>
            </w:tcMar>
            <w:hideMark/>
          </w:tcPr>
          <w:p w14:paraId="6EAFDF9A" w14:textId="77777777" w:rsidR="00D41138" w:rsidRPr="00401ECA" w:rsidRDefault="00D41138">
            <w:pPr>
              <w:ind w:right="1"/>
              <w:jc w:val="center"/>
              <w:rPr>
                <w:rFonts w:ascii="Times New Roman" w:hAnsi="Times New Roman" w:cs="Times New Roman"/>
                <w:sz w:val="22"/>
                <w:szCs w:val="22"/>
                <w:lang w:eastAsia="ru-RU"/>
              </w:rPr>
            </w:pPr>
            <w:r w:rsidRPr="00401ECA">
              <w:rPr>
                <w:rFonts w:ascii="Times New Roman" w:hAnsi="Times New Roman" w:cs="Times New Roman"/>
                <w:sz w:val="22"/>
                <w:szCs w:val="22"/>
                <w:lang w:eastAsia="ru-RU"/>
              </w:rPr>
              <w:t xml:space="preserve">96 </w:t>
            </w:r>
          </w:p>
        </w:tc>
        <w:tc>
          <w:tcPr>
            <w:tcW w:w="722" w:type="pct"/>
            <w:tcBorders>
              <w:top w:val="single" w:sz="4" w:space="0" w:color="000000"/>
              <w:left w:val="single" w:sz="4" w:space="0" w:color="000000"/>
              <w:bottom w:val="single" w:sz="4" w:space="0" w:color="000000"/>
              <w:right w:val="single" w:sz="4" w:space="0" w:color="000000"/>
            </w:tcBorders>
            <w:tcMar>
              <w:top w:w="28" w:type="dxa"/>
              <w:left w:w="0" w:type="dxa"/>
              <w:bottom w:w="28" w:type="dxa"/>
              <w:right w:w="0" w:type="dxa"/>
            </w:tcMar>
            <w:hideMark/>
          </w:tcPr>
          <w:p w14:paraId="6C220E14" w14:textId="77777777" w:rsidR="00D41138" w:rsidRPr="00401ECA" w:rsidRDefault="00D41138">
            <w:pPr>
              <w:ind w:right="1"/>
              <w:jc w:val="center"/>
              <w:rPr>
                <w:rFonts w:ascii="Times New Roman" w:hAnsi="Times New Roman" w:cs="Times New Roman"/>
                <w:sz w:val="22"/>
                <w:szCs w:val="22"/>
                <w:lang w:eastAsia="ru-RU"/>
              </w:rPr>
            </w:pPr>
            <w:r w:rsidRPr="00401ECA">
              <w:rPr>
                <w:rFonts w:ascii="Times New Roman" w:hAnsi="Times New Roman" w:cs="Times New Roman"/>
                <w:sz w:val="22"/>
                <w:szCs w:val="22"/>
                <w:lang w:eastAsia="ru-RU"/>
              </w:rPr>
              <w:t xml:space="preserve">21 </w:t>
            </w:r>
          </w:p>
        </w:tc>
        <w:tc>
          <w:tcPr>
            <w:tcW w:w="1544" w:type="pct"/>
            <w:tcBorders>
              <w:top w:val="single" w:sz="4" w:space="0" w:color="000000"/>
              <w:left w:val="single" w:sz="4" w:space="0" w:color="000000"/>
              <w:bottom w:val="single" w:sz="4" w:space="0" w:color="000000"/>
              <w:right w:val="single" w:sz="4" w:space="0" w:color="000000"/>
            </w:tcBorders>
            <w:tcMar>
              <w:top w:w="28" w:type="dxa"/>
              <w:left w:w="0" w:type="dxa"/>
              <w:bottom w:w="28" w:type="dxa"/>
              <w:right w:w="0" w:type="dxa"/>
            </w:tcMar>
            <w:hideMark/>
          </w:tcPr>
          <w:p w14:paraId="71830E46" w14:textId="77777777" w:rsidR="00D41138" w:rsidRPr="00401ECA" w:rsidRDefault="00D41138">
            <w:pPr>
              <w:ind w:right="2"/>
              <w:jc w:val="center"/>
              <w:rPr>
                <w:rFonts w:ascii="Times New Roman" w:hAnsi="Times New Roman" w:cs="Times New Roman"/>
                <w:sz w:val="22"/>
                <w:szCs w:val="22"/>
                <w:lang w:eastAsia="ru-RU"/>
              </w:rPr>
            </w:pPr>
            <w:r w:rsidRPr="00401ECA">
              <w:rPr>
                <w:rFonts w:ascii="Times New Roman" w:hAnsi="Times New Roman" w:cs="Times New Roman"/>
                <w:sz w:val="22"/>
                <w:szCs w:val="22"/>
                <w:lang w:eastAsia="ru-RU"/>
              </w:rPr>
              <w:t xml:space="preserve">10,5 (11,5) </w:t>
            </w:r>
          </w:p>
        </w:tc>
      </w:tr>
    </w:tbl>
    <w:p w14:paraId="3EBD2A89" w14:textId="11913DE8" w:rsidR="00D41138" w:rsidRPr="00337216" w:rsidRDefault="00D41138" w:rsidP="00337216">
      <w:pPr>
        <w:pStyle w:val="Brdtekst"/>
        <w:tabs>
          <w:tab w:val="left" w:pos="284"/>
        </w:tabs>
        <w:suppressAutoHyphens/>
        <w:kinsoku w:val="0"/>
        <w:overflowPunct w:val="0"/>
        <w:ind w:left="0"/>
        <w:rPr>
          <w:color w:val="000000" w:themeColor="text1"/>
          <w:sz w:val="20"/>
          <w:szCs w:val="20"/>
        </w:rPr>
      </w:pPr>
      <w:r w:rsidRPr="00337216">
        <w:rPr>
          <w:color w:val="000000" w:themeColor="text1"/>
          <w:sz w:val="20"/>
          <w:szCs w:val="20"/>
          <w:vertAlign w:val="superscript"/>
        </w:rPr>
        <w:t>*</w:t>
      </w:r>
      <w:r w:rsidRPr="00337216">
        <w:rPr>
          <w:color w:val="000000" w:themeColor="text1"/>
          <w:sz w:val="20"/>
          <w:szCs w:val="20"/>
        </w:rPr>
        <w:t xml:space="preserve"> </w:t>
      </w:r>
      <w:r w:rsidR="00337216" w:rsidRPr="00337216">
        <w:rPr>
          <w:color w:val="000000" w:themeColor="text1"/>
          <w:sz w:val="20"/>
          <w:szCs w:val="20"/>
        </w:rPr>
        <w:tab/>
      </w:r>
      <w:r w:rsidRPr="00337216">
        <w:rPr>
          <w:color w:val="000000" w:themeColor="text1"/>
          <w:sz w:val="20"/>
          <w:szCs w:val="20"/>
        </w:rPr>
        <w:t xml:space="preserve">Behandlingen fandt sted i løbet af et blindet, kontrolleret 48-ugers fase 3-studie. </w:t>
      </w:r>
    </w:p>
    <w:p w14:paraId="7A159D3D" w14:textId="0C00B464" w:rsidR="00D41138" w:rsidRPr="00337216" w:rsidRDefault="00D41138" w:rsidP="00337216">
      <w:pPr>
        <w:pStyle w:val="Brdtekst"/>
        <w:tabs>
          <w:tab w:val="left" w:pos="284"/>
        </w:tabs>
        <w:suppressAutoHyphens/>
        <w:kinsoku w:val="0"/>
        <w:overflowPunct w:val="0"/>
        <w:ind w:left="0"/>
        <w:rPr>
          <w:color w:val="000000" w:themeColor="text1"/>
          <w:sz w:val="20"/>
          <w:szCs w:val="20"/>
        </w:rPr>
      </w:pPr>
      <w:r w:rsidRPr="00337216">
        <w:rPr>
          <w:color w:val="000000" w:themeColor="text1"/>
          <w:sz w:val="20"/>
          <w:szCs w:val="20"/>
          <w:vertAlign w:val="superscript"/>
        </w:rPr>
        <w:t>†</w:t>
      </w:r>
      <w:r w:rsidRPr="00337216">
        <w:rPr>
          <w:color w:val="000000" w:themeColor="text1"/>
          <w:sz w:val="20"/>
          <w:szCs w:val="20"/>
        </w:rPr>
        <w:t xml:space="preserve"> </w:t>
      </w:r>
      <w:r w:rsidR="00337216" w:rsidRPr="00337216">
        <w:rPr>
          <w:color w:val="000000" w:themeColor="text1"/>
          <w:sz w:val="20"/>
          <w:szCs w:val="20"/>
        </w:rPr>
        <w:tab/>
      </w:r>
      <w:r w:rsidRPr="00337216">
        <w:rPr>
          <w:color w:val="000000" w:themeColor="text1"/>
          <w:sz w:val="20"/>
          <w:szCs w:val="20"/>
        </w:rPr>
        <w:t xml:space="preserve">Ændring fra </w:t>
      </w:r>
      <w:r w:rsidRPr="00337216">
        <w:rPr>
          <w:i/>
          <w:color w:val="000000" w:themeColor="text1"/>
          <w:sz w:val="20"/>
          <w:szCs w:val="20"/>
        </w:rPr>
        <w:t>baseline</w:t>
      </w:r>
      <w:r w:rsidRPr="00337216">
        <w:rPr>
          <w:color w:val="000000" w:themeColor="text1"/>
          <w:sz w:val="20"/>
          <w:szCs w:val="20"/>
        </w:rPr>
        <w:t xml:space="preserve"> i tidligere studie efter 48 ugers placebobehandling. </w:t>
      </w:r>
    </w:p>
    <w:p w14:paraId="2A3E1457" w14:textId="77777777" w:rsidR="00D41138" w:rsidRPr="002748AE" w:rsidRDefault="00D41138" w:rsidP="00D41138">
      <w:pPr>
        <w:pStyle w:val="Brdtekst"/>
        <w:widowControl/>
        <w:suppressAutoHyphens/>
        <w:kinsoku w:val="0"/>
        <w:overflowPunct w:val="0"/>
        <w:ind w:left="0"/>
        <w:rPr>
          <w:color w:val="000000" w:themeColor="text1"/>
        </w:rPr>
      </w:pPr>
    </w:p>
    <w:p w14:paraId="2A9F05BA" w14:textId="77777777" w:rsidR="00D41138" w:rsidRPr="002748AE" w:rsidRDefault="00D41138" w:rsidP="002748AE">
      <w:pPr>
        <w:ind w:left="851"/>
        <w:rPr>
          <w:sz w:val="24"/>
          <w:szCs w:val="24"/>
        </w:rPr>
      </w:pPr>
      <w:r w:rsidRPr="002748AE">
        <w:rPr>
          <w:sz w:val="24"/>
          <w:szCs w:val="24"/>
        </w:rPr>
        <w:t>Når den gennemsnitlige (SD) absolute ændring i procent af forventet FEV</w:t>
      </w:r>
      <w:r w:rsidRPr="002748AE">
        <w:rPr>
          <w:sz w:val="24"/>
          <w:szCs w:val="24"/>
          <w:vertAlign w:val="subscript"/>
        </w:rPr>
        <w:t>1</w:t>
      </w:r>
      <w:r w:rsidRPr="002748AE">
        <w:rPr>
          <w:sz w:val="24"/>
          <w:szCs w:val="24"/>
        </w:rPr>
        <w:t xml:space="preserve"> fra </w:t>
      </w:r>
      <w:r w:rsidRPr="002748AE">
        <w:rPr>
          <w:i/>
          <w:sz w:val="24"/>
          <w:szCs w:val="24"/>
        </w:rPr>
        <w:t>baseline</w:t>
      </w:r>
      <w:r w:rsidRPr="002748AE">
        <w:rPr>
          <w:sz w:val="24"/>
          <w:szCs w:val="24"/>
        </w:rPr>
        <w:t xml:space="preserve"> i studie 770-105 sammenlignes for patienter i ivacaftor/ivacaftor-gruppen (n=72), som blev overført fra studie 770-102, var den gennemsnitlige (SD) absolutte ændring i procent af forventet FEV</w:t>
      </w:r>
      <w:r w:rsidRPr="002748AE">
        <w:rPr>
          <w:sz w:val="24"/>
          <w:szCs w:val="24"/>
          <w:vertAlign w:val="subscript"/>
        </w:rPr>
        <w:t>1</w:t>
      </w:r>
      <w:r w:rsidRPr="002748AE">
        <w:rPr>
          <w:sz w:val="24"/>
          <w:szCs w:val="24"/>
        </w:rPr>
        <w:t xml:space="preserve"> 0,0 % (9,05), mens den var 0,6 % (9,1) for patienter i ivacaftor/ivacaftor-gruppen (n=25), som blev overført fra studie 770-103. Dette viser, at patienter i ivacaftor/ivacaftor-gruppen opretholdt den forbedring, der blev observeret ved uge 48 i det indledende studie (dag 0 til og med uge 48) i procent af forventet FEV</w:t>
      </w:r>
      <w:r w:rsidRPr="002748AE">
        <w:rPr>
          <w:sz w:val="24"/>
          <w:szCs w:val="24"/>
          <w:vertAlign w:val="subscript"/>
        </w:rPr>
        <w:t>1</w:t>
      </w:r>
      <w:r w:rsidRPr="002748AE">
        <w:rPr>
          <w:sz w:val="24"/>
          <w:szCs w:val="24"/>
        </w:rPr>
        <w:t xml:space="preserve"> til og med uge 144. Der var ingen yderligere forbedring i studie 770-105 (uge 48 til og med uge 144). </w:t>
      </w:r>
    </w:p>
    <w:p w14:paraId="31AB8C49" w14:textId="77777777" w:rsidR="00D41138" w:rsidRPr="002748AE" w:rsidRDefault="00D41138" w:rsidP="002748AE">
      <w:pPr>
        <w:ind w:left="851"/>
        <w:rPr>
          <w:sz w:val="24"/>
          <w:szCs w:val="24"/>
        </w:rPr>
      </w:pPr>
      <w:r w:rsidRPr="002748AE">
        <w:rPr>
          <w:sz w:val="24"/>
          <w:szCs w:val="24"/>
        </w:rPr>
        <w:t xml:space="preserve"> </w:t>
      </w:r>
    </w:p>
    <w:p w14:paraId="10EB1596" w14:textId="5298BD9D" w:rsidR="00D41138" w:rsidRPr="002748AE" w:rsidRDefault="00D41138" w:rsidP="002748AE">
      <w:pPr>
        <w:ind w:left="851"/>
        <w:rPr>
          <w:sz w:val="24"/>
          <w:szCs w:val="24"/>
        </w:rPr>
      </w:pPr>
      <w:r w:rsidRPr="002748AE">
        <w:rPr>
          <w:sz w:val="24"/>
          <w:szCs w:val="24"/>
        </w:rPr>
        <w:t xml:space="preserve">For patienter i placebo/ivacaftor-gruppen fra studie 770-102 var den annualiserede hyppighed af lungeeksacerbationer højere i det indledende studie, hvor patienterne fik placebo (1,34 hændelser/år) end i det efterfølgende studie 770-105, hvor patienterne blev overført til ivacaftor (0,48 hændelser/år over dag 1 til uge 48 og 0,67 hændelser/år over </w:t>
      </w:r>
      <w:r w:rsidRPr="002748AE">
        <w:rPr>
          <w:sz w:val="24"/>
          <w:szCs w:val="24"/>
        </w:rPr>
        <w:lastRenderedPageBreak/>
        <w:t xml:space="preserve">uge 48 til 96). For patienter i ivacaftor/ivacaftorgruppen fra studie 770-102 var den annualiserede hyppighed af lungeeksacerbationer 0,57 hændelser/år over dag 1 til uge 48, når patienterne fik ivacaftor. Når de blev overført til studie 770-105 var hyppigheden af annualiserede lungeeksacerbationer 0,91 hændelser/år over dag 1 til uge 48 og 0,77 hændelser/år over uge 48 til 96. </w:t>
      </w:r>
    </w:p>
    <w:p w14:paraId="25A7CCB9" w14:textId="77777777" w:rsidR="00D41138" w:rsidRPr="002748AE" w:rsidRDefault="00D41138" w:rsidP="002748AE">
      <w:pPr>
        <w:ind w:left="851"/>
        <w:rPr>
          <w:sz w:val="24"/>
          <w:szCs w:val="24"/>
        </w:rPr>
      </w:pPr>
      <w:r w:rsidRPr="002748AE">
        <w:rPr>
          <w:sz w:val="24"/>
          <w:szCs w:val="24"/>
        </w:rPr>
        <w:t xml:space="preserve"> </w:t>
      </w:r>
    </w:p>
    <w:p w14:paraId="316595A6" w14:textId="77777777" w:rsidR="00D41138" w:rsidRPr="002748AE" w:rsidRDefault="00D41138" w:rsidP="002748AE">
      <w:pPr>
        <w:ind w:left="851"/>
        <w:rPr>
          <w:sz w:val="24"/>
          <w:szCs w:val="24"/>
        </w:rPr>
      </w:pPr>
      <w:r w:rsidRPr="002748AE">
        <w:rPr>
          <w:sz w:val="24"/>
          <w:szCs w:val="24"/>
        </w:rPr>
        <w:t xml:space="preserve">For patienter, som blev overført fra studie 770-103, var antallet af hændelser overordnet set lavt. </w:t>
      </w:r>
    </w:p>
    <w:p w14:paraId="212ABCE0" w14:textId="77777777" w:rsidR="00D41138" w:rsidRPr="002748AE" w:rsidRDefault="00D41138" w:rsidP="002748AE">
      <w:pPr>
        <w:ind w:left="851"/>
        <w:rPr>
          <w:sz w:val="24"/>
          <w:szCs w:val="24"/>
        </w:rPr>
      </w:pPr>
      <w:r w:rsidRPr="002748AE">
        <w:rPr>
          <w:sz w:val="24"/>
          <w:szCs w:val="24"/>
        </w:rPr>
        <w:t xml:space="preserve"> </w:t>
      </w:r>
    </w:p>
    <w:p w14:paraId="7F9CA05B" w14:textId="77777777" w:rsidR="00D41138" w:rsidRPr="002748AE" w:rsidRDefault="00D41138" w:rsidP="002748AE">
      <w:pPr>
        <w:ind w:left="851"/>
        <w:rPr>
          <w:sz w:val="24"/>
          <w:szCs w:val="24"/>
        </w:rPr>
      </w:pPr>
      <w:r w:rsidRPr="002748AE">
        <w:rPr>
          <w:i/>
          <w:sz w:val="24"/>
          <w:szCs w:val="24"/>
          <w:u w:val="single"/>
        </w:rPr>
        <w:t>Studie 770-110: studie hos patienter med CF med en R117H-mutation i CFTR-genet</w:t>
      </w:r>
    </w:p>
    <w:p w14:paraId="36C0D219" w14:textId="77777777" w:rsidR="00D41138" w:rsidRPr="002748AE" w:rsidRDefault="00D41138" w:rsidP="002748AE">
      <w:pPr>
        <w:ind w:left="851"/>
        <w:rPr>
          <w:sz w:val="24"/>
          <w:szCs w:val="24"/>
        </w:rPr>
      </w:pPr>
      <w:r w:rsidRPr="002748AE">
        <w:rPr>
          <w:sz w:val="24"/>
          <w:szCs w:val="24"/>
        </w:rPr>
        <w:t xml:space="preserve">Studie 770-110 var en evaluering af 69 patienter i alderen 6 år eller derover. 53 (76,8 %) patienter havde </w:t>
      </w:r>
      <w:r w:rsidRPr="002748AE">
        <w:rPr>
          <w:i/>
          <w:sz w:val="24"/>
          <w:szCs w:val="24"/>
        </w:rPr>
        <w:t>F508del</w:t>
      </w:r>
      <w:r w:rsidRPr="002748AE">
        <w:rPr>
          <w:sz w:val="24"/>
          <w:szCs w:val="24"/>
        </w:rPr>
        <w:t xml:space="preserve">-mutationen i den anden allel. Den bekræftede </w:t>
      </w:r>
      <w:r w:rsidRPr="002748AE">
        <w:rPr>
          <w:i/>
          <w:sz w:val="24"/>
          <w:szCs w:val="24"/>
        </w:rPr>
        <w:t>R117H</w:t>
      </w:r>
      <w:r w:rsidRPr="002748AE">
        <w:rPr>
          <w:sz w:val="24"/>
          <w:szCs w:val="24"/>
        </w:rPr>
        <w:t xml:space="preserve">-poly-T-variant var </w:t>
      </w:r>
      <w:r w:rsidRPr="002748AE">
        <w:rPr>
          <w:i/>
          <w:sz w:val="24"/>
          <w:szCs w:val="24"/>
        </w:rPr>
        <w:t>5T</w:t>
      </w:r>
      <w:r w:rsidRPr="002748AE">
        <w:rPr>
          <w:sz w:val="24"/>
          <w:szCs w:val="24"/>
        </w:rPr>
        <w:t xml:space="preserve"> hos 38 patienter og </w:t>
      </w:r>
      <w:r w:rsidRPr="002748AE">
        <w:rPr>
          <w:i/>
          <w:sz w:val="24"/>
          <w:szCs w:val="24"/>
        </w:rPr>
        <w:t>7T</w:t>
      </w:r>
      <w:r w:rsidRPr="002748AE">
        <w:rPr>
          <w:sz w:val="24"/>
          <w:szCs w:val="24"/>
        </w:rPr>
        <w:t xml:space="preserve"> hos 16 patienter. Ved </w:t>
      </w:r>
      <w:r w:rsidRPr="002748AE">
        <w:rPr>
          <w:i/>
          <w:sz w:val="24"/>
          <w:szCs w:val="24"/>
        </w:rPr>
        <w:t>baseline</w:t>
      </w:r>
      <w:r w:rsidRPr="002748AE">
        <w:rPr>
          <w:sz w:val="24"/>
          <w:szCs w:val="24"/>
        </w:rPr>
        <w:t xml:space="preserve"> var den gennemsnitlige forventede FEV</w:t>
      </w:r>
      <w:r w:rsidRPr="002748AE">
        <w:rPr>
          <w:sz w:val="24"/>
          <w:szCs w:val="24"/>
          <w:vertAlign w:val="subscript"/>
        </w:rPr>
        <w:t>1</w:t>
      </w:r>
      <w:r w:rsidRPr="002748AE">
        <w:rPr>
          <w:sz w:val="24"/>
          <w:szCs w:val="24"/>
        </w:rPr>
        <w:t xml:space="preserve"> 73 % (interval: 32,5 % til 105,5 %), og den gennemsnitlige alder var 31 år (interval: 6 til 68 år). Den gennemsnitlige absolutte ændring fra </w:t>
      </w:r>
      <w:r w:rsidRPr="002748AE">
        <w:rPr>
          <w:i/>
          <w:sz w:val="24"/>
          <w:szCs w:val="24"/>
        </w:rPr>
        <w:t>baseline</w:t>
      </w:r>
      <w:r w:rsidRPr="002748AE">
        <w:rPr>
          <w:sz w:val="24"/>
          <w:szCs w:val="24"/>
        </w:rPr>
        <w:t xml:space="preserve"> til og med uge 24 i procent forventet FEV</w:t>
      </w:r>
      <w:r w:rsidRPr="002748AE">
        <w:rPr>
          <w:sz w:val="24"/>
          <w:szCs w:val="24"/>
          <w:vertAlign w:val="subscript"/>
        </w:rPr>
        <w:t>1</w:t>
      </w:r>
      <w:r w:rsidRPr="002748AE">
        <w:rPr>
          <w:sz w:val="24"/>
          <w:szCs w:val="24"/>
        </w:rPr>
        <w:t xml:space="preserve"> (primært virkningsendepunkt) var </w:t>
      </w:r>
      <w:r w:rsidRPr="002748AE">
        <w:rPr>
          <w:sz w:val="24"/>
          <w:szCs w:val="24"/>
        </w:rPr>
        <w:br/>
        <w:t xml:space="preserve">2,57 procentpoint i ivacaftorgruppen og 0,46 procentpoint i placebogruppen. Den estimerede forskel i behandlingen med ivacaftor </w:t>
      </w:r>
      <w:r w:rsidRPr="002748AE">
        <w:rPr>
          <w:i/>
          <w:sz w:val="24"/>
          <w:szCs w:val="24"/>
        </w:rPr>
        <w:t>versus</w:t>
      </w:r>
      <w:r w:rsidRPr="002748AE">
        <w:rPr>
          <w:sz w:val="24"/>
          <w:szCs w:val="24"/>
        </w:rPr>
        <w:t xml:space="preserve"> placebo var 2,1 procentpoint (95 % CI: 1,1; 5,4). </w:t>
      </w:r>
    </w:p>
    <w:p w14:paraId="1E48D97C" w14:textId="77777777" w:rsidR="00D41138" w:rsidRPr="002748AE" w:rsidRDefault="00D41138" w:rsidP="002748AE">
      <w:pPr>
        <w:ind w:left="851"/>
        <w:rPr>
          <w:sz w:val="24"/>
          <w:szCs w:val="24"/>
        </w:rPr>
      </w:pPr>
      <w:r w:rsidRPr="002748AE">
        <w:rPr>
          <w:sz w:val="24"/>
          <w:szCs w:val="24"/>
        </w:rPr>
        <w:t xml:space="preserve"> </w:t>
      </w:r>
    </w:p>
    <w:p w14:paraId="6BCC19B3" w14:textId="77777777" w:rsidR="00D41138" w:rsidRPr="002748AE" w:rsidRDefault="00D41138" w:rsidP="002748AE">
      <w:pPr>
        <w:ind w:left="851"/>
        <w:rPr>
          <w:sz w:val="24"/>
          <w:szCs w:val="24"/>
        </w:rPr>
      </w:pPr>
      <w:r w:rsidRPr="002748AE">
        <w:rPr>
          <w:sz w:val="24"/>
          <w:szCs w:val="24"/>
        </w:rPr>
        <w:t>Der blev udført en forud planlagt undergruppeanalyse af patienter i alderen 18 år og derover (26 patienter, der fik placebo, og 24 patienter, der fik ivacaftor). Behandlingen med ivacaftor resulterede i en gennemsnitlig, absolut ændring i procent forventet FEV</w:t>
      </w:r>
      <w:r w:rsidRPr="002748AE">
        <w:rPr>
          <w:sz w:val="24"/>
          <w:szCs w:val="24"/>
          <w:vertAlign w:val="subscript"/>
        </w:rPr>
        <w:t>1</w:t>
      </w:r>
      <w:r w:rsidRPr="002748AE">
        <w:rPr>
          <w:sz w:val="24"/>
          <w:szCs w:val="24"/>
        </w:rPr>
        <w:t xml:space="preserve"> til og med uge 24 på 4,5 procentpoint i ivacaftorgruppen </w:t>
      </w:r>
      <w:r w:rsidRPr="002748AE">
        <w:rPr>
          <w:i/>
          <w:sz w:val="24"/>
          <w:szCs w:val="24"/>
        </w:rPr>
        <w:t>versus</w:t>
      </w:r>
      <w:r w:rsidRPr="002748AE">
        <w:rPr>
          <w:sz w:val="24"/>
          <w:szCs w:val="24"/>
        </w:rPr>
        <w:t xml:space="preserve"> -0,46 procentpoints i placebogruppen. Den estimerede forskel i behandlingen med ivacaftor </w:t>
      </w:r>
      <w:r w:rsidRPr="002748AE">
        <w:rPr>
          <w:i/>
          <w:sz w:val="24"/>
          <w:szCs w:val="24"/>
        </w:rPr>
        <w:t>versus</w:t>
      </w:r>
      <w:r w:rsidRPr="002748AE">
        <w:rPr>
          <w:sz w:val="24"/>
          <w:szCs w:val="24"/>
        </w:rPr>
        <w:t xml:space="preserve"> placebo var 5,0 procentpoint (95 % CI: 1,1; 8,8). </w:t>
      </w:r>
    </w:p>
    <w:p w14:paraId="1002D5F3" w14:textId="77777777" w:rsidR="00D41138" w:rsidRPr="002748AE" w:rsidRDefault="00D41138" w:rsidP="002748AE">
      <w:pPr>
        <w:ind w:left="851"/>
        <w:rPr>
          <w:sz w:val="24"/>
          <w:szCs w:val="24"/>
        </w:rPr>
      </w:pPr>
      <w:r w:rsidRPr="002748AE">
        <w:rPr>
          <w:sz w:val="24"/>
          <w:szCs w:val="24"/>
        </w:rPr>
        <w:t xml:space="preserve"> </w:t>
      </w:r>
    </w:p>
    <w:p w14:paraId="57D690BC" w14:textId="77777777" w:rsidR="00D41138" w:rsidRPr="002748AE" w:rsidRDefault="00D41138" w:rsidP="002748AE">
      <w:pPr>
        <w:ind w:left="851"/>
        <w:rPr>
          <w:sz w:val="24"/>
          <w:szCs w:val="24"/>
        </w:rPr>
      </w:pPr>
      <w:r w:rsidRPr="002748AE">
        <w:rPr>
          <w:sz w:val="24"/>
          <w:szCs w:val="24"/>
        </w:rPr>
        <w:t xml:space="preserve">I en undergruppeanalyse af patienter med en bekræftet </w:t>
      </w:r>
      <w:r w:rsidRPr="002748AE">
        <w:rPr>
          <w:i/>
          <w:sz w:val="24"/>
          <w:szCs w:val="24"/>
        </w:rPr>
        <w:t>R117H-5T</w:t>
      </w:r>
      <w:r w:rsidRPr="002748AE">
        <w:rPr>
          <w:sz w:val="24"/>
          <w:szCs w:val="24"/>
        </w:rPr>
        <w:t xml:space="preserve">-variant var forskellen i den gennemsnitlige absolutte ændring fra </w:t>
      </w:r>
      <w:r w:rsidRPr="002748AE">
        <w:rPr>
          <w:i/>
          <w:sz w:val="24"/>
          <w:szCs w:val="24"/>
        </w:rPr>
        <w:t>baseline</w:t>
      </w:r>
      <w:r w:rsidRPr="002748AE">
        <w:rPr>
          <w:sz w:val="24"/>
          <w:szCs w:val="24"/>
        </w:rPr>
        <w:t xml:space="preserve"> til og med uge 24 i procent forventet FEV</w:t>
      </w:r>
      <w:r w:rsidRPr="002748AE">
        <w:rPr>
          <w:sz w:val="24"/>
          <w:szCs w:val="24"/>
          <w:vertAlign w:val="subscript"/>
        </w:rPr>
        <w:t>1</w:t>
      </w:r>
      <w:r w:rsidRPr="002748AE">
        <w:rPr>
          <w:sz w:val="24"/>
          <w:szCs w:val="24"/>
        </w:rPr>
        <w:t xml:space="preserve"> mellem ivacaftor og placebo 5,3 % (95 % CI: 1,3; 9,3). Hos patienter med en bekræftet </w:t>
      </w:r>
      <w:r w:rsidRPr="002748AE">
        <w:rPr>
          <w:i/>
          <w:sz w:val="24"/>
          <w:szCs w:val="24"/>
        </w:rPr>
        <w:t>R117H-7T</w:t>
      </w:r>
      <w:r w:rsidRPr="002748AE">
        <w:rPr>
          <w:sz w:val="24"/>
          <w:szCs w:val="24"/>
        </w:rPr>
        <w:t xml:space="preserve">-variant var behandlingsforskellen mellem ivacaftor og placebo 0,2 % (95 % CI: -8,1; 8,5). </w:t>
      </w:r>
    </w:p>
    <w:p w14:paraId="5D7B64BF" w14:textId="77777777" w:rsidR="00D41138" w:rsidRPr="002748AE" w:rsidRDefault="00D41138" w:rsidP="002748AE">
      <w:pPr>
        <w:ind w:left="851"/>
        <w:rPr>
          <w:sz w:val="24"/>
          <w:szCs w:val="24"/>
        </w:rPr>
      </w:pPr>
      <w:r w:rsidRPr="002748AE">
        <w:rPr>
          <w:sz w:val="24"/>
          <w:szCs w:val="24"/>
        </w:rPr>
        <w:t xml:space="preserve"> </w:t>
      </w:r>
    </w:p>
    <w:p w14:paraId="61D4D52B" w14:textId="77777777" w:rsidR="00D41138" w:rsidRPr="002748AE" w:rsidRDefault="00D41138" w:rsidP="002748AE">
      <w:pPr>
        <w:ind w:left="851"/>
        <w:rPr>
          <w:sz w:val="24"/>
          <w:szCs w:val="24"/>
        </w:rPr>
      </w:pPr>
      <w:r w:rsidRPr="002748AE">
        <w:rPr>
          <w:sz w:val="24"/>
          <w:szCs w:val="24"/>
        </w:rPr>
        <w:t xml:space="preserve">For sekundære virkningsvariabler blev der ikke observeret nogen forskelle i behandlingen for ivacaftor </w:t>
      </w:r>
      <w:r w:rsidRPr="002748AE">
        <w:rPr>
          <w:i/>
          <w:sz w:val="24"/>
          <w:szCs w:val="24"/>
        </w:rPr>
        <w:t>versus</w:t>
      </w:r>
      <w:r w:rsidRPr="002748AE">
        <w:rPr>
          <w:sz w:val="24"/>
          <w:szCs w:val="24"/>
        </w:rPr>
        <w:t xml:space="preserve"> placebo i absolut ændring fra </w:t>
      </w:r>
      <w:r w:rsidRPr="002748AE">
        <w:rPr>
          <w:i/>
          <w:sz w:val="24"/>
          <w:szCs w:val="24"/>
        </w:rPr>
        <w:t>baseline</w:t>
      </w:r>
      <w:r w:rsidRPr="002748AE">
        <w:rPr>
          <w:sz w:val="24"/>
          <w:szCs w:val="24"/>
        </w:rPr>
        <w:t xml:space="preserve"> i BMI ved uge 24 eller tiden til første exacerbation. Der blev observeret behandlingsforskelle i absolut ændring i CFQ-R-score for respirationssymptomer til og med uge 24 (forskellen i behandlingen med ivacaftor </w:t>
      </w:r>
      <w:r w:rsidRPr="002748AE">
        <w:rPr>
          <w:i/>
          <w:sz w:val="24"/>
          <w:szCs w:val="24"/>
        </w:rPr>
        <w:t>versus</w:t>
      </w:r>
      <w:r w:rsidRPr="002748AE">
        <w:rPr>
          <w:sz w:val="24"/>
          <w:szCs w:val="24"/>
        </w:rPr>
        <w:t xml:space="preserve"> placebo var 8,4 [95 % CI: 2,2; 14,6] point) og for den gennemsnitlige ændring fra </w:t>
      </w:r>
      <w:r w:rsidRPr="002748AE">
        <w:rPr>
          <w:i/>
          <w:sz w:val="24"/>
          <w:szCs w:val="24"/>
        </w:rPr>
        <w:t>baseline</w:t>
      </w:r>
      <w:r w:rsidRPr="002748AE">
        <w:rPr>
          <w:sz w:val="24"/>
          <w:szCs w:val="24"/>
        </w:rPr>
        <w:t xml:space="preserve"> i sved-chlorid (se Farmakodynamisk virkning). </w:t>
      </w:r>
    </w:p>
    <w:p w14:paraId="3D02AE09" w14:textId="77777777" w:rsidR="00D41138" w:rsidRPr="002748AE" w:rsidRDefault="00D41138" w:rsidP="002748AE">
      <w:pPr>
        <w:ind w:left="851"/>
        <w:rPr>
          <w:sz w:val="24"/>
          <w:szCs w:val="24"/>
        </w:rPr>
      </w:pPr>
      <w:r w:rsidRPr="002748AE">
        <w:rPr>
          <w:sz w:val="24"/>
          <w:szCs w:val="24"/>
        </w:rPr>
        <w:t xml:space="preserve"> </w:t>
      </w:r>
    </w:p>
    <w:p w14:paraId="2ADB59D3" w14:textId="77777777" w:rsidR="00D41138" w:rsidRPr="002748AE" w:rsidRDefault="00D41138" w:rsidP="002748AE">
      <w:pPr>
        <w:ind w:left="851"/>
        <w:rPr>
          <w:sz w:val="24"/>
          <w:szCs w:val="24"/>
        </w:rPr>
      </w:pPr>
      <w:r w:rsidRPr="002748AE">
        <w:rPr>
          <w:i/>
          <w:sz w:val="24"/>
          <w:szCs w:val="24"/>
        </w:rPr>
        <w:t>Ivacaftor i et kombinationsregime med tezacaftor/ivacaftor eller med ivacaftor/tezacaftor/elexacaftor</w:t>
      </w:r>
    </w:p>
    <w:p w14:paraId="67D83FC8" w14:textId="7DC74BCB" w:rsidR="00D41138" w:rsidRPr="002748AE" w:rsidRDefault="00D41138" w:rsidP="002748AE">
      <w:pPr>
        <w:ind w:left="851"/>
        <w:rPr>
          <w:sz w:val="24"/>
          <w:szCs w:val="24"/>
        </w:rPr>
      </w:pPr>
      <w:r w:rsidRPr="002748AE">
        <w:rPr>
          <w:sz w:val="24"/>
          <w:szCs w:val="24"/>
        </w:rPr>
        <w:t xml:space="preserve">Ivacaftors virkning og sikkerhed i et kombinationsregime med tezacaftor/ivacaftor hos patienter med CF i alderen 12 år og ældre blev vurderet i 2 kliniske studier, et 24-ugers, randomiseret, dobbeltblindet, placebokontrolleret studie med 504 patienter, som var homozygote for </w:t>
      </w:r>
      <w:r w:rsidRPr="002748AE">
        <w:rPr>
          <w:i/>
          <w:sz w:val="24"/>
          <w:szCs w:val="24"/>
        </w:rPr>
        <w:t>F508del-</w:t>
      </w:r>
      <w:r w:rsidRPr="002748AE">
        <w:rPr>
          <w:sz w:val="24"/>
          <w:szCs w:val="24"/>
        </w:rPr>
        <w:t xml:space="preserve">mutationen (studie 661-106), og et randomiseret, dobbeltblindet, placebokontrolleret og ivacaftor-kontrolleret 8-ugers overkrydsningsstudie med 2 perioder og 3 behandlinger med 244 patienter, som var heterozygote for </w:t>
      </w:r>
      <w:r w:rsidRPr="002748AE">
        <w:rPr>
          <w:i/>
          <w:sz w:val="24"/>
          <w:szCs w:val="24"/>
        </w:rPr>
        <w:t>F508del</w:t>
      </w:r>
      <w:r w:rsidRPr="002748AE">
        <w:rPr>
          <w:sz w:val="24"/>
          <w:szCs w:val="24"/>
        </w:rPr>
        <w:t>-mutationen og en anden mutation forbundet med residual CFTR</w:t>
      </w:r>
      <w:r w:rsidRPr="002748AE">
        <w:rPr>
          <w:i/>
          <w:sz w:val="24"/>
          <w:szCs w:val="24"/>
        </w:rPr>
        <w:t>-</w:t>
      </w:r>
      <w:r w:rsidRPr="002748AE">
        <w:rPr>
          <w:sz w:val="24"/>
          <w:szCs w:val="24"/>
        </w:rPr>
        <w:t xml:space="preserve">aktivitet (studie 661-108). Kombinationsregimets langsigtede sikkerhed og virkning blev også evalueret i begge </w:t>
      </w:r>
      <w:r w:rsidRPr="002748AE">
        <w:rPr>
          <w:sz w:val="24"/>
          <w:szCs w:val="24"/>
        </w:rPr>
        <w:lastRenderedPageBreak/>
        <w:t xml:space="preserve">patientpopulationer i et 96-ugers åbent, langvarigt rollover-forlængelsesstudie (studie 661-110). Se produktresuméet for tezacaftor/ivacaftor for yderligere data. </w:t>
      </w:r>
    </w:p>
    <w:p w14:paraId="6E13C348" w14:textId="77777777" w:rsidR="00D41138" w:rsidRPr="002748AE" w:rsidRDefault="00D41138" w:rsidP="002748AE">
      <w:pPr>
        <w:ind w:left="851"/>
        <w:rPr>
          <w:sz w:val="24"/>
          <w:szCs w:val="24"/>
        </w:rPr>
      </w:pPr>
      <w:r w:rsidRPr="002748AE">
        <w:rPr>
          <w:sz w:val="24"/>
          <w:szCs w:val="24"/>
        </w:rPr>
        <w:t xml:space="preserve"> </w:t>
      </w:r>
    </w:p>
    <w:p w14:paraId="07378304" w14:textId="61B3AEEB" w:rsidR="00D41138" w:rsidRPr="002748AE" w:rsidRDefault="00D41138" w:rsidP="002748AE">
      <w:pPr>
        <w:ind w:left="851"/>
        <w:rPr>
          <w:sz w:val="24"/>
          <w:szCs w:val="24"/>
        </w:rPr>
      </w:pPr>
      <w:r w:rsidRPr="002748AE">
        <w:rPr>
          <w:sz w:val="24"/>
          <w:szCs w:val="24"/>
        </w:rPr>
        <w:t>Ivacaftors virkning og sikkerhed i et kombinationsregime med ivacaftor/tezacaftor/elexa</w:t>
      </w:r>
      <w:r w:rsidR="00337216">
        <w:rPr>
          <w:sz w:val="24"/>
          <w:szCs w:val="24"/>
        </w:rPr>
        <w:softHyphen/>
      </w:r>
      <w:r w:rsidRPr="002748AE">
        <w:rPr>
          <w:sz w:val="24"/>
          <w:szCs w:val="24"/>
        </w:rPr>
        <w:t xml:space="preserve">caftor tabletter hos patienter i alderen 12 år og ældre blev påvist i 3 randomiserede, dobbeltblindede, placebokontrollerede (patienterne var heterozygote for </w:t>
      </w:r>
      <w:r w:rsidRPr="002748AE">
        <w:rPr>
          <w:i/>
          <w:sz w:val="24"/>
          <w:szCs w:val="24"/>
        </w:rPr>
        <w:t>F508del</w:t>
      </w:r>
      <w:r w:rsidRPr="002748AE">
        <w:rPr>
          <w:sz w:val="24"/>
          <w:szCs w:val="24"/>
        </w:rPr>
        <w:t xml:space="preserve">-mutationen og en mutation med minimal funktion på den anden allel, n = 403) og aktivt kontrollerede (patienterne var homozygote for </w:t>
      </w:r>
      <w:r w:rsidRPr="002748AE">
        <w:rPr>
          <w:i/>
          <w:sz w:val="24"/>
          <w:szCs w:val="24"/>
        </w:rPr>
        <w:t>F508del-</w:t>
      </w:r>
      <w:r w:rsidRPr="002748AE">
        <w:rPr>
          <w:sz w:val="24"/>
          <w:szCs w:val="24"/>
        </w:rPr>
        <w:t xml:space="preserve">mutationen, n = 107, eller heterozygote for </w:t>
      </w:r>
      <w:r w:rsidRPr="002748AE">
        <w:rPr>
          <w:i/>
          <w:sz w:val="24"/>
          <w:szCs w:val="24"/>
        </w:rPr>
        <w:t>F508del</w:t>
      </w:r>
      <w:r w:rsidRPr="002748AE">
        <w:rPr>
          <w:sz w:val="24"/>
          <w:szCs w:val="24"/>
        </w:rPr>
        <w:t xml:space="preserve">-mutationen og en </w:t>
      </w:r>
      <w:r w:rsidRPr="002748AE">
        <w:rPr>
          <w:i/>
          <w:sz w:val="24"/>
          <w:szCs w:val="24"/>
        </w:rPr>
        <w:t>gating-</w:t>
      </w:r>
      <w:r w:rsidRPr="002748AE">
        <w:rPr>
          <w:sz w:val="24"/>
          <w:szCs w:val="24"/>
        </w:rPr>
        <w:t xml:space="preserve"> eller residual CFTR-aktivitetsmutation på den anden allel, n = 258) fase 3-studier af hhv. 24 (studie 445-102), 4 (studie 445-103) og 8 ugers (studie 445-104) varighed. Patienter fra alle studier var egnet til at blive inkluderet i åbne </w:t>
      </w:r>
      <w:r w:rsidRPr="002748AE">
        <w:rPr>
          <w:i/>
          <w:sz w:val="24"/>
          <w:szCs w:val="24"/>
        </w:rPr>
        <w:t>rollover</w:t>
      </w:r>
      <w:r w:rsidRPr="002748AE">
        <w:rPr>
          <w:sz w:val="24"/>
          <w:szCs w:val="24"/>
        </w:rPr>
        <w:t xml:space="preserve">-langtidsforlængelsesstudier (studie 445-105 eller studie 445-110).  </w:t>
      </w:r>
    </w:p>
    <w:p w14:paraId="77A9EC9E" w14:textId="77777777" w:rsidR="00D41138" w:rsidRPr="002748AE" w:rsidRDefault="00D41138" w:rsidP="002748AE">
      <w:pPr>
        <w:ind w:left="851"/>
        <w:rPr>
          <w:sz w:val="24"/>
          <w:szCs w:val="24"/>
        </w:rPr>
      </w:pPr>
      <w:r w:rsidRPr="002748AE">
        <w:rPr>
          <w:sz w:val="24"/>
          <w:szCs w:val="24"/>
        </w:rPr>
        <w:t xml:space="preserve"> </w:t>
      </w:r>
    </w:p>
    <w:p w14:paraId="4CE76421" w14:textId="6A72CD0F" w:rsidR="00D41138" w:rsidRPr="002748AE" w:rsidRDefault="00D41138" w:rsidP="002748AE">
      <w:pPr>
        <w:ind w:left="851"/>
        <w:rPr>
          <w:sz w:val="24"/>
          <w:szCs w:val="24"/>
        </w:rPr>
      </w:pPr>
      <w:r w:rsidRPr="002748AE">
        <w:rPr>
          <w:sz w:val="24"/>
          <w:szCs w:val="24"/>
        </w:rPr>
        <w:t>Ivacaftors sikkerhed og virkning i et kombinationsregime med ivacaftor/tezacaf</w:t>
      </w:r>
      <w:r w:rsidR="00401ECA">
        <w:rPr>
          <w:sz w:val="24"/>
          <w:szCs w:val="24"/>
        </w:rPr>
        <w:softHyphen/>
      </w:r>
      <w:r w:rsidRPr="002748AE">
        <w:rPr>
          <w:sz w:val="24"/>
          <w:szCs w:val="24"/>
        </w:rPr>
        <w:t>tor/elexacaftor tabletter hos patienter i alderen 6 år og ældre med non-</w:t>
      </w:r>
      <w:r w:rsidRPr="002748AE">
        <w:rPr>
          <w:i/>
          <w:sz w:val="24"/>
          <w:szCs w:val="24"/>
        </w:rPr>
        <w:t>F508del</w:t>
      </w:r>
      <w:r w:rsidRPr="002748AE">
        <w:rPr>
          <w:sz w:val="24"/>
          <w:szCs w:val="24"/>
        </w:rPr>
        <w:t xml:space="preserve">, ivacaftor/tezacaftor/elexacaftorresponsive </w:t>
      </w:r>
      <w:r w:rsidRPr="002748AE">
        <w:rPr>
          <w:i/>
          <w:sz w:val="24"/>
          <w:szCs w:val="24"/>
        </w:rPr>
        <w:t>CFTR</w:t>
      </w:r>
      <w:r w:rsidRPr="002748AE">
        <w:rPr>
          <w:sz w:val="24"/>
          <w:szCs w:val="24"/>
        </w:rPr>
        <w:t xml:space="preserve">-mutationer blev påvist i et randomiseret, dobbeltblindet, placebokontrolleret fase 3-studie (n = 307) og et retrospektivt observationsstudie (CFD-016, n = 422) af </w:t>
      </w:r>
      <w:r w:rsidRPr="002748AE">
        <w:rPr>
          <w:i/>
          <w:sz w:val="24"/>
          <w:szCs w:val="24"/>
        </w:rPr>
        <w:t>real world</w:t>
      </w:r>
      <w:r w:rsidRPr="002748AE">
        <w:rPr>
          <w:sz w:val="24"/>
          <w:szCs w:val="24"/>
        </w:rPr>
        <w:t xml:space="preserve"> kliniske udfald. </w:t>
      </w:r>
    </w:p>
    <w:p w14:paraId="63F93435" w14:textId="77777777" w:rsidR="00D41138" w:rsidRPr="002748AE" w:rsidRDefault="00D41138" w:rsidP="002748AE">
      <w:pPr>
        <w:ind w:left="851"/>
        <w:rPr>
          <w:sz w:val="24"/>
          <w:szCs w:val="24"/>
        </w:rPr>
      </w:pPr>
      <w:r w:rsidRPr="002748AE">
        <w:rPr>
          <w:sz w:val="24"/>
          <w:szCs w:val="24"/>
        </w:rPr>
        <w:t xml:space="preserve"> </w:t>
      </w:r>
    </w:p>
    <w:p w14:paraId="6A54B682" w14:textId="77777777" w:rsidR="00D41138" w:rsidRPr="002748AE" w:rsidRDefault="00D41138" w:rsidP="002748AE">
      <w:pPr>
        <w:ind w:left="851"/>
        <w:rPr>
          <w:sz w:val="24"/>
          <w:szCs w:val="24"/>
        </w:rPr>
      </w:pPr>
      <w:r w:rsidRPr="002748AE">
        <w:rPr>
          <w:sz w:val="24"/>
          <w:szCs w:val="24"/>
        </w:rPr>
        <w:t xml:space="preserve">Der henvises til produktresuméet for ivacaftor/tezacaftor/elexacaftor for yderligere data. </w:t>
      </w:r>
    </w:p>
    <w:p w14:paraId="4EEA9096" w14:textId="77777777" w:rsidR="00D41138" w:rsidRPr="002748AE" w:rsidRDefault="00D41138" w:rsidP="002748AE">
      <w:pPr>
        <w:ind w:left="851"/>
        <w:rPr>
          <w:sz w:val="24"/>
          <w:szCs w:val="24"/>
        </w:rPr>
      </w:pPr>
      <w:r w:rsidRPr="002748AE">
        <w:rPr>
          <w:sz w:val="24"/>
          <w:szCs w:val="24"/>
        </w:rPr>
        <w:t xml:space="preserve"> </w:t>
      </w:r>
    </w:p>
    <w:p w14:paraId="17B9B1E5" w14:textId="77777777" w:rsidR="00D41138" w:rsidRPr="002748AE" w:rsidRDefault="00D41138" w:rsidP="002748AE">
      <w:pPr>
        <w:ind w:left="851"/>
        <w:rPr>
          <w:sz w:val="24"/>
          <w:szCs w:val="24"/>
        </w:rPr>
      </w:pPr>
      <w:r w:rsidRPr="002748AE">
        <w:rPr>
          <w:sz w:val="24"/>
          <w:szCs w:val="24"/>
          <w:u w:val="single"/>
        </w:rPr>
        <w:t>Pædiatrisk population</w:t>
      </w:r>
      <w:r w:rsidRPr="002748AE">
        <w:rPr>
          <w:sz w:val="24"/>
          <w:szCs w:val="24"/>
        </w:rPr>
        <w:t xml:space="preserve"> </w:t>
      </w:r>
    </w:p>
    <w:p w14:paraId="49EA6B24" w14:textId="77777777" w:rsidR="00D41138" w:rsidRPr="002748AE" w:rsidRDefault="00D41138" w:rsidP="002748AE">
      <w:pPr>
        <w:ind w:left="851"/>
        <w:rPr>
          <w:sz w:val="24"/>
          <w:szCs w:val="24"/>
        </w:rPr>
      </w:pPr>
      <w:r w:rsidRPr="002748AE">
        <w:rPr>
          <w:sz w:val="24"/>
          <w:szCs w:val="24"/>
        </w:rPr>
        <w:t xml:space="preserve"> </w:t>
      </w:r>
    </w:p>
    <w:p w14:paraId="411D32D3" w14:textId="77777777" w:rsidR="00D41138" w:rsidRPr="002748AE" w:rsidRDefault="00D41138" w:rsidP="002748AE">
      <w:pPr>
        <w:ind w:left="851"/>
        <w:rPr>
          <w:sz w:val="24"/>
          <w:szCs w:val="24"/>
        </w:rPr>
      </w:pPr>
      <w:r w:rsidRPr="002748AE">
        <w:rPr>
          <w:i/>
          <w:sz w:val="24"/>
          <w:szCs w:val="24"/>
        </w:rPr>
        <w:t>Ivacaftor i et kombinationsregime med tezacaftor/ivacaftor</w:t>
      </w:r>
    </w:p>
    <w:p w14:paraId="18338DF7" w14:textId="77777777" w:rsidR="00D41138" w:rsidRPr="002748AE" w:rsidRDefault="00D41138" w:rsidP="002748AE">
      <w:pPr>
        <w:ind w:left="851"/>
        <w:rPr>
          <w:sz w:val="24"/>
          <w:szCs w:val="24"/>
        </w:rPr>
      </w:pPr>
      <w:r w:rsidRPr="002748AE">
        <w:rPr>
          <w:sz w:val="24"/>
          <w:szCs w:val="24"/>
        </w:rPr>
        <w:t xml:space="preserve">Virkning og sikkerhed hos patienter i alderen 6 til under 12 år (gennemsnitlig alder 8,6 år) blev vurderet i et 8-ugers, dobbeltblindet fase 3-studie (studie 661-115) med 67 patienter, som blev randomiseret i forholdet 4:1 til enten ivacaftor i et kombinationsregime med tezacaftor/ivacaftor eller en blindet gruppe. 42 patienter var homozygote for </w:t>
      </w:r>
      <w:r w:rsidRPr="002748AE">
        <w:rPr>
          <w:i/>
          <w:sz w:val="24"/>
          <w:szCs w:val="24"/>
        </w:rPr>
        <w:t>F508del</w:t>
      </w:r>
      <w:r w:rsidRPr="002748AE">
        <w:rPr>
          <w:sz w:val="24"/>
          <w:szCs w:val="24"/>
        </w:rPr>
        <w:t xml:space="preserve">-mutationen (F/F), og 12 var heterozygote for </w:t>
      </w:r>
      <w:r w:rsidRPr="002748AE">
        <w:rPr>
          <w:i/>
          <w:sz w:val="24"/>
          <w:szCs w:val="24"/>
        </w:rPr>
        <w:t>F508del-</w:t>
      </w:r>
      <w:r w:rsidRPr="002748AE">
        <w:rPr>
          <w:sz w:val="24"/>
          <w:szCs w:val="24"/>
        </w:rPr>
        <w:t>mutationen og en anden mutation forbundet med resterende CFTR-aktivitet (F/RF). Patienterne var egnede til at blive inkluderet i et åbent, 96-ugers studie (studie 661-116 del A). Se produktresumeet for tezacaftor/ivacaftor for yderligere data.</w:t>
      </w:r>
    </w:p>
    <w:p w14:paraId="0CD9F0E2" w14:textId="77777777" w:rsidR="00D41138" w:rsidRPr="002748AE" w:rsidRDefault="00D41138" w:rsidP="002748AE">
      <w:pPr>
        <w:ind w:left="851"/>
        <w:rPr>
          <w:sz w:val="24"/>
          <w:szCs w:val="24"/>
        </w:rPr>
      </w:pPr>
    </w:p>
    <w:p w14:paraId="1FFAD1C4" w14:textId="77777777" w:rsidR="00D41138" w:rsidRPr="002748AE" w:rsidRDefault="00D41138" w:rsidP="002748AE">
      <w:pPr>
        <w:ind w:left="851"/>
        <w:rPr>
          <w:sz w:val="24"/>
          <w:szCs w:val="24"/>
        </w:rPr>
      </w:pPr>
      <w:r w:rsidRPr="002748AE">
        <w:rPr>
          <w:i/>
          <w:sz w:val="24"/>
          <w:szCs w:val="24"/>
        </w:rPr>
        <w:t>Ivacaftor i et kombinationsregime med ivacaftor/tezacaftor/elexacaftor</w:t>
      </w:r>
    </w:p>
    <w:p w14:paraId="744E0080" w14:textId="4FFC18DF" w:rsidR="00D41138" w:rsidRPr="002748AE" w:rsidRDefault="00D41138" w:rsidP="002748AE">
      <w:pPr>
        <w:ind w:left="851"/>
        <w:rPr>
          <w:sz w:val="24"/>
          <w:szCs w:val="24"/>
        </w:rPr>
      </w:pPr>
      <w:r w:rsidRPr="002748AE">
        <w:rPr>
          <w:sz w:val="24"/>
          <w:szCs w:val="24"/>
        </w:rPr>
        <w:t xml:space="preserve">Farmakokinetik og sikkerhed hos patienter i alderen 6 år til under 12 år (n = 66) og i alderen 2 til under 6 år (n = 75) med mindst én </w:t>
      </w:r>
      <w:r w:rsidRPr="002748AE">
        <w:rPr>
          <w:i/>
          <w:sz w:val="24"/>
          <w:szCs w:val="24"/>
        </w:rPr>
        <w:t>F508del</w:t>
      </w:r>
      <w:r w:rsidRPr="002748AE">
        <w:rPr>
          <w:sz w:val="24"/>
          <w:szCs w:val="24"/>
        </w:rPr>
        <w:t xml:space="preserve">-mutation, er blevet vurderet i to 24-ugers åbne studier (studie 445-106 og studie 445-116). Se produktresuméet for ivacaftor/tezacaftor/elexacaftor for yderligere data. </w:t>
      </w:r>
    </w:p>
    <w:p w14:paraId="6F762675" w14:textId="77777777" w:rsidR="00D41138" w:rsidRPr="002748AE" w:rsidRDefault="00D41138" w:rsidP="002748AE">
      <w:pPr>
        <w:ind w:left="851"/>
        <w:rPr>
          <w:sz w:val="24"/>
          <w:szCs w:val="24"/>
        </w:rPr>
      </w:pPr>
      <w:r w:rsidRPr="002748AE">
        <w:rPr>
          <w:sz w:val="24"/>
          <w:szCs w:val="24"/>
        </w:rPr>
        <w:t xml:space="preserve"> </w:t>
      </w:r>
    </w:p>
    <w:p w14:paraId="22AE4F5E" w14:textId="77777777" w:rsidR="00D41138" w:rsidRPr="002748AE" w:rsidRDefault="00D41138" w:rsidP="002748AE">
      <w:pPr>
        <w:ind w:left="851"/>
        <w:rPr>
          <w:sz w:val="24"/>
          <w:szCs w:val="24"/>
        </w:rPr>
      </w:pPr>
      <w:r w:rsidRPr="002748AE">
        <w:rPr>
          <w:sz w:val="24"/>
          <w:szCs w:val="24"/>
        </w:rPr>
        <w:t>Det Europæiske Lægemiddelagentur har udsat forpligtelsen til at fremlægge resultaterne af studier med referencelægemidlet i en eller flere undergrupper af den pædiatriske population med cystisk fibrose (se pkt. 4.2 for oplysninger om pædiatrisk anvendelse).</w:t>
      </w:r>
    </w:p>
    <w:p w14:paraId="6099ED57" w14:textId="77777777" w:rsidR="009260DE" w:rsidRPr="002748AE" w:rsidRDefault="009260DE" w:rsidP="009260DE">
      <w:pPr>
        <w:tabs>
          <w:tab w:val="left" w:pos="851"/>
        </w:tabs>
        <w:ind w:left="851"/>
        <w:rPr>
          <w:sz w:val="24"/>
          <w:szCs w:val="24"/>
        </w:rPr>
      </w:pPr>
    </w:p>
    <w:p w14:paraId="0C330D02" w14:textId="77777777" w:rsidR="009260DE" w:rsidRPr="002748AE" w:rsidRDefault="009260DE" w:rsidP="009260DE">
      <w:pPr>
        <w:tabs>
          <w:tab w:val="left" w:pos="851"/>
        </w:tabs>
        <w:ind w:left="851" w:hanging="851"/>
        <w:rPr>
          <w:b/>
          <w:sz w:val="24"/>
          <w:szCs w:val="24"/>
        </w:rPr>
      </w:pPr>
      <w:r w:rsidRPr="002748AE">
        <w:rPr>
          <w:b/>
          <w:sz w:val="24"/>
          <w:szCs w:val="24"/>
        </w:rPr>
        <w:t>5.2</w:t>
      </w:r>
      <w:r w:rsidRPr="002748AE">
        <w:rPr>
          <w:b/>
          <w:sz w:val="24"/>
          <w:szCs w:val="24"/>
        </w:rPr>
        <w:tab/>
        <w:t>Farmakokinetiske egenskaber</w:t>
      </w:r>
    </w:p>
    <w:p w14:paraId="41D2337C" w14:textId="77777777" w:rsidR="00D41138" w:rsidRPr="002748AE" w:rsidRDefault="00D41138" w:rsidP="002748AE">
      <w:pPr>
        <w:ind w:left="851"/>
        <w:rPr>
          <w:sz w:val="24"/>
          <w:szCs w:val="24"/>
        </w:rPr>
      </w:pPr>
      <w:r w:rsidRPr="002748AE">
        <w:rPr>
          <w:sz w:val="24"/>
          <w:szCs w:val="24"/>
        </w:rPr>
        <w:t>Ivacaftors farmakokinetik er sammenlignelig for raske voksne frivillige og for patienter med CF. Efter oral administration af en enkelt 150 mg dosis til raske frivillige, som havde indtaget mad, var gennemsnittet (±SD) for AUC og C</w:t>
      </w:r>
      <w:r w:rsidRPr="002748AE">
        <w:rPr>
          <w:sz w:val="24"/>
          <w:szCs w:val="24"/>
          <w:vertAlign w:val="subscript"/>
        </w:rPr>
        <w:t>max</w:t>
      </w:r>
      <w:r w:rsidRPr="002748AE">
        <w:rPr>
          <w:sz w:val="24"/>
          <w:szCs w:val="24"/>
        </w:rPr>
        <w:t xml:space="preserve"> hhv. 10,60 (5,26) µg t/ml og 0,768 (0,233) µg/ml. Efter dosering hver 12. time blev </w:t>
      </w:r>
      <w:r w:rsidRPr="002748AE">
        <w:rPr>
          <w:i/>
          <w:sz w:val="24"/>
          <w:szCs w:val="24"/>
        </w:rPr>
        <w:t>steady-state</w:t>
      </w:r>
      <w:r w:rsidRPr="002748AE">
        <w:rPr>
          <w:sz w:val="24"/>
          <w:szCs w:val="24"/>
        </w:rPr>
        <w:t xml:space="preserve"> plasmakoncentrationer af ivacaftor opnået ved dag 3 til 5, med et akkumulationsforhold fra 2,2 til 2,9. </w:t>
      </w:r>
    </w:p>
    <w:p w14:paraId="380DEEFE" w14:textId="77777777" w:rsidR="00D41138" w:rsidRPr="002748AE" w:rsidRDefault="00D41138" w:rsidP="002748AE">
      <w:pPr>
        <w:ind w:left="851"/>
        <w:rPr>
          <w:sz w:val="24"/>
          <w:szCs w:val="24"/>
        </w:rPr>
      </w:pPr>
      <w:r w:rsidRPr="002748AE">
        <w:rPr>
          <w:sz w:val="24"/>
          <w:szCs w:val="24"/>
        </w:rPr>
        <w:t xml:space="preserve"> </w:t>
      </w:r>
    </w:p>
    <w:p w14:paraId="0996630A" w14:textId="77777777" w:rsidR="00D41138" w:rsidRPr="002748AE" w:rsidRDefault="00D41138" w:rsidP="002748AE">
      <w:pPr>
        <w:ind w:left="851"/>
        <w:rPr>
          <w:sz w:val="24"/>
          <w:szCs w:val="24"/>
        </w:rPr>
      </w:pPr>
      <w:r w:rsidRPr="002748AE">
        <w:rPr>
          <w:sz w:val="24"/>
          <w:szCs w:val="24"/>
          <w:u w:val="single"/>
        </w:rPr>
        <w:lastRenderedPageBreak/>
        <w:t>Absorption</w:t>
      </w:r>
      <w:r w:rsidRPr="002748AE">
        <w:rPr>
          <w:sz w:val="24"/>
          <w:szCs w:val="24"/>
        </w:rPr>
        <w:t xml:space="preserve"> </w:t>
      </w:r>
    </w:p>
    <w:p w14:paraId="69622529" w14:textId="77777777" w:rsidR="00D41138" w:rsidRPr="002748AE" w:rsidRDefault="00D41138" w:rsidP="002748AE">
      <w:pPr>
        <w:ind w:left="851"/>
        <w:rPr>
          <w:sz w:val="24"/>
          <w:szCs w:val="24"/>
        </w:rPr>
      </w:pPr>
      <w:r w:rsidRPr="002748AE">
        <w:rPr>
          <w:sz w:val="24"/>
          <w:szCs w:val="24"/>
        </w:rPr>
        <w:t xml:space="preserve"> </w:t>
      </w:r>
    </w:p>
    <w:p w14:paraId="75388E60" w14:textId="15530519" w:rsidR="00D41138" w:rsidRPr="002748AE" w:rsidRDefault="00D41138" w:rsidP="002748AE">
      <w:pPr>
        <w:ind w:left="851"/>
        <w:rPr>
          <w:sz w:val="24"/>
          <w:szCs w:val="24"/>
        </w:rPr>
      </w:pPr>
      <w:r w:rsidRPr="002748AE">
        <w:rPr>
          <w:sz w:val="24"/>
          <w:szCs w:val="24"/>
        </w:rPr>
        <w:t>Efter flere orale dosisadministrationer af ivacaftor øgedes eksponeringen for ivacaftor generelt med dosis fra 25 mg hver 12. time til 450 mg hver 12. time. Når det blev indtaget sammen med fedtholdig mad, øgedes eksponeringen for ivacaftor ca. 2,5 til 4 gange. Når det blev givet sammen med tezacaftor og elexacaftor, var stigningen i AUC tilsvarende (henholdsvis ca. 3 gange og 2,5 til 4 gange). Ivacaftor skal derfor, når det administreres som monoterapi eller i et kombinationsregime med tezacaftor/ivacaftor eller ivacaftor/tezacaftor/elexacaftor, administreres sammen med fedtholdig mad. Median (interval) t</w:t>
      </w:r>
      <w:r w:rsidRPr="002748AE">
        <w:rPr>
          <w:sz w:val="24"/>
          <w:szCs w:val="24"/>
          <w:vertAlign w:val="subscript"/>
        </w:rPr>
        <w:t>max</w:t>
      </w:r>
      <w:r w:rsidRPr="002748AE">
        <w:rPr>
          <w:sz w:val="24"/>
          <w:szCs w:val="24"/>
        </w:rPr>
        <w:t xml:space="preserve"> er ca. 4,0 (3,0; 6,0) timer efter madindtagelse. </w:t>
      </w:r>
    </w:p>
    <w:p w14:paraId="15BAFC14" w14:textId="77777777" w:rsidR="00D41138" w:rsidRPr="002748AE" w:rsidRDefault="00D41138" w:rsidP="002748AE">
      <w:pPr>
        <w:ind w:left="851"/>
        <w:rPr>
          <w:sz w:val="24"/>
          <w:szCs w:val="24"/>
        </w:rPr>
      </w:pPr>
      <w:r w:rsidRPr="002748AE">
        <w:rPr>
          <w:sz w:val="24"/>
          <w:szCs w:val="24"/>
        </w:rPr>
        <w:t xml:space="preserve"> </w:t>
      </w:r>
    </w:p>
    <w:p w14:paraId="416540D7" w14:textId="77777777" w:rsidR="00D41138" w:rsidRPr="002748AE" w:rsidRDefault="00D41138" w:rsidP="002748AE">
      <w:pPr>
        <w:ind w:left="851"/>
        <w:rPr>
          <w:sz w:val="24"/>
          <w:szCs w:val="24"/>
        </w:rPr>
      </w:pPr>
      <w:r w:rsidRPr="002748AE">
        <w:rPr>
          <w:sz w:val="24"/>
          <w:szCs w:val="24"/>
        </w:rPr>
        <w:t>Ivacaftor-granulat (2 × 75 mg breve) havde en biotilgængelighed, som svarede til 150 mg-tabletten, når det blev givet sammen med fedtholdig mad til raske, voksne personer. Det geometrisk mindste kvadraters gennemsnitsforhold (90 % CI) for granulat i forhold til tabletter var 0,951 (0,839; 1.08) for AUC</w:t>
      </w:r>
      <w:r w:rsidRPr="002748AE">
        <w:rPr>
          <w:sz w:val="24"/>
          <w:szCs w:val="24"/>
          <w:vertAlign w:val="subscript"/>
        </w:rPr>
        <w:t>0-∞</w:t>
      </w:r>
      <w:r w:rsidRPr="002748AE">
        <w:rPr>
          <w:sz w:val="24"/>
          <w:szCs w:val="24"/>
        </w:rPr>
        <w:t xml:space="preserve"> og 0,918 (0,750; 1,12) for C</w:t>
      </w:r>
      <w:r w:rsidRPr="002748AE">
        <w:rPr>
          <w:sz w:val="24"/>
          <w:szCs w:val="24"/>
          <w:vertAlign w:val="subscript"/>
        </w:rPr>
        <w:t>max</w:t>
      </w:r>
      <w:r w:rsidRPr="002748AE">
        <w:rPr>
          <w:sz w:val="24"/>
          <w:szCs w:val="24"/>
        </w:rPr>
        <w:t xml:space="preserve">. Virkningen af mad på absorptionen af ivacaftor er tilsvarende for begge formuleringer, dvs. tabletter og granulat. </w:t>
      </w:r>
    </w:p>
    <w:p w14:paraId="64754D12" w14:textId="77777777" w:rsidR="00D41138" w:rsidRPr="002748AE" w:rsidRDefault="00D41138" w:rsidP="002748AE">
      <w:pPr>
        <w:ind w:left="851"/>
        <w:rPr>
          <w:sz w:val="24"/>
          <w:szCs w:val="24"/>
        </w:rPr>
      </w:pPr>
      <w:r w:rsidRPr="002748AE">
        <w:rPr>
          <w:sz w:val="24"/>
          <w:szCs w:val="24"/>
        </w:rPr>
        <w:t xml:space="preserve"> </w:t>
      </w:r>
    </w:p>
    <w:p w14:paraId="031AAAFF" w14:textId="77777777" w:rsidR="00D41138" w:rsidRPr="002748AE" w:rsidRDefault="00D41138" w:rsidP="002748AE">
      <w:pPr>
        <w:ind w:left="851"/>
        <w:rPr>
          <w:sz w:val="24"/>
          <w:szCs w:val="24"/>
        </w:rPr>
      </w:pPr>
      <w:r w:rsidRPr="002748AE">
        <w:rPr>
          <w:sz w:val="24"/>
          <w:szCs w:val="24"/>
          <w:u w:val="single"/>
        </w:rPr>
        <w:t>Fordeling</w:t>
      </w:r>
      <w:r w:rsidRPr="002748AE">
        <w:rPr>
          <w:sz w:val="24"/>
          <w:szCs w:val="24"/>
        </w:rPr>
        <w:t xml:space="preserve"> </w:t>
      </w:r>
    </w:p>
    <w:p w14:paraId="311EAAFD" w14:textId="77777777" w:rsidR="00D41138" w:rsidRPr="002748AE" w:rsidRDefault="00D41138" w:rsidP="002748AE">
      <w:pPr>
        <w:ind w:left="851"/>
        <w:rPr>
          <w:sz w:val="24"/>
          <w:szCs w:val="24"/>
        </w:rPr>
      </w:pPr>
      <w:r w:rsidRPr="002748AE">
        <w:rPr>
          <w:sz w:val="24"/>
          <w:szCs w:val="24"/>
        </w:rPr>
        <w:t xml:space="preserve"> </w:t>
      </w:r>
    </w:p>
    <w:p w14:paraId="00928827" w14:textId="5131B3A1" w:rsidR="00D41138" w:rsidRPr="002748AE" w:rsidRDefault="00D41138" w:rsidP="002748AE">
      <w:pPr>
        <w:ind w:left="851"/>
        <w:rPr>
          <w:sz w:val="24"/>
          <w:szCs w:val="24"/>
        </w:rPr>
      </w:pPr>
      <w:r w:rsidRPr="002748AE">
        <w:rPr>
          <w:sz w:val="24"/>
          <w:szCs w:val="24"/>
        </w:rPr>
        <w:t xml:space="preserve">Ca. 99 % af ivacaftor er bundet til plasmaproteiner, primært til alfa-1-syre glycoprotein og albumin. Ivacaftor bindes ikke til røde blodlegemer hos mennesker. Efter en oral administration af ivacaftor 150 mg hver 12. time i 7 dage hos raske frivillige, som havde indtaget mad, var det gennemsnitlige (±SD) tilsyneladende fordelingsvolumen 353 liter (122). </w:t>
      </w:r>
    </w:p>
    <w:p w14:paraId="107DFB4A" w14:textId="77777777" w:rsidR="00D41138" w:rsidRPr="002748AE" w:rsidRDefault="00D41138" w:rsidP="002748AE">
      <w:pPr>
        <w:ind w:left="851"/>
        <w:rPr>
          <w:sz w:val="24"/>
          <w:szCs w:val="24"/>
        </w:rPr>
      </w:pPr>
      <w:r w:rsidRPr="002748AE">
        <w:rPr>
          <w:sz w:val="24"/>
          <w:szCs w:val="24"/>
        </w:rPr>
        <w:t xml:space="preserve"> </w:t>
      </w:r>
    </w:p>
    <w:p w14:paraId="4C1E056C" w14:textId="77777777" w:rsidR="00D41138" w:rsidRPr="002748AE" w:rsidRDefault="00D41138" w:rsidP="002748AE">
      <w:pPr>
        <w:ind w:left="851"/>
        <w:rPr>
          <w:sz w:val="24"/>
          <w:szCs w:val="24"/>
        </w:rPr>
      </w:pPr>
      <w:r w:rsidRPr="002748AE">
        <w:rPr>
          <w:sz w:val="24"/>
          <w:szCs w:val="24"/>
          <w:u w:val="single"/>
        </w:rPr>
        <w:t>Biotransformation</w:t>
      </w:r>
      <w:r w:rsidRPr="002748AE">
        <w:rPr>
          <w:sz w:val="24"/>
          <w:szCs w:val="24"/>
        </w:rPr>
        <w:t xml:space="preserve"> </w:t>
      </w:r>
    </w:p>
    <w:p w14:paraId="36C2E6C6" w14:textId="77777777" w:rsidR="00D41138" w:rsidRPr="002748AE" w:rsidRDefault="00D41138" w:rsidP="002748AE">
      <w:pPr>
        <w:ind w:left="851"/>
        <w:rPr>
          <w:sz w:val="24"/>
          <w:szCs w:val="24"/>
        </w:rPr>
      </w:pPr>
      <w:r w:rsidRPr="002748AE">
        <w:rPr>
          <w:sz w:val="24"/>
          <w:szCs w:val="24"/>
        </w:rPr>
        <w:t xml:space="preserve"> </w:t>
      </w:r>
    </w:p>
    <w:p w14:paraId="6E1C16B0" w14:textId="23918603" w:rsidR="00D41138" w:rsidRPr="002748AE" w:rsidRDefault="00D41138" w:rsidP="002748AE">
      <w:pPr>
        <w:ind w:left="851"/>
        <w:rPr>
          <w:sz w:val="24"/>
          <w:szCs w:val="24"/>
        </w:rPr>
      </w:pPr>
      <w:r w:rsidRPr="002748AE">
        <w:rPr>
          <w:sz w:val="24"/>
          <w:szCs w:val="24"/>
        </w:rPr>
        <w:t xml:space="preserve">Ivacaftor metaboliseres i udtalt grad hos mennesker. </w:t>
      </w:r>
      <w:r w:rsidRPr="002748AE">
        <w:rPr>
          <w:i/>
          <w:sz w:val="24"/>
          <w:szCs w:val="24"/>
        </w:rPr>
        <w:t>In vitro-</w:t>
      </w:r>
      <w:r w:rsidRPr="002748AE">
        <w:rPr>
          <w:sz w:val="24"/>
          <w:szCs w:val="24"/>
        </w:rPr>
        <w:t xml:space="preserve"> og </w:t>
      </w:r>
      <w:r w:rsidRPr="002748AE">
        <w:rPr>
          <w:i/>
          <w:sz w:val="24"/>
          <w:szCs w:val="24"/>
        </w:rPr>
        <w:t>in vivo</w:t>
      </w:r>
      <w:r w:rsidRPr="002748AE">
        <w:rPr>
          <w:sz w:val="24"/>
          <w:szCs w:val="24"/>
        </w:rPr>
        <w:t>-data indikerer, at ivacaftor primært metaboliseres af CYP3A. M1 og M6 er to af ivacaftors hovedmetabolitter hos mennesker. M1 har ca. en sjettedel af ivacaftors styrke og anses for at være farmakologisk aktivt. M6 har under 1/50 af ivacaftors styrke og anses ikke for at være farmakologisk aktivt.</w:t>
      </w:r>
      <w:r w:rsidRPr="002748AE">
        <w:rPr>
          <w:i/>
          <w:sz w:val="24"/>
          <w:szCs w:val="24"/>
        </w:rPr>
        <w:t xml:space="preserve"> </w:t>
      </w:r>
    </w:p>
    <w:p w14:paraId="469F5932" w14:textId="77777777" w:rsidR="00D41138" w:rsidRPr="002748AE" w:rsidRDefault="00D41138" w:rsidP="002748AE">
      <w:pPr>
        <w:ind w:left="851"/>
        <w:rPr>
          <w:sz w:val="24"/>
          <w:szCs w:val="24"/>
        </w:rPr>
      </w:pPr>
      <w:r w:rsidRPr="002748AE">
        <w:rPr>
          <w:sz w:val="24"/>
          <w:szCs w:val="24"/>
        </w:rPr>
        <w:t xml:space="preserve"> </w:t>
      </w:r>
    </w:p>
    <w:p w14:paraId="6A2DA55C" w14:textId="77777777" w:rsidR="00D41138" w:rsidRPr="002748AE" w:rsidRDefault="00D41138" w:rsidP="002748AE">
      <w:pPr>
        <w:ind w:left="851"/>
        <w:rPr>
          <w:sz w:val="24"/>
          <w:szCs w:val="24"/>
        </w:rPr>
      </w:pPr>
      <w:r w:rsidRPr="002748AE">
        <w:rPr>
          <w:sz w:val="24"/>
          <w:szCs w:val="24"/>
        </w:rPr>
        <w:t xml:space="preserve">Virkningen af den heterozygote CYP3A4*22-genotype på eksponeringen for ivacaftor, tezacaftor og elexacaftor svarer til virkningen af administration sammen med en svag CYP3A4-hæmmer, som ikke er klinisk relevant. Ingen dosisjustering af ivacaftor, tezacaftor eller elexacaftor vurderes nødvendig. </w:t>
      </w:r>
    </w:p>
    <w:p w14:paraId="742D9E39" w14:textId="77777777" w:rsidR="00D41138" w:rsidRPr="002748AE" w:rsidRDefault="00D41138" w:rsidP="002748AE">
      <w:pPr>
        <w:ind w:left="851"/>
        <w:rPr>
          <w:sz w:val="24"/>
          <w:szCs w:val="24"/>
        </w:rPr>
      </w:pPr>
      <w:r w:rsidRPr="002748AE">
        <w:rPr>
          <w:sz w:val="24"/>
          <w:szCs w:val="24"/>
        </w:rPr>
        <w:t xml:space="preserve">Virkningen hos patienter med den homozygote CYP3A4*22-genotype forventes at være kraftigere. Der foreligger imidlertid ingen data for sådanne patienter. </w:t>
      </w:r>
    </w:p>
    <w:p w14:paraId="151BEED0" w14:textId="77777777" w:rsidR="00D41138" w:rsidRPr="002748AE" w:rsidRDefault="00D41138" w:rsidP="002748AE">
      <w:pPr>
        <w:ind w:left="851"/>
        <w:rPr>
          <w:sz w:val="24"/>
          <w:szCs w:val="24"/>
        </w:rPr>
      </w:pPr>
      <w:r w:rsidRPr="002748AE">
        <w:rPr>
          <w:sz w:val="24"/>
          <w:szCs w:val="24"/>
        </w:rPr>
        <w:t xml:space="preserve"> </w:t>
      </w:r>
    </w:p>
    <w:p w14:paraId="6BA57003" w14:textId="77777777" w:rsidR="00D41138" w:rsidRPr="002748AE" w:rsidRDefault="00D41138" w:rsidP="002748AE">
      <w:pPr>
        <w:ind w:left="851"/>
        <w:rPr>
          <w:sz w:val="24"/>
          <w:szCs w:val="24"/>
        </w:rPr>
      </w:pPr>
      <w:r w:rsidRPr="002748AE">
        <w:rPr>
          <w:sz w:val="24"/>
          <w:szCs w:val="24"/>
          <w:u w:val="single"/>
        </w:rPr>
        <w:t>Elimination</w:t>
      </w:r>
      <w:r w:rsidRPr="002748AE">
        <w:rPr>
          <w:sz w:val="24"/>
          <w:szCs w:val="24"/>
        </w:rPr>
        <w:t xml:space="preserve"> </w:t>
      </w:r>
    </w:p>
    <w:p w14:paraId="44C703BF" w14:textId="77777777" w:rsidR="00D41138" w:rsidRPr="002748AE" w:rsidRDefault="00D41138" w:rsidP="002748AE">
      <w:pPr>
        <w:ind w:left="851"/>
        <w:rPr>
          <w:sz w:val="24"/>
          <w:szCs w:val="24"/>
        </w:rPr>
      </w:pPr>
      <w:r w:rsidRPr="002748AE">
        <w:rPr>
          <w:sz w:val="24"/>
          <w:szCs w:val="24"/>
        </w:rPr>
        <w:t xml:space="preserve"> </w:t>
      </w:r>
    </w:p>
    <w:p w14:paraId="21E79C84" w14:textId="20CEF22A" w:rsidR="00D41138" w:rsidRPr="002748AE" w:rsidRDefault="00D41138" w:rsidP="002748AE">
      <w:pPr>
        <w:ind w:left="851"/>
        <w:rPr>
          <w:sz w:val="24"/>
          <w:szCs w:val="24"/>
        </w:rPr>
      </w:pPr>
      <w:r w:rsidRPr="002748AE">
        <w:rPr>
          <w:sz w:val="24"/>
          <w:szCs w:val="24"/>
        </w:rPr>
        <w:t xml:space="preserve">Efter oral administration hos raske frivillige blev størstedelen af ivacaftor (87,8 %) elimineret i fæces efter metabolisk konvertering. Hovedmetabolitterne M1 og M6 udgjorde ca. 65 % af den totale eliminerede dosis, hvoraf 22 % var M1 og 43 % var M6. Der var en ubetydelig udskillelse af ivacaftor i urinen, som det uændrede udgangsstof. Den tilsyneladende terminale halveringstid var ca. 12 timer efter en enkeltdosis efter indtagelse af mad. Den tilsyneladende clearance (CL/F) for ivacaftor var sammenlignelig for raske personer og for patienter med CF. Gennemsnits-CL/F (±SD) for en enkelt 150 mg dosis var 17,3 (8,4) l/t hos raske personer. </w:t>
      </w:r>
    </w:p>
    <w:p w14:paraId="4D6C3D88" w14:textId="77777777" w:rsidR="00D41138" w:rsidRPr="002748AE" w:rsidRDefault="00D41138" w:rsidP="002748AE">
      <w:pPr>
        <w:ind w:left="851"/>
        <w:rPr>
          <w:sz w:val="24"/>
          <w:szCs w:val="24"/>
        </w:rPr>
      </w:pPr>
      <w:r w:rsidRPr="002748AE">
        <w:rPr>
          <w:sz w:val="24"/>
          <w:szCs w:val="24"/>
        </w:rPr>
        <w:lastRenderedPageBreak/>
        <w:t xml:space="preserve"> </w:t>
      </w:r>
    </w:p>
    <w:p w14:paraId="4C81727B" w14:textId="77777777" w:rsidR="00D41138" w:rsidRPr="002748AE" w:rsidRDefault="00D41138" w:rsidP="002748AE">
      <w:pPr>
        <w:ind w:left="851"/>
        <w:rPr>
          <w:sz w:val="24"/>
          <w:szCs w:val="24"/>
        </w:rPr>
      </w:pPr>
      <w:r w:rsidRPr="002748AE">
        <w:rPr>
          <w:sz w:val="24"/>
          <w:szCs w:val="24"/>
          <w:u w:val="single"/>
        </w:rPr>
        <w:t>Linearitet/non-linearitet</w:t>
      </w:r>
      <w:r w:rsidRPr="002748AE">
        <w:rPr>
          <w:sz w:val="24"/>
          <w:szCs w:val="24"/>
        </w:rPr>
        <w:t xml:space="preserve"> </w:t>
      </w:r>
    </w:p>
    <w:p w14:paraId="1D11BDFD" w14:textId="77777777" w:rsidR="00D41138" w:rsidRPr="002748AE" w:rsidRDefault="00D41138" w:rsidP="002748AE">
      <w:pPr>
        <w:ind w:left="851"/>
        <w:rPr>
          <w:sz w:val="24"/>
          <w:szCs w:val="24"/>
        </w:rPr>
      </w:pPr>
      <w:r w:rsidRPr="002748AE">
        <w:rPr>
          <w:sz w:val="24"/>
          <w:szCs w:val="24"/>
        </w:rPr>
        <w:t xml:space="preserve"> </w:t>
      </w:r>
    </w:p>
    <w:p w14:paraId="4CB25C90" w14:textId="0435E172" w:rsidR="00D41138" w:rsidRPr="002748AE" w:rsidRDefault="00D41138" w:rsidP="002748AE">
      <w:pPr>
        <w:ind w:left="851"/>
        <w:rPr>
          <w:sz w:val="24"/>
          <w:szCs w:val="24"/>
        </w:rPr>
      </w:pPr>
      <w:r w:rsidRPr="002748AE">
        <w:rPr>
          <w:sz w:val="24"/>
          <w:szCs w:val="24"/>
        </w:rPr>
        <w:t>Ivacaftors farmakokinetik er generelt lineær med hensyn til tid eller et dosisinterval fra 25</w:t>
      </w:r>
      <w:r w:rsidR="00655DA0">
        <w:rPr>
          <w:sz w:val="24"/>
          <w:szCs w:val="24"/>
        </w:rPr>
        <w:t> </w:t>
      </w:r>
      <w:r w:rsidRPr="002748AE">
        <w:rPr>
          <w:sz w:val="24"/>
          <w:szCs w:val="24"/>
        </w:rPr>
        <w:t xml:space="preserve">mg til 250 mg.  </w:t>
      </w:r>
    </w:p>
    <w:p w14:paraId="7195EF5B" w14:textId="77777777" w:rsidR="00D41138" w:rsidRPr="002748AE" w:rsidRDefault="00D41138" w:rsidP="002748AE">
      <w:pPr>
        <w:ind w:left="851"/>
        <w:rPr>
          <w:sz w:val="24"/>
          <w:szCs w:val="24"/>
        </w:rPr>
      </w:pPr>
      <w:r w:rsidRPr="002748AE">
        <w:rPr>
          <w:i/>
          <w:sz w:val="24"/>
          <w:szCs w:val="24"/>
        </w:rPr>
        <w:t xml:space="preserve"> </w:t>
      </w:r>
    </w:p>
    <w:p w14:paraId="200C573E" w14:textId="77777777" w:rsidR="00D41138" w:rsidRPr="002748AE" w:rsidRDefault="00D41138" w:rsidP="002748AE">
      <w:pPr>
        <w:ind w:left="851"/>
        <w:rPr>
          <w:sz w:val="24"/>
          <w:szCs w:val="24"/>
        </w:rPr>
      </w:pPr>
      <w:r w:rsidRPr="002748AE">
        <w:rPr>
          <w:sz w:val="24"/>
          <w:szCs w:val="24"/>
          <w:u w:val="single"/>
        </w:rPr>
        <w:t>Specielle populationer</w:t>
      </w:r>
      <w:r w:rsidRPr="002748AE">
        <w:rPr>
          <w:sz w:val="24"/>
          <w:szCs w:val="24"/>
        </w:rPr>
        <w:t xml:space="preserve"> </w:t>
      </w:r>
    </w:p>
    <w:p w14:paraId="147BAFA1" w14:textId="77777777" w:rsidR="00D41138" w:rsidRPr="002748AE" w:rsidRDefault="00D41138" w:rsidP="002748AE">
      <w:pPr>
        <w:ind w:left="851"/>
        <w:rPr>
          <w:sz w:val="24"/>
          <w:szCs w:val="24"/>
        </w:rPr>
      </w:pPr>
      <w:r w:rsidRPr="002748AE">
        <w:rPr>
          <w:sz w:val="24"/>
          <w:szCs w:val="24"/>
        </w:rPr>
        <w:t xml:space="preserve"> </w:t>
      </w:r>
    </w:p>
    <w:p w14:paraId="680D7F9D" w14:textId="77777777" w:rsidR="00D41138" w:rsidRPr="002748AE" w:rsidRDefault="00D41138" w:rsidP="002748AE">
      <w:pPr>
        <w:ind w:left="851"/>
        <w:rPr>
          <w:sz w:val="24"/>
          <w:szCs w:val="24"/>
        </w:rPr>
      </w:pPr>
      <w:r w:rsidRPr="002748AE">
        <w:rPr>
          <w:i/>
          <w:sz w:val="24"/>
          <w:szCs w:val="24"/>
        </w:rPr>
        <w:t>Nedsat leverfunktion</w:t>
      </w:r>
    </w:p>
    <w:p w14:paraId="4B25D5D6" w14:textId="56A7FBA7" w:rsidR="00D41138" w:rsidRPr="002748AE" w:rsidRDefault="00D41138" w:rsidP="002748AE">
      <w:pPr>
        <w:ind w:left="851"/>
        <w:rPr>
          <w:sz w:val="24"/>
          <w:szCs w:val="24"/>
        </w:rPr>
      </w:pPr>
      <w:r w:rsidRPr="002748AE">
        <w:rPr>
          <w:sz w:val="24"/>
          <w:szCs w:val="24"/>
        </w:rPr>
        <w:t>Efter en enkelt dosis af 150 mg ivacaftor havde voksne personer med moderat nedsat leverfunktion (Child-Pugh klasse B, score 7 til 9) en sammenlignelig ivacaftor C</w:t>
      </w:r>
      <w:r w:rsidRPr="002748AE">
        <w:rPr>
          <w:sz w:val="24"/>
          <w:szCs w:val="24"/>
          <w:vertAlign w:val="subscript"/>
        </w:rPr>
        <w:t xml:space="preserve">max </w:t>
      </w:r>
      <w:r w:rsidRPr="002748AE">
        <w:rPr>
          <w:sz w:val="24"/>
          <w:szCs w:val="24"/>
        </w:rPr>
        <w:t>(gennemsnit [± SD] af 0,735 [0,331] µg/ml) men en ca. 2 gange forhøjelse i ivacaftor AUC</w:t>
      </w:r>
      <w:r w:rsidRPr="002748AE">
        <w:rPr>
          <w:sz w:val="24"/>
          <w:szCs w:val="24"/>
          <w:vertAlign w:val="subscript"/>
        </w:rPr>
        <w:t xml:space="preserve">0-∞ </w:t>
      </w:r>
      <w:r w:rsidRPr="002748AE">
        <w:rPr>
          <w:sz w:val="24"/>
          <w:szCs w:val="24"/>
        </w:rPr>
        <w:t xml:space="preserve">(gennemsnit [± SD] af 16,80 [6,14] µg∙t/ml), sammenlignet med raske personer med matchende demografi. Simuleringer for forudsigelse af </w:t>
      </w:r>
      <w:r w:rsidRPr="002748AE">
        <w:rPr>
          <w:i/>
          <w:sz w:val="24"/>
          <w:szCs w:val="24"/>
        </w:rPr>
        <w:t>steady-state</w:t>
      </w:r>
      <w:r w:rsidRPr="002748AE">
        <w:rPr>
          <w:sz w:val="24"/>
          <w:szCs w:val="24"/>
        </w:rPr>
        <w:t xml:space="preserve">-eksponeringen af ivacaftor viste, at ved at reducere dosis fra 150 mg hver 12. time til 150 mg én gang dagligt, ville voksne personer med moderat nedsat leverfunktion have </w:t>
      </w:r>
      <w:r w:rsidRPr="002748AE">
        <w:rPr>
          <w:i/>
          <w:sz w:val="24"/>
          <w:szCs w:val="24"/>
        </w:rPr>
        <w:t>steady-state</w:t>
      </w:r>
      <w:r w:rsidRPr="002748AE">
        <w:rPr>
          <w:sz w:val="24"/>
          <w:szCs w:val="24"/>
        </w:rPr>
        <w:t xml:space="preserve"> C</w:t>
      </w:r>
      <w:r w:rsidRPr="002748AE">
        <w:rPr>
          <w:sz w:val="24"/>
          <w:szCs w:val="24"/>
          <w:vertAlign w:val="subscript"/>
        </w:rPr>
        <w:t>min</w:t>
      </w:r>
      <w:r w:rsidRPr="002748AE">
        <w:rPr>
          <w:sz w:val="24"/>
          <w:szCs w:val="24"/>
        </w:rPr>
        <w:t>-værdier, som var sammenlignelige med de værdier, der blev opnået med en dosis på 150</w:t>
      </w:r>
      <w:r w:rsidR="00655DA0">
        <w:rPr>
          <w:sz w:val="24"/>
          <w:szCs w:val="24"/>
        </w:rPr>
        <w:t> </w:t>
      </w:r>
      <w:r w:rsidRPr="002748AE">
        <w:rPr>
          <w:sz w:val="24"/>
          <w:szCs w:val="24"/>
        </w:rPr>
        <w:t xml:space="preserve">mg hver 12. time hos voksne uden nedsat leverfunktion. </w:t>
      </w:r>
    </w:p>
    <w:p w14:paraId="05894923" w14:textId="77777777" w:rsidR="00D41138" w:rsidRPr="002748AE" w:rsidRDefault="00D41138" w:rsidP="002748AE">
      <w:pPr>
        <w:ind w:left="851"/>
        <w:rPr>
          <w:sz w:val="24"/>
          <w:szCs w:val="24"/>
        </w:rPr>
      </w:pPr>
      <w:r w:rsidRPr="002748AE">
        <w:rPr>
          <w:sz w:val="24"/>
          <w:szCs w:val="24"/>
        </w:rPr>
        <w:t xml:space="preserve"> </w:t>
      </w:r>
    </w:p>
    <w:p w14:paraId="7EC787BF" w14:textId="77777777" w:rsidR="00D41138" w:rsidRPr="002748AE" w:rsidRDefault="00D41138" w:rsidP="002748AE">
      <w:pPr>
        <w:ind w:left="851"/>
        <w:rPr>
          <w:sz w:val="24"/>
          <w:szCs w:val="24"/>
        </w:rPr>
      </w:pPr>
      <w:r w:rsidRPr="002748AE">
        <w:rPr>
          <w:sz w:val="24"/>
          <w:szCs w:val="24"/>
        </w:rPr>
        <w:t xml:space="preserve">Hos personer med en moderat nedsat leverfunktion (Child-Pugh klasse B, score 7 til 9) steg AUC for ivacaftor med ca. 50 % efter flere doser i 10 dage af enten tezacaftor og ivacaftor eller af ivacaftor, tezacaftor og elexacaftor. </w:t>
      </w:r>
    </w:p>
    <w:p w14:paraId="47AFA7E4" w14:textId="77777777" w:rsidR="00D41138" w:rsidRPr="002748AE" w:rsidRDefault="00D41138" w:rsidP="002748AE">
      <w:pPr>
        <w:ind w:left="851"/>
        <w:rPr>
          <w:sz w:val="24"/>
          <w:szCs w:val="24"/>
        </w:rPr>
      </w:pPr>
      <w:r w:rsidRPr="002748AE">
        <w:rPr>
          <w:sz w:val="24"/>
          <w:szCs w:val="24"/>
        </w:rPr>
        <w:t xml:space="preserve"> </w:t>
      </w:r>
    </w:p>
    <w:p w14:paraId="38C8B942" w14:textId="77777777" w:rsidR="00D41138" w:rsidRPr="002748AE" w:rsidRDefault="00D41138" w:rsidP="002748AE">
      <w:pPr>
        <w:ind w:left="851"/>
        <w:rPr>
          <w:sz w:val="24"/>
          <w:szCs w:val="24"/>
        </w:rPr>
      </w:pPr>
      <w:r w:rsidRPr="002748AE">
        <w:rPr>
          <w:sz w:val="24"/>
          <w:szCs w:val="24"/>
        </w:rPr>
        <w:t xml:space="preserve">Påvirkningen af svært nedsat leverfunktion (Child Pugh klasse C, score 10 til 15) på farmakokinetikken for ivacaftor er ikke undersøgt. Størrelsesordenen af den øgede eksponering hos disse patienter er ukendt, men den forventes at være højere end den observerede størrelsesorden hos patienter med moderat nedsat leverfunktion. </w:t>
      </w:r>
    </w:p>
    <w:p w14:paraId="0777F43E" w14:textId="77777777" w:rsidR="00D41138" w:rsidRPr="002748AE" w:rsidRDefault="00D41138" w:rsidP="002748AE">
      <w:pPr>
        <w:ind w:left="851"/>
        <w:rPr>
          <w:sz w:val="24"/>
          <w:szCs w:val="24"/>
        </w:rPr>
      </w:pPr>
      <w:r w:rsidRPr="002748AE">
        <w:rPr>
          <w:sz w:val="24"/>
          <w:szCs w:val="24"/>
        </w:rPr>
        <w:t xml:space="preserve"> </w:t>
      </w:r>
    </w:p>
    <w:p w14:paraId="1FE1AB25" w14:textId="77777777" w:rsidR="00D41138" w:rsidRPr="002748AE" w:rsidRDefault="00D41138" w:rsidP="002748AE">
      <w:pPr>
        <w:ind w:left="851"/>
        <w:rPr>
          <w:sz w:val="24"/>
          <w:szCs w:val="24"/>
        </w:rPr>
      </w:pPr>
      <w:r w:rsidRPr="002748AE">
        <w:rPr>
          <w:sz w:val="24"/>
          <w:szCs w:val="24"/>
        </w:rPr>
        <w:t xml:space="preserve">For vejledning i passende anvendelse samt dosisændring henvises til tabel 3 i pkt. 4.2. </w:t>
      </w:r>
    </w:p>
    <w:p w14:paraId="2F6F5BE5" w14:textId="77777777" w:rsidR="00D41138" w:rsidRPr="002748AE" w:rsidRDefault="00D41138" w:rsidP="002748AE">
      <w:pPr>
        <w:ind w:left="851"/>
        <w:rPr>
          <w:sz w:val="24"/>
          <w:szCs w:val="24"/>
        </w:rPr>
      </w:pPr>
      <w:r w:rsidRPr="002748AE">
        <w:rPr>
          <w:sz w:val="24"/>
          <w:szCs w:val="24"/>
        </w:rPr>
        <w:t xml:space="preserve"> </w:t>
      </w:r>
    </w:p>
    <w:p w14:paraId="5E253589" w14:textId="77777777" w:rsidR="00D41138" w:rsidRPr="002748AE" w:rsidRDefault="00D41138" w:rsidP="002748AE">
      <w:pPr>
        <w:ind w:left="851"/>
        <w:rPr>
          <w:sz w:val="24"/>
          <w:szCs w:val="24"/>
        </w:rPr>
      </w:pPr>
      <w:r w:rsidRPr="002748AE">
        <w:rPr>
          <w:i/>
          <w:sz w:val="24"/>
          <w:szCs w:val="24"/>
        </w:rPr>
        <w:t>Nedsat nyrefunktion</w:t>
      </w:r>
    </w:p>
    <w:p w14:paraId="54839E56" w14:textId="77777777" w:rsidR="00D41138" w:rsidRPr="002748AE" w:rsidRDefault="00D41138" w:rsidP="002748AE">
      <w:pPr>
        <w:ind w:left="851"/>
        <w:rPr>
          <w:sz w:val="24"/>
          <w:szCs w:val="24"/>
        </w:rPr>
      </w:pPr>
      <w:r w:rsidRPr="002748AE">
        <w:rPr>
          <w:sz w:val="24"/>
          <w:szCs w:val="24"/>
        </w:rPr>
        <w:t xml:space="preserve">Der er ikke udført farmakokinetiske studier med ivacaftor hos patienter med nedsat nyrefunktion. I et farmakokinetisk studie hos mennesker med ivacaftor-monoterapi, var der minimal elimination af ivacaftor og metabolitter i urinen (kun 6,6 % af den totale radioaktivitet blev genfundet i urinen). Der var en ubetydelig udskillelse af ivacaftor i urinen som uændret udgangsstof (under 0,01 % efter en enkelt oral dosis med 500 mg). </w:t>
      </w:r>
    </w:p>
    <w:p w14:paraId="585E33B7" w14:textId="77777777" w:rsidR="00D41138" w:rsidRPr="002748AE" w:rsidRDefault="00D41138" w:rsidP="002748AE">
      <w:pPr>
        <w:ind w:left="851"/>
        <w:rPr>
          <w:sz w:val="24"/>
          <w:szCs w:val="24"/>
        </w:rPr>
      </w:pPr>
      <w:r w:rsidRPr="002748AE">
        <w:rPr>
          <w:sz w:val="24"/>
          <w:szCs w:val="24"/>
        </w:rPr>
        <w:t xml:space="preserve"> </w:t>
      </w:r>
    </w:p>
    <w:p w14:paraId="5DE8E006" w14:textId="2248774A" w:rsidR="00D41138" w:rsidRPr="002748AE" w:rsidRDefault="00D41138" w:rsidP="002748AE">
      <w:pPr>
        <w:ind w:left="851"/>
        <w:rPr>
          <w:sz w:val="24"/>
          <w:szCs w:val="24"/>
        </w:rPr>
      </w:pPr>
      <w:r w:rsidRPr="002748AE">
        <w:rPr>
          <w:sz w:val="24"/>
          <w:szCs w:val="24"/>
        </w:rPr>
        <w:t xml:space="preserve">Dosisjusteringer anbefales ikke for patienter med let til moderat nedsat nyrefunktion. Der rådes til forsigtighed, når ivacaftor administreres til patienter med svært nedsat nyrefunktion (kreatininclearance under eller lig med 30 ml/min), eller med nyresygdom i slutstadiet (se pkt. 4.2 og 4.4).  </w:t>
      </w:r>
    </w:p>
    <w:p w14:paraId="49E729E9" w14:textId="77777777" w:rsidR="00D41138" w:rsidRPr="002748AE" w:rsidRDefault="00D41138" w:rsidP="002748AE">
      <w:pPr>
        <w:ind w:left="851"/>
        <w:rPr>
          <w:sz w:val="24"/>
          <w:szCs w:val="24"/>
        </w:rPr>
      </w:pPr>
      <w:r w:rsidRPr="002748AE">
        <w:rPr>
          <w:sz w:val="24"/>
          <w:szCs w:val="24"/>
        </w:rPr>
        <w:t xml:space="preserve"> </w:t>
      </w:r>
    </w:p>
    <w:p w14:paraId="443FA06B" w14:textId="77777777" w:rsidR="00D41138" w:rsidRPr="002748AE" w:rsidRDefault="00D41138" w:rsidP="002748AE">
      <w:pPr>
        <w:ind w:left="851"/>
        <w:rPr>
          <w:sz w:val="24"/>
          <w:szCs w:val="24"/>
        </w:rPr>
      </w:pPr>
      <w:r w:rsidRPr="002748AE">
        <w:rPr>
          <w:i/>
          <w:sz w:val="24"/>
          <w:szCs w:val="24"/>
        </w:rPr>
        <w:t>Race</w:t>
      </w:r>
    </w:p>
    <w:p w14:paraId="57F9FB5E" w14:textId="77777777" w:rsidR="00D41138" w:rsidRPr="002748AE" w:rsidRDefault="00D41138" w:rsidP="002748AE">
      <w:pPr>
        <w:ind w:left="851"/>
        <w:rPr>
          <w:sz w:val="24"/>
          <w:szCs w:val="24"/>
        </w:rPr>
      </w:pPr>
      <w:r w:rsidRPr="002748AE">
        <w:rPr>
          <w:sz w:val="24"/>
          <w:szCs w:val="24"/>
        </w:rPr>
        <w:t xml:space="preserve">Racen havde ingen klinisk betydningsfuld virkning på farmakokinetikken af ivacaftor hos hvide (n=379) og ikke-hvide (n=29) patienter baseret på en populationsfarmakokinetisk analyse. </w:t>
      </w:r>
    </w:p>
    <w:p w14:paraId="2C2D1E77" w14:textId="14A694C3" w:rsidR="00D41138" w:rsidRPr="002748AE" w:rsidRDefault="00D41138" w:rsidP="002748AE">
      <w:pPr>
        <w:ind w:left="851"/>
        <w:rPr>
          <w:sz w:val="24"/>
          <w:szCs w:val="24"/>
        </w:rPr>
      </w:pPr>
    </w:p>
    <w:p w14:paraId="59F6827C" w14:textId="77777777" w:rsidR="00D41138" w:rsidRPr="002748AE" w:rsidRDefault="00D41138" w:rsidP="002748AE">
      <w:pPr>
        <w:ind w:left="851"/>
        <w:rPr>
          <w:sz w:val="24"/>
          <w:szCs w:val="24"/>
        </w:rPr>
      </w:pPr>
      <w:r w:rsidRPr="002748AE">
        <w:rPr>
          <w:i/>
          <w:sz w:val="24"/>
          <w:szCs w:val="24"/>
        </w:rPr>
        <w:t>Køn</w:t>
      </w:r>
    </w:p>
    <w:p w14:paraId="60F8C548" w14:textId="77777777" w:rsidR="00D41138" w:rsidRPr="002748AE" w:rsidRDefault="00D41138" w:rsidP="002748AE">
      <w:pPr>
        <w:ind w:left="851"/>
        <w:rPr>
          <w:sz w:val="24"/>
          <w:szCs w:val="24"/>
        </w:rPr>
      </w:pPr>
      <w:r w:rsidRPr="002748AE">
        <w:rPr>
          <w:sz w:val="24"/>
          <w:szCs w:val="24"/>
        </w:rPr>
        <w:t xml:space="preserve">De farmakokinetiske parametre for ivacaftor er sammenlignelige for mænd og kvinder. </w:t>
      </w:r>
    </w:p>
    <w:p w14:paraId="42B54D1F" w14:textId="25CA72C3" w:rsidR="00655DA0" w:rsidRDefault="00D41138" w:rsidP="002748AE">
      <w:pPr>
        <w:ind w:left="851"/>
        <w:rPr>
          <w:sz w:val="24"/>
          <w:szCs w:val="24"/>
        </w:rPr>
      </w:pPr>
      <w:r w:rsidRPr="002748AE">
        <w:rPr>
          <w:sz w:val="24"/>
          <w:szCs w:val="24"/>
        </w:rPr>
        <w:t xml:space="preserve"> </w:t>
      </w:r>
    </w:p>
    <w:p w14:paraId="62A16A3F" w14:textId="77777777" w:rsidR="00655DA0" w:rsidRDefault="00655DA0">
      <w:pPr>
        <w:rPr>
          <w:sz w:val="24"/>
          <w:szCs w:val="24"/>
        </w:rPr>
      </w:pPr>
      <w:r>
        <w:rPr>
          <w:sz w:val="24"/>
          <w:szCs w:val="24"/>
        </w:rPr>
        <w:br w:type="page"/>
      </w:r>
    </w:p>
    <w:p w14:paraId="6B473508" w14:textId="77777777" w:rsidR="00D41138" w:rsidRPr="002748AE" w:rsidRDefault="00D41138" w:rsidP="002748AE">
      <w:pPr>
        <w:ind w:left="851"/>
        <w:rPr>
          <w:sz w:val="24"/>
          <w:szCs w:val="24"/>
        </w:rPr>
      </w:pPr>
    </w:p>
    <w:p w14:paraId="405C82AA" w14:textId="77777777" w:rsidR="00D41138" w:rsidRPr="002748AE" w:rsidRDefault="00D41138" w:rsidP="002748AE">
      <w:pPr>
        <w:ind w:left="851"/>
        <w:rPr>
          <w:sz w:val="24"/>
          <w:szCs w:val="24"/>
        </w:rPr>
      </w:pPr>
      <w:r w:rsidRPr="002748AE">
        <w:rPr>
          <w:i/>
          <w:sz w:val="24"/>
          <w:szCs w:val="24"/>
        </w:rPr>
        <w:t>Ældre</w:t>
      </w:r>
    </w:p>
    <w:p w14:paraId="380D9CE2" w14:textId="77777777" w:rsidR="00D41138" w:rsidRPr="002748AE" w:rsidRDefault="00D41138" w:rsidP="002748AE">
      <w:pPr>
        <w:ind w:left="851"/>
        <w:rPr>
          <w:sz w:val="24"/>
          <w:szCs w:val="24"/>
        </w:rPr>
      </w:pPr>
      <w:r w:rsidRPr="002748AE">
        <w:rPr>
          <w:sz w:val="24"/>
          <w:szCs w:val="24"/>
        </w:rPr>
        <w:t xml:space="preserve">Kliniske studier af ivacaftor omfattede ikke et tilstrækkeligt antal patienter i alderen 65 år og ældre til at bestemme, om de farmakokinetiske parametre svarer til dem for yngre voksne.  </w:t>
      </w:r>
    </w:p>
    <w:p w14:paraId="7D485DDE" w14:textId="77777777" w:rsidR="00D41138" w:rsidRPr="002748AE" w:rsidRDefault="00D41138" w:rsidP="002748AE">
      <w:pPr>
        <w:ind w:left="851"/>
        <w:rPr>
          <w:sz w:val="24"/>
          <w:szCs w:val="24"/>
        </w:rPr>
      </w:pPr>
      <w:r w:rsidRPr="002748AE">
        <w:rPr>
          <w:sz w:val="24"/>
          <w:szCs w:val="24"/>
        </w:rPr>
        <w:t xml:space="preserve"> </w:t>
      </w:r>
    </w:p>
    <w:p w14:paraId="5C4610B2" w14:textId="5115176A" w:rsidR="00D41138" w:rsidRPr="002748AE" w:rsidRDefault="00D41138" w:rsidP="002748AE">
      <w:pPr>
        <w:ind w:left="851"/>
        <w:rPr>
          <w:sz w:val="24"/>
          <w:szCs w:val="24"/>
        </w:rPr>
      </w:pPr>
      <w:r w:rsidRPr="002748AE">
        <w:rPr>
          <w:sz w:val="24"/>
          <w:szCs w:val="24"/>
        </w:rPr>
        <w:t xml:space="preserve">De farmakokinetiske parametre for ivacaftor i kombination med tezacaftor hos de ældre patienter (65-72 år) er sammenlignelige med parametrene for yngre voksne. </w:t>
      </w:r>
    </w:p>
    <w:p w14:paraId="06FB7108" w14:textId="77777777" w:rsidR="00D41138" w:rsidRPr="002748AE" w:rsidRDefault="00D41138" w:rsidP="002748AE">
      <w:pPr>
        <w:ind w:left="851"/>
        <w:rPr>
          <w:sz w:val="24"/>
          <w:szCs w:val="24"/>
        </w:rPr>
      </w:pPr>
      <w:r w:rsidRPr="002748AE">
        <w:rPr>
          <w:i/>
          <w:sz w:val="24"/>
          <w:szCs w:val="24"/>
        </w:rPr>
        <w:t xml:space="preserve"> </w:t>
      </w:r>
    </w:p>
    <w:p w14:paraId="772BF6C0" w14:textId="77777777" w:rsidR="00D41138" w:rsidRPr="002748AE" w:rsidRDefault="00D41138" w:rsidP="002748AE">
      <w:pPr>
        <w:ind w:left="851"/>
        <w:rPr>
          <w:sz w:val="24"/>
          <w:szCs w:val="24"/>
        </w:rPr>
      </w:pPr>
      <w:r w:rsidRPr="002748AE">
        <w:rPr>
          <w:sz w:val="24"/>
          <w:szCs w:val="24"/>
          <w:u w:val="single"/>
        </w:rPr>
        <w:t>Pædiatrisk population</w:t>
      </w:r>
      <w:r w:rsidRPr="002748AE">
        <w:rPr>
          <w:sz w:val="24"/>
          <w:szCs w:val="24"/>
        </w:rPr>
        <w:t xml:space="preserve"> </w:t>
      </w:r>
    </w:p>
    <w:p w14:paraId="6CA62274" w14:textId="77777777" w:rsidR="00D41138" w:rsidRPr="002748AE" w:rsidRDefault="00D41138" w:rsidP="002748AE">
      <w:pPr>
        <w:ind w:left="851"/>
        <w:rPr>
          <w:sz w:val="24"/>
          <w:szCs w:val="24"/>
        </w:rPr>
      </w:pPr>
      <w:r w:rsidRPr="002748AE">
        <w:rPr>
          <w:sz w:val="24"/>
          <w:szCs w:val="24"/>
        </w:rPr>
        <w:t xml:space="preserve"> </w:t>
      </w:r>
    </w:p>
    <w:p w14:paraId="3C849BF9" w14:textId="77777777" w:rsidR="00D41138" w:rsidRPr="002748AE" w:rsidRDefault="00D41138" w:rsidP="002748AE">
      <w:pPr>
        <w:ind w:left="851"/>
        <w:rPr>
          <w:sz w:val="24"/>
          <w:szCs w:val="24"/>
        </w:rPr>
      </w:pPr>
      <w:r w:rsidRPr="002748AE">
        <w:rPr>
          <w:sz w:val="24"/>
          <w:szCs w:val="24"/>
        </w:rPr>
        <w:t xml:space="preserve">Den forventede ivacaftor-eksponering, der er baseret på observerede ivacaftor-koncentrationer i fase 2- og 3-studier, bestemt ved hjælp af kompartmental analyse er vist pr. aldersgruppe i tabel 10.  </w:t>
      </w:r>
    </w:p>
    <w:p w14:paraId="46608596" w14:textId="77777777" w:rsidR="00D41138" w:rsidRPr="002748AE" w:rsidRDefault="00D41138" w:rsidP="002748AE">
      <w:pPr>
        <w:ind w:left="851"/>
        <w:rPr>
          <w:sz w:val="24"/>
          <w:szCs w:val="24"/>
        </w:rPr>
      </w:pPr>
      <w:r w:rsidRPr="002748AE">
        <w:rPr>
          <w:sz w:val="24"/>
          <w:szCs w:val="24"/>
        </w:rPr>
        <w:t xml:space="preserve"> </w:t>
      </w:r>
    </w:p>
    <w:p w14:paraId="7FF19511" w14:textId="77777777" w:rsidR="00D41138" w:rsidRPr="002748AE" w:rsidRDefault="00D41138" w:rsidP="002748AE">
      <w:pPr>
        <w:ind w:left="851"/>
        <w:rPr>
          <w:sz w:val="24"/>
          <w:szCs w:val="24"/>
        </w:rPr>
      </w:pPr>
      <w:r w:rsidRPr="002748AE">
        <w:rPr>
          <w:b/>
          <w:sz w:val="24"/>
          <w:szCs w:val="24"/>
        </w:rPr>
        <w:t>Tabel 10: Gennemsnitlig (SD) ivacaftor-eksponering pr. aldersgruppe</w:t>
      </w:r>
    </w:p>
    <w:p w14:paraId="71F0BB9D" w14:textId="77777777" w:rsidR="00D41138" w:rsidRPr="002748AE" w:rsidRDefault="00D41138" w:rsidP="00D41138">
      <w:pPr>
        <w:pStyle w:val="Brdtekst"/>
        <w:suppressAutoHyphens/>
        <w:kinsoku w:val="0"/>
        <w:overflowPunct w:val="0"/>
        <w:ind w:left="0"/>
        <w:rPr>
          <w:b/>
          <w:color w:val="000000" w:themeColor="text1"/>
        </w:rPr>
      </w:pPr>
    </w:p>
    <w:tbl>
      <w:tblPr>
        <w:tblStyle w:val="TableGrid"/>
        <w:tblW w:w="5000" w:type="pct"/>
        <w:jc w:val="center"/>
        <w:tblInd w:w="0" w:type="dxa"/>
        <w:tblCellMar>
          <w:top w:w="55" w:type="dxa"/>
          <w:left w:w="108" w:type="dxa"/>
          <w:bottom w:w="5" w:type="dxa"/>
          <w:right w:w="115" w:type="dxa"/>
        </w:tblCellMar>
        <w:tblLook w:val="04A0" w:firstRow="1" w:lastRow="0" w:firstColumn="1" w:lastColumn="0" w:noHBand="0" w:noVBand="1"/>
      </w:tblPr>
      <w:tblGrid>
        <w:gridCol w:w="3403"/>
        <w:gridCol w:w="2967"/>
        <w:gridCol w:w="1629"/>
        <w:gridCol w:w="1629"/>
      </w:tblGrid>
      <w:tr w:rsidR="00D41138" w:rsidRPr="003906CC" w14:paraId="61085E36" w14:textId="77777777" w:rsidTr="002748AE">
        <w:trPr>
          <w:trHeight w:val="227"/>
          <w:jc w:val="center"/>
        </w:trPr>
        <w:tc>
          <w:tcPr>
            <w:tcW w:w="1767" w:type="pct"/>
            <w:tcBorders>
              <w:top w:val="single" w:sz="4" w:space="0" w:color="000000"/>
              <w:left w:val="single" w:sz="4" w:space="0" w:color="000000"/>
              <w:bottom w:val="single" w:sz="4" w:space="0" w:color="000000"/>
              <w:right w:val="single" w:sz="4" w:space="0" w:color="000000"/>
            </w:tcBorders>
            <w:tcMar>
              <w:top w:w="28" w:type="dxa"/>
              <w:left w:w="0" w:type="dxa"/>
              <w:bottom w:w="28" w:type="dxa"/>
              <w:right w:w="0" w:type="dxa"/>
            </w:tcMar>
            <w:vAlign w:val="center"/>
            <w:hideMark/>
          </w:tcPr>
          <w:p w14:paraId="3B5A5B6A" w14:textId="77777777" w:rsidR="00D41138" w:rsidRPr="00655DA0" w:rsidRDefault="00D41138" w:rsidP="002748AE">
            <w:pPr>
              <w:ind w:left="132" w:right="139"/>
              <w:jc w:val="center"/>
              <w:rPr>
                <w:rFonts w:ascii="Times New Roman" w:hAnsi="Times New Roman" w:cs="Times New Roman"/>
                <w:sz w:val="22"/>
                <w:szCs w:val="22"/>
                <w:lang w:eastAsia="ru-RU"/>
              </w:rPr>
            </w:pPr>
            <w:r w:rsidRPr="00655DA0">
              <w:rPr>
                <w:rFonts w:ascii="Times New Roman" w:hAnsi="Times New Roman" w:cs="Times New Roman"/>
                <w:b/>
                <w:sz w:val="22"/>
                <w:szCs w:val="22"/>
                <w:lang w:eastAsia="ru-RU"/>
              </w:rPr>
              <w:t xml:space="preserve">Aldersgruppe </w:t>
            </w:r>
          </w:p>
        </w:tc>
        <w:tc>
          <w:tcPr>
            <w:tcW w:w="1541" w:type="pct"/>
            <w:tcBorders>
              <w:top w:val="single" w:sz="4" w:space="0" w:color="000000"/>
              <w:left w:val="single" w:sz="4" w:space="0" w:color="000000"/>
              <w:bottom w:val="single" w:sz="4" w:space="0" w:color="000000"/>
              <w:right w:val="single" w:sz="4" w:space="0" w:color="000000"/>
            </w:tcBorders>
            <w:tcMar>
              <w:top w:w="28" w:type="dxa"/>
              <w:left w:w="0" w:type="dxa"/>
              <w:bottom w:w="28" w:type="dxa"/>
              <w:right w:w="0" w:type="dxa"/>
            </w:tcMar>
            <w:vAlign w:val="center"/>
            <w:hideMark/>
          </w:tcPr>
          <w:p w14:paraId="1471C235" w14:textId="77777777" w:rsidR="00D41138" w:rsidRPr="00655DA0" w:rsidRDefault="00D41138" w:rsidP="002748AE">
            <w:pPr>
              <w:ind w:left="132" w:right="139"/>
              <w:jc w:val="center"/>
              <w:rPr>
                <w:rFonts w:ascii="Times New Roman" w:hAnsi="Times New Roman" w:cs="Times New Roman"/>
                <w:sz w:val="22"/>
                <w:szCs w:val="22"/>
                <w:lang w:eastAsia="ru-RU"/>
              </w:rPr>
            </w:pPr>
            <w:r w:rsidRPr="00655DA0">
              <w:rPr>
                <w:rFonts w:ascii="Times New Roman" w:hAnsi="Times New Roman" w:cs="Times New Roman"/>
                <w:b/>
                <w:sz w:val="22"/>
                <w:szCs w:val="22"/>
                <w:lang w:eastAsia="ru-RU"/>
              </w:rPr>
              <w:t xml:space="preserve">Dosis </w:t>
            </w:r>
          </w:p>
        </w:tc>
        <w:tc>
          <w:tcPr>
            <w:tcW w:w="846" w:type="pct"/>
            <w:tcBorders>
              <w:top w:val="single" w:sz="4" w:space="0" w:color="000000"/>
              <w:left w:val="single" w:sz="4" w:space="0" w:color="000000"/>
              <w:bottom w:val="single" w:sz="4" w:space="0" w:color="000000"/>
              <w:right w:val="single" w:sz="4" w:space="0" w:color="000000"/>
            </w:tcBorders>
            <w:tcMar>
              <w:top w:w="28" w:type="dxa"/>
              <w:left w:w="0" w:type="dxa"/>
              <w:bottom w:w="28" w:type="dxa"/>
              <w:right w:w="0" w:type="dxa"/>
            </w:tcMar>
            <w:vAlign w:val="bottom"/>
            <w:hideMark/>
          </w:tcPr>
          <w:p w14:paraId="6B3436C8" w14:textId="77777777" w:rsidR="00D41138" w:rsidRPr="00655DA0" w:rsidRDefault="00D41138" w:rsidP="002748AE">
            <w:pPr>
              <w:ind w:left="132" w:right="139"/>
              <w:jc w:val="center"/>
              <w:rPr>
                <w:rFonts w:ascii="Times New Roman" w:hAnsi="Times New Roman" w:cs="Times New Roman"/>
                <w:sz w:val="22"/>
                <w:szCs w:val="22"/>
                <w:vertAlign w:val="subscript"/>
                <w:lang w:eastAsia="ru-RU"/>
              </w:rPr>
            </w:pPr>
            <w:r w:rsidRPr="00655DA0">
              <w:rPr>
                <w:rFonts w:ascii="Times New Roman" w:hAnsi="Times New Roman" w:cs="Times New Roman"/>
                <w:b/>
                <w:sz w:val="22"/>
                <w:szCs w:val="22"/>
                <w:lang w:eastAsia="ru-RU"/>
              </w:rPr>
              <w:t>C</w:t>
            </w:r>
            <w:r w:rsidRPr="00655DA0">
              <w:rPr>
                <w:rFonts w:ascii="Times New Roman" w:hAnsi="Times New Roman" w:cs="Times New Roman"/>
                <w:b/>
                <w:sz w:val="22"/>
                <w:szCs w:val="22"/>
                <w:vertAlign w:val="subscript"/>
                <w:lang w:eastAsia="ru-RU"/>
              </w:rPr>
              <w:t xml:space="preserve">min, ss </w:t>
            </w:r>
          </w:p>
          <w:p w14:paraId="4D267417" w14:textId="77777777" w:rsidR="00D41138" w:rsidRPr="00655DA0" w:rsidRDefault="00D41138" w:rsidP="002748AE">
            <w:pPr>
              <w:ind w:left="132" w:right="139"/>
              <w:jc w:val="center"/>
              <w:rPr>
                <w:rFonts w:ascii="Times New Roman" w:hAnsi="Times New Roman" w:cs="Times New Roman"/>
                <w:sz w:val="22"/>
                <w:szCs w:val="22"/>
                <w:lang w:eastAsia="ru-RU"/>
              </w:rPr>
            </w:pPr>
            <w:r w:rsidRPr="00655DA0">
              <w:rPr>
                <w:rFonts w:ascii="Times New Roman" w:hAnsi="Times New Roman" w:cs="Times New Roman"/>
                <w:b/>
                <w:sz w:val="22"/>
                <w:szCs w:val="22"/>
                <w:lang w:eastAsia="ru-RU"/>
              </w:rPr>
              <w:t xml:space="preserve">(µg/ml) </w:t>
            </w:r>
          </w:p>
        </w:tc>
        <w:tc>
          <w:tcPr>
            <w:tcW w:w="846" w:type="pct"/>
            <w:tcBorders>
              <w:top w:val="single" w:sz="4" w:space="0" w:color="000000"/>
              <w:left w:val="single" w:sz="4" w:space="0" w:color="000000"/>
              <w:bottom w:val="single" w:sz="4" w:space="0" w:color="000000"/>
              <w:right w:val="single" w:sz="4" w:space="0" w:color="000000"/>
            </w:tcBorders>
            <w:tcMar>
              <w:top w:w="28" w:type="dxa"/>
              <w:left w:w="0" w:type="dxa"/>
              <w:bottom w:w="28" w:type="dxa"/>
              <w:right w:w="0" w:type="dxa"/>
            </w:tcMar>
            <w:hideMark/>
          </w:tcPr>
          <w:p w14:paraId="574083AD" w14:textId="77777777" w:rsidR="00D41138" w:rsidRPr="00655DA0" w:rsidRDefault="00D41138" w:rsidP="002748AE">
            <w:pPr>
              <w:ind w:left="132" w:right="139"/>
              <w:jc w:val="center"/>
              <w:rPr>
                <w:rFonts w:ascii="Times New Roman" w:hAnsi="Times New Roman" w:cs="Times New Roman"/>
                <w:sz w:val="22"/>
                <w:szCs w:val="22"/>
                <w:lang w:val="en-US" w:eastAsia="ru-RU"/>
              </w:rPr>
            </w:pPr>
            <w:r w:rsidRPr="00655DA0">
              <w:rPr>
                <w:rFonts w:ascii="Times New Roman" w:hAnsi="Times New Roman" w:cs="Times New Roman"/>
                <w:b/>
                <w:sz w:val="22"/>
                <w:szCs w:val="22"/>
                <w:lang w:val="en-US" w:eastAsia="ru-RU"/>
              </w:rPr>
              <w:t>AUC</w:t>
            </w:r>
            <w:r w:rsidRPr="00655DA0">
              <w:rPr>
                <w:rFonts w:ascii="Times New Roman" w:hAnsi="Times New Roman" w:cs="Times New Roman"/>
                <w:b/>
                <w:sz w:val="22"/>
                <w:szCs w:val="22"/>
                <w:vertAlign w:val="subscript"/>
                <w:lang w:eastAsia="ru-RU"/>
              </w:rPr>
              <w:t>τ</w:t>
            </w:r>
            <w:r w:rsidRPr="00655DA0">
              <w:rPr>
                <w:rFonts w:ascii="Times New Roman" w:hAnsi="Times New Roman" w:cs="Times New Roman"/>
                <w:b/>
                <w:sz w:val="22"/>
                <w:szCs w:val="22"/>
                <w:vertAlign w:val="subscript"/>
                <w:lang w:val="en-US" w:eastAsia="ru-RU"/>
              </w:rPr>
              <w:t xml:space="preserve">0-12t, ss </w:t>
            </w:r>
            <w:r w:rsidRPr="00655DA0">
              <w:rPr>
                <w:rFonts w:ascii="Times New Roman" w:hAnsi="Times New Roman" w:cs="Times New Roman"/>
                <w:b/>
                <w:sz w:val="22"/>
                <w:szCs w:val="22"/>
                <w:lang w:val="en-US" w:eastAsia="ru-RU"/>
              </w:rPr>
              <w:t>(µg∙t/ml)</w:t>
            </w:r>
            <w:r w:rsidRPr="00655DA0">
              <w:rPr>
                <w:rFonts w:ascii="Times New Roman" w:hAnsi="Times New Roman" w:cs="Times New Roman"/>
                <w:b/>
                <w:sz w:val="22"/>
                <w:szCs w:val="22"/>
                <w:vertAlign w:val="subscript"/>
                <w:lang w:val="en-US" w:eastAsia="ru-RU"/>
              </w:rPr>
              <w:t xml:space="preserve"> </w:t>
            </w:r>
          </w:p>
        </w:tc>
      </w:tr>
      <w:tr w:rsidR="00D41138" w:rsidRPr="00655DA0" w14:paraId="7E5AE295" w14:textId="77777777" w:rsidTr="002748AE">
        <w:trPr>
          <w:trHeight w:val="227"/>
          <w:jc w:val="center"/>
        </w:trPr>
        <w:tc>
          <w:tcPr>
            <w:tcW w:w="1767" w:type="pct"/>
            <w:tcBorders>
              <w:top w:val="single" w:sz="4" w:space="0" w:color="000000"/>
              <w:left w:val="single" w:sz="4" w:space="0" w:color="000000"/>
              <w:bottom w:val="single" w:sz="4" w:space="0" w:color="000000"/>
              <w:right w:val="single" w:sz="4" w:space="0" w:color="000000"/>
            </w:tcBorders>
            <w:tcMar>
              <w:top w:w="28" w:type="dxa"/>
              <w:left w:w="0" w:type="dxa"/>
              <w:bottom w:w="28" w:type="dxa"/>
              <w:right w:w="0" w:type="dxa"/>
            </w:tcMar>
            <w:hideMark/>
          </w:tcPr>
          <w:p w14:paraId="191319B5" w14:textId="77777777" w:rsidR="00D41138" w:rsidRPr="00655DA0" w:rsidRDefault="00D41138" w:rsidP="002748AE">
            <w:pPr>
              <w:ind w:left="132" w:right="139"/>
              <w:rPr>
                <w:rFonts w:ascii="Times New Roman" w:hAnsi="Times New Roman" w:cs="Times New Roman"/>
                <w:sz w:val="22"/>
                <w:szCs w:val="22"/>
                <w:lang w:eastAsia="ru-RU"/>
              </w:rPr>
            </w:pPr>
            <w:r w:rsidRPr="00655DA0">
              <w:rPr>
                <w:rFonts w:ascii="Times New Roman" w:hAnsi="Times New Roman" w:cs="Times New Roman"/>
                <w:sz w:val="22"/>
                <w:szCs w:val="22"/>
                <w:lang w:eastAsia="ru-RU"/>
              </w:rPr>
              <w:t xml:space="preserve">1 måned til under 2 måneder </w:t>
            </w:r>
          </w:p>
          <w:p w14:paraId="0CCDF14D" w14:textId="77777777" w:rsidR="00D41138" w:rsidRPr="00655DA0" w:rsidRDefault="00D41138" w:rsidP="002748AE">
            <w:pPr>
              <w:ind w:left="132" w:right="139"/>
              <w:rPr>
                <w:rFonts w:ascii="Times New Roman" w:hAnsi="Times New Roman" w:cs="Times New Roman"/>
                <w:sz w:val="22"/>
                <w:szCs w:val="22"/>
                <w:lang w:eastAsia="ru-RU"/>
              </w:rPr>
            </w:pPr>
            <w:r w:rsidRPr="00655DA0">
              <w:rPr>
                <w:rFonts w:ascii="Times New Roman" w:hAnsi="Times New Roman" w:cs="Times New Roman"/>
                <w:sz w:val="22"/>
                <w:szCs w:val="22"/>
                <w:lang w:eastAsia="ru-RU"/>
              </w:rPr>
              <w:t>(≥ 3 kg)</w:t>
            </w:r>
            <w:r w:rsidRPr="00655DA0">
              <w:rPr>
                <w:rFonts w:ascii="Times New Roman" w:hAnsi="Times New Roman" w:cs="Times New Roman"/>
                <w:sz w:val="22"/>
                <w:szCs w:val="22"/>
                <w:vertAlign w:val="superscript"/>
                <w:lang w:eastAsia="ru-RU"/>
              </w:rPr>
              <w:t>*</w:t>
            </w:r>
            <w:r w:rsidRPr="00655DA0">
              <w:rPr>
                <w:rFonts w:ascii="Times New Roman" w:hAnsi="Times New Roman" w:cs="Times New Roman"/>
                <w:sz w:val="22"/>
                <w:szCs w:val="22"/>
                <w:lang w:eastAsia="ru-RU"/>
              </w:rPr>
              <w:t xml:space="preserve"> </w:t>
            </w:r>
          </w:p>
        </w:tc>
        <w:tc>
          <w:tcPr>
            <w:tcW w:w="1541" w:type="pct"/>
            <w:tcBorders>
              <w:top w:val="single" w:sz="4" w:space="0" w:color="000000"/>
              <w:left w:val="single" w:sz="4" w:space="0" w:color="000000"/>
              <w:bottom w:val="single" w:sz="4" w:space="0" w:color="000000"/>
              <w:right w:val="single" w:sz="4" w:space="0" w:color="000000"/>
            </w:tcBorders>
            <w:tcMar>
              <w:top w:w="28" w:type="dxa"/>
              <w:left w:w="0" w:type="dxa"/>
              <w:bottom w:w="28" w:type="dxa"/>
              <w:right w:w="0" w:type="dxa"/>
            </w:tcMar>
            <w:hideMark/>
          </w:tcPr>
          <w:p w14:paraId="53AEC175" w14:textId="77777777" w:rsidR="00D41138" w:rsidRPr="00655DA0" w:rsidRDefault="00D41138" w:rsidP="002748AE">
            <w:pPr>
              <w:ind w:left="132" w:right="139"/>
              <w:jc w:val="center"/>
              <w:rPr>
                <w:rFonts w:ascii="Times New Roman" w:hAnsi="Times New Roman" w:cs="Times New Roman"/>
                <w:sz w:val="22"/>
                <w:szCs w:val="22"/>
                <w:lang w:eastAsia="ru-RU"/>
              </w:rPr>
            </w:pPr>
            <w:r w:rsidRPr="00655DA0">
              <w:rPr>
                <w:rFonts w:ascii="Times New Roman" w:hAnsi="Times New Roman" w:cs="Times New Roman"/>
                <w:sz w:val="22"/>
                <w:szCs w:val="22"/>
                <w:lang w:eastAsia="ru-RU"/>
              </w:rPr>
              <w:t xml:space="preserve">13,4 mg hver 24. time </w:t>
            </w:r>
          </w:p>
        </w:tc>
        <w:tc>
          <w:tcPr>
            <w:tcW w:w="846" w:type="pct"/>
            <w:tcBorders>
              <w:top w:val="single" w:sz="4" w:space="0" w:color="000000"/>
              <w:left w:val="single" w:sz="4" w:space="0" w:color="000000"/>
              <w:bottom w:val="single" w:sz="4" w:space="0" w:color="000000"/>
              <w:right w:val="single" w:sz="4" w:space="0" w:color="000000"/>
            </w:tcBorders>
            <w:tcMar>
              <w:top w:w="28" w:type="dxa"/>
              <w:left w:w="0" w:type="dxa"/>
              <w:bottom w:w="28" w:type="dxa"/>
              <w:right w:w="0" w:type="dxa"/>
            </w:tcMar>
            <w:hideMark/>
          </w:tcPr>
          <w:p w14:paraId="72407EF7" w14:textId="77777777" w:rsidR="00D41138" w:rsidRPr="00655DA0" w:rsidRDefault="00D41138" w:rsidP="002748AE">
            <w:pPr>
              <w:ind w:left="132" w:right="139"/>
              <w:jc w:val="center"/>
              <w:rPr>
                <w:rFonts w:ascii="Times New Roman" w:hAnsi="Times New Roman" w:cs="Times New Roman"/>
                <w:sz w:val="22"/>
                <w:szCs w:val="22"/>
                <w:lang w:eastAsia="ru-RU"/>
              </w:rPr>
            </w:pPr>
            <w:r w:rsidRPr="00655DA0">
              <w:rPr>
                <w:rFonts w:ascii="Times New Roman" w:hAnsi="Times New Roman" w:cs="Times New Roman"/>
                <w:sz w:val="22"/>
                <w:szCs w:val="22"/>
                <w:lang w:eastAsia="ru-RU"/>
              </w:rPr>
              <w:t xml:space="preserve">0,300 </w:t>
            </w:r>
          </w:p>
          <w:p w14:paraId="2F53C54A" w14:textId="77777777" w:rsidR="00D41138" w:rsidRPr="00655DA0" w:rsidRDefault="00D41138" w:rsidP="002748AE">
            <w:pPr>
              <w:ind w:left="132" w:right="139"/>
              <w:jc w:val="center"/>
              <w:rPr>
                <w:rFonts w:ascii="Times New Roman" w:hAnsi="Times New Roman" w:cs="Times New Roman"/>
                <w:sz w:val="22"/>
                <w:szCs w:val="22"/>
                <w:lang w:eastAsia="ru-RU"/>
              </w:rPr>
            </w:pPr>
            <w:r w:rsidRPr="00655DA0">
              <w:rPr>
                <w:rFonts w:ascii="Times New Roman" w:hAnsi="Times New Roman" w:cs="Times New Roman"/>
                <w:sz w:val="22"/>
                <w:szCs w:val="22"/>
                <w:lang w:eastAsia="ru-RU"/>
              </w:rPr>
              <w:t>(0,221)</w:t>
            </w:r>
            <w:r w:rsidRPr="00655DA0">
              <w:rPr>
                <w:rFonts w:ascii="Times New Roman" w:hAnsi="Times New Roman" w:cs="Times New Roman"/>
                <w:sz w:val="22"/>
                <w:szCs w:val="22"/>
                <w:vertAlign w:val="superscript"/>
                <w:lang w:eastAsia="ru-RU"/>
              </w:rPr>
              <w:t>†</w:t>
            </w:r>
            <w:r w:rsidRPr="00655DA0">
              <w:rPr>
                <w:rFonts w:ascii="Times New Roman" w:hAnsi="Times New Roman" w:cs="Times New Roman"/>
                <w:sz w:val="22"/>
                <w:szCs w:val="22"/>
                <w:lang w:eastAsia="ru-RU"/>
              </w:rPr>
              <w:t xml:space="preserve"> </w:t>
            </w:r>
          </w:p>
        </w:tc>
        <w:tc>
          <w:tcPr>
            <w:tcW w:w="846" w:type="pct"/>
            <w:tcBorders>
              <w:top w:val="single" w:sz="4" w:space="0" w:color="000000"/>
              <w:left w:val="single" w:sz="4" w:space="0" w:color="000000"/>
              <w:bottom w:val="single" w:sz="4" w:space="0" w:color="000000"/>
              <w:right w:val="single" w:sz="4" w:space="0" w:color="000000"/>
            </w:tcBorders>
            <w:tcMar>
              <w:top w:w="28" w:type="dxa"/>
              <w:left w:w="0" w:type="dxa"/>
              <w:bottom w:w="28" w:type="dxa"/>
              <w:right w:w="0" w:type="dxa"/>
            </w:tcMar>
            <w:hideMark/>
          </w:tcPr>
          <w:p w14:paraId="3BC46F97" w14:textId="77777777" w:rsidR="00D41138" w:rsidRPr="00655DA0" w:rsidRDefault="00D41138" w:rsidP="002748AE">
            <w:pPr>
              <w:ind w:left="132" w:right="139"/>
              <w:jc w:val="center"/>
              <w:rPr>
                <w:rFonts w:ascii="Times New Roman" w:hAnsi="Times New Roman" w:cs="Times New Roman"/>
                <w:sz w:val="22"/>
                <w:szCs w:val="22"/>
                <w:lang w:eastAsia="ru-RU"/>
              </w:rPr>
            </w:pPr>
            <w:r w:rsidRPr="00655DA0">
              <w:rPr>
                <w:rFonts w:ascii="Times New Roman" w:hAnsi="Times New Roman" w:cs="Times New Roman"/>
                <w:sz w:val="22"/>
                <w:szCs w:val="22"/>
                <w:lang w:eastAsia="ru-RU"/>
              </w:rPr>
              <w:t xml:space="preserve">5,84 </w:t>
            </w:r>
          </w:p>
          <w:p w14:paraId="79F9C72C" w14:textId="77777777" w:rsidR="00D41138" w:rsidRPr="00655DA0" w:rsidRDefault="00D41138" w:rsidP="002748AE">
            <w:pPr>
              <w:ind w:left="132" w:right="139"/>
              <w:jc w:val="center"/>
              <w:rPr>
                <w:rFonts w:ascii="Times New Roman" w:hAnsi="Times New Roman" w:cs="Times New Roman"/>
                <w:sz w:val="22"/>
                <w:szCs w:val="22"/>
                <w:lang w:eastAsia="ru-RU"/>
              </w:rPr>
            </w:pPr>
            <w:r w:rsidRPr="00655DA0">
              <w:rPr>
                <w:rFonts w:ascii="Times New Roman" w:hAnsi="Times New Roman" w:cs="Times New Roman"/>
                <w:sz w:val="22"/>
                <w:szCs w:val="22"/>
                <w:lang w:eastAsia="ru-RU"/>
              </w:rPr>
              <w:t>(2,98)</w:t>
            </w:r>
            <w:r w:rsidRPr="00655DA0">
              <w:rPr>
                <w:rFonts w:ascii="Times New Roman" w:hAnsi="Times New Roman" w:cs="Times New Roman"/>
                <w:sz w:val="22"/>
                <w:szCs w:val="22"/>
                <w:vertAlign w:val="superscript"/>
                <w:lang w:eastAsia="ru-RU"/>
              </w:rPr>
              <w:t>†</w:t>
            </w:r>
            <w:r w:rsidRPr="00655DA0">
              <w:rPr>
                <w:rFonts w:ascii="Times New Roman" w:hAnsi="Times New Roman" w:cs="Times New Roman"/>
                <w:sz w:val="22"/>
                <w:szCs w:val="22"/>
                <w:lang w:eastAsia="ru-RU"/>
              </w:rPr>
              <w:t xml:space="preserve"> </w:t>
            </w:r>
          </w:p>
        </w:tc>
      </w:tr>
      <w:tr w:rsidR="00D41138" w:rsidRPr="00655DA0" w14:paraId="2C37A737" w14:textId="77777777" w:rsidTr="002748AE">
        <w:trPr>
          <w:trHeight w:val="227"/>
          <w:jc w:val="center"/>
        </w:trPr>
        <w:tc>
          <w:tcPr>
            <w:tcW w:w="1767" w:type="pct"/>
            <w:tcBorders>
              <w:top w:val="single" w:sz="4" w:space="0" w:color="000000"/>
              <w:left w:val="single" w:sz="4" w:space="0" w:color="000000"/>
              <w:bottom w:val="single" w:sz="4" w:space="0" w:color="000000"/>
              <w:right w:val="single" w:sz="4" w:space="0" w:color="000000"/>
            </w:tcBorders>
            <w:tcMar>
              <w:top w:w="28" w:type="dxa"/>
              <w:left w:w="0" w:type="dxa"/>
              <w:bottom w:w="28" w:type="dxa"/>
              <w:right w:w="0" w:type="dxa"/>
            </w:tcMar>
            <w:hideMark/>
          </w:tcPr>
          <w:p w14:paraId="7FB37B37" w14:textId="77777777" w:rsidR="00D41138" w:rsidRPr="00655DA0" w:rsidRDefault="00D41138" w:rsidP="002748AE">
            <w:pPr>
              <w:ind w:left="132" w:right="139"/>
              <w:rPr>
                <w:rFonts w:ascii="Times New Roman" w:hAnsi="Times New Roman" w:cs="Times New Roman"/>
                <w:sz w:val="22"/>
                <w:szCs w:val="22"/>
                <w:lang w:eastAsia="ru-RU"/>
              </w:rPr>
            </w:pPr>
            <w:r w:rsidRPr="00655DA0">
              <w:rPr>
                <w:rFonts w:ascii="Times New Roman" w:hAnsi="Times New Roman" w:cs="Times New Roman"/>
                <w:sz w:val="22"/>
                <w:szCs w:val="22"/>
                <w:lang w:eastAsia="ru-RU"/>
              </w:rPr>
              <w:t xml:space="preserve">2 måneder til under 4 måneder </w:t>
            </w:r>
          </w:p>
          <w:p w14:paraId="238AEE62" w14:textId="77777777" w:rsidR="00D41138" w:rsidRPr="00655DA0" w:rsidRDefault="00D41138" w:rsidP="002748AE">
            <w:pPr>
              <w:ind w:left="132" w:right="139"/>
              <w:rPr>
                <w:rFonts w:ascii="Times New Roman" w:hAnsi="Times New Roman" w:cs="Times New Roman"/>
                <w:sz w:val="22"/>
                <w:szCs w:val="22"/>
                <w:lang w:eastAsia="ru-RU"/>
              </w:rPr>
            </w:pPr>
            <w:r w:rsidRPr="00655DA0">
              <w:rPr>
                <w:rFonts w:ascii="Times New Roman" w:hAnsi="Times New Roman" w:cs="Times New Roman"/>
                <w:sz w:val="22"/>
                <w:szCs w:val="22"/>
                <w:lang w:eastAsia="ru-RU"/>
              </w:rPr>
              <w:t>(≥ 3 kg)</w:t>
            </w:r>
            <w:r w:rsidRPr="00655DA0">
              <w:rPr>
                <w:rFonts w:ascii="Times New Roman" w:hAnsi="Times New Roman" w:cs="Times New Roman"/>
                <w:sz w:val="22"/>
                <w:szCs w:val="22"/>
                <w:vertAlign w:val="superscript"/>
                <w:lang w:eastAsia="ru-RU"/>
              </w:rPr>
              <w:t>*</w:t>
            </w:r>
            <w:r w:rsidRPr="00655DA0">
              <w:rPr>
                <w:rFonts w:ascii="Times New Roman" w:hAnsi="Times New Roman" w:cs="Times New Roman"/>
                <w:sz w:val="22"/>
                <w:szCs w:val="22"/>
                <w:lang w:eastAsia="ru-RU"/>
              </w:rPr>
              <w:t xml:space="preserve"> </w:t>
            </w:r>
          </w:p>
        </w:tc>
        <w:tc>
          <w:tcPr>
            <w:tcW w:w="1541" w:type="pct"/>
            <w:tcBorders>
              <w:top w:val="single" w:sz="4" w:space="0" w:color="000000"/>
              <w:left w:val="single" w:sz="4" w:space="0" w:color="000000"/>
              <w:bottom w:val="single" w:sz="4" w:space="0" w:color="000000"/>
              <w:right w:val="single" w:sz="4" w:space="0" w:color="000000"/>
            </w:tcBorders>
            <w:tcMar>
              <w:top w:w="28" w:type="dxa"/>
              <w:left w:w="0" w:type="dxa"/>
              <w:bottom w:w="28" w:type="dxa"/>
              <w:right w:w="0" w:type="dxa"/>
            </w:tcMar>
            <w:hideMark/>
          </w:tcPr>
          <w:p w14:paraId="23E7F3C1" w14:textId="77777777" w:rsidR="00D41138" w:rsidRPr="00655DA0" w:rsidRDefault="00D41138" w:rsidP="002748AE">
            <w:pPr>
              <w:ind w:left="132" w:right="139"/>
              <w:jc w:val="center"/>
              <w:rPr>
                <w:rFonts w:ascii="Times New Roman" w:hAnsi="Times New Roman" w:cs="Times New Roman"/>
                <w:sz w:val="22"/>
                <w:szCs w:val="22"/>
                <w:lang w:eastAsia="ru-RU"/>
              </w:rPr>
            </w:pPr>
            <w:r w:rsidRPr="00655DA0">
              <w:rPr>
                <w:rFonts w:ascii="Times New Roman" w:hAnsi="Times New Roman" w:cs="Times New Roman"/>
                <w:sz w:val="22"/>
                <w:szCs w:val="22"/>
                <w:lang w:eastAsia="ru-RU"/>
              </w:rPr>
              <w:t xml:space="preserve">13,4 mg hver 12. time </w:t>
            </w:r>
          </w:p>
        </w:tc>
        <w:tc>
          <w:tcPr>
            <w:tcW w:w="846" w:type="pct"/>
            <w:tcBorders>
              <w:top w:val="single" w:sz="4" w:space="0" w:color="000000"/>
              <w:left w:val="single" w:sz="4" w:space="0" w:color="000000"/>
              <w:bottom w:val="single" w:sz="4" w:space="0" w:color="000000"/>
              <w:right w:val="single" w:sz="4" w:space="0" w:color="000000"/>
            </w:tcBorders>
            <w:tcMar>
              <w:top w:w="28" w:type="dxa"/>
              <w:left w:w="0" w:type="dxa"/>
              <w:bottom w:w="28" w:type="dxa"/>
              <w:right w:w="0" w:type="dxa"/>
            </w:tcMar>
            <w:hideMark/>
          </w:tcPr>
          <w:p w14:paraId="147EF7E7" w14:textId="77777777" w:rsidR="00D41138" w:rsidRPr="00655DA0" w:rsidRDefault="00D41138" w:rsidP="002748AE">
            <w:pPr>
              <w:ind w:left="132" w:right="139"/>
              <w:jc w:val="center"/>
              <w:rPr>
                <w:rFonts w:ascii="Times New Roman" w:hAnsi="Times New Roman" w:cs="Times New Roman"/>
                <w:sz w:val="22"/>
                <w:szCs w:val="22"/>
                <w:lang w:eastAsia="ru-RU"/>
              </w:rPr>
            </w:pPr>
            <w:r w:rsidRPr="00655DA0">
              <w:rPr>
                <w:rFonts w:ascii="Times New Roman" w:hAnsi="Times New Roman" w:cs="Times New Roman"/>
                <w:sz w:val="22"/>
                <w:szCs w:val="22"/>
                <w:lang w:eastAsia="ru-RU"/>
              </w:rPr>
              <w:t xml:space="preserve">0,406 </w:t>
            </w:r>
          </w:p>
          <w:p w14:paraId="65F902A7" w14:textId="77777777" w:rsidR="00D41138" w:rsidRPr="00655DA0" w:rsidRDefault="00D41138" w:rsidP="002748AE">
            <w:pPr>
              <w:ind w:left="132" w:right="139"/>
              <w:jc w:val="center"/>
              <w:rPr>
                <w:rFonts w:ascii="Times New Roman" w:hAnsi="Times New Roman" w:cs="Times New Roman"/>
                <w:sz w:val="22"/>
                <w:szCs w:val="22"/>
                <w:lang w:eastAsia="ru-RU"/>
              </w:rPr>
            </w:pPr>
            <w:r w:rsidRPr="00655DA0">
              <w:rPr>
                <w:rFonts w:ascii="Times New Roman" w:hAnsi="Times New Roman" w:cs="Times New Roman"/>
                <w:sz w:val="22"/>
                <w:szCs w:val="22"/>
                <w:lang w:eastAsia="ru-RU"/>
              </w:rPr>
              <w:t>(0,266)</w:t>
            </w:r>
            <w:r w:rsidRPr="00655DA0">
              <w:rPr>
                <w:rFonts w:ascii="Times New Roman" w:hAnsi="Times New Roman" w:cs="Times New Roman"/>
                <w:sz w:val="22"/>
                <w:szCs w:val="22"/>
                <w:vertAlign w:val="superscript"/>
                <w:lang w:eastAsia="ru-RU"/>
              </w:rPr>
              <w:t>†</w:t>
            </w:r>
            <w:r w:rsidRPr="00655DA0">
              <w:rPr>
                <w:rFonts w:ascii="Times New Roman" w:hAnsi="Times New Roman" w:cs="Times New Roman"/>
                <w:sz w:val="22"/>
                <w:szCs w:val="22"/>
                <w:lang w:eastAsia="ru-RU"/>
              </w:rPr>
              <w:t xml:space="preserve"> </w:t>
            </w:r>
          </w:p>
        </w:tc>
        <w:tc>
          <w:tcPr>
            <w:tcW w:w="846" w:type="pct"/>
            <w:tcBorders>
              <w:top w:val="single" w:sz="4" w:space="0" w:color="000000"/>
              <w:left w:val="single" w:sz="4" w:space="0" w:color="000000"/>
              <w:bottom w:val="single" w:sz="4" w:space="0" w:color="000000"/>
              <w:right w:val="single" w:sz="4" w:space="0" w:color="000000"/>
            </w:tcBorders>
            <w:tcMar>
              <w:top w:w="28" w:type="dxa"/>
              <w:left w:w="0" w:type="dxa"/>
              <w:bottom w:w="28" w:type="dxa"/>
              <w:right w:w="0" w:type="dxa"/>
            </w:tcMar>
            <w:hideMark/>
          </w:tcPr>
          <w:p w14:paraId="1CE7A12E" w14:textId="77777777" w:rsidR="00D41138" w:rsidRPr="00655DA0" w:rsidRDefault="00D41138" w:rsidP="002748AE">
            <w:pPr>
              <w:ind w:left="132" w:right="139"/>
              <w:jc w:val="center"/>
              <w:rPr>
                <w:rFonts w:ascii="Times New Roman" w:hAnsi="Times New Roman" w:cs="Times New Roman"/>
                <w:sz w:val="22"/>
                <w:szCs w:val="22"/>
                <w:lang w:eastAsia="ru-RU"/>
              </w:rPr>
            </w:pPr>
            <w:r w:rsidRPr="00655DA0">
              <w:rPr>
                <w:rFonts w:ascii="Times New Roman" w:hAnsi="Times New Roman" w:cs="Times New Roman"/>
                <w:sz w:val="22"/>
                <w:szCs w:val="22"/>
                <w:lang w:eastAsia="ru-RU"/>
              </w:rPr>
              <w:t xml:space="preserve">6,45 </w:t>
            </w:r>
          </w:p>
          <w:p w14:paraId="7D1F1363" w14:textId="77777777" w:rsidR="00D41138" w:rsidRPr="00655DA0" w:rsidRDefault="00D41138" w:rsidP="002748AE">
            <w:pPr>
              <w:ind w:left="132" w:right="139"/>
              <w:jc w:val="center"/>
              <w:rPr>
                <w:rFonts w:ascii="Times New Roman" w:hAnsi="Times New Roman" w:cs="Times New Roman"/>
                <w:sz w:val="22"/>
                <w:szCs w:val="22"/>
                <w:lang w:eastAsia="ru-RU"/>
              </w:rPr>
            </w:pPr>
            <w:r w:rsidRPr="00655DA0">
              <w:rPr>
                <w:rFonts w:ascii="Times New Roman" w:hAnsi="Times New Roman" w:cs="Times New Roman"/>
                <w:sz w:val="22"/>
                <w:szCs w:val="22"/>
                <w:lang w:eastAsia="ru-RU"/>
              </w:rPr>
              <w:t>(3,43)</w:t>
            </w:r>
            <w:r w:rsidRPr="00655DA0">
              <w:rPr>
                <w:rFonts w:ascii="Times New Roman" w:hAnsi="Times New Roman" w:cs="Times New Roman"/>
                <w:sz w:val="22"/>
                <w:szCs w:val="22"/>
                <w:vertAlign w:val="superscript"/>
                <w:lang w:eastAsia="ru-RU"/>
              </w:rPr>
              <w:t>†</w:t>
            </w:r>
            <w:r w:rsidRPr="00655DA0">
              <w:rPr>
                <w:rFonts w:ascii="Times New Roman" w:hAnsi="Times New Roman" w:cs="Times New Roman"/>
                <w:sz w:val="22"/>
                <w:szCs w:val="22"/>
                <w:lang w:eastAsia="ru-RU"/>
              </w:rPr>
              <w:t xml:space="preserve"> </w:t>
            </w:r>
          </w:p>
        </w:tc>
      </w:tr>
      <w:tr w:rsidR="00D41138" w:rsidRPr="00655DA0" w14:paraId="08E1B8BC" w14:textId="77777777" w:rsidTr="002748AE">
        <w:trPr>
          <w:trHeight w:val="227"/>
          <w:jc w:val="center"/>
        </w:trPr>
        <w:tc>
          <w:tcPr>
            <w:tcW w:w="1767" w:type="pct"/>
            <w:tcBorders>
              <w:top w:val="single" w:sz="4" w:space="0" w:color="000000"/>
              <w:left w:val="single" w:sz="4" w:space="0" w:color="000000"/>
              <w:bottom w:val="single" w:sz="4" w:space="0" w:color="000000"/>
              <w:right w:val="single" w:sz="4" w:space="0" w:color="000000"/>
            </w:tcBorders>
            <w:tcMar>
              <w:top w:w="28" w:type="dxa"/>
              <w:left w:w="0" w:type="dxa"/>
              <w:bottom w:w="28" w:type="dxa"/>
              <w:right w:w="0" w:type="dxa"/>
            </w:tcMar>
            <w:hideMark/>
          </w:tcPr>
          <w:p w14:paraId="6E16B255" w14:textId="77777777" w:rsidR="00D41138" w:rsidRPr="00655DA0" w:rsidRDefault="00D41138" w:rsidP="002748AE">
            <w:pPr>
              <w:ind w:left="132" w:right="139"/>
              <w:rPr>
                <w:rFonts w:ascii="Times New Roman" w:hAnsi="Times New Roman" w:cs="Times New Roman"/>
                <w:sz w:val="22"/>
                <w:szCs w:val="22"/>
                <w:lang w:eastAsia="ru-RU"/>
              </w:rPr>
            </w:pPr>
            <w:r w:rsidRPr="00655DA0">
              <w:rPr>
                <w:rFonts w:ascii="Times New Roman" w:hAnsi="Times New Roman" w:cs="Times New Roman"/>
                <w:sz w:val="22"/>
                <w:szCs w:val="22"/>
                <w:lang w:eastAsia="ru-RU"/>
              </w:rPr>
              <w:t xml:space="preserve">4 måneder til under 6 måneder </w:t>
            </w:r>
          </w:p>
          <w:p w14:paraId="77C46069" w14:textId="77777777" w:rsidR="00D41138" w:rsidRPr="00655DA0" w:rsidRDefault="00D41138" w:rsidP="002748AE">
            <w:pPr>
              <w:ind w:left="132" w:right="139"/>
              <w:rPr>
                <w:rFonts w:ascii="Times New Roman" w:hAnsi="Times New Roman" w:cs="Times New Roman"/>
                <w:sz w:val="22"/>
                <w:szCs w:val="22"/>
                <w:lang w:eastAsia="ru-RU"/>
              </w:rPr>
            </w:pPr>
            <w:r w:rsidRPr="00655DA0">
              <w:rPr>
                <w:rFonts w:ascii="Times New Roman" w:hAnsi="Times New Roman" w:cs="Times New Roman"/>
                <w:sz w:val="22"/>
                <w:szCs w:val="22"/>
                <w:lang w:eastAsia="ru-RU"/>
              </w:rPr>
              <w:t>(≥ 5 kg)</w:t>
            </w:r>
            <w:r w:rsidRPr="00655DA0">
              <w:rPr>
                <w:rFonts w:ascii="Times New Roman" w:hAnsi="Times New Roman" w:cs="Times New Roman"/>
                <w:sz w:val="22"/>
                <w:szCs w:val="22"/>
                <w:vertAlign w:val="superscript"/>
                <w:lang w:eastAsia="ru-RU"/>
              </w:rPr>
              <w:t>*</w:t>
            </w:r>
            <w:r w:rsidRPr="00655DA0">
              <w:rPr>
                <w:rFonts w:ascii="Times New Roman" w:hAnsi="Times New Roman" w:cs="Times New Roman"/>
                <w:sz w:val="22"/>
                <w:szCs w:val="22"/>
                <w:lang w:eastAsia="ru-RU"/>
              </w:rPr>
              <w:t xml:space="preserve"> </w:t>
            </w:r>
          </w:p>
        </w:tc>
        <w:tc>
          <w:tcPr>
            <w:tcW w:w="1541" w:type="pct"/>
            <w:tcBorders>
              <w:top w:val="single" w:sz="4" w:space="0" w:color="000000"/>
              <w:left w:val="single" w:sz="4" w:space="0" w:color="000000"/>
              <w:bottom w:val="single" w:sz="4" w:space="0" w:color="000000"/>
              <w:right w:val="single" w:sz="4" w:space="0" w:color="000000"/>
            </w:tcBorders>
            <w:tcMar>
              <w:top w:w="28" w:type="dxa"/>
              <w:left w:w="0" w:type="dxa"/>
              <w:bottom w:w="28" w:type="dxa"/>
              <w:right w:w="0" w:type="dxa"/>
            </w:tcMar>
            <w:hideMark/>
          </w:tcPr>
          <w:p w14:paraId="43B38DF6" w14:textId="77777777" w:rsidR="00D41138" w:rsidRPr="00655DA0" w:rsidRDefault="00D41138" w:rsidP="002748AE">
            <w:pPr>
              <w:ind w:left="132" w:right="139"/>
              <w:jc w:val="center"/>
              <w:rPr>
                <w:rFonts w:ascii="Times New Roman" w:hAnsi="Times New Roman" w:cs="Times New Roman"/>
                <w:sz w:val="22"/>
                <w:szCs w:val="22"/>
                <w:lang w:eastAsia="ru-RU"/>
              </w:rPr>
            </w:pPr>
            <w:r w:rsidRPr="00655DA0">
              <w:rPr>
                <w:rFonts w:ascii="Times New Roman" w:hAnsi="Times New Roman" w:cs="Times New Roman"/>
                <w:sz w:val="22"/>
                <w:szCs w:val="22"/>
                <w:lang w:eastAsia="ru-RU"/>
              </w:rPr>
              <w:t xml:space="preserve">25 mg hver 12. time </w:t>
            </w:r>
          </w:p>
        </w:tc>
        <w:tc>
          <w:tcPr>
            <w:tcW w:w="846" w:type="pct"/>
            <w:tcBorders>
              <w:top w:val="single" w:sz="4" w:space="0" w:color="000000"/>
              <w:left w:val="single" w:sz="4" w:space="0" w:color="000000"/>
              <w:bottom w:val="single" w:sz="4" w:space="0" w:color="000000"/>
              <w:right w:val="single" w:sz="4" w:space="0" w:color="000000"/>
            </w:tcBorders>
            <w:tcMar>
              <w:top w:w="28" w:type="dxa"/>
              <w:left w:w="0" w:type="dxa"/>
              <w:bottom w:w="28" w:type="dxa"/>
              <w:right w:w="0" w:type="dxa"/>
            </w:tcMar>
            <w:hideMark/>
          </w:tcPr>
          <w:p w14:paraId="5A59ECE8" w14:textId="77777777" w:rsidR="00D41138" w:rsidRPr="00655DA0" w:rsidRDefault="00D41138" w:rsidP="002748AE">
            <w:pPr>
              <w:ind w:left="132" w:right="139"/>
              <w:jc w:val="center"/>
              <w:rPr>
                <w:rFonts w:ascii="Times New Roman" w:hAnsi="Times New Roman" w:cs="Times New Roman"/>
                <w:sz w:val="22"/>
                <w:szCs w:val="22"/>
                <w:lang w:eastAsia="ru-RU"/>
              </w:rPr>
            </w:pPr>
            <w:r w:rsidRPr="00655DA0">
              <w:rPr>
                <w:rFonts w:ascii="Times New Roman" w:hAnsi="Times New Roman" w:cs="Times New Roman"/>
                <w:sz w:val="22"/>
                <w:szCs w:val="22"/>
                <w:lang w:eastAsia="ru-RU"/>
              </w:rPr>
              <w:t xml:space="preserve">0,371 </w:t>
            </w:r>
          </w:p>
          <w:p w14:paraId="46E2789E" w14:textId="77777777" w:rsidR="00D41138" w:rsidRPr="00655DA0" w:rsidRDefault="00D41138" w:rsidP="002748AE">
            <w:pPr>
              <w:ind w:left="132" w:right="139"/>
              <w:jc w:val="center"/>
              <w:rPr>
                <w:rFonts w:ascii="Times New Roman" w:hAnsi="Times New Roman" w:cs="Times New Roman"/>
                <w:sz w:val="22"/>
                <w:szCs w:val="22"/>
                <w:lang w:eastAsia="ru-RU"/>
              </w:rPr>
            </w:pPr>
            <w:r w:rsidRPr="00655DA0">
              <w:rPr>
                <w:rFonts w:ascii="Times New Roman" w:hAnsi="Times New Roman" w:cs="Times New Roman"/>
                <w:sz w:val="22"/>
                <w:szCs w:val="22"/>
                <w:lang w:eastAsia="ru-RU"/>
              </w:rPr>
              <w:t xml:space="preserve">(0,183) </w:t>
            </w:r>
          </w:p>
        </w:tc>
        <w:tc>
          <w:tcPr>
            <w:tcW w:w="846" w:type="pct"/>
            <w:tcBorders>
              <w:top w:val="single" w:sz="4" w:space="0" w:color="000000"/>
              <w:left w:val="single" w:sz="4" w:space="0" w:color="000000"/>
              <w:bottom w:val="single" w:sz="4" w:space="0" w:color="000000"/>
              <w:right w:val="single" w:sz="4" w:space="0" w:color="000000"/>
            </w:tcBorders>
            <w:tcMar>
              <w:top w:w="28" w:type="dxa"/>
              <w:left w:w="0" w:type="dxa"/>
              <w:bottom w:w="28" w:type="dxa"/>
              <w:right w:w="0" w:type="dxa"/>
            </w:tcMar>
            <w:hideMark/>
          </w:tcPr>
          <w:p w14:paraId="793A144B" w14:textId="77777777" w:rsidR="00D41138" w:rsidRPr="00655DA0" w:rsidRDefault="00D41138" w:rsidP="002748AE">
            <w:pPr>
              <w:ind w:left="132" w:right="139"/>
              <w:jc w:val="center"/>
              <w:rPr>
                <w:rFonts w:ascii="Times New Roman" w:hAnsi="Times New Roman" w:cs="Times New Roman"/>
                <w:sz w:val="22"/>
                <w:szCs w:val="22"/>
                <w:lang w:eastAsia="ru-RU"/>
              </w:rPr>
            </w:pPr>
            <w:r w:rsidRPr="00655DA0">
              <w:rPr>
                <w:rFonts w:ascii="Times New Roman" w:hAnsi="Times New Roman" w:cs="Times New Roman"/>
                <w:sz w:val="22"/>
                <w:szCs w:val="22"/>
                <w:lang w:eastAsia="ru-RU"/>
              </w:rPr>
              <w:t xml:space="preserve">6,48 </w:t>
            </w:r>
          </w:p>
          <w:p w14:paraId="44298BB7" w14:textId="77777777" w:rsidR="00D41138" w:rsidRPr="00655DA0" w:rsidRDefault="00D41138" w:rsidP="002748AE">
            <w:pPr>
              <w:ind w:left="132" w:right="139"/>
              <w:jc w:val="center"/>
              <w:rPr>
                <w:rFonts w:ascii="Times New Roman" w:hAnsi="Times New Roman" w:cs="Times New Roman"/>
                <w:sz w:val="22"/>
                <w:szCs w:val="22"/>
                <w:lang w:eastAsia="ru-RU"/>
              </w:rPr>
            </w:pPr>
            <w:r w:rsidRPr="00655DA0">
              <w:rPr>
                <w:rFonts w:ascii="Times New Roman" w:hAnsi="Times New Roman" w:cs="Times New Roman"/>
                <w:sz w:val="22"/>
                <w:szCs w:val="22"/>
                <w:lang w:eastAsia="ru-RU"/>
              </w:rPr>
              <w:t xml:space="preserve">(2,52) </w:t>
            </w:r>
          </w:p>
        </w:tc>
      </w:tr>
      <w:tr w:rsidR="00D41138" w:rsidRPr="00655DA0" w14:paraId="102DD34F" w14:textId="77777777" w:rsidTr="002748AE">
        <w:trPr>
          <w:trHeight w:val="227"/>
          <w:jc w:val="center"/>
        </w:trPr>
        <w:tc>
          <w:tcPr>
            <w:tcW w:w="1767" w:type="pct"/>
            <w:tcBorders>
              <w:top w:val="single" w:sz="4" w:space="0" w:color="000000"/>
              <w:left w:val="single" w:sz="4" w:space="0" w:color="000000"/>
              <w:bottom w:val="single" w:sz="4" w:space="0" w:color="000000"/>
              <w:right w:val="single" w:sz="4" w:space="0" w:color="000000"/>
            </w:tcBorders>
            <w:tcMar>
              <w:top w:w="28" w:type="dxa"/>
              <w:left w:w="0" w:type="dxa"/>
              <w:bottom w:w="28" w:type="dxa"/>
              <w:right w:w="0" w:type="dxa"/>
            </w:tcMar>
            <w:hideMark/>
          </w:tcPr>
          <w:p w14:paraId="5678C230" w14:textId="77777777" w:rsidR="00D41138" w:rsidRPr="00655DA0" w:rsidRDefault="00D41138" w:rsidP="002748AE">
            <w:pPr>
              <w:ind w:left="132" w:right="139"/>
              <w:rPr>
                <w:rFonts w:ascii="Times New Roman" w:hAnsi="Times New Roman" w:cs="Times New Roman"/>
                <w:sz w:val="22"/>
                <w:szCs w:val="22"/>
                <w:lang w:eastAsia="ru-RU"/>
              </w:rPr>
            </w:pPr>
            <w:r w:rsidRPr="00655DA0">
              <w:rPr>
                <w:rFonts w:ascii="Times New Roman" w:hAnsi="Times New Roman" w:cs="Times New Roman"/>
                <w:sz w:val="22"/>
                <w:szCs w:val="22"/>
                <w:lang w:eastAsia="ru-RU"/>
              </w:rPr>
              <w:t xml:space="preserve">6 måneder til under 12 måneder </w:t>
            </w:r>
          </w:p>
          <w:p w14:paraId="71BE869F" w14:textId="77777777" w:rsidR="00D41138" w:rsidRPr="00655DA0" w:rsidRDefault="00D41138" w:rsidP="002748AE">
            <w:pPr>
              <w:ind w:left="132" w:right="139"/>
              <w:rPr>
                <w:rFonts w:ascii="Times New Roman" w:hAnsi="Times New Roman" w:cs="Times New Roman"/>
                <w:sz w:val="22"/>
                <w:szCs w:val="22"/>
                <w:lang w:eastAsia="ru-RU"/>
              </w:rPr>
            </w:pPr>
            <w:r w:rsidRPr="00655DA0">
              <w:rPr>
                <w:rFonts w:ascii="Times New Roman" w:hAnsi="Times New Roman" w:cs="Times New Roman"/>
                <w:sz w:val="22"/>
                <w:szCs w:val="22"/>
                <w:lang w:eastAsia="ru-RU"/>
              </w:rPr>
              <w:t>(≥ 5 kg til &lt; 7 kg)</w:t>
            </w:r>
            <w:r w:rsidRPr="00655DA0">
              <w:rPr>
                <w:rFonts w:ascii="Times New Roman" w:hAnsi="Times New Roman" w:cs="Times New Roman"/>
                <w:sz w:val="22"/>
                <w:szCs w:val="22"/>
                <w:vertAlign w:val="superscript"/>
                <w:lang w:eastAsia="ru-RU"/>
              </w:rPr>
              <w:t>‡</w:t>
            </w:r>
            <w:r w:rsidRPr="00655DA0">
              <w:rPr>
                <w:rFonts w:ascii="Times New Roman" w:hAnsi="Times New Roman" w:cs="Times New Roman"/>
                <w:sz w:val="22"/>
                <w:szCs w:val="22"/>
                <w:lang w:eastAsia="ru-RU"/>
              </w:rPr>
              <w:t xml:space="preserve"> </w:t>
            </w:r>
          </w:p>
        </w:tc>
        <w:tc>
          <w:tcPr>
            <w:tcW w:w="1541" w:type="pct"/>
            <w:tcBorders>
              <w:top w:val="single" w:sz="4" w:space="0" w:color="000000"/>
              <w:left w:val="single" w:sz="4" w:space="0" w:color="000000"/>
              <w:bottom w:val="single" w:sz="4" w:space="0" w:color="000000"/>
              <w:right w:val="single" w:sz="4" w:space="0" w:color="000000"/>
            </w:tcBorders>
            <w:tcMar>
              <w:top w:w="28" w:type="dxa"/>
              <w:left w:w="0" w:type="dxa"/>
              <w:bottom w:w="28" w:type="dxa"/>
              <w:right w:w="0" w:type="dxa"/>
            </w:tcMar>
            <w:hideMark/>
          </w:tcPr>
          <w:p w14:paraId="353F8423" w14:textId="77777777" w:rsidR="00D41138" w:rsidRPr="00655DA0" w:rsidRDefault="00D41138" w:rsidP="002748AE">
            <w:pPr>
              <w:ind w:left="132" w:right="139"/>
              <w:jc w:val="center"/>
              <w:rPr>
                <w:rFonts w:ascii="Times New Roman" w:hAnsi="Times New Roman" w:cs="Times New Roman"/>
                <w:sz w:val="22"/>
                <w:szCs w:val="22"/>
                <w:lang w:eastAsia="ru-RU"/>
              </w:rPr>
            </w:pPr>
            <w:r w:rsidRPr="00655DA0">
              <w:rPr>
                <w:rFonts w:ascii="Times New Roman" w:hAnsi="Times New Roman" w:cs="Times New Roman"/>
                <w:sz w:val="22"/>
                <w:szCs w:val="22"/>
                <w:lang w:eastAsia="ru-RU"/>
              </w:rPr>
              <w:t xml:space="preserve">25 mg hver 12. time </w:t>
            </w:r>
          </w:p>
        </w:tc>
        <w:tc>
          <w:tcPr>
            <w:tcW w:w="846" w:type="pct"/>
            <w:tcBorders>
              <w:top w:val="single" w:sz="4" w:space="0" w:color="000000"/>
              <w:left w:val="single" w:sz="4" w:space="0" w:color="000000"/>
              <w:bottom w:val="single" w:sz="4" w:space="0" w:color="000000"/>
              <w:right w:val="single" w:sz="4" w:space="0" w:color="000000"/>
            </w:tcBorders>
            <w:tcMar>
              <w:top w:w="28" w:type="dxa"/>
              <w:left w:w="0" w:type="dxa"/>
              <w:bottom w:w="28" w:type="dxa"/>
              <w:right w:w="0" w:type="dxa"/>
            </w:tcMar>
            <w:vAlign w:val="center"/>
            <w:hideMark/>
          </w:tcPr>
          <w:p w14:paraId="60BD0EA6" w14:textId="77777777" w:rsidR="00D41138" w:rsidRPr="00655DA0" w:rsidRDefault="00D41138" w:rsidP="002748AE">
            <w:pPr>
              <w:ind w:left="132" w:right="139"/>
              <w:jc w:val="center"/>
              <w:rPr>
                <w:rFonts w:ascii="Times New Roman" w:hAnsi="Times New Roman" w:cs="Times New Roman"/>
                <w:sz w:val="22"/>
                <w:szCs w:val="22"/>
                <w:lang w:eastAsia="ru-RU"/>
              </w:rPr>
            </w:pPr>
            <w:r w:rsidRPr="00655DA0">
              <w:rPr>
                <w:rFonts w:ascii="Times New Roman" w:hAnsi="Times New Roman" w:cs="Times New Roman"/>
                <w:sz w:val="22"/>
                <w:szCs w:val="22"/>
                <w:lang w:eastAsia="ru-RU"/>
              </w:rPr>
              <w:t xml:space="preserve">0,336 </w:t>
            </w:r>
          </w:p>
        </w:tc>
        <w:tc>
          <w:tcPr>
            <w:tcW w:w="846" w:type="pct"/>
            <w:tcBorders>
              <w:top w:val="single" w:sz="4" w:space="0" w:color="000000"/>
              <w:left w:val="single" w:sz="4" w:space="0" w:color="000000"/>
              <w:bottom w:val="single" w:sz="4" w:space="0" w:color="000000"/>
              <w:right w:val="single" w:sz="4" w:space="0" w:color="000000"/>
            </w:tcBorders>
            <w:tcMar>
              <w:top w:w="28" w:type="dxa"/>
              <w:left w:w="0" w:type="dxa"/>
              <w:bottom w:w="28" w:type="dxa"/>
              <w:right w:w="0" w:type="dxa"/>
            </w:tcMar>
            <w:vAlign w:val="center"/>
            <w:hideMark/>
          </w:tcPr>
          <w:p w14:paraId="4FE7F1A3" w14:textId="77777777" w:rsidR="00D41138" w:rsidRPr="00655DA0" w:rsidRDefault="00D41138" w:rsidP="002748AE">
            <w:pPr>
              <w:ind w:left="132" w:right="139"/>
              <w:jc w:val="center"/>
              <w:rPr>
                <w:rFonts w:ascii="Times New Roman" w:hAnsi="Times New Roman" w:cs="Times New Roman"/>
                <w:sz w:val="22"/>
                <w:szCs w:val="22"/>
                <w:lang w:eastAsia="ru-RU"/>
              </w:rPr>
            </w:pPr>
            <w:r w:rsidRPr="00655DA0">
              <w:rPr>
                <w:rFonts w:ascii="Times New Roman" w:hAnsi="Times New Roman" w:cs="Times New Roman"/>
                <w:sz w:val="22"/>
                <w:szCs w:val="22"/>
                <w:lang w:eastAsia="ru-RU"/>
              </w:rPr>
              <w:t xml:space="preserve">5,41 </w:t>
            </w:r>
          </w:p>
        </w:tc>
      </w:tr>
      <w:tr w:rsidR="00D41138" w:rsidRPr="00655DA0" w14:paraId="3D05F741" w14:textId="77777777" w:rsidTr="002748AE">
        <w:trPr>
          <w:trHeight w:val="227"/>
          <w:jc w:val="center"/>
        </w:trPr>
        <w:tc>
          <w:tcPr>
            <w:tcW w:w="1767" w:type="pct"/>
            <w:tcBorders>
              <w:top w:val="single" w:sz="4" w:space="0" w:color="000000"/>
              <w:left w:val="single" w:sz="4" w:space="0" w:color="000000"/>
              <w:bottom w:val="single" w:sz="4" w:space="0" w:color="000000"/>
              <w:right w:val="single" w:sz="4" w:space="0" w:color="000000"/>
            </w:tcBorders>
            <w:tcMar>
              <w:top w:w="28" w:type="dxa"/>
              <w:left w:w="0" w:type="dxa"/>
              <w:bottom w:w="28" w:type="dxa"/>
              <w:right w:w="0" w:type="dxa"/>
            </w:tcMar>
            <w:hideMark/>
          </w:tcPr>
          <w:p w14:paraId="4910300D" w14:textId="77777777" w:rsidR="00D41138" w:rsidRPr="00655DA0" w:rsidRDefault="00D41138" w:rsidP="002748AE">
            <w:pPr>
              <w:ind w:left="132" w:right="139"/>
              <w:rPr>
                <w:rFonts w:ascii="Times New Roman" w:hAnsi="Times New Roman" w:cs="Times New Roman"/>
                <w:sz w:val="22"/>
                <w:szCs w:val="22"/>
                <w:lang w:eastAsia="ru-RU"/>
              </w:rPr>
            </w:pPr>
            <w:r w:rsidRPr="00655DA0">
              <w:rPr>
                <w:rFonts w:ascii="Times New Roman" w:hAnsi="Times New Roman" w:cs="Times New Roman"/>
                <w:sz w:val="22"/>
                <w:szCs w:val="22"/>
                <w:lang w:eastAsia="ru-RU"/>
              </w:rPr>
              <w:t xml:space="preserve">6 måneder til under 12 måneder </w:t>
            </w:r>
          </w:p>
          <w:p w14:paraId="0D103EF6" w14:textId="77777777" w:rsidR="00D41138" w:rsidRPr="00655DA0" w:rsidRDefault="00D41138" w:rsidP="002748AE">
            <w:pPr>
              <w:ind w:left="132" w:right="139"/>
              <w:rPr>
                <w:rFonts w:ascii="Times New Roman" w:hAnsi="Times New Roman" w:cs="Times New Roman"/>
                <w:sz w:val="22"/>
                <w:szCs w:val="22"/>
                <w:lang w:eastAsia="ru-RU"/>
              </w:rPr>
            </w:pPr>
            <w:r w:rsidRPr="00655DA0">
              <w:rPr>
                <w:rFonts w:ascii="Times New Roman" w:hAnsi="Times New Roman" w:cs="Times New Roman"/>
                <w:sz w:val="22"/>
                <w:szCs w:val="22"/>
                <w:lang w:eastAsia="ru-RU"/>
              </w:rPr>
              <w:t xml:space="preserve">(7 kg til &lt; 14 kg) </w:t>
            </w:r>
          </w:p>
        </w:tc>
        <w:tc>
          <w:tcPr>
            <w:tcW w:w="1541" w:type="pct"/>
            <w:tcBorders>
              <w:top w:val="single" w:sz="4" w:space="0" w:color="000000"/>
              <w:left w:val="single" w:sz="4" w:space="0" w:color="000000"/>
              <w:bottom w:val="single" w:sz="4" w:space="0" w:color="000000"/>
              <w:right w:val="single" w:sz="4" w:space="0" w:color="000000"/>
            </w:tcBorders>
            <w:tcMar>
              <w:top w:w="28" w:type="dxa"/>
              <w:left w:w="0" w:type="dxa"/>
              <w:bottom w:w="28" w:type="dxa"/>
              <w:right w:w="0" w:type="dxa"/>
            </w:tcMar>
            <w:hideMark/>
          </w:tcPr>
          <w:p w14:paraId="434C2DD9" w14:textId="77777777" w:rsidR="00D41138" w:rsidRPr="00655DA0" w:rsidRDefault="00D41138" w:rsidP="002748AE">
            <w:pPr>
              <w:ind w:left="132" w:right="139"/>
              <w:jc w:val="center"/>
              <w:rPr>
                <w:rFonts w:ascii="Times New Roman" w:hAnsi="Times New Roman" w:cs="Times New Roman"/>
                <w:sz w:val="22"/>
                <w:szCs w:val="22"/>
                <w:lang w:eastAsia="ru-RU"/>
              </w:rPr>
            </w:pPr>
            <w:r w:rsidRPr="00655DA0">
              <w:rPr>
                <w:rFonts w:ascii="Times New Roman" w:hAnsi="Times New Roman" w:cs="Times New Roman"/>
                <w:sz w:val="22"/>
                <w:szCs w:val="22"/>
                <w:lang w:eastAsia="ru-RU"/>
              </w:rPr>
              <w:t xml:space="preserve">50 mg hver 12. time </w:t>
            </w:r>
          </w:p>
        </w:tc>
        <w:tc>
          <w:tcPr>
            <w:tcW w:w="846" w:type="pct"/>
            <w:tcBorders>
              <w:top w:val="single" w:sz="4" w:space="0" w:color="000000"/>
              <w:left w:val="single" w:sz="4" w:space="0" w:color="000000"/>
              <w:bottom w:val="single" w:sz="4" w:space="0" w:color="000000"/>
              <w:right w:val="single" w:sz="4" w:space="0" w:color="000000"/>
            </w:tcBorders>
            <w:tcMar>
              <w:top w:w="28" w:type="dxa"/>
              <w:left w:w="0" w:type="dxa"/>
              <w:bottom w:w="28" w:type="dxa"/>
              <w:right w:w="0" w:type="dxa"/>
            </w:tcMar>
            <w:hideMark/>
          </w:tcPr>
          <w:p w14:paraId="5C87A670" w14:textId="77777777" w:rsidR="00D41138" w:rsidRPr="00655DA0" w:rsidRDefault="00D41138" w:rsidP="002748AE">
            <w:pPr>
              <w:ind w:left="132" w:right="139"/>
              <w:jc w:val="center"/>
              <w:rPr>
                <w:rFonts w:ascii="Times New Roman" w:hAnsi="Times New Roman" w:cs="Times New Roman"/>
                <w:sz w:val="22"/>
                <w:szCs w:val="22"/>
                <w:lang w:eastAsia="ru-RU"/>
              </w:rPr>
            </w:pPr>
            <w:r w:rsidRPr="00655DA0">
              <w:rPr>
                <w:rFonts w:ascii="Times New Roman" w:hAnsi="Times New Roman" w:cs="Times New Roman"/>
                <w:sz w:val="22"/>
                <w:szCs w:val="22"/>
                <w:lang w:eastAsia="ru-RU"/>
              </w:rPr>
              <w:t xml:space="preserve">0,508 </w:t>
            </w:r>
          </w:p>
          <w:p w14:paraId="5B08F0E6" w14:textId="77777777" w:rsidR="00D41138" w:rsidRPr="00655DA0" w:rsidRDefault="00D41138" w:rsidP="002748AE">
            <w:pPr>
              <w:ind w:left="132" w:right="139"/>
              <w:jc w:val="center"/>
              <w:rPr>
                <w:rFonts w:ascii="Times New Roman" w:hAnsi="Times New Roman" w:cs="Times New Roman"/>
                <w:sz w:val="22"/>
                <w:szCs w:val="22"/>
                <w:lang w:eastAsia="ru-RU"/>
              </w:rPr>
            </w:pPr>
            <w:r w:rsidRPr="00655DA0">
              <w:rPr>
                <w:rFonts w:ascii="Times New Roman" w:hAnsi="Times New Roman" w:cs="Times New Roman"/>
                <w:sz w:val="22"/>
                <w:szCs w:val="22"/>
                <w:lang w:eastAsia="ru-RU"/>
              </w:rPr>
              <w:t xml:space="preserve">(0,252) </w:t>
            </w:r>
          </w:p>
        </w:tc>
        <w:tc>
          <w:tcPr>
            <w:tcW w:w="846" w:type="pct"/>
            <w:tcBorders>
              <w:top w:val="single" w:sz="4" w:space="0" w:color="000000"/>
              <w:left w:val="single" w:sz="4" w:space="0" w:color="000000"/>
              <w:bottom w:val="single" w:sz="4" w:space="0" w:color="000000"/>
              <w:right w:val="single" w:sz="4" w:space="0" w:color="000000"/>
            </w:tcBorders>
            <w:tcMar>
              <w:top w:w="28" w:type="dxa"/>
              <w:left w:w="0" w:type="dxa"/>
              <w:bottom w:w="28" w:type="dxa"/>
              <w:right w:w="0" w:type="dxa"/>
            </w:tcMar>
            <w:vAlign w:val="center"/>
            <w:hideMark/>
          </w:tcPr>
          <w:p w14:paraId="010E9C13" w14:textId="77777777" w:rsidR="00D41138" w:rsidRPr="00655DA0" w:rsidRDefault="00D41138" w:rsidP="002748AE">
            <w:pPr>
              <w:ind w:left="132" w:right="139"/>
              <w:jc w:val="center"/>
              <w:rPr>
                <w:rFonts w:ascii="Times New Roman" w:hAnsi="Times New Roman" w:cs="Times New Roman"/>
                <w:sz w:val="22"/>
                <w:szCs w:val="22"/>
                <w:lang w:eastAsia="ru-RU"/>
              </w:rPr>
            </w:pPr>
            <w:r w:rsidRPr="00655DA0">
              <w:rPr>
                <w:rFonts w:ascii="Times New Roman" w:hAnsi="Times New Roman" w:cs="Times New Roman"/>
                <w:sz w:val="22"/>
                <w:szCs w:val="22"/>
                <w:lang w:eastAsia="ru-RU"/>
              </w:rPr>
              <w:t xml:space="preserve">9,14 </w:t>
            </w:r>
          </w:p>
          <w:p w14:paraId="28862353" w14:textId="77777777" w:rsidR="00D41138" w:rsidRPr="00655DA0" w:rsidRDefault="00D41138" w:rsidP="002748AE">
            <w:pPr>
              <w:ind w:left="132" w:right="139"/>
              <w:jc w:val="center"/>
              <w:rPr>
                <w:rFonts w:ascii="Times New Roman" w:hAnsi="Times New Roman" w:cs="Times New Roman"/>
                <w:sz w:val="22"/>
                <w:szCs w:val="22"/>
                <w:lang w:eastAsia="ru-RU"/>
              </w:rPr>
            </w:pPr>
            <w:r w:rsidRPr="00655DA0">
              <w:rPr>
                <w:rFonts w:ascii="Times New Roman" w:hAnsi="Times New Roman" w:cs="Times New Roman"/>
                <w:sz w:val="22"/>
                <w:szCs w:val="22"/>
                <w:lang w:eastAsia="ru-RU"/>
              </w:rPr>
              <w:t xml:space="preserve">(4,20) </w:t>
            </w:r>
          </w:p>
        </w:tc>
      </w:tr>
      <w:tr w:rsidR="00D41138" w:rsidRPr="00655DA0" w14:paraId="0D6B3BF6" w14:textId="77777777" w:rsidTr="002748AE">
        <w:trPr>
          <w:trHeight w:val="227"/>
          <w:jc w:val="center"/>
        </w:trPr>
        <w:tc>
          <w:tcPr>
            <w:tcW w:w="1767" w:type="pct"/>
            <w:tcBorders>
              <w:top w:val="single" w:sz="4" w:space="0" w:color="000000"/>
              <w:left w:val="single" w:sz="4" w:space="0" w:color="000000"/>
              <w:bottom w:val="single" w:sz="4" w:space="0" w:color="000000"/>
              <w:right w:val="single" w:sz="4" w:space="0" w:color="000000"/>
            </w:tcBorders>
            <w:tcMar>
              <w:top w:w="28" w:type="dxa"/>
              <w:left w:w="0" w:type="dxa"/>
              <w:bottom w:w="28" w:type="dxa"/>
              <w:right w:w="0" w:type="dxa"/>
            </w:tcMar>
            <w:hideMark/>
          </w:tcPr>
          <w:p w14:paraId="28EB3E43" w14:textId="77777777" w:rsidR="00D41138" w:rsidRPr="00655DA0" w:rsidRDefault="00D41138" w:rsidP="002748AE">
            <w:pPr>
              <w:ind w:left="132" w:right="139"/>
              <w:rPr>
                <w:rFonts w:ascii="Times New Roman" w:hAnsi="Times New Roman" w:cs="Times New Roman"/>
                <w:sz w:val="22"/>
                <w:szCs w:val="22"/>
                <w:lang w:eastAsia="ru-RU"/>
              </w:rPr>
            </w:pPr>
            <w:r w:rsidRPr="00655DA0">
              <w:rPr>
                <w:rFonts w:ascii="Times New Roman" w:hAnsi="Times New Roman" w:cs="Times New Roman"/>
                <w:sz w:val="22"/>
                <w:szCs w:val="22"/>
                <w:lang w:eastAsia="ru-RU"/>
              </w:rPr>
              <w:t xml:space="preserve">12 måneder til under 24 måneder </w:t>
            </w:r>
          </w:p>
          <w:p w14:paraId="63C050A0" w14:textId="77777777" w:rsidR="00D41138" w:rsidRPr="00655DA0" w:rsidRDefault="00D41138" w:rsidP="002748AE">
            <w:pPr>
              <w:ind w:left="132" w:right="139"/>
              <w:rPr>
                <w:rFonts w:ascii="Times New Roman" w:hAnsi="Times New Roman" w:cs="Times New Roman"/>
                <w:sz w:val="22"/>
                <w:szCs w:val="22"/>
                <w:lang w:eastAsia="ru-RU"/>
              </w:rPr>
            </w:pPr>
            <w:r w:rsidRPr="00655DA0">
              <w:rPr>
                <w:rFonts w:ascii="Times New Roman" w:hAnsi="Times New Roman" w:cs="Times New Roman"/>
                <w:sz w:val="22"/>
                <w:szCs w:val="22"/>
                <w:lang w:eastAsia="ru-RU"/>
              </w:rPr>
              <w:t xml:space="preserve">(7 kg til &lt; 14 kg) </w:t>
            </w:r>
          </w:p>
        </w:tc>
        <w:tc>
          <w:tcPr>
            <w:tcW w:w="1541" w:type="pct"/>
            <w:tcBorders>
              <w:top w:val="single" w:sz="4" w:space="0" w:color="000000"/>
              <w:left w:val="single" w:sz="4" w:space="0" w:color="000000"/>
              <w:bottom w:val="single" w:sz="4" w:space="0" w:color="000000"/>
              <w:right w:val="single" w:sz="4" w:space="0" w:color="000000"/>
            </w:tcBorders>
            <w:tcMar>
              <w:top w:w="28" w:type="dxa"/>
              <w:left w:w="0" w:type="dxa"/>
              <w:bottom w:w="28" w:type="dxa"/>
              <w:right w:w="0" w:type="dxa"/>
            </w:tcMar>
            <w:hideMark/>
          </w:tcPr>
          <w:p w14:paraId="63E2047B" w14:textId="77777777" w:rsidR="00D41138" w:rsidRPr="00655DA0" w:rsidRDefault="00D41138" w:rsidP="002748AE">
            <w:pPr>
              <w:ind w:left="132" w:right="139"/>
              <w:jc w:val="center"/>
              <w:rPr>
                <w:rFonts w:ascii="Times New Roman" w:hAnsi="Times New Roman" w:cs="Times New Roman"/>
                <w:sz w:val="22"/>
                <w:szCs w:val="22"/>
                <w:lang w:eastAsia="ru-RU"/>
              </w:rPr>
            </w:pPr>
            <w:r w:rsidRPr="00655DA0">
              <w:rPr>
                <w:rFonts w:ascii="Times New Roman" w:hAnsi="Times New Roman" w:cs="Times New Roman"/>
                <w:sz w:val="22"/>
                <w:szCs w:val="22"/>
                <w:lang w:eastAsia="ru-RU"/>
              </w:rPr>
              <w:t xml:space="preserve">50 mg hver 12. time </w:t>
            </w:r>
          </w:p>
        </w:tc>
        <w:tc>
          <w:tcPr>
            <w:tcW w:w="846" w:type="pct"/>
            <w:tcBorders>
              <w:top w:val="single" w:sz="4" w:space="0" w:color="000000"/>
              <w:left w:val="single" w:sz="4" w:space="0" w:color="000000"/>
              <w:bottom w:val="single" w:sz="4" w:space="0" w:color="000000"/>
              <w:right w:val="single" w:sz="4" w:space="0" w:color="000000"/>
            </w:tcBorders>
            <w:tcMar>
              <w:top w:w="28" w:type="dxa"/>
              <w:left w:w="0" w:type="dxa"/>
              <w:bottom w:w="28" w:type="dxa"/>
              <w:right w:w="0" w:type="dxa"/>
            </w:tcMar>
            <w:hideMark/>
          </w:tcPr>
          <w:p w14:paraId="70D2D446" w14:textId="77777777" w:rsidR="00D41138" w:rsidRPr="00655DA0" w:rsidRDefault="00D41138" w:rsidP="002748AE">
            <w:pPr>
              <w:ind w:left="132" w:right="139"/>
              <w:jc w:val="center"/>
              <w:rPr>
                <w:rFonts w:ascii="Times New Roman" w:hAnsi="Times New Roman" w:cs="Times New Roman"/>
                <w:sz w:val="22"/>
                <w:szCs w:val="22"/>
                <w:lang w:eastAsia="ru-RU"/>
              </w:rPr>
            </w:pPr>
            <w:r w:rsidRPr="00655DA0">
              <w:rPr>
                <w:rFonts w:ascii="Times New Roman" w:hAnsi="Times New Roman" w:cs="Times New Roman"/>
                <w:sz w:val="22"/>
                <w:szCs w:val="22"/>
                <w:lang w:eastAsia="ru-RU"/>
              </w:rPr>
              <w:t xml:space="preserve">0,440 </w:t>
            </w:r>
          </w:p>
          <w:p w14:paraId="6326695A" w14:textId="77777777" w:rsidR="00D41138" w:rsidRPr="00655DA0" w:rsidRDefault="00D41138" w:rsidP="002748AE">
            <w:pPr>
              <w:ind w:left="132" w:right="139"/>
              <w:jc w:val="center"/>
              <w:rPr>
                <w:rFonts w:ascii="Times New Roman" w:hAnsi="Times New Roman" w:cs="Times New Roman"/>
                <w:sz w:val="22"/>
                <w:szCs w:val="22"/>
                <w:lang w:eastAsia="ru-RU"/>
              </w:rPr>
            </w:pPr>
            <w:r w:rsidRPr="00655DA0">
              <w:rPr>
                <w:rFonts w:ascii="Times New Roman" w:hAnsi="Times New Roman" w:cs="Times New Roman"/>
                <w:sz w:val="22"/>
                <w:szCs w:val="22"/>
                <w:lang w:eastAsia="ru-RU"/>
              </w:rPr>
              <w:t xml:space="preserve">(0,212) </w:t>
            </w:r>
          </w:p>
        </w:tc>
        <w:tc>
          <w:tcPr>
            <w:tcW w:w="846" w:type="pct"/>
            <w:tcBorders>
              <w:top w:val="single" w:sz="4" w:space="0" w:color="000000"/>
              <w:left w:val="single" w:sz="4" w:space="0" w:color="000000"/>
              <w:bottom w:val="single" w:sz="4" w:space="0" w:color="000000"/>
              <w:right w:val="single" w:sz="4" w:space="0" w:color="000000"/>
            </w:tcBorders>
            <w:tcMar>
              <w:top w:w="28" w:type="dxa"/>
              <w:left w:w="0" w:type="dxa"/>
              <w:bottom w:w="28" w:type="dxa"/>
              <w:right w:w="0" w:type="dxa"/>
            </w:tcMar>
            <w:hideMark/>
          </w:tcPr>
          <w:p w14:paraId="53A49F80" w14:textId="77777777" w:rsidR="00D41138" w:rsidRPr="00655DA0" w:rsidRDefault="00D41138" w:rsidP="002748AE">
            <w:pPr>
              <w:ind w:left="132" w:right="139"/>
              <w:jc w:val="center"/>
              <w:rPr>
                <w:rFonts w:ascii="Times New Roman" w:hAnsi="Times New Roman" w:cs="Times New Roman"/>
                <w:sz w:val="22"/>
                <w:szCs w:val="22"/>
                <w:lang w:eastAsia="ru-RU"/>
              </w:rPr>
            </w:pPr>
            <w:r w:rsidRPr="00655DA0">
              <w:rPr>
                <w:rFonts w:ascii="Times New Roman" w:hAnsi="Times New Roman" w:cs="Times New Roman"/>
                <w:sz w:val="22"/>
                <w:szCs w:val="22"/>
                <w:lang w:eastAsia="ru-RU"/>
              </w:rPr>
              <w:t xml:space="preserve">9,05 </w:t>
            </w:r>
          </w:p>
          <w:p w14:paraId="6D87CA5D" w14:textId="77777777" w:rsidR="00D41138" w:rsidRPr="00655DA0" w:rsidRDefault="00D41138" w:rsidP="002748AE">
            <w:pPr>
              <w:ind w:left="132" w:right="139"/>
              <w:jc w:val="center"/>
              <w:rPr>
                <w:rFonts w:ascii="Times New Roman" w:hAnsi="Times New Roman" w:cs="Times New Roman"/>
                <w:sz w:val="22"/>
                <w:szCs w:val="22"/>
                <w:lang w:eastAsia="ru-RU"/>
              </w:rPr>
            </w:pPr>
            <w:r w:rsidRPr="00655DA0">
              <w:rPr>
                <w:rFonts w:ascii="Times New Roman" w:hAnsi="Times New Roman" w:cs="Times New Roman"/>
                <w:sz w:val="22"/>
                <w:szCs w:val="22"/>
                <w:lang w:eastAsia="ru-RU"/>
              </w:rPr>
              <w:t xml:space="preserve">(3,05) </w:t>
            </w:r>
          </w:p>
        </w:tc>
      </w:tr>
      <w:tr w:rsidR="00D41138" w:rsidRPr="00655DA0" w14:paraId="600B90E6" w14:textId="77777777" w:rsidTr="002748AE">
        <w:trPr>
          <w:trHeight w:val="227"/>
          <w:jc w:val="center"/>
        </w:trPr>
        <w:tc>
          <w:tcPr>
            <w:tcW w:w="1767" w:type="pct"/>
            <w:tcBorders>
              <w:top w:val="single" w:sz="4" w:space="0" w:color="000000"/>
              <w:left w:val="single" w:sz="4" w:space="0" w:color="000000"/>
              <w:bottom w:val="single" w:sz="4" w:space="0" w:color="000000"/>
              <w:right w:val="single" w:sz="4" w:space="0" w:color="000000"/>
            </w:tcBorders>
            <w:tcMar>
              <w:top w:w="28" w:type="dxa"/>
              <w:left w:w="0" w:type="dxa"/>
              <w:bottom w:w="28" w:type="dxa"/>
              <w:right w:w="0" w:type="dxa"/>
            </w:tcMar>
            <w:hideMark/>
          </w:tcPr>
          <w:p w14:paraId="65E80EAD" w14:textId="77777777" w:rsidR="00D41138" w:rsidRPr="00655DA0" w:rsidRDefault="00D41138" w:rsidP="002748AE">
            <w:pPr>
              <w:keepNext/>
              <w:ind w:left="132" w:right="139"/>
              <w:rPr>
                <w:rFonts w:ascii="Times New Roman" w:hAnsi="Times New Roman" w:cs="Times New Roman"/>
                <w:sz w:val="22"/>
                <w:szCs w:val="22"/>
                <w:lang w:eastAsia="ru-RU"/>
              </w:rPr>
            </w:pPr>
            <w:r w:rsidRPr="00655DA0">
              <w:rPr>
                <w:rFonts w:ascii="Times New Roman" w:hAnsi="Times New Roman" w:cs="Times New Roman"/>
                <w:sz w:val="22"/>
                <w:szCs w:val="22"/>
                <w:lang w:eastAsia="ru-RU"/>
              </w:rPr>
              <w:t xml:space="preserve">12 måneder til under 24 måneder </w:t>
            </w:r>
          </w:p>
          <w:p w14:paraId="1287F98A" w14:textId="77777777" w:rsidR="00D41138" w:rsidRPr="00655DA0" w:rsidRDefault="00D41138" w:rsidP="002748AE">
            <w:pPr>
              <w:keepNext/>
              <w:ind w:left="132" w:right="139"/>
              <w:rPr>
                <w:rFonts w:ascii="Times New Roman" w:hAnsi="Times New Roman" w:cs="Times New Roman"/>
                <w:sz w:val="22"/>
                <w:szCs w:val="22"/>
                <w:lang w:eastAsia="ru-RU"/>
              </w:rPr>
            </w:pPr>
            <w:r w:rsidRPr="00655DA0">
              <w:rPr>
                <w:rFonts w:ascii="Times New Roman" w:hAnsi="Times New Roman" w:cs="Times New Roman"/>
                <w:sz w:val="22"/>
                <w:szCs w:val="22"/>
                <w:lang w:eastAsia="ru-RU"/>
              </w:rPr>
              <w:t xml:space="preserve">(≥ 14 kg til &lt; 25 kg) </w:t>
            </w:r>
          </w:p>
        </w:tc>
        <w:tc>
          <w:tcPr>
            <w:tcW w:w="1541" w:type="pct"/>
            <w:tcBorders>
              <w:top w:val="single" w:sz="4" w:space="0" w:color="000000"/>
              <w:left w:val="single" w:sz="4" w:space="0" w:color="000000"/>
              <w:bottom w:val="single" w:sz="4" w:space="0" w:color="000000"/>
              <w:right w:val="single" w:sz="4" w:space="0" w:color="000000"/>
            </w:tcBorders>
            <w:tcMar>
              <w:top w:w="28" w:type="dxa"/>
              <w:left w:w="0" w:type="dxa"/>
              <w:bottom w:w="28" w:type="dxa"/>
              <w:right w:w="0" w:type="dxa"/>
            </w:tcMar>
            <w:hideMark/>
          </w:tcPr>
          <w:p w14:paraId="057CCBD3" w14:textId="77777777" w:rsidR="00D41138" w:rsidRPr="00655DA0" w:rsidRDefault="00D41138" w:rsidP="002748AE">
            <w:pPr>
              <w:keepNext/>
              <w:ind w:left="132" w:right="139"/>
              <w:jc w:val="center"/>
              <w:rPr>
                <w:rFonts w:ascii="Times New Roman" w:hAnsi="Times New Roman" w:cs="Times New Roman"/>
                <w:sz w:val="22"/>
                <w:szCs w:val="22"/>
                <w:lang w:eastAsia="ru-RU"/>
              </w:rPr>
            </w:pPr>
            <w:r w:rsidRPr="00655DA0">
              <w:rPr>
                <w:rFonts w:ascii="Times New Roman" w:hAnsi="Times New Roman" w:cs="Times New Roman"/>
                <w:sz w:val="22"/>
                <w:szCs w:val="22"/>
                <w:lang w:eastAsia="ru-RU"/>
              </w:rPr>
              <w:t xml:space="preserve">75 mg hver 12. time </w:t>
            </w:r>
          </w:p>
        </w:tc>
        <w:tc>
          <w:tcPr>
            <w:tcW w:w="846" w:type="pct"/>
            <w:tcBorders>
              <w:top w:val="single" w:sz="4" w:space="0" w:color="000000"/>
              <w:left w:val="single" w:sz="4" w:space="0" w:color="000000"/>
              <w:bottom w:val="single" w:sz="4" w:space="0" w:color="000000"/>
              <w:right w:val="single" w:sz="4" w:space="0" w:color="000000"/>
            </w:tcBorders>
            <w:tcMar>
              <w:top w:w="28" w:type="dxa"/>
              <w:left w:w="0" w:type="dxa"/>
              <w:bottom w:w="28" w:type="dxa"/>
              <w:right w:w="0" w:type="dxa"/>
            </w:tcMar>
            <w:hideMark/>
          </w:tcPr>
          <w:p w14:paraId="1FA402F8" w14:textId="77777777" w:rsidR="00D41138" w:rsidRPr="00655DA0" w:rsidRDefault="00D41138" w:rsidP="002748AE">
            <w:pPr>
              <w:keepNext/>
              <w:ind w:left="132" w:right="139"/>
              <w:jc w:val="center"/>
              <w:rPr>
                <w:rFonts w:ascii="Times New Roman" w:hAnsi="Times New Roman" w:cs="Times New Roman"/>
                <w:sz w:val="22"/>
                <w:szCs w:val="22"/>
                <w:lang w:eastAsia="ru-RU"/>
              </w:rPr>
            </w:pPr>
            <w:r w:rsidRPr="00655DA0">
              <w:rPr>
                <w:rFonts w:ascii="Times New Roman" w:hAnsi="Times New Roman" w:cs="Times New Roman"/>
                <w:sz w:val="22"/>
                <w:szCs w:val="22"/>
                <w:lang w:eastAsia="ru-RU"/>
              </w:rPr>
              <w:t xml:space="preserve">0,451 </w:t>
            </w:r>
          </w:p>
          <w:p w14:paraId="7212A91A" w14:textId="77777777" w:rsidR="00D41138" w:rsidRPr="00655DA0" w:rsidRDefault="00D41138" w:rsidP="002748AE">
            <w:pPr>
              <w:keepNext/>
              <w:ind w:left="132" w:right="139"/>
              <w:jc w:val="center"/>
              <w:rPr>
                <w:rFonts w:ascii="Times New Roman" w:hAnsi="Times New Roman" w:cs="Times New Roman"/>
                <w:sz w:val="22"/>
                <w:szCs w:val="22"/>
                <w:lang w:eastAsia="ru-RU"/>
              </w:rPr>
            </w:pPr>
            <w:r w:rsidRPr="00655DA0">
              <w:rPr>
                <w:rFonts w:ascii="Times New Roman" w:hAnsi="Times New Roman" w:cs="Times New Roman"/>
                <w:sz w:val="22"/>
                <w:szCs w:val="22"/>
                <w:lang w:eastAsia="ru-RU"/>
              </w:rPr>
              <w:t xml:space="preserve">(0,125) </w:t>
            </w:r>
          </w:p>
        </w:tc>
        <w:tc>
          <w:tcPr>
            <w:tcW w:w="846" w:type="pct"/>
            <w:tcBorders>
              <w:top w:val="single" w:sz="4" w:space="0" w:color="000000"/>
              <w:left w:val="single" w:sz="4" w:space="0" w:color="000000"/>
              <w:bottom w:val="single" w:sz="4" w:space="0" w:color="000000"/>
              <w:right w:val="single" w:sz="4" w:space="0" w:color="000000"/>
            </w:tcBorders>
            <w:tcMar>
              <w:top w:w="28" w:type="dxa"/>
              <w:left w:w="0" w:type="dxa"/>
              <w:bottom w:w="28" w:type="dxa"/>
              <w:right w:w="0" w:type="dxa"/>
            </w:tcMar>
            <w:hideMark/>
          </w:tcPr>
          <w:p w14:paraId="50EE2F73" w14:textId="77777777" w:rsidR="00D41138" w:rsidRPr="00655DA0" w:rsidRDefault="00D41138" w:rsidP="002748AE">
            <w:pPr>
              <w:keepNext/>
              <w:ind w:left="132" w:right="139"/>
              <w:jc w:val="center"/>
              <w:rPr>
                <w:rFonts w:ascii="Times New Roman" w:hAnsi="Times New Roman" w:cs="Times New Roman"/>
                <w:sz w:val="22"/>
                <w:szCs w:val="22"/>
                <w:lang w:eastAsia="ru-RU"/>
              </w:rPr>
            </w:pPr>
            <w:r w:rsidRPr="00655DA0">
              <w:rPr>
                <w:rFonts w:ascii="Times New Roman" w:hAnsi="Times New Roman" w:cs="Times New Roman"/>
                <w:sz w:val="22"/>
                <w:szCs w:val="22"/>
                <w:lang w:eastAsia="ru-RU"/>
              </w:rPr>
              <w:t xml:space="preserve">9,60 </w:t>
            </w:r>
          </w:p>
          <w:p w14:paraId="5C9F22EC" w14:textId="77777777" w:rsidR="00D41138" w:rsidRPr="00655DA0" w:rsidRDefault="00D41138" w:rsidP="002748AE">
            <w:pPr>
              <w:keepNext/>
              <w:ind w:left="132" w:right="139"/>
              <w:jc w:val="center"/>
              <w:rPr>
                <w:rFonts w:ascii="Times New Roman" w:hAnsi="Times New Roman" w:cs="Times New Roman"/>
                <w:sz w:val="22"/>
                <w:szCs w:val="22"/>
                <w:lang w:eastAsia="ru-RU"/>
              </w:rPr>
            </w:pPr>
            <w:r w:rsidRPr="00655DA0">
              <w:rPr>
                <w:rFonts w:ascii="Times New Roman" w:hAnsi="Times New Roman" w:cs="Times New Roman"/>
                <w:sz w:val="22"/>
                <w:szCs w:val="22"/>
                <w:lang w:eastAsia="ru-RU"/>
              </w:rPr>
              <w:t xml:space="preserve">(1,80) </w:t>
            </w:r>
          </w:p>
        </w:tc>
      </w:tr>
      <w:tr w:rsidR="00D41138" w:rsidRPr="00655DA0" w14:paraId="646D5083" w14:textId="77777777" w:rsidTr="002748AE">
        <w:trPr>
          <w:trHeight w:val="227"/>
          <w:jc w:val="center"/>
        </w:trPr>
        <w:tc>
          <w:tcPr>
            <w:tcW w:w="1767" w:type="pct"/>
            <w:tcBorders>
              <w:top w:val="single" w:sz="4" w:space="0" w:color="000000"/>
              <w:left w:val="single" w:sz="4" w:space="0" w:color="000000"/>
              <w:bottom w:val="single" w:sz="4" w:space="0" w:color="000000"/>
              <w:right w:val="single" w:sz="4" w:space="0" w:color="000000"/>
            </w:tcBorders>
            <w:tcMar>
              <w:top w:w="28" w:type="dxa"/>
              <w:left w:w="0" w:type="dxa"/>
              <w:bottom w:w="28" w:type="dxa"/>
              <w:right w:w="0" w:type="dxa"/>
            </w:tcMar>
            <w:hideMark/>
          </w:tcPr>
          <w:p w14:paraId="36C2A73D" w14:textId="77777777" w:rsidR="00D41138" w:rsidRPr="00655DA0" w:rsidRDefault="00D41138" w:rsidP="002748AE">
            <w:pPr>
              <w:ind w:left="132" w:right="139"/>
              <w:rPr>
                <w:rFonts w:ascii="Times New Roman" w:hAnsi="Times New Roman" w:cs="Times New Roman"/>
                <w:sz w:val="22"/>
                <w:szCs w:val="22"/>
                <w:lang w:eastAsia="ru-RU"/>
              </w:rPr>
            </w:pPr>
            <w:r w:rsidRPr="00655DA0">
              <w:rPr>
                <w:rFonts w:ascii="Times New Roman" w:hAnsi="Times New Roman" w:cs="Times New Roman"/>
                <w:sz w:val="22"/>
                <w:szCs w:val="22"/>
                <w:lang w:eastAsia="ru-RU"/>
              </w:rPr>
              <w:t xml:space="preserve">2- til 5-årige </w:t>
            </w:r>
          </w:p>
          <w:p w14:paraId="6496A746" w14:textId="77777777" w:rsidR="00D41138" w:rsidRPr="00655DA0" w:rsidRDefault="00D41138" w:rsidP="002748AE">
            <w:pPr>
              <w:ind w:left="132" w:right="139"/>
              <w:rPr>
                <w:rFonts w:ascii="Times New Roman" w:hAnsi="Times New Roman" w:cs="Times New Roman"/>
                <w:sz w:val="22"/>
                <w:szCs w:val="22"/>
                <w:lang w:eastAsia="ru-RU"/>
              </w:rPr>
            </w:pPr>
            <w:r w:rsidRPr="00655DA0">
              <w:rPr>
                <w:rFonts w:ascii="Times New Roman" w:hAnsi="Times New Roman" w:cs="Times New Roman"/>
                <w:sz w:val="22"/>
                <w:szCs w:val="22"/>
                <w:lang w:eastAsia="ru-RU"/>
              </w:rPr>
              <w:t xml:space="preserve">(&lt; 14 kg) </w:t>
            </w:r>
          </w:p>
        </w:tc>
        <w:tc>
          <w:tcPr>
            <w:tcW w:w="1541" w:type="pct"/>
            <w:tcBorders>
              <w:top w:val="single" w:sz="4" w:space="0" w:color="000000"/>
              <w:left w:val="single" w:sz="4" w:space="0" w:color="000000"/>
              <w:bottom w:val="single" w:sz="4" w:space="0" w:color="000000"/>
              <w:right w:val="single" w:sz="4" w:space="0" w:color="000000"/>
            </w:tcBorders>
            <w:tcMar>
              <w:top w:w="28" w:type="dxa"/>
              <w:left w:w="0" w:type="dxa"/>
              <w:bottom w:w="28" w:type="dxa"/>
              <w:right w:w="0" w:type="dxa"/>
            </w:tcMar>
            <w:hideMark/>
          </w:tcPr>
          <w:p w14:paraId="029C19A7" w14:textId="77777777" w:rsidR="00D41138" w:rsidRPr="00655DA0" w:rsidRDefault="00D41138" w:rsidP="002748AE">
            <w:pPr>
              <w:ind w:left="132" w:right="139"/>
              <w:jc w:val="center"/>
              <w:rPr>
                <w:rFonts w:ascii="Times New Roman" w:hAnsi="Times New Roman" w:cs="Times New Roman"/>
                <w:sz w:val="22"/>
                <w:szCs w:val="22"/>
                <w:lang w:eastAsia="ru-RU"/>
              </w:rPr>
            </w:pPr>
            <w:r w:rsidRPr="00655DA0">
              <w:rPr>
                <w:rFonts w:ascii="Times New Roman" w:hAnsi="Times New Roman" w:cs="Times New Roman"/>
                <w:sz w:val="22"/>
                <w:szCs w:val="22"/>
                <w:lang w:eastAsia="ru-RU"/>
              </w:rPr>
              <w:t xml:space="preserve">50 mg hver 12. time </w:t>
            </w:r>
          </w:p>
        </w:tc>
        <w:tc>
          <w:tcPr>
            <w:tcW w:w="846" w:type="pct"/>
            <w:tcBorders>
              <w:top w:val="single" w:sz="4" w:space="0" w:color="000000"/>
              <w:left w:val="single" w:sz="4" w:space="0" w:color="000000"/>
              <w:bottom w:val="single" w:sz="4" w:space="0" w:color="000000"/>
              <w:right w:val="single" w:sz="4" w:space="0" w:color="000000"/>
            </w:tcBorders>
            <w:tcMar>
              <w:top w:w="28" w:type="dxa"/>
              <w:left w:w="0" w:type="dxa"/>
              <w:bottom w:w="28" w:type="dxa"/>
              <w:right w:w="0" w:type="dxa"/>
            </w:tcMar>
            <w:hideMark/>
          </w:tcPr>
          <w:p w14:paraId="3990BA64" w14:textId="77777777" w:rsidR="00D41138" w:rsidRPr="00655DA0" w:rsidRDefault="00D41138" w:rsidP="002748AE">
            <w:pPr>
              <w:ind w:left="132" w:right="139"/>
              <w:jc w:val="center"/>
              <w:rPr>
                <w:rFonts w:ascii="Times New Roman" w:hAnsi="Times New Roman" w:cs="Times New Roman"/>
                <w:sz w:val="22"/>
                <w:szCs w:val="22"/>
                <w:lang w:eastAsia="ru-RU"/>
              </w:rPr>
            </w:pPr>
            <w:r w:rsidRPr="00655DA0">
              <w:rPr>
                <w:rFonts w:ascii="Times New Roman" w:hAnsi="Times New Roman" w:cs="Times New Roman"/>
                <w:sz w:val="22"/>
                <w:szCs w:val="22"/>
                <w:lang w:eastAsia="ru-RU"/>
              </w:rPr>
              <w:t xml:space="preserve">0,577 </w:t>
            </w:r>
          </w:p>
          <w:p w14:paraId="004B53F1" w14:textId="77777777" w:rsidR="00D41138" w:rsidRPr="00655DA0" w:rsidRDefault="00D41138" w:rsidP="002748AE">
            <w:pPr>
              <w:ind w:left="132" w:right="139"/>
              <w:jc w:val="center"/>
              <w:rPr>
                <w:rFonts w:ascii="Times New Roman" w:hAnsi="Times New Roman" w:cs="Times New Roman"/>
                <w:sz w:val="22"/>
                <w:szCs w:val="22"/>
                <w:lang w:eastAsia="ru-RU"/>
              </w:rPr>
            </w:pPr>
            <w:r w:rsidRPr="00655DA0">
              <w:rPr>
                <w:rFonts w:ascii="Times New Roman" w:hAnsi="Times New Roman" w:cs="Times New Roman"/>
                <w:sz w:val="22"/>
                <w:szCs w:val="22"/>
                <w:lang w:eastAsia="ru-RU"/>
              </w:rPr>
              <w:t xml:space="preserve">(0,317)  </w:t>
            </w:r>
          </w:p>
        </w:tc>
        <w:tc>
          <w:tcPr>
            <w:tcW w:w="846" w:type="pct"/>
            <w:tcBorders>
              <w:top w:val="single" w:sz="4" w:space="0" w:color="000000"/>
              <w:left w:val="single" w:sz="4" w:space="0" w:color="000000"/>
              <w:bottom w:val="single" w:sz="4" w:space="0" w:color="000000"/>
              <w:right w:val="single" w:sz="4" w:space="0" w:color="000000"/>
            </w:tcBorders>
            <w:tcMar>
              <w:top w:w="28" w:type="dxa"/>
              <w:left w:w="0" w:type="dxa"/>
              <w:bottom w:w="28" w:type="dxa"/>
              <w:right w:w="0" w:type="dxa"/>
            </w:tcMar>
            <w:hideMark/>
          </w:tcPr>
          <w:p w14:paraId="64E00536" w14:textId="77777777" w:rsidR="00D41138" w:rsidRPr="00655DA0" w:rsidRDefault="00D41138" w:rsidP="002748AE">
            <w:pPr>
              <w:ind w:left="132" w:right="139"/>
              <w:jc w:val="center"/>
              <w:rPr>
                <w:rFonts w:ascii="Times New Roman" w:hAnsi="Times New Roman" w:cs="Times New Roman"/>
                <w:sz w:val="22"/>
                <w:szCs w:val="22"/>
                <w:lang w:eastAsia="ru-RU"/>
              </w:rPr>
            </w:pPr>
            <w:r w:rsidRPr="00655DA0">
              <w:rPr>
                <w:rFonts w:ascii="Times New Roman" w:hAnsi="Times New Roman" w:cs="Times New Roman"/>
                <w:sz w:val="22"/>
                <w:szCs w:val="22"/>
                <w:lang w:eastAsia="ru-RU"/>
              </w:rPr>
              <w:t xml:space="preserve">10,50 </w:t>
            </w:r>
          </w:p>
          <w:p w14:paraId="0134DF76" w14:textId="77777777" w:rsidR="00D41138" w:rsidRPr="00655DA0" w:rsidRDefault="00D41138" w:rsidP="002748AE">
            <w:pPr>
              <w:ind w:left="132" w:right="139"/>
              <w:jc w:val="center"/>
              <w:rPr>
                <w:rFonts w:ascii="Times New Roman" w:hAnsi="Times New Roman" w:cs="Times New Roman"/>
                <w:sz w:val="22"/>
                <w:szCs w:val="22"/>
                <w:lang w:eastAsia="ru-RU"/>
              </w:rPr>
            </w:pPr>
            <w:r w:rsidRPr="00655DA0">
              <w:rPr>
                <w:rFonts w:ascii="Times New Roman" w:hAnsi="Times New Roman" w:cs="Times New Roman"/>
                <w:sz w:val="22"/>
                <w:szCs w:val="22"/>
                <w:lang w:eastAsia="ru-RU"/>
              </w:rPr>
              <w:t xml:space="preserve">(4,26) </w:t>
            </w:r>
          </w:p>
        </w:tc>
      </w:tr>
      <w:tr w:rsidR="00D41138" w:rsidRPr="00655DA0" w14:paraId="50BD767E" w14:textId="77777777" w:rsidTr="002748AE">
        <w:trPr>
          <w:trHeight w:val="227"/>
          <w:jc w:val="center"/>
        </w:trPr>
        <w:tc>
          <w:tcPr>
            <w:tcW w:w="1767" w:type="pct"/>
            <w:tcBorders>
              <w:top w:val="single" w:sz="4" w:space="0" w:color="000000"/>
              <w:left w:val="single" w:sz="4" w:space="0" w:color="000000"/>
              <w:bottom w:val="single" w:sz="4" w:space="0" w:color="000000"/>
              <w:right w:val="single" w:sz="4" w:space="0" w:color="000000"/>
            </w:tcBorders>
            <w:tcMar>
              <w:top w:w="28" w:type="dxa"/>
              <w:left w:w="0" w:type="dxa"/>
              <w:bottom w:w="28" w:type="dxa"/>
              <w:right w:w="0" w:type="dxa"/>
            </w:tcMar>
            <w:hideMark/>
          </w:tcPr>
          <w:p w14:paraId="50B69698" w14:textId="77777777" w:rsidR="00D41138" w:rsidRPr="00655DA0" w:rsidRDefault="00D41138" w:rsidP="002748AE">
            <w:pPr>
              <w:ind w:left="132" w:right="139"/>
              <w:rPr>
                <w:rFonts w:ascii="Times New Roman" w:hAnsi="Times New Roman" w:cs="Times New Roman"/>
                <w:sz w:val="22"/>
                <w:szCs w:val="22"/>
                <w:lang w:eastAsia="ru-RU"/>
              </w:rPr>
            </w:pPr>
            <w:r w:rsidRPr="00655DA0">
              <w:rPr>
                <w:rFonts w:ascii="Times New Roman" w:hAnsi="Times New Roman" w:cs="Times New Roman"/>
                <w:sz w:val="22"/>
                <w:szCs w:val="22"/>
                <w:lang w:eastAsia="ru-RU"/>
              </w:rPr>
              <w:t xml:space="preserve">2- til 5-årige </w:t>
            </w:r>
          </w:p>
          <w:p w14:paraId="07BC24D5" w14:textId="77777777" w:rsidR="00D41138" w:rsidRPr="00655DA0" w:rsidRDefault="00D41138" w:rsidP="002748AE">
            <w:pPr>
              <w:ind w:left="132" w:right="139"/>
              <w:rPr>
                <w:rFonts w:ascii="Times New Roman" w:hAnsi="Times New Roman" w:cs="Times New Roman"/>
                <w:sz w:val="22"/>
                <w:szCs w:val="22"/>
                <w:lang w:eastAsia="ru-RU"/>
              </w:rPr>
            </w:pPr>
            <w:r w:rsidRPr="00655DA0">
              <w:rPr>
                <w:rFonts w:ascii="Times New Roman" w:hAnsi="Times New Roman" w:cs="Times New Roman"/>
                <w:sz w:val="22"/>
                <w:szCs w:val="22"/>
                <w:lang w:eastAsia="ru-RU"/>
              </w:rPr>
              <w:t xml:space="preserve">(≥ 14 kg til &lt; 25 kg) </w:t>
            </w:r>
          </w:p>
        </w:tc>
        <w:tc>
          <w:tcPr>
            <w:tcW w:w="1541" w:type="pct"/>
            <w:tcBorders>
              <w:top w:val="single" w:sz="4" w:space="0" w:color="000000"/>
              <w:left w:val="single" w:sz="4" w:space="0" w:color="000000"/>
              <w:bottom w:val="single" w:sz="4" w:space="0" w:color="000000"/>
              <w:right w:val="single" w:sz="4" w:space="0" w:color="000000"/>
            </w:tcBorders>
            <w:tcMar>
              <w:top w:w="28" w:type="dxa"/>
              <w:left w:w="0" w:type="dxa"/>
              <w:bottom w:w="28" w:type="dxa"/>
              <w:right w:w="0" w:type="dxa"/>
            </w:tcMar>
            <w:hideMark/>
          </w:tcPr>
          <w:p w14:paraId="57DDAA29" w14:textId="77777777" w:rsidR="00D41138" w:rsidRPr="00655DA0" w:rsidRDefault="00D41138" w:rsidP="002748AE">
            <w:pPr>
              <w:ind w:left="132" w:right="139"/>
              <w:jc w:val="center"/>
              <w:rPr>
                <w:rFonts w:ascii="Times New Roman" w:hAnsi="Times New Roman" w:cs="Times New Roman"/>
                <w:sz w:val="22"/>
                <w:szCs w:val="22"/>
                <w:lang w:eastAsia="ru-RU"/>
              </w:rPr>
            </w:pPr>
            <w:r w:rsidRPr="00655DA0">
              <w:rPr>
                <w:rFonts w:ascii="Times New Roman" w:hAnsi="Times New Roman" w:cs="Times New Roman"/>
                <w:sz w:val="22"/>
                <w:szCs w:val="22"/>
                <w:lang w:eastAsia="ru-RU"/>
              </w:rPr>
              <w:t xml:space="preserve">75 mg hver 12. time </w:t>
            </w:r>
          </w:p>
        </w:tc>
        <w:tc>
          <w:tcPr>
            <w:tcW w:w="846" w:type="pct"/>
            <w:tcBorders>
              <w:top w:val="single" w:sz="4" w:space="0" w:color="000000"/>
              <w:left w:val="single" w:sz="4" w:space="0" w:color="000000"/>
              <w:bottom w:val="single" w:sz="4" w:space="0" w:color="000000"/>
              <w:right w:val="single" w:sz="4" w:space="0" w:color="000000"/>
            </w:tcBorders>
            <w:tcMar>
              <w:top w:w="28" w:type="dxa"/>
              <w:left w:w="0" w:type="dxa"/>
              <w:bottom w:w="28" w:type="dxa"/>
              <w:right w:w="0" w:type="dxa"/>
            </w:tcMar>
            <w:hideMark/>
          </w:tcPr>
          <w:p w14:paraId="6DD5DC3B" w14:textId="77777777" w:rsidR="00D41138" w:rsidRPr="00655DA0" w:rsidRDefault="00D41138" w:rsidP="002748AE">
            <w:pPr>
              <w:ind w:left="132" w:right="139"/>
              <w:jc w:val="center"/>
              <w:rPr>
                <w:rFonts w:ascii="Times New Roman" w:hAnsi="Times New Roman" w:cs="Times New Roman"/>
                <w:sz w:val="22"/>
                <w:szCs w:val="22"/>
                <w:lang w:eastAsia="ru-RU"/>
              </w:rPr>
            </w:pPr>
            <w:r w:rsidRPr="00655DA0">
              <w:rPr>
                <w:rFonts w:ascii="Times New Roman" w:hAnsi="Times New Roman" w:cs="Times New Roman"/>
                <w:sz w:val="22"/>
                <w:szCs w:val="22"/>
                <w:lang w:eastAsia="ru-RU"/>
              </w:rPr>
              <w:t xml:space="preserve">0,629 </w:t>
            </w:r>
          </w:p>
          <w:p w14:paraId="406EAE82" w14:textId="77777777" w:rsidR="00D41138" w:rsidRPr="00655DA0" w:rsidRDefault="00D41138" w:rsidP="002748AE">
            <w:pPr>
              <w:ind w:left="132" w:right="139"/>
              <w:jc w:val="center"/>
              <w:rPr>
                <w:rFonts w:ascii="Times New Roman" w:hAnsi="Times New Roman" w:cs="Times New Roman"/>
                <w:sz w:val="22"/>
                <w:szCs w:val="22"/>
                <w:lang w:eastAsia="ru-RU"/>
              </w:rPr>
            </w:pPr>
            <w:r w:rsidRPr="00655DA0">
              <w:rPr>
                <w:rFonts w:ascii="Times New Roman" w:hAnsi="Times New Roman" w:cs="Times New Roman"/>
                <w:sz w:val="22"/>
                <w:szCs w:val="22"/>
                <w:lang w:eastAsia="ru-RU"/>
              </w:rPr>
              <w:t xml:space="preserve">(0,296) </w:t>
            </w:r>
          </w:p>
        </w:tc>
        <w:tc>
          <w:tcPr>
            <w:tcW w:w="846" w:type="pct"/>
            <w:tcBorders>
              <w:top w:val="single" w:sz="4" w:space="0" w:color="000000"/>
              <w:left w:val="single" w:sz="4" w:space="0" w:color="000000"/>
              <w:bottom w:val="single" w:sz="4" w:space="0" w:color="000000"/>
              <w:right w:val="single" w:sz="4" w:space="0" w:color="000000"/>
            </w:tcBorders>
            <w:tcMar>
              <w:top w:w="28" w:type="dxa"/>
              <w:left w:w="0" w:type="dxa"/>
              <w:bottom w:w="28" w:type="dxa"/>
              <w:right w:w="0" w:type="dxa"/>
            </w:tcMar>
            <w:hideMark/>
          </w:tcPr>
          <w:p w14:paraId="71297A6E" w14:textId="77777777" w:rsidR="00D41138" w:rsidRPr="00655DA0" w:rsidRDefault="00D41138" w:rsidP="002748AE">
            <w:pPr>
              <w:ind w:left="132" w:right="139"/>
              <w:jc w:val="center"/>
              <w:rPr>
                <w:rFonts w:ascii="Times New Roman" w:hAnsi="Times New Roman" w:cs="Times New Roman"/>
                <w:sz w:val="22"/>
                <w:szCs w:val="22"/>
                <w:lang w:eastAsia="ru-RU"/>
              </w:rPr>
            </w:pPr>
            <w:r w:rsidRPr="00655DA0">
              <w:rPr>
                <w:rFonts w:ascii="Times New Roman" w:hAnsi="Times New Roman" w:cs="Times New Roman"/>
                <w:sz w:val="22"/>
                <w:szCs w:val="22"/>
                <w:lang w:eastAsia="ru-RU"/>
              </w:rPr>
              <w:t xml:space="preserve">11,30 </w:t>
            </w:r>
          </w:p>
          <w:p w14:paraId="5F4AB98E" w14:textId="77777777" w:rsidR="00D41138" w:rsidRPr="00655DA0" w:rsidRDefault="00D41138" w:rsidP="002748AE">
            <w:pPr>
              <w:ind w:left="132" w:right="139"/>
              <w:jc w:val="center"/>
              <w:rPr>
                <w:rFonts w:ascii="Times New Roman" w:hAnsi="Times New Roman" w:cs="Times New Roman"/>
                <w:sz w:val="22"/>
                <w:szCs w:val="22"/>
                <w:lang w:eastAsia="ru-RU"/>
              </w:rPr>
            </w:pPr>
            <w:r w:rsidRPr="00655DA0">
              <w:rPr>
                <w:rFonts w:ascii="Times New Roman" w:hAnsi="Times New Roman" w:cs="Times New Roman"/>
                <w:sz w:val="22"/>
                <w:szCs w:val="22"/>
                <w:lang w:eastAsia="ru-RU"/>
              </w:rPr>
              <w:t xml:space="preserve">(3,82) </w:t>
            </w:r>
          </w:p>
        </w:tc>
      </w:tr>
      <w:tr w:rsidR="00D41138" w:rsidRPr="00655DA0" w14:paraId="703F4871" w14:textId="77777777" w:rsidTr="002748AE">
        <w:trPr>
          <w:trHeight w:val="227"/>
          <w:jc w:val="center"/>
        </w:trPr>
        <w:tc>
          <w:tcPr>
            <w:tcW w:w="1767" w:type="pct"/>
            <w:tcBorders>
              <w:top w:val="single" w:sz="4" w:space="0" w:color="000000"/>
              <w:left w:val="single" w:sz="4" w:space="0" w:color="000000"/>
              <w:bottom w:val="single" w:sz="4" w:space="0" w:color="000000"/>
              <w:right w:val="single" w:sz="4" w:space="0" w:color="000000"/>
            </w:tcBorders>
            <w:tcMar>
              <w:top w:w="28" w:type="dxa"/>
              <w:left w:w="0" w:type="dxa"/>
              <w:bottom w:w="28" w:type="dxa"/>
              <w:right w:w="0" w:type="dxa"/>
            </w:tcMar>
            <w:hideMark/>
          </w:tcPr>
          <w:p w14:paraId="0F77ADEC" w14:textId="77777777" w:rsidR="00D41138" w:rsidRPr="00655DA0" w:rsidRDefault="00D41138" w:rsidP="002748AE">
            <w:pPr>
              <w:ind w:left="132" w:right="139"/>
              <w:rPr>
                <w:rFonts w:ascii="Times New Roman" w:hAnsi="Times New Roman" w:cs="Times New Roman"/>
                <w:sz w:val="22"/>
                <w:szCs w:val="22"/>
                <w:lang w:eastAsia="ru-RU"/>
              </w:rPr>
            </w:pPr>
            <w:r w:rsidRPr="00655DA0">
              <w:rPr>
                <w:rFonts w:ascii="Times New Roman" w:hAnsi="Times New Roman" w:cs="Times New Roman"/>
                <w:sz w:val="22"/>
                <w:szCs w:val="22"/>
                <w:lang w:eastAsia="ru-RU"/>
              </w:rPr>
              <w:t>6- til 11-årige</w:t>
            </w:r>
            <w:r w:rsidRPr="00655DA0">
              <w:rPr>
                <w:rFonts w:ascii="Times New Roman" w:hAnsi="Times New Roman" w:cs="Times New Roman"/>
                <w:sz w:val="22"/>
                <w:szCs w:val="22"/>
                <w:vertAlign w:val="superscript"/>
                <w:lang w:eastAsia="ru-RU"/>
              </w:rPr>
              <w:t>§</w:t>
            </w:r>
            <w:r w:rsidRPr="00655DA0">
              <w:rPr>
                <w:rFonts w:ascii="Times New Roman" w:hAnsi="Times New Roman" w:cs="Times New Roman"/>
                <w:sz w:val="22"/>
                <w:szCs w:val="22"/>
                <w:lang w:eastAsia="ru-RU"/>
              </w:rPr>
              <w:t xml:space="preserve"> </w:t>
            </w:r>
          </w:p>
          <w:p w14:paraId="7D57EAA8" w14:textId="77777777" w:rsidR="00D41138" w:rsidRPr="00655DA0" w:rsidRDefault="00D41138" w:rsidP="002748AE">
            <w:pPr>
              <w:ind w:left="132" w:right="139"/>
              <w:rPr>
                <w:rFonts w:ascii="Times New Roman" w:hAnsi="Times New Roman" w:cs="Times New Roman"/>
                <w:sz w:val="22"/>
                <w:szCs w:val="22"/>
                <w:lang w:eastAsia="ru-RU"/>
              </w:rPr>
            </w:pPr>
            <w:r w:rsidRPr="00655DA0">
              <w:rPr>
                <w:rFonts w:ascii="Times New Roman" w:hAnsi="Times New Roman" w:cs="Times New Roman"/>
                <w:sz w:val="22"/>
                <w:szCs w:val="22"/>
                <w:lang w:eastAsia="ru-RU"/>
              </w:rPr>
              <w:t xml:space="preserve">(≥ 14 kg til &lt; 25 kg) </w:t>
            </w:r>
          </w:p>
        </w:tc>
        <w:tc>
          <w:tcPr>
            <w:tcW w:w="1541" w:type="pct"/>
            <w:tcBorders>
              <w:top w:val="single" w:sz="4" w:space="0" w:color="000000"/>
              <w:left w:val="single" w:sz="4" w:space="0" w:color="000000"/>
              <w:bottom w:val="single" w:sz="4" w:space="0" w:color="000000"/>
              <w:right w:val="single" w:sz="4" w:space="0" w:color="000000"/>
            </w:tcBorders>
            <w:tcMar>
              <w:top w:w="28" w:type="dxa"/>
              <w:left w:w="0" w:type="dxa"/>
              <w:bottom w:w="28" w:type="dxa"/>
              <w:right w:w="0" w:type="dxa"/>
            </w:tcMar>
            <w:hideMark/>
          </w:tcPr>
          <w:p w14:paraId="30D22A84" w14:textId="77777777" w:rsidR="00D41138" w:rsidRPr="00655DA0" w:rsidRDefault="00D41138" w:rsidP="002748AE">
            <w:pPr>
              <w:ind w:left="132" w:right="139"/>
              <w:jc w:val="center"/>
              <w:rPr>
                <w:rFonts w:ascii="Times New Roman" w:hAnsi="Times New Roman" w:cs="Times New Roman"/>
                <w:sz w:val="22"/>
                <w:szCs w:val="22"/>
                <w:lang w:eastAsia="ru-RU"/>
              </w:rPr>
            </w:pPr>
            <w:r w:rsidRPr="00655DA0">
              <w:rPr>
                <w:rFonts w:ascii="Times New Roman" w:hAnsi="Times New Roman" w:cs="Times New Roman"/>
                <w:sz w:val="22"/>
                <w:szCs w:val="22"/>
                <w:lang w:eastAsia="ru-RU"/>
              </w:rPr>
              <w:t xml:space="preserve">75 mg hver 12. time </w:t>
            </w:r>
          </w:p>
        </w:tc>
        <w:tc>
          <w:tcPr>
            <w:tcW w:w="846" w:type="pct"/>
            <w:tcBorders>
              <w:top w:val="single" w:sz="4" w:space="0" w:color="000000"/>
              <w:left w:val="single" w:sz="4" w:space="0" w:color="000000"/>
              <w:bottom w:val="single" w:sz="4" w:space="0" w:color="000000"/>
              <w:right w:val="single" w:sz="4" w:space="0" w:color="000000"/>
            </w:tcBorders>
            <w:tcMar>
              <w:top w:w="28" w:type="dxa"/>
              <w:left w:w="0" w:type="dxa"/>
              <w:bottom w:w="28" w:type="dxa"/>
              <w:right w:w="0" w:type="dxa"/>
            </w:tcMar>
            <w:hideMark/>
          </w:tcPr>
          <w:p w14:paraId="09B5CA9F" w14:textId="77777777" w:rsidR="00D41138" w:rsidRPr="00655DA0" w:rsidRDefault="00D41138" w:rsidP="002748AE">
            <w:pPr>
              <w:ind w:left="132" w:right="139"/>
              <w:jc w:val="center"/>
              <w:rPr>
                <w:rFonts w:ascii="Times New Roman" w:hAnsi="Times New Roman" w:cs="Times New Roman"/>
                <w:sz w:val="22"/>
                <w:szCs w:val="22"/>
                <w:lang w:eastAsia="ru-RU"/>
              </w:rPr>
            </w:pPr>
            <w:r w:rsidRPr="00655DA0">
              <w:rPr>
                <w:rFonts w:ascii="Times New Roman" w:hAnsi="Times New Roman" w:cs="Times New Roman"/>
                <w:sz w:val="22"/>
                <w:szCs w:val="22"/>
                <w:lang w:eastAsia="ru-RU"/>
              </w:rPr>
              <w:t xml:space="preserve">0,641 </w:t>
            </w:r>
          </w:p>
          <w:p w14:paraId="1E2ADFE0" w14:textId="77777777" w:rsidR="00D41138" w:rsidRPr="00655DA0" w:rsidRDefault="00D41138" w:rsidP="002748AE">
            <w:pPr>
              <w:ind w:left="132" w:right="139"/>
              <w:jc w:val="center"/>
              <w:rPr>
                <w:rFonts w:ascii="Times New Roman" w:hAnsi="Times New Roman" w:cs="Times New Roman"/>
                <w:sz w:val="22"/>
                <w:szCs w:val="22"/>
                <w:lang w:eastAsia="ru-RU"/>
              </w:rPr>
            </w:pPr>
            <w:r w:rsidRPr="00655DA0">
              <w:rPr>
                <w:rFonts w:ascii="Times New Roman" w:hAnsi="Times New Roman" w:cs="Times New Roman"/>
                <w:sz w:val="22"/>
                <w:szCs w:val="22"/>
                <w:lang w:eastAsia="ru-RU"/>
              </w:rPr>
              <w:t xml:space="preserve">(0,329) </w:t>
            </w:r>
          </w:p>
        </w:tc>
        <w:tc>
          <w:tcPr>
            <w:tcW w:w="846" w:type="pct"/>
            <w:tcBorders>
              <w:top w:val="single" w:sz="4" w:space="0" w:color="000000"/>
              <w:left w:val="single" w:sz="4" w:space="0" w:color="000000"/>
              <w:bottom w:val="single" w:sz="4" w:space="0" w:color="000000"/>
              <w:right w:val="single" w:sz="4" w:space="0" w:color="000000"/>
            </w:tcBorders>
            <w:tcMar>
              <w:top w:w="28" w:type="dxa"/>
              <w:left w:w="0" w:type="dxa"/>
              <w:bottom w:w="28" w:type="dxa"/>
              <w:right w:w="0" w:type="dxa"/>
            </w:tcMar>
            <w:hideMark/>
          </w:tcPr>
          <w:p w14:paraId="6DDB4AFF" w14:textId="77777777" w:rsidR="00D41138" w:rsidRPr="00655DA0" w:rsidRDefault="00D41138" w:rsidP="002748AE">
            <w:pPr>
              <w:ind w:left="132" w:right="139"/>
              <w:jc w:val="center"/>
              <w:rPr>
                <w:rFonts w:ascii="Times New Roman" w:hAnsi="Times New Roman" w:cs="Times New Roman"/>
                <w:sz w:val="22"/>
                <w:szCs w:val="22"/>
                <w:lang w:eastAsia="ru-RU"/>
              </w:rPr>
            </w:pPr>
            <w:r w:rsidRPr="00655DA0">
              <w:rPr>
                <w:rFonts w:ascii="Times New Roman" w:hAnsi="Times New Roman" w:cs="Times New Roman"/>
                <w:sz w:val="22"/>
                <w:szCs w:val="22"/>
                <w:lang w:eastAsia="ru-RU"/>
              </w:rPr>
              <w:t xml:space="preserve">10,76 </w:t>
            </w:r>
          </w:p>
          <w:p w14:paraId="10D90270" w14:textId="77777777" w:rsidR="00D41138" w:rsidRPr="00655DA0" w:rsidRDefault="00D41138" w:rsidP="002748AE">
            <w:pPr>
              <w:ind w:left="132" w:right="139"/>
              <w:jc w:val="center"/>
              <w:rPr>
                <w:rFonts w:ascii="Times New Roman" w:hAnsi="Times New Roman" w:cs="Times New Roman"/>
                <w:sz w:val="22"/>
                <w:szCs w:val="22"/>
                <w:lang w:eastAsia="ru-RU"/>
              </w:rPr>
            </w:pPr>
            <w:r w:rsidRPr="00655DA0">
              <w:rPr>
                <w:rFonts w:ascii="Times New Roman" w:hAnsi="Times New Roman" w:cs="Times New Roman"/>
                <w:sz w:val="22"/>
                <w:szCs w:val="22"/>
                <w:lang w:eastAsia="ru-RU"/>
              </w:rPr>
              <w:t xml:space="preserve">(4,47) </w:t>
            </w:r>
          </w:p>
        </w:tc>
      </w:tr>
      <w:tr w:rsidR="00D41138" w:rsidRPr="00655DA0" w14:paraId="020F7A8F" w14:textId="77777777" w:rsidTr="002748AE">
        <w:trPr>
          <w:trHeight w:val="227"/>
          <w:jc w:val="center"/>
        </w:trPr>
        <w:tc>
          <w:tcPr>
            <w:tcW w:w="1767" w:type="pct"/>
            <w:tcBorders>
              <w:top w:val="single" w:sz="4" w:space="0" w:color="000000"/>
              <w:left w:val="single" w:sz="4" w:space="0" w:color="000000"/>
              <w:bottom w:val="single" w:sz="4" w:space="0" w:color="000000"/>
              <w:right w:val="single" w:sz="4" w:space="0" w:color="000000"/>
            </w:tcBorders>
            <w:tcMar>
              <w:top w:w="28" w:type="dxa"/>
              <w:left w:w="0" w:type="dxa"/>
              <w:bottom w:w="28" w:type="dxa"/>
              <w:right w:w="0" w:type="dxa"/>
            </w:tcMar>
            <w:hideMark/>
          </w:tcPr>
          <w:p w14:paraId="46CB1B60" w14:textId="77777777" w:rsidR="00D41138" w:rsidRPr="00655DA0" w:rsidRDefault="00D41138" w:rsidP="002748AE">
            <w:pPr>
              <w:ind w:left="132" w:right="139"/>
              <w:rPr>
                <w:rFonts w:ascii="Times New Roman" w:hAnsi="Times New Roman" w:cs="Times New Roman"/>
                <w:sz w:val="22"/>
                <w:szCs w:val="22"/>
                <w:lang w:eastAsia="ru-RU"/>
              </w:rPr>
            </w:pPr>
            <w:r w:rsidRPr="00655DA0">
              <w:rPr>
                <w:rFonts w:ascii="Times New Roman" w:hAnsi="Times New Roman" w:cs="Times New Roman"/>
                <w:sz w:val="22"/>
                <w:szCs w:val="22"/>
                <w:lang w:eastAsia="ru-RU"/>
              </w:rPr>
              <w:t>6- til 11-årige</w:t>
            </w:r>
            <w:r w:rsidRPr="00655DA0">
              <w:rPr>
                <w:rFonts w:ascii="Times New Roman" w:hAnsi="Times New Roman" w:cs="Times New Roman"/>
                <w:sz w:val="22"/>
                <w:szCs w:val="22"/>
                <w:vertAlign w:val="superscript"/>
                <w:lang w:eastAsia="ru-RU"/>
              </w:rPr>
              <w:t>§</w:t>
            </w:r>
            <w:r w:rsidRPr="00655DA0">
              <w:rPr>
                <w:rFonts w:ascii="Times New Roman" w:hAnsi="Times New Roman" w:cs="Times New Roman"/>
                <w:sz w:val="22"/>
                <w:szCs w:val="22"/>
                <w:lang w:eastAsia="ru-RU"/>
              </w:rPr>
              <w:t xml:space="preserve"> </w:t>
            </w:r>
          </w:p>
          <w:p w14:paraId="78E60352" w14:textId="77777777" w:rsidR="00D41138" w:rsidRPr="00655DA0" w:rsidRDefault="00D41138" w:rsidP="002748AE">
            <w:pPr>
              <w:ind w:left="132" w:right="139"/>
              <w:rPr>
                <w:rFonts w:ascii="Times New Roman" w:hAnsi="Times New Roman" w:cs="Times New Roman"/>
                <w:sz w:val="22"/>
                <w:szCs w:val="22"/>
                <w:lang w:eastAsia="ru-RU"/>
              </w:rPr>
            </w:pPr>
            <w:r w:rsidRPr="00655DA0">
              <w:rPr>
                <w:rFonts w:ascii="Times New Roman" w:hAnsi="Times New Roman" w:cs="Times New Roman"/>
                <w:sz w:val="22"/>
                <w:szCs w:val="22"/>
                <w:lang w:eastAsia="ru-RU"/>
              </w:rPr>
              <w:t xml:space="preserve">(≥ 25 kg) </w:t>
            </w:r>
          </w:p>
        </w:tc>
        <w:tc>
          <w:tcPr>
            <w:tcW w:w="1541" w:type="pct"/>
            <w:tcBorders>
              <w:top w:val="single" w:sz="4" w:space="0" w:color="000000"/>
              <w:left w:val="single" w:sz="4" w:space="0" w:color="000000"/>
              <w:bottom w:val="single" w:sz="4" w:space="0" w:color="000000"/>
              <w:right w:val="single" w:sz="4" w:space="0" w:color="000000"/>
            </w:tcBorders>
            <w:tcMar>
              <w:top w:w="28" w:type="dxa"/>
              <w:left w:w="0" w:type="dxa"/>
              <w:bottom w:w="28" w:type="dxa"/>
              <w:right w:w="0" w:type="dxa"/>
            </w:tcMar>
            <w:hideMark/>
          </w:tcPr>
          <w:p w14:paraId="2B1A4BA3" w14:textId="77777777" w:rsidR="00D41138" w:rsidRPr="00655DA0" w:rsidRDefault="00D41138" w:rsidP="002748AE">
            <w:pPr>
              <w:ind w:left="132" w:right="139"/>
              <w:jc w:val="center"/>
              <w:rPr>
                <w:rFonts w:ascii="Times New Roman" w:hAnsi="Times New Roman" w:cs="Times New Roman"/>
                <w:sz w:val="22"/>
                <w:szCs w:val="22"/>
                <w:lang w:eastAsia="ru-RU"/>
              </w:rPr>
            </w:pPr>
            <w:r w:rsidRPr="00655DA0">
              <w:rPr>
                <w:rFonts w:ascii="Times New Roman" w:hAnsi="Times New Roman" w:cs="Times New Roman"/>
                <w:sz w:val="22"/>
                <w:szCs w:val="22"/>
                <w:lang w:eastAsia="ru-RU"/>
              </w:rPr>
              <w:t xml:space="preserve">150 mg hver 12. time </w:t>
            </w:r>
          </w:p>
        </w:tc>
        <w:tc>
          <w:tcPr>
            <w:tcW w:w="846" w:type="pct"/>
            <w:tcBorders>
              <w:top w:val="single" w:sz="4" w:space="0" w:color="000000"/>
              <w:left w:val="single" w:sz="4" w:space="0" w:color="000000"/>
              <w:bottom w:val="single" w:sz="4" w:space="0" w:color="000000"/>
              <w:right w:val="single" w:sz="4" w:space="0" w:color="000000"/>
            </w:tcBorders>
            <w:tcMar>
              <w:top w:w="28" w:type="dxa"/>
              <w:left w:w="0" w:type="dxa"/>
              <w:bottom w:w="28" w:type="dxa"/>
              <w:right w:w="0" w:type="dxa"/>
            </w:tcMar>
            <w:hideMark/>
          </w:tcPr>
          <w:p w14:paraId="2AD486F4" w14:textId="77777777" w:rsidR="00D41138" w:rsidRPr="00655DA0" w:rsidRDefault="00D41138" w:rsidP="002748AE">
            <w:pPr>
              <w:ind w:left="132" w:right="139"/>
              <w:jc w:val="center"/>
              <w:rPr>
                <w:rFonts w:ascii="Times New Roman" w:hAnsi="Times New Roman" w:cs="Times New Roman"/>
                <w:sz w:val="22"/>
                <w:szCs w:val="22"/>
                <w:lang w:eastAsia="ru-RU"/>
              </w:rPr>
            </w:pPr>
            <w:r w:rsidRPr="00655DA0">
              <w:rPr>
                <w:rFonts w:ascii="Times New Roman" w:hAnsi="Times New Roman" w:cs="Times New Roman"/>
                <w:sz w:val="22"/>
                <w:szCs w:val="22"/>
                <w:lang w:eastAsia="ru-RU"/>
              </w:rPr>
              <w:t xml:space="preserve">0,958 </w:t>
            </w:r>
          </w:p>
          <w:p w14:paraId="364A1735" w14:textId="77777777" w:rsidR="00D41138" w:rsidRPr="00655DA0" w:rsidRDefault="00D41138" w:rsidP="002748AE">
            <w:pPr>
              <w:ind w:left="132" w:right="139"/>
              <w:jc w:val="center"/>
              <w:rPr>
                <w:rFonts w:ascii="Times New Roman" w:hAnsi="Times New Roman" w:cs="Times New Roman"/>
                <w:sz w:val="22"/>
                <w:szCs w:val="22"/>
                <w:lang w:eastAsia="ru-RU"/>
              </w:rPr>
            </w:pPr>
            <w:r w:rsidRPr="00655DA0">
              <w:rPr>
                <w:rFonts w:ascii="Times New Roman" w:hAnsi="Times New Roman" w:cs="Times New Roman"/>
                <w:sz w:val="22"/>
                <w:szCs w:val="22"/>
                <w:lang w:eastAsia="ru-RU"/>
              </w:rPr>
              <w:t xml:space="preserve">(0,546) </w:t>
            </w:r>
          </w:p>
        </w:tc>
        <w:tc>
          <w:tcPr>
            <w:tcW w:w="846" w:type="pct"/>
            <w:tcBorders>
              <w:top w:val="single" w:sz="4" w:space="0" w:color="000000"/>
              <w:left w:val="single" w:sz="4" w:space="0" w:color="000000"/>
              <w:bottom w:val="single" w:sz="4" w:space="0" w:color="000000"/>
              <w:right w:val="single" w:sz="4" w:space="0" w:color="000000"/>
            </w:tcBorders>
            <w:tcMar>
              <w:top w:w="28" w:type="dxa"/>
              <w:left w:w="0" w:type="dxa"/>
              <w:bottom w:w="28" w:type="dxa"/>
              <w:right w:w="0" w:type="dxa"/>
            </w:tcMar>
            <w:hideMark/>
          </w:tcPr>
          <w:p w14:paraId="53691A8E" w14:textId="77777777" w:rsidR="00D41138" w:rsidRPr="00655DA0" w:rsidRDefault="00D41138" w:rsidP="002748AE">
            <w:pPr>
              <w:ind w:left="132" w:right="139"/>
              <w:jc w:val="center"/>
              <w:rPr>
                <w:rFonts w:ascii="Times New Roman" w:hAnsi="Times New Roman" w:cs="Times New Roman"/>
                <w:sz w:val="22"/>
                <w:szCs w:val="22"/>
                <w:lang w:eastAsia="ru-RU"/>
              </w:rPr>
            </w:pPr>
            <w:r w:rsidRPr="00655DA0">
              <w:rPr>
                <w:rFonts w:ascii="Times New Roman" w:hAnsi="Times New Roman" w:cs="Times New Roman"/>
                <w:sz w:val="22"/>
                <w:szCs w:val="22"/>
                <w:lang w:eastAsia="ru-RU"/>
              </w:rPr>
              <w:t>15,30</w:t>
            </w:r>
          </w:p>
          <w:p w14:paraId="022C8C50" w14:textId="77777777" w:rsidR="00D41138" w:rsidRPr="00655DA0" w:rsidRDefault="00D41138" w:rsidP="002748AE">
            <w:pPr>
              <w:ind w:left="132" w:right="139"/>
              <w:jc w:val="center"/>
              <w:rPr>
                <w:rFonts w:ascii="Times New Roman" w:hAnsi="Times New Roman" w:cs="Times New Roman"/>
                <w:sz w:val="22"/>
                <w:szCs w:val="22"/>
                <w:lang w:eastAsia="ru-RU"/>
              </w:rPr>
            </w:pPr>
            <w:r w:rsidRPr="00655DA0">
              <w:rPr>
                <w:rFonts w:ascii="Times New Roman" w:hAnsi="Times New Roman" w:cs="Times New Roman"/>
                <w:sz w:val="22"/>
                <w:szCs w:val="22"/>
                <w:lang w:eastAsia="ru-RU"/>
              </w:rPr>
              <w:t xml:space="preserve"> (7,34) </w:t>
            </w:r>
          </w:p>
        </w:tc>
      </w:tr>
      <w:tr w:rsidR="00D41138" w:rsidRPr="00655DA0" w14:paraId="3EC0DCE5" w14:textId="77777777" w:rsidTr="002748AE">
        <w:trPr>
          <w:trHeight w:val="227"/>
          <w:jc w:val="center"/>
        </w:trPr>
        <w:tc>
          <w:tcPr>
            <w:tcW w:w="1767" w:type="pct"/>
            <w:tcBorders>
              <w:top w:val="single" w:sz="4" w:space="0" w:color="000000"/>
              <w:left w:val="single" w:sz="4" w:space="0" w:color="000000"/>
              <w:bottom w:val="single" w:sz="4" w:space="0" w:color="000000"/>
              <w:right w:val="single" w:sz="4" w:space="0" w:color="000000"/>
            </w:tcBorders>
            <w:tcMar>
              <w:top w:w="28" w:type="dxa"/>
              <w:left w:w="0" w:type="dxa"/>
              <w:bottom w:w="28" w:type="dxa"/>
              <w:right w:w="0" w:type="dxa"/>
            </w:tcMar>
            <w:hideMark/>
          </w:tcPr>
          <w:p w14:paraId="26DD7AD9" w14:textId="77777777" w:rsidR="00D41138" w:rsidRPr="00655DA0" w:rsidRDefault="00D41138" w:rsidP="002748AE">
            <w:pPr>
              <w:ind w:left="132" w:right="139"/>
              <w:rPr>
                <w:rFonts w:ascii="Times New Roman" w:hAnsi="Times New Roman" w:cs="Times New Roman"/>
                <w:sz w:val="22"/>
                <w:szCs w:val="22"/>
                <w:lang w:eastAsia="ru-RU"/>
              </w:rPr>
            </w:pPr>
            <w:r w:rsidRPr="00655DA0">
              <w:rPr>
                <w:rFonts w:ascii="Times New Roman" w:hAnsi="Times New Roman" w:cs="Times New Roman"/>
                <w:sz w:val="22"/>
                <w:szCs w:val="22"/>
                <w:lang w:eastAsia="ru-RU"/>
              </w:rPr>
              <w:t xml:space="preserve">12- til 17-årige </w:t>
            </w:r>
          </w:p>
        </w:tc>
        <w:tc>
          <w:tcPr>
            <w:tcW w:w="1541" w:type="pct"/>
            <w:tcBorders>
              <w:top w:val="single" w:sz="4" w:space="0" w:color="000000"/>
              <w:left w:val="single" w:sz="4" w:space="0" w:color="000000"/>
              <w:bottom w:val="single" w:sz="4" w:space="0" w:color="000000"/>
              <w:right w:val="single" w:sz="4" w:space="0" w:color="000000"/>
            </w:tcBorders>
            <w:tcMar>
              <w:top w:w="28" w:type="dxa"/>
              <w:left w:w="0" w:type="dxa"/>
              <w:bottom w:w="28" w:type="dxa"/>
              <w:right w:w="0" w:type="dxa"/>
            </w:tcMar>
            <w:hideMark/>
          </w:tcPr>
          <w:p w14:paraId="19BE9878" w14:textId="77777777" w:rsidR="00D41138" w:rsidRPr="00655DA0" w:rsidRDefault="00D41138" w:rsidP="002748AE">
            <w:pPr>
              <w:ind w:left="132" w:right="139"/>
              <w:jc w:val="center"/>
              <w:rPr>
                <w:rFonts w:ascii="Times New Roman" w:hAnsi="Times New Roman" w:cs="Times New Roman"/>
                <w:sz w:val="22"/>
                <w:szCs w:val="22"/>
                <w:lang w:eastAsia="ru-RU"/>
              </w:rPr>
            </w:pPr>
            <w:r w:rsidRPr="00655DA0">
              <w:rPr>
                <w:rFonts w:ascii="Times New Roman" w:hAnsi="Times New Roman" w:cs="Times New Roman"/>
                <w:sz w:val="22"/>
                <w:szCs w:val="22"/>
                <w:lang w:eastAsia="ru-RU"/>
              </w:rPr>
              <w:t xml:space="preserve">150 mg hver 12. time </w:t>
            </w:r>
          </w:p>
        </w:tc>
        <w:tc>
          <w:tcPr>
            <w:tcW w:w="846" w:type="pct"/>
            <w:tcBorders>
              <w:top w:val="single" w:sz="4" w:space="0" w:color="000000"/>
              <w:left w:val="single" w:sz="4" w:space="0" w:color="000000"/>
              <w:bottom w:val="single" w:sz="4" w:space="0" w:color="000000"/>
              <w:right w:val="single" w:sz="4" w:space="0" w:color="000000"/>
            </w:tcBorders>
            <w:tcMar>
              <w:top w:w="28" w:type="dxa"/>
              <w:left w:w="0" w:type="dxa"/>
              <w:bottom w:w="28" w:type="dxa"/>
              <w:right w:w="0" w:type="dxa"/>
            </w:tcMar>
            <w:hideMark/>
          </w:tcPr>
          <w:p w14:paraId="3FEBE3EC" w14:textId="77777777" w:rsidR="00D41138" w:rsidRPr="00655DA0" w:rsidRDefault="00D41138" w:rsidP="002748AE">
            <w:pPr>
              <w:ind w:left="132" w:right="139"/>
              <w:jc w:val="center"/>
              <w:rPr>
                <w:rFonts w:ascii="Times New Roman" w:hAnsi="Times New Roman" w:cs="Times New Roman"/>
                <w:sz w:val="22"/>
                <w:szCs w:val="22"/>
                <w:lang w:eastAsia="ru-RU"/>
              </w:rPr>
            </w:pPr>
            <w:r w:rsidRPr="00655DA0">
              <w:rPr>
                <w:rFonts w:ascii="Times New Roman" w:hAnsi="Times New Roman" w:cs="Times New Roman"/>
                <w:sz w:val="22"/>
                <w:szCs w:val="22"/>
                <w:lang w:eastAsia="ru-RU"/>
              </w:rPr>
              <w:t xml:space="preserve">0,564 </w:t>
            </w:r>
          </w:p>
          <w:p w14:paraId="5793B4A4" w14:textId="77777777" w:rsidR="00D41138" w:rsidRPr="00655DA0" w:rsidRDefault="00D41138" w:rsidP="002748AE">
            <w:pPr>
              <w:ind w:left="132" w:right="139"/>
              <w:jc w:val="center"/>
              <w:rPr>
                <w:rFonts w:ascii="Times New Roman" w:hAnsi="Times New Roman" w:cs="Times New Roman"/>
                <w:sz w:val="22"/>
                <w:szCs w:val="22"/>
                <w:lang w:eastAsia="ru-RU"/>
              </w:rPr>
            </w:pPr>
            <w:r w:rsidRPr="00655DA0">
              <w:rPr>
                <w:rFonts w:ascii="Times New Roman" w:hAnsi="Times New Roman" w:cs="Times New Roman"/>
                <w:sz w:val="22"/>
                <w:szCs w:val="22"/>
                <w:lang w:eastAsia="ru-RU"/>
              </w:rPr>
              <w:t xml:space="preserve">(0,242) </w:t>
            </w:r>
          </w:p>
        </w:tc>
        <w:tc>
          <w:tcPr>
            <w:tcW w:w="846" w:type="pct"/>
            <w:tcBorders>
              <w:top w:val="single" w:sz="4" w:space="0" w:color="000000"/>
              <w:left w:val="single" w:sz="4" w:space="0" w:color="000000"/>
              <w:bottom w:val="single" w:sz="4" w:space="0" w:color="000000"/>
              <w:right w:val="single" w:sz="4" w:space="0" w:color="000000"/>
            </w:tcBorders>
            <w:tcMar>
              <w:top w:w="28" w:type="dxa"/>
              <w:left w:w="0" w:type="dxa"/>
              <w:bottom w:w="28" w:type="dxa"/>
              <w:right w:w="0" w:type="dxa"/>
            </w:tcMar>
            <w:hideMark/>
          </w:tcPr>
          <w:p w14:paraId="5885E499" w14:textId="77777777" w:rsidR="00D41138" w:rsidRPr="00655DA0" w:rsidRDefault="00D41138" w:rsidP="002748AE">
            <w:pPr>
              <w:ind w:left="132" w:right="139"/>
              <w:jc w:val="center"/>
              <w:rPr>
                <w:rFonts w:ascii="Times New Roman" w:hAnsi="Times New Roman" w:cs="Times New Roman"/>
                <w:sz w:val="22"/>
                <w:szCs w:val="22"/>
                <w:lang w:eastAsia="ru-RU"/>
              </w:rPr>
            </w:pPr>
            <w:r w:rsidRPr="00655DA0">
              <w:rPr>
                <w:rFonts w:ascii="Times New Roman" w:hAnsi="Times New Roman" w:cs="Times New Roman"/>
                <w:sz w:val="22"/>
                <w:szCs w:val="22"/>
                <w:lang w:eastAsia="ru-RU"/>
              </w:rPr>
              <w:t xml:space="preserve">9,24 </w:t>
            </w:r>
          </w:p>
          <w:p w14:paraId="239FA670" w14:textId="77777777" w:rsidR="00D41138" w:rsidRPr="00655DA0" w:rsidRDefault="00D41138" w:rsidP="002748AE">
            <w:pPr>
              <w:ind w:left="132" w:right="139"/>
              <w:jc w:val="center"/>
              <w:rPr>
                <w:rFonts w:ascii="Times New Roman" w:hAnsi="Times New Roman" w:cs="Times New Roman"/>
                <w:sz w:val="22"/>
                <w:szCs w:val="22"/>
                <w:lang w:eastAsia="ru-RU"/>
              </w:rPr>
            </w:pPr>
            <w:r w:rsidRPr="00655DA0">
              <w:rPr>
                <w:rFonts w:ascii="Times New Roman" w:hAnsi="Times New Roman" w:cs="Times New Roman"/>
                <w:sz w:val="22"/>
                <w:szCs w:val="22"/>
                <w:lang w:eastAsia="ru-RU"/>
              </w:rPr>
              <w:t xml:space="preserve">(3,42) </w:t>
            </w:r>
          </w:p>
        </w:tc>
      </w:tr>
      <w:tr w:rsidR="00D41138" w:rsidRPr="00655DA0" w14:paraId="08B90185" w14:textId="77777777" w:rsidTr="002748AE">
        <w:trPr>
          <w:trHeight w:val="227"/>
          <w:jc w:val="center"/>
        </w:trPr>
        <w:tc>
          <w:tcPr>
            <w:tcW w:w="1767" w:type="pct"/>
            <w:tcBorders>
              <w:top w:val="single" w:sz="4" w:space="0" w:color="000000"/>
              <w:left w:val="single" w:sz="4" w:space="0" w:color="000000"/>
              <w:bottom w:val="single" w:sz="4" w:space="0" w:color="000000"/>
              <w:right w:val="single" w:sz="4" w:space="0" w:color="000000"/>
            </w:tcBorders>
            <w:tcMar>
              <w:top w:w="28" w:type="dxa"/>
              <w:left w:w="0" w:type="dxa"/>
              <w:bottom w:w="28" w:type="dxa"/>
              <w:right w:w="0" w:type="dxa"/>
            </w:tcMar>
            <w:hideMark/>
          </w:tcPr>
          <w:p w14:paraId="07E71E9A" w14:textId="77777777" w:rsidR="00D41138" w:rsidRPr="00655DA0" w:rsidRDefault="00D41138" w:rsidP="002748AE">
            <w:pPr>
              <w:ind w:left="132" w:right="139"/>
              <w:rPr>
                <w:rFonts w:ascii="Times New Roman" w:hAnsi="Times New Roman" w:cs="Times New Roman"/>
                <w:sz w:val="22"/>
                <w:szCs w:val="22"/>
                <w:lang w:eastAsia="ru-RU"/>
              </w:rPr>
            </w:pPr>
            <w:r w:rsidRPr="00655DA0">
              <w:rPr>
                <w:rFonts w:ascii="Times New Roman" w:hAnsi="Times New Roman" w:cs="Times New Roman"/>
                <w:sz w:val="22"/>
                <w:szCs w:val="22"/>
                <w:lang w:eastAsia="ru-RU"/>
              </w:rPr>
              <w:t xml:space="preserve">Voksne (≥ 18 år) </w:t>
            </w:r>
          </w:p>
        </w:tc>
        <w:tc>
          <w:tcPr>
            <w:tcW w:w="1541" w:type="pct"/>
            <w:tcBorders>
              <w:top w:val="single" w:sz="4" w:space="0" w:color="000000"/>
              <w:left w:val="single" w:sz="4" w:space="0" w:color="000000"/>
              <w:bottom w:val="single" w:sz="4" w:space="0" w:color="000000"/>
              <w:right w:val="single" w:sz="4" w:space="0" w:color="000000"/>
            </w:tcBorders>
            <w:tcMar>
              <w:top w:w="28" w:type="dxa"/>
              <w:left w:w="0" w:type="dxa"/>
              <w:bottom w:w="28" w:type="dxa"/>
              <w:right w:w="0" w:type="dxa"/>
            </w:tcMar>
            <w:hideMark/>
          </w:tcPr>
          <w:p w14:paraId="488DB284" w14:textId="77777777" w:rsidR="00D41138" w:rsidRPr="00655DA0" w:rsidRDefault="00D41138" w:rsidP="002748AE">
            <w:pPr>
              <w:ind w:left="132" w:right="139"/>
              <w:jc w:val="center"/>
              <w:rPr>
                <w:rFonts w:ascii="Times New Roman" w:hAnsi="Times New Roman" w:cs="Times New Roman"/>
                <w:sz w:val="22"/>
                <w:szCs w:val="22"/>
                <w:lang w:eastAsia="ru-RU"/>
              </w:rPr>
            </w:pPr>
            <w:r w:rsidRPr="00655DA0">
              <w:rPr>
                <w:rFonts w:ascii="Times New Roman" w:hAnsi="Times New Roman" w:cs="Times New Roman"/>
                <w:sz w:val="22"/>
                <w:szCs w:val="22"/>
                <w:lang w:eastAsia="ru-RU"/>
              </w:rPr>
              <w:t xml:space="preserve">150 mg hver 12. time </w:t>
            </w:r>
          </w:p>
        </w:tc>
        <w:tc>
          <w:tcPr>
            <w:tcW w:w="846" w:type="pct"/>
            <w:tcBorders>
              <w:top w:val="single" w:sz="4" w:space="0" w:color="000000"/>
              <w:left w:val="single" w:sz="4" w:space="0" w:color="000000"/>
              <w:bottom w:val="single" w:sz="4" w:space="0" w:color="000000"/>
              <w:right w:val="single" w:sz="4" w:space="0" w:color="000000"/>
            </w:tcBorders>
            <w:tcMar>
              <w:top w:w="28" w:type="dxa"/>
              <w:left w:w="0" w:type="dxa"/>
              <w:bottom w:w="28" w:type="dxa"/>
              <w:right w:w="0" w:type="dxa"/>
            </w:tcMar>
            <w:hideMark/>
          </w:tcPr>
          <w:p w14:paraId="7F06511C" w14:textId="77777777" w:rsidR="00D41138" w:rsidRPr="00655DA0" w:rsidRDefault="00D41138" w:rsidP="002748AE">
            <w:pPr>
              <w:ind w:left="132" w:right="139"/>
              <w:jc w:val="center"/>
              <w:rPr>
                <w:rFonts w:ascii="Times New Roman" w:hAnsi="Times New Roman" w:cs="Times New Roman"/>
                <w:sz w:val="22"/>
                <w:szCs w:val="22"/>
                <w:lang w:eastAsia="ru-RU"/>
              </w:rPr>
            </w:pPr>
            <w:r w:rsidRPr="00655DA0">
              <w:rPr>
                <w:rFonts w:ascii="Times New Roman" w:hAnsi="Times New Roman" w:cs="Times New Roman"/>
                <w:sz w:val="22"/>
                <w:szCs w:val="22"/>
                <w:lang w:eastAsia="ru-RU"/>
              </w:rPr>
              <w:t xml:space="preserve">0,701 </w:t>
            </w:r>
          </w:p>
          <w:p w14:paraId="3062933D" w14:textId="77777777" w:rsidR="00D41138" w:rsidRPr="00655DA0" w:rsidRDefault="00D41138" w:rsidP="002748AE">
            <w:pPr>
              <w:ind w:left="132" w:right="139"/>
              <w:jc w:val="center"/>
              <w:rPr>
                <w:rFonts w:ascii="Times New Roman" w:hAnsi="Times New Roman" w:cs="Times New Roman"/>
                <w:sz w:val="22"/>
                <w:szCs w:val="22"/>
                <w:lang w:eastAsia="ru-RU"/>
              </w:rPr>
            </w:pPr>
            <w:r w:rsidRPr="00655DA0">
              <w:rPr>
                <w:rFonts w:ascii="Times New Roman" w:hAnsi="Times New Roman" w:cs="Times New Roman"/>
                <w:sz w:val="22"/>
                <w:szCs w:val="22"/>
                <w:lang w:eastAsia="ru-RU"/>
              </w:rPr>
              <w:t xml:space="preserve">(0,317) </w:t>
            </w:r>
          </w:p>
        </w:tc>
        <w:tc>
          <w:tcPr>
            <w:tcW w:w="846" w:type="pct"/>
            <w:tcBorders>
              <w:top w:val="single" w:sz="4" w:space="0" w:color="000000"/>
              <w:left w:val="single" w:sz="4" w:space="0" w:color="000000"/>
              <w:bottom w:val="single" w:sz="4" w:space="0" w:color="000000"/>
              <w:right w:val="single" w:sz="4" w:space="0" w:color="000000"/>
            </w:tcBorders>
            <w:tcMar>
              <w:top w:w="28" w:type="dxa"/>
              <w:left w:w="0" w:type="dxa"/>
              <w:bottom w:w="28" w:type="dxa"/>
              <w:right w:w="0" w:type="dxa"/>
            </w:tcMar>
            <w:hideMark/>
          </w:tcPr>
          <w:p w14:paraId="50B74C92" w14:textId="77777777" w:rsidR="00D41138" w:rsidRPr="00655DA0" w:rsidRDefault="00D41138" w:rsidP="002748AE">
            <w:pPr>
              <w:ind w:left="132" w:right="139"/>
              <w:jc w:val="center"/>
              <w:rPr>
                <w:rFonts w:ascii="Times New Roman" w:hAnsi="Times New Roman" w:cs="Times New Roman"/>
                <w:sz w:val="22"/>
                <w:szCs w:val="22"/>
                <w:lang w:eastAsia="ru-RU"/>
              </w:rPr>
            </w:pPr>
            <w:r w:rsidRPr="00655DA0">
              <w:rPr>
                <w:rFonts w:ascii="Times New Roman" w:hAnsi="Times New Roman" w:cs="Times New Roman"/>
                <w:sz w:val="22"/>
                <w:szCs w:val="22"/>
                <w:lang w:eastAsia="ru-RU"/>
              </w:rPr>
              <w:t xml:space="preserve">10,70 </w:t>
            </w:r>
          </w:p>
          <w:p w14:paraId="23016CD6" w14:textId="77777777" w:rsidR="00D41138" w:rsidRPr="00655DA0" w:rsidRDefault="00D41138" w:rsidP="002748AE">
            <w:pPr>
              <w:ind w:left="132" w:right="139"/>
              <w:jc w:val="center"/>
              <w:rPr>
                <w:rFonts w:ascii="Times New Roman" w:hAnsi="Times New Roman" w:cs="Times New Roman"/>
                <w:sz w:val="22"/>
                <w:szCs w:val="22"/>
                <w:lang w:eastAsia="ru-RU"/>
              </w:rPr>
            </w:pPr>
            <w:r w:rsidRPr="00655DA0">
              <w:rPr>
                <w:rFonts w:ascii="Times New Roman" w:hAnsi="Times New Roman" w:cs="Times New Roman"/>
                <w:sz w:val="22"/>
                <w:szCs w:val="22"/>
                <w:lang w:eastAsia="ru-RU"/>
              </w:rPr>
              <w:t xml:space="preserve">(4,10) </w:t>
            </w:r>
          </w:p>
        </w:tc>
      </w:tr>
    </w:tbl>
    <w:p w14:paraId="3C7C1280" w14:textId="0D88BE05" w:rsidR="00D41138" w:rsidRPr="00655DA0" w:rsidRDefault="00D41138" w:rsidP="00337216">
      <w:pPr>
        <w:pStyle w:val="Brdtekst"/>
        <w:suppressAutoHyphens/>
        <w:kinsoku w:val="0"/>
        <w:overflowPunct w:val="0"/>
        <w:ind w:left="284" w:hanging="284"/>
        <w:rPr>
          <w:color w:val="000000" w:themeColor="text1"/>
          <w:sz w:val="20"/>
          <w:szCs w:val="20"/>
        </w:rPr>
      </w:pPr>
      <w:r w:rsidRPr="00655DA0">
        <w:rPr>
          <w:color w:val="000000" w:themeColor="text1"/>
          <w:sz w:val="20"/>
          <w:szCs w:val="20"/>
          <w:vertAlign w:val="superscript"/>
        </w:rPr>
        <w:t>*</w:t>
      </w:r>
      <w:r w:rsidRPr="00655DA0">
        <w:rPr>
          <w:color w:val="000000" w:themeColor="text1"/>
          <w:sz w:val="20"/>
          <w:szCs w:val="20"/>
        </w:rPr>
        <w:t xml:space="preserve"> </w:t>
      </w:r>
      <w:r w:rsidR="00337216" w:rsidRPr="00655DA0">
        <w:rPr>
          <w:color w:val="000000" w:themeColor="text1"/>
          <w:sz w:val="20"/>
          <w:szCs w:val="20"/>
        </w:rPr>
        <w:tab/>
      </w:r>
      <w:r w:rsidRPr="00655DA0">
        <w:rPr>
          <w:color w:val="000000" w:themeColor="text1"/>
          <w:sz w:val="20"/>
          <w:szCs w:val="20"/>
        </w:rPr>
        <w:t xml:space="preserve">Patienter i alderen 1 måned til under 6 måneder havde en gestationsalder på ≥ 37 uger. </w:t>
      </w:r>
    </w:p>
    <w:p w14:paraId="7EDE8167" w14:textId="51EE79E4" w:rsidR="00D41138" w:rsidRPr="00655DA0" w:rsidRDefault="00D41138" w:rsidP="00337216">
      <w:pPr>
        <w:pStyle w:val="Brdtekst"/>
        <w:suppressAutoHyphens/>
        <w:kinsoku w:val="0"/>
        <w:overflowPunct w:val="0"/>
        <w:ind w:left="284" w:hanging="284"/>
        <w:rPr>
          <w:color w:val="000000" w:themeColor="text1"/>
          <w:sz w:val="20"/>
          <w:szCs w:val="20"/>
        </w:rPr>
      </w:pPr>
      <w:r w:rsidRPr="00655DA0">
        <w:rPr>
          <w:color w:val="000000" w:themeColor="text1"/>
          <w:sz w:val="20"/>
          <w:szCs w:val="20"/>
          <w:vertAlign w:val="superscript"/>
        </w:rPr>
        <w:t xml:space="preserve">† </w:t>
      </w:r>
      <w:r w:rsidR="00337216" w:rsidRPr="00655DA0">
        <w:rPr>
          <w:color w:val="000000" w:themeColor="text1"/>
          <w:sz w:val="20"/>
          <w:szCs w:val="20"/>
          <w:vertAlign w:val="superscript"/>
        </w:rPr>
        <w:tab/>
      </w:r>
      <w:r w:rsidRPr="00655DA0">
        <w:rPr>
          <w:color w:val="000000" w:themeColor="text1"/>
          <w:sz w:val="20"/>
          <w:szCs w:val="20"/>
        </w:rPr>
        <w:t xml:space="preserve">Eksponeringer for alderen 1 måned til under 4 måneder er projektioner baseret på simuleringer fra den fysiologisk baserede populationsfarmakokinetiske model med data opnået for denne aldersgruppe </w:t>
      </w:r>
    </w:p>
    <w:p w14:paraId="39174281" w14:textId="44C702E2" w:rsidR="00D41138" w:rsidRPr="00655DA0" w:rsidRDefault="00D41138" w:rsidP="00337216">
      <w:pPr>
        <w:pStyle w:val="Brdtekst"/>
        <w:suppressAutoHyphens/>
        <w:kinsoku w:val="0"/>
        <w:overflowPunct w:val="0"/>
        <w:ind w:left="284" w:hanging="284"/>
        <w:rPr>
          <w:color w:val="000000" w:themeColor="text1"/>
          <w:sz w:val="20"/>
          <w:szCs w:val="20"/>
        </w:rPr>
      </w:pPr>
      <w:r w:rsidRPr="00655DA0">
        <w:rPr>
          <w:color w:val="000000" w:themeColor="text1"/>
          <w:sz w:val="20"/>
          <w:szCs w:val="20"/>
        </w:rPr>
        <w:t xml:space="preserve">‡ </w:t>
      </w:r>
      <w:r w:rsidR="00337216" w:rsidRPr="00655DA0">
        <w:rPr>
          <w:color w:val="000000" w:themeColor="text1"/>
          <w:sz w:val="20"/>
          <w:szCs w:val="20"/>
        </w:rPr>
        <w:tab/>
      </w:r>
      <w:r w:rsidRPr="00655DA0">
        <w:rPr>
          <w:color w:val="000000" w:themeColor="text1"/>
          <w:sz w:val="20"/>
          <w:szCs w:val="20"/>
        </w:rPr>
        <w:t>Værdier baseret på data fra en enkelt patient; standardafvigelse ikke rapporteret.</w:t>
      </w:r>
    </w:p>
    <w:p w14:paraId="4C5F32E4" w14:textId="21C676E3" w:rsidR="00D41138" w:rsidRPr="00655DA0" w:rsidRDefault="00D41138" w:rsidP="00337216">
      <w:pPr>
        <w:pStyle w:val="Brdtekst"/>
        <w:suppressAutoHyphens/>
        <w:kinsoku w:val="0"/>
        <w:overflowPunct w:val="0"/>
        <w:ind w:left="284" w:hanging="284"/>
        <w:rPr>
          <w:color w:val="000000" w:themeColor="text1"/>
          <w:sz w:val="20"/>
          <w:szCs w:val="20"/>
        </w:rPr>
      </w:pPr>
      <w:r w:rsidRPr="00655DA0">
        <w:rPr>
          <w:color w:val="000000" w:themeColor="text1"/>
          <w:sz w:val="20"/>
          <w:szCs w:val="20"/>
          <w:vertAlign w:val="superscript"/>
        </w:rPr>
        <w:t>§</w:t>
      </w:r>
      <w:r w:rsidRPr="00655DA0">
        <w:rPr>
          <w:color w:val="000000" w:themeColor="text1"/>
          <w:sz w:val="20"/>
          <w:szCs w:val="20"/>
        </w:rPr>
        <w:t xml:space="preserve"> </w:t>
      </w:r>
      <w:r w:rsidR="00337216" w:rsidRPr="00655DA0">
        <w:rPr>
          <w:color w:val="000000" w:themeColor="text1"/>
          <w:sz w:val="20"/>
          <w:szCs w:val="20"/>
        </w:rPr>
        <w:tab/>
      </w:r>
      <w:r w:rsidRPr="00655DA0">
        <w:rPr>
          <w:color w:val="000000" w:themeColor="text1"/>
          <w:sz w:val="20"/>
          <w:szCs w:val="20"/>
        </w:rPr>
        <w:t xml:space="preserve">Eksponeringer hos 6- til 11-årige er projektioner baseret på simuleringer fra den populationsfarmakokinetiske model med data opnået for denne aldersgruppe. </w:t>
      </w:r>
    </w:p>
    <w:p w14:paraId="54145638" w14:textId="77777777" w:rsidR="009260DE" w:rsidRPr="002748AE" w:rsidRDefault="009260DE" w:rsidP="009260DE">
      <w:pPr>
        <w:tabs>
          <w:tab w:val="left" w:pos="851"/>
        </w:tabs>
        <w:ind w:left="851"/>
        <w:rPr>
          <w:sz w:val="24"/>
          <w:szCs w:val="24"/>
        </w:rPr>
      </w:pPr>
    </w:p>
    <w:p w14:paraId="2B3C76A4" w14:textId="77777777" w:rsidR="009260DE" w:rsidRPr="002748AE" w:rsidRDefault="009260DE" w:rsidP="009260DE">
      <w:pPr>
        <w:tabs>
          <w:tab w:val="left" w:pos="851"/>
        </w:tabs>
        <w:ind w:left="851" w:hanging="851"/>
        <w:rPr>
          <w:b/>
          <w:sz w:val="24"/>
          <w:szCs w:val="24"/>
        </w:rPr>
      </w:pPr>
      <w:r w:rsidRPr="002748AE">
        <w:rPr>
          <w:b/>
          <w:sz w:val="24"/>
          <w:szCs w:val="24"/>
        </w:rPr>
        <w:t>5.3</w:t>
      </w:r>
      <w:r w:rsidRPr="002748AE">
        <w:rPr>
          <w:b/>
          <w:sz w:val="24"/>
          <w:szCs w:val="24"/>
        </w:rPr>
        <w:tab/>
      </w:r>
      <w:r w:rsidR="00BD7931" w:rsidRPr="002748AE">
        <w:rPr>
          <w:b/>
          <w:sz w:val="24"/>
          <w:szCs w:val="24"/>
        </w:rPr>
        <w:t>Non-</w:t>
      </w:r>
      <w:r w:rsidRPr="002748AE">
        <w:rPr>
          <w:b/>
          <w:sz w:val="24"/>
          <w:szCs w:val="24"/>
        </w:rPr>
        <w:t>kliniske sikkerhedsdata</w:t>
      </w:r>
    </w:p>
    <w:p w14:paraId="26A9059B" w14:textId="77777777" w:rsidR="00D41138" w:rsidRPr="002748AE" w:rsidRDefault="00D41138" w:rsidP="002748AE">
      <w:pPr>
        <w:ind w:left="851"/>
        <w:rPr>
          <w:sz w:val="24"/>
          <w:szCs w:val="24"/>
        </w:rPr>
      </w:pPr>
      <w:r w:rsidRPr="002748AE">
        <w:rPr>
          <w:sz w:val="24"/>
          <w:szCs w:val="24"/>
        </w:rPr>
        <w:t xml:space="preserve">Non-kliniske data viser ingen speciel risiko for mennesker vurderet ud fra konventionelle studier af sikkerhedsfarmakologi, toksicitet efter gentagne doser, genotoksicitet og karcinogent potentiale. </w:t>
      </w:r>
    </w:p>
    <w:p w14:paraId="3D48DDF4" w14:textId="77777777" w:rsidR="00D41138" w:rsidRPr="002748AE" w:rsidRDefault="00D41138" w:rsidP="002748AE">
      <w:pPr>
        <w:ind w:left="851"/>
        <w:rPr>
          <w:sz w:val="24"/>
          <w:szCs w:val="24"/>
        </w:rPr>
      </w:pPr>
      <w:r w:rsidRPr="002748AE">
        <w:rPr>
          <w:sz w:val="24"/>
          <w:szCs w:val="24"/>
        </w:rPr>
        <w:t xml:space="preserve"> </w:t>
      </w:r>
    </w:p>
    <w:p w14:paraId="2F77C0E5" w14:textId="77777777" w:rsidR="00D41138" w:rsidRPr="002748AE" w:rsidRDefault="00D41138" w:rsidP="002748AE">
      <w:pPr>
        <w:ind w:left="851"/>
        <w:rPr>
          <w:sz w:val="24"/>
          <w:szCs w:val="24"/>
        </w:rPr>
      </w:pPr>
      <w:r w:rsidRPr="002748AE">
        <w:rPr>
          <w:sz w:val="24"/>
          <w:szCs w:val="24"/>
          <w:u w:val="single"/>
        </w:rPr>
        <w:t>Drægtighed og fertilitet</w:t>
      </w:r>
      <w:r w:rsidRPr="002748AE">
        <w:rPr>
          <w:sz w:val="24"/>
          <w:szCs w:val="24"/>
        </w:rPr>
        <w:t xml:space="preserve"> </w:t>
      </w:r>
    </w:p>
    <w:p w14:paraId="202FD035" w14:textId="77777777" w:rsidR="00D41138" w:rsidRPr="002748AE" w:rsidRDefault="00D41138" w:rsidP="002748AE">
      <w:pPr>
        <w:ind w:left="851"/>
        <w:rPr>
          <w:sz w:val="24"/>
          <w:szCs w:val="24"/>
        </w:rPr>
      </w:pPr>
      <w:r w:rsidRPr="002748AE">
        <w:rPr>
          <w:sz w:val="24"/>
          <w:szCs w:val="24"/>
        </w:rPr>
        <w:t xml:space="preserve"> </w:t>
      </w:r>
    </w:p>
    <w:p w14:paraId="655351E0" w14:textId="77777777" w:rsidR="00D41138" w:rsidRPr="002748AE" w:rsidRDefault="00D41138" w:rsidP="002748AE">
      <w:pPr>
        <w:ind w:left="851"/>
        <w:rPr>
          <w:sz w:val="24"/>
          <w:szCs w:val="24"/>
        </w:rPr>
      </w:pPr>
      <w:r w:rsidRPr="002748AE">
        <w:rPr>
          <w:sz w:val="24"/>
          <w:szCs w:val="24"/>
        </w:rPr>
        <w:t>Ivacaftor var forbundet med en let reduktion i sædblærevægten, en reduktion i det samlede fertilitetsindeks og antallet af drægtighedsperioder hos hunner, der blev parret med behandlede hanner, og med signifikante reduktioner i antallet af corpora lutea og implantationssteder med efterfølgende reduktioner i gennemsnitlig kuldstørrelse og det gennemsnitlige antal levedygtige embryoer pr. kuld hos behandlede hunner. Niveauet for ingen observerede bivirkninger (</w:t>
      </w:r>
      <w:r w:rsidRPr="002748AE">
        <w:rPr>
          <w:i/>
          <w:sz w:val="24"/>
          <w:szCs w:val="24"/>
        </w:rPr>
        <w:t>no-observed-adverse-effect-level</w:t>
      </w:r>
      <w:r w:rsidRPr="002748AE">
        <w:rPr>
          <w:sz w:val="24"/>
          <w:szCs w:val="24"/>
        </w:rPr>
        <w:t>, NOAEL) for fertilitetsfund giver et eksponeringsniveau på ca. 4 gange den systemiske eksponering for ivacaftor og dets metabolitter, når det administreres som ivacaftor-monoterapi hos voksne mennesker ved den maksimale anbefalede dosis til mennesker (</w:t>
      </w:r>
      <w:r w:rsidRPr="002748AE">
        <w:rPr>
          <w:i/>
          <w:sz w:val="24"/>
          <w:szCs w:val="24"/>
        </w:rPr>
        <w:t>maximum recommended human dose</w:t>
      </w:r>
      <w:r w:rsidRPr="002748AE">
        <w:rPr>
          <w:sz w:val="24"/>
          <w:szCs w:val="24"/>
        </w:rPr>
        <w:t xml:space="preserve">, MRHD). Der blev observeret placental overførsel af ivacaftor hos drægtige rotter og kaniner. </w:t>
      </w:r>
    </w:p>
    <w:p w14:paraId="4878E94C" w14:textId="77777777" w:rsidR="00D41138" w:rsidRPr="002748AE" w:rsidRDefault="00D41138" w:rsidP="002748AE">
      <w:pPr>
        <w:ind w:left="851"/>
        <w:rPr>
          <w:sz w:val="24"/>
          <w:szCs w:val="24"/>
        </w:rPr>
      </w:pPr>
      <w:r w:rsidRPr="002748AE">
        <w:rPr>
          <w:sz w:val="24"/>
          <w:szCs w:val="24"/>
        </w:rPr>
        <w:t xml:space="preserve"> </w:t>
      </w:r>
    </w:p>
    <w:p w14:paraId="619AEA2A" w14:textId="77777777" w:rsidR="00D41138" w:rsidRPr="002748AE" w:rsidRDefault="00D41138" w:rsidP="002748AE">
      <w:pPr>
        <w:ind w:left="851"/>
        <w:rPr>
          <w:sz w:val="24"/>
          <w:szCs w:val="24"/>
        </w:rPr>
      </w:pPr>
      <w:r w:rsidRPr="002748AE">
        <w:rPr>
          <w:sz w:val="24"/>
          <w:szCs w:val="24"/>
          <w:u w:val="single"/>
        </w:rPr>
        <w:t>Peri- og postnatal udvikling</w:t>
      </w:r>
      <w:r w:rsidRPr="002748AE">
        <w:rPr>
          <w:sz w:val="24"/>
          <w:szCs w:val="24"/>
        </w:rPr>
        <w:t xml:space="preserve"> </w:t>
      </w:r>
    </w:p>
    <w:p w14:paraId="0F163A22" w14:textId="77777777" w:rsidR="00D41138" w:rsidRPr="002748AE" w:rsidRDefault="00D41138" w:rsidP="002748AE">
      <w:pPr>
        <w:ind w:left="851"/>
        <w:rPr>
          <w:sz w:val="24"/>
          <w:szCs w:val="24"/>
        </w:rPr>
      </w:pPr>
      <w:r w:rsidRPr="002748AE">
        <w:rPr>
          <w:sz w:val="24"/>
          <w:szCs w:val="24"/>
        </w:rPr>
        <w:t xml:space="preserve"> </w:t>
      </w:r>
    </w:p>
    <w:p w14:paraId="62C0DAE7" w14:textId="77777777" w:rsidR="00D41138" w:rsidRPr="002748AE" w:rsidRDefault="00D41138" w:rsidP="002748AE">
      <w:pPr>
        <w:ind w:left="851"/>
        <w:rPr>
          <w:sz w:val="24"/>
          <w:szCs w:val="24"/>
        </w:rPr>
      </w:pPr>
      <w:r w:rsidRPr="002748AE">
        <w:rPr>
          <w:sz w:val="24"/>
          <w:szCs w:val="24"/>
        </w:rPr>
        <w:t xml:space="preserve">Ivacaftor nedsatte overlevelse og diegivning og forårsagede en reduktion af afkommets kropsvægt. NOAEL for levedygtighed og vækst af afkommet giver et eksponeringsniveau på ca. 3 gange den systemiske eksponering for ivacaftor og dets metabolitter, når det administreres som ivacaftor-monoterapi hos voksne mennesker ved MRHD.  </w:t>
      </w:r>
    </w:p>
    <w:p w14:paraId="1B9AC4BC" w14:textId="77777777" w:rsidR="00D41138" w:rsidRPr="002748AE" w:rsidRDefault="00D41138" w:rsidP="002748AE">
      <w:pPr>
        <w:ind w:left="851"/>
        <w:rPr>
          <w:sz w:val="24"/>
          <w:szCs w:val="24"/>
        </w:rPr>
      </w:pPr>
      <w:r w:rsidRPr="002748AE">
        <w:rPr>
          <w:sz w:val="24"/>
          <w:szCs w:val="24"/>
        </w:rPr>
        <w:t xml:space="preserve"> </w:t>
      </w:r>
    </w:p>
    <w:p w14:paraId="1B7A1A98" w14:textId="77777777" w:rsidR="00D41138" w:rsidRPr="002748AE" w:rsidRDefault="00D41138" w:rsidP="002748AE">
      <w:pPr>
        <w:ind w:left="851"/>
        <w:rPr>
          <w:sz w:val="24"/>
          <w:szCs w:val="24"/>
        </w:rPr>
      </w:pPr>
      <w:r w:rsidRPr="002748AE">
        <w:rPr>
          <w:sz w:val="24"/>
          <w:szCs w:val="24"/>
          <w:u w:val="single"/>
        </w:rPr>
        <w:t>Forsøg med unge dyr</w:t>
      </w:r>
      <w:r w:rsidRPr="002748AE">
        <w:rPr>
          <w:sz w:val="24"/>
          <w:szCs w:val="24"/>
        </w:rPr>
        <w:t xml:space="preserve"> </w:t>
      </w:r>
    </w:p>
    <w:p w14:paraId="365AF8D5" w14:textId="77777777" w:rsidR="00D41138" w:rsidRPr="002748AE" w:rsidRDefault="00D41138" w:rsidP="002748AE">
      <w:pPr>
        <w:ind w:left="851"/>
        <w:rPr>
          <w:sz w:val="24"/>
          <w:szCs w:val="24"/>
        </w:rPr>
      </w:pPr>
      <w:r w:rsidRPr="002748AE">
        <w:rPr>
          <w:sz w:val="24"/>
          <w:szCs w:val="24"/>
        </w:rPr>
        <w:t xml:space="preserve"> </w:t>
      </w:r>
    </w:p>
    <w:p w14:paraId="5B08E562" w14:textId="77777777" w:rsidR="00D41138" w:rsidRPr="002748AE" w:rsidRDefault="00D41138" w:rsidP="002748AE">
      <w:pPr>
        <w:ind w:left="851"/>
        <w:rPr>
          <w:sz w:val="24"/>
          <w:szCs w:val="24"/>
        </w:rPr>
      </w:pPr>
      <w:r w:rsidRPr="002748AE">
        <w:rPr>
          <w:sz w:val="24"/>
          <w:szCs w:val="24"/>
        </w:rPr>
        <w:t>Der blev observeret fund af grå stær hos unge rotter doseret fra dag 7 efter fødslen til og med dag 35 ved eksponeringsniveauer af ivacaftor på 0,22 gange MRHD baseret på den systemiske eksponering for ivacaftor og dets metabolitter, når det administreres som ivacaftor-monoterapi. Dette fund er ikke blevet observeret hos fostre fra rottekuld behandlet med ivacaftor på gestationsdag 7 til 17, hos rotteunger eksponeret for ivacaftor via mælkeindtagelse op til dag 20 efter fødslen, hos 7 uger gamle rotter eller hos 3,5-5 måneder gamle hunde behandlet med ivacaftor. Den mulige relevans af disse fund for mennesker er ukendt.</w:t>
      </w:r>
    </w:p>
    <w:p w14:paraId="0A0E3184" w14:textId="55CBB3B0" w:rsidR="009260DE" w:rsidRDefault="009260DE" w:rsidP="009260DE">
      <w:pPr>
        <w:tabs>
          <w:tab w:val="left" w:pos="851"/>
        </w:tabs>
        <w:ind w:left="851"/>
        <w:rPr>
          <w:sz w:val="24"/>
          <w:szCs w:val="24"/>
        </w:rPr>
      </w:pPr>
    </w:p>
    <w:p w14:paraId="02B93CE2" w14:textId="77777777" w:rsidR="00337216" w:rsidRPr="002748AE" w:rsidRDefault="00337216" w:rsidP="009260DE">
      <w:pPr>
        <w:tabs>
          <w:tab w:val="left" w:pos="851"/>
        </w:tabs>
        <w:ind w:left="851"/>
        <w:rPr>
          <w:sz w:val="24"/>
          <w:szCs w:val="24"/>
        </w:rPr>
      </w:pPr>
    </w:p>
    <w:p w14:paraId="5D8E58C3" w14:textId="77777777" w:rsidR="009260DE" w:rsidRPr="002748AE" w:rsidRDefault="009260DE" w:rsidP="009260DE">
      <w:pPr>
        <w:tabs>
          <w:tab w:val="left" w:pos="851"/>
        </w:tabs>
        <w:ind w:left="851" w:hanging="851"/>
        <w:rPr>
          <w:b/>
          <w:sz w:val="24"/>
          <w:szCs w:val="24"/>
        </w:rPr>
      </w:pPr>
      <w:r w:rsidRPr="002748AE">
        <w:rPr>
          <w:b/>
          <w:sz w:val="24"/>
          <w:szCs w:val="24"/>
        </w:rPr>
        <w:t>6.</w:t>
      </w:r>
      <w:r w:rsidRPr="002748AE">
        <w:rPr>
          <w:b/>
          <w:sz w:val="24"/>
          <w:szCs w:val="24"/>
        </w:rPr>
        <w:tab/>
        <w:t>FARMACEUTISKE OPLYSNINGER</w:t>
      </w:r>
    </w:p>
    <w:p w14:paraId="38F01971" w14:textId="77777777" w:rsidR="009260DE" w:rsidRPr="002748AE" w:rsidRDefault="009260DE" w:rsidP="009260DE">
      <w:pPr>
        <w:tabs>
          <w:tab w:val="left" w:pos="851"/>
        </w:tabs>
        <w:ind w:left="851"/>
        <w:rPr>
          <w:sz w:val="24"/>
          <w:szCs w:val="24"/>
        </w:rPr>
      </w:pPr>
    </w:p>
    <w:p w14:paraId="6E0CCD67" w14:textId="77777777" w:rsidR="009260DE" w:rsidRPr="002748AE" w:rsidRDefault="009260DE" w:rsidP="009260DE">
      <w:pPr>
        <w:tabs>
          <w:tab w:val="left" w:pos="851"/>
        </w:tabs>
        <w:ind w:left="851" w:hanging="851"/>
        <w:rPr>
          <w:b/>
          <w:sz w:val="24"/>
          <w:szCs w:val="24"/>
        </w:rPr>
      </w:pPr>
      <w:r w:rsidRPr="002748AE">
        <w:rPr>
          <w:b/>
          <w:sz w:val="24"/>
          <w:szCs w:val="24"/>
        </w:rPr>
        <w:t>6.1</w:t>
      </w:r>
      <w:r w:rsidRPr="002748AE">
        <w:rPr>
          <w:b/>
          <w:sz w:val="24"/>
          <w:szCs w:val="24"/>
        </w:rPr>
        <w:tab/>
        <w:t>Hjælpestoffer</w:t>
      </w:r>
    </w:p>
    <w:p w14:paraId="3A7A3138" w14:textId="77777777" w:rsidR="00D41138" w:rsidRPr="002748AE" w:rsidRDefault="00D41138" w:rsidP="002748AE">
      <w:pPr>
        <w:ind w:left="851"/>
        <w:rPr>
          <w:sz w:val="24"/>
          <w:szCs w:val="24"/>
          <w:lang w:eastAsia="da-DK"/>
        </w:rPr>
      </w:pPr>
    </w:p>
    <w:p w14:paraId="7CBEF321" w14:textId="77777777" w:rsidR="00D41138" w:rsidRPr="002748AE" w:rsidRDefault="00D41138" w:rsidP="002748AE">
      <w:pPr>
        <w:ind w:left="851"/>
        <w:rPr>
          <w:sz w:val="24"/>
          <w:szCs w:val="24"/>
        </w:rPr>
      </w:pPr>
      <w:r w:rsidRPr="002748AE">
        <w:rPr>
          <w:sz w:val="24"/>
          <w:szCs w:val="24"/>
          <w:u w:val="single"/>
        </w:rPr>
        <w:t>Tabletkerne</w:t>
      </w:r>
    </w:p>
    <w:p w14:paraId="44822542" w14:textId="77777777" w:rsidR="00D41138" w:rsidRPr="002748AE" w:rsidRDefault="00D41138" w:rsidP="002748AE">
      <w:pPr>
        <w:ind w:left="851"/>
        <w:rPr>
          <w:sz w:val="24"/>
          <w:szCs w:val="24"/>
        </w:rPr>
      </w:pPr>
      <w:r w:rsidRPr="002748AE">
        <w:rPr>
          <w:sz w:val="24"/>
          <w:szCs w:val="24"/>
        </w:rPr>
        <w:t>Hypromelloseacetatsuccinat</w:t>
      </w:r>
    </w:p>
    <w:p w14:paraId="4FDC40F3" w14:textId="77777777" w:rsidR="00D41138" w:rsidRPr="002748AE" w:rsidRDefault="00D41138" w:rsidP="002748AE">
      <w:pPr>
        <w:ind w:left="851"/>
        <w:rPr>
          <w:sz w:val="24"/>
          <w:szCs w:val="24"/>
        </w:rPr>
      </w:pPr>
      <w:r w:rsidRPr="002748AE">
        <w:rPr>
          <w:sz w:val="24"/>
          <w:szCs w:val="24"/>
        </w:rPr>
        <w:t>Natriumlaurylsulfat (E487)</w:t>
      </w:r>
    </w:p>
    <w:p w14:paraId="4FB47A4D" w14:textId="77777777" w:rsidR="00D41138" w:rsidRPr="002748AE" w:rsidRDefault="00D41138" w:rsidP="002748AE">
      <w:pPr>
        <w:ind w:left="851"/>
        <w:rPr>
          <w:sz w:val="24"/>
          <w:szCs w:val="24"/>
        </w:rPr>
      </w:pPr>
      <w:r w:rsidRPr="002748AE">
        <w:rPr>
          <w:sz w:val="24"/>
          <w:szCs w:val="24"/>
        </w:rPr>
        <w:t xml:space="preserve">Silicificeret mikrokrystallinsk cellulose </w:t>
      </w:r>
      <w:r w:rsidRPr="002748AE">
        <w:rPr>
          <w:i/>
          <w:iCs/>
          <w:sz w:val="24"/>
          <w:szCs w:val="24"/>
        </w:rPr>
        <w:t>(består af mikrokrystallinsk cellulose og silica, kolloidalt vandfrit)</w:t>
      </w:r>
    </w:p>
    <w:p w14:paraId="59C4B583" w14:textId="77777777" w:rsidR="00D41138" w:rsidRPr="002748AE" w:rsidRDefault="00D41138" w:rsidP="002748AE">
      <w:pPr>
        <w:ind w:left="851"/>
        <w:rPr>
          <w:sz w:val="24"/>
          <w:szCs w:val="24"/>
          <w:lang w:val="en-US"/>
        </w:rPr>
      </w:pPr>
      <w:r w:rsidRPr="002748AE">
        <w:rPr>
          <w:sz w:val="24"/>
          <w:szCs w:val="24"/>
          <w:lang w:val="en-US"/>
        </w:rPr>
        <w:t>Mannitol (E421)</w:t>
      </w:r>
    </w:p>
    <w:p w14:paraId="6A743EC0" w14:textId="77777777" w:rsidR="00D41138" w:rsidRPr="002748AE" w:rsidRDefault="00D41138" w:rsidP="002748AE">
      <w:pPr>
        <w:ind w:left="851"/>
        <w:rPr>
          <w:sz w:val="24"/>
          <w:szCs w:val="24"/>
          <w:lang w:val="en-US"/>
        </w:rPr>
      </w:pPr>
      <w:r w:rsidRPr="002748AE">
        <w:rPr>
          <w:sz w:val="24"/>
          <w:szCs w:val="24"/>
          <w:lang w:val="en-US"/>
        </w:rPr>
        <w:t>Croscarmellosenatrium</w:t>
      </w:r>
    </w:p>
    <w:p w14:paraId="089835A1" w14:textId="77777777" w:rsidR="00D41138" w:rsidRPr="002748AE" w:rsidRDefault="00D41138" w:rsidP="002748AE">
      <w:pPr>
        <w:ind w:left="851"/>
        <w:rPr>
          <w:sz w:val="24"/>
          <w:szCs w:val="24"/>
          <w:lang w:val="en-US"/>
        </w:rPr>
      </w:pPr>
      <w:r w:rsidRPr="002748AE">
        <w:rPr>
          <w:sz w:val="24"/>
          <w:szCs w:val="24"/>
          <w:lang w:val="en-US"/>
        </w:rPr>
        <w:t>Magnesiumstearat</w:t>
      </w:r>
    </w:p>
    <w:p w14:paraId="524E07DA" w14:textId="77777777" w:rsidR="00D41138" w:rsidRPr="002748AE" w:rsidRDefault="00D41138" w:rsidP="002748AE">
      <w:pPr>
        <w:ind w:left="851"/>
        <w:rPr>
          <w:sz w:val="24"/>
          <w:szCs w:val="24"/>
          <w:lang w:val="en-US"/>
        </w:rPr>
      </w:pPr>
    </w:p>
    <w:p w14:paraId="1690100A" w14:textId="77777777" w:rsidR="00D41138" w:rsidRPr="002748AE" w:rsidRDefault="00D41138" w:rsidP="002748AE">
      <w:pPr>
        <w:ind w:left="851"/>
        <w:rPr>
          <w:sz w:val="24"/>
          <w:szCs w:val="24"/>
          <w:lang w:val="en-US"/>
        </w:rPr>
      </w:pPr>
      <w:r w:rsidRPr="002748AE">
        <w:rPr>
          <w:sz w:val="24"/>
          <w:szCs w:val="24"/>
          <w:u w:val="single"/>
          <w:lang w:val="en-US"/>
        </w:rPr>
        <w:t>Tablet filmovertræk</w:t>
      </w:r>
      <w:r w:rsidRPr="002748AE">
        <w:rPr>
          <w:sz w:val="24"/>
          <w:szCs w:val="24"/>
          <w:lang w:val="en-US"/>
        </w:rPr>
        <w:t xml:space="preserve"> </w:t>
      </w:r>
    </w:p>
    <w:p w14:paraId="2FC3FAF1" w14:textId="77777777" w:rsidR="00D41138" w:rsidRPr="002748AE" w:rsidRDefault="00D41138" w:rsidP="002748AE">
      <w:pPr>
        <w:ind w:left="851"/>
        <w:rPr>
          <w:sz w:val="24"/>
          <w:szCs w:val="24"/>
        </w:rPr>
      </w:pPr>
      <w:r w:rsidRPr="002748AE">
        <w:rPr>
          <w:sz w:val="24"/>
          <w:szCs w:val="24"/>
        </w:rPr>
        <w:t>Polyvinylalkohol, delvist hydrolyseret (E1203)</w:t>
      </w:r>
    </w:p>
    <w:p w14:paraId="0C7EC8F2" w14:textId="77777777" w:rsidR="00D41138" w:rsidRPr="002748AE" w:rsidRDefault="00D41138" w:rsidP="002748AE">
      <w:pPr>
        <w:ind w:left="851"/>
        <w:rPr>
          <w:sz w:val="24"/>
          <w:szCs w:val="24"/>
        </w:rPr>
      </w:pPr>
      <w:r w:rsidRPr="002748AE">
        <w:rPr>
          <w:sz w:val="24"/>
          <w:szCs w:val="24"/>
        </w:rPr>
        <w:t>Calciumcarbonat (E170)</w:t>
      </w:r>
    </w:p>
    <w:p w14:paraId="76EF93C6" w14:textId="77777777" w:rsidR="00D41138" w:rsidRPr="002748AE" w:rsidRDefault="00D41138" w:rsidP="002748AE">
      <w:pPr>
        <w:ind w:left="851"/>
        <w:rPr>
          <w:sz w:val="24"/>
          <w:szCs w:val="24"/>
        </w:rPr>
      </w:pPr>
      <w:r w:rsidRPr="002748AE">
        <w:rPr>
          <w:sz w:val="24"/>
          <w:szCs w:val="24"/>
        </w:rPr>
        <w:t>Macrogol 3350 (E1521)</w:t>
      </w:r>
    </w:p>
    <w:p w14:paraId="6005050B" w14:textId="77777777" w:rsidR="00D41138" w:rsidRPr="002748AE" w:rsidRDefault="00D41138" w:rsidP="002748AE">
      <w:pPr>
        <w:ind w:left="851"/>
        <w:rPr>
          <w:sz w:val="24"/>
          <w:szCs w:val="24"/>
        </w:rPr>
      </w:pPr>
      <w:r w:rsidRPr="002748AE">
        <w:rPr>
          <w:sz w:val="24"/>
          <w:szCs w:val="24"/>
        </w:rPr>
        <w:t>Talkum (E553b)</w:t>
      </w:r>
    </w:p>
    <w:p w14:paraId="3B9F696A" w14:textId="77777777" w:rsidR="00D41138" w:rsidRPr="002748AE" w:rsidRDefault="00D41138" w:rsidP="002748AE">
      <w:pPr>
        <w:ind w:left="851"/>
        <w:rPr>
          <w:sz w:val="24"/>
          <w:szCs w:val="24"/>
        </w:rPr>
      </w:pPr>
      <w:r w:rsidRPr="002748AE">
        <w:rPr>
          <w:sz w:val="24"/>
          <w:szCs w:val="24"/>
        </w:rPr>
        <w:t>Indigokarmin-aluminiumlak (E132)</w:t>
      </w:r>
    </w:p>
    <w:p w14:paraId="6D9BC8FE" w14:textId="77777777" w:rsidR="00D41138" w:rsidRPr="002748AE" w:rsidRDefault="00D41138" w:rsidP="002748AE">
      <w:pPr>
        <w:ind w:left="851"/>
        <w:rPr>
          <w:sz w:val="24"/>
          <w:szCs w:val="24"/>
        </w:rPr>
      </w:pPr>
      <w:r w:rsidRPr="002748AE">
        <w:rPr>
          <w:sz w:val="24"/>
          <w:szCs w:val="24"/>
        </w:rPr>
        <w:t>Carnaubavoks pulver</w:t>
      </w:r>
    </w:p>
    <w:p w14:paraId="7A591917" w14:textId="77777777" w:rsidR="009260DE" w:rsidRPr="002748AE" w:rsidRDefault="009260DE" w:rsidP="009260DE">
      <w:pPr>
        <w:tabs>
          <w:tab w:val="left" w:pos="851"/>
        </w:tabs>
        <w:ind w:left="851"/>
        <w:rPr>
          <w:sz w:val="24"/>
          <w:szCs w:val="24"/>
        </w:rPr>
      </w:pPr>
    </w:p>
    <w:p w14:paraId="47248443" w14:textId="77777777" w:rsidR="009260DE" w:rsidRPr="002748AE" w:rsidRDefault="009260DE" w:rsidP="009260DE">
      <w:pPr>
        <w:tabs>
          <w:tab w:val="left" w:pos="851"/>
        </w:tabs>
        <w:ind w:left="851" w:hanging="851"/>
        <w:rPr>
          <w:b/>
          <w:sz w:val="24"/>
          <w:szCs w:val="24"/>
        </w:rPr>
      </w:pPr>
      <w:r w:rsidRPr="002748AE">
        <w:rPr>
          <w:b/>
          <w:sz w:val="24"/>
          <w:szCs w:val="24"/>
        </w:rPr>
        <w:t>6.2</w:t>
      </w:r>
      <w:r w:rsidRPr="002748AE">
        <w:rPr>
          <w:b/>
          <w:sz w:val="24"/>
          <w:szCs w:val="24"/>
        </w:rPr>
        <w:tab/>
        <w:t>Uforligeligheder</w:t>
      </w:r>
    </w:p>
    <w:p w14:paraId="4B8A457F" w14:textId="77777777" w:rsidR="00D41138" w:rsidRPr="002748AE" w:rsidRDefault="00D41138" w:rsidP="002748AE">
      <w:pPr>
        <w:ind w:left="851"/>
        <w:rPr>
          <w:sz w:val="24"/>
          <w:szCs w:val="24"/>
          <w:lang w:eastAsia="da-DK"/>
        </w:rPr>
      </w:pPr>
      <w:r w:rsidRPr="002748AE">
        <w:rPr>
          <w:sz w:val="24"/>
          <w:szCs w:val="24"/>
        </w:rPr>
        <w:t>Ikke relevant.</w:t>
      </w:r>
    </w:p>
    <w:p w14:paraId="24313BD6" w14:textId="77777777" w:rsidR="009260DE" w:rsidRPr="002748AE" w:rsidRDefault="009260DE" w:rsidP="009260DE">
      <w:pPr>
        <w:tabs>
          <w:tab w:val="left" w:pos="851"/>
        </w:tabs>
        <w:ind w:left="851"/>
        <w:rPr>
          <w:sz w:val="24"/>
          <w:szCs w:val="24"/>
        </w:rPr>
      </w:pPr>
    </w:p>
    <w:p w14:paraId="0FD13A5E" w14:textId="77777777" w:rsidR="009260DE" w:rsidRPr="002748AE" w:rsidRDefault="009260DE" w:rsidP="009260DE">
      <w:pPr>
        <w:tabs>
          <w:tab w:val="left" w:pos="851"/>
        </w:tabs>
        <w:ind w:left="851" w:hanging="851"/>
        <w:rPr>
          <w:b/>
          <w:sz w:val="24"/>
          <w:szCs w:val="24"/>
        </w:rPr>
      </w:pPr>
      <w:r w:rsidRPr="002748AE">
        <w:rPr>
          <w:b/>
          <w:sz w:val="24"/>
          <w:szCs w:val="24"/>
        </w:rPr>
        <w:t>6.3</w:t>
      </w:r>
      <w:r w:rsidRPr="002748AE">
        <w:rPr>
          <w:b/>
          <w:sz w:val="24"/>
          <w:szCs w:val="24"/>
        </w:rPr>
        <w:tab/>
        <w:t>Opbevaringstid</w:t>
      </w:r>
    </w:p>
    <w:p w14:paraId="26C48F0C" w14:textId="77777777" w:rsidR="00D41138" w:rsidRPr="002748AE" w:rsidRDefault="00D41138" w:rsidP="002748AE">
      <w:pPr>
        <w:ind w:left="851"/>
        <w:rPr>
          <w:sz w:val="24"/>
          <w:szCs w:val="24"/>
          <w:lang w:eastAsia="da-DK"/>
        </w:rPr>
      </w:pPr>
      <w:r w:rsidRPr="002748AE">
        <w:rPr>
          <w:sz w:val="24"/>
          <w:szCs w:val="24"/>
        </w:rPr>
        <w:t>3 år.</w:t>
      </w:r>
    </w:p>
    <w:p w14:paraId="14F9CFE1" w14:textId="77777777" w:rsidR="009260DE" w:rsidRPr="002748AE" w:rsidRDefault="009260DE" w:rsidP="009260DE">
      <w:pPr>
        <w:tabs>
          <w:tab w:val="left" w:pos="851"/>
        </w:tabs>
        <w:ind w:left="851"/>
        <w:rPr>
          <w:sz w:val="24"/>
          <w:szCs w:val="24"/>
        </w:rPr>
      </w:pPr>
    </w:p>
    <w:p w14:paraId="4EA8B152" w14:textId="77777777" w:rsidR="009260DE" w:rsidRPr="002748AE" w:rsidRDefault="009260DE" w:rsidP="009260DE">
      <w:pPr>
        <w:tabs>
          <w:tab w:val="left" w:pos="851"/>
        </w:tabs>
        <w:ind w:left="851" w:hanging="851"/>
        <w:rPr>
          <w:b/>
          <w:sz w:val="24"/>
          <w:szCs w:val="24"/>
        </w:rPr>
      </w:pPr>
      <w:r w:rsidRPr="002748AE">
        <w:rPr>
          <w:b/>
          <w:sz w:val="24"/>
          <w:szCs w:val="24"/>
        </w:rPr>
        <w:t>6.4</w:t>
      </w:r>
      <w:r w:rsidRPr="002748AE">
        <w:rPr>
          <w:b/>
          <w:sz w:val="24"/>
          <w:szCs w:val="24"/>
        </w:rPr>
        <w:tab/>
        <w:t>Særlige opbevaringsforhold</w:t>
      </w:r>
    </w:p>
    <w:p w14:paraId="60DCAB31" w14:textId="77777777" w:rsidR="00D41138" w:rsidRPr="002748AE" w:rsidRDefault="00D41138" w:rsidP="002748AE">
      <w:pPr>
        <w:ind w:left="851"/>
        <w:rPr>
          <w:sz w:val="24"/>
          <w:szCs w:val="24"/>
        </w:rPr>
      </w:pPr>
      <w:r w:rsidRPr="002748AE">
        <w:rPr>
          <w:sz w:val="24"/>
          <w:szCs w:val="24"/>
        </w:rPr>
        <w:t>Dette lægemiddel kræver ingen særlige forholdsregler vedrørende opbevaringen.</w:t>
      </w:r>
    </w:p>
    <w:p w14:paraId="0B33DB2E" w14:textId="77777777" w:rsidR="009260DE" w:rsidRPr="002748AE" w:rsidRDefault="009260DE" w:rsidP="009260DE">
      <w:pPr>
        <w:tabs>
          <w:tab w:val="left" w:pos="851"/>
        </w:tabs>
        <w:ind w:left="851"/>
        <w:rPr>
          <w:sz w:val="24"/>
          <w:szCs w:val="24"/>
        </w:rPr>
      </w:pPr>
    </w:p>
    <w:p w14:paraId="5F6C2E61" w14:textId="77777777" w:rsidR="009260DE" w:rsidRPr="002748AE" w:rsidRDefault="009260DE" w:rsidP="009260DE">
      <w:pPr>
        <w:tabs>
          <w:tab w:val="left" w:pos="851"/>
        </w:tabs>
        <w:ind w:left="851" w:hanging="851"/>
        <w:rPr>
          <w:b/>
          <w:sz w:val="24"/>
          <w:szCs w:val="24"/>
        </w:rPr>
      </w:pPr>
      <w:r w:rsidRPr="002748AE">
        <w:rPr>
          <w:b/>
          <w:sz w:val="24"/>
          <w:szCs w:val="24"/>
        </w:rPr>
        <w:t>6.5</w:t>
      </w:r>
      <w:r w:rsidRPr="002748AE">
        <w:rPr>
          <w:b/>
          <w:sz w:val="24"/>
          <w:szCs w:val="24"/>
        </w:rPr>
        <w:tab/>
        <w:t>Emballagetype og pakningsstørrelser</w:t>
      </w:r>
    </w:p>
    <w:p w14:paraId="2E645AE2" w14:textId="77777777" w:rsidR="00D41138" w:rsidRPr="002748AE" w:rsidRDefault="00D41138" w:rsidP="002748AE">
      <w:pPr>
        <w:ind w:left="851"/>
        <w:rPr>
          <w:sz w:val="24"/>
          <w:szCs w:val="24"/>
        </w:rPr>
      </w:pPr>
      <w:r w:rsidRPr="002748AE">
        <w:rPr>
          <w:sz w:val="24"/>
          <w:szCs w:val="24"/>
        </w:rPr>
        <w:t>OPA/aluminium/PVC//aluminiumsblister eller gennemsigtige PVC/PCTFE (Aclar)//aluminiumsblister.</w:t>
      </w:r>
    </w:p>
    <w:p w14:paraId="5AFF6CB6" w14:textId="77777777" w:rsidR="00D41138" w:rsidRPr="002748AE" w:rsidRDefault="00D41138" w:rsidP="002748AE">
      <w:pPr>
        <w:ind w:left="851"/>
        <w:rPr>
          <w:sz w:val="24"/>
          <w:szCs w:val="24"/>
        </w:rPr>
      </w:pPr>
    </w:p>
    <w:p w14:paraId="13FA6F71" w14:textId="77777777" w:rsidR="00D41138" w:rsidRPr="002748AE" w:rsidRDefault="00D41138" w:rsidP="002748AE">
      <w:pPr>
        <w:ind w:left="851"/>
        <w:rPr>
          <w:sz w:val="24"/>
          <w:szCs w:val="24"/>
        </w:rPr>
      </w:pPr>
      <w:r w:rsidRPr="002748AE">
        <w:rPr>
          <w:sz w:val="24"/>
          <w:szCs w:val="24"/>
        </w:rPr>
        <w:t>Følgende pakningsstørrelser er tilgængelige:</w:t>
      </w:r>
    </w:p>
    <w:p w14:paraId="0991F60E" w14:textId="77777777" w:rsidR="00D41138" w:rsidRPr="002748AE" w:rsidRDefault="00D41138" w:rsidP="002748AE">
      <w:pPr>
        <w:ind w:left="851"/>
        <w:rPr>
          <w:sz w:val="24"/>
          <w:szCs w:val="24"/>
        </w:rPr>
      </w:pPr>
      <w:r w:rsidRPr="002748AE">
        <w:rPr>
          <w:sz w:val="24"/>
          <w:szCs w:val="24"/>
        </w:rPr>
        <w:t>Blisterpakninger indeholdende 28 og 56 filmovertrukne tabletter.</w:t>
      </w:r>
    </w:p>
    <w:p w14:paraId="3F992CCF" w14:textId="77777777" w:rsidR="00D41138" w:rsidRPr="002748AE" w:rsidRDefault="00D41138" w:rsidP="002748AE">
      <w:pPr>
        <w:ind w:left="851"/>
        <w:rPr>
          <w:sz w:val="24"/>
          <w:szCs w:val="24"/>
        </w:rPr>
      </w:pPr>
    </w:p>
    <w:p w14:paraId="7258E41A" w14:textId="77777777" w:rsidR="00D41138" w:rsidRPr="002748AE" w:rsidRDefault="00D41138" w:rsidP="002748AE">
      <w:pPr>
        <w:ind w:left="851"/>
        <w:rPr>
          <w:sz w:val="24"/>
          <w:szCs w:val="24"/>
        </w:rPr>
      </w:pPr>
      <w:r w:rsidRPr="002748AE">
        <w:rPr>
          <w:sz w:val="24"/>
          <w:szCs w:val="24"/>
        </w:rPr>
        <w:t>Ikke alle pakningsstørrelser er nødvendigvis markedsført.</w:t>
      </w:r>
    </w:p>
    <w:p w14:paraId="21E57711" w14:textId="77777777" w:rsidR="009260DE" w:rsidRPr="002748AE" w:rsidRDefault="009260DE" w:rsidP="009260DE">
      <w:pPr>
        <w:tabs>
          <w:tab w:val="left" w:pos="851"/>
        </w:tabs>
        <w:ind w:left="851"/>
        <w:rPr>
          <w:sz w:val="24"/>
          <w:szCs w:val="24"/>
        </w:rPr>
      </w:pPr>
    </w:p>
    <w:p w14:paraId="7B159300" w14:textId="77777777" w:rsidR="009260DE" w:rsidRPr="002748AE" w:rsidRDefault="009260DE" w:rsidP="009260DE">
      <w:pPr>
        <w:tabs>
          <w:tab w:val="left" w:pos="851"/>
        </w:tabs>
        <w:ind w:left="851" w:hanging="851"/>
        <w:rPr>
          <w:b/>
          <w:sz w:val="24"/>
          <w:szCs w:val="24"/>
        </w:rPr>
      </w:pPr>
      <w:r w:rsidRPr="002748AE">
        <w:rPr>
          <w:b/>
          <w:sz w:val="24"/>
          <w:szCs w:val="24"/>
        </w:rPr>
        <w:t>6.6</w:t>
      </w:r>
      <w:r w:rsidRPr="002748AE">
        <w:rPr>
          <w:b/>
          <w:sz w:val="24"/>
          <w:szCs w:val="24"/>
        </w:rPr>
        <w:tab/>
        <w:t xml:space="preserve">Regler for </w:t>
      </w:r>
      <w:r w:rsidR="00BD7931" w:rsidRPr="002748AE">
        <w:rPr>
          <w:b/>
          <w:sz w:val="24"/>
          <w:szCs w:val="24"/>
        </w:rPr>
        <w:t>bortskaffelse</w:t>
      </w:r>
      <w:r w:rsidRPr="002748AE">
        <w:rPr>
          <w:b/>
          <w:sz w:val="24"/>
          <w:szCs w:val="24"/>
        </w:rPr>
        <w:t xml:space="preserve"> og anden håndtering</w:t>
      </w:r>
    </w:p>
    <w:p w14:paraId="39760225" w14:textId="77777777" w:rsidR="00D41138" w:rsidRPr="002748AE" w:rsidRDefault="00D41138" w:rsidP="002748AE">
      <w:pPr>
        <w:ind w:left="851"/>
        <w:rPr>
          <w:sz w:val="24"/>
          <w:szCs w:val="24"/>
        </w:rPr>
      </w:pPr>
      <w:r w:rsidRPr="002748AE">
        <w:rPr>
          <w:sz w:val="24"/>
          <w:szCs w:val="24"/>
        </w:rPr>
        <w:t>Ikke anvendt lægemiddel samt affald heraf skal bortskaffes i henhold til lokale retningslinjer.</w:t>
      </w:r>
    </w:p>
    <w:p w14:paraId="1A3C938A" w14:textId="77777777" w:rsidR="009260DE" w:rsidRPr="002748AE" w:rsidRDefault="009260DE" w:rsidP="000730CA">
      <w:pPr>
        <w:tabs>
          <w:tab w:val="left" w:pos="851"/>
        </w:tabs>
        <w:ind w:left="851"/>
        <w:rPr>
          <w:sz w:val="24"/>
          <w:szCs w:val="24"/>
        </w:rPr>
      </w:pPr>
    </w:p>
    <w:p w14:paraId="20F4CAA2" w14:textId="77777777" w:rsidR="009260DE" w:rsidRPr="002748AE" w:rsidRDefault="009260DE" w:rsidP="009260DE">
      <w:pPr>
        <w:tabs>
          <w:tab w:val="left" w:pos="851"/>
        </w:tabs>
        <w:ind w:left="851" w:hanging="851"/>
        <w:rPr>
          <w:b/>
          <w:sz w:val="24"/>
          <w:szCs w:val="24"/>
        </w:rPr>
      </w:pPr>
      <w:r w:rsidRPr="002748AE">
        <w:rPr>
          <w:b/>
          <w:sz w:val="24"/>
          <w:szCs w:val="24"/>
        </w:rPr>
        <w:t>7.</w:t>
      </w:r>
      <w:r w:rsidRPr="002748AE">
        <w:rPr>
          <w:b/>
          <w:sz w:val="24"/>
          <w:szCs w:val="24"/>
        </w:rPr>
        <w:tab/>
        <w:t>INDEHAVER AF MARKEDSFØRINGSTILLADELSEN</w:t>
      </w:r>
    </w:p>
    <w:p w14:paraId="31FBE001" w14:textId="77777777" w:rsidR="00D41138" w:rsidRPr="002748AE" w:rsidRDefault="00D41138" w:rsidP="002748AE">
      <w:pPr>
        <w:ind w:left="851"/>
        <w:rPr>
          <w:sz w:val="24"/>
          <w:szCs w:val="24"/>
          <w:lang w:val="pt-PT" w:eastAsia="da-DK"/>
        </w:rPr>
      </w:pPr>
      <w:r w:rsidRPr="002748AE">
        <w:rPr>
          <w:sz w:val="24"/>
          <w:szCs w:val="24"/>
          <w:lang w:val="pt-PT"/>
        </w:rPr>
        <w:t>Zentiva k.s.</w:t>
      </w:r>
    </w:p>
    <w:p w14:paraId="26CD42FB" w14:textId="77777777" w:rsidR="00D41138" w:rsidRPr="002748AE" w:rsidRDefault="00D41138" w:rsidP="002748AE">
      <w:pPr>
        <w:ind w:left="851"/>
        <w:rPr>
          <w:sz w:val="24"/>
          <w:szCs w:val="24"/>
        </w:rPr>
      </w:pPr>
      <w:r w:rsidRPr="002748AE">
        <w:rPr>
          <w:sz w:val="24"/>
          <w:szCs w:val="24"/>
        </w:rPr>
        <w:t>U Kabelovny 130</w:t>
      </w:r>
    </w:p>
    <w:p w14:paraId="2B8F6F00" w14:textId="77777777" w:rsidR="00D41138" w:rsidRPr="002748AE" w:rsidRDefault="00D41138" w:rsidP="002748AE">
      <w:pPr>
        <w:ind w:left="851"/>
        <w:rPr>
          <w:sz w:val="24"/>
          <w:szCs w:val="24"/>
        </w:rPr>
      </w:pPr>
      <w:r w:rsidRPr="002748AE">
        <w:rPr>
          <w:sz w:val="24"/>
          <w:szCs w:val="24"/>
        </w:rPr>
        <w:t>102 37 Prag 10</w:t>
      </w:r>
    </w:p>
    <w:p w14:paraId="38A22858" w14:textId="77777777" w:rsidR="00D41138" w:rsidRPr="002748AE" w:rsidRDefault="00D41138" w:rsidP="002748AE">
      <w:pPr>
        <w:ind w:left="851"/>
        <w:rPr>
          <w:sz w:val="24"/>
          <w:szCs w:val="24"/>
        </w:rPr>
      </w:pPr>
      <w:r w:rsidRPr="002748AE">
        <w:rPr>
          <w:sz w:val="24"/>
          <w:szCs w:val="24"/>
        </w:rPr>
        <w:t>Tjekkiet</w:t>
      </w:r>
    </w:p>
    <w:p w14:paraId="47F26668" w14:textId="77777777" w:rsidR="009260DE" w:rsidRPr="002748AE" w:rsidRDefault="009260DE" w:rsidP="002748AE">
      <w:pPr>
        <w:ind w:left="851"/>
        <w:rPr>
          <w:sz w:val="24"/>
          <w:szCs w:val="24"/>
        </w:rPr>
      </w:pPr>
    </w:p>
    <w:p w14:paraId="394F7C1F" w14:textId="77777777" w:rsidR="00641C65" w:rsidRPr="002748AE" w:rsidRDefault="00641C65" w:rsidP="002748AE">
      <w:pPr>
        <w:ind w:left="851"/>
        <w:rPr>
          <w:sz w:val="24"/>
          <w:szCs w:val="24"/>
        </w:rPr>
      </w:pPr>
      <w:r w:rsidRPr="002748AE">
        <w:rPr>
          <w:b/>
          <w:sz w:val="24"/>
          <w:szCs w:val="24"/>
        </w:rPr>
        <w:t>Repræsentant</w:t>
      </w:r>
    </w:p>
    <w:p w14:paraId="142D5F06" w14:textId="77777777" w:rsidR="00D41138" w:rsidRPr="002748AE" w:rsidRDefault="00D41138" w:rsidP="002748AE">
      <w:pPr>
        <w:ind w:left="851"/>
        <w:rPr>
          <w:sz w:val="24"/>
          <w:szCs w:val="24"/>
          <w:lang w:eastAsia="da-DK"/>
        </w:rPr>
      </w:pPr>
      <w:r w:rsidRPr="002748AE">
        <w:rPr>
          <w:sz w:val="24"/>
          <w:szCs w:val="24"/>
        </w:rPr>
        <w:t>Zentiva Denmark ApS</w:t>
      </w:r>
    </w:p>
    <w:p w14:paraId="2BA337DB" w14:textId="77777777" w:rsidR="00D41138" w:rsidRPr="002748AE" w:rsidRDefault="00D41138" w:rsidP="002748AE">
      <w:pPr>
        <w:ind w:left="851"/>
        <w:rPr>
          <w:sz w:val="24"/>
          <w:szCs w:val="24"/>
        </w:rPr>
      </w:pPr>
      <w:r w:rsidRPr="002748AE">
        <w:rPr>
          <w:sz w:val="24"/>
          <w:szCs w:val="24"/>
        </w:rPr>
        <w:t xml:space="preserve">Fuglevangsvej 11 </w:t>
      </w:r>
    </w:p>
    <w:p w14:paraId="2FA29BC2" w14:textId="77777777" w:rsidR="00D41138" w:rsidRPr="002748AE" w:rsidRDefault="00D41138" w:rsidP="002748AE">
      <w:pPr>
        <w:ind w:left="851"/>
        <w:rPr>
          <w:sz w:val="24"/>
          <w:szCs w:val="24"/>
        </w:rPr>
      </w:pPr>
      <w:r w:rsidRPr="002748AE">
        <w:rPr>
          <w:sz w:val="24"/>
          <w:szCs w:val="24"/>
        </w:rPr>
        <w:t>1962 Frederiksberg</w:t>
      </w:r>
    </w:p>
    <w:p w14:paraId="3C1D4BE7" w14:textId="77777777" w:rsidR="00641C65" w:rsidRPr="002748AE" w:rsidRDefault="00641C65" w:rsidP="009260DE">
      <w:pPr>
        <w:tabs>
          <w:tab w:val="left" w:pos="851"/>
        </w:tabs>
        <w:ind w:left="851"/>
        <w:rPr>
          <w:sz w:val="24"/>
          <w:szCs w:val="24"/>
        </w:rPr>
      </w:pPr>
    </w:p>
    <w:p w14:paraId="4AF5A3A6" w14:textId="77777777" w:rsidR="009260DE" w:rsidRPr="002748AE" w:rsidRDefault="009260DE" w:rsidP="009260DE">
      <w:pPr>
        <w:tabs>
          <w:tab w:val="left" w:pos="851"/>
        </w:tabs>
        <w:ind w:left="851" w:hanging="851"/>
        <w:rPr>
          <w:b/>
          <w:sz w:val="24"/>
          <w:szCs w:val="24"/>
        </w:rPr>
      </w:pPr>
      <w:r w:rsidRPr="002748AE">
        <w:rPr>
          <w:b/>
          <w:sz w:val="24"/>
          <w:szCs w:val="24"/>
        </w:rPr>
        <w:t>8.</w:t>
      </w:r>
      <w:r w:rsidRPr="002748AE">
        <w:rPr>
          <w:b/>
          <w:sz w:val="24"/>
          <w:szCs w:val="24"/>
        </w:rPr>
        <w:tab/>
        <w:t>MARKEDSFØRINGSTILLADELSESNUMMER (</w:t>
      </w:r>
      <w:r w:rsidR="00BF6243" w:rsidRPr="002748AE">
        <w:rPr>
          <w:b/>
          <w:sz w:val="24"/>
          <w:szCs w:val="24"/>
        </w:rPr>
        <w:t>-</w:t>
      </w:r>
      <w:r w:rsidRPr="002748AE">
        <w:rPr>
          <w:b/>
          <w:sz w:val="24"/>
          <w:szCs w:val="24"/>
        </w:rPr>
        <w:t>NUMRE)</w:t>
      </w:r>
    </w:p>
    <w:p w14:paraId="4C940320" w14:textId="6F667224" w:rsidR="009260DE" w:rsidRPr="002748AE" w:rsidRDefault="00D41138" w:rsidP="009260DE">
      <w:pPr>
        <w:tabs>
          <w:tab w:val="left" w:pos="851"/>
        </w:tabs>
        <w:ind w:left="851"/>
        <w:rPr>
          <w:sz w:val="24"/>
          <w:szCs w:val="24"/>
        </w:rPr>
      </w:pPr>
      <w:r w:rsidRPr="002748AE">
        <w:rPr>
          <w:sz w:val="24"/>
          <w:szCs w:val="24"/>
        </w:rPr>
        <w:t>72576</w:t>
      </w:r>
    </w:p>
    <w:p w14:paraId="6548CB13" w14:textId="77777777" w:rsidR="009260DE" w:rsidRPr="002748AE" w:rsidRDefault="009260DE" w:rsidP="009260DE">
      <w:pPr>
        <w:tabs>
          <w:tab w:val="left" w:pos="851"/>
        </w:tabs>
        <w:ind w:left="851"/>
        <w:jc w:val="both"/>
        <w:rPr>
          <w:sz w:val="24"/>
          <w:szCs w:val="24"/>
        </w:rPr>
      </w:pPr>
    </w:p>
    <w:p w14:paraId="34A379AF" w14:textId="77777777" w:rsidR="009260DE" w:rsidRPr="002748AE" w:rsidRDefault="009260DE" w:rsidP="009260DE">
      <w:pPr>
        <w:tabs>
          <w:tab w:val="left" w:pos="851"/>
        </w:tabs>
        <w:ind w:left="851" w:hanging="851"/>
        <w:rPr>
          <w:b/>
          <w:sz w:val="24"/>
          <w:szCs w:val="24"/>
        </w:rPr>
      </w:pPr>
      <w:r w:rsidRPr="002748AE">
        <w:rPr>
          <w:b/>
          <w:sz w:val="24"/>
          <w:szCs w:val="24"/>
        </w:rPr>
        <w:t>9.</w:t>
      </w:r>
      <w:r w:rsidRPr="002748AE">
        <w:rPr>
          <w:b/>
          <w:sz w:val="24"/>
          <w:szCs w:val="24"/>
        </w:rPr>
        <w:tab/>
        <w:t>DATO FOR FØRSTE MARKEDSFØRINGSTILLADELSE</w:t>
      </w:r>
    </w:p>
    <w:p w14:paraId="7E8009FC" w14:textId="4FCC633F" w:rsidR="009260DE" w:rsidRPr="002748AE" w:rsidRDefault="003906CC" w:rsidP="009260DE">
      <w:pPr>
        <w:tabs>
          <w:tab w:val="left" w:pos="851"/>
        </w:tabs>
        <w:ind w:left="851"/>
        <w:rPr>
          <w:sz w:val="24"/>
          <w:szCs w:val="24"/>
        </w:rPr>
      </w:pPr>
      <w:r>
        <w:rPr>
          <w:sz w:val="24"/>
          <w:szCs w:val="24"/>
        </w:rPr>
        <w:t>3. marts 2026</w:t>
      </w:r>
    </w:p>
    <w:p w14:paraId="110BF978" w14:textId="77777777" w:rsidR="009260DE" w:rsidRPr="002748AE" w:rsidRDefault="009260DE" w:rsidP="009260DE">
      <w:pPr>
        <w:tabs>
          <w:tab w:val="left" w:pos="851"/>
        </w:tabs>
        <w:ind w:left="851"/>
        <w:rPr>
          <w:sz w:val="24"/>
          <w:szCs w:val="24"/>
        </w:rPr>
      </w:pPr>
    </w:p>
    <w:p w14:paraId="136E19E2" w14:textId="77777777" w:rsidR="009260DE" w:rsidRPr="002748AE" w:rsidRDefault="009260DE" w:rsidP="009260DE">
      <w:pPr>
        <w:tabs>
          <w:tab w:val="left" w:pos="851"/>
        </w:tabs>
        <w:ind w:left="851" w:hanging="851"/>
        <w:rPr>
          <w:b/>
          <w:sz w:val="24"/>
          <w:szCs w:val="24"/>
        </w:rPr>
      </w:pPr>
      <w:r w:rsidRPr="002748AE">
        <w:rPr>
          <w:b/>
          <w:sz w:val="24"/>
          <w:szCs w:val="24"/>
        </w:rPr>
        <w:t>10.</w:t>
      </w:r>
      <w:r w:rsidRPr="002748AE">
        <w:rPr>
          <w:b/>
          <w:sz w:val="24"/>
          <w:szCs w:val="24"/>
        </w:rPr>
        <w:tab/>
        <w:t>DATO FOR ÆNDRING AF TEKSTEN</w:t>
      </w:r>
    </w:p>
    <w:p w14:paraId="01E3A9CE" w14:textId="64CE3CFB" w:rsidR="009260DE" w:rsidRPr="002748AE" w:rsidRDefault="00D41138" w:rsidP="009260DE">
      <w:pPr>
        <w:tabs>
          <w:tab w:val="left" w:pos="851"/>
        </w:tabs>
        <w:ind w:left="851"/>
        <w:rPr>
          <w:sz w:val="24"/>
          <w:szCs w:val="24"/>
        </w:rPr>
      </w:pPr>
      <w:r w:rsidRPr="002748AE">
        <w:rPr>
          <w:sz w:val="24"/>
          <w:szCs w:val="24"/>
        </w:rPr>
        <w:t>-</w:t>
      </w:r>
    </w:p>
    <w:sectPr w:rsidR="009260DE" w:rsidRPr="002748AE" w:rsidSect="000259B9">
      <w:footerReference w:type="default" r:id="rId9"/>
      <w:pgSz w:w="11906" w:h="16838" w:code="9"/>
      <w:pgMar w:top="851"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E625D6" w14:textId="77777777" w:rsidR="00F526B8" w:rsidRDefault="00F526B8">
      <w:r>
        <w:separator/>
      </w:r>
    </w:p>
  </w:endnote>
  <w:endnote w:type="continuationSeparator" w:id="0">
    <w:p w14:paraId="22E50E20" w14:textId="77777777" w:rsidR="00F526B8" w:rsidRDefault="00F526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67D61A" w14:textId="77777777" w:rsidR="00F526B8" w:rsidRDefault="00F526B8">
    <w:pPr>
      <w:pStyle w:val="Sidefod"/>
      <w:pBdr>
        <w:bottom w:val="single" w:sz="6" w:space="1" w:color="auto"/>
      </w:pBdr>
    </w:pPr>
  </w:p>
  <w:p w14:paraId="4D8D9988" w14:textId="77777777" w:rsidR="00F526B8" w:rsidRDefault="00F526B8" w:rsidP="00C42586">
    <w:pPr>
      <w:pStyle w:val="Sidefod"/>
      <w:tabs>
        <w:tab w:val="clear" w:pos="4819"/>
        <w:tab w:val="left" w:pos="8505"/>
      </w:tabs>
      <w:rPr>
        <w:i/>
        <w:sz w:val="18"/>
        <w:szCs w:val="18"/>
      </w:rPr>
    </w:pPr>
  </w:p>
  <w:p w14:paraId="4C47DA6F" w14:textId="14461E30" w:rsidR="00F526B8" w:rsidRPr="00B373D7" w:rsidRDefault="00F526B8" w:rsidP="00C42586">
    <w:pPr>
      <w:pStyle w:val="Sidefod"/>
      <w:tabs>
        <w:tab w:val="clear" w:pos="4819"/>
        <w:tab w:val="left" w:pos="8505"/>
      </w:tabs>
      <w:rPr>
        <w:i/>
        <w:sz w:val="18"/>
        <w:szCs w:val="18"/>
      </w:rPr>
    </w:pPr>
    <w:r w:rsidRPr="00B373D7">
      <w:rPr>
        <w:i/>
        <w:sz w:val="18"/>
        <w:szCs w:val="18"/>
      </w:rPr>
      <w:fldChar w:fldCharType="begin"/>
    </w:r>
    <w:r w:rsidRPr="00B373D7">
      <w:rPr>
        <w:i/>
        <w:sz w:val="18"/>
        <w:szCs w:val="18"/>
      </w:rPr>
      <w:instrText xml:space="preserve"> FILENAME </w:instrText>
    </w:r>
    <w:r w:rsidRPr="00B373D7">
      <w:rPr>
        <w:i/>
        <w:sz w:val="18"/>
        <w:szCs w:val="18"/>
      </w:rPr>
      <w:fldChar w:fldCharType="separate"/>
    </w:r>
    <w:r w:rsidR="003621D4">
      <w:rPr>
        <w:i/>
        <w:noProof/>
        <w:sz w:val="18"/>
        <w:szCs w:val="18"/>
      </w:rPr>
      <w:t>Ivacaftor Zentiva, filmovertrukne tabletter 150 mg.docx</w:t>
    </w:r>
    <w:r w:rsidRPr="00B373D7">
      <w:rPr>
        <w:i/>
        <w:sz w:val="18"/>
        <w:szCs w:val="18"/>
      </w:rPr>
      <w:fldChar w:fldCharType="end"/>
    </w:r>
    <w:r w:rsidRPr="00B373D7">
      <w:rPr>
        <w:i/>
        <w:sz w:val="18"/>
        <w:szCs w:val="18"/>
      </w:rPr>
      <w:tab/>
      <w:t xml:space="preserve">Side </w:t>
    </w:r>
    <w:r w:rsidRPr="00B373D7">
      <w:rPr>
        <w:rStyle w:val="Sidetal"/>
        <w:i/>
        <w:sz w:val="18"/>
        <w:szCs w:val="18"/>
      </w:rPr>
      <w:fldChar w:fldCharType="begin"/>
    </w:r>
    <w:r w:rsidRPr="00B373D7">
      <w:rPr>
        <w:rStyle w:val="Sidetal"/>
        <w:i/>
        <w:sz w:val="18"/>
        <w:szCs w:val="18"/>
      </w:rPr>
      <w:instrText xml:space="preserve"> PAGE </w:instrText>
    </w:r>
    <w:r w:rsidRPr="00B373D7">
      <w:rPr>
        <w:rStyle w:val="Sidetal"/>
        <w:i/>
        <w:sz w:val="18"/>
        <w:szCs w:val="18"/>
      </w:rPr>
      <w:fldChar w:fldCharType="separate"/>
    </w:r>
    <w:r>
      <w:rPr>
        <w:rStyle w:val="Sidetal"/>
        <w:i/>
        <w:noProof/>
        <w:sz w:val="18"/>
        <w:szCs w:val="18"/>
      </w:rPr>
      <w:t>3</w:t>
    </w:r>
    <w:r w:rsidRPr="00B373D7">
      <w:rPr>
        <w:rStyle w:val="Sidetal"/>
        <w:i/>
        <w:sz w:val="18"/>
        <w:szCs w:val="18"/>
      </w:rPr>
      <w:fldChar w:fldCharType="end"/>
    </w:r>
    <w:r w:rsidRPr="00B373D7">
      <w:rPr>
        <w:rStyle w:val="Sidetal"/>
        <w:i/>
        <w:sz w:val="18"/>
        <w:szCs w:val="18"/>
      </w:rPr>
      <w:t xml:space="preserve"> af </w:t>
    </w:r>
    <w:r w:rsidRPr="00B373D7">
      <w:rPr>
        <w:rStyle w:val="Sidetal"/>
        <w:i/>
        <w:sz w:val="18"/>
        <w:szCs w:val="18"/>
      </w:rPr>
      <w:fldChar w:fldCharType="begin"/>
    </w:r>
    <w:r w:rsidRPr="00B373D7">
      <w:rPr>
        <w:rStyle w:val="Sidetal"/>
        <w:i/>
        <w:sz w:val="18"/>
        <w:szCs w:val="18"/>
      </w:rPr>
      <w:instrText xml:space="preserve"> NUMPAGES </w:instrText>
    </w:r>
    <w:r w:rsidRPr="00B373D7">
      <w:rPr>
        <w:rStyle w:val="Sidetal"/>
        <w:i/>
        <w:sz w:val="18"/>
        <w:szCs w:val="18"/>
      </w:rPr>
      <w:fldChar w:fldCharType="separate"/>
    </w:r>
    <w:r>
      <w:rPr>
        <w:rStyle w:val="Sidetal"/>
        <w:i/>
        <w:noProof/>
        <w:sz w:val="18"/>
        <w:szCs w:val="18"/>
      </w:rPr>
      <w:t>3</w:t>
    </w:r>
    <w:r w:rsidRPr="00B373D7">
      <w:rPr>
        <w:rStyle w:val="Sidetal"/>
        <w: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002670" w14:textId="77777777" w:rsidR="00F526B8" w:rsidRDefault="00F526B8">
      <w:r>
        <w:separator/>
      </w:r>
    </w:p>
  </w:footnote>
  <w:footnote w:type="continuationSeparator" w:id="0">
    <w:p w14:paraId="556CB6B6" w14:textId="77777777" w:rsidR="00F526B8" w:rsidRDefault="00F526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2128634E"/>
    <w:lvl w:ilvl="0">
      <w:start w:val="1"/>
      <w:numFmt w:val="decimal"/>
      <w:pStyle w:val="Opstilling-talellerbogst5"/>
      <w:lvlText w:val="%1."/>
      <w:lvlJc w:val="left"/>
      <w:pPr>
        <w:tabs>
          <w:tab w:val="num" w:pos="1492"/>
        </w:tabs>
        <w:ind w:left="1492" w:hanging="360"/>
      </w:pPr>
    </w:lvl>
  </w:abstractNum>
  <w:abstractNum w:abstractNumId="1" w15:restartNumberingAfterBreak="0">
    <w:nsid w:val="FFFFFF7D"/>
    <w:multiLevelType w:val="singleLevel"/>
    <w:tmpl w:val="E1C040DC"/>
    <w:lvl w:ilvl="0">
      <w:start w:val="1"/>
      <w:numFmt w:val="decimal"/>
      <w:pStyle w:val="Opstilling-talellerbogst4"/>
      <w:lvlText w:val="%1."/>
      <w:lvlJc w:val="left"/>
      <w:pPr>
        <w:tabs>
          <w:tab w:val="num" w:pos="1209"/>
        </w:tabs>
        <w:ind w:left="1209" w:hanging="360"/>
      </w:pPr>
    </w:lvl>
  </w:abstractNum>
  <w:abstractNum w:abstractNumId="2" w15:restartNumberingAfterBreak="0">
    <w:nsid w:val="FFFFFF7E"/>
    <w:multiLevelType w:val="singleLevel"/>
    <w:tmpl w:val="34285D74"/>
    <w:lvl w:ilvl="0">
      <w:start w:val="1"/>
      <w:numFmt w:val="decimal"/>
      <w:pStyle w:val="Opstilling-talellerbogst3"/>
      <w:lvlText w:val="%1."/>
      <w:lvlJc w:val="left"/>
      <w:pPr>
        <w:tabs>
          <w:tab w:val="num" w:pos="926"/>
        </w:tabs>
        <w:ind w:left="926" w:hanging="360"/>
      </w:pPr>
    </w:lvl>
  </w:abstractNum>
  <w:abstractNum w:abstractNumId="3" w15:restartNumberingAfterBreak="0">
    <w:nsid w:val="FFFFFF7F"/>
    <w:multiLevelType w:val="singleLevel"/>
    <w:tmpl w:val="EAEE6B14"/>
    <w:lvl w:ilvl="0">
      <w:start w:val="1"/>
      <w:numFmt w:val="decimal"/>
      <w:pStyle w:val="Opstilling-talellerbogst2"/>
      <w:lvlText w:val="%1."/>
      <w:lvlJc w:val="left"/>
      <w:pPr>
        <w:tabs>
          <w:tab w:val="num" w:pos="643"/>
        </w:tabs>
        <w:ind w:left="643" w:hanging="360"/>
      </w:pPr>
    </w:lvl>
  </w:abstractNum>
  <w:abstractNum w:abstractNumId="4" w15:restartNumberingAfterBreak="0">
    <w:nsid w:val="FFFFFF80"/>
    <w:multiLevelType w:val="singleLevel"/>
    <w:tmpl w:val="3F02A13C"/>
    <w:lvl w:ilvl="0">
      <w:start w:val="1"/>
      <w:numFmt w:val="bullet"/>
      <w:pStyle w:val="Opstilling-punktteg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508F2DA"/>
    <w:lvl w:ilvl="0">
      <w:start w:val="1"/>
      <w:numFmt w:val="bullet"/>
      <w:pStyle w:val="Opstilling-punktteg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9FE52F6"/>
    <w:lvl w:ilvl="0">
      <w:start w:val="1"/>
      <w:numFmt w:val="bullet"/>
      <w:pStyle w:val="Opstilling-punktteg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660024"/>
    <w:lvl w:ilvl="0">
      <w:start w:val="1"/>
      <w:numFmt w:val="bullet"/>
      <w:pStyle w:val="Opstilling-punktteg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D940A84"/>
    <w:lvl w:ilvl="0">
      <w:start w:val="1"/>
      <w:numFmt w:val="decimal"/>
      <w:pStyle w:val="Opstilling-talellerbogst"/>
      <w:lvlText w:val="%1."/>
      <w:lvlJc w:val="left"/>
      <w:pPr>
        <w:tabs>
          <w:tab w:val="num" w:pos="360"/>
        </w:tabs>
        <w:ind w:left="360" w:hanging="360"/>
      </w:pPr>
    </w:lvl>
  </w:abstractNum>
  <w:abstractNum w:abstractNumId="9" w15:restartNumberingAfterBreak="0">
    <w:nsid w:val="FFFFFF89"/>
    <w:multiLevelType w:val="singleLevel"/>
    <w:tmpl w:val="B1FE1278"/>
    <w:lvl w:ilvl="0">
      <w:start w:val="1"/>
      <w:numFmt w:val="bullet"/>
      <w:pStyle w:val="Opstilling-punkttegn"/>
      <w:lvlText w:val=""/>
      <w:lvlJc w:val="left"/>
      <w:pPr>
        <w:tabs>
          <w:tab w:val="num" w:pos="360"/>
        </w:tabs>
        <w:ind w:left="360" w:hanging="360"/>
      </w:pPr>
      <w:rPr>
        <w:rFonts w:ascii="Symbol" w:hAnsi="Symbol" w:hint="default"/>
      </w:rPr>
    </w:lvl>
  </w:abstractNum>
  <w:abstractNum w:abstractNumId="10" w15:restartNumberingAfterBreak="0">
    <w:nsid w:val="02AA5504"/>
    <w:multiLevelType w:val="hybridMultilevel"/>
    <w:tmpl w:val="80884EF8"/>
    <w:lvl w:ilvl="0" w:tplc="114CD7CA">
      <w:start w:val="1"/>
      <w:numFmt w:val="bullet"/>
      <w:lvlText w:val="-"/>
      <w:lvlJc w:val="left"/>
      <w:pPr>
        <w:ind w:left="41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1" w:tplc="0B4475EA">
      <w:start w:val="1"/>
      <w:numFmt w:val="bullet"/>
      <w:lvlText w:val="o"/>
      <w:lvlJc w:val="left"/>
      <w:pPr>
        <w:ind w:left="1237"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2" w:tplc="10CA9652">
      <w:start w:val="1"/>
      <w:numFmt w:val="bullet"/>
      <w:lvlText w:val="▪"/>
      <w:lvlJc w:val="left"/>
      <w:pPr>
        <w:ind w:left="1957"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3" w:tplc="2D72EFFE">
      <w:start w:val="1"/>
      <w:numFmt w:val="bullet"/>
      <w:lvlText w:val="•"/>
      <w:lvlJc w:val="left"/>
      <w:pPr>
        <w:ind w:left="2677"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4" w:tplc="72164E04">
      <w:start w:val="1"/>
      <w:numFmt w:val="bullet"/>
      <w:lvlText w:val="o"/>
      <w:lvlJc w:val="left"/>
      <w:pPr>
        <w:ind w:left="3397"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5" w:tplc="67709090">
      <w:start w:val="1"/>
      <w:numFmt w:val="bullet"/>
      <w:lvlText w:val="▪"/>
      <w:lvlJc w:val="left"/>
      <w:pPr>
        <w:ind w:left="4117"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6" w:tplc="6ABE52F6">
      <w:start w:val="1"/>
      <w:numFmt w:val="bullet"/>
      <w:lvlText w:val="•"/>
      <w:lvlJc w:val="left"/>
      <w:pPr>
        <w:ind w:left="4837"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7" w:tplc="071C3794">
      <w:start w:val="1"/>
      <w:numFmt w:val="bullet"/>
      <w:lvlText w:val="o"/>
      <w:lvlJc w:val="left"/>
      <w:pPr>
        <w:ind w:left="5557"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8" w:tplc="9070B7EE">
      <w:start w:val="1"/>
      <w:numFmt w:val="bullet"/>
      <w:lvlText w:val="▪"/>
      <w:lvlJc w:val="left"/>
      <w:pPr>
        <w:ind w:left="6277"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abstractNum>
  <w:abstractNum w:abstractNumId="11" w15:restartNumberingAfterBreak="0">
    <w:nsid w:val="082A5987"/>
    <w:multiLevelType w:val="hybridMultilevel"/>
    <w:tmpl w:val="A2680CA8"/>
    <w:lvl w:ilvl="0" w:tplc="EE5A8EFE">
      <w:start w:val="1"/>
      <w:numFmt w:val="bullet"/>
      <w:lvlText w:val="-"/>
      <w:lvlJc w:val="left"/>
      <w:pPr>
        <w:ind w:left="36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1" w:tplc="3E0CBBF2">
      <w:start w:val="1"/>
      <w:numFmt w:val="bullet"/>
      <w:lvlText w:val="o"/>
      <w:lvlJc w:val="left"/>
      <w:pPr>
        <w:ind w:left="1187"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2" w:tplc="E0C6C71A">
      <w:start w:val="1"/>
      <w:numFmt w:val="bullet"/>
      <w:lvlText w:val="▪"/>
      <w:lvlJc w:val="left"/>
      <w:pPr>
        <w:ind w:left="1907"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3" w:tplc="B9F2E748">
      <w:start w:val="1"/>
      <w:numFmt w:val="bullet"/>
      <w:lvlText w:val="•"/>
      <w:lvlJc w:val="left"/>
      <w:pPr>
        <w:ind w:left="2627"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4" w:tplc="52982AAA">
      <w:start w:val="1"/>
      <w:numFmt w:val="bullet"/>
      <w:lvlText w:val="o"/>
      <w:lvlJc w:val="left"/>
      <w:pPr>
        <w:ind w:left="3347"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5" w:tplc="0FA6AADE">
      <w:start w:val="1"/>
      <w:numFmt w:val="bullet"/>
      <w:lvlText w:val="▪"/>
      <w:lvlJc w:val="left"/>
      <w:pPr>
        <w:ind w:left="4067"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6" w:tplc="B0F67B30">
      <w:start w:val="1"/>
      <w:numFmt w:val="bullet"/>
      <w:lvlText w:val="•"/>
      <w:lvlJc w:val="left"/>
      <w:pPr>
        <w:ind w:left="4787"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7" w:tplc="7F3465AA">
      <w:start w:val="1"/>
      <w:numFmt w:val="bullet"/>
      <w:lvlText w:val="o"/>
      <w:lvlJc w:val="left"/>
      <w:pPr>
        <w:ind w:left="5507"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8" w:tplc="C884F7B4">
      <w:start w:val="1"/>
      <w:numFmt w:val="bullet"/>
      <w:lvlText w:val="▪"/>
      <w:lvlJc w:val="left"/>
      <w:pPr>
        <w:ind w:left="6227"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abstractNum>
  <w:abstractNum w:abstractNumId="12" w15:restartNumberingAfterBreak="0">
    <w:nsid w:val="083C2744"/>
    <w:multiLevelType w:val="hybridMultilevel"/>
    <w:tmpl w:val="142E8B3A"/>
    <w:lvl w:ilvl="0" w:tplc="9146B5AC">
      <w:start w:val="1"/>
      <w:numFmt w:val="bullet"/>
      <w:lvlText w:val="•"/>
      <w:lvlJc w:val="left"/>
      <w:pPr>
        <w:ind w:left="3"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1" w:tplc="F79A97A0">
      <w:start w:val="1"/>
      <w:numFmt w:val="bullet"/>
      <w:lvlText w:val="o"/>
      <w:lvlJc w:val="left"/>
      <w:pPr>
        <w:ind w:left="828"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2" w:tplc="673A8586">
      <w:start w:val="1"/>
      <w:numFmt w:val="bullet"/>
      <w:lvlText w:val="▪"/>
      <w:lvlJc w:val="left"/>
      <w:pPr>
        <w:ind w:left="1548"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3" w:tplc="DFCE8A44">
      <w:start w:val="1"/>
      <w:numFmt w:val="bullet"/>
      <w:lvlText w:val="•"/>
      <w:lvlJc w:val="left"/>
      <w:pPr>
        <w:ind w:left="2268"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tplc="EC82CF86">
      <w:start w:val="1"/>
      <w:numFmt w:val="bullet"/>
      <w:lvlText w:val="o"/>
      <w:lvlJc w:val="left"/>
      <w:pPr>
        <w:ind w:left="2988"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5" w:tplc="DDCC6140">
      <w:start w:val="1"/>
      <w:numFmt w:val="bullet"/>
      <w:lvlText w:val="▪"/>
      <w:lvlJc w:val="left"/>
      <w:pPr>
        <w:ind w:left="3708"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6" w:tplc="4A04D6B2">
      <w:start w:val="1"/>
      <w:numFmt w:val="bullet"/>
      <w:lvlText w:val="•"/>
      <w:lvlJc w:val="left"/>
      <w:pPr>
        <w:ind w:left="4428"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tplc="1EB0CA8C">
      <w:start w:val="1"/>
      <w:numFmt w:val="bullet"/>
      <w:lvlText w:val="o"/>
      <w:lvlJc w:val="left"/>
      <w:pPr>
        <w:ind w:left="5148"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8" w:tplc="E004AA7C">
      <w:start w:val="1"/>
      <w:numFmt w:val="bullet"/>
      <w:lvlText w:val="▪"/>
      <w:lvlJc w:val="left"/>
      <w:pPr>
        <w:ind w:left="5868"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abstractNum>
  <w:abstractNum w:abstractNumId="13" w15:restartNumberingAfterBreak="0">
    <w:nsid w:val="0D98333F"/>
    <w:multiLevelType w:val="hybridMultilevel"/>
    <w:tmpl w:val="6A607DC0"/>
    <w:lvl w:ilvl="0" w:tplc="04060001">
      <w:start w:val="1"/>
      <w:numFmt w:val="bullet"/>
      <w:lvlText w:val=""/>
      <w:lvlJc w:val="left"/>
      <w:pPr>
        <w:ind w:left="1571" w:hanging="360"/>
      </w:pPr>
      <w:rPr>
        <w:rFonts w:ascii="Symbol" w:hAnsi="Symbol" w:hint="default"/>
      </w:rPr>
    </w:lvl>
    <w:lvl w:ilvl="1" w:tplc="04060003" w:tentative="1">
      <w:start w:val="1"/>
      <w:numFmt w:val="bullet"/>
      <w:lvlText w:val="o"/>
      <w:lvlJc w:val="left"/>
      <w:pPr>
        <w:ind w:left="2291" w:hanging="360"/>
      </w:pPr>
      <w:rPr>
        <w:rFonts w:ascii="Courier New" w:hAnsi="Courier New" w:cs="Courier New" w:hint="default"/>
      </w:rPr>
    </w:lvl>
    <w:lvl w:ilvl="2" w:tplc="04060005" w:tentative="1">
      <w:start w:val="1"/>
      <w:numFmt w:val="bullet"/>
      <w:lvlText w:val=""/>
      <w:lvlJc w:val="left"/>
      <w:pPr>
        <w:ind w:left="3011" w:hanging="360"/>
      </w:pPr>
      <w:rPr>
        <w:rFonts w:ascii="Wingdings" w:hAnsi="Wingdings" w:hint="default"/>
      </w:rPr>
    </w:lvl>
    <w:lvl w:ilvl="3" w:tplc="04060001" w:tentative="1">
      <w:start w:val="1"/>
      <w:numFmt w:val="bullet"/>
      <w:lvlText w:val=""/>
      <w:lvlJc w:val="left"/>
      <w:pPr>
        <w:ind w:left="3731" w:hanging="360"/>
      </w:pPr>
      <w:rPr>
        <w:rFonts w:ascii="Symbol" w:hAnsi="Symbol" w:hint="default"/>
      </w:rPr>
    </w:lvl>
    <w:lvl w:ilvl="4" w:tplc="04060003" w:tentative="1">
      <w:start w:val="1"/>
      <w:numFmt w:val="bullet"/>
      <w:lvlText w:val="o"/>
      <w:lvlJc w:val="left"/>
      <w:pPr>
        <w:ind w:left="4451" w:hanging="360"/>
      </w:pPr>
      <w:rPr>
        <w:rFonts w:ascii="Courier New" w:hAnsi="Courier New" w:cs="Courier New" w:hint="default"/>
      </w:rPr>
    </w:lvl>
    <w:lvl w:ilvl="5" w:tplc="04060005" w:tentative="1">
      <w:start w:val="1"/>
      <w:numFmt w:val="bullet"/>
      <w:lvlText w:val=""/>
      <w:lvlJc w:val="left"/>
      <w:pPr>
        <w:ind w:left="5171" w:hanging="360"/>
      </w:pPr>
      <w:rPr>
        <w:rFonts w:ascii="Wingdings" w:hAnsi="Wingdings" w:hint="default"/>
      </w:rPr>
    </w:lvl>
    <w:lvl w:ilvl="6" w:tplc="04060001" w:tentative="1">
      <w:start w:val="1"/>
      <w:numFmt w:val="bullet"/>
      <w:lvlText w:val=""/>
      <w:lvlJc w:val="left"/>
      <w:pPr>
        <w:ind w:left="5891" w:hanging="360"/>
      </w:pPr>
      <w:rPr>
        <w:rFonts w:ascii="Symbol" w:hAnsi="Symbol" w:hint="default"/>
      </w:rPr>
    </w:lvl>
    <w:lvl w:ilvl="7" w:tplc="04060003" w:tentative="1">
      <w:start w:val="1"/>
      <w:numFmt w:val="bullet"/>
      <w:lvlText w:val="o"/>
      <w:lvlJc w:val="left"/>
      <w:pPr>
        <w:ind w:left="6611" w:hanging="360"/>
      </w:pPr>
      <w:rPr>
        <w:rFonts w:ascii="Courier New" w:hAnsi="Courier New" w:cs="Courier New" w:hint="default"/>
      </w:rPr>
    </w:lvl>
    <w:lvl w:ilvl="8" w:tplc="04060005" w:tentative="1">
      <w:start w:val="1"/>
      <w:numFmt w:val="bullet"/>
      <w:lvlText w:val=""/>
      <w:lvlJc w:val="left"/>
      <w:pPr>
        <w:ind w:left="7331" w:hanging="360"/>
      </w:pPr>
      <w:rPr>
        <w:rFonts w:ascii="Wingdings" w:hAnsi="Wingdings" w:hint="default"/>
      </w:rPr>
    </w:lvl>
  </w:abstractNum>
  <w:abstractNum w:abstractNumId="14" w15:restartNumberingAfterBreak="0">
    <w:nsid w:val="14C1732C"/>
    <w:multiLevelType w:val="multilevel"/>
    <w:tmpl w:val="7BE2F61C"/>
    <w:lvl w:ilvl="0">
      <w:start w:val="6"/>
      <w:numFmt w:val="decimal"/>
      <w:lvlText w:val="%1"/>
      <w:lvlJc w:val="left"/>
      <w:pPr>
        <w:tabs>
          <w:tab w:val="num" w:pos="855"/>
        </w:tabs>
        <w:ind w:left="855" w:hanging="855"/>
      </w:pPr>
    </w:lvl>
    <w:lvl w:ilvl="1">
      <w:start w:val="1"/>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5" w15:restartNumberingAfterBreak="0">
    <w:nsid w:val="14FE0E84"/>
    <w:multiLevelType w:val="hybridMultilevel"/>
    <w:tmpl w:val="1708E924"/>
    <w:lvl w:ilvl="0" w:tplc="4A806E62">
      <w:start w:val="1"/>
      <w:numFmt w:val="bullet"/>
      <w:lvlText w:val="•"/>
      <w:lvlJc w:val="left"/>
      <w:pPr>
        <w:ind w:left="361" w:hanging="36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1" w:tplc="FFFFFFFF">
      <w:start w:val="1"/>
      <w:numFmt w:val="bullet"/>
      <w:lvlText w:val="o"/>
      <w:lvlJc w:val="left"/>
      <w:pPr>
        <w:ind w:left="1081" w:hanging="360"/>
      </w:pPr>
      <w:rPr>
        <w:rFonts w:ascii="Courier New" w:hAnsi="Courier New" w:cs="Courier New" w:hint="default"/>
      </w:rPr>
    </w:lvl>
    <w:lvl w:ilvl="2" w:tplc="FFFFFFFF">
      <w:start w:val="1"/>
      <w:numFmt w:val="bullet"/>
      <w:lvlText w:val=""/>
      <w:lvlJc w:val="left"/>
      <w:pPr>
        <w:ind w:left="1801" w:hanging="360"/>
      </w:pPr>
      <w:rPr>
        <w:rFonts w:ascii="Wingdings" w:hAnsi="Wingdings" w:hint="default"/>
      </w:rPr>
    </w:lvl>
    <w:lvl w:ilvl="3" w:tplc="FFFFFFFF">
      <w:start w:val="1"/>
      <w:numFmt w:val="bullet"/>
      <w:lvlText w:val=""/>
      <w:lvlJc w:val="left"/>
      <w:pPr>
        <w:ind w:left="2521" w:hanging="360"/>
      </w:pPr>
      <w:rPr>
        <w:rFonts w:ascii="Symbol" w:hAnsi="Symbol" w:hint="default"/>
      </w:rPr>
    </w:lvl>
    <w:lvl w:ilvl="4" w:tplc="FFFFFFFF">
      <w:start w:val="1"/>
      <w:numFmt w:val="bullet"/>
      <w:lvlText w:val="o"/>
      <w:lvlJc w:val="left"/>
      <w:pPr>
        <w:ind w:left="3241" w:hanging="360"/>
      </w:pPr>
      <w:rPr>
        <w:rFonts w:ascii="Courier New" w:hAnsi="Courier New" w:cs="Courier New" w:hint="default"/>
      </w:rPr>
    </w:lvl>
    <w:lvl w:ilvl="5" w:tplc="FFFFFFFF">
      <w:start w:val="1"/>
      <w:numFmt w:val="bullet"/>
      <w:lvlText w:val=""/>
      <w:lvlJc w:val="left"/>
      <w:pPr>
        <w:ind w:left="3961" w:hanging="360"/>
      </w:pPr>
      <w:rPr>
        <w:rFonts w:ascii="Wingdings" w:hAnsi="Wingdings" w:hint="default"/>
      </w:rPr>
    </w:lvl>
    <w:lvl w:ilvl="6" w:tplc="FFFFFFFF">
      <w:start w:val="1"/>
      <w:numFmt w:val="bullet"/>
      <w:lvlText w:val=""/>
      <w:lvlJc w:val="left"/>
      <w:pPr>
        <w:ind w:left="4681" w:hanging="360"/>
      </w:pPr>
      <w:rPr>
        <w:rFonts w:ascii="Symbol" w:hAnsi="Symbol" w:hint="default"/>
      </w:rPr>
    </w:lvl>
    <w:lvl w:ilvl="7" w:tplc="FFFFFFFF">
      <w:start w:val="1"/>
      <w:numFmt w:val="bullet"/>
      <w:lvlText w:val="o"/>
      <w:lvlJc w:val="left"/>
      <w:pPr>
        <w:ind w:left="5401" w:hanging="360"/>
      </w:pPr>
      <w:rPr>
        <w:rFonts w:ascii="Courier New" w:hAnsi="Courier New" w:cs="Courier New" w:hint="default"/>
      </w:rPr>
    </w:lvl>
    <w:lvl w:ilvl="8" w:tplc="FFFFFFFF">
      <w:start w:val="1"/>
      <w:numFmt w:val="bullet"/>
      <w:lvlText w:val=""/>
      <w:lvlJc w:val="left"/>
      <w:pPr>
        <w:ind w:left="6121" w:hanging="360"/>
      </w:pPr>
      <w:rPr>
        <w:rFonts w:ascii="Wingdings" w:hAnsi="Wingdings" w:hint="default"/>
      </w:rPr>
    </w:lvl>
  </w:abstractNum>
  <w:abstractNum w:abstractNumId="16" w15:restartNumberingAfterBreak="0">
    <w:nsid w:val="1EDE56B2"/>
    <w:multiLevelType w:val="hybridMultilevel"/>
    <w:tmpl w:val="A8263FD4"/>
    <w:lvl w:ilvl="0" w:tplc="709EF3DC">
      <w:start w:val="1"/>
      <w:numFmt w:val="bullet"/>
      <w:lvlText w:val="-"/>
      <w:lvlJc w:val="left"/>
      <w:pPr>
        <w:ind w:left="473" w:hanging="360"/>
      </w:pPr>
      <w:rPr>
        <w:rFonts w:ascii="Times New Roman" w:eastAsia="Times New Roman" w:hAnsi="Times New Roman" w:cs="Times New Roman" w:hint="default"/>
        <w:b w:val="0"/>
        <w:i w:val="0"/>
        <w:strike w:val="0"/>
        <w:dstrike w:val="0"/>
        <w:color w:val="000000"/>
        <w:sz w:val="22"/>
        <w:szCs w:val="22"/>
        <w:u w:val="none" w:color="000000"/>
        <w:effect w:val="none"/>
        <w:bdr w:val="none" w:sz="0" w:space="0" w:color="auto" w:frame="1"/>
        <w:vertAlign w:val="baseline"/>
      </w:rPr>
    </w:lvl>
    <w:lvl w:ilvl="1" w:tplc="FFFFFFFF">
      <w:start w:val="1"/>
      <w:numFmt w:val="bullet"/>
      <w:lvlText w:val="o"/>
      <w:lvlJc w:val="left"/>
      <w:pPr>
        <w:ind w:left="1193" w:hanging="360"/>
      </w:pPr>
      <w:rPr>
        <w:rFonts w:ascii="Courier New" w:hAnsi="Courier New" w:cs="Courier New" w:hint="default"/>
      </w:rPr>
    </w:lvl>
    <w:lvl w:ilvl="2" w:tplc="FFFFFFFF">
      <w:start w:val="1"/>
      <w:numFmt w:val="bullet"/>
      <w:lvlText w:val=""/>
      <w:lvlJc w:val="left"/>
      <w:pPr>
        <w:ind w:left="1913" w:hanging="360"/>
      </w:pPr>
      <w:rPr>
        <w:rFonts w:ascii="Wingdings" w:hAnsi="Wingdings" w:hint="default"/>
      </w:rPr>
    </w:lvl>
    <w:lvl w:ilvl="3" w:tplc="FFFFFFFF">
      <w:start w:val="1"/>
      <w:numFmt w:val="bullet"/>
      <w:lvlText w:val=""/>
      <w:lvlJc w:val="left"/>
      <w:pPr>
        <w:ind w:left="2633" w:hanging="360"/>
      </w:pPr>
      <w:rPr>
        <w:rFonts w:ascii="Symbol" w:hAnsi="Symbol" w:hint="default"/>
      </w:rPr>
    </w:lvl>
    <w:lvl w:ilvl="4" w:tplc="FFFFFFFF">
      <w:start w:val="1"/>
      <w:numFmt w:val="bullet"/>
      <w:lvlText w:val="o"/>
      <w:lvlJc w:val="left"/>
      <w:pPr>
        <w:ind w:left="3353" w:hanging="360"/>
      </w:pPr>
      <w:rPr>
        <w:rFonts w:ascii="Courier New" w:hAnsi="Courier New" w:cs="Courier New" w:hint="default"/>
      </w:rPr>
    </w:lvl>
    <w:lvl w:ilvl="5" w:tplc="FFFFFFFF">
      <w:start w:val="1"/>
      <w:numFmt w:val="bullet"/>
      <w:lvlText w:val=""/>
      <w:lvlJc w:val="left"/>
      <w:pPr>
        <w:ind w:left="4073" w:hanging="360"/>
      </w:pPr>
      <w:rPr>
        <w:rFonts w:ascii="Wingdings" w:hAnsi="Wingdings" w:hint="default"/>
      </w:rPr>
    </w:lvl>
    <w:lvl w:ilvl="6" w:tplc="FFFFFFFF">
      <w:start w:val="1"/>
      <w:numFmt w:val="bullet"/>
      <w:lvlText w:val=""/>
      <w:lvlJc w:val="left"/>
      <w:pPr>
        <w:ind w:left="4793" w:hanging="360"/>
      </w:pPr>
      <w:rPr>
        <w:rFonts w:ascii="Symbol" w:hAnsi="Symbol" w:hint="default"/>
      </w:rPr>
    </w:lvl>
    <w:lvl w:ilvl="7" w:tplc="FFFFFFFF">
      <w:start w:val="1"/>
      <w:numFmt w:val="bullet"/>
      <w:lvlText w:val="o"/>
      <w:lvlJc w:val="left"/>
      <w:pPr>
        <w:ind w:left="5513" w:hanging="360"/>
      </w:pPr>
      <w:rPr>
        <w:rFonts w:ascii="Courier New" w:hAnsi="Courier New" w:cs="Courier New" w:hint="default"/>
      </w:rPr>
    </w:lvl>
    <w:lvl w:ilvl="8" w:tplc="FFFFFFFF">
      <w:start w:val="1"/>
      <w:numFmt w:val="bullet"/>
      <w:lvlText w:val=""/>
      <w:lvlJc w:val="left"/>
      <w:pPr>
        <w:ind w:left="6233" w:hanging="360"/>
      </w:pPr>
      <w:rPr>
        <w:rFonts w:ascii="Wingdings" w:hAnsi="Wingdings" w:hint="default"/>
      </w:rPr>
    </w:lvl>
  </w:abstractNum>
  <w:abstractNum w:abstractNumId="17" w15:restartNumberingAfterBreak="0">
    <w:nsid w:val="24B86498"/>
    <w:multiLevelType w:val="hybridMultilevel"/>
    <w:tmpl w:val="BDBA3348"/>
    <w:lvl w:ilvl="0" w:tplc="C6427A58">
      <w:start w:val="1"/>
      <w:numFmt w:val="bullet"/>
      <w:lvlText w:val="-"/>
      <w:lvlJc w:val="left"/>
      <w:pPr>
        <w:ind w:left="41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1" w:tplc="F0EC1E16">
      <w:start w:val="1"/>
      <w:numFmt w:val="bullet"/>
      <w:lvlText w:val="o"/>
      <w:lvlJc w:val="left"/>
      <w:pPr>
        <w:ind w:left="1237"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2" w:tplc="85FCA9FC">
      <w:start w:val="1"/>
      <w:numFmt w:val="bullet"/>
      <w:lvlText w:val="▪"/>
      <w:lvlJc w:val="left"/>
      <w:pPr>
        <w:ind w:left="1957"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3" w:tplc="C326179A">
      <w:start w:val="1"/>
      <w:numFmt w:val="bullet"/>
      <w:lvlText w:val="•"/>
      <w:lvlJc w:val="left"/>
      <w:pPr>
        <w:ind w:left="2677"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4" w:tplc="D7F8D0EA">
      <w:start w:val="1"/>
      <w:numFmt w:val="bullet"/>
      <w:lvlText w:val="o"/>
      <w:lvlJc w:val="left"/>
      <w:pPr>
        <w:ind w:left="3397"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5" w:tplc="55760176">
      <w:start w:val="1"/>
      <w:numFmt w:val="bullet"/>
      <w:lvlText w:val="▪"/>
      <w:lvlJc w:val="left"/>
      <w:pPr>
        <w:ind w:left="4117"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6" w:tplc="5552A1F4">
      <w:start w:val="1"/>
      <w:numFmt w:val="bullet"/>
      <w:lvlText w:val="•"/>
      <w:lvlJc w:val="left"/>
      <w:pPr>
        <w:ind w:left="4837"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7" w:tplc="98CC759C">
      <w:start w:val="1"/>
      <w:numFmt w:val="bullet"/>
      <w:lvlText w:val="o"/>
      <w:lvlJc w:val="left"/>
      <w:pPr>
        <w:ind w:left="5557"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8" w:tplc="8124B84E">
      <w:start w:val="1"/>
      <w:numFmt w:val="bullet"/>
      <w:lvlText w:val="▪"/>
      <w:lvlJc w:val="left"/>
      <w:pPr>
        <w:ind w:left="6277"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abstractNum>
  <w:abstractNum w:abstractNumId="18" w15:restartNumberingAfterBreak="0">
    <w:nsid w:val="319150CE"/>
    <w:multiLevelType w:val="hybridMultilevel"/>
    <w:tmpl w:val="537AE5C8"/>
    <w:lvl w:ilvl="0" w:tplc="D4AEBF16">
      <w:start w:val="2"/>
      <w:numFmt w:val="chicago"/>
      <w:lvlText w:val="%1"/>
      <w:lvlJc w:val="left"/>
      <w:pPr>
        <w:ind w:left="1"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superscript"/>
      </w:rPr>
    </w:lvl>
    <w:lvl w:ilvl="1" w:tplc="662ADF1A">
      <w:start w:val="1"/>
      <w:numFmt w:val="lowerLetter"/>
      <w:lvlText w:val="%2"/>
      <w:lvlJc w:val="left"/>
      <w:pPr>
        <w:ind w:left="1188"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superscript"/>
      </w:rPr>
    </w:lvl>
    <w:lvl w:ilvl="2" w:tplc="8062ACE0">
      <w:start w:val="1"/>
      <w:numFmt w:val="lowerRoman"/>
      <w:lvlText w:val="%3"/>
      <w:lvlJc w:val="left"/>
      <w:pPr>
        <w:ind w:left="1908"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superscript"/>
      </w:rPr>
    </w:lvl>
    <w:lvl w:ilvl="3" w:tplc="7CD0BAD0">
      <w:start w:val="1"/>
      <w:numFmt w:val="decimal"/>
      <w:lvlText w:val="%4"/>
      <w:lvlJc w:val="left"/>
      <w:pPr>
        <w:ind w:left="2628"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superscript"/>
      </w:rPr>
    </w:lvl>
    <w:lvl w:ilvl="4" w:tplc="3A72AF5A">
      <w:start w:val="1"/>
      <w:numFmt w:val="lowerLetter"/>
      <w:lvlText w:val="%5"/>
      <w:lvlJc w:val="left"/>
      <w:pPr>
        <w:ind w:left="3348"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superscript"/>
      </w:rPr>
    </w:lvl>
    <w:lvl w:ilvl="5" w:tplc="9C6EA044">
      <w:start w:val="1"/>
      <w:numFmt w:val="lowerRoman"/>
      <w:lvlText w:val="%6"/>
      <w:lvlJc w:val="left"/>
      <w:pPr>
        <w:ind w:left="4068"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superscript"/>
      </w:rPr>
    </w:lvl>
    <w:lvl w:ilvl="6" w:tplc="E1D2C9D4">
      <w:start w:val="1"/>
      <w:numFmt w:val="decimal"/>
      <w:lvlText w:val="%7"/>
      <w:lvlJc w:val="left"/>
      <w:pPr>
        <w:ind w:left="4788"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superscript"/>
      </w:rPr>
    </w:lvl>
    <w:lvl w:ilvl="7" w:tplc="4E36CBFC">
      <w:start w:val="1"/>
      <w:numFmt w:val="lowerLetter"/>
      <w:lvlText w:val="%8"/>
      <w:lvlJc w:val="left"/>
      <w:pPr>
        <w:ind w:left="5508"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superscript"/>
      </w:rPr>
    </w:lvl>
    <w:lvl w:ilvl="8" w:tplc="37D423EA">
      <w:start w:val="1"/>
      <w:numFmt w:val="lowerRoman"/>
      <w:lvlText w:val="%9"/>
      <w:lvlJc w:val="left"/>
      <w:pPr>
        <w:ind w:left="6228"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superscript"/>
      </w:rPr>
    </w:lvl>
  </w:abstractNum>
  <w:abstractNum w:abstractNumId="19" w15:restartNumberingAfterBreak="0">
    <w:nsid w:val="3397578A"/>
    <w:multiLevelType w:val="multilevel"/>
    <w:tmpl w:val="392232EE"/>
    <w:lvl w:ilvl="0">
      <w:start w:val="5"/>
      <w:numFmt w:val="decimal"/>
      <w:lvlText w:val="%1"/>
      <w:lvlJc w:val="left"/>
      <w:pPr>
        <w:tabs>
          <w:tab w:val="num" w:pos="855"/>
        </w:tabs>
        <w:ind w:left="855" w:hanging="855"/>
      </w:pPr>
    </w:lvl>
    <w:lvl w:ilvl="1">
      <w:start w:val="3"/>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0" w15:restartNumberingAfterBreak="0">
    <w:nsid w:val="364660C3"/>
    <w:multiLevelType w:val="multilevel"/>
    <w:tmpl w:val="DAF0ED20"/>
    <w:lvl w:ilvl="0">
      <w:start w:val="5"/>
      <w:numFmt w:val="decimal"/>
      <w:lvlText w:val="%1.0"/>
      <w:lvlJc w:val="left"/>
      <w:pPr>
        <w:tabs>
          <w:tab w:val="num" w:pos="855"/>
        </w:tabs>
        <w:ind w:left="855" w:hanging="855"/>
      </w:pPr>
    </w:lvl>
    <w:lvl w:ilvl="1">
      <w:start w:val="1"/>
      <w:numFmt w:val="decimal"/>
      <w:lvlText w:val="%1.%2"/>
      <w:lvlJc w:val="left"/>
      <w:pPr>
        <w:tabs>
          <w:tab w:val="num" w:pos="2159"/>
        </w:tabs>
        <w:ind w:left="2159" w:hanging="855"/>
      </w:pPr>
    </w:lvl>
    <w:lvl w:ilvl="2">
      <w:start w:val="1"/>
      <w:numFmt w:val="decimal"/>
      <w:lvlText w:val="%1.%2.%3"/>
      <w:lvlJc w:val="left"/>
      <w:pPr>
        <w:tabs>
          <w:tab w:val="num" w:pos="3463"/>
        </w:tabs>
        <w:ind w:left="3463" w:hanging="855"/>
      </w:pPr>
    </w:lvl>
    <w:lvl w:ilvl="3">
      <w:start w:val="1"/>
      <w:numFmt w:val="decimal"/>
      <w:lvlText w:val="%1.%2.%3.%4"/>
      <w:lvlJc w:val="left"/>
      <w:pPr>
        <w:tabs>
          <w:tab w:val="num" w:pos="4767"/>
        </w:tabs>
        <w:ind w:left="4767" w:hanging="855"/>
      </w:pPr>
    </w:lvl>
    <w:lvl w:ilvl="4">
      <w:start w:val="1"/>
      <w:numFmt w:val="decimal"/>
      <w:lvlText w:val="%1.%2.%3.%4.%5"/>
      <w:lvlJc w:val="left"/>
      <w:pPr>
        <w:tabs>
          <w:tab w:val="num" w:pos="6296"/>
        </w:tabs>
        <w:ind w:left="6296" w:hanging="1080"/>
      </w:pPr>
    </w:lvl>
    <w:lvl w:ilvl="5">
      <w:start w:val="1"/>
      <w:numFmt w:val="decimal"/>
      <w:lvlText w:val="%1.%2.%3.%4.%5.%6"/>
      <w:lvlJc w:val="left"/>
      <w:pPr>
        <w:tabs>
          <w:tab w:val="num" w:pos="7600"/>
        </w:tabs>
        <w:ind w:left="7600" w:hanging="1080"/>
      </w:pPr>
    </w:lvl>
    <w:lvl w:ilvl="6">
      <w:start w:val="1"/>
      <w:numFmt w:val="decimal"/>
      <w:lvlText w:val="%1.%2.%3.%4.%5.%6.%7"/>
      <w:lvlJc w:val="left"/>
      <w:pPr>
        <w:tabs>
          <w:tab w:val="num" w:pos="9264"/>
        </w:tabs>
        <w:ind w:left="9264" w:hanging="1440"/>
      </w:pPr>
    </w:lvl>
    <w:lvl w:ilvl="7">
      <w:start w:val="1"/>
      <w:numFmt w:val="decimal"/>
      <w:lvlText w:val="%1.%2.%3.%4.%5.%6.%7.%8"/>
      <w:lvlJc w:val="left"/>
      <w:pPr>
        <w:tabs>
          <w:tab w:val="num" w:pos="10568"/>
        </w:tabs>
        <w:ind w:left="10568" w:hanging="1440"/>
      </w:pPr>
    </w:lvl>
    <w:lvl w:ilvl="8">
      <w:start w:val="1"/>
      <w:numFmt w:val="decimal"/>
      <w:lvlText w:val="%1.%2.%3.%4.%5.%6.%7.%8.%9"/>
      <w:lvlJc w:val="left"/>
      <w:pPr>
        <w:tabs>
          <w:tab w:val="num" w:pos="12232"/>
        </w:tabs>
        <w:ind w:left="12232" w:hanging="1800"/>
      </w:pPr>
    </w:lvl>
  </w:abstractNum>
  <w:abstractNum w:abstractNumId="21" w15:restartNumberingAfterBreak="0">
    <w:nsid w:val="3C2F185C"/>
    <w:multiLevelType w:val="hybridMultilevel"/>
    <w:tmpl w:val="7EF8728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2" w15:restartNumberingAfterBreak="0">
    <w:nsid w:val="405C5D3C"/>
    <w:multiLevelType w:val="multilevel"/>
    <w:tmpl w:val="9CBC71DC"/>
    <w:lvl w:ilvl="0">
      <w:numFmt w:val="decimal"/>
      <w:lvlText w:val="%1."/>
      <w:lvlJc w:val="left"/>
      <w:pPr>
        <w:tabs>
          <w:tab w:val="num" w:pos="855"/>
        </w:tabs>
        <w:ind w:left="855" w:hanging="855"/>
      </w:pPr>
    </w:lvl>
    <w:lvl w:ilvl="1">
      <w:start w:val="1"/>
      <w:numFmt w:val="decimal"/>
      <w:isLgl/>
      <w:lvlText w:val="%1.%2"/>
      <w:lvlJc w:val="left"/>
      <w:pPr>
        <w:tabs>
          <w:tab w:val="num" w:pos="855"/>
        </w:tabs>
        <w:ind w:left="855" w:hanging="855"/>
      </w:pPr>
      <w:rPr>
        <w:strike w:val="0"/>
        <w:dstrike w:val="0"/>
        <w:u w:val="none"/>
        <w:effect w:val="none"/>
      </w:rPr>
    </w:lvl>
    <w:lvl w:ilvl="2">
      <w:start w:val="1"/>
      <w:numFmt w:val="decimal"/>
      <w:isLgl/>
      <w:lvlText w:val="%1.%2.%3"/>
      <w:lvlJc w:val="left"/>
      <w:pPr>
        <w:tabs>
          <w:tab w:val="num" w:pos="855"/>
        </w:tabs>
        <w:ind w:left="855" w:hanging="855"/>
      </w:pPr>
      <w:rPr>
        <w:strike w:val="0"/>
        <w:dstrike w:val="0"/>
        <w:u w:val="none"/>
        <w:effect w:val="none"/>
      </w:rPr>
    </w:lvl>
    <w:lvl w:ilvl="3">
      <w:start w:val="1"/>
      <w:numFmt w:val="decimal"/>
      <w:isLgl/>
      <w:lvlText w:val="%1.%2.%3.%4"/>
      <w:lvlJc w:val="left"/>
      <w:pPr>
        <w:tabs>
          <w:tab w:val="num" w:pos="855"/>
        </w:tabs>
        <w:ind w:left="855" w:hanging="855"/>
      </w:pPr>
      <w:rPr>
        <w:strike w:val="0"/>
        <w:dstrike w:val="0"/>
        <w:u w:val="none"/>
        <w:effect w:val="none"/>
      </w:rPr>
    </w:lvl>
    <w:lvl w:ilvl="4">
      <w:start w:val="1"/>
      <w:numFmt w:val="decimal"/>
      <w:isLgl/>
      <w:lvlText w:val="%1.%2.%3.%4.%5"/>
      <w:lvlJc w:val="left"/>
      <w:pPr>
        <w:tabs>
          <w:tab w:val="num" w:pos="1080"/>
        </w:tabs>
        <w:ind w:left="1080" w:hanging="1080"/>
      </w:pPr>
      <w:rPr>
        <w:strike w:val="0"/>
        <w:dstrike w:val="0"/>
        <w:u w:val="none"/>
        <w:effect w:val="none"/>
      </w:rPr>
    </w:lvl>
    <w:lvl w:ilvl="5">
      <w:start w:val="1"/>
      <w:numFmt w:val="decimal"/>
      <w:isLgl/>
      <w:lvlText w:val="%1.%2.%3.%4.%5.%6"/>
      <w:lvlJc w:val="left"/>
      <w:pPr>
        <w:tabs>
          <w:tab w:val="num" w:pos="1080"/>
        </w:tabs>
        <w:ind w:left="1080" w:hanging="1080"/>
      </w:pPr>
      <w:rPr>
        <w:strike w:val="0"/>
        <w:dstrike w:val="0"/>
        <w:u w:val="none"/>
        <w:effect w:val="none"/>
      </w:rPr>
    </w:lvl>
    <w:lvl w:ilvl="6">
      <w:start w:val="1"/>
      <w:numFmt w:val="decimal"/>
      <w:isLgl/>
      <w:lvlText w:val="%1.%2.%3.%4.%5.%6.%7"/>
      <w:lvlJc w:val="left"/>
      <w:pPr>
        <w:tabs>
          <w:tab w:val="num" w:pos="1440"/>
        </w:tabs>
        <w:ind w:left="1440" w:hanging="1440"/>
      </w:pPr>
      <w:rPr>
        <w:strike w:val="0"/>
        <w:dstrike w:val="0"/>
        <w:u w:val="none"/>
        <w:effect w:val="none"/>
      </w:rPr>
    </w:lvl>
    <w:lvl w:ilvl="7">
      <w:start w:val="1"/>
      <w:numFmt w:val="decimal"/>
      <w:isLgl/>
      <w:lvlText w:val="%1.%2.%3.%4.%5.%6.%7.%8"/>
      <w:lvlJc w:val="left"/>
      <w:pPr>
        <w:tabs>
          <w:tab w:val="num" w:pos="1440"/>
        </w:tabs>
        <w:ind w:left="1440" w:hanging="1440"/>
      </w:pPr>
      <w:rPr>
        <w:strike w:val="0"/>
        <w:dstrike w:val="0"/>
        <w:u w:val="none"/>
        <w:effect w:val="none"/>
      </w:rPr>
    </w:lvl>
    <w:lvl w:ilvl="8">
      <w:start w:val="1"/>
      <w:numFmt w:val="decimal"/>
      <w:isLgl/>
      <w:lvlText w:val="%1.%2.%3.%4.%5.%6.%7.%8.%9"/>
      <w:lvlJc w:val="left"/>
      <w:pPr>
        <w:tabs>
          <w:tab w:val="num" w:pos="1800"/>
        </w:tabs>
        <w:ind w:left="1800" w:hanging="1800"/>
      </w:pPr>
      <w:rPr>
        <w:strike w:val="0"/>
        <w:dstrike w:val="0"/>
        <w:u w:val="none"/>
        <w:effect w:val="none"/>
      </w:rPr>
    </w:lvl>
  </w:abstractNum>
  <w:abstractNum w:abstractNumId="23" w15:restartNumberingAfterBreak="0">
    <w:nsid w:val="4A3B0892"/>
    <w:multiLevelType w:val="hybridMultilevel"/>
    <w:tmpl w:val="D6ACFCF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4" w15:restartNumberingAfterBreak="0">
    <w:nsid w:val="51AF6715"/>
    <w:multiLevelType w:val="hybridMultilevel"/>
    <w:tmpl w:val="A814B854"/>
    <w:lvl w:ilvl="0" w:tplc="10000001">
      <w:start w:val="1"/>
      <w:numFmt w:val="bullet"/>
      <w:lvlText w:val=""/>
      <w:lvlJc w:val="left"/>
      <w:pPr>
        <w:ind w:left="360" w:hanging="360"/>
      </w:pPr>
      <w:rPr>
        <w:rFonts w:ascii="Symbol" w:hAnsi="Symbol" w:hint="default"/>
      </w:rPr>
    </w:lvl>
    <w:lvl w:ilvl="1" w:tplc="10000003">
      <w:start w:val="1"/>
      <w:numFmt w:val="bullet"/>
      <w:lvlText w:val="o"/>
      <w:lvlJc w:val="left"/>
      <w:pPr>
        <w:ind w:left="1080" w:hanging="360"/>
      </w:pPr>
      <w:rPr>
        <w:rFonts w:ascii="Courier New" w:hAnsi="Courier New" w:cs="Courier New" w:hint="default"/>
      </w:rPr>
    </w:lvl>
    <w:lvl w:ilvl="2" w:tplc="10000005">
      <w:start w:val="1"/>
      <w:numFmt w:val="bullet"/>
      <w:lvlText w:val=""/>
      <w:lvlJc w:val="left"/>
      <w:pPr>
        <w:ind w:left="1800" w:hanging="360"/>
      </w:pPr>
      <w:rPr>
        <w:rFonts w:ascii="Wingdings" w:hAnsi="Wingdings" w:hint="default"/>
      </w:rPr>
    </w:lvl>
    <w:lvl w:ilvl="3" w:tplc="10000001">
      <w:start w:val="1"/>
      <w:numFmt w:val="bullet"/>
      <w:lvlText w:val=""/>
      <w:lvlJc w:val="left"/>
      <w:pPr>
        <w:ind w:left="2520" w:hanging="360"/>
      </w:pPr>
      <w:rPr>
        <w:rFonts w:ascii="Symbol" w:hAnsi="Symbol" w:hint="default"/>
      </w:rPr>
    </w:lvl>
    <w:lvl w:ilvl="4" w:tplc="10000003">
      <w:start w:val="1"/>
      <w:numFmt w:val="bullet"/>
      <w:lvlText w:val="o"/>
      <w:lvlJc w:val="left"/>
      <w:pPr>
        <w:ind w:left="3240" w:hanging="360"/>
      </w:pPr>
      <w:rPr>
        <w:rFonts w:ascii="Courier New" w:hAnsi="Courier New" w:cs="Courier New" w:hint="default"/>
      </w:rPr>
    </w:lvl>
    <w:lvl w:ilvl="5" w:tplc="10000005">
      <w:start w:val="1"/>
      <w:numFmt w:val="bullet"/>
      <w:lvlText w:val=""/>
      <w:lvlJc w:val="left"/>
      <w:pPr>
        <w:ind w:left="3960" w:hanging="360"/>
      </w:pPr>
      <w:rPr>
        <w:rFonts w:ascii="Wingdings" w:hAnsi="Wingdings" w:hint="default"/>
      </w:rPr>
    </w:lvl>
    <w:lvl w:ilvl="6" w:tplc="10000001">
      <w:start w:val="1"/>
      <w:numFmt w:val="bullet"/>
      <w:lvlText w:val=""/>
      <w:lvlJc w:val="left"/>
      <w:pPr>
        <w:ind w:left="4680" w:hanging="360"/>
      </w:pPr>
      <w:rPr>
        <w:rFonts w:ascii="Symbol" w:hAnsi="Symbol" w:hint="default"/>
      </w:rPr>
    </w:lvl>
    <w:lvl w:ilvl="7" w:tplc="10000003">
      <w:start w:val="1"/>
      <w:numFmt w:val="bullet"/>
      <w:lvlText w:val="o"/>
      <w:lvlJc w:val="left"/>
      <w:pPr>
        <w:ind w:left="5400" w:hanging="360"/>
      </w:pPr>
      <w:rPr>
        <w:rFonts w:ascii="Courier New" w:hAnsi="Courier New" w:cs="Courier New" w:hint="default"/>
      </w:rPr>
    </w:lvl>
    <w:lvl w:ilvl="8" w:tplc="10000005">
      <w:start w:val="1"/>
      <w:numFmt w:val="bullet"/>
      <w:lvlText w:val=""/>
      <w:lvlJc w:val="left"/>
      <w:pPr>
        <w:ind w:left="6120" w:hanging="360"/>
      </w:pPr>
      <w:rPr>
        <w:rFonts w:ascii="Wingdings" w:hAnsi="Wingdings" w:hint="default"/>
      </w:rPr>
    </w:lvl>
  </w:abstractNum>
  <w:abstractNum w:abstractNumId="25" w15:restartNumberingAfterBreak="0">
    <w:nsid w:val="5218342F"/>
    <w:multiLevelType w:val="hybridMultilevel"/>
    <w:tmpl w:val="742C58E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6" w15:restartNumberingAfterBreak="0">
    <w:nsid w:val="55542CAA"/>
    <w:multiLevelType w:val="multilevel"/>
    <w:tmpl w:val="6E481CAC"/>
    <w:lvl w:ilvl="0">
      <w:start w:val="5"/>
      <w:numFmt w:val="decimal"/>
      <w:lvlText w:val="%1."/>
      <w:lvlJc w:val="left"/>
      <w:pPr>
        <w:tabs>
          <w:tab w:val="num" w:pos="855"/>
        </w:tabs>
        <w:ind w:left="855" w:hanging="855"/>
      </w:pPr>
    </w:lvl>
    <w:lvl w:ilvl="1">
      <w:start w:val="2"/>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7" w15:restartNumberingAfterBreak="0">
    <w:nsid w:val="57B45E0F"/>
    <w:multiLevelType w:val="hybridMultilevel"/>
    <w:tmpl w:val="4886A0DE"/>
    <w:lvl w:ilvl="0" w:tplc="DB1C3BD4">
      <w:start w:val="1"/>
      <w:numFmt w:val="bullet"/>
      <w:lvlText w:val="•"/>
      <w:lvlJc w:val="left"/>
      <w:pPr>
        <w:ind w:left="721"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1" w:tplc="A91E50A4">
      <w:start w:val="1"/>
      <w:numFmt w:val="bullet"/>
      <w:lvlText w:val="o"/>
      <w:lvlJc w:val="left"/>
      <w:pPr>
        <w:ind w:left="1546"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2" w:tplc="2320037A">
      <w:start w:val="1"/>
      <w:numFmt w:val="bullet"/>
      <w:lvlText w:val="▪"/>
      <w:lvlJc w:val="left"/>
      <w:pPr>
        <w:ind w:left="2266"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3" w:tplc="C3648684">
      <w:start w:val="1"/>
      <w:numFmt w:val="bullet"/>
      <w:lvlText w:val="•"/>
      <w:lvlJc w:val="left"/>
      <w:pPr>
        <w:ind w:left="2986"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tplc="D5ACA8CC">
      <w:start w:val="1"/>
      <w:numFmt w:val="bullet"/>
      <w:lvlText w:val="o"/>
      <w:lvlJc w:val="left"/>
      <w:pPr>
        <w:ind w:left="3706"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5" w:tplc="3D0EC57E">
      <w:start w:val="1"/>
      <w:numFmt w:val="bullet"/>
      <w:lvlText w:val="▪"/>
      <w:lvlJc w:val="left"/>
      <w:pPr>
        <w:ind w:left="4426"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6" w:tplc="E6C83928">
      <w:start w:val="1"/>
      <w:numFmt w:val="bullet"/>
      <w:lvlText w:val="•"/>
      <w:lvlJc w:val="left"/>
      <w:pPr>
        <w:ind w:left="5146"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tplc="FEEA2570">
      <w:start w:val="1"/>
      <w:numFmt w:val="bullet"/>
      <w:lvlText w:val="o"/>
      <w:lvlJc w:val="left"/>
      <w:pPr>
        <w:ind w:left="5866"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8" w:tplc="9BE4EC80">
      <w:start w:val="1"/>
      <w:numFmt w:val="bullet"/>
      <w:lvlText w:val="▪"/>
      <w:lvlJc w:val="left"/>
      <w:pPr>
        <w:ind w:left="6586"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abstractNum>
  <w:abstractNum w:abstractNumId="28" w15:restartNumberingAfterBreak="0">
    <w:nsid w:val="5B6D3483"/>
    <w:multiLevelType w:val="hybridMultilevel"/>
    <w:tmpl w:val="9DCC3B9E"/>
    <w:lvl w:ilvl="0" w:tplc="6DF0E7FE">
      <w:start w:val="1"/>
      <w:numFmt w:val="bullet"/>
      <w:lvlText w:val="-"/>
      <w:lvlJc w:val="left"/>
      <w:pPr>
        <w:ind w:left="411"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1" w:tplc="93E2B122">
      <w:start w:val="1"/>
      <w:numFmt w:val="bullet"/>
      <w:lvlText w:val="o"/>
      <w:lvlJc w:val="left"/>
      <w:pPr>
        <w:ind w:left="1237"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2" w:tplc="F77CD29E">
      <w:start w:val="1"/>
      <w:numFmt w:val="bullet"/>
      <w:lvlText w:val="▪"/>
      <w:lvlJc w:val="left"/>
      <w:pPr>
        <w:ind w:left="1957"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3" w:tplc="90ACA034">
      <w:start w:val="1"/>
      <w:numFmt w:val="bullet"/>
      <w:lvlText w:val="•"/>
      <w:lvlJc w:val="left"/>
      <w:pPr>
        <w:ind w:left="2677"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4" w:tplc="7CD6A7C2">
      <w:start w:val="1"/>
      <w:numFmt w:val="bullet"/>
      <w:lvlText w:val="o"/>
      <w:lvlJc w:val="left"/>
      <w:pPr>
        <w:ind w:left="3397"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5" w:tplc="3A7AC834">
      <w:start w:val="1"/>
      <w:numFmt w:val="bullet"/>
      <w:lvlText w:val="▪"/>
      <w:lvlJc w:val="left"/>
      <w:pPr>
        <w:ind w:left="4117"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6" w:tplc="2B720CC8">
      <w:start w:val="1"/>
      <w:numFmt w:val="bullet"/>
      <w:lvlText w:val="•"/>
      <w:lvlJc w:val="left"/>
      <w:pPr>
        <w:ind w:left="4837"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7" w:tplc="BE52EE68">
      <w:start w:val="1"/>
      <w:numFmt w:val="bullet"/>
      <w:lvlText w:val="o"/>
      <w:lvlJc w:val="left"/>
      <w:pPr>
        <w:ind w:left="5557"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8" w:tplc="8A30FC4A">
      <w:start w:val="1"/>
      <w:numFmt w:val="bullet"/>
      <w:lvlText w:val="▪"/>
      <w:lvlJc w:val="left"/>
      <w:pPr>
        <w:ind w:left="6277"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abstractNum>
  <w:abstractNum w:abstractNumId="29" w15:restartNumberingAfterBreak="0">
    <w:nsid w:val="6A603EF3"/>
    <w:multiLevelType w:val="hybridMultilevel"/>
    <w:tmpl w:val="557AA1DE"/>
    <w:lvl w:ilvl="0" w:tplc="625CF95E">
      <w:start w:val="1"/>
      <w:numFmt w:val="bullet"/>
      <w:lvlText w:val="-"/>
      <w:lvlJc w:val="left"/>
      <w:pPr>
        <w:ind w:left="41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1" w:tplc="230A8204">
      <w:start w:val="1"/>
      <w:numFmt w:val="bullet"/>
      <w:lvlText w:val="o"/>
      <w:lvlJc w:val="left"/>
      <w:pPr>
        <w:ind w:left="1237"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2" w:tplc="7132F4AC">
      <w:start w:val="1"/>
      <w:numFmt w:val="bullet"/>
      <w:lvlText w:val="▪"/>
      <w:lvlJc w:val="left"/>
      <w:pPr>
        <w:ind w:left="1957"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3" w:tplc="EF681510">
      <w:start w:val="1"/>
      <w:numFmt w:val="bullet"/>
      <w:lvlText w:val="•"/>
      <w:lvlJc w:val="left"/>
      <w:pPr>
        <w:ind w:left="2677"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4" w:tplc="776A86B2">
      <w:start w:val="1"/>
      <w:numFmt w:val="bullet"/>
      <w:lvlText w:val="o"/>
      <w:lvlJc w:val="left"/>
      <w:pPr>
        <w:ind w:left="3397"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5" w:tplc="EDA2250E">
      <w:start w:val="1"/>
      <w:numFmt w:val="bullet"/>
      <w:lvlText w:val="▪"/>
      <w:lvlJc w:val="left"/>
      <w:pPr>
        <w:ind w:left="4117"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6" w:tplc="D264F130">
      <w:start w:val="1"/>
      <w:numFmt w:val="bullet"/>
      <w:lvlText w:val="•"/>
      <w:lvlJc w:val="left"/>
      <w:pPr>
        <w:ind w:left="4837"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7" w:tplc="879C0F6E">
      <w:start w:val="1"/>
      <w:numFmt w:val="bullet"/>
      <w:lvlText w:val="o"/>
      <w:lvlJc w:val="left"/>
      <w:pPr>
        <w:ind w:left="5557"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8" w:tplc="4E125B08">
      <w:start w:val="1"/>
      <w:numFmt w:val="bullet"/>
      <w:lvlText w:val="▪"/>
      <w:lvlJc w:val="left"/>
      <w:pPr>
        <w:ind w:left="6277"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abstractNum>
  <w:num w:numId="1">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6"/>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9"/>
    <w:lvlOverride w:ilvl="0">
      <w:startOverride w:val="5"/>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4"/>
  </w:num>
  <w:num w:numId="7">
    <w:abstractNumId w:val="16"/>
  </w:num>
  <w:num w:numId="8">
    <w:abstractNumId w:val="11"/>
  </w:num>
  <w:num w:numId="9">
    <w:abstractNumId w:val="28"/>
  </w:num>
  <w:num w:numId="10">
    <w:abstractNumId w:val="17"/>
  </w:num>
  <w:num w:numId="11">
    <w:abstractNumId w:val="10"/>
  </w:num>
  <w:num w:numId="12">
    <w:abstractNumId w:val="29"/>
  </w:num>
  <w:num w:numId="13">
    <w:abstractNumId w:val="15"/>
  </w:num>
  <w:num w:numId="14">
    <w:abstractNumId w:val="12"/>
  </w:num>
  <w:num w:numId="15">
    <w:abstractNumId w:val="27"/>
  </w:num>
  <w:num w:numId="16">
    <w:abstractNumId w:val="9"/>
  </w:num>
  <w:num w:numId="17">
    <w:abstractNumId w:val="8"/>
    <w:lvlOverride w:ilvl="0">
      <w:startOverride w:val="1"/>
    </w:lvlOverride>
  </w:num>
  <w:num w:numId="18">
    <w:abstractNumId w:val="7"/>
  </w:num>
  <w:num w:numId="19">
    <w:abstractNumId w:val="6"/>
  </w:num>
  <w:num w:numId="20">
    <w:abstractNumId w:val="5"/>
  </w:num>
  <w:num w:numId="21">
    <w:abstractNumId w:val="4"/>
  </w:num>
  <w:num w:numId="22">
    <w:abstractNumId w:val="3"/>
    <w:lvlOverride w:ilvl="0">
      <w:startOverride w:val="1"/>
    </w:lvlOverride>
  </w:num>
  <w:num w:numId="23">
    <w:abstractNumId w:val="2"/>
    <w:lvlOverride w:ilvl="0">
      <w:startOverride w:val="1"/>
    </w:lvlOverride>
  </w:num>
  <w:num w:numId="24">
    <w:abstractNumId w:val="1"/>
    <w:lvlOverride w:ilvl="0">
      <w:startOverride w:val="1"/>
    </w:lvlOverride>
  </w:num>
  <w:num w:numId="25">
    <w:abstractNumId w:val="0"/>
    <w:lvlOverride w:ilvl="0">
      <w:startOverride w:val="1"/>
    </w:lvlOverride>
  </w:num>
  <w:num w:numId="26">
    <w:abstractNumId w:val="1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3"/>
  </w:num>
  <w:num w:numId="28">
    <w:abstractNumId w:val="25"/>
  </w:num>
  <w:num w:numId="29">
    <w:abstractNumId w:val="21"/>
  </w:num>
  <w:num w:numId="3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19C7"/>
    <w:rsid w:val="000259B9"/>
    <w:rsid w:val="00041491"/>
    <w:rsid w:val="00050D16"/>
    <w:rsid w:val="000719C7"/>
    <w:rsid w:val="000730CA"/>
    <w:rsid w:val="00074F2A"/>
    <w:rsid w:val="000A1CA8"/>
    <w:rsid w:val="000A466B"/>
    <w:rsid w:val="000B058C"/>
    <w:rsid w:val="000D68B0"/>
    <w:rsid w:val="000E4EE6"/>
    <w:rsid w:val="001454E2"/>
    <w:rsid w:val="00206CE8"/>
    <w:rsid w:val="0021526C"/>
    <w:rsid w:val="002748AE"/>
    <w:rsid w:val="00283A2B"/>
    <w:rsid w:val="002B30AD"/>
    <w:rsid w:val="002C1EC0"/>
    <w:rsid w:val="002C2C01"/>
    <w:rsid w:val="00315477"/>
    <w:rsid w:val="00337216"/>
    <w:rsid w:val="003621D4"/>
    <w:rsid w:val="003906CC"/>
    <w:rsid w:val="003A29AE"/>
    <w:rsid w:val="003A32D7"/>
    <w:rsid w:val="003B4074"/>
    <w:rsid w:val="003C769A"/>
    <w:rsid w:val="003D3A90"/>
    <w:rsid w:val="003F1838"/>
    <w:rsid w:val="00401ECA"/>
    <w:rsid w:val="004251C1"/>
    <w:rsid w:val="0045746C"/>
    <w:rsid w:val="0049104B"/>
    <w:rsid w:val="004E3B12"/>
    <w:rsid w:val="00527126"/>
    <w:rsid w:val="00532310"/>
    <w:rsid w:val="00565F0F"/>
    <w:rsid w:val="00594A86"/>
    <w:rsid w:val="00596D86"/>
    <w:rsid w:val="005B3408"/>
    <w:rsid w:val="00637F5A"/>
    <w:rsid w:val="00641C65"/>
    <w:rsid w:val="00655DA0"/>
    <w:rsid w:val="006560B1"/>
    <w:rsid w:val="006756DD"/>
    <w:rsid w:val="0071241E"/>
    <w:rsid w:val="00737275"/>
    <w:rsid w:val="00740EEC"/>
    <w:rsid w:val="00760828"/>
    <w:rsid w:val="0078011A"/>
    <w:rsid w:val="00782AF4"/>
    <w:rsid w:val="00790EE7"/>
    <w:rsid w:val="007B6649"/>
    <w:rsid w:val="007F25A0"/>
    <w:rsid w:val="0082576E"/>
    <w:rsid w:val="0089346F"/>
    <w:rsid w:val="008F6D7F"/>
    <w:rsid w:val="00907F75"/>
    <w:rsid w:val="009260DE"/>
    <w:rsid w:val="0093258A"/>
    <w:rsid w:val="009420E8"/>
    <w:rsid w:val="009C7BA3"/>
    <w:rsid w:val="009D1F5A"/>
    <w:rsid w:val="00A10294"/>
    <w:rsid w:val="00B003BF"/>
    <w:rsid w:val="00B373D7"/>
    <w:rsid w:val="00B55271"/>
    <w:rsid w:val="00BA22F2"/>
    <w:rsid w:val="00BA4C12"/>
    <w:rsid w:val="00BD7931"/>
    <w:rsid w:val="00BF6243"/>
    <w:rsid w:val="00C36276"/>
    <w:rsid w:val="00C42586"/>
    <w:rsid w:val="00C45F6B"/>
    <w:rsid w:val="00C60CCD"/>
    <w:rsid w:val="00C84483"/>
    <w:rsid w:val="00C95551"/>
    <w:rsid w:val="00CB20D7"/>
    <w:rsid w:val="00D020B0"/>
    <w:rsid w:val="00D11748"/>
    <w:rsid w:val="00D237F6"/>
    <w:rsid w:val="00D34D98"/>
    <w:rsid w:val="00D366CF"/>
    <w:rsid w:val="00D41138"/>
    <w:rsid w:val="00D74631"/>
    <w:rsid w:val="00D93992"/>
    <w:rsid w:val="00E108AA"/>
    <w:rsid w:val="00E3749A"/>
    <w:rsid w:val="00E7437F"/>
    <w:rsid w:val="00E865B8"/>
    <w:rsid w:val="00EB31C8"/>
    <w:rsid w:val="00EC0B9B"/>
    <w:rsid w:val="00ED5E9F"/>
    <w:rsid w:val="00F526B8"/>
    <w:rsid w:val="00F66D4F"/>
    <w:rsid w:val="00FB6D0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93F542"/>
  <w15:chartTrackingRefBased/>
  <w15:docId w15:val="{8BCEF3EF-C52D-4F4F-971D-D8C808B0AD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B6D01"/>
    <w:rPr>
      <w:sz w:val="23"/>
      <w:lang w:eastAsia="en-US"/>
    </w:rPr>
  </w:style>
  <w:style w:type="paragraph" w:styleId="Overskrift1">
    <w:name w:val="heading 1"/>
    <w:basedOn w:val="Normal"/>
    <w:next w:val="Normal"/>
    <w:link w:val="Overskrift1Tegn"/>
    <w:uiPriority w:val="9"/>
    <w:qFormat/>
    <w:rsid w:val="00FB6D01"/>
    <w:pPr>
      <w:keepNext/>
      <w:spacing w:before="240" w:after="60"/>
      <w:outlineLvl w:val="0"/>
    </w:pPr>
    <w:rPr>
      <w:rFonts w:ascii="Arial" w:hAnsi="Arial"/>
      <w:b/>
      <w:kern w:val="28"/>
      <w:sz w:val="28"/>
    </w:rPr>
  </w:style>
  <w:style w:type="paragraph" w:styleId="Overskrift2">
    <w:name w:val="heading 2"/>
    <w:basedOn w:val="Normal"/>
    <w:next w:val="Normal"/>
    <w:link w:val="Overskrift2Tegn"/>
    <w:uiPriority w:val="9"/>
    <w:semiHidden/>
    <w:unhideWhenUsed/>
    <w:qFormat/>
    <w:rsid w:val="00D41138"/>
    <w:pPr>
      <w:keepNext/>
      <w:widowControl w:val="0"/>
      <w:autoSpaceDE w:val="0"/>
      <w:autoSpaceDN w:val="0"/>
      <w:adjustRightInd w:val="0"/>
      <w:spacing w:before="240" w:after="60"/>
      <w:outlineLvl w:val="1"/>
    </w:pPr>
    <w:rPr>
      <w:rFonts w:ascii="Cambria" w:hAnsi="Cambria"/>
      <w:b/>
      <w:bCs/>
      <w:i/>
      <w:iCs/>
      <w:sz w:val="28"/>
      <w:szCs w:val="28"/>
      <w:lang w:eastAsia="da-DK"/>
    </w:rPr>
  </w:style>
  <w:style w:type="paragraph" w:styleId="Overskrift3">
    <w:name w:val="heading 3"/>
    <w:basedOn w:val="Normal"/>
    <w:next w:val="Normal"/>
    <w:link w:val="Overskrift3Tegn"/>
    <w:uiPriority w:val="9"/>
    <w:qFormat/>
    <w:rsid w:val="00FB6D01"/>
    <w:pPr>
      <w:keepNext/>
      <w:spacing w:before="240" w:after="60"/>
      <w:outlineLvl w:val="2"/>
    </w:pPr>
    <w:rPr>
      <w:rFonts w:ascii="Arial" w:hAnsi="Arial"/>
      <w:sz w:val="24"/>
    </w:rPr>
  </w:style>
  <w:style w:type="paragraph" w:styleId="Overskrift4">
    <w:name w:val="heading 4"/>
    <w:basedOn w:val="Normal"/>
    <w:next w:val="Normal"/>
    <w:link w:val="Overskrift4Tegn"/>
    <w:uiPriority w:val="9"/>
    <w:semiHidden/>
    <w:unhideWhenUsed/>
    <w:qFormat/>
    <w:rsid w:val="00D41138"/>
    <w:pPr>
      <w:keepNext/>
      <w:widowControl w:val="0"/>
      <w:autoSpaceDE w:val="0"/>
      <w:autoSpaceDN w:val="0"/>
      <w:adjustRightInd w:val="0"/>
      <w:spacing w:before="240" w:after="60"/>
      <w:outlineLvl w:val="3"/>
    </w:pPr>
    <w:rPr>
      <w:rFonts w:ascii="Calibri" w:hAnsi="Calibri"/>
      <w:b/>
      <w:bCs/>
      <w:sz w:val="28"/>
      <w:szCs w:val="28"/>
      <w:lang w:eastAsia="da-DK"/>
    </w:rPr>
  </w:style>
  <w:style w:type="paragraph" w:styleId="Overskrift5">
    <w:name w:val="heading 5"/>
    <w:basedOn w:val="Normal"/>
    <w:next w:val="Normal"/>
    <w:link w:val="Overskrift5Tegn"/>
    <w:uiPriority w:val="9"/>
    <w:semiHidden/>
    <w:unhideWhenUsed/>
    <w:qFormat/>
    <w:rsid w:val="00D41138"/>
    <w:pPr>
      <w:widowControl w:val="0"/>
      <w:autoSpaceDE w:val="0"/>
      <w:autoSpaceDN w:val="0"/>
      <w:adjustRightInd w:val="0"/>
      <w:spacing w:before="240" w:after="60"/>
      <w:outlineLvl w:val="4"/>
    </w:pPr>
    <w:rPr>
      <w:rFonts w:ascii="Calibri" w:hAnsi="Calibri"/>
      <w:b/>
      <w:bCs/>
      <w:i/>
      <w:iCs/>
      <w:sz w:val="26"/>
      <w:szCs w:val="26"/>
      <w:lang w:eastAsia="da-DK"/>
    </w:rPr>
  </w:style>
  <w:style w:type="paragraph" w:styleId="Overskrift6">
    <w:name w:val="heading 6"/>
    <w:basedOn w:val="Normal"/>
    <w:next w:val="Normal"/>
    <w:link w:val="Overskrift6Tegn"/>
    <w:uiPriority w:val="9"/>
    <w:semiHidden/>
    <w:unhideWhenUsed/>
    <w:qFormat/>
    <w:rsid w:val="00D41138"/>
    <w:pPr>
      <w:widowControl w:val="0"/>
      <w:autoSpaceDE w:val="0"/>
      <w:autoSpaceDN w:val="0"/>
      <w:adjustRightInd w:val="0"/>
      <w:spacing w:before="240" w:after="60"/>
      <w:outlineLvl w:val="5"/>
    </w:pPr>
    <w:rPr>
      <w:rFonts w:ascii="Calibri" w:hAnsi="Calibri"/>
      <w:b/>
      <w:bCs/>
      <w:sz w:val="22"/>
      <w:szCs w:val="22"/>
      <w:lang w:eastAsia="da-DK"/>
    </w:rPr>
  </w:style>
  <w:style w:type="paragraph" w:styleId="Overskrift7">
    <w:name w:val="heading 7"/>
    <w:basedOn w:val="Normal"/>
    <w:next w:val="Normal"/>
    <w:link w:val="Overskrift7Tegn"/>
    <w:uiPriority w:val="9"/>
    <w:semiHidden/>
    <w:unhideWhenUsed/>
    <w:qFormat/>
    <w:rsid w:val="00D41138"/>
    <w:pPr>
      <w:widowControl w:val="0"/>
      <w:autoSpaceDE w:val="0"/>
      <w:autoSpaceDN w:val="0"/>
      <w:adjustRightInd w:val="0"/>
      <w:spacing w:before="240" w:after="60"/>
      <w:outlineLvl w:val="6"/>
    </w:pPr>
    <w:rPr>
      <w:rFonts w:ascii="Calibri" w:hAnsi="Calibri"/>
      <w:sz w:val="24"/>
      <w:szCs w:val="24"/>
      <w:lang w:eastAsia="da-DK"/>
    </w:rPr>
  </w:style>
  <w:style w:type="paragraph" w:styleId="Overskrift8">
    <w:name w:val="heading 8"/>
    <w:basedOn w:val="Normal"/>
    <w:next w:val="Normal"/>
    <w:link w:val="Overskrift8Tegn"/>
    <w:uiPriority w:val="9"/>
    <w:semiHidden/>
    <w:unhideWhenUsed/>
    <w:qFormat/>
    <w:rsid w:val="00D41138"/>
    <w:pPr>
      <w:widowControl w:val="0"/>
      <w:autoSpaceDE w:val="0"/>
      <w:autoSpaceDN w:val="0"/>
      <w:adjustRightInd w:val="0"/>
      <w:spacing w:before="240" w:after="60"/>
      <w:outlineLvl w:val="7"/>
    </w:pPr>
    <w:rPr>
      <w:rFonts w:ascii="Calibri" w:hAnsi="Calibri"/>
      <w:i/>
      <w:iCs/>
      <w:sz w:val="24"/>
      <w:szCs w:val="24"/>
      <w:lang w:eastAsia="da-DK"/>
    </w:rPr>
  </w:style>
  <w:style w:type="paragraph" w:styleId="Overskrift9">
    <w:name w:val="heading 9"/>
    <w:basedOn w:val="Normal"/>
    <w:next w:val="Normal"/>
    <w:link w:val="Overskrift9Tegn"/>
    <w:uiPriority w:val="9"/>
    <w:semiHidden/>
    <w:unhideWhenUsed/>
    <w:qFormat/>
    <w:rsid w:val="00D41138"/>
    <w:pPr>
      <w:widowControl w:val="0"/>
      <w:autoSpaceDE w:val="0"/>
      <w:autoSpaceDN w:val="0"/>
      <w:adjustRightInd w:val="0"/>
      <w:spacing w:before="240" w:after="60"/>
      <w:outlineLvl w:val="8"/>
    </w:pPr>
    <w:rPr>
      <w:rFonts w:ascii="Cambria" w:hAnsi="Cambria"/>
      <w:sz w:val="22"/>
      <w:szCs w:val="22"/>
      <w:lang w:eastAsia="da-DK"/>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Kommentartekst">
    <w:name w:val="annotation text"/>
    <w:basedOn w:val="Normal"/>
    <w:link w:val="KommentartekstTegn"/>
    <w:uiPriority w:val="99"/>
    <w:semiHidden/>
    <w:rsid w:val="00790EE7"/>
    <w:rPr>
      <w:sz w:val="20"/>
      <w:lang w:eastAsia="da-DK"/>
    </w:rPr>
  </w:style>
  <w:style w:type="paragraph" w:styleId="Sidehoved">
    <w:name w:val="header"/>
    <w:basedOn w:val="Normal"/>
    <w:link w:val="SidehovedTegn"/>
    <w:uiPriority w:val="99"/>
    <w:rsid w:val="00790EE7"/>
    <w:pPr>
      <w:tabs>
        <w:tab w:val="center" w:pos="4819"/>
        <w:tab w:val="right" w:pos="9638"/>
      </w:tabs>
    </w:pPr>
    <w:rPr>
      <w:sz w:val="24"/>
      <w:lang w:eastAsia="da-DK"/>
    </w:rPr>
  </w:style>
  <w:style w:type="paragraph" w:styleId="Titel">
    <w:name w:val="Title"/>
    <w:basedOn w:val="Normal"/>
    <w:link w:val="TitelTegn"/>
    <w:uiPriority w:val="99"/>
    <w:qFormat/>
    <w:rsid w:val="00790EE7"/>
    <w:pPr>
      <w:jc w:val="center"/>
    </w:pPr>
    <w:rPr>
      <w:b/>
      <w:sz w:val="24"/>
      <w:lang w:eastAsia="da-DK"/>
    </w:rPr>
  </w:style>
  <w:style w:type="character" w:styleId="Kommentarhenvisning">
    <w:name w:val="annotation reference"/>
    <w:uiPriority w:val="99"/>
    <w:semiHidden/>
    <w:rsid w:val="00790EE7"/>
    <w:rPr>
      <w:sz w:val="16"/>
      <w:szCs w:val="16"/>
    </w:rPr>
  </w:style>
  <w:style w:type="paragraph" w:styleId="Markeringsbobletekst">
    <w:name w:val="Balloon Text"/>
    <w:basedOn w:val="Normal"/>
    <w:link w:val="MarkeringsbobletekstTegn"/>
    <w:uiPriority w:val="99"/>
    <w:semiHidden/>
    <w:rsid w:val="00790EE7"/>
    <w:rPr>
      <w:rFonts w:ascii="Tahoma" w:hAnsi="Tahoma" w:cs="Tahoma"/>
      <w:sz w:val="16"/>
      <w:szCs w:val="16"/>
    </w:rPr>
  </w:style>
  <w:style w:type="paragraph" w:styleId="Sidefod">
    <w:name w:val="footer"/>
    <w:basedOn w:val="Normal"/>
    <w:link w:val="SidefodTegn"/>
    <w:uiPriority w:val="99"/>
    <w:rsid w:val="00C42586"/>
    <w:pPr>
      <w:tabs>
        <w:tab w:val="center" w:pos="4819"/>
        <w:tab w:val="right" w:pos="9638"/>
      </w:tabs>
    </w:pPr>
  </w:style>
  <w:style w:type="character" w:styleId="Sidetal">
    <w:name w:val="page number"/>
    <w:basedOn w:val="Standardskrifttypeiafsnit"/>
    <w:rsid w:val="00C42586"/>
  </w:style>
  <w:style w:type="character" w:customStyle="1" w:styleId="KommentartekstTegn">
    <w:name w:val="Kommentartekst Tegn"/>
    <w:basedOn w:val="Standardskrifttypeiafsnit"/>
    <w:link w:val="Kommentartekst"/>
    <w:uiPriority w:val="99"/>
    <w:semiHidden/>
    <w:rsid w:val="00B003BF"/>
  </w:style>
  <w:style w:type="character" w:customStyle="1" w:styleId="SidehovedTegn">
    <w:name w:val="Sidehoved Tegn"/>
    <w:link w:val="Sidehoved"/>
    <w:uiPriority w:val="99"/>
    <w:rsid w:val="00B003BF"/>
    <w:rPr>
      <w:sz w:val="24"/>
    </w:rPr>
  </w:style>
  <w:style w:type="character" w:customStyle="1" w:styleId="TitelTegn">
    <w:name w:val="Titel Tegn"/>
    <w:link w:val="Titel"/>
    <w:uiPriority w:val="99"/>
    <w:rsid w:val="00B003BF"/>
    <w:rPr>
      <w:b/>
      <w:sz w:val="24"/>
    </w:rPr>
  </w:style>
  <w:style w:type="paragraph" w:styleId="Kommentaremne">
    <w:name w:val="annotation subject"/>
    <w:basedOn w:val="Kommentartekst"/>
    <w:next w:val="Kommentartekst"/>
    <w:link w:val="KommentaremneTegn"/>
    <w:uiPriority w:val="99"/>
    <w:semiHidden/>
    <w:unhideWhenUsed/>
    <w:rsid w:val="009260DE"/>
    <w:rPr>
      <w:b/>
      <w:bCs/>
      <w:lang w:eastAsia="en-US"/>
    </w:rPr>
  </w:style>
  <w:style w:type="character" w:customStyle="1" w:styleId="KommentaremneTegn">
    <w:name w:val="Kommentaremne Tegn"/>
    <w:basedOn w:val="KommentartekstTegn"/>
    <w:link w:val="Kommentaremne"/>
    <w:uiPriority w:val="99"/>
    <w:semiHidden/>
    <w:rsid w:val="009260DE"/>
    <w:rPr>
      <w:b/>
      <w:bCs/>
      <w:lang w:eastAsia="en-US"/>
    </w:rPr>
  </w:style>
  <w:style w:type="paragraph" w:styleId="Brdtekst">
    <w:name w:val="Body Text"/>
    <w:basedOn w:val="Normal"/>
    <w:link w:val="BrdtekstTegn"/>
    <w:uiPriority w:val="1"/>
    <w:semiHidden/>
    <w:unhideWhenUsed/>
    <w:qFormat/>
    <w:rsid w:val="00D41138"/>
    <w:pPr>
      <w:widowControl w:val="0"/>
      <w:autoSpaceDE w:val="0"/>
      <w:autoSpaceDN w:val="0"/>
      <w:adjustRightInd w:val="0"/>
      <w:ind w:left="118"/>
    </w:pPr>
    <w:rPr>
      <w:sz w:val="24"/>
      <w:szCs w:val="24"/>
      <w:lang w:eastAsia="da-DK"/>
    </w:rPr>
  </w:style>
  <w:style w:type="character" w:customStyle="1" w:styleId="BrdtekstTegn">
    <w:name w:val="Brødtekst Tegn"/>
    <w:basedOn w:val="Standardskrifttypeiafsnit"/>
    <w:link w:val="Brdtekst"/>
    <w:uiPriority w:val="1"/>
    <w:semiHidden/>
    <w:rsid w:val="00D41138"/>
    <w:rPr>
      <w:sz w:val="24"/>
      <w:szCs w:val="24"/>
    </w:rPr>
  </w:style>
  <w:style w:type="paragraph" w:styleId="Listeafsnit">
    <w:name w:val="List Paragraph"/>
    <w:basedOn w:val="Normal"/>
    <w:uiPriority w:val="1"/>
    <w:qFormat/>
    <w:rsid w:val="00D41138"/>
    <w:pPr>
      <w:widowControl w:val="0"/>
      <w:autoSpaceDE w:val="0"/>
      <w:autoSpaceDN w:val="0"/>
      <w:adjustRightInd w:val="0"/>
    </w:pPr>
    <w:rPr>
      <w:sz w:val="24"/>
      <w:szCs w:val="24"/>
      <w:lang w:eastAsia="da-DK"/>
    </w:rPr>
  </w:style>
  <w:style w:type="table" w:customStyle="1" w:styleId="TableGrid">
    <w:name w:val="TableGrid"/>
    <w:rsid w:val="00D41138"/>
    <w:rPr>
      <w:rFonts w:asciiTheme="minorHAnsi" w:eastAsiaTheme="minorEastAsia" w:hAnsiTheme="minorHAnsi" w:cstheme="minorBidi"/>
      <w:kern w:val="2"/>
      <w:sz w:val="24"/>
      <w:szCs w:val="24"/>
      <w:lang w:val="ru-RU" w:eastAsia="ru-RU"/>
      <w14:ligatures w14:val="standardContextual"/>
    </w:rPr>
    <w:tblPr>
      <w:tblCellMar>
        <w:top w:w="0" w:type="dxa"/>
        <w:left w:w="0" w:type="dxa"/>
        <w:bottom w:w="0" w:type="dxa"/>
        <w:right w:w="0" w:type="dxa"/>
      </w:tblCellMar>
    </w:tblPr>
  </w:style>
  <w:style w:type="character" w:styleId="Hyperlink">
    <w:name w:val="Hyperlink"/>
    <w:uiPriority w:val="99"/>
    <w:semiHidden/>
    <w:unhideWhenUsed/>
    <w:rsid w:val="00D41138"/>
    <w:rPr>
      <w:rFonts w:ascii="Times New Roman" w:hAnsi="Times New Roman" w:cs="Times New Roman" w:hint="default"/>
      <w:color w:val="0000FF"/>
      <w:u w:val="single"/>
    </w:rPr>
  </w:style>
  <w:style w:type="character" w:customStyle="1" w:styleId="Overskrift2Tegn">
    <w:name w:val="Overskrift 2 Tegn"/>
    <w:basedOn w:val="Standardskrifttypeiafsnit"/>
    <w:link w:val="Overskrift2"/>
    <w:uiPriority w:val="9"/>
    <w:semiHidden/>
    <w:rsid w:val="00D41138"/>
    <w:rPr>
      <w:rFonts w:ascii="Cambria" w:hAnsi="Cambria"/>
      <w:b/>
      <w:bCs/>
      <w:i/>
      <w:iCs/>
      <w:sz w:val="28"/>
      <w:szCs w:val="28"/>
    </w:rPr>
  </w:style>
  <w:style w:type="character" w:customStyle="1" w:styleId="Overskrift4Tegn">
    <w:name w:val="Overskrift 4 Tegn"/>
    <w:basedOn w:val="Standardskrifttypeiafsnit"/>
    <w:link w:val="Overskrift4"/>
    <w:uiPriority w:val="9"/>
    <w:semiHidden/>
    <w:rsid w:val="00D41138"/>
    <w:rPr>
      <w:rFonts w:ascii="Calibri" w:hAnsi="Calibri"/>
      <w:b/>
      <w:bCs/>
      <w:sz w:val="28"/>
      <w:szCs w:val="28"/>
    </w:rPr>
  </w:style>
  <w:style w:type="character" w:customStyle="1" w:styleId="Overskrift5Tegn">
    <w:name w:val="Overskrift 5 Tegn"/>
    <w:basedOn w:val="Standardskrifttypeiafsnit"/>
    <w:link w:val="Overskrift5"/>
    <w:uiPriority w:val="9"/>
    <w:semiHidden/>
    <w:rsid w:val="00D41138"/>
    <w:rPr>
      <w:rFonts w:ascii="Calibri" w:hAnsi="Calibri"/>
      <w:b/>
      <w:bCs/>
      <w:i/>
      <w:iCs/>
      <w:sz w:val="26"/>
      <w:szCs w:val="26"/>
    </w:rPr>
  </w:style>
  <w:style w:type="character" w:customStyle="1" w:styleId="Overskrift6Tegn">
    <w:name w:val="Overskrift 6 Tegn"/>
    <w:basedOn w:val="Standardskrifttypeiafsnit"/>
    <w:link w:val="Overskrift6"/>
    <w:uiPriority w:val="9"/>
    <w:semiHidden/>
    <w:rsid w:val="00D41138"/>
    <w:rPr>
      <w:rFonts w:ascii="Calibri" w:hAnsi="Calibri"/>
      <w:b/>
      <w:bCs/>
      <w:sz w:val="22"/>
      <w:szCs w:val="22"/>
    </w:rPr>
  </w:style>
  <w:style w:type="character" w:customStyle="1" w:styleId="Overskrift7Tegn">
    <w:name w:val="Overskrift 7 Tegn"/>
    <w:basedOn w:val="Standardskrifttypeiafsnit"/>
    <w:link w:val="Overskrift7"/>
    <w:uiPriority w:val="9"/>
    <w:semiHidden/>
    <w:rsid w:val="00D41138"/>
    <w:rPr>
      <w:rFonts w:ascii="Calibri" w:hAnsi="Calibri"/>
      <w:sz w:val="24"/>
      <w:szCs w:val="24"/>
    </w:rPr>
  </w:style>
  <w:style w:type="character" w:customStyle="1" w:styleId="Overskrift8Tegn">
    <w:name w:val="Overskrift 8 Tegn"/>
    <w:basedOn w:val="Standardskrifttypeiafsnit"/>
    <w:link w:val="Overskrift8"/>
    <w:uiPriority w:val="9"/>
    <w:semiHidden/>
    <w:rsid w:val="00D41138"/>
    <w:rPr>
      <w:rFonts w:ascii="Calibri" w:hAnsi="Calibri"/>
      <w:i/>
      <w:iCs/>
      <w:sz w:val="24"/>
      <w:szCs w:val="24"/>
    </w:rPr>
  </w:style>
  <w:style w:type="character" w:customStyle="1" w:styleId="Overskrift9Tegn">
    <w:name w:val="Overskrift 9 Tegn"/>
    <w:basedOn w:val="Standardskrifttypeiafsnit"/>
    <w:link w:val="Overskrift9"/>
    <w:uiPriority w:val="9"/>
    <w:semiHidden/>
    <w:rsid w:val="00D41138"/>
    <w:rPr>
      <w:rFonts w:ascii="Cambria" w:hAnsi="Cambria"/>
      <w:sz w:val="22"/>
      <w:szCs w:val="22"/>
    </w:rPr>
  </w:style>
  <w:style w:type="character" w:customStyle="1" w:styleId="Overskrift1Tegn">
    <w:name w:val="Overskrift 1 Tegn"/>
    <w:basedOn w:val="Standardskrifttypeiafsnit"/>
    <w:link w:val="Overskrift1"/>
    <w:uiPriority w:val="9"/>
    <w:rsid w:val="00D41138"/>
    <w:rPr>
      <w:rFonts w:ascii="Arial" w:hAnsi="Arial"/>
      <w:b/>
      <w:kern w:val="28"/>
      <w:sz w:val="28"/>
      <w:lang w:eastAsia="en-US"/>
    </w:rPr>
  </w:style>
  <w:style w:type="character" w:customStyle="1" w:styleId="Overskrift3Tegn">
    <w:name w:val="Overskrift 3 Tegn"/>
    <w:basedOn w:val="Standardskrifttypeiafsnit"/>
    <w:link w:val="Overskrift3"/>
    <w:uiPriority w:val="9"/>
    <w:rsid w:val="00D41138"/>
    <w:rPr>
      <w:rFonts w:ascii="Arial" w:hAnsi="Arial"/>
      <w:sz w:val="24"/>
      <w:lang w:eastAsia="en-US"/>
    </w:rPr>
  </w:style>
  <w:style w:type="character" w:styleId="BesgtLink">
    <w:name w:val="FollowedHyperlink"/>
    <w:uiPriority w:val="99"/>
    <w:semiHidden/>
    <w:unhideWhenUsed/>
    <w:rsid w:val="00D41138"/>
    <w:rPr>
      <w:color w:val="800080"/>
      <w:u w:val="single"/>
    </w:rPr>
  </w:style>
  <w:style w:type="paragraph" w:styleId="HTML-adresse">
    <w:name w:val="HTML Address"/>
    <w:basedOn w:val="Normal"/>
    <w:link w:val="HTML-adresseTegn"/>
    <w:uiPriority w:val="99"/>
    <w:semiHidden/>
    <w:unhideWhenUsed/>
    <w:rsid w:val="00D41138"/>
    <w:pPr>
      <w:widowControl w:val="0"/>
      <w:autoSpaceDE w:val="0"/>
      <w:autoSpaceDN w:val="0"/>
      <w:adjustRightInd w:val="0"/>
    </w:pPr>
    <w:rPr>
      <w:i/>
      <w:iCs/>
      <w:sz w:val="24"/>
      <w:szCs w:val="24"/>
      <w:lang w:eastAsia="da-DK"/>
    </w:rPr>
  </w:style>
  <w:style w:type="character" w:customStyle="1" w:styleId="HTML-adresseTegn">
    <w:name w:val="HTML-adresse Tegn"/>
    <w:basedOn w:val="Standardskrifttypeiafsnit"/>
    <w:link w:val="HTML-adresse"/>
    <w:uiPriority w:val="99"/>
    <w:semiHidden/>
    <w:rsid w:val="00D41138"/>
    <w:rPr>
      <w:i/>
      <w:iCs/>
      <w:sz w:val="24"/>
      <w:szCs w:val="24"/>
    </w:rPr>
  </w:style>
  <w:style w:type="paragraph" w:styleId="FormateretHTML">
    <w:name w:val="HTML Preformatted"/>
    <w:basedOn w:val="Normal"/>
    <w:link w:val="FormateretHTMLTegn"/>
    <w:uiPriority w:val="99"/>
    <w:semiHidden/>
    <w:unhideWhenUsed/>
    <w:rsid w:val="00D4113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pPr>
    <w:rPr>
      <w:rFonts w:ascii="Courier New" w:hAnsi="Courier New"/>
      <w:sz w:val="20"/>
      <w:lang w:eastAsia="da-DK"/>
    </w:rPr>
  </w:style>
  <w:style w:type="character" w:customStyle="1" w:styleId="FormateretHTMLTegn">
    <w:name w:val="Formateret HTML Tegn"/>
    <w:basedOn w:val="Standardskrifttypeiafsnit"/>
    <w:link w:val="FormateretHTML"/>
    <w:uiPriority w:val="99"/>
    <w:semiHidden/>
    <w:rsid w:val="00D41138"/>
    <w:rPr>
      <w:rFonts w:ascii="Courier New" w:hAnsi="Courier New"/>
    </w:rPr>
  </w:style>
  <w:style w:type="paragraph" w:customStyle="1" w:styleId="msonormal0">
    <w:name w:val="msonormal"/>
    <w:basedOn w:val="Normal"/>
    <w:uiPriority w:val="99"/>
    <w:semiHidden/>
    <w:rsid w:val="00D41138"/>
    <w:pPr>
      <w:widowControl w:val="0"/>
      <w:autoSpaceDE w:val="0"/>
      <w:autoSpaceDN w:val="0"/>
      <w:adjustRightInd w:val="0"/>
    </w:pPr>
    <w:rPr>
      <w:sz w:val="24"/>
      <w:szCs w:val="24"/>
      <w:lang w:eastAsia="da-DK"/>
    </w:rPr>
  </w:style>
  <w:style w:type="paragraph" w:styleId="NormalWeb">
    <w:name w:val="Normal (Web)"/>
    <w:basedOn w:val="Normal"/>
    <w:uiPriority w:val="99"/>
    <w:semiHidden/>
    <w:unhideWhenUsed/>
    <w:rsid w:val="00D41138"/>
    <w:pPr>
      <w:widowControl w:val="0"/>
      <w:autoSpaceDE w:val="0"/>
      <w:autoSpaceDN w:val="0"/>
      <w:adjustRightInd w:val="0"/>
    </w:pPr>
    <w:rPr>
      <w:sz w:val="24"/>
      <w:szCs w:val="24"/>
      <w:lang w:eastAsia="da-DK"/>
    </w:rPr>
  </w:style>
  <w:style w:type="paragraph" w:styleId="Indeks1">
    <w:name w:val="index 1"/>
    <w:basedOn w:val="Normal"/>
    <w:next w:val="Normal"/>
    <w:autoRedefine/>
    <w:uiPriority w:val="99"/>
    <w:semiHidden/>
    <w:unhideWhenUsed/>
    <w:rsid w:val="00D41138"/>
    <w:pPr>
      <w:widowControl w:val="0"/>
      <w:autoSpaceDE w:val="0"/>
      <w:autoSpaceDN w:val="0"/>
      <w:adjustRightInd w:val="0"/>
      <w:ind w:left="240" w:hanging="240"/>
    </w:pPr>
    <w:rPr>
      <w:sz w:val="24"/>
      <w:szCs w:val="24"/>
      <w:lang w:eastAsia="da-DK"/>
    </w:rPr>
  </w:style>
  <w:style w:type="paragraph" w:styleId="Indeks2">
    <w:name w:val="index 2"/>
    <w:basedOn w:val="Normal"/>
    <w:next w:val="Normal"/>
    <w:autoRedefine/>
    <w:uiPriority w:val="99"/>
    <w:semiHidden/>
    <w:unhideWhenUsed/>
    <w:rsid w:val="00D41138"/>
    <w:pPr>
      <w:widowControl w:val="0"/>
      <w:autoSpaceDE w:val="0"/>
      <w:autoSpaceDN w:val="0"/>
      <w:adjustRightInd w:val="0"/>
      <w:ind w:left="480" w:hanging="240"/>
    </w:pPr>
    <w:rPr>
      <w:sz w:val="24"/>
      <w:szCs w:val="24"/>
      <w:lang w:eastAsia="da-DK"/>
    </w:rPr>
  </w:style>
  <w:style w:type="paragraph" w:styleId="Indeks3">
    <w:name w:val="index 3"/>
    <w:basedOn w:val="Normal"/>
    <w:next w:val="Normal"/>
    <w:autoRedefine/>
    <w:uiPriority w:val="99"/>
    <w:semiHidden/>
    <w:unhideWhenUsed/>
    <w:rsid w:val="00D41138"/>
    <w:pPr>
      <w:widowControl w:val="0"/>
      <w:autoSpaceDE w:val="0"/>
      <w:autoSpaceDN w:val="0"/>
      <w:adjustRightInd w:val="0"/>
      <w:ind w:left="720" w:hanging="240"/>
    </w:pPr>
    <w:rPr>
      <w:sz w:val="24"/>
      <w:szCs w:val="24"/>
      <w:lang w:eastAsia="da-DK"/>
    </w:rPr>
  </w:style>
  <w:style w:type="paragraph" w:styleId="Indeks4">
    <w:name w:val="index 4"/>
    <w:basedOn w:val="Normal"/>
    <w:next w:val="Normal"/>
    <w:autoRedefine/>
    <w:uiPriority w:val="99"/>
    <w:semiHidden/>
    <w:unhideWhenUsed/>
    <w:rsid w:val="00D41138"/>
    <w:pPr>
      <w:widowControl w:val="0"/>
      <w:autoSpaceDE w:val="0"/>
      <w:autoSpaceDN w:val="0"/>
      <w:adjustRightInd w:val="0"/>
      <w:ind w:left="960" w:hanging="240"/>
    </w:pPr>
    <w:rPr>
      <w:sz w:val="24"/>
      <w:szCs w:val="24"/>
      <w:lang w:eastAsia="da-DK"/>
    </w:rPr>
  </w:style>
  <w:style w:type="paragraph" w:styleId="Indeks5">
    <w:name w:val="index 5"/>
    <w:basedOn w:val="Normal"/>
    <w:next w:val="Normal"/>
    <w:autoRedefine/>
    <w:uiPriority w:val="99"/>
    <w:semiHidden/>
    <w:unhideWhenUsed/>
    <w:rsid w:val="00D41138"/>
    <w:pPr>
      <w:widowControl w:val="0"/>
      <w:autoSpaceDE w:val="0"/>
      <w:autoSpaceDN w:val="0"/>
      <w:adjustRightInd w:val="0"/>
      <w:ind w:left="1200" w:hanging="240"/>
    </w:pPr>
    <w:rPr>
      <w:sz w:val="24"/>
      <w:szCs w:val="24"/>
      <w:lang w:eastAsia="da-DK"/>
    </w:rPr>
  </w:style>
  <w:style w:type="paragraph" w:styleId="Indeks6">
    <w:name w:val="index 6"/>
    <w:basedOn w:val="Normal"/>
    <w:next w:val="Normal"/>
    <w:autoRedefine/>
    <w:uiPriority w:val="99"/>
    <w:semiHidden/>
    <w:unhideWhenUsed/>
    <w:rsid w:val="00D41138"/>
    <w:pPr>
      <w:widowControl w:val="0"/>
      <w:autoSpaceDE w:val="0"/>
      <w:autoSpaceDN w:val="0"/>
      <w:adjustRightInd w:val="0"/>
      <w:ind w:left="1440" w:hanging="240"/>
    </w:pPr>
    <w:rPr>
      <w:sz w:val="24"/>
      <w:szCs w:val="24"/>
      <w:lang w:eastAsia="da-DK"/>
    </w:rPr>
  </w:style>
  <w:style w:type="paragraph" w:styleId="Indeks7">
    <w:name w:val="index 7"/>
    <w:basedOn w:val="Normal"/>
    <w:next w:val="Normal"/>
    <w:autoRedefine/>
    <w:uiPriority w:val="99"/>
    <w:semiHidden/>
    <w:unhideWhenUsed/>
    <w:rsid w:val="00D41138"/>
    <w:pPr>
      <w:widowControl w:val="0"/>
      <w:autoSpaceDE w:val="0"/>
      <w:autoSpaceDN w:val="0"/>
      <w:adjustRightInd w:val="0"/>
      <w:ind w:left="1680" w:hanging="240"/>
    </w:pPr>
    <w:rPr>
      <w:sz w:val="24"/>
      <w:szCs w:val="24"/>
      <w:lang w:eastAsia="da-DK"/>
    </w:rPr>
  </w:style>
  <w:style w:type="paragraph" w:styleId="Indeks8">
    <w:name w:val="index 8"/>
    <w:basedOn w:val="Normal"/>
    <w:next w:val="Normal"/>
    <w:autoRedefine/>
    <w:uiPriority w:val="99"/>
    <w:semiHidden/>
    <w:unhideWhenUsed/>
    <w:rsid w:val="00D41138"/>
    <w:pPr>
      <w:widowControl w:val="0"/>
      <w:autoSpaceDE w:val="0"/>
      <w:autoSpaceDN w:val="0"/>
      <w:adjustRightInd w:val="0"/>
      <w:ind w:left="1920" w:hanging="240"/>
    </w:pPr>
    <w:rPr>
      <w:sz w:val="24"/>
      <w:szCs w:val="24"/>
      <w:lang w:eastAsia="da-DK"/>
    </w:rPr>
  </w:style>
  <w:style w:type="paragraph" w:styleId="Indeks9">
    <w:name w:val="index 9"/>
    <w:basedOn w:val="Normal"/>
    <w:next w:val="Normal"/>
    <w:autoRedefine/>
    <w:uiPriority w:val="99"/>
    <w:semiHidden/>
    <w:unhideWhenUsed/>
    <w:rsid w:val="00D41138"/>
    <w:pPr>
      <w:widowControl w:val="0"/>
      <w:autoSpaceDE w:val="0"/>
      <w:autoSpaceDN w:val="0"/>
      <w:adjustRightInd w:val="0"/>
      <w:ind w:left="2160" w:hanging="240"/>
    </w:pPr>
    <w:rPr>
      <w:sz w:val="24"/>
      <w:szCs w:val="24"/>
      <w:lang w:eastAsia="da-DK"/>
    </w:rPr>
  </w:style>
  <w:style w:type="paragraph" w:styleId="Indholdsfortegnelse1">
    <w:name w:val="toc 1"/>
    <w:basedOn w:val="Normal"/>
    <w:next w:val="Normal"/>
    <w:autoRedefine/>
    <w:uiPriority w:val="39"/>
    <w:semiHidden/>
    <w:unhideWhenUsed/>
    <w:rsid w:val="00D41138"/>
    <w:pPr>
      <w:widowControl w:val="0"/>
      <w:autoSpaceDE w:val="0"/>
      <w:autoSpaceDN w:val="0"/>
      <w:adjustRightInd w:val="0"/>
    </w:pPr>
    <w:rPr>
      <w:sz w:val="24"/>
      <w:szCs w:val="24"/>
      <w:lang w:eastAsia="da-DK"/>
    </w:rPr>
  </w:style>
  <w:style w:type="paragraph" w:styleId="Indholdsfortegnelse2">
    <w:name w:val="toc 2"/>
    <w:basedOn w:val="Normal"/>
    <w:next w:val="Normal"/>
    <w:autoRedefine/>
    <w:uiPriority w:val="39"/>
    <w:semiHidden/>
    <w:unhideWhenUsed/>
    <w:rsid w:val="00D41138"/>
    <w:pPr>
      <w:widowControl w:val="0"/>
      <w:autoSpaceDE w:val="0"/>
      <w:autoSpaceDN w:val="0"/>
      <w:adjustRightInd w:val="0"/>
      <w:ind w:left="240"/>
    </w:pPr>
    <w:rPr>
      <w:sz w:val="24"/>
      <w:szCs w:val="24"/>
      <w:lang w:eastAsia="da-DK"/>
    </w:rPr>
  </w:style>
  <w:style w:type="paragraph" w:styleId="Indholdsfortegnelse3">
    <w:name w:val="toc 3"/>
    <w:basedOn w:val="Normal"/>
    <w:next w:val="Normal"/>
    <w:autoRedefine/>
    <w:uiPriority w:val="39"/>
    <w:semiHidden/>
    <w:unhideWhenUsed/>
    <w:rsid w:val="00D41138"/>
    <w:pPr>
      <w:widowControl w:val="0"/>
      <w:autoSpaceDE w:val="0"/>
      <w:autoSpaceDN w:val="0"/>
      <w:adjustRightInd w:val="0"/>
      <w:ind w:left="480"/>
    </w:pPr>
    <w:rPr>
      <w:sz w:val="24"/>
      <w:szCs w:val="24"/>
      <w:lang w:eastAsia="da-DK"/>
    </w:rPr>
  </w:style>
  <w:style w:type="paragraph" w:styleId="Indholdsfortegnelse4">
    <w:name w:val="toc 4"/>
    <w:basedOn w:val="Normal"/>
    <w:next w:val="Normal"/>
    <w:autoRedefine/>
    <w:uiPriority w:val="39"/>
    <w:semiHidden/>
    <w:unhideWhenUsed/>
    <w:rsid w:val="00D41138"/>
    <w:pPr>
      <w:widowControl w:val="0"/>
      <w:autoSpaceDE w:val="0"/>
      <w:autoSpaceDN w:val="0"/>
      <w:adjustRightInd w:val="0"/>
      <w:ind w:left="720"/>
    </w:pPr>
    <w:rPr>
      <w:sz w:val="24"/>
      <w:szCs w:val="24"/>
      <w:lang w:eastAsia="da-DK"/>
    </w:rPr>
  </w:style>
  <w:style w:type="paragraph" w:styleId="Indholdsfortegnelse5">
    <w:name w:val="toc 5"/>
    <w:basedOn w:val="Normal"/>
    <w:next w:val="Normal"/>
    <w:autoRedefine/>
    <w:uiPriority w:val="39"/>
    <w:semiHidden/>
    <w:unhideWhenUsed/>
    <w:rsid w:val="00D41138"/>
    <w:pPr>
      <w:widowControl w:val="0"/>
      <w:autoSpaceDE w:val="0"/>
      <w:autoSpaceDN w:val="0"/>
      <w:adjustRightInd w:val="0"/>
      <w:ind w:left="960"/>
    </w:pPr>
    <w:rPr>
      <w:sz w:val="24"/>
      <w:szCs w:val="24"/>
      <w:lang w:eastAsia="da-DK"/>
    </w:rPr>
  </w:style>
  <w:style w:type="paragraph" w:styleId="Indholdsfortegnelse6">
    <w:name w:val="toc 6"/>
    <w:basedOn w:val="Normal"/>
    <w:next w:val="Normal"/>
    <w:autoRedefine/>
    <w:uiPriority w:val="39"/>
    <w:semiHidden/>
    <w:unhideWhenUsed/>
    <w:rsid w:val="00D41138"/>
    <w:pPr>
      <w:widowControl w:val="0"/>
      <w:autoSpaceDE w:val="0"/>
      <w:autoSpaceDN w:val="0"/>
      <w:adjustRightInd w:val="0"/>
      <w:ind w:left="1200"/>
    </w:pPr>
    <w:rPr>
      <w:sz w:val="24"/>
      <w:szCs w:val="24"/>
      <w:lang w:eastAsia="da-DK"/>
    </w:rPr>
  </w:style>
  <w:style w:type="paragraph" w:styleId="Indholdsfortegnelse7">
    <w:name w:val="toc 7"/>
    <w:basedOn w:val="Normal"/>
    <w:next w:val="Normal"/>
    <w:autoRedefine/>
    <w:uiPriority w:val="39"/>
    <w:semiHidden/>
    <w:unhideWhenUsed/>
    <w:rsid w:val="00D41138"/>
    <w:pPr>
      <w:widowControl w:val="0"/>
      <w:autoSpaceDE w:val="0"/>
      <w:autoSpaceDN w:val="0"/>
      <w:adjustRightInd w:val="0"/>
      <w:ind w:left="1440"/>
    </w:pPr>
    <w:rPr>
      <w:sz w:val="24"/>
      <w:szCs w:val="24"/>
      <w:lang w:eastAsia="da-DK"/>
    </w:rPr>
  </w:style>
  <w:style w:type="paragraph" w:styleId="Indholdsfortegnelse8">
    <w:name w:val="toc 8"/>
    <w:basedOn w:val="Normal"/>
    <w:next w:val="Normal"/>
    <w:autoRedefine/>
    <w:uiPriority w:val="39"/>
    <w:semiHidden/>
    <w:unhideWhenUsed/>
    <w:rsid w:val="00D41138"/>
    <w:pPr>
      <w:widowControl w:val="0"/>
      <w:autoSpaceDE w:val="0"/>
      <w:autoSpaceDN w:val="0"/>
      <w:adjustRightInd w:val="0"/>
      <w:ind w:left="1680"/>
    </w:pPr>
    <w:rPr>
      <w:sz w:val="24"/>
      <w:szCs w:val="24"/>
      <w:lang w:eastAsia="da-DK"/>
    </w:rPr>
  </w:style>
  <w:style w:type="paragraph" w:styleId="Indholdsfortegnelse9">
    <w:name w:val="toc 9"/>
    <w:basedOn w:val="Normal"/>
    <w:next w:val="Normal"/>
    <w:autoRedefine/>
    <w:uiPriority w:val="39"/>
    <w:semiHidden/>
    <w:unhideWhenUsed/>
    <w:rsid w:val="00D41138"/>
    <w:pPr>
      <w:widowControl w:val="0"/>
      <w:autoSpaceDE w:val="0"/>
      <w:autoSpaceDN w:val="0"/>
      <w:adjustRightInd w:val="0"/>
      <w:ind w:left="1920"/>
    </w:pPr>
    <w:rPr>
      <w:sz w:val="24"/>
      <w:szCs w:val="24"/>
      <w:lang w:eastAsia="da-DK"/>
    </w:rPr>
  </w:style>
  <w:style w:type="paragraph" w:styleId="Normalindrykning">
    <w:name w:val="Normal Indent"/>
    <w:basedOn w:val="Normal"/>
    <w:uiPriority w:val="99"/>
    <w:semiHidden/>
    <w:unhideWhenUsed/>
    <w:rsid w:val="00D41138"/>
    <w:pPr>
      <w:widowControl w:val="0"/>
      <w:autoSpaceDE w:val="0"/>
      <w:autoSpaceDN w:val="0"/>
      <w:adjustRightInd w:val="0"/>
      <w:ind w:left="708"/>
    </w:pPr>
    <w:rPr>
      <w:sz w:val="24"/>
      <w:szCs w:val="24"/>
      <w:lang w:eastAsia="da-DK"/>
    </w:rPr>
  </w:style>
  <w:style w:type="paragraph" w:styleId="Fodnotetekst">
    <w:name w:val="footnote text"/>
    <w:basedOn w:val="Normal"/>
    <w:link w:val="FodnotetekstTegn"/>
    <w:uiPriority w:val="99"/>
    <w:semiHidden/>
    <w:unhideWhenUsed/>
    <w:rsid w:val="00D41138"/>
    <w:pPr>
      <w:widowControl w:val="0"/>
      <w:autoSpaceDE w:val="0"/>
      <w:autoSpaceDN w:val="0"/>
      <w:adjustRightInd w:val="0"/>
    </w:pPr>
    <w:rPr>
      <w:sz w:val="20"/>
      <w:lang w:eastAsia="da-DK"/>
    </w:rPr>
  </w:style>
  <w:style w:type="character" w:customStyle="1" w:styleId="FodnotetekstTegn">
    <w:name w:val="Fodnotetekst Tegn"/>
    <w:basedOn w:val="Standardskrifttypeiafsnit"/>
    <w:link w:val="Fodnotetekst"/>
    <w:uiPriority w:val="99"/>
    <w:semiHidden/>
    <w:rsid w:val="00D41138"/>
  </w:style>
  <w:style w:type="character" w:customStyle="1" w:styleId="SidefodTegn">
    <w:name w:val="Sidefod Tegn"/>
    <w:basedOn w:val="Standardskrifttypeiafsnit"/>
    <w:link w:val="Sidefod"/>
    <w:uiPriority w:val="99"/>
    <w:rsid w:val="00D41138"/>
    <w:rPr>
      <w:sz w:val="23"/>
      <w:lang w:eastAsia="en-US"/>
    </w:rPr>
  </w:style>
  <w:style w:type="paragraph" w:styleId="Indeksoverskrift">
    <w:name w:val="index heading"/>
    <w:basedOn w:val="Normal"/>
    <w:next w:val="Indeks1"/>
    <w:uiPriority w:val="99"/>
    <w:semiHidden/>
    <w:unhideWhenUsed/>
    <w:rsid w:val="00D41138"/>
    <w:pPr>
      <w:widowControl w:val="0"/>
      <w:autoSpaceDE w:val="0"/>
      <w:autoSpaceDN w:val="0"/>
      <w:adjustRightInd w:val="0"/>
    </w:pPr>
    <w:rPr>
      <w:rFonts w:ascii="Cambria" w:hAnsi="Cambria"/>
      <w:b/>
      <w:bCs/>
      <w:sz w:val="24"/>
      <w:szCs w:val="24"/>
      <w:lang w:eastAsia="da-DK"/>
    </w:rPr>
  </w:style>
  <w:style w:type="paragraph" w:styleId="Billedtekst">
    <w:name w:val="caption"/>
    <w:basedOn w:val="Normal"/>
    <w:next w:val="Normal"/>
    <w:uiPriority w:val="35"/>
    <w:semiHidden/>
    <w:unhideWhenUsed/>
    <w:qFormat/>
    <w:rsid w:val="00D41138"/>
    <w:pPr>
      <w:widowControl w:val="0"/>
      <w:autoSpaceDE w:val="0"/>
      <w:autoSpaceDN w:val="0"/>
      <w:adjustRightInd w:val="0"/>
    </w:pPr>
    <w:rPr>
      <w:b/>
      <w:bCs/>
      <w:sz w:val="20"/>
      <w:lang w:eastAsia="da-DK"/>
    </w:rPr>
  </w:style>
  <w:style w:type="paragraph" w:styleId="Listeoverfigurer">
    <w:name w:val="table of figures"/>
    <w:basedOn w:val="Normal"/>
    <w:next w:val="Normal"/>
    <w:uiPriority w:val="99"/>
    <w:semiHidden/>
    <w:unhideWhenUsed/>
    <w:rsid w:val="00D41138"/>
    <w:pPr>
      <w:widowControl w:val="0"/>
      <w:autoSpaceDE w:val="0"/>
      <w:autoSpaceDN w:val="0"/>
      <w:adjustRightInd w:val="0"/>
    </w:pPr>
    <w:rPr>
      <w:sz w:val="24"/>
      <w:szCs w:val="24"/>
      <w:lang w:eastAsia="da-DK"/>
    </w:rPr>
  </w:style>
  <w:style w:type="paragraph" w:styleId="Modtageradresse">
    <w:name w:val="envelope address"/>
    <w:basedOn w:val="Normal"/>
    <w:uiPriority w:val="99"/>
    <w:semiHidden/>
    <w:unhideWhenUsed/>
    <w:rsid w:val="00D41138"/>
    <w:pPr>
      <w:framePr w:w="7920" w:h="1980" w:hSpace="141" w:wrap="auto" w:hAnchor="page" w:xAlign="center" w:yAlign="bottom"/>
      <w:widowControl w:val="0"/>
      <w:autoSpaceDE w:val="0"/>
      <w:autoSpaceDN w:val="0"/>
      <w:adjustRightInd w:val="0"/>
      <w:ind w:left="2880"/>
    </w:pPr>
    <w:rPr>
      <w:rFonts w:ascii="Cambria" w:hAnsi="Cambria"/>
      <w:sz w:val="24"/>
      <w:szCs w:val="24"/>
      <w:lang w:eastAsia="da-DK"/>
    </w:rPr>
  </w:style>
  <w:style w:type="paragraph" w:styleId="Afsenderadresse">
    <w:name w:val="envelope return"/>
    <w:basedOn w:val="Normal"/>
    <w:uiPriority w:val="99"/>
    <w:semiHidden/>
    <w:unhideWhenUsed/>
    <w:rsid w:val="00D41138"/>
    <w:pPr>
      <w:widowControl w:val="0"/>
      <w:autoSpaceDE w:val="0"/>
      <w:autoSpaceDN w:val="0"/>
      <w:adjustRightInd w:val="0"/>
    </w:pPr>
    <w:rPr>
      <w:rFonts w:ascii="Cambria" w:hAnsi="Cambria"/>
      <w:sz w:val="20"/>
      <w:lang w:eastAsia="da-DK"/>
    </w:rPr>
  </w:style>
  <w:style w:type="paragraph" w:styleId="Slutnotetekst">
    <w:name w:val="endnote text"/>
    <w:basedOn w:val="Normal"/>
    <w:link w:val="SlutnotetekstTegn"/>
    <w:uiPriority w:val="99"/>
    <w:semiHidden/>
    <w:unhideWhenUsed/>
    <w:rsid w:val="00D41138"/>
    <w:pPr>
      <w:widowControl w:val="0"/>
      <w:autoSpaceDE w:val="0"/>
      <w:autoSpaceDN w:val="0"/>
      <w:adjustRightInd w:val="0"/>
    </w:pPr>
    <w:rPr>
      <w:sz w:val="20"/>
      <w:lang w:eastAsia="da-DK"/>
    </w:rPr>
  </w:style>
  <w:style w:type="character" w:customStyle="1" w:styleId="SlutnotetekstTegn">
    <w:name w:val="Slutnotetekst Tegn"/>
    <w:basedOn w:val="Standardskrifttypeiafsnit"/>
    <w:link w:val="Slutnotetekst"/>
    <w:uiPriority w:val="99"/>
    <w:semiHidden/>
    <w:rsid w:val="00D41138"/>
  </w:style>
  <w:style w:type="paragraph" w:styleId="Citatsamling">
    <w:name w:val="table of authorities"/>
    <w:basedOn w:val="Normal"/>
    <w:next w:val="Normal"/>
    <w:uiPriority w:val="99"/>
    <w:semiHidden/>
    <w:unhideWhenUsed/>
    <w:rsid w:val="00D41138"/>
    <w:pPr>
      <w:widowControl w:val="0"/>
      <w:autoSpaceDE w:val="0"/>
      <w:autoSpaceDN w:val="0"/>
      <w:adjustRightInd w:val="0"/>
      <w:ind w:left="240" w:hanging="240"/>
    </w:pPr>
    <w:rPr>
      <w:sz w:val="24"/>
      <w:szCs w:val="24"/>
      <w:lang w:eastAsia="da-DK"/>
    </w:rPr>
  </w:style>
  <w:style w:type="paragraph" w:styleId="Makrotekst">
    <w:name w:val="macro"/>
    <w:link w:val="MakrotekstTegn"/>
    <w:uiPriority w:val="99"/>
    <w:semiHidden/>
    <w:unhideWhenUsed/>
    <w:rsid w:val="00D41138"/>
    <w:pPr>
      <w:widowControl w:val="0"/>
      <w:tabs>
        <w:tab w:val="left" w:pos="480"/>
        <w:tab w:val="left" w:pos="960"/>
        <w:tab w:val="left" w:pos="1440"/>
        <w:tab w:val="left" w:pos="1920"/>
        <w:tab w:val="left" w:pos="2400"/>
        <w:tab w:val="left" w:pos="2880"/>
        <w:tab w:val="left" w:pos="3360"/>
        <w:tab w:val="left" w:pos="3840"/>
        <w:tab w:val="left" w:pos="4320"/>
      </w:tabs>
      <w:autoSpaceDE w:val="0"/>
      <w:autoSpaceDN w:val="0"/>
      <w:adjustRightInd w:val="0"/>
    </w:pPr>
    <w:rPr>
      <w:rFonts w:ascii="Courier New" w:hAnsi="Courier New" w:cs="Courier New"/>
    </w:rPr>
  </w:style>
  <w:style w:type="character" w:customStyle="1" w:styleId="MakrotekstTegn">
    <w:name w:val="Makrotekst Tegn"/>
    <w:basedOn w:val="Standardskrifttypeiafsnit"/>
    <w:link w:val="Makrotekst"/>
    <w:uiPriority w:val="99"/>
    <w:semiHidden/>
    <w:rsid w:val="00D41138"/>
    <w:rPr>
      <w:rFonts w:ascii="Courier New" w:hAnsi="Courier New" w:cs="Courier New"/>
    </w:rPr>
  </w:style>
  <w:style w:type="paragraph" w:styleId="Citatoverskrift">
    <w:name w:val="toa heading"/>
    <w:basedOn w:val="Normal"/>
    <w:next w:val="Normal"/>
    <w:uiPriority w:val="99"/>
    <w:semiHidden/>
    <w:unhideWhenUsed/>
    <w:rsid w:val="00D41138"/>
    <w:pPr>
      <w:widowControl w:val="0"/>
      <w:autoSpaceDE w:val="0"/>
      <w:autoSpaceDN w:val="0"/>
      <w:adjustRightInd w:val="0"/>
      <w:spacing w:before="120"/>
    </w:pPr>
    <w:rPr>
      <w:rFonts w:ascii="Cambria" w:hAnsi="Cambria"/>
      <w:b/>
      <w:bCs/>
      <w:sz w:val="24"/>
      <w:szCs w:val="24"/>
      <w:lang w:eastAsia="da-DK"/>
    </w:rPr>
  </w:style>
  <w:style w:type="paragraph" w:styleId="Liste">
    <w:name w:val="List"/>
    <w:basedOn w:val="Normal"/>
    <w:uiPriority w:val="99"/>
    <w:semiHidden/>
    <w:unhideWhenUsed/>
    <w:rsid w:val="00D41138"/>
    <w:pPr>
      <w:widowControl w:val="0"/>
      <w:autoSpaceDE w:val="0"/>
      <w:autoSpaceDN w:val="0"/>
      <w:adjustRightInd w:val="0"/>
      <w:ind w:left="283" w:hanging="283"/>
      <w:contextualSpacing/>
    </w:pPr>
    <w:rPr>
      <w:sz w:val="24"/>
      <w:szCs w:val="24"/>
      <w:lang w:eastAsia="da-DK"/>
    </w:rPr>
  </w:style>
  <w:style w:type="paragraph" w:styleId="Opstilling-punkttegn">
    <w:name w:val="List Bullet"/>
    <w:basedOn w:val="Normal"/>
    <w:uiPriority w:val="99"/>
    <w:semiHidden/>
    <w:unhideWhenUsed/>
    <w:rsid w:val="00D41138"/>
    <w:pPr>
      <w:widowControl w:val="0"/>
      <w:numPr>
        <w:numId w:val="16"/>
      </w:numPr>
      <w:autoSpaceDE w:val="0"/>
      <w:autoSpaceDN w:val="0"/>
      <w:adjustRightInd w:val="0"/>
      <w:contextualSpacing/>
    </w:pPr>
    <w:rPr>
      <w:sz w:val="24"/>
      <w:szCs w:val="24"/>
      <w:lang w:eastAsia="da-DK"/>
    </w:rPr>
  </w:style>
  <w:style w:type="paragraph" w:styleId="Opstilling-talellerbogst">
    <w:name w:val="List Number"/>
    <w:basedOn w:val="Normal"/>
    <w:uiPriority w:val="99"/>
    <w:semiHidden/>
    <w:unhideWhenUsed/>
    <w:rsid w:val="00D41138"/>
    <w:pPr>
      <w:widowControl w:val="0"/>
      <w:numPr>
        <w:numId w:val="17"/>
      </w:numPr>
      <w:autoSpaceDE w:val="0"/>
      <w:autoSpaceDN w:val="0"/>
      <w:adjustRightInd w:val="0"/>
      <w:contextualSpacing/>
    </w:pPr>
    <w:rPr>
      <w:sz w:val="24"/>
      <w:szCs w:val="24"/>
      <w:lang w:eastAsia="da-DK"/>
    </w:rPr>
  </w:style>
  <w:style w:type="paragraph" w:styleId="Liste2">
    <w:name w:val="List 2"/>
    <w:basedOn w:val="Normal"/>
    <w:uiPriority w:val="99"/>
    <w:semiHidden/>
    <w:unhideWhenUsed/>
    <w:rsid w:val="00D41138"/>
    <w:pPr>
      <w:widowControl w:val="0"/>
      <w:autoSpaceDE w:val="0"/>
      <w:autoSpaceDN w:val="0"/>
      <w:adjustRightInd w:val="0"/>
      <w:ind w:left="566" w:hanging="283"/>
      <w:contextualSpacing/>
    </w:pPr>
    <w:rPr>
      <w:sz w:val="24"/>
      <w:szCs w:val="24"/>
      <w:lang w:eastAsia="da-DK"/>
    </w:rPr>
  </w:style>
  <w:style w:type="paragraph" w:styleId="Liste3">
    <w:name w:val="List 3"/>
    <w:basedOn w:val="Normal"/>
    <w:uiPriority w:val="99"/>
    <w:semiHidden/>
    <w:unhideWhenUsed/>
    <w:rsid w:val="00D41138"/>
    <w:pPr>
      <w:widowControl w:val="0"/>
      <w:autoSpaceDE w:val="0"/>
      <w:autoSpaceDN w:val="0"/>
      <w:adjustRightInd w:val="0"/>
      <w:ind w:left="849" w:hanging="283"/>
      <w:contextualSpacing/>
    </w:pPr>
    <w:rPr>
      <w:sz w:val="24"/>
      <w:szCs w:val="24"/>
      <w:lang w:eastAsia="da-DK"/>
    </w:rPr>
  </w:style>
  <w:style w:type="paragraph" w:styleId="Liste4">
    <w:name w:val="List 4"/>
    <w:basedOn w:val="Normal"/>
    <w:uiPriority w:val="99"/>
    <w:semiHidden/>
    <w:unhideWhenUsed/>
    <w:rsid w:val="00D41138"/>
    <w:pPr>
      <w:widowControl w:val="0"/>
      <w:autoSpaceDE w:val="0"/>
      <w:autoSpaceDN w:val="0"/>
      <w:adjustRightInd w:val="0"/>
      <w:ind w:left="1132" w:hanging="283"/>
      <w:contextualSpacing/>
    </w:pPr>
    <w:rPr>
      <w:sz w:val="24"/>
      <w:szCs w:val="24"/>
      <w:lang w:eastAsia="da-DK"/>
    </w:rPr>
  </w:style>
  <w:style w:type="paragraph" w:styleId="Liste5">
    <w:name w:val="List 5"/>
    <w:basedOn w:val="Normal"/>
    <w:uiPriority w:val="99"/>
    <w:semiHidden/>
    <w:unhideWhenUsed/>
    <w:rsid w:val="00D41138"/>
    <w:pPr>
      <w:widowControl w:val="0"/>
      <w:autoSpaceDE w:val="0"/>
      <w:autoSpaceDN w:val="0"/>
      <w:adjustRightInd w:val="0"/>
      <w:ind w:left="1415" w:hanging="283"/>
      <w:contextualSpacing/>
    </w:pPr>
    <w:rPr>
      <w:sz w:val="24"/>
      <w:szCs w:val="24"/>
      <w:lang w:eastAsia="da-DK"/>
    </w:rPr>
  </w:style>
  <w:style w:type="paragraph" w:styleId="Opstilling-punkttegn2">
    <w:name w:val="List Bullet 2"/>
    <w:basedOn w:val="Normal"/>
    <w:uiPriority w:val="99"/>
    <w:semiHidden/>
    <w:unhideWhenUsed/>
    <w:rsid w:val="00D41138"/>
    <w:pPr>
      <w:widowControl w:val="0"/>
      <w:numPr>
        <w:numId w:val="18"/>
      </w:numPr>
      <w:autoSpaceDE w:val="0"/>
      <w:autoSpaceDN w:val="0"/>
      <w:adjustRightInd w:val="0"/>
      <w:contextualSpacing/>
    </w:pPr>
    <w:rPr>
      <w:sz w:val="24"/>
      <w:szCs w:val="24"/>
      <w:lang w:eastAsia="da-DK"/>
    </w:rPr>
  </w:style>
  <w:style w:type="paragraph" w:styleId="Opstilling-punkttegn3">
    <w:name w:val="List Bullet 3"/>
    <w:basedOn w:val="Normal"/>
    <w:uiPriority w:val="99"/>
    <w:semiHidden/>
    <w:unhideWhenUsed/>
    <w:rsid w:val="00D41138"/>
    <w:pPr>
      <w:widowControl w:val="0"/>
      <w:numPr>
        <w:numId w:val="19"/>
      </w:numPr>
      <w:autoSpaceDE w:val="0"/>
      <w:autoSpaceDN w:val="0"/>
      <w:adjustRightInd w:val="0"/>
      <w:contextualSpacing/>
    </w:pPr>
    <w:rPr>
      <w:sz w:val="24"/>
      <w:szCs w:val="24"/>
      <w:lang w:eastAsia="da-DK"/>
    </w:rPr>
  </w:style>
  <w:style w:type="paragraph" w:styleId="Opstilling-punkttegn4">
    <w:name w:val="List Bullet 4"/>
    <w:basedOn w:val="Normal"/>
    <w:uiPriority w:val="99"/>
    <w:semiHidden/>
    <w:unhideWhenUsed/>
    <w:rsid w:val="00D41138"/>
    <w:pPr>
      <w:widowControl w:val="0"/>
      <w:numPr>
        <w:numId w:val="20"/>
      </w:numPr>
      <w:autoSpaceDE w:val="0"/>
      <w:autoSpaceDN w:val="0"/>
      <w:adjustRightInd w:val="0"/>
      <w:contextualSpacing/>
    </w:pPr>
    <w:rPr>
      <w:sz w:val="24"/>
      <w:szCs w:val="24"/>
      <w:lang w:eastAsia="da-DK"/>
    </w:rPr>
  </w:style>
  <w:style w:type="paragraph" w:styleId="Opstilling-punkttegn5">
    <w:name w:val="List Bullet 5"/>
    <w:basedOn w:val="Normal"/>
    <w:uiPriority w:val="99"/>
    <w:semiHidden/>
    <w:unhideWhenUsed/>
    <w:rsid w:val="00D41138"/>
    <w:pPr>
      <w:widowControl w:val="0"/>
      <w:numPr>
        <w:numId w:val="21"/>
      </w:numPr>
      <w:autoSpaceDE w:val="0"/>
      <w:autoSpaceDN w:val="0"/>
      <w:adjustRightInd w:val="0"/>
      <w:contextualSpacing/>
    </w:pPr>
    <w:rPr>
      <w:sz w:val="24"/>
      <w:szCs w:val="24"/>
      <w:lang w:eastAsia="da-DK"/>
    </w:rPr>
  </w:style>
  <w:style w:type="paragraph" w:styleId="Opstilling-talellerbogst2">
    <w:name w:val="List Number 2"/>
    <w:basedOn w:val="Normal"/>
    <w:uiPriority w:val="99"/>
    <w:semiHidden/>
    <w:unhideWhenUsed/>
    <w:rsid w:val="00D41138"/>
    <w:pPr>
      <w:widowControl w:val="0"/>
      <w:numPr>
        <w:numId w:val="22"/>
      </w:numPr>
      <w:autoSpaceDE w:val="0"/>
      <w:autoSpaceDN w:val="0"/>
      <w:adjustRightInd w:val="0"/>
      <w:contextualSpacing/>
    </w:pPr>
    <w:rPr>
      <w:sz w:val="24"/>
      <w:szCs w:val="24"/>
      <w:lang w:eastAsia="da-DK"/>
    </w:rPr>
  </w:style>
  <w:style w:type="paragraph" w:styleId="Opstilling-talellerbogst3">
    <w:name w:val="List Number 3"/>
    <w:basedOn w:val="Normal"/>
    <w:uiPriority w:val="99"/>
    <w:semiHidden/>
    <w:unhideWhenUsed/>
    <w:rsid w:val="00D41138"/>
    <w:pPr>
      <w:widowControl w:val="0"/>
      <w:numPr>
        <w:numId w:val="23"/>
      </w:numPr>
      <w:autoSpaceDE w:val="0"/>
      <w:autoSpaceDN w:val="0"/>
      <w:adjustRightInd w:val="0"/>
      <w:contextualSpacing/>
    </w:pPr>
    <w:rPr>
      <w:sz w:val="24"/>
      <w:szCs w:val="24"/>
      <w:lang w:eastAsia="da-DK"/>
    </w:rPr>
  </w:style>
  <w:style w:type="paragraph" w:styleId="Opstilling-talellerbogst4">
    <w:name w:val="List Number 4"/>
    <w:basedOn w:val="Normal"/>
    <w:uiPriority w:val="99"/>
    <w:semiHidden/>
    <w:unhideWhenUsed/>
    <w:rsid w:val="00D41138"/>
    <w:pPr>
      <w:widowControl w:val="0"/>
      <w:numPr>
        <w:numId w:val="24"/>
      </w:numPr>
      <w:autoSpaceDE w:val="0"/>
      <w:autoSpaceDN w:val="0"/>
      <w:adjustRightInd w:val="0"/>
      <w:contextualSpacing/>
    </w:pPr>
    <w:rPr>
      <w:sz w:val="24"/>
      <w:szCs w:val="24"/>
      <w:lang w:eastAsia="da-DK"/>
    </w:rPr>
  </w:style>
  <w:style w:type="paragraph" w:styleId="Opstilling-talellerbogst5">
    <w:name w:val="List Number 5"/>
    <w:basedOn w:val="Normal"/>
    <w:uiPriority w:val="99"/>
    <w:semiHidden/>
    <w:unhideWhenUsed/>
    <w:rsid w:val="00D41138"/>
    <w:pPr>
      <w:widowControl w:val="0"/>
      <w:numPr>
        <w:numId w:val="25"/>
      </w:numPr>
      <w:autoSpaceDE w:val="0"/>
      <w:autoSpaceDN w:val="0"/>
      <w:adjustRightInd w:val="0"/>
      <w:contextualSpacing/>
    </w:pPr>
    <w:rPr>
      <w:sz w:val="24"/>
      <w:szCs w:val="24"/>
      <w:lang w:eastAsia="da-DK"/>
    </w:rPr>
  </w:style>
  <w:style w:type="paragraph" w:styleId="Sluthilsen">
    <w:name w:val="Closing"/>
    <w:basedOn w:val="Normal"/>
    <w:link w:val="SluthilsenTegn"/>
    <w:uiPriority w:val="99"/>
    <w:semiHidden/>
    <w:unhideWhenUsed/>
    <w:rsid w:val="00D41138"/>
    <w:pPr>
      <w:widowControl w:val="0"/>
      <w:autoSpaceDE w:val="0"/>
      <w:autoSpaceDN w:val="0"/>
      <w:adjustRightInd w:val="0"/>
      <w:ind w:left="4252"/>
    </w:pPr>
    <w:rPr>
      <w:sz w:val="24"/>
      <w:szCs w:val="24"/>
      <w:lang w:eastAsia="da-DK"/>
    </w:rPr>
  </w:style>
  <w:style w:type="character" w:customStyle="1" w:styleId="SluthilsenTegn">
    <w:name w:val="Sluthilsen Tegn"/>
    <w:basedOn w:val="Standardskrifttypeiafsnit"/>
    <w:link w:val="Sluthilsen"/>
    <w:uiPriority w:val="99"/>
    <w:semiHidden/>
    <w:rsid w:val="00D41138"/>
    <w:rPr>
      <w:sz w:val="24"/>
      <w:szCs w:val="24"/>
    </w:rPr>
  </w:style>
  <w:style w:type="paragraph" w:styleId="Underskrift">
    <w:name w:val="Signature"/>
    <w:basedOn w:val="Normal"/>
    <w:link w:val="UnderskriftTegn"/>
    <w:uiPriority w:val="99"/>
    <w:semiHidden/>
    <w:unhideWhenUsed/>
    <w:rsid w:val="00D41138"/>
    <w:pPr>
      <w:widowControl w:val="0"/>
      <w:autoSpaceDE w:val="0"/>
      <w:autoSpaceDN w:val="0"/>
      <w:adjustRightInd w:val="0"/>
      <w:ind w:left="4252"/>
    </w:pPr>
    <w:rPr>
      <w:sz w:val="24"/>
      <w:szCs w:val="24"/>
      <w:lang w:eastAsia="da-DK"/>
    </w:rPr>
  </w:style>
  <w:style w:type="character" w:customStyle="1" w:styleId="UnderskriftTegn">
    <w:name w:val="Underskrift Tegn"/>
    <w:basedOn w:val="Standardskrifttypeiafsnit"/>
    <w:link w:val="Underskrift"/>
    <w:uiPriority w:val="99"/>
    <w:semiHidden/>
    <w:rsid w:val="00D41138"/>
    <w:rPr>
      <w:sz w:val="24"/>
      <w:szCs w:val="24"/>
    </w:rPr>
  </w:style>
  <w:style w:type="paragraph" w:styleId="Brdtekstindrykning">
    <w:name w:val="Body Text Indent"/>
    <w:basedOn w:val="Normal"/>
    <w:link w:val="BrdtekstindrykningTegn"/>
    <w:uiPriority w:val="99"/>
    <w:semiHidden/>
    <w:unhideWhenUsed/>
    <w:rsid w:val="00D41138"/>
    <w:pPr>
      <w:widowControl w:val="0"/>
      <w:autoSpaceDE w:val="0"/>
      <w:autoSpaceDN w:val="0"/>
      <w:adjustRightInd w:val="0"/>
      <w:spacing w:after="120"/>
      <w:ind w:left="283"/>
    </w:pPr>
    <w:rPr>
      <w:sz w:val="24"/>
      <w:szCs w:val="24"/>
      <w:lang w:eastAsia="da-DK"/>
    </w:rPr>
  </w:style>
  <w:style w:type="character" w:customStyle="1" w:styleId="BrdtekstindrykningTegn">
    <w:name w:val="Brødtekstindrykning Tegn"/>
    <w:basedOn w:val="Standardskrifttypeiafsnit"/>
    <w:link w:val="Brdtekstindrykning"/>
    <w:uiPriority w:val="99"/>
    <w:semiHidden/>
    <w:rsid w:val="00D41138"/>
    <w:rPr>
      <w:sz w:val="24"/>
      <w:szCs w:val="24"/>
    </w:rPr>
  </w:style>
  <w:style w:type="paragraph" w:styleId="Opstilling-forts">
    <w:name w:val="List Continue"/>
    <w:basedOn w:val="Normal"/>
    <w:uiPriority w:val="99"/>
    <w:semiHidden/>
    <w:unhideWhenUsed/>
    <w:rsid w:val="00D41138"/>
    <w:pPr>
      <w:widowControl w:val="0"/>
      <w:autoSpaceDE w:val="0"/>
      <w:autoSpaceDN w:val="0"/>
      <w:adjustRightInd w:val="0"/>
      <w:spacing w:after="120"/>
      <w:ind w:left="283"/>
      <w:contextualSpacing/>
    </w:pPr>
    <w:rPr>
      <w:sz w:val="24"/>
      <w:szCs w:val="24"/>
      <w:lang w:eastAsia="da-DK"/>
    </w:rPr>
  </w:style>
  <w:style w:type="paragraph" w:styleId="Opstilling-forts2">
    <w:name w:val="List Continue 2"/>
    <w:basedOn w:val="Normal"/>
    <w:uiPriority w:val="99"/>
    <w:semiHidden/>
    <w:unhideWhenUsed/>
    <w:rsid w:val="00D41138"/>
    <w:pPr>
      <w:widowControl w:val="0"/>
      <w:autoSpaceDE w:val="0"/>
      <w:autoSpaceDN w:val="0"/>
      <w:adjustRightInd w:val="0"/>
      <w:spacing w:after="120"/>
      <w:ind w:left="566"/>
      <w:contextualSpacing/>
    </w:pPr>
    <w:rPr>
      <w:sz w:val="24"/>
      <w:szCs w:val="24"/>
      <w:lang w:eastAsia="da-DK"/>
    </w:rPr>
  </w:style>
  <w:style w:type="paragraph" w:styleId="Opstilling-forts3">
    <w:name w:val="List Continue 3"/>
    <w:basedOn w:val="Normal"/>
    <w:uiPriority w:val="99"/>
    <w:semiHidden/>
    <w:unhideWhenUsed/>
    <w:rsid w:val="00D41138"/>
    <w:pPr>
      <w:widowControl w:val="0"/>
      <w:autoSpaceDE w:val="0"/>
      <w:autoSpaceDN w:val="0"/>
      <w:adjustRightInd w:val="0"/>
      <w:spacing w:after="120"/>
      <w:ind w:left="849"/>
      <w:contextualSpacing/>
    </w:pPr>
    <w:rPr>
      <w:sz w:val="24"/>
      <w:szCs w:val="24"/>
      <w:lang w:eastAsia="da-DK"/>
    </w:rPr>
  </w:style>
  <w:style w:type="paragraph" w:styleId="Opstilling-forts4">
    <w:name w:val="List Continue 4"/>
    <w:basedOn w:val="Normal"/>
    <w:uiPriority w:val="99"/>
    <w:semiHidden/>
    <w:unhideWhenUsed/>
    <w:rsid w:val="00D41138"/>
    <w:pPr>
      <w:widowControl w:val="0"/>
      <w:autoSpaceDE w:val="0"/>
      <w:autoSpaceDN w:val="0"/>
      <w:adjustRightInd w:val="0"/>
      <w:spacing w:after="120"/>
      <w:ind w:left="1132"/>
      <w:contextualSpacing/>
    </w:pPr>
    <w:rPr>
      <w:sz w:val="24"/>
      <w:szCs w:val="24"/>
      <w:lang w:eastAsia="da-DK"/>
    </w:rPr>
  </w:style>
  <w:style w:type="paragraph" w:styleId="Opstilling-forts5">
    <w:name w:val="List Continue 5"/>
    <w:basedOn w:val="Normal"/>
    <w:uiPriority w:val="99"/>
    <w:semiHidden/>
    <w:unhideWhenUsed/>
    <w:rsid w:val="00D41138"/>
    <w:pPr>
      <w:widowControl w:val="0"/>
      <w:autoSpaceDE w:val="0"/>
      <w:autoSpaceDN w:val="0"/>
      <w:adjustRightInd w:val="0"/>
      <w:spacing w:after="120"/>
      <w:ind w:left="1415"/>
      <w:contextualSpacing/>
    </w:pPr>
    <w:rPr>
      <w:sz w:val="24"/>
      <w:szCs w:val="24"/>
      <w:lang w:eastAsia="da-DK"/>
    </w:rPr>
  </w:style>
  <w:style w:type="paragraph" w:styleId="Brevhoved">
    <w:name w:val="Message Header"/>
    <w:basedOn w:val="Normal"/>
    <w:link w:val="BrevhovedTegn"/>
    <w:uiPriority w:val="99"/>
    <w:semiHidden/>
    <w:unhideWhenUsed/>
    <w:rsid w:val="00D41138"/>
    <w:pPr>
      <w:widowControl w:val="0"/>
      <w:pBdr>
        <w:top w:val="single" w:sz="6" w:space="1" w:color="auto"/>
        <w:left w:val="single" w:sz="6" w:space="1" w:color="auto"/>
        <w:bottom w:val="single" w:sz="6" w:space="1" w:color="auto"/>
        <w:right w:val="single" w:sz="6" w:space="1" w:color="auto"/>
      </w:pBdr>
      <w:shd w:val="pct20" w:color="auto" w:fill="auto"/>
      <w:autoSpaceDE w:val="0"/>
      <w:autoSpaceDN w:val="0"/>
      <w:adjustRightInd w:val="0"/>
      <w:ind w:left="1134" w:hanging="1134"/>
    </w:pPr>
    <w:rPr>
      <w:rFonts w:ascii="Cambria" w:hAnsi="Cambria"/>
      <w:sz w:val="24"/>
      <w:szCs w:val="24"/>
      <w:lang w:eastAsia="da-DK"/>
    </w:rPr>
  </w:style>
  <w:style w:type="character" w:customStyle="1" w:styleId="BrevhovedTegn">
    <w:name w:val="Brevhoved Tegn"/>
    <w:basedOn w:val="Standardskrifttypeiafsnit"/>
    <w:link w:val="Brevhoved"/>
    <w:uiPriority w:val="99"/>
    <w:semiHidden/>
    <w:rsid w:val="00D41138"/>
    <w:rPr>
      <w:rFonts w:ascii="Cambria" w:hAnsi="Cambria"/>
      <w:sz w:val="24"/>
      <w:szCs w:val="24"/>
      <w:shd w:val="pct20" w:color="auto" w:fill="auto"/>
    </w:rPr>
  </w:style>
  <w:style w:type="paragraph" w:styleId="Undertitel">
    <w:name w:val="Subtitle"/>
    <w:basedOn w:val="Normal"/>
    <w:next w:val="Normal"/>
    <w:link w:val="UndertitelTegn"/>
    <w:uiPriority w:val="11"/>
    <w:qFormat/>
    <w:rsid w:val="00D41138"/>
    <w:pPr>
      <w:widowControl w:val="0"/>
      <w:autoSpaceDE w:val="0"/>
      <w:autoSpaceDN w:val="0"/>
      <w:adjustRightInd w:val="0"/>
      <w:spacing w:after="60"/>
      <w:jc w:val="center"/>
      <w:outlineLvl w:val="1"/>
    </w:pPr>
    <w:rPr>
      <w:rFonts w:ascii="Cambria" w:hAnsi="Cambria"/>
      <w:sz w:val="24"/>
      <w:szCs w:val="24"/>
      <w:lang w:eastAsia="da-DK"/>
    </w:rPr>
  </w:style>
  <w:style w:type="character" w:customStyle="1" w:styleId="UndertitelTegn">
    <w:name w:val="Undertitel Tegn"/>
    <w:basedOn w:val="Standardskrifttypeiafsnit"/>
    <w:link w:val="Undertitel"/>
    <w:uiPriority w:val="11"/>
    <w:rsid w:val="00D41138"/>
    <w:rPr>
      <w:rFonts w:ascii="Cambria" w:hAnsi="Cambria"/>
      <w:sz w:val="24"/>
      <w:szCs w:val="24"/>
    </w:rPr>
  </w:style>
  <w:style w:type="paragraph" w:styleId="Starthilsen">
    <w:name w:val="Salutation"/>
    <w:basedOn w:val="Normal"/>
    <w:next w:val="Normal"/>
    <w:link w:val="StarthilsenTegn"/>
    <w:uiPriority w:val="99"/>
    <w:semiHidden/>
    <w:unhideWhenUsed/>
    <w:rsid w:val="00D41138"/>
    <w:pPr>
      <w:widowControl w:val="0"/>
      <w:autoSpaceDE w:val="0"/>
      <w:autoSpaceDN w:val="0"/>
      <w:adjustRightInd w:val="0"/>
    </w:pPr>
    <w:rPr>
      <w:sz w:val="24"/>
      <w:szCs w:val="24"/>
      <w:lang w:eastAsia="da-DK"/>
    </w:rPr>
  </w:style>
  <w:style w:type="character" w:customStyle="1" w:styleId="StarthilsenTegn">
    <w:name w:val="Starthilsen Tegn"/>
    <w:basedOn w:val="Standardskrifttypeiafsnit"/>
    <w:link w:val="Starthilsen"/>
    <w:uiPriority w:val="99"/>
    <w:semiHidden/>
    <w:rsid w:val="00D41138"/>
    <w:rPr>
      <w:sz w:val="24"/>
      <w:szCs w:val="24"/>
    </w:rPr>
  </w:style>
  <w:style w:type="paragraph" w:styleId="Dato">
    <w:name w:val="Date"/>
    <w:basedOn w:val="Normal"/>
    <w:next w:val="Normal"/>
    <w:link w:val="DatoTegn"/>
    <w:uiPriority w:val="99"/>
    <w:semiHidden/>
    <w:unhideWhenUsed/>
    <w:rsid w:val="00D41138"/>
    <w:pPr>
      <w:widowControl w:val="0"/>
      <w:autoSpaceDE w:val="0"/>
      <w:autoSpaceDN w:val="0"/>
      <w:adjustRightInd w:val="0"/>
    </w:pPr>
    <w:rPr>
      <w:sz w:val="24"/>
      <w:szCs w:val="24"/>
      <w:lang w:eastAsia="da-DK"/>
    </w:rPr>
  </w:style>
  <w:style w:type="character" w:customStyle="1" w:styleId="DatoTegn">
    <w:name w:val="Dato Tegn"/>
    <w:basedOn w:val="Standardskrifttypeiafsnit"/>
    <w:link w:val="Dato"/>
    <w:uiPriority w:val="99"/>
    <w:semiHidden/>
    <w:rsid w:val="00D41138"/>
    <w:rPr>
      <w:sz w:val="24"/>
      <w:szCs w:val="24"/>
    </w:rPr>
  </w:style>
  <w:style w:type="paragraph" w:styleId="Brdtekst-frstelinjeindrykning1">
    <w:name w:val="Body Text First Indent"/>
    <w:basedOn w:val="Brdtekst"/>
    <w:link w:val="Brdtekst-frstelinjeindrykning1Tegn"/>
    <w:uiPriority w:val="99"/>
    <w:semiHidden/>
    <w:unhideWhenUsed/>
    <w:rsid w:val="00D41138"/>
    <w:pPr>
      <w:spacing w:after="120"/>
      <w:ind w:left="0" w:firstLine="210"/>
    </w:pPr>
  </w:style>
  <w:style w:type="character" w:customStyle="1" w:styleId="Brdtekst-frstelinjeindrykning1Tegn">
    <w:name w:val="Brødtekst - førstelinjeindrykning 1 Tegn"/>
    <w:basedOn w:val="BrdtekstTegn"/>
    <w:link w:val="Brdtekst-frstelinjeindrykning1"/>
    <w:uiPriority w:val="99"/>
    <w:semiHidden/>
    <w:rsid w:val="00D41138"/>
    <w:rPr>
      <w:sz w:val="24"/>
      <w:szCs w:val="24"/>
    </w:rPr>
  </w:style>
  <w:style w:type="paragraph" w:styleId="Brdtekst-frstelinjeindrykning2">
    <w:name w:val="Body Text First Indent 2"/>
    <w:basedOn w:val="Brdtekstindrykning"/>
    <w:link w:val="Brdtekst-frstelinjeindrykning2Tegn"/>
    <w:uiPriority w:val="99"/>
    <w:semiHidden/>
    <w:unhideWhenUsed/>
    <w:rsid w:val="00D41138"/>
    <w:pPr>
      <w:ind w:firstLine="210"/>
    </w:pPr>
  </w:style>
  <w:style w:type="character" w:customStyle="1" w:styleId="Brdtekst-frstelinjeindrykning2Tegn">
    <w:name w:val="Brødtekst - førstelinjeindrykning 2 Tegn"/>
    <w:basedOn w:val="BrdtekstindrykningTegn"/>
    <w:link w:val="Brdtekst-frstelinjeindrykning2"/>
    <w:uiPriority w:val="99"/>
    <w:semiHidden/>
    <w:rsid w:val="00D41138"/>
    <w:rPr>
      <w:sz w:val="24"/>
      <w:szCs w:val="24"/>
    </w:rPr>
  </w:style>
  <w:style w:type="paragraph" w:styleId="Noteoverskrift">
    <w:name w:val="Note Heading"/>
    <w:basedOn w:val="Normal"/>
    <w:next w:val="Normal"/>
    <w:link w:val="NoteoverskriftTegn"/>
    <w:uiPriority w:val="99"/>
    <w:semiHidden/>
    <w:unhideWhenUsed/>
    <w:rsid w:val="00D41138"/>
    <w:pPr>
      <w:widowControl w:val="0"/>
      <w:autoSpaceDE w:val="0"/>
      <w:autoSpaceDN w:val="0"/>
      <w:adjustRightInd w:val="0"/>
    </w:pPr>
    <w:rPr>
      <w:sz w:val="24"/>
      <w:szCs w:val="24"/>
      <w:lang w:eastAsia="da-DK"/>
    </w:rPr>
  </w:style>
  <w:style w:type="character" w:customStyle="1" w:styleId="NoteoverskriftTegn">
    <w:name w:val="Noteoverskrift Tegn"/>
    <w:basedOn w:val="Standardskrifttypeiafsnit"/>
    <w:link w:val="Noteoverskrift"/>
    <w:uiPriority w:val="99"/>
    <w:semiHidden/>
    <w:rsid w:val="00D41138"/>
    <w:rPr>
      <w:sz w:val="24"/>
      <w:szCs w:val="24"/>
    </w:rPr>
  </w:style>
  <w:style w:type="paragraph" w:styleId="Brdtekst2">
    <w:name w:val="Body Text 2"/>
    <w:basedOn w:val="Normal"/>
    <w:link w:val="Brdtekst2Tegn"/>
    <w:uiPriority w:val="99"/>
    <w:semiHidden/>
    <w:unhideWhenUsed/>
    <w:rsid w:val="00D41138"/>
    <w:pPr>
      <w:widowControl w:val="0"/>
      <w:autoSpaceDE w:val="0"/>
      <w:autoSpaceDN w:val="0"/>
      <w:adjustRightInd w:val="0"/>
      <w:spacing w:after="120" w:line="480" w:lineRule="auto"/>
    </w:pPr>
    <w:rPr>
      <w:sz w:val="24"/>
      <w:szCs w:val="24"/>
      <w:lang w:eastAsia="da-DK"/>
    </w:rPr>
  </w:style>
  <w:style w:type="character" w:customStyle="1" w:styleId="Brdtekst2Tegn">
    <w:name w:val="Brødtekst 2 Tegn"/>
    <w:basedOn w:val="Standardskrifttypeiafsnit"/>
    <w:link w:val="Brdtekst2"/>
    <w:uiPriority w:val="99"/>
    <w:semiHidden/>
    <w:rsid w:val="00D41138"/>
    <w:rPr>
      <w:sz w:val="24"/>
      <w:szCs w:val="24"/>
    </w:rPr>
  </w:style>
  <w:style w:type="paragraph" w:styleId="Brdtekst3">
    <w:name w:val="Body Text 3"/>
    <w:basedOn w:val="Normal"/>
    <w:link w:val="Brdtekst3Tegn"/>
    <w:uiPriority w:val="99"/>
    <w:semiHidden/>
    <w:unhideWhenUsed/>
    <w:rsid w:val="00D41138"/>
    <w:pPr>
      <w:widowControl w:val="0"/>
      <w:autoSpaceDE w:val="0"/>
      <w:autoSpaceDN w:val="0"/>
      <w:adjustRightInd w:val="0"/>
      <w:spacing w:after="120"/>
    </w:pPr>
    <w:rPr>
      <w:sz w:val="16"/>
      <w:szCs w:val="16"/>
      <w:lang w:eastAsia="da-DK"/>
    </w:rPr>
  </w:style>
  <w:style w:type="character" w:customStyle="1" w:styleId="Brdtekst3Tegn">
    <w:name w:val="Brødtekst 3 Tegn"/>
    <w:basedOn w:val="Standardskrifttypeiafsnit"/>
    <w:link w:val="Brdtekst3"/>
    <w:uiPriority w:val="99"/>
    <w:semiHidden/>
    <w:rsid w:val="00D41138"/>
    <w:rPr>
      <w:sz w:val="16"/>
      <w:szCs w:val="16"/>
    </w:rPr>
  </w:style>
  <w:style w:type="paragraph" w:styleId="Brdtekstindrykning2">
    <w:name w:val="Body Text Indent 2"/>
    <w:basedOn w:val="Normal"/>
    <w:link w:val="Brdtekstindrykning2Tegn"/>
    <w:uiPriority w:val="99"/>
    <w:semiHidden/>
    <w:unhideWhenUsed/>
    <w:rsid w:val="00D41138"/>
    <w:pPr>
      <w:widowControl w:val="0"/>
      <w:autoSpaceDE w:val="0"/>
      <w:autoSpaceDN w:val="0"/>
      <w:adjustRightInd w:val="0"/>
      <w:spacing w:after="120" w:line="480" w:lineRule="auto"/>
      <w:ind w:left="283"/>
    </w:pPr>
    <w:rPr>
      <w:sz w:val="24"/>
      <w:szCs w:val="24"/>
      <w:lang w:eastAsia="da-DK"/>
    </w:rPr>
  </w:style>
  <w:style w:type="character" w:customStyle="1" w:styleId="Brdtekstindrykning2Tegn">
    <w:name w:val="Brødtekstindrykning 2 Tegn"/>
    <w:basedOn w:val="Standardskrifttypeiafsnit"/>
    <w:link w:val="Brdtekstindrykning2"/>
    <w:uiPriority w:val="99"/>
    <w:semiHidden/>
    <w:rsid w:val="00D41138"/>
    <w:rPr>
      <w:sz w:val="24"/>
      <w:szCs w:val="24"/>
    </w:rPr>
  </w:style>
  <w:style w:type="paragraph" w:styleId="Brdtekstindrykning3">
    <w:name w:val="Body Text Indent 3"/>
    <w:basedOn w:val="Normal"/>
    <w:link w:val="Brdtekstindrykning3Tegn"/>
    <w:uiPriority w:val="99"/>
    <w:semiHidden/>
    <w:unhideWhenUsed/>
    <w:rsid w:val="00D41138"/>
    <w:pPr>
      <w:widowControl w:val="0"/>
      <w:autoSpaceDE w:val="0"/>
      <w:autoSpaceDN w:val="0"/>
      <w:adjustRightInd w:val="0"/>
      <w:spacing w:after="120"/>
      <w:ind w:left="283"/>
    </w:pPr>
    <w:rPr>
      <w:sz w:val="16"/>
      <w:szCs w:val="16"/>
      <w:lang w:eastAsia="da-DK"/>
    </w:rPr>
  </w:style>
  <w:style w:type="character" w:customStyle="1" w:styleId="Brdtekstindrykning3Tegn">
    <w:name w:val="Brødtekstindrykning 3 Tegn"/>
    <w:basedOn w:val="Standardskrifttypeiafsnit"/>
    <w:link w:val="Brdtekstindrykning3"/>
    <w:uiPriority w:val="99"/>
    <w:semiHidden/>
    <w:rsid w:val="00D41138"/>
    <w:rPr>
      <w:sz w:val="16"/>
      <w:szCs w:val="16"/>
    </w:rPr>
  </w:style>
  <w:style w:type="paragraph" w:styleId="Bloktekst">
    <w:name w:val="Block Text"/>
    <w:basedOn w:val="Normal"/>
    <w:uiPriority w:val="99"/>
    <w:semiHidden/>
    <w:unhideWhenUsed/>
    <w:rsid w:val="00D41138"/>
    <w:pPr>
      <w:widowControl w:val="0"/>
      <w:autoSpaceDE w:val="0"/>
      <w:autoSpaceDN w:val="0"/>
      <w:adjustRightInd w:val="0"/>
      <w:spacing w:after="120"/>
      <w:ind w:left="1440" w:right="1440"/>
    </w:pPr>
    <w:rPr>
      <w:sz w:val="24"/>
      <w:szCs w:val="24"/>
      <w:lang w:eastAsia="da-DK"/>
    </w:rPr>
  </w:style>
  <w:style w:type="paragraph" w:styleId="Dokumentoversigt">
    <w:name w:val="Document Map"/>
    <w:basedOn w:val="Normal"/>
    <w:link w:val="DokumentoversigtTegn"/>
    <w:uiPriority w:val="99"/>
    <w:semiHidden/>
    <w:unhideWhenUsed/>
    <w:rsid w:val="00D41138"/>
    <w:pPr>
      <w:widowControl w:val="0"/>
      <w:autoSpaceDE w:val="0"/>
      <w:autoSpaceDN w:val="0"/>
      <w:adjustRightInd w:val="0"/>
    </w:pPr>
    <w:rPr>
      <w:rFonts w:ascii="Tahoma" w:hAnsi="Tahoma"/>
      <w:sz w:val="16"/>
      <w:szCs w:val="16"/>
      <w:lang w:eastAsia="da-DK"/>
    </w:rPr>
  </w:style>
  <w:style w:type="character" w:customStyle="1" w:styleId="DokumentoversigtTegn">
    <w:name w:val="Dokumentoversigt Tegn"/>
    <w:basedOn w:val="Standardskrifttypeiafsnit"/>
    <w:link w:val="Dokumentoversigt"/>
    <w:uiPriority w:val="99"/>
    <w:semiHidden/>
    <w:rsid w:val="00D41138"/>
    <w:rPr>
      <w:rFonts w:ascii="Tahoma" w:hAnsi="Tahoma"/>
      <w:sz w:val="16"/>
      <w:szCs w:val="16"/>
    </w:rPr>
  </w:style>
  <w:style w:type="paragraph" w:styleId="Almindeligtekst">
    <w:name w:val="Plain Text"/>
    <w:basedOn w:val="Normal"/>
    <w:link w:val="AlmindeligtekstTegn"/>
    <w:uiPriority w:val="99"/>
    <w:semiHidden/>
    <w:unhideWhenUsed/>
    <w:rsid w:val="00D41138"/>
    <w:pPr>
      <w:widowControl w:val="0"/>
      <w:autoSpaceDE w:val="0"/>
      <w:autoSpaceDN w:val="0"/>
      <w:adjustRightInd w:val="0"/>
    </w:pPr>
    <w:rPr>
      <w:rFonts w:ascii="Courier New" w:hAnsi="Courier New"/>
      <w:sz w:val="20"/>
      <w:lang w:eastAsia="da-DK"/>
    </w:rPr>
  </w:style>
  <w:style w:type="character" w:customStyle="1" w:styleId="AlmindeligtekstTegn">
    <w:name w:val="Almindelig tekst Tegn"/>
    <w:basedOn w:val="Standardskrifttypeiafsnit"/>
    <w:link w:val="Almindeligtekst"/>
    <w:uiPriority w:val="99"/>
    <w:semiHidden/>
    <w:rsid w:val="00D41138"/>
    <w:rPr>
      <w:rFonts w:ascii="Courier New" w:hAnsi="Courier New"/>
    </w:rPr>
  </w:style>
  <w:style w:type="paragraph" w:styleId="Mailsignatur">
    <w:name w:val="E-mail Signature"/>
    <w:basedOn w:val="Normal"/>
    <w:link w:val="MailsignaturTegn"/>
    <w:uiPriority w:val="99"/>
    <w:semiHidden/>
    <w:unhideWhenUsed/>
    <w:rsid w:val="00D41138"/>
    <w:pPr>
      <w:widowControl w:val="0"/>
      <w:autoSpaceDE w:val="0"/>
      <w:autoSpaceDN w:val="0"/>
      <w:adjustRightInd w:val="0"/>
    </w:pPr>
    <w:rPr>
      <w:sz w:val="24"/>
      <w:szCs w:val="24"/>
      <w:lang w:eastAsia="da-DK"/>
    </w:rPr>
  </w:style>
  <w:style w:type="character" w:customStyle="1" w:styleId="MailsignaturTegn">
    <w:name w:val="Mailsignatur Tegn"/>
    <w:basedOn w:val="Standardskrifttypeiafsnit"/>
    <w:link w:val="Mailsignatur"/>
    <w:uiPriority w:val="99"/>
    <w:semiHidden/>
    <w:rsid w:val="00D41138"/>
    <w:rPr>
      <w:sz w:val="24"/>
      <w:szCs w:val="24"/>
    </w:rPr>
  </w:style>
  <w:style w:type="character" w:customStyle="1" w:styleId="MarkeringsbobletekstTegn">
    <w:name w:val="Markeringsbobletekst Tegn"/>
    <w:basedOn w:val="Standardskrifttypeiafsnit"/>
    <w:link w:val="Markeringsbobletekst"/>
    <w:uiPriority w:val="99"/>
    <w:semiHidden/>
    <w:rsid w:val="00D41138"/>
    <w:rPr>
      <w:rFonts w:ascii="Tahoma" w:hAnsi="Tahoma" w:cs="Tahoma"/>
      <w:sz w:val="16"/>
      <w:szCs w:val="16"/>
      <w:lang w:eastAsia="en-US"/>
    </w:rPr>
  </w:style>
  <w:style w:type="paragraph" w:styleId="Ingenafstand">
    <w:name w:val="No Spacing"/>
    <w:uiPriority w:val="1"/>
    <w:qFormat/>
    <w:rsid w:val="00D41138"/>
    <w:pPr>
      <w:widowControl w:val="0"/>
      <w:autoSpaceDE w:val="0"/>
      <w:autoSpaceDN w:val="0"/>
      <w:adjustRightInd w:val="0"/>
    </w:pPr>
    <w:rPr>
      <w:sz w:val="24"/>
      <w:szCs w:val="24"/>
    </w:rPr>
  </w:style>
  <w:style w:type="paragraph" w:styleId="Korrektur">
    <w:name w:val="Revision"/>
    <w:uiPriority w:val="99"/>
    <w:semiHidden/>
    <w:rsid w:val="00D41138"/>
    <w:pPr>
      <w:autoSpaceDN w:val="0"/>
    </w:pPr>
    <w:rPr>
      <w:sz w:val="24"/>
      <w:szCs w:val="24"/>
    </w:rPr>
  </w:style>
  <w:style w:type="paragraph" w:styleId="Citat">
    <w:name w:val="Quote"/>
    <w:basedOn w:val="Normal"/>
    <w:next w:val="Normal"/>
    <w:link w:val="CitatTegn"/>
    <w:uiPriority w:val="29"/>
    <w:qFormat/>
    <w:rsid w:val="00D41138"/>
    <w:pPr>
      <w:widowControl w:val="0"/>
      <w:autoSpaceDE w:val="0"/>
      <w:autoSpaceDN w:val="0"/>
      <w:adjustRightInd w:val="0"/>
    </w:pPr>
    <w:rPr>
      <w:i/>
      <w:iCs/>
      <w:color w:val="000000"/>
      <w:sz w:val="24"/>
      <w:szCs w:val="24"/>
      <w:lang w:eastAsia="da-DK"/>
    </w:rPr>
  </w:style>
  <w:style w:type="character" w:customStyle="1" w:styleId="CitatTegn">
    <w:name w:val="Citat Tegn"/>
    <w:basedOn w:val="Standardskrifttypeiafsnit"/>
    <w:link w:val="Citat"/>
    <w:uiPriority w:val="29"/>
    <w:rsid w:val="00D41138"/>
    <w:rPr>
      <w:i/>
      <w:iCs/>
      <w:color w:val="000000"/>
      <w:sz w:val="24"/>
      <w:szCs w:val="24"/>
    </w:rPr>
  </w:style>
  <w:style w:type="paragraph" w:styleId="Strktcitat">
    <w:name w:val="Intense Quote"/>
    <w:basedOn w:val="Normal"/>
    <w:next w:val="Normal"/>
    <w:link w:val="StrktcitatTegn"/>
    <w:uiPriority w:val="30"/>
    <w:qFormat/>
    <w:rsid w:val="00D41138"/>
    <w:pPr>
      <w:widowControl w:val="0"/>
      <w:pBdr>
        <w:bottom w:val="single" w:sz="4" w:space="4" w:color="4F81BD"/>
      </w:pBdr>
      <w:autoSpaceDE w:val="0"/>
      <w:autoSpaceDN w:val="0"/>
      <w:adjustRightInd w:val="0"/>
      <w:spacing w:before="200" w:after="280"/>
      <w:ind w:left="936" w:right="936"/>
    </w:pPr>
    <w:rPr>
      <w:b/>
      <w:bCs/>
      <w:i/>
      <w:iCs/>
      <w:color w:val="4F81BD"/>
      <w:sz w:val="24"/>
      <w:szCs w:val="24"/>
      <w:lang w:eastAsia="da-DK"/>
    </w:rPr>
  </w:style>
  <w:style w:type="character" w:customStyle="1" w:styleId="StrktcitatTegn">
    <w:name w:val="Stærkt citat Tegn"/>
    <w:basedOn w:val="Standardskrifttypeiafsnit"/>
    <w:link w:val="Strktcitat"/>
    <w:uiPriority w:val="30"/>
    <w:rsid w:val="00D41138"/>
    <w:rPr>
      <w:b/>
      <w:bCs/>
      <w:i/>
      <w:iCs/>
      <w:color w:val="4F81BD"/>
      <w:sz w:val="24"/>
      <w:szCs w:val="24"/>
    </w:rPr>
  </w:style>
  <w:style w:type="paragraph" w:styleId="Bibliografi">
    <w:name w:val="Bibliography"/>
    <w:basedOn w:val="Normal"/>
    <w:next w:val="Normal"/>
    <w:uiPriority w:val="37"/>
    <w:semiHidden/>
    <w:unhideWhenUsed/>
    <w:rsid w:val="00D41138"/>
    <w:pPr>
      <w:widowControl w:val="0"/>
      <w:autoSpaceDE w:val="0"/>
      <w:autoSpaceDN w:val="0"/>
      <w:adjustRightInd w:val="0"/>
    </w:pPr>
    <w:rPr>
      <w:sz w:val="24"/>
      <w:szCs w:val="24"/>
      <w:lang w:eastAsia="da-DK"/>
    </w:rPr>
  </w:style>
  <w:style w:type="paragraph" w:styleId="Overskrift">
    <w:name w:val="TOC Heading"/>
    <w:basedOn w:val="Overskrift1"/>
    <w:next w:val="Normal"/>
    <w:uiPriority w:val="39"/>
    <w:semiHidden/>
    <w:unhideWhenUsed/>
    <w:qFormat/>
    <w:rsid w:val="00D41138"/>
    <w:pPr>
      <w:widowControl w:val="0"/>
      <w:autoSpaceDE w:val="0"/>
      <w:autoSpaceDN w:val="0"/>
      <w:adjustRightInd w:val="0"/>
      <w:outlineLvl w:val="9"/>
    </w:pPr>
    <w:rPr>
      <w:rFonts w:ascii="Cambria" w:hAnsi="Cambria"/>
      <w:bCs/>
      <w:kern w:val="32"/>
      <w:sz w:val="32"/>
      <w:szCs w:val="32"/>
      <w:lang w:eastAsia="da-DK"/>
    </w:rPr>
  </w:style>
  <w:style w:type="paragraph" w:customStyle="1" w:styleId="TableParagraph">
    <w:name w:val="Table Paragraph"/>
    <w:basedOn w:val="Normal"/>
    <w:uiPriority w:val="1"/>
    <w:semiHidden/>
    <w:qFormat/>
    <w:rsid w:val="00D41138"/>
    <w:pPr>
      <w:widowControl w:val="0"/>
      <w:autoSpaceDE w:val="0"/>
      <w:autoSpaceDN w:val="0"/>
      <w:adjustRightInd w:val="0"/>
    </w:pPr>
    <w:rPr>
      <w:sz w:val="24"/>
      <w:szCs w:val="24"/>
      <w:lang w:eastAsia="da-DK"/>
    </w:rPr>
  </w:style>
  <w:style w:type="character" w:customStyle="1" w:styleId="NorLABChar">
    <w:name w:val="Nor LAB Char"/>
    <w:link w:val="NorLAB"/>
    <w:uiPriority w:val="5"/>
    <w:semiHidden/>
    <w:locked/>
    <w:rsid w:val="00D41138"/>
    <w:rPr>
      <w:b/>
      <w:caps/>
      <w:noProof/>
      <w:sz w:val="24"/>
      <w:lang w:val="fr-FR" w:eastAsia="fr-FR"/>
    </w:rPr>
  </w:style>
  <w:style w:type="paragraph" w:customStyle="1" w:styleId="NorLAB">
    <w:name w:val="Nor LAB"/>
    <w:basedOn w:val="Normal"/>
    <w:link w:val="NorLABChar"/>
    <w:uiPriority w:val="5"/>
    <w:semiHidden/>
    <w:qFormat/>
    <w:rsid w:val="00D41138"/>
    <w:pPr>
      <w:pBdr>
        <w:top w:val="single" w:sz="4" w:space="1" w:color="auto"/>
        <w:left w:val="single" w:sz="4" w:space="4" w:color="auto"/>
        <w:bottom w:val="single" w:sz="4" w:space="1" w:color="auto"/>
        <w:right w:val="single" w:sz="4" w:space="4" w:color="auto"/>
      </w:pBdr>
      <w:autoSpaceDN w:val="0"/>
      <w:jc w:val="both"/>
    </w:pPr>
    <w:rPr>
      <w:b/>
      <w:caps/>
      <w:noProof/>
      <w:sz w:val="24"/>
      <w:lang w:val="fr-FR" w:eastAsia="fr-FR"/>
    </w:rPr>
  </w:style>
  <w:style w:type="character" w:customStyle="1" w:styleId="SubheadingsSmPCChar">
    <w:name w:val="Subheadings SmPC Char"/>
    <w:link w:val="SubheadingsSmPC"/>
    <w:semiHidden/>
    <w:locked/>
    <w:rsid w:val="00D41138"/>
    <w:rPr>
      <w:rFonts w:eastAsia="MS Mincho"/>
      <w:b/>
      <w:sz w:val="24"/>
      <w:szCs w:val="24"/>
      <w:lang w:val="en-GB" w:eastAsia="de-DE"/>
    </w:rPr>
  </w:style>
  <w:style w:type="paragraph" w:customStyle="1" w:styleId="SubheadingsSmPC">
    <w:name w:val="Subheadings SmPC"/>
    <w:basedOn w:val="Normal"/>
    <w:link w:val="SubheadingsSmPCChar"/>
    <w:semiHidden/>
    <w:qFormat/>
    <w:rsid w:val="00D41138"/>
    <w:pPr>
      <w:keepNext/>
      <w:widowControl w:val="0"/>
      <w:autoSpaceDN w:val="0"/>
      <w:ind w:left="567" w:hanging="567"/>
    </w:pPr>
    <w:rPr>
      <w:rFonts w:eastAsia="MS Mincho"/>
      <w:b/>
      <w:sz w:val="24"/>
      <w:szCs w:val="24"/>
      <w:lang w:val="en-GB" w:eastAsia="de-DE"/>
    </w:rPr>
  </w:style>
  <w:style w:type="paragraph" w:customStyle="1" w:styleId="TabletextrowsAgency">
    <w:name w:val="Table text rows (Agency)"/>
    <w:basedOn w:val="Normal"/>
    <w:uiPriority w:val="99"/>
    <w:semiHidden/>
    <w:rsid w:val="00D41138"/>
    <w:pPr>
      <w:autoSpaceDN w:val="0"/>
      <w:spacing w:line="280" w:lineRule="exact"/>
    </w:pPr>
    <w:rPr>
      <w:rFonts w:ascii="Verdana" w:hAnsi="Verdana"/>
      <w:sz w:val="18"/>
      <w:lang w:val="fr-LU" w:eastAsia="fr-LU"/>
    </w:rPr>
  </w:style>
  <w:style w:type="paragraph" w:customStyle="1" w:styleId="Default">
    <w:name w:val="Default"/>
    <w:uiPriority w:val="99"/>
    <w:semiHidden/>
    <w:rsid w:val="00D41138"/>
    <w:pPr>
      <w:autoSpaceDE w:val="0"/>
      <w:autoSpaceDN w:val="0"/>
      <w:adjustRightInd w:val="0"/>
    </w:pPr>
    <w:rPr>
      <w:color w:val="000000"/>
      <w:sz w:val="24"/>
      <w:szCs w:val="24"/>
    </w:rPr>
  </w:style>
  <w:style w:type="paragraph" w:customStyle="1" w:styleId="Text1">
    <w:name w:val="Text 1"/>
    <w:basedOn w:val="Normal"/>
    <w:uiPriority w:val="99"/>
    <w:semiHidden/>
    <w:rsid w:val="00D41138"/>
    <w:pPr>
      <w:autoSpaceDE w:val="0"/>
      <w:autoSpaceDN w:val="0"/>
      <w:spacing w:after="240"/>
    </w:pPr>
    <w:rPr>
      <w:sz w:val="20"/>
      <w:szCs w:val="24"/>
      <w:lang w:val="en-US" w:eastAsia="de-DE"/>
    </w:rPr>
  </w:style>
  <w:style w:type="paragraph" w:customStyle="1" w:styleId="ZentivaTitlecap">
    <w:name w:val="Zentiva Title cap"/>
    <w:basedOn w:val="Overskrift1"/>
    <w:autoRedefine/>
    <w:uiPriority w:val="99"/>
    <w:semiHidden/>
    <w:qFormat/>
    <w:rsid w:val="00D41138"/>
    <w:pPr>
      <w:keepLines/>
      <w:suppressAutoHyphens/>
      <w:autoSpaceDN w:val="0"/>
      <w:spacing w:before="0" w:after="0"/>
      <w:ind w:hanging="10"/>
      <w:jc w:val="center"/>
    </w:pPr>
    <w:rPr>
      <w:rFonts w:ascii="Times New Roman" w:hAnsi="Times New Roman"/>
      <w:color w:val="000000"/>
      <w:kern w:val="0"/>
      <w:sz w:val="22"/>
      <w:szCs w:val="22"/>
      <w:lang w:val="fr-FR" w:eastAsia="en-GB"/>
    </w:rPr>
  </w:style>
  <w:style w:type="paragraph" w:customStyle="1" w:styleId="Zentiva1-1">
    <w:name w:val="Zentiva1-1"/>
    <w:basedOn w:val="Overskrift2"/>
    <w:autoRedefine/>
    <w:uiPriority w:val="99"/>
    <w:semiHidden/>
    <w:rsid w:val="00D41138"/>
    <w:pPr>
      <w:keepNext w:val="0"/>
      <w:widowControl/>
      <w:tabs>
        <w:tab w:val="center" w:pos="0"/>
      </w:tabs>
      <w:suppressAutoHyphens/>
      <w:autoSpaceDE/>
      <w:adjustRightInd/>
      <w:spacing w:before="0" w:after="0"/>
      <w:ind w:left="567" w:hanging="567"/>
    </w:pPr>
    <w:rPr>
      <w:rFonts w:ascii="Times New Roman" w:hAnsi="Times New Roman"/>
      <w:bCs w:val="0"/>
      <w:i w:val="0"/>
      <w:iCs w:val="0"/>
      <w:color w:val="000000"/>
      <w:sz w:val="22"/>
      <w:szCs w:val="22"/>
      <w:u w:color="000000"/>
      <w:lang w:eastAsia="en-GB"/>
    </w:rPr>
  </w:style>
  <w:style w:type="paragraph" w:customStyle="1" w:styleId="Zentiva1-11">
    <w:name w:val="Zentiva1-1.1"/>
    <w:basedOn w:val="Overskrift3"/>
    <w:autoRedefine/>
    <w:uiPriority w:val="99"/>
    <w:semiHidden/>
    <w:qFormat/>
    <w:rsid w:val="00D41138"/>
    <w:pPr>
      <w:keepLines/>
      <w:tabs>
        <w:tab w:val="center" w:pos="0"/>
      </w:tabs>
      <w:autoSpaceDN w:val="0"/>
      <w:spacing w:before="0" w:after="0"/>
      <w:ind w:right="-2"/>
    </w:pPr>
    <w:rPr>
      <w:rFonts w:ascii="Times New Roman" w:hAnsi="Times New Roman"/>
      <w:b/>
      <w:color w:val="000000"/>
      <w:sz w:val="22"/>
      <w:szCs w:val="22"/>
      <w:lang w:val="sv-SE" w:eastAsia="en-GB"/>
    </w:rPr>
  </w:style>
  <w:style w:type="paragraph" w:customStyle="1" w:styleId="ZentivaTitlesub-II">
    <w:name w:val="Zentiva Title sub-II"/>
    <w:basedOn w:val="Overskrift2"/>
    <w:autoRedefine/>
    <w:uiPriority w:val="99"/>
    <w:semiHidden/>
    <w:qFormat/>
    <w:rsid w:val="00D41138"/>
    <w:pPr>
      <w:keepNext w:val="0"/>
      <w:widowControl/>
      <w:suppressAutoHyphens/>
      <w:autoSpaceDE/>
      <w:adjustRightInd/>
      <w:spacing w:before="0" w:after="0"/>
      <w:ind w:left="567" w:hanging="567"/>
    </w:pPr>
    <w:rPr>
      <w:rFonts w:ascii="Times New Roman" w:hAnsi="Times New Roman"/>
      <w:bCs w:val="0"/>
      <w:i w:val="0"/>
      <w:iCs w:val="0"/>
      <w:sz w:val="22"/>
      <w:szCs w:val="22"/>
      <w:u w:color="000000"/>
      <w:lang w:val="sv-SE" w:eastAsia="en-GB"/>
    </w:rPr>
  </w:style>
  <w:style w:type="paragraph" w:customStyle="1" w:styleId="ZentivaTitlesub-cap">
    <w:name w:val="Zentiva Title sub-cap"/>
    <w:basedOn w:val="Overskrift2"/>
    <w:autoRedefine/>
    <w:uiPriority w:val="99"/>
    <w:semiHidden/>
    <w:qFormat/>
    <w:rsid w:val="00D41138"/>
    <w:pPr>
      <w:keepLines/>
      <w:widowControl/>
      <w:suppressAutoHyphens/>
      <w:autoSpaceDE/>
      <w:adjustRightInd/>
      <w:spacing w:before="0" w:after="0"/>
      <w:ind w:hanging="10"/>
      <w:jc w:val="center"/>
    </w:pPr>
    <w:rPr>
      <w:rFonts w:ascii="Times New Roman" w:hAnsi="Times New Roman"/>
      <w:bCs w:val="0"/>
      <w:i w:val="0"/>
      <w:iCs w:val="0"/>
      <w:color w:val="FF0000"/>
      <w:sz w:val="22"/>
      <w:szCs w:val="22"/>
      <w:u w:color="000000"/>
      <w:lang w:val="sv-SE" w:eastAsia="en-GB"/>
    </w:rPr>
  </w:style>
  <w:style w:type="paragraph" w:customStyle="1" w:styleId="ZentivaB-sub">
    <w:name w:val="ZentivaB-sub"/>
    <w:basedOn w:val="Overskrift3"/>
    <w:autoRedefine/>
    <w:uiPriority w:val="99"/>
    <w:semiHidden/>
    <w:qFormat/>
    <w:rsid w:val="00D41138"/>
    <w:pPr>
      <w:keepNext w:val="0"/>
      <w:suppressAutoHyphens/>
      <w:autoSpaceDN w:val="0"/>
      <w:spacing w:before="0" w:after="0"/>
      <w:ind w:right="12"/>
      <w:jc w:val="center"/>
    </w:pPr>
    <w:rPr>
      <w:rFonts w:ascii="Times New Roman" w:hAnsi="Times New Roman"/>
      <w:b/>
      <w:color w:val="000000"/>
      <w:sz w:val="22"/>
      <w:szCs w:val="22"/>
      <w:lang w:val="sv-SE" w:eastAsia="en-GB"/>
    </w:rPr>
  </w:style>
  <w:style w:type="paragraph" w:customStyle="1" w:styleId="Zentiva2-1">
    <w:name w:val="Zentiva2-1"/>
    <w:basedOn w:val="Overskrift4"/>
    <w:autoRedefine/>
    <w:uiPriority w:val="99"/>
    <w:semiHidden/>
    <w:qFormat/>
    <w:rsid w:val="00D41138"/>
    <w:pPr>
      <w:keepNext w:val="0"/>
      <w:widowControl/>
      <w:suppressAutoHyphens/>
      <w:autoSpaceDE/>
      <w:adjustRightInd/>
      <w:spacing w:before="0" w:after="0"/>
      <w:ind w:left="567" w:hanging="567"/>
    </w:pPr>
    <w:rPr>
      <w:rFonts w:ascii="Times New Roman" w:hAnsi="Times New Roman"/>
      <w:iCs/>
      <w:sz w:val="22"/>
      <w:szCs w:val="22"/>
      <w:u w:color="000000"/>
      <w:lang w:val="sv-SE" w:eastAsia="en-GB"/>
    </w:rPr>
  </w:style>
  <w:style w:type="paragraph" w:customStyle="1" w:styleId="BodytextAgency">
    <w:name w:val="Body text (Agency)"/>
    <w:basedOn w:val="Normal"/>
    <w:uiPriority w:val="99"/>
    <w:semiHidden/>
    <w:qFormat/>
    <w:rsid w:val="00D41138"/>
    <w:pPr>
      <w:autoSpaceDN w:val="0"/>
      <w:spacing w:after="140" w:line="280" w:lineRule="atLeast"/>
    </w:pPr>
    <w:rPr>
      <w:rFonts w:ascii="Verdana" w:eastAsia="Verdana" w:hAnsi="Verdana"/>
      <w:sz w:val="18"/>
      <w:szCs w:val="18"/>
      <w:lang w:eastAsia="da-DK" w:bidi="da-DK"/>
    </w:rPr>
  </w:style>
  <w:style w:type="paragraph" w:customStyle="1" w:styleId="No-numheading3Agency">
    <w:name w:val="No-num heading 3 (Agency)"/>
    <w:uiPriority w:val="99"/>
    <w:semiHidden/>
    <w:rsid w:val="00D41138"/>
    <w:pPr>
      <w:keepNext/>
      <w:autoSpaceDN w:val="0"/>
      <w:snapToGrid w:val="0"/>
      <w:spacing w:before="280" w:after="220"/>
      <w:outlineLvl w:val="2"/>
    </w:pPr>
    <w:rPr>
      <w:rFonts w:ascii="Verdana" w:hAnsi="Verdana"/>
      <w:b/>
      <w:kern w:val="32"/>
      <w:sz w:val="22"/>
      <w:lang w:val="en-GB" w:eastAsia="fr-LU"/>
    </w:rPr>
  </w:style>
  <w:style w:type="character" w:customStyle="1" w:styleId="HeadingStrongChar">
    <w:name w:val="Heading Strong Char"/>
    <w:link w:val="HeadingStrong"/>
    <w:semiHidden/>
    <w:locked/>
    <w:rsid w:val="00D41138"/>
    <w:rPr>
      <w:rFonts w:eastAsia="SimSun"/>
      <w:b/>
      <w:bCs/>
      <w:sz w:val="22"/>
      <w:szCs w:val="22"/>
    </w:rPr>
  </w:style>
  <w:style w:type="paragraph" w:customStyle="1" w:styleId="HeadingStrong">
    <w:name w:val="Heading Strong"/>
    <w:basedOn w:val="Normal"/>
    <w:next w:val="Normal"/>
    <w:link w:val="HeadingStrongChar"/>
    <w:semiHidden/>
    <w:qFormat/>
    <w:rsid w:val="00D41138"/>
    <w:pPr>
      <w:keepNext/>
      <w:keepLines/>
      <w:suppressAutoHyphens/>
      <w:autoSpaceDN w:val="0"/>
    </w:pPr>
    <w:rPr>
      <w:rFonts w:eastAsia="SimSun"/>
      <w:b/>
      <w:bCs/>
      <w:sz w:val="22"/>
      <w:szCs w:val="22"/>
      <w:lang w:eastAsia="da-DK"/>
    </w:rPr>
  </w:style>
  <w:style w:type="paragraph" w:customStyle="1" w:styleId="EMEAEnBodyText">
    <w:name w:val="EMEA En Body Text"/>
    <w:basedOn w:val="Normal"/>
    <w:uiPriority w:val="99"/>
    <w:semiHidden/>
    <w:rsid w:val="00D41138"/>
    <w:pPr>
      <w:autoSpaceDN w:val="0"/>
      <w:spacing w:before="120" w:after="120"/>
      <w:jc w:val="both"/>
    </w:pPr>
    <w:rPr>
      <w:sz w:val="22"/>
      <w:lang w:val="en-US"/>
    </w:rPr>
  </w:style>
  <w:style w:type="character" w:customStyle="1" w:styleId="tlid-translation">
    <w:name w:val="tlid-translation"/>
    <w:basedOn w:val="Standardskrifttypeiafsnit"/>
    <w:rsid w:val="00D41138"/>
  </w:style>
  <w:style w:type="table" w:styleId="Tabel-Gitter">
    <w:name w:val="Table Grid"/>
    <w:basedOn w:val="Tabel-Normal"/>
    <w:uiPriority w:val="39"/>
    <w:rsid w:val="00D41138"/>
    <w:rPr>
      <w:rFonts w:ascii="Calibri" w:hAnsi="Calibri"/>
      <w:lang w:val="ru-RU"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956465">
      <w:bodyDiv w:val="1"/>
      <w:marLeft w:val="0"/>
      <w:marRight w:val="0"/>
      <w:marTop w:val="0"/>
      <w:marBottom w:val="0"/>
      <w:divBdr>
        <w:top w:val="none" w:sz="0" w:space="0" w:color="auto"/>
        <w:left w:val="none" w:sz="0" w:space="0" w:color="auto"/>
        <w:bottom w:val="none" w:sz="0" w:space="0" w:color="auto"/>
        <w:right w:val="none" w:sz="0" w:space="0" w:color="auto"/>
      </w:divBdr>
    </w:div>
    <w:div w:id="166411739">
      <w:bodyDiv w:val="1"/>
      <w:marLeft w:val="0"/>
      <w:marRight w:val="0"/>
      <w:marTop w:val="0"/>
      <w:marBottom w:val="0"/>
      <w:divBdr>
        <w:top w:val="none" w:sz="0" w:space="0" w:color="auto"/>
        <w:left w:val="none" w:sz="0" w:space="0" w:color="auto"/>
        <w:bottom w:val="none" w:sz="0" w:space="0" w:color="auto"/>
        <w:right w:val="none" w:sz="0" w:space="0" w:color="auto"/>
      </w:divBdr>
    </w:div>
    <w:div w:id="201792908">
      <w:bodyDiv w:val="1"/>
      <w:marLeft w:val="0"/>
      <w:marRight w:val="0"/>
      <w:marTop w:val="0"/>
      <w:marBottom w:val="0"/>
      <w:divBdr>
        <w:top w:val="none" w:sz="0" w:space="0" w:color="auto"/>
        <w:left w:val="none" w:sz="0" w:space="0" w:color="auto"/>
        <w:bottom w:val="none" w:sz="0" w:space="0" w:color="auto"/>
        <w:right w:val="none" w:sz="0" w:space="0" w:color="auto"/>
      </w:divBdr>
    </w:div>
    <w:div w:id="496961102">
      <w:bodyDiv w:val="1"/>
      <w:marLeft w:val="0"/>
      <w:marRight w:val="0"/>
      <w:marTop w:val="0"/>
      <w:marBottom w:val="0"/>
      <w:divBdr>
        <w:top w:val="none" w:sz="0" w:space="0" w:color="auto"/>
        <w:left w:val="none" w:sz="0" w:space="0" w:color="auto"/>
        <w:bottom w:val="none" w:sz="0" w:space="0" w:color="auto"/>
        <w:right w:val="none" w:sz="0" w:space="0" w:color="auto"/>
      </w:divBdr>
    </w:div>
    <w:div w:id="524563449">
      <w:bodyDiv w:val="1"/>
      <w:marLeft w:val="0"/>
      <w:marRight w:val="0"/>
      <w:marTop w:val="0"/>
      <w:marBottom w:val="0"/>
      <w:divBdr>
        <w:top w:val="none" w:sz="0" w:space="0" w:color="auto"/>
        <w:left w:val="none" w:sz="0" w:space="0" w:color="auto"/>
        <w:bottom w:val="none" w:sz="0" w:space="0" w:color="auto"/>
        <w:right w:val="none" w:sz="0" w:space="0" w:color="auto"/>
      </w:divBdr>
    </w:div>
    <w:div w:id="542983767">
      <w:bodyDiv w:val="1"/>
      <w:marLeft w:val="0"/>
      <w:marRight w:val="0"/>
      <w:marTop w:val="0"/>
      <w:marBottom w:val="0"/>
      <w:divBdr>
        <w:top w:val="none" w:sz="0" w:space="0" w:color="auto"/>
        <w:left w:val="none" w:sz="0" w:space="0" w:color="auto"/>
        <w:bottom w:val="none" w:sz="0" w:space="0" w:color="auto"/>
        <w:right w:val="none" w:sz="0" w:space="0" w:color="auto"/>
      </w:divBdr>
    </w:div>
    <w:div w:id="556093133">
      <w:bodyDiv w:val="1"/>
      <w:marLeft w:val="0"/>
      <w:marRight w:val="0"/>
      <w:marTop w:val="0"/>
      <w:marBottom w:val="0"/>
      <w:divBdr>
        <w:top w:val="none" w:sz="0" w:space="0" w:color="auto"/>
        <w:left w:val="none" w:sz="0" w:space="0" w:color="auto"/>
        <w:bottom w:val="none" w:sz="0" w:space="0" w:color="auto"/>
        <w:right w:val="none" w:sz="0" w:space="0" w:color="auto"/>
      </w:divBdr>
    </w:div>
    <w:div w:id="562831598">
      <w:bodyDiv w:val="1"/>
      <w:marLeft w:val="0"/>
      <w:marRight w:val="0"/>
      <w:marTop w:val="0"/>
      <w:marBottom w:val="0"/>
      <w:divBdr>
        <w:top w:val="none" w:sz="0" w:space="0" w:color="auto"/>
        <w:left w:val="none" w:sz="0" w:space="0" w:color="auto"/>
        <w:bottom w:val="none" w:sz="0" w:space="0" w:color="auto"/>
        <w:right w:val="none" w:sz="0" w:space="0" w:color="auto"/>
      </w:divBdr>
    </w:div>
    <w:div w:id="626201056">
      <w:bodyDiv w:val="1"/>
      <w:marLeft w:val="0"/>
      <w:marRight w:val="0"/>
      <w:marTop w:val="0"/>
      <w:marBottom w:val="0"/>
      <w:divBdr>
        <w:top w:val="none" w:sz="0" w:space="0" w:color="auto"/>
        <w:left w:val="none" w:sz="0" w:space="0" w:color="auto"/>
        <w:bottom w:val="none" w:sz="0" w:space="0" w:color="auto"/>
        <w:right w:val="none" w:sz="0" w:space="0" w:color="auto"/>
      </w:divBdr>
    </w:div>
    <w:div w:id="1065645762">
      <w:bodyDiv w:val="1"/>
      <w:marLeft w:val="0"/>
      <w:marRight w:val="0"/>
      <w:marTop w:val="0"/>
      <w:marBottom w:val="0"/>
      <w:divBdr>
        <w:top w:val="none" w:sz="0" w:space="0" w:color="auto"/>
        <w:left w:val="none" w:sz="0" w:space="0" w:color="auto"/>
        <w:bottom w:val="none" w:sz="0" w:space="0" w:color="auto"/>
        <w:right w:val="none" w:sz="0" w:space="0" w:color="auto"/>
      </w:divBdr>
    </w:div>
    <w:div w:id="1279071765">
      <w:bodyDiv w:val="1"/>
      <w:marLeft w:val="0"/>
      <w:marRight w:val="0"/>
      <w:marTop w:val="0"/>
      <w:marBottom w:val="0"/>
      <w:divBdr>
        <w:top w:val="none" w:sz="0" w:space="0" w:color="auto"/>
        <w:left w:val="none" w:sz="0" w:space="0" w:color="auto"/>
        <w:bottom w:val="none" w:sz="0" w:space="0" w:color="auto"/>
        <w:right w:val="none" w:sz="0" w:space="0" w:color="auto"/>
      </w:divBdr>
    </w:div>
    <w:div w:id="1357122096">
      <w:bodyDiv w:val="1"/>
      <w:marLeft w:val="0"/>
      <w:marRight w:val="0"/>
      <w:marTop w:val="0"/>
      <w:marBottom w:val="0"/>
      <w:divBdr>
        <w:top w:val="none" w:sz="0" w:space="0" w:color="auto"/>
        <w:left w:val="none" w:sz="0" w:space="0" w:color="auto"/>
        <w:bottom w:val="none" w:sz="0" w:space="0" w:color="auto"/>
        <w:right w:val="none" w:sz="0" w:space="0" w:color="auto"/>
      </w:divBdr>
    </w:div>
    <w:div w:id="1411342776">
      <w:bodyDiv w:val="1"/>
      <w:marLeft w:val="0"/>
      <w:marRight w:val="0"/>
      <w:marTop w:val="0"/>
      <w:marBottom w:val="0"/>
      <w:divBdr>
        <w:top w:val="none" w:sz="0" w:space="0" w:color="auto"/>
        <w:left w:val="none" w:sz="0" w:space="0" w:color="auto"/>
        <w:bottom w:val="none" w:sz="0" w:space="0" w:color="auto"/>
        <w:right w:val="none" w:sz="0" w:space="0" w:color="auto"/>
      </w:divBdr>
    </w:div>
    <w:div w:id="1659575898">
      <w:bodyDiv w:val="1"/>
      <w:marLeft w:val="0"/>
      <w:marRight w:val="0"/>
      <w:marTop w:val="0"/>
      <w:marBottom w:val="0"/>
      <w:divBdr>
        <w:top w:val="none" w:sz="0" w:space="0" w:color="auto"/>
        <w:left w:val="none" w:sz="0" w:space="0" w:color="auto"/>
        <w:bottom w:val="none" w:sz="0" w:space="0" w:color="auto"/>
        <w:right w:val="none" w:sz="0" w:space="0" w:color="auto"/>
      </w:divBdr>
    </w:div>
    <w:div w:id="1725061396">
      <w:bodyDiv w:val="1"/>
      <w:marLeft w:val="0"/>
      <w:marRight w:val="0"/>
      <w:marTop w:val="0"/>
      <w:marBottom w:val="0"/>
      <w:divBdr>
        <w:top w:val="none" w:sz="0" w:space="0" w:color="auto"/>
        <w:left w:val="none" w:sz="0" w:space="0" w:color="auto"/>
        <w:bottom w:val="none" w:sz="0" w:space="0" w:color="auto"/>
        <w:right w:val="none" w:sz="0" w:space="0" w:color="auto"/>
      </w:divBdr>
    </w:div>
    <w:div w:id="1739668851">
      <w:bodyDiv w:val="1"/>
      <w:marLeft w:val="0"/>
      <w:marRight w:val="0"/>
      <w:marTop w:val="0"/>
      <w:marBottom w:val="0"/>
      <w:divBdr>
        <w:top w:val="none" w:sz="0" w:space="0" w:color="auto"/>
        <w:left w:val="none" w:sz="0" w:space="0" w:color="auto"/>
        <w:bottom w:val="none" w:sz="0" w:space="0" w:color="auto"/>
        <w:right w:val="none" w:sz="0" w:space="0" w:color="auto"/>
      </w:divBdr>
    </w:div>
    <w:div w:id="1757092187">
      <w:bodyDiv w:val="1"/>
      <w:marLeft w:val="0"/>
      <w:marRight w:val="0"/>
      <w:marTop w:val="0"/>
      <w:marBottom w:val="0"/>
      <w:divBdr>
        <w:top w:val="none" w:sz="0" w:space="0" w:color="auto"/>
        <w:left w:val="none" w:sz="0" w:space="0" w:color="auto"/>
        <w:bottom w:val="none" w:sz="0" w:space="0" w:color="auto"/>
        <w:right w:val="none" w:sz="0" w:space="0" w:color="auto"/>
      </w:divBdr>
    </w:div>
    <w:div w:id="1762876515">
      <w:bodyDiv w:val="1"/>
      <w:marLeft w:val="0"/>
      <w:marRight w:val="0"/>
      <w:marTop w:val="0"/>
      <w:marBottom w:val="0"/>
      <w:divBdr>
        <w:top w:val="none" w:sz="0" w:space="0" w:color="auto"/>
        <w:left w:val="none" w:sz="0" w:space="0" w:color="auto"/>
        <w:bottom w:val="none" w:sz="0" w:space="0" w:color="auto"/>
        <w:right w:val="none" w:sz="0" w:space="0" w:color="auto"/>
      </w:divBdr>
    </w:div>
    <w:div w:id="1783185599">
      <w:bodyDiv w:val="1"/>
      <w:marLeft w:val="0"/>
      <w:marRight w:val="0"/>
      <w:marTop w:val="0"/>
      <w:marBottom w:val="0"/>
      <w:divBdr>
        <w:top w:val="none" w:sz="0" w:space="0" w:color="auto"/>
        <w:left w:val="none" w:sz="0" w:space="0" w:color="auto"/>
        <w:bottom w:val="none" w:sz="0" w:space="0" w:color="auto"/>
        <w:right w:val="none" w:sz="0" w:space="0" w:color="auto"/>
      </w:divBdr>
    </w:div>
    <w:div w:id="1830752103">
      <w:bodyDiv w:val="1"/>
      <w:marLeft w:val="0"/>
      <w:marRight w:val="0"/>
      <w:marTop w:val="0"/>
      <w:marBottom w:val="0"/>
      <w:divBdr>
        <w:top w:val="none" w:sz="0" w:space="0" w:color="auto"/>
        <w:left w:val="none" w:sz="0" w:space="0" w:color="auto"/>
        <w:bottom w:val="none" w:sz="0" w:space="0" w:color="auto"/>
        <w:right w:val="none" w:sz="0" w:space="0" w:color="auto"/>
      </w:divBdr>
    </w:div>
    <w:div w:id="2022391458">
      <w:bodyDiv w:val="1"/>
      <w:marLeft w:val="0"/>
      <w:marRight w:val="0"/>
      <w:marTop w:val="0"/>
      <w:marBottom w:val="0"/>
      <w:divBdr>
        <w:top w:val="none" w:sz="0" w:space="0" w:color="auto"/>
        <w:left w:val="none" w:sz="0" w:space="0" w:color="auto"/>
        <w:bottom w:val="none" w:sz="0" w:space="0" w:color="auto"/>
        <w:right w:val="none" w:sz="0" w:space="0" w:color="auto"/>
      </w:divBdr>
    </w:div>
    <w:div w:id="2059470840">
      <w:bodyDiv w:val="1"/>
      <w:marLeft w:val="0"/>
      <w:marRight w:val="0"/>
      <w:marTop w:val="0"/>
      <w:marBottom w:val="0"/>
      <w:divBdr>
        <w:top w:val="none" w:sz="0" w:space="0" w:color="auto"/>
        <w:left w:val="none" w:sz="0" w:space="0" w:color="auto"/>
        <w:bottom w:val="none" w:sz="0" w:space="0" w:color="auto"/>
        <w:right w:val="none" w:sz="0" w:space="0" w:color="auto"/>
      </w:divBdr>
    </w:div>
    <w:div w:id="2111930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aegemiddelstyrelsen.dk/da/bivirkninger/bivirkninger-ved-medicin/meld-en-bivirkning/"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QW_Docs\GOD\docs\National\LGO-RKE-REG%20008-01-SKB%20SPC%20Hum%20skabelon.dotx" TargetMode="Externa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LGO-RKE-REG 008-01-SKB SPC Hum skabelon.dotx</Template>
  <TotalTime>77</TotalTime>
  <Pages>33</Pages>
  <Words>12222</Words>
  <Characters>74450</Characters>
  <Application>Microsoft Office Word</Application>
  <DocSecurity>0</DocSecurity>
  <Lines>620</Lines>
  <Paragraphs>172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86500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Gitte Jørgensen</dc:creator>
  <cp:keywords/>
  <dc:description>2024100016, MT</dc:description>
  <cp:lastModifiedBy>Gitte Jørgensen</cp:lastModifiedBy>
  <cp:revision>16</cp:revision>
  <cp:lastPrinted>2012-08-22T08:53:00Z</cp:lastPrinted>
  <dcterms:created xsi:type="dcterms:W3CDTF">2026-02-12T11:21:00Z</dcterms:created>
  <dcterms:modified xsi:type="dcterms:W3CDTF">2026-03-03T07:55:00Z</dcterms:modified>
</cp:coreProperties>
</file>