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DB9B" w14:textId="3E37B29A"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98B58EE" wp14:editId="71DFA8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DED97D5" w14:textId="77777777" w:rsidR="009260DE" w:rsidRPr="00C84483" w:rsidRDefault="009260DE" w:rsidP="009260DE">
      <w:pPr>
        <w:pStyle w:val="Titel"/>
        <w:tabs>
          <w:tab w:val="right" w:pos="9356"/>
        </w:tabs>
        <w:jc w:val="left"/>
        <w:rPr>
          <w:b w:val="0"/>
          <w:szCs w:val="24"/>
          <w:lang w:eastAsia="en-US"/>
        </w:rPr>
      </w:pPr>
    </w:p>
    <w:p w14:paraId="7EE6AE00" w14:textId="13707FC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8700B">
        <w:rPr>
          <w:szCs w:val="24"/>
        </w:rPr>
        <w:t>21</w:t>
      </w:r>
      <w:r w:rsidR="00907900">
        <w:rPr>
          <w:szCs w:val="24"/>
        </w:rPr>
        <w:t xml:space="preserve">. </w:t>
      </w:r>
      <w:r w:rsidR="00B8700B">
        <w:rPr>
          <w:szCs w:val="24"/>
        </w:rPr>
        <w:t>marts</w:t>
      </w:r>
      <w:r w:rsidR="00A658E0">
        <w:rPr>
          <w:szCs w:val="24"/>
        </w:rPr>
        <w:t xml:space="preserve"> 201</w:t>
      </w:r>
      <w:r w:rsidR="00B8700B">
        <w:rPr>
          <w:szCs w:val="24"/>
        </w:rPr>
        <w:t>9</w:t>
      </w:r>
    </w:p>
    <w:p w14:paraId="2195CCE0" w14:textId="77777777" w:rsidR="009260DE" w:rsidRPr="00C84483" w:rsidRDefault="009260DE" w:rsidP="009260DE">
      <w:pPr>
        <w:pStyle w:val="Titel"/>
        <w:jc w:val="left"/>
        <w:rPr>
          <w:b w:val="0"/>
          <w:szCs w:val="24"/>
        </w:rPr>
      </w:pPr>
    </w:p>
    <w:p w14:paraId="0AE181D3" w14:textId="77777777" w:rsidR="009260DE" w:rsidRPr="00C84483" w:rsidRDefault="009260DE" w:rsidP="009260DE">
      <w:pPr>
        <w:pStyle w:val="Titel"/>
        <w:jc w:val="left"/>
        <w:rPr>
          <w:b w:val="0"/>
          <w:szCs w:val="24"/>
        </w:rPr>
      </w:pPr>
    </w:p>
    <w:p w14:paraId="083E23F8" w14:textId="77777777" w:rsidR="009260DE" w:rsidRPr="00C84483" w:rsidRDefault="009260DE" w:rsidP="009260DE">
      <w:pPr>
        <w:jc w:val="center"/>
        <w:rPr>
          <w:b/>
          <w:sz w:val="24"/>
          <w:szCs w:val="24"/>
        </w:rPr>
      </w:pPr>
      <w:r w:rsidRPr="00C84483">
        <w:rPr>
          <w:b/>
          <w:sz w:val="24"/>
          <w:szCs w:val="24"/>
        </w:rPr>
        <w:t>PRODUKTRESUMÉ</w:t>
      </w:r>
    </w:p>
    <w:p w14:paraId="52F689EE" w14:textId="77777777" w:rsidR="009260DE" w:rsidRPr="00C84483" w:rsidRDefault="009260DE" w:rsidP="009260DE">
      <w:pPr>
        <w:jc w:val="center"/>
        <w:rPr>
          <w:b/>
          <w:sz w:val="24"/>
          <w:szCs w:val="24"/>
        </w:rPr>
      </w:pPr>
      <w:bookmarkStart w:id="0" w:name="_GoBack"/>
      <w:bookmarkEnd w:id="0"/>
    </w:p>
    <w:p w14:paraId="57164913" w14:textId="77777777" w:rsidR="009260DE" w:rsidRDefault="009260DE" w:rsidP="009260DE">
      <w:pPr>
        <w:jc w:val="center"/>
        <w:rPr>
          <w:b/>
          <w:sz w:val="24"/>
          <w:szCs w:val="24"/>
        </w:rPr>
      </w:pPr>
      <w:r w:rsidRPr="00C84483">
        <w:rPr>
          <w:b/>
          <w:sz w:val="24"/>
          <w:szCs w:val="24"/>
        </w:rPr>
        <w:t>for</w:t>
      </w:r>
    </w:p>
    <w:p w14:paraId="0CFE4109" w14:textId="77777777" w:rsidR="000B058C" w:rsidRPr="00C84483" w:rsidRDefault="000B058C" w:rsidP="009260DE">
      <w:pPr>
        <w:jc w:val="center"/>
        <w:rPr>
          <w:b/>
          <w:sz w:val="24"/>
          <w:szCs w:val="24"/>
        </w:rPr>
      </w:pPr>
    </w:p>
    <w:p w14:paraId="1111B5A9" w14:textId="6B5BA6CE" w:rsidR="009260DE" w:rsidRPr="00C84483" w:rsidRDefault="00907900" w:rsidP="009260DE">
      <w:pPr>
        <w:jc w:val="center"/>
        <w:rPr>
          <w:b/>
          <w:sz w:val="24"/>
          <w:szCs w:val="24"/>
        </w:rPr>
      </w:pPr>
      <w:proofErr w:type="spellStart"/>
      <w:r>
        <w:rPr>
          <w:b/>
          <w:sz w:val="24"/>
          <w:szCs w:val="24"/>
        </w:rPr>
        <w:t>Junyelt</w:t>
      </w:r>
      <w:proofErr w:type="spellEnd"/>
      <w:r>
        <w:rPr>
          <w:b/>
          <w:sz w:val="24"/>
          <w:szCs w:val="24"/>
        </w:rPr>
        <w:t>, koncentrat til infusionsvæske, opløsning</w:t>
      </w:r>
    </w:p>
    <w:p w14:paraId="6F72E17E" w14:textId="77777777" w:rsidR="009260DE" w:rsidRPr="00C84483" w:rsidRDefault="009260DE" w:rsidP="009260DE">
      <w:pPr>
        <w:jc w:val="both"/>
        <w:rPr>
          <w:sz w:val="24"/>
          <w:szCs w:val="24"/>
        </w:rPr>
      </w:pPr>
    </w:p>
    <w:p w14:paraId="25419B75" w14:textId="77777777" w:rsidR="009260DE" w:rsidRPr="00160FE2" w:rsidRDefault="009260DE" w:rsidP="00160FE2">
      <w:pPr>
        <w:ind w:left="851" w:hanging="851"/>
        <w:jc w:val="both"/>
        <w:rPr>
          <w:sz w:val="24"/>
          <w:szCs w:val="24"/>
        </w:rPr>
      </w:pPr>
    </w:p>
    <w:p w14:paraId="60F59492" w14:textId="77777777" w:rsidR="009260DE" w:rsidRPr="00160FE2" w:rsidRDefault="009260DE" w:rsidP="00160FE2">
      <w:pPr>
        <w:tabs>
          <w:tab w:val="left" w:pos="851"/>
        </w:tabs>
        <w:ind w:left="851" w:hanging="851"/>
        <w:rPr>
          <w:b/>
          <w:sz w:val="24"/>
          <w:szCs w:val="24"/>
        </w:rPr>
      </w:pPr>
      <w:r w:rsidRPr="00160FE2">
        <w:rPr>
          <w:b/>
          <w:sz w:val="24"/>
          <w:szCs w:val="24"/>
        </w:rPr>
        <w:t>0.</w:t>
      </w:r>
      <w:r w:rsidRPr="00160FE2">
        <w:rPr>
          <w:b/>
          <w:sz w:val="24"/>
          <w:szCs w:val="24"/>
        </w:rPr>
        <w:tab/>
        <w:t>D.SP.NR.</w:t>
      </w:r>
    </w:p>
    <w:p w14:paraId="4851804D" w14:textId="1188A06A" w:rsidR="009260DE" w:rsidRPr="00F5415A" w:rsidRDefault="00160FE2" w:rsidP="00160FE2">
      <w:pPr>
        <w:tabs>
          <w:tab w:val="left" w:pos="851"/>
        </w:tabs>
        <w:ind w:left="851" w:hanging="851"/>
        <w:rPr>
          <w:sz w:val="24"/>
          <w:szCs w:val="24"/>
          <w:u w:val="single"/>
        </w:rPr>
      </w:pPr>
      <w:r>
        <w:rPr>
          <w:sz w:val="24"/>
          <w:szCs w:val="24"/>
        </w:rPr>
        <w:tab/>
      </w:r>
      <w:r w:rsidR="00907900" w:rsidRPr="00160FE2">
        <w:rPr>
          <w:sz w:val="24"/>
          <w:szCs w:val="24"/>
        </w:rPr>
        <w:t>29963</w:t>
      </w:r>
    </w:p>
    <w:p w14:paraId="79B3ECF3" w14:textId="77777777" w:rsidR="009260DE" w:rsidRPr="00160FE2" w:rsidRDefault="009260DE" w:rsidP="00160FE2">
      <w:pPr>
        <w:tabs>
          <w:tab w:val="left" w:pos="851"/>
        </w:tabs>
        <w:ind w:left="851" w:hanging="851"/>
        <w:rPr>
          <w:sz w:val="24"/>
          <w:szCs w:val="24"/>
        </w:rPr>
      </w:pPr>
    </w:p>
    <w:p w14:paraId="06962476" w14:textId="77777777" w:rsidR="009260DE" w:rsidRPr="00160FE2" w:rsidRDefault="009260DE" w:rsidP="00160FE2">
      <w:pPr>
        <w:tabs>
          <w:tab w:val="left" w:pos="851"/>
        </w:tabs>
        <w:ind w:left="851" w:hanging="851"/>
        <w:rPr>
          <w:b/>
          <w:sz w:val="24"/>
          <w:szCs w:val="24"/>
        </w:rPr>
      </w:pPr>
      <w:r w:rsidRPr="00160FE2">
        <w:rPr>
          <w:b/>
          <w:sz w:val="24"/>
          <w:szCs w:val="24"/>
        </w:rPr>
        <w:t>1.</w:t>
      </w:r>
      <w:r w:rsidRPr="00160FE2">
        <w:rPr>
          <w:b/>
          <w:sz w:val="24"/>
          <w:szCs w:val="24"/>
        </w:rPr>
        <w:tab/>
        <w:t>LÆGEMIDLETS NAVN</w:t>
      </w:r>
    </w:p>
    <w:p w14:paraId="490171D9" w14:textId="417EBA2E" w:rsidR="009260DE" w:rsidRPr="00160FE2" w:rsidRDefault="00160FE2" w:rsidP="00160FE2">
      <w:pPr>
        <w:tabs>
          <w:tab w:val="left" w:pos="851"/>
        </w:tabs>
        <w:ind w:left="851" w:hanging="851"/>
        <w:rPr>
          <w:sz w:val="24"/>
          <w:szCs w:val="24"/>
        </w:rPr>
      </w:pPr>
      <w:r>
        <w:rPr>
          <w:sz w:val="24"/>
          <w:szCs w:val="24"/>
        </w:rPr>
        <w:tab/>
      </w:r>
      <w:proofErr w:type="spellStart"/>
      <w:r w:rsidR="00907900" w:rsidRPr="00160FE2">
        <w:rPr>
          <w:sz w:val="24"/>
          <w:szCs w:val="24"/>
        </w:rPr>
        <w:t>Junyelt</w:t>
      </w:r>
      <w:proofErr w:type="spellEnd"/>
    </w:p>
    <w:p w14:paraId="57796766" w14:textId="77777777" w:rsidR="009260DE" w:rsidRPr="00160FE2" w:rsidRDefault="009260DE" w:rsidP="00160FE2">
      <w:pPr>
        <w:tabs>
          <w:tab w:val="left" w:pos="851"/>
        </w:tabs>
        <w:ind w:left="851" w:hanging="851"/>
        <w:rPr>
          <w:sz w:val="24"/>
          <w:szCs w:val="24"/>
        </w:rPr>
      </w:pPr>
    </w:p>
    <w:p w14:paraId="67809E87" w14:textId="77777777" w:rsidR="009260DE" w:rsidRPr="00160FE2" w:rsidRDefault="009260DE" w:rsidP="00160FE2">
      <w:pPr>
        <w:tabs>
          <w:tab w:val="left" w:pos="851"/>
        </w:tabs>
        <w:ind w:left="851" w:hanging="851"/>
        <w:rPr>
          <w:b/>
          <w:sz w:val="24"/>
          <w:szCs w:val="24"/>
        </w:rPr>
      </w:pPr>
      <w:r w:rsidRPr="00160FE2">
        <w:rPr>
          <w:b/>
          <w:sz w:val="24"/>
          <w:szCs w:val="24"/>
        </w:rPr>
        <w:t>2.</w:t>
      </w:r>
      <w:r w:rsidRPr="00160FE2">
        <w:rPr>
          <w:b/>
          <w:sz w:val="24"/>
          <w:szCs w:val="24"/>
        </w:rPr>
        <w:tab/>
        <w:t>KVALITATIV OG KVANTITATIV SAMMENSÆTNING</w:t>
      </w:r>
    </w:p>
    <w:p w14:paraId="26B8A84B" w14:textId="0531E257" w:rsidR="00FA7273" w:rsidRPr="00160FE2" w:rsidRDefault="00FA7273" w:rsidP="00160FE2">
      <w:pPr>
        <w:autoSpaceDE w:val="0"/>
        <w:autoSpaceDN w:val="0"/>
        <w:adjustRightInd w:val="0"/>
        <w:ind w:left="851"/>
        <w:jc w:val="both"/>
        <w:rPr>
          <w:sz w:val="24"/>
          <w:szCs w:val="24"/>
        </w:rPr>
      </w:pPr>
      <w:r w:rsidRPr="00160FE2">
        <w:rPr>
          <w:sz w:val="24"/>
          <w:szCs w:val="24"/>
          <w:bdr w:val="none" w:sz="0" w:space="0" w:color="auto" w:frame="1"/>
        </w:rPr>
        <w:t xml:space="preserve">Sammensætning af </w:t>
      </w:r>
      <w:proofErr w:type="spellStart"/>
      <w:r w:rsidRPr="00160FE2">
        <w:rPr>
          <w:sz w:val="24"/>
          <w:szCs w:val="24"/>
          <w:bdr w:val="none" w:sz="0" w:space="0" w:color="auto" w:frame="1"/>
        </w:rPr>
        <w:t>Junyelt</w:t>
      </w:r>
      <w:proofErr w:type="spellEnd"/>
      <w:r w:rsidR="001E5A37">
        <w:rPr>
          <w:sz w:val="24"/>
          <w:szCs w:val="24"/>
          <w:bdr w:val="none" w:sz="0" w:space="0" w:color="auto" w:frame="1"/>
        </w:rPr>
        <w:t xml:space="preserve"> </w:t>
      </w:r>
      <w:r w:rsidRPr="00160FE2">
        <w:rPr>
          <w:sz w:val="24"/>
          <w:szCs w:val="24"/>
          <w:bdr w:val="none" w:sz="0" w:space="0" w:color="auto" w:frame="1"/>
        </w:rPr>
        <w:t xml:space="preserve">udtrykt i mængden af salte per ampul (10 ml) og per ml. </w:t>
      </w:r>
    </w:p>
    <w:p w14:paraId="16DCFC15" w14:textId="77777777" w:rsidR="00FA7273" w:rsidRPr="00160FE2" w:rsidRDefault="00FA7273" w:rsidP="00160FE2">
      <w:pPr>
        <w:autoSpaceDE w:val="0"/>
        <w:autoSpaceDN w:val="0"/>
        <w:adjustRightInd w:val="0"/>
        <w:ind w:left="851" w:hanging="851"/>
        <w:jc w:val="both"/>
        <w:rPr>
          <w:sz w:val="24"/>
          <w:szCs w:val="24"/>
          <w:highlight w:val="yellow"/>
        </w:rPr>
      </w:pPr>
    </w:p>
    <w:tbl>
      <w:tblPr>
        <w:tblW w:w="4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526"/>
        <w:gridCol w:w="2738"/>
      </w:tblGrid>
      <w:tr w:rsidR="00FA7273" w:rsidRPr="00160FE2" w14:paraId="152A2F6F" w14:textId="77777777" w:rsidTr="00EB0164">
        <w:trPr>
          <w:jc w:val="center"/>
        </w:trPr>
        <w:tc>
          <w:tcPr>
            <w:tcW w:w="1682" w:type="pct"/>
            <w:tcBorders>
              <w:top w:val="nil"/>
              <w:left w:val="nil"/>
              <w:bottom w:val="single" w:sz="4" w:space="0" w:color="auto"/>
              <w:right w:val="single" w:sz="4" w:space="0" w:color="auto"/>
            </w:tcBorders>
            <w:shd w:val="clear" w:color="auto" w:fill="FFFFFF"/>
            <w:vAlign w:val="center"/>
          </w:tcPr>
          <w:p w14:paraId="36BF8254" w14:textId="77777777" w:rsidR="00FA7273" w:rsidRPr="00160FE2" w:rsidRDefault="00FA7273" w:rsidP="00160FE2">
            <w:pPr>
              <w:ind w:left="851" w:hanging="851"/>
              <w:jc w:val="both"/>
              <w:rPr>
                <w:b/>
                <w:color w:val="000000"/>
                <w:sz w:val="24"/>
                <w:szCs w:val="24"/>
              </w:rPr>
            </w:pPr>
          </w:p>
        </w:tc>
        <w:tc>
          <w:tcPr>
            <w:tcW w:w="3318"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F79C0A" w14:textId="77777777" w:rsidR="00FA7273" w:rsidRPr="00160FE2" w:rsidRDefault="00FA7273" w:rsidP="00160FE2">
            <w:pPr>
              <w:ind w:left="851" w:hanging="851"/>
              <w:jc w:val="both"/>
              <w:rPr>
                <w:b/>
                <w:color w:val="000000"/>
                <w:sz w:val="24"/>
                <w:szCs w:val="24"/>
              </w:rPr>
            </w:pPr>
            <w:r w:rsidRPr="00160FE2">
              <w:rPr>
                <w:color w:val="000000"/>
                <w:sz w:val="24"/>
                <w:szCs w:val="24"/>
                <w:bdr w:val="none" w:sz="0" w:space="0" w:color="auto" w:frame="1"/>
              </w:rPr>
              <w:t>Teoretiske mængder af råmaterialer,</w:t>
            </w:r>
            <w:r w:rsidRPr="00160FE2">
              <w:rPr>
                <w:b/>
                <w:bCs/>
                <w:color w:val="000000"/>
                <w:sz w:val="24"/>
                <w:szCs w:val="24"/>
                <w:bdr w:val="none" w:sz="0" w:space="0" w:color="auto" w:frame="1"/>
              </w:rPr>
              <w:t xml:space="preserve"> vandfrit </w:t>
            </w:r>
          </w:p>
        </w:tc>
      </w:tr>
      <w:tr w:rsidR="00FA7273" w:rsidRPr="00160FE2" w14:paraId="2B077A77" w14:textId="77777777" w:rsidTr="00EB0164">
        <w:trPr>
          <w:jc w:val="center"/>
        </w:trPr>
        <w:tc>
          <w:tcPr>
            <w:tcW w:w="16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E6A7C49" w14:textId="77777777" w:rsidR="00FA7273" w:rsidRPr="00160FE2" w:rsidRDefault="00FA7273" w:rsidP="00160FE2">
            <w:pPr>
              <w:ind w:left="851" w:hanging="851"/>
              <w:jc w:val="both"/>
              <w:rPr>
                <w:b/>
                <w:color w:val="000000"/>
                <w:sz w:val="24"/>
                <w:szCs w:val="24"/>
                <w:highlight w:val="yellow"/>
                <w:lang w:val="en-GB"/>
              </w:rPr>
            </w:pPr>
            <w:proofErr w:type="spellStart"/>
            <w:r w:rsidRPr="00160FE2">
              <w:rPr>
                <w:b/>
                <w:bCs/>
                <w:color w:val="000000"/>
                <w:sz w:val="24"/>
                <w:szCs w:val="24"/>
                <w:bdr w:val="none" w:sz="0" w:space="0" w:color="auto" w:frame="1"/>
              </w:rPr>
              <w:t>Junyelt</w:t>
            </w:r>
            <w:proofErr w:type="spellEnd"/>
          </w:p>
        </w:tc>
        <w:tc>
          <w:tcPr>
            <w:tcW w:w="159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62EB086"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For 1 ampul</w:t>
            </w:r>
          </w:p>
          <w:p w14:paraId="6836BA67"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(µg/10 ml)</w:t>
            </w:r>
          </w:p>
        </w:tc>
        <w:tc>
          <w:tcPr>
            <w:tcW w:w="17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99E453"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For 1 ml</w:t>
            </w:r>
          </w:p>
          <w:p w14:paraId="28D91500"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(µg)</w:t>
            </w:r>
          </w:p>
        </w:tc>
      </w:tr>
      <w:tr w:rsidR="00FA7273" w:rsidRPr="00160FE2" w14:paraId="1117E462" w14:textId="77777777" w:rsidTr="00EB0164">
        <w:trPr>
          <w:jc w:val="center"/>
        </w:trPr>
        <w:tc>
          <w:tcPr>
            <w:tcW w:w="1682" w:type="pct"/>
            <w:tcBorders>
              <w:top w:val="single" w:sz="4" w:space="0" w:color="auto"/>
              <w:left w:val="single" w:sz="4" w:space="0" w:color="auto"/>
              <w:bottom w:val="single" w:sz="4" w:space="0" w:color="auto"/>
              <w:right w:val="single" w:sz="4" w:space="0" w:color="auto"/>
            </w:tcBorders>
            <w:shd w:val="clear" w:color="auto" w:fill="BFBFBF"/>
            <w:hideMark/>
          </w:tcPr>
          <w:p w14:paraId="58F1FC6C" w14:textId="77777777" w:rsidR="00FA7273" w:rsidRPr="00160FE2" w:rsidRDefault="00FA7273" w:rsidP="00160FE2">
            <w:pPr>
              <w:ind w:left="851" w:hanging="851"/>
              <w:jc w:val="both"/>
              <w:rPr>
                <w:color w:val="000000"/>
                <w:sz w:val="24"/>
                <w:szCs w:val="24"/>
              </w:rPr>
            </w:pPr>
            <w:proofErr w:type="spellStart"/>
            <w:r w:rsidRPr="00160FE2">
              <w:rPr>
                <w:color w:val="000000"/>
                <w:sz w:val="24"/>
                <w:szCs w:val="24"/>
                <w:bdr w:val="none" w:sz="0" w:space="0" w:color="auto" w:frame="1"/>
              </w:rPr>
              <w:t>Zinkgluconat</w:t>
            </w:r>
            <w:proofErr w:type="spellEnd"/>
          </w:p>
        </w:tc>
        <w:tc>
          <w:tcPr>
            <w:tcW w:w="1592" w:type="pct"/>
            <w:tcBorders>
              <w:top w:val="single" w:sz="4" w:space="0" w:color="auto"/>
              <w:left w:val="single" w:sz="4" w:space="0" w:color="auto"/>
              <w:bottom w:val="single" w:sz="4" w:space="0" w:color="auto"/>
              <w:right w:val="single" w:sz="4" w:space="0" w:color="auto"/>
            </w:tcBorders>
            <w:vAlign w:val="center"/>
            <w:hideMark/>
          </w:tcPr>
          <w:p w14:paraId="566DA93A"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6970</w:t>
            </w:r>
          </w:p>
        </w:tc>
        <w:tc>
          <w:tcPr>
            <w:tcW w:w="1726" w:type="pct"/>
            <w:tcBorders>
              <w:top w:val="single" w:sz="4" w:space="0" w:color="auto"/>
              <w:left w:val="single" w:sz="4" w:space="0" w:color="auto"/>
              <w:bottom w:val="single" w:sz="4" w:space="0" w:color="auto"/>
              <w:right w:val="single" w:sz="4" w:space="0" w:color="auto"/>
            </w:tcBorders>
            <w:vAlign w:val="center"/>
            <w:hideMark/>
          </w:tcPr>
          <w:p w14:paraId="480208C9"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697,0</w:t>
            </w:r>
          </w:p>
        </w:tc>
      </w:tr>
      <w:tr w:rsidR="00FA7273" w:rsidRPr="00160FE2" w14:paraId="1152F0A7" w14:textId="77777777" w:rsidTr="00EB0164">
        <w:trPr>
          <w:jc w:val="center"/>
        </w:trPr>
        <w:tc>
          <w:tcPr>
            <w:tcW w:w="1682" w:type="pct"/>
            <w:tcBorders>
              <w:top w:val="single" w:sz="4" w:space="0" w:color="auto"/>
              <w:left w:val="single" w:sz="4" w:space="0" w:color="auto"/>
              <w:bottom w:val="single" w:sz="4" w:space="0" w:color="auto"/>
              <w:right w:val="single" w:sz="4" w:space="0" w:color="auto"/>
            </w:tcBorders>
            <w:shd w:val="clear" w:color="auto" w:fill="BFBFBF"/>
            <w:hideMark/>
          </w:tcPr>
          <w:p w14:paraId="5CA14384" w14:textId="77777777" w:rsidR="00FA7273" w:rsidRPr="00160FE2" w:rsidRDefault="00FA7273" w:rsidP="00160FE2">
            <w:pPr>
              <w:ind w:left="851" w:hanging="851"/>
              <w:jc w:val="both"/>
              <w:rPr>
                <w:color w:val="000000"/>
                <w:sz w:val="24"/>
                <w:szCs w:val="24"/>
              </w:rPr>
            </w:pPr>
            <w:proofErr w:type="spellStart"/>
            <w:r w:rsidRPr="00160FE2">
              <w:rPr>
                <w:color w:val="000000"/>
                <w:sz w:val="24"/>
                <w:szCs w:val="24"/>
                <w:bdr w:val="none" w:sz="0" w:space="0" w:color="auto" w:frame="1"/>
              </w:rPr>
              <w:t>Kobbergluconat</w:t>
            </w:r>
            <w:proofErr w:type="spellEnd"/>
            <w:r w:rsidRPr="00160FE2">
              <w:rPr>
                <w:color w:val="000000"/>
                <w:sz w:val="24"/>
                <w:szCs w:val="24"/>
                <w:bdr w:val="none" w:sz="0" w:space="0" w:color="auto" w:frame="1"/>
              </w:rPr>
              <w:t xml:space="preserve"> </w:t>
            </w:r>
          </w:p>
        </w:tc>
        <w:tc>
          <w:tcPr>
            <w:tcW w:w="1592" w:type="pct"/>
            <w:tcBorders>
              <w:top w:val="single" w:sz="4" w:space="0" w:color="auto"/>
              <w:left w:val="single" w:sz="4" w:space="0" w:color="auto"/>
              <w:bottom w:val="single" w:sz="4" w:space="0" w:color="auto"/>
              <w:right w:val="single" w:sz="4" w:space="0" w:color="auto"/>
            </w:tcBorders>
            <w:vAlign w:val="center"/>
            <w:hideMark/>
          </w:tcPr>
          <w:p w14:paraId="31A7F678"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1428</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3A7396E"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142,8</w:t>
            </w:r>
          </w:p>
        </w:tc>
      </w:tr>
      <w:tr w:rsidR="00FA7273" w:rsidRPr="00160FE2" w14:paraId="1D52FF5C" w14:textId="77777777" w:rsidTr="00EB0164">
        <w:trPr>
          <w:jc w:val="center"/>
        </w:trPr>
        <w:tc>
          <w:tcPr>
            <w:tcW w:w="1682" w:type="pct"/>
            <w:tcBorders>
              <w:top w:val="single" w:sz="4" w:space="0" w:color="auto"/>
              <w:left w:val="single" w:sz="4" w:space="0" w:color="auto"/>
              <w:bottom w:val="single" w:sz="4" w:space="0" w:color="auto"/>
              <w:right w:val="single" w:sz="4" w:space="0" w:color="auto"/>
            </w:tcBorders>
            <w:shd w:val="clear" w:color="auto" w:fill="BFBFBF"/>
            <w:hideMark/>
          </w:tcPr>
          <w:p w14:paraId="35E6F948" w14:textId="77777777" w:rsidR="00FA7273" w:rsidRPr="00160FE2" w:rsidRDefault="00FA7273" w:rsidP="00160FE2">
            <w:pPr>
              <w:ind w:left="851" w:hanging="851"/>
              <w:jc w:val="both"/>
              <w:rPr>
                <w:color w:val="000000"/>
                <w:sz w:val="24"/>
                <w:szCs w:val="24"/>
              </w:rPr>
            </w:pPr>
            <w:proofErr w:type="spellStart"/>
            <w:r w:rsidRPr="00160FE2">
              <w:rPr>
                <w:color w:val="000000"/>
                <w:sz w:val="24"/>
                <w:szCs w:val="24"/>
                <w:bdr w:val="none" w:sz="0" w:space="0" w:color="auto" w:frame="1"/>
              </w:rPr>
              <w:t>Mangangluconat</w:t>
            </w:r>
            <w:proofErr w:type="spellEnd"/>
          </w:p>
        </w:tc>
        <w:tc>
          <w:tcPr>
            <w:tcW w:w="1592" w:type="pct"/>
            <w:tcBorders>
              <w:top w:val="single" w:sz="4" w:space="0" w:color="auto"/>
              <w:left w:val="single" w:sz="4" w:space="0" w:color="auto"/>
              <w:bottom w:val="single" w:sz="4" w:space="0" w:color="auto"/>
              <w:right w:val="single" w:sz="4" w:space="0" w:color="auto"/>
            </w:tcBorders>
            <w:vAlign w:val="center"/>
            <w:hideMark/>
          </w:tcPr>
          <w:p w14:paraId="78F604FC"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40,52</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12A42D7"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4,052</w:t>
            </w:r>
          </w:p>
        </w:tc>
      </w:tr>
      <w:tr w:rsidR="00FA7273" w:rsidRPr="00160FE2" w14:paraId="48A21747" w14:textId="77777777" w:rsidTr="00EB0164">
        <w:trPr>
          <w:jc w:val="center"/>
        </w:trPr>
        <w:tc>
          <w:tcPr>
            <w:tcW w:w="1682" w:type="pct"/>
            <w:tcBorders>
              <w:top w:val="single" w:sz="4" w:space="0" w:color="auto"/>
              <w:left w:val="single" w:sz="4" w:space="0" w:color="auto"/>
              <w:bottom w:val="single" w:sz="4" w:space="0" w:color="auto"/>
              <w:right w:val="single" w:sz="4" w:space="0" w:color="auto"/>
            </w:tcBorders>
            <w:shd w:val="clear" w:color="auto" w:fill="BFBFBF"/>
            <w:hideMark/>
          </w:tcPr>
          <w:p w14:paraId="141B2A51" w14:textId="77777777" w:rsidR="00FA7273" w:rsidRPr="00160FE2" w:rsidRDefault="00FA7273" w:rsidP="00160FE2">
            <w:pPr>
              <w:ind w:left="851" w:hanging="851"/>
              <w:jc w:val="both"/>
              <w:rPr>
                <w:color w:val="000000"/>
                <w:sz w:val="24"/>
                <w:szCs w:val="24"/>
              </w:rPr>
            </w:pPr>
            <w:proofErr w:type="spellStart"/>
            <w:r w:rsidRPr="00160FE2">
              <w:rPr>
                <w:color w:val="000000"/>
                <w:sz w:val="24"/>
                <w:szCs w:val="24"/>
                <w:bdr w:val="none" w:sz="0" w:space="0" w:color="auto" w:frame="1"/>
              </w:rPr>
              <w:t>Kaliumjodid</w:t>
            </w:r>
            <w:proofErr w:type="spellEnd"/>
            <w:r w:rsidRPr="00160FE2">
              <w:rPr>
                <w:color w:val="000000"/>
                <w:sz w:val="24"/>
                <w:szCs w:val="24"/>
                <w:bdr w:val="none" w:sz="0" w:space="0" w:color="auto" w:frame="1"/>
              </w:rPr>
              <w:t xml:space="preserve"> </w:t>
            </w:r>
          </w:p>
        </w:tc>
        <w:tc>
          <w:tcPr>
            <w:tcW w:w="1592" w:type="pct"/>
            <w:tcBorders>
              <w:top w:val="single" w:sz="4" w:space="0" w:color="auto"/>
              <w:left w:val="single" w:sz="4" w:space="0" w:color="auto"/>
              <w:bottom w:val="single" w:sz="4" w:space="0" w:color="auto"/>
              <w:right w:val="single" w:sz="4" w:space="0" w:color="auto"/>
            </w:tcBorders>
            <w:vAlign w:val="center"/>
            <w:hideMark/>
          </w:tcPr>
          <w:p w14:paraId="71331A3F"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13,08</w:t>
            </w:r>
          </w:p>
        </w:tc>
        <w:tc>
          <w:tcPr>
            <w:tcW w:w="1726" w:type="pct"/>
            <w:tcBorders>
              <w:top w:val="single" w:sz="4" w:space="0" w:color="auto"/>
              <w:left w:val="single" w:sz="4" w:space="0" w:color="auto"/>
              <w:bottom w:val="single" w:sz="4" w:space="0" w:color="auto"/>
              <w:right w:val="single" w:sz="4" w:space="0" w:color="auto"/>
            </w:tcBorders>
            <w:vAlign w:val="center"/>
            <w:hideMark/>
          </w:tcPr>
          <w:p w14:paraId="5082E543"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1,308</w:t>
            </w:r>
          </w:p>
        </w:tc>
      </w:tr>
      <w:tr w:rsidR="00FA7273" w:rsidRPr="00160FE2" w14:paraId="6984A995" w14:textId="77777777" w:rsidTr="00EB0164">
        <w:trPr>
          <w:jc w:val="center"/>
        </w:trPr>
        <w:tc>
          <w:tcPr>
            <w:tcW w:w="1682" w:type="pct"/>
            <w:tcBorders>
              <w:top w:val="single" w:sz="4" w:space="0" w:color="auto"/>
              <w:left w:val="single" w:sz="4" w:space="0" w:color="auto"/>
              <w:bottom w:val="single" w:sz="4" w:space="0" w:color="auto"/>
              <w:right w:val="single" w:sz="4" w:space="0" w:color="auto"/>
            </w:tcBorders>
            <w:shd w:val="clear" w:color="auto" w:fill="BFBFBF"/>
            <w:hideMark/>
          </w:tcPr>
          <w:p w14:paraId="0D63D3C4"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Natriumselenit</w:t>
            </w:r>
          </w:p>
        </w:tc>
        <w:tc>
          <w:tcPr>
            <w:tcW w:w="1592" w:type="pct"/>
            <w:tcBorders>
              <w:top w:val="single" w:sz="4" w:space="0" w:color="auto"/>
              <w:left w:val="single" w:sz="4" w:space="0" w:color="auto"/>
              <w:bottom w:val="single" w:sz="4" w:space="0" w:color="auto"/>
              <w:right w:val="single" w:sz="4" w:space="0" w:color="auto"/>
            </w:tcBorders>
            <w:vAlign w:val="center"/>
            <w:hideMark/>
          </w:tcPr>
          <w:p w14:paraId="49BFB8EE"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43,81</w:t>
            </w:r>
          </w:p>
        </w:tc>
        <w:tc>
          <w:tcPr>
            <w:tcW w:w="1726" w:type="pct"/>
            <w:tcBorders>
              <w:top w:val="single" w:sz="4" w:space="0" w:color="auto"/>
              <w:left w:val="single" w:sz="4" w:space="0" w:color="auto"/>
              <w:bottom w:val="single" w:sz="4" w:space="0" w:color="auto"/>
              <w:right w:val="single" w:sz="4" w:space="0" w:color="auto"/>
            </w:tcBorders>
            <w:vAlign w:val="center"/>
            <w:hideMark/>
          </w:tcPr>
          <w:p w14:paraId="5B265B2D"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4,381</w:t>
            </w:r>
          </w:p>
        </w:tc>
      </w:tr>
    </w:tbl>
    <w:p w14:paraId="216AA9F9" w14:textId="77777777" w:rsidR="00FA7273" w:rsidRPr="00160FE2" w:rsidRDefault="00FA7273" w:rsidP="00160FE2">
      <w:pPr>
        <w:autoSpaceDE w:val="0"/>
        <w:autoSpaceDN w:val="0"/>
        <w:adjustRightInd w:val="0"/>
        <w:ind w:left="851" w:hanging="851"/>
        <w:jc w:val="both"/>
        <w:rPr>
          <w:sz w:val="24"/>
          <w:szCs w:val="24"/>
          <w:highlight w:val="yellow"/>
          <w:lang w:val="en-US"/>
        </w:rPr>
      </w:pPr>
    </w:p>
    <w:p w14:paraId="7E7C0606" w14:textId="77777777" w:rsidR="00FA7273" w:rsidRPr="00EB0164" w:rsidRDefault="00FA7273" w:rsidP="00EB0164">
      <w:pPr>
        <w:autoSpaceDE w:val="0"/>
        <w:autoSpaceDN w:val="0"/>
        <w:adjustRightInd w:val="0"/>
        <w:ind w:left="851"/>
        <w:jc w:val="both"/>
        <w:rPr>
          <w:sz w:val="24"/>
          <w:szCs w:val="24"/>
          <w:u w:val="single"/>
        </w:rPr>
      </w:pPr>
      <w:r w:rsidRPr="00160FE2">
        <w:rPr>
          <w:sz w:val="24"/>
          <w:szCs w:val="24"/>
          <w:u w:val="single"/>
          <w:bdr w:val="none" w:sz="0" w:space="0" w:color="auto" w:frame="1"/>
        </w:rPr>
        <w:t>Hver ampul på 10 ml indeholder</w:t>
      </w:r>
    </w:p>
    <w:p w14:paraId="770008B1" w14:textId="77777777" w:rsidR="00FA7273" w:rsidRPr="00EB0164" w:rsidRDefault="00FA7273" w:rsidP="00160FE2">
      <w:pPr>
        <w:autoSpaceDE w:val="0"/>
        <w:autoSpaceDN w:val="0"/>
        <w:adjustRightInd w:val="0"/>
        <w:ind w:left="851" w:hanging="851"/>
        <w:jc w:val="both"/>
        <w:rPr>
          <w:sz w:val="24"/>
          <w:szCs w:val="24"/>
          <w:u w:val="single"/>
        </w:rPr>
      </w:pPr>
    </w:p>
    <w:p w14:paraId="575A5986" w14:textId="77777777" w:rsidR="00FA7273" w:rsidRPr="00EB0164" w:rsidRDefault="00FA7273" w:rsidP="00160FE2">
      <w:pPr>
        <w:autoSpaceDE w:val="0"/>
        <w:autoSpaceDN w:val="0"/>
        <w:adjustRightInd w:val="0"/>
        <w:ind w:left="851" w:hanging="851"/>
        <w:jc w:val="both"/>
        <w:rPr>
          <w:sz w:val="24"/>
          <w:szCs w:val="24"/>
          <w:u w:val="single"/>
        </w:rPr>
      </w:pPr>
    </w:p>
    <w:tbl>
      <w:tblPr>
        <w:tblW w:w="4118" w:type="pct"/>
        <w:tblInd w:w="851" w:type="dxa"/>
        <w:tblLook w:val="04A0" w:firstRow="1" w:lastRow="0" w:firstColumn="1" w:lastColumn="0" w:noHBand="0" w:noVBand="1"/>
      </w:tblPr>
      <w:tblGrid>
        <w:gridCol w:w="2341"/>
        <w:gridCol w:w="2904"/>
        <w:gridCol w:w="2693"/>
      </w:tblGrid>
      <w:tr w:rsidR="00FA7273" w:rsidRPr="00160FE2" w14:paraId="5A747115" w14:textId="77777777" w:rsidTr="00EB0164">
        <w:tc>
          <w:tcPr>
            <w:tcW w:w="1475" w:type="pct"/>
            <w:shd w:val="clear" w:color="auto" w:fill="FFFFFF"/>
          </w:tcPr>
          <w:p w14:paraId="402940D2" w14:textId="77777777" w:rsidR="00FA7273" w:rsidRPr="00EB0164" w:rsidRDefault="00FA7273" w:rsidP="00160FE2">
            <w:pPr>
              <w:ind w:left="851" w:hanging="851"/>
              <w:jc w:val="both"/>
              <w:rPr>
                <w:b/>
                <w:color w:val="000000"/>
                <w:sz w:val="24"/>
                <w:szCs w:val="24"/>
                <w:highlight w:val="yellow"/>
              </w:rPr>
            </w:pPr>
          </w:p>
        </w:tc>
        <w:tc>
          <w:tcPr>
            <w:tcW w:w="1829" w:type="pct"/>
            <w:shd w:val="clear" w:color="auto" w:fill="BFBFBF"/>
            <w:hideMark/>
          </w:tcPr>
          <w:p w14:paraId="09A89BA6" w14:textId="77777777" w:rsidR="00FA7273" w:rsidRPr="00160FE2" w:rsidRDefault="00FA7273" w:rsidP="00160FE2">
            <w:pPr>
              <w:ind w:left="851" w:hanging="851"/>
              <w:jc w:val="both"/>
              <w:rPr>
                <w:b/>
                <w:color w:val="000000"/>
                <w:sz w:val="24"/>
                <w:szCs w:val="24"/>
              </w:rPr>
            </w:pPr>
            <w:proofErr w:type="spellStart"/>
            <w:r w:rsidRPr="00160FE2">
              <w:rPr>
                <w:b/>
                <w:bCs/>
                <w:color w:val="000000"/>
                <w:sz w:val="24"/>
                <w:szCs w:val="24"/>
                <w:bdr w:val="none" w:sz="0" w:space="0" w:color="auto" w:frame="1"/>
              </w:rPr>
              <w:t>Junyelt</w:t>
            </w:r>
            <w:proofErr w:type="spellEnd"/>
          </w:p>
          <w:p w14:paraId="2467DD3D"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Molær sammensætning</w:t>
            </w:r>
          </w:p>
          <w:p w14:paraId="3F9F2DE6" w14:textId="77777777" w:rsidR="00FA7273" w:rsidRPr="00160FE2" w:rsidRDefault="00FA7273" w:rsidP="00160FE2">
            <w:pPr>
              <w:ind w:left="851" w:hanging="851"/>
              <w:jc w:val="both"/>
              <w:rPr>
                <w:b/>
                <w:color w:val="000000"/>
                <w:sz w:val="24"/>
                <w:szCs w:val="24"/>
              </w:rPr>
            </w:pPr>
            <w:r w:rsidRPr="00160FE2">
              <w:rPr>
                <w:color w:val="000000"/>
                <w:sz w:val="24"/>
                <w:szCs w:val="24"/>
                <w:bdr w:val="none" w:sz="0" w:space="0" w:color="auto" w:frame="1"/>
              </w:rPr>
              <w:t>(µmol/10 ml)</w:t>
            </w:r>
          </w:p>
        </w:tc>
        <w:tc>
          <w:tcPr>
            <w:tcW w:w="1696" w:type="pct"/>
            <w:shd w:val="clear" w:color="auto" w:fill="BFBFBF"/>
            <w:vAlign w:val="center"/>
            <w:hideMark/>
          </w:tcPr>
          <w:p w14:paraId="58B0A7FF" w14:textId="77777777" w:rsidR="00FA7273" w:rsidRPr="00160FE2" w:rsidRDefault="00FA7273" w:rsidP="00160FE2">
            <w:pPr>
              <w:ind w:left="851" w:hanging="851"/>
              <w:jc w:val="both"/>
              <w:rPr>
                <w:b/>
                <w:color w:val="000000"/>
                <w:sz w:val="24"/>
                <w:szCs w:val="24"/>
              </w:rPr>
            </w:pPr>
            <w:proofErr w:type="spellStart"/>
            <w:r w:rsidRPr="00160FE2">
              <w:rPr>
                <w:b/>
                <w:bCs/>
                <w:color w:val="000000"/>
                <w:sz w:val="24"/>
                <w:szCs w:val="24"/>
                <w:bdr w:val="none" w:sz="0" w:space="0" w:color="auto" w:frame="1"/>
              </w:rPr>
              <w:t>Junyelt</w:t>
            </w:r>
            <w:proofErr w:type="spellEnd"/>
          </w:p>
          <w:p w14:paraId="0C29BA81" w14:textId="1BB31044"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Vægtsammensætning</w:t>
            </w:r>
          </w:p>
          <w:p w14:paraId="37E4AAAD" w14:textId="77777777" w:rsidR="00FA7273" w:rsidRPr="00160FE2" w:rsidRDefault="00FA7273" w:rsidP="00160FE2">
            <w:pPr>
              <w:ind w:left="851" w:hanging="851"/>
              <w:jc w:val="both"/>
              <w:rPr>
                <w:b/>
                <w:color w:val="000000"/>
                <w:sz w:val="24"/>
                <w:szCs w:val="24"/>
              </w:rPr>
            </w:pPr>
            <w:r w:rsidRPr="00160FE2">
              <w:rPr>
                <w:color w:val="000000"/>
                <w:sz w:val="24"/>
                <w:szCs w:val="24"/>
                <w:bdr w:val="none" w:sz="0" w:space="0" w:color="auto" w:frame="1"/>
              </w:rPr>
              <w:t>(</w:t>
            </w:r>
            <w:proofErr w:type="spellStart"/>
            <w:r w:rsidRPr="00160FE2">
              <w:rPr>
                <w:color w:val="000000"/>
                <w:sz w:val="24"/>
                <w:szCs w:val="24"/>
                <w:bdr w:val="none" w:sz="0" w:space="0" w:color="auto" w:frame="1"/>
              </w:rPr>
              <w:t>μg</w:t>
            </w:r>
            <w:proofErr w:type="spellEnd"/>
            <w:r w:rsidRPr="00160FE2">
              <w:rPr>
                <w:color w:val="000000"/>
                <w:sz w:val="24"/>
                <w:szCs w:val="24"/>
                <w:bdr w:val="none" w:sz="0" w:space="0" w:color="auto" w:frame="1"/>
              </w:rPr>
              <w:t>/10 ml)</w:t>
            </w:r>
          </w:p>
        </w:tc>
      </w:tr>
      <w:tr w:rsidR="00FA7273" w:rsidRPr="00160FE2" w14:paraId="228DB527" w14:textId="77777777" w:rsidTr="00EB0164">
        <w:tc>
          <w:tcPr>
            <w:tcW w:w="1475" w:type="pct"/>
            <w:hideMark/>
          </w:tcPr>
          <w:p w14:paraId="40232259" w14:textId="77777777" w:rsidR="00FA7273" w:rsidRPr="00160FE2" w:rsidRDefault="00FA7273" w:rsidP="00160FE2">
            <w:pPr>
              <w:ind w:left="851" w:hanging="851"/>
              <w:jc w:val="both"/>
              <w:rPr>
                <w:color w:val="000000"/>
                <w:sz w:val="24"/>
                <w:szCs w:val="24"/>
                <w:lang w:val="en-GB"/>
              </w:rPr>
            </w:pPr>
            <w:r w:rsidRPr="00160FE2">
              <w:rPr>
                <w:color w:val="000000"/>
                <w:sz w:val="24"/>
                <w:szCs w:val="24"/>
                <w:bdr w:val="none" w:sz="0" w:space="0" w:color="auto" w:frame="1"/>
              </w:rPr>
              <w:t>Zink (</w:t>
            </w:r>
            <w:proofErr w:type="spellStart"/>
            <w:r w:rsidRPr="00160FE2">
              <w:rPr>
                <w:color w:val="000000"/>
                <w:sz w:val="24"/>
                <w:szCs w:val="24"/>
                <w:bdr w:val="none" w:sz="0" w:space="0" w:color="auto" w:frame="1"/>
              </w:rPr>
              <w:t>Zn</w:t>
            </w:r>
            <w:proofErr w:type="spellEnd"/>
            <w:r w:rsidRPr="00160FE2">
              <w:rPr>
                <w:color w:val="000000"/>
                <w:sz w:val="24"/>
                <w:szCs w:val="24"/>
                <w:bdr w:val="none" w:sz="0" w:space="0" w:color="auto" w:frame="1"/>
              </w:rPr>
              <w:t>)</w:t>
            </w:r>
          </w:p>
        </w:tc>
        <w:tc>
          <w:tcPr>
            <w:tcW w:w="1829" w:type="pct"/>
            <w:hideMark/>
          </w:tcPr>
          <w:p w14:paraId="1EE98381"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15,30</w:t>
            </w:r>
          </w:p>
        </w:tc>
        <w:tc>
          <w:tcPr>
            <w:tcW w:w="1696" w:type="pct"/>
            <w:vAlign w:val="center"/>
            <w:hideMark/>
          </w:tcPr>
          <w:p w14:paraId="7F66B72A"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1000</w:t>
            </w:r>
          </w:p>
        </w:tc>
      </w:tr>
      <w:tr w:rsidR="00FA7273" w:rsidRPr="00160FE2" w14:paraId="7F8A78CB" w14:textId="77777777" w:rsidTr="00EB0164">
        <w:tc>
          <w:tcPr>
            <w:tcW w:w="1475" w:type="pct"/>
            <w:hideMark/>
          </w:tcPr>
          <w:p w14:paraId="316B6C6A"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Kobber (Cu)</w:t>
            </w:r>
          </w:p>
        </w:tc>
        <w:tc>
          <w:tcPr>
            <w:tcW w:w="1829" w:type="pct"/>
            <w:hideMark/>
          </w:tcPr>
          <w:p w14:paraId="012AF0C9"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3,15</w:t>
            </w:r>
          </w:p>
        </w:tc>
        <w:tc>
          <w:tcPr>
            <w:tcW w:w="1696" w:type="pct"/>
            <w:vAlign w:val="center"/>
            <w:hideMark/>
          </w:tcPr>
          <w:p w14:paraId="6763ED10"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200</w:t>
            </w:r>
          </w:p>
        </w:tc>
      </w:tr>
      <w:tr w:rsidR="00FA7273" w:rsidRPr="00160FE2" w14:paraId="0E79983C" w14:textId="77777777" w:rsidTr="00EB0164">
        <w:tc>
          <w:tcPr>
            <w:tcW w:w="1475" w:type="pct"/>
            <w:hideMark/>
          </w:tcPr>
          <w:p w14:paraId="7E490452"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Mangan (Mn)</w:t>
            </w:r>
          </w:p>
        </w:tc>
        <w:tc>
          <w:tcPr>
            <w:tcW w:w="1829" w:type="pct"/>
            <w:hideMark/>
          </w:tcPr>
          <w:p w14:paraId="5237B24D"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0,091</w:t>
            </w:r>
          </w:p>
        </w:tc>
        <w:tc>
          <w:tcPr>
            <w:tcW w:w="1696" w:type="pct"/>
            <w:vAlign w:val="center"/>
            <w:hideMark/>
          </w:tcPr>
          <w:p w14:paraId="3DC01F32"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5</w:t>
            </w:r>
          </w:p>
        </w:tc>
      </w:tr>
      <w:tr w:rsidR="00FA7273" w:rsidRPr="00160FE2" w14:paraId="625A20DC" w14:textId="77777777" w:rsidTr="00EB0164">
        <w:tc>
          <w:tcPr>
            <w:tcW w:w="1475" w:type="pct"/>
            <w:hideMark/>
          </w:tcPr>
          <w:p w14:paraId="69D1EBD1"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Jod (I)</w:t>
            </w:r>
          </w:p>
        </w:tc>
        <w:tc>
          <w:tcPr>
            <w:tcW w:w="1829" w:type="pct"/>
            <w:hideMark/>
          </w:tcPr>
          <w:p w14:paraId="3550AFB5"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0,079</w:t>
            </w:r>
          </w:p>
        </w:tc>
        <w:tc>
          <w:tcPr>
            <w:tcW w:w="1696" w:type="pct"/>
            <w:vAlign w:val="center"/>
            <w:hideMark/>
          </w:tcPr>
          <w:p w14:paraId="7371731D"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10</w:t>
            </w:r>
          </w:p>
        </w:tc>
      </w:tr>
      <w:tr w:rsidR="00FA7273" w:rsidRPr="00160FE2" w14:paraId="26D28204" w14:textId="77777777" w:rsidTr="00EB0164">
        <w:tc>
          <w:tcPr>
            <w:tcW w:w="1475" w:type="pct"/>
            <w:hideMark/>
          </w:tcPr>
          <w:p w14:paraId="36AB858B"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Selen (Se)</w:t>
            </w:r>
          </w:p>
        </w:tc>
        <w:tc>
          <w:tcPr>
            <w:tcW w:w="1829" w:type="pct"/>
            <w:hideMark/>
          </w:tcPr>
          <w:p w14:paraId="6D2EF55E"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0,253</w:t>
            </w:r>
          </w:p>
        </w:tc>
        <w:tc>
          <w:tcPr>
            <w:tcW w:w="1696" w:type="pct"/>
            <w:vAlign w:val="center"/>
            <w:hideMark/>
          </w:tcPr>
          <w:p w14:paraId="3D88091D"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20</w:t>
            </w:r>
          </w:p>
        </w:tc>
      </w:tr>
    </w:tbl>
    <w:p w14:paraId="74D29D2E" w14:textId="6E1DAC7F" w:rsidR="00023C61" w:rsidRDefault="00023C61" w:rsidP="00160FE2">
      <w:pPr>
        <w:autoSpaceDE w:val="0"/>
        <w:autoSpaceDN w:val="0"/>
        <w:adjustRightInd w:val="0"/>
        <w:ind w:left="851" w:hanging="851"/>
        <w:jc w:val="both"/>
        <w:rPr>
          <w:sz w:val="24"/>
          <w:szCs w:val="24"/>
          <w:u w:val="single"/>
          <w:lang w:val="en-US"/>
        </w:rPr>
      </w:pPr>
    </w:p>
    <w:p w14:paraId="036F7954" w14:textId="77777777" w:rsidR="00023C61" w:rsidRDefault="00023C61">
      <w:pPr>
        <w:rPr>
          <w:sz w:val="24"/>
          <w:szCs w:val="24"/>
          <w:u w:val="single"/>
          <w:lang w:val="en-US"/>
        </w:rPr>
      </w:pPr>
      <w:r>
        <w:rPr>
          <w:sz w:val="24"/>
          <w:szCs w:val="24"/>
          <w:u w:val="single"/>
          <w:lang w:val="en-US"/>
        </w:rPr>
        <w:br w:type="page"/>
      </w:r>
    </w:p>
    <w:p w14:paraId="3E44BD44" w14:textId="77777777" w:rsidR="00FA7273" w:rsidRPr="00160FE2" w:rsidRDefault="00FA7273" w:rsidP="00160FE2">
      <w:pPr>
        <w:autoSpaceDE w:val="0"/>
        <w:autoSpaceDN w:val="0"/>
        <w:adjustRightInd w:val="0"/>
        <w:ind w:left="851" w:hanging="851"/>
        <w:jc w:val="both"/>
        <w:rPr>
          <w:sz w:val="24"/>
          <w:szCs w:val="24"/>
          <w:u w:val="single"/>
          <w:lang w:val="en-US"/>
        </w:rPr>
      </w:pPr>
    </w:p>
    <w:p w14:paraId="4EE4E3B9" w14:textId="77777777" w:rsidR="00FA7273" w:rsidRPr="00160FE2" w:rsidRDefault="00FA7273" w:rsidP="00EB0164">
      <w:pPr>
        <w:autoSpaceDE w:val="0"/>
        <w:autoSpaceDN w:val="0"/>
        <w:adjustRightInd w:val="0"/>
        <w:ind w:left="851"/>
        <w:jc w:val="both"/>
        <w:rPr>
          <w:sz w:val="24"/>
          <w:szCs w:val="24"/>
          <w:u w:val="single"/>
          <w:lang w:val="en-US"/>
        </w:rPr>
      </w:pPr>
      <w:r w:rsidRPr="00160FE2">
        <w:rPr>
          <w:sz w:val="24"/>
          <w:szCs w:val="24"/>
          <w:u w:val="single"/>
          <w:bdr w:val="none" w:sz="0" w:space="0" w:color="auto" w:frame="1"/>
        </w:rPr>
        <w:t>Indhold per ml</w:t>
      </w:r>
    </w:p>
    <w:p w14:paraId="3E010D58" w14:textId="77777777" w:rsidR="00FA7273" w:rsidRPr="00160FE2" w:rsidRDefault="00FA7273" w:rsidP="00160FE2">
      <w:pPr>
        <w:autoSpaceDE w:val="0"/>
        <w:autoSpaceDN w:val="0"/>
        <w:adjustRightInd w:val="0"/>
        <w:ind w:left="851" w:hanging="851"/>
        <w:jc w:val="both"/>
        <w:rPr>
          <w:sz w:val="24"/>
          <w:szCs w:val="24"/>
          <w:u w:val="single"/>
          <w:lang w:val="en-US"/>
        </w:rPr>
      </w:pPr>
    </w:p>
    <w:tbl>
      <w:tblPr>
        <w:tblW w:w="4118" w:type="pct"/>
        <w:tblInd w:w="851" w:type="dxa"/>
        <w:tblLook w:val="04A0" w:firstRow="1" w:lastRow="0" w:firstColumn="1" w:lastColumn="0" w:noHBand="0" w:noVBand="1"/>
      </w:tblPr>
      <w:tblGrid>
        <w:gridCol w:w="2484"/>
        <w:gridCol w:w="2761"/>
        <w:gridCol w:w="2693"/>
      </w:tblGrid>
      <w:tr w:rsidR="00FA7273" w:rsidRPr="00160FE2" w14:paraId="6F4FB513" w14:textId="77777777" w:rsidTr="00495989">
        <w:tc>
          <w:tcPr>
            <w:tcW w:w="1565" w:type="pct"/>
            <w:shd w:val="clear" w:color="auto" w:fill="FFFFFF"/>
          </w:tcPr>
          <w:p w14:paraId="4969BA57" w14:textId="77777777" w:rsidR="00FA7273" w:rsidRPr="00160FE2" w:rsidRDefault="00FA7273" w:rsidP="00160FE2">
            <w:pPr>
              <w:ind w:left="851" w:hanging="851"/>
              <w:jc w:val="both"/>
              <w:rPr>
                <w:b/>
                <w:color w:val="000000"/>
                <w:sz w:val="24"/>
                <w:szCs w:val="24"/>
                <w:highlight w:val="yellow"/>
                <w:lang w:val="en-GB"/>
              </w:rPr>
            </w:pPr>
          </w:p>
        </w:tc>
        <w:tc>
          <w:tcPr>
            <w:tcW w:w="1739" w:type="pct"/>
            <w:shd w:val="clear" w:color="auto" w:fill="BFBFBF"/>
            <w:hideMark/>
          </w:tcPr>
          <w:p w14:paraId="781E7F7B" w14:textId="77777777" w:rsidR="00FA7273" w:rsidRPr="00160FE2" w:rsidRDefault="00FA7273" w:rsidP="00160FE2">
            <w:pPr>
              <w:ind w:left="851" w:hanging="851"/>
              <w:jc w:val="both"/>
              <w:rPr>
                <w:b/>
                <w:color w:val="000000"/>
                <w:sz w:val="24"/>
                <w:szCs w:val="24"/>
              </w:rPr>
            </w:pPr>
            <w:proofErr w:type="spellStart"/>
            <w:r w:rsidRPr="00160FE2">
              <w:rPr>
                <w:b/>
                <w:bCs/>
                <w:color w:val="000000"/>
                <w:sz w:val="24"/>
                <w:szCs w:val="24"/>
                <w:bdr w:val="none" w:sz="0" w:space="0" w:color="auto" w:frame="1"/>
              </w:rPr>
              <w:t>Junyelt</w:t>
            </w:r>
            <w:proofErr w:type="spellEnd"/>
          </w:p>
          <w:p w14:paraId="450D96C2"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Molær sammensætning</w:t>
            </w:r>
          </w:p>
          <w:p w14:paraId="355D5ABB" w14:textId="77777777" w:rsidR="00FA7273" w:rsidRPr="00160FE2" w:rsidRDefault="00FA7273" w:rsidP="00160FE2">
            <w:pPr>
              <w:ind w:left="851" w:hanging="851"/>
              <w:jc w:val="both"/>
              <w:rPr>
                <w:b/>
                <w:color w:val="000000"/>
                <w:sz w:val="24"/>
                <w:szCs w:val="24"/>
              </w:rPr>
            </w:pPr>
            <w:r w:rsidRPr="00160FE2">
              <w:rPr>
                <w:color w:val="000000"/>
                <w:sz w:val="24"/>
                <w:szCs w:val="24"/>
                <w:bdr w:val="none" w:sz="0" w:space="0" w:color="auto" w:frame="1"/>
              </w:rPr>
              <w:t>(µmol/ml)</w:t>
            </w:r>
          </w:p>
        </w:tc>
        <w:tc>
          <w:tcPr>
            <w:tcW w:w="1696" w:type="pct"/>
            <w:shd w:val="clear" w:color="auto" w:fill="BFBFBF"/>
            <w:vAlign w:val="center"/>
            <w:hideMark/>
          </w:tcPr>
          <w:p w14:paraId="596E91FF" w14:textId="77777777" w:rsidR="00FA7273" w:rsidRPr="00160FE2" w:rsidRDefault="00FA7273" w:rsidP="00160FE2">
            <w:pPr>
              <w:ind w:left="851" w:hanging="851"/>
              <w:jc w:val="both"/>
              <w:rPr>
                <w:b/>
                <w:color w:val="000000"/>
                <w:sz w:val="24"/>
                <w:szCs w:val="24"/>
              </w:rPr>
            </w:pPr>
            <w:proofErr w:type="spellStart"/>
            <w:r w:rsidRPr="00160FE2">
              <w:rPr>
                <w:b/>
                <w:bCs/>
                <w:color w:val="000000"/>
                <w:sz w:val="24"/>
                <w:szCs w:val="24"/>
                <w:bdr w:val="none" w:sz="0" w:space="0" w:color="auto" w:frame="1"/>
              </w:rPr>
              <w:t>Junyelt</w:t>
            </w:r>
            <w:proofErr w:type="spellEnd"/>
          </w:p>
          <w:p w14:paraId="01E3CA38" w14:textId="3F83C470"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Vægtsammensætning</w:t>
            </w:r>
          </w:p>
          <w:p w14:paraId="1AD16D02" w14:textId="77777777" w:rsidR="00FA7273" w:rsidRPr="00160FE2" w:rsidRDefault="00FA7273" w:rsidP="00160FE2">
            <w:pPr>
              <w:ind w:left="851" w:hanging="851"/>
              <w:jc w:val="both"/>
              <w:rPr>
                <w:b/>
                <w:color w:val="000000"/>
                <w:sz w:val="24"/>
                <w:szCs w:val="24"/>
              </w:rPr>
            </w:pPr>
            <w:r w:rsidRPr="00160FE2">
              <w:rPr>
                <w:color w:val="000000"/>
                <w:sz w:val="24"/>
                <w:szCs w:val="24"/>
                <w:bdr w:val="none" w:sz="0" w:space="0" w:color="auto" w:frame="1"/>
              </w:rPr>
              <w:t>(</w:t>
            </w:r>
            <w:proofErr w:type="spellStart"/>
            <w:r w:rsidRPr="00160FE2">
              <w:rPr>
                <w:color w:val="000000"/>
                <w:sz w:val="24"/>
                <w:szCs w:val="24"/>
                <w:bdr w:val="none" w:sz="0" w:space="0" w:color="auto" w:frame="1"/>
              </w:rPr>
              <w:t>μg</w:t>
            </w:r>
            <w:proofErr w:type="spellEnd"/>
            <w:r w:rsidRPr="00160FE2">
              <w:rPr>
                <w:color w:val="000000"/>
                <w:sz w:val="24"/>
                <w:szCs w:val="24"/>
                <w:bdr w:val="none" w:sz="0" w:space="0" w:color="auto" w:frame="1"/>
              </w:rPr>
              <w:t>/ml)</w:t>
            </w:r>
          </w:p>
        </w:tc>
      </w:tr>
      <w:tr w:rsidR="00FA7273" w:rsidRPr="00160FE2" w14:paraId="2BF7DB8F" w14:textId="77777777" w:rsidTr="00495989">
        <w:tc>
          <w:tcPr>
            <w:tcW w:w="1565" w:type="pct"/>
            <w:hideMark/>
          </w:tcPr>
          <w:p w14:paraId="5FE29874" w14:textId="77777777" w:rsidR="00FA7273" w:rsidRPr="00160FE2" w:rsidRDefault="00FA7273" w:rsidP="00160FE2">
            <w:pPr>
              <w:ind w:left="851" w:hanging="851"/>
              <w:jc w:val="both"/>
              <w:rPr>
                <w:color w:val="000000"/>
                <w:sz w:val="24"/>
                <w:szCs w:val="24"/>
                <w:lang w:val="en-GB"/>
              </w:rPr>
            </w:pPr>
            <w:r w:rsidRPr="00160FE2">
              <w:rPr>
                <w:color w:val="000000"/>
                <w:sz w:val="24"/>
                <w:szCs w:val="24"/>
                <w:bdr w:val="none" w:sz="0" w:space="0" w:color="auto" w:frame="1"/>
              </w:rPr>
              <w:t>Zink (</w:t>
            </w:r>
            <w:proofErr w:type="spellStart"/>
            <w:r w:rsidRPr="00160FE2">
              <w:rPr>
                <w:color w:val="000000"/>
                <w:sz w:val="24"/>
                <w:szCs w:val="24"/>
                <w:bdr w:val="none" w:sz="0" w:space="0" w:color="auto" w:frame="1"/>
              </w:rPr>
              <w:t>Zn</w:t>
            </w:r>
            <w:proofErr w:type="spellEnd"/>
            <w:r w:rsidRPr="00160FE2">
              <w:rPr>
                <w:color w:val="000000"/>
                <w:sz w:val="24"/>
                <w:szCs w:val="24"/>
                <w:bdr w:val="none" w:sz="0" w:space="0" w:color="auto" w:frame="1"/>
              </w:rPr>
              <w:t>)</w:t>
            </w:r>
          </w:p>
        </w:tc>
        <w:tc>
          <w:tcPr>
            <w:tcW w:w="1739" w:type="pct"/>
            <w:hideMark/>
          </w:tcPr>
          <w:p w14:paraId="12FF9267"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1,53</w:t>
            </w:r>
          </w:p>
        </w:tc>
        <w:tc>
          <w:tcPr>
            <w:tcW w:w="1696" w:type="pct"/>
            <w:vAlign w:val="center"/>
            <w:hideMark/>
          </w:tcPr>
          <w:p w14:paraId="71A04159"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100</w:t>
            </w:r>
          </w:p>
        </w:tc>
      </w:tr>
      <w:tr w:rsidR="00FA7273" w:rsidRPr="00160FE2" w14:paraId="109D5ABF" w14:textId="77777777" w:rsidTr="00495989">
        <w:tc>
          <w:tcPr>
            <w:tcW w:w="1565" w:type="pct"/>
            <w:hideMark/>
          </w:tcPr>
          <w:p w14:paraId="5EAEC9E6"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Kobber (Cu)</w:t>
            </w:r>
          </w:p>
        </w:tc>
        <w:tc>
          <w:tcPr>
            <w:tcW w:w="1739" w:type="pct"/>
            <w:hideMark/>
          </w:tcPr>
          <w:p w14:paraId="72846B4C"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0,315</w:t>
            </w:r>
          </w:p>
        </w:tc>
        <w:tc>
          <w:tcPr>
            <w:tcW w:w="1696" w:type="pct"/>
            <w:vAlign w:val="center"/>
            <w:hideMark/>
          </w:tcPr>
          <w:p w14:paraId="5D152E48"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20</w:t>
            </w:r>
          </w:p>
        </w:tc>
      </w:tr>
      <w:tr w:rsidR="00FA7273" w:rsidRPr="00160FE2" w14:paraId="69ABAA84" w14:textId="77777777" w:rsidTr="00495989">
        <w:tc>
          <w:tcPr>
            <w:tcW w:w="1565" w:type="pct"/>
            <w:hideMark/>
          </w:tcPr>
          <w:p w14:paraId="7FAF1C03"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Mangan (Mn)</w:t>
            </w:r>
          </w:p>
        </w:tc>
        <w:tc>
          <w:tcPr>
            <w:tcW w:w="1739" w:type="pct"/>
            <w:hideMark/>
          </w:tcPr>
          <w:p w14:paraId="7BD29BFE"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0,0091</w:t>
            </w:r>
          </w:p>
        </w:tc>
        <w:tc>
          <w:tcPr>
            <w:tcW w:w="1696" w:type="pct"/>
            <w:vAlign w:val="center"/>
            <w:hideMark/>
          </w:tcPr>
          <w:p w14:paraId="59B757AF"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0,5</w:t>
            </w:r>
          </w:p>
        </w:tc>
      </w:tr>
      <w:tr w:rsidR="00FA7273" w:rsidRPr="00160FE2" w14:paraId="124179EC" w14:textId="77777777" w:rsidTr="00495989">
        <w:tc>
          <w:tcPr>
            <w:tcW w:w="1565" w:type="pct"/>
            <w:hideMark/>
          </w:tcPr>
          <w:p w14:paraId="79B970E7"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Jod (I)</w:t>
            </w:r>
          </w:p>
        </w:tc>
        <w:tc>
          <w:tcPr>
            <w:tcW w:w="1739" w:type="pct"/>
            <w:hideMark/>
          </w:tcPr>
          <w:p w14:paraId="5A2D3DC9"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0,0079</w:t>
            </w:r>
          </w:p>
        </w:tc>
        <w:tc>
          <w:tcPr>
            <w:tcW w:w="1696" w:type="pct"/>
            <w:vAlign w:val="center"/>
            <w:hideMark/>
          </w:tcPr>
          <w:p w14:paraId="14A82934"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1</w:t>
            </w:r>
          </w:p>
        </w:tc>
      </w:tr>
      <w:tr w:rsidR="00FA7273" w:rsidRPr="00160FE2" w14:paraId="0C943A41" w14:textId="77777777" w:rsidTr="00495989">
        <w:tc>
          <w:tcPr>
            <w:tcW w:w="1565" w:type="pct"/>
            <w:hideMark/>
          </w:tcPr>
          <w:p w14:paraId="74EF17E4"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Selen (Se)</w:t>
            </w:r>
          </w:p>
        </w:tc>
        <w:tc>
          <w:tcPr>
            <w:tcW w:w="1739" w:type="pct"/>
            <w:hideMark/>
          </w:tcPr>
          <w:p w14:paraId="137478C5"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0,0253</w:t>
            </w:r>
          </w:p>
        </w:tc>
        <w:tc>
          <w:tcPr>
            <w:tcW w:w="1696" w:type="pct"/>
            <w:vAlign w:val="center"/>
            <w:hideMark/>
          </w:tcPr>
          <w:p w14:paraId="7649E99E" w14:textId="77777777" w:rsidR="00FA7273" w:rsidRPr="00160FE2" w:rsidRDefault="00FA7273" w:rsidP="00160FE2">
            <w:pPr>
              <w:ind w:left="851" w:hanging="851"/>
              <w:jc w:val="both"/>
              <w:rPr>
                <w:color w:val="000000"/>
                <w:sz w:val="24"/>
                <w:szCs w:val="24"/>
              </w:rPr>
            </w:pPr>
            <w:r w:rsidRPr="00160FE2">
              <w:rPr>
                <w:color w:val="000000"/>
                <w:sz w:val="24"/>
                <w:szCs w:val="24"/>
                <w:bdr w:val="none" w:sz="0" w:space="0" w:color="auto" w:frame="1"/>
              </w:rPr>
              <w:t>2</w:t>
            </w:r>
          </w:p>
        </w:tc>
      </w:tr>
    </w:tbl>
    <w:p w14:paraId="6F342A7D" w14:textId="77777777" w:rsidR="00FA7273" w:rsidRPr="00160FE2" w:rsidRDefault="00FA7273" w:rsidP="00160FE2">
      <w:pPr>
        <w:autoSpaceDE w:val="0"/>
        <w:autoSpaceDN w:val="0"/>
        <w:adjustRightInd w:val="0"/>
        <w:ind w:left="851" w:hanging="851"/>
        <w:jc w:val="both"/>
        <w:rPr>
          <w:sz w:val="24"/>
          <w:szCs w:val="24"/>
          <w:u w:val="single"/>
          <w:lang w:val="en-US"/>
        </w:rPr>
      </w:pPr>
    </w:p>
    <w:p w14:paraId="6781A0BA" w14:textId="77777777" w:rsidR="00B8700B" w:rsidRPr="00160FE2" w:rsidRDefault="00B8700B" w:rsidP="00B8700B">
      <w:pPr>
        <w:autoSpaceDE w:val="0"/>
        <w:autoSpaceDN w:val="0"/>
        <w:adjustRightInd w:val="0"/>
        <w:ind w:left="851"/>
        <w:jc w:val="both"/>
        <w:rPr>
          <w:sz w:val="24"/>
          <w:szCs w:val="24"/>
        </w:rPr>
      </w:pPr>
      <w:r w:rsidRPr="00160FE2">
        <w:rPr>
          <w:sz w:val="24"/>
          <w:szCs w:val="24"/>
          <w:bdr w:val="none" w:sz="0" w:space="0" w:color="auto" w:frame="1"/>
        </w:rPr>
        <w:t xml:space="preserve">Hver ml opløsning indeholder 1,16 µg </w:t>
      </w:r>
      <w:r w:rsidRPr="00037B01">
        <w:rPr>
          <w:sz w:val="24"/>
          <w:szCs w:val="24"/>
          <w:bdr w:val="none" w:sz="0" w:space="0" w:color="auto" w:frame="1"/>
        </w:rPr>
        <w:t>svarende til 0,0</w:t>
      </w:r>
      <w:r>
        <w:rPr>
          <w:sz w:val="24"/>
          <w:szCs w:val="24"/>
          <w:bdr w:val="none" w:sz="0" w:space="0" w:color="auto" w:frame="1"/>
        </w:rPr>
        <w:t>506 </w:t>
      </w:r>
      <w:r w:rsidRPr="00037B01">
        <w:rPr>
          <w:sz w:val="24"/>
          <w:szCs w:val="24"/>
          <w:bdr w:val="none" w:sz="0" w:space="0" w:color="auto" w:frame="1"/>
        </w:rPr>
        <w:t>µmol</w:t>
      </w:r>
      <w:r>
        <w:rPr>
          <w:sz w:val="24"/>
          <w:szCs w:val="24"/>
          <w:bdr w:val="none" w:sz="0" w:space="0" w:color="auto" w:frame="1"/>
        </w:rPr>
        <w:t xml:space="preserve"> </w:t>
      </w:r>
      <w:r w:rsidRPr="00160FE2">
        <w:rPr>
          <w:sz w:val="24"/>
          <w:szCs w:val="24"/>
          <w:bdr w:val="none" w:sz="0" w:space="0" w:color="auto" w:frame="1"/>
        </w:rPr>
        <w:t xml:space="preserve">natrium. </w:t>
      </w:r>
    </w:p>
    <w:p w14:paraId="72FFFC53" w14:textId="77777777" w:rsidR="00B8700B" w:rsidRPr="00160FE2" w:rsidRDefault="00B8700B" w:rsidP="00B8700B">
      <w:pPr>
        <w:ind w:left="851"/>
        <w:jc w:val="both"/>
        <w:rPr>
          <w:sz w:val="24"/>
          <w:szCs w:val="24"/>
        </w:rPr>
      </w:pPr>
      <w:r w:rsidRPr="00160FE2">
        <w:rPr>
          <w:sz w:val="24"/>
          <w:szCs w:val="24"/>
          <w:bdr w:val="none" w:sz="0" w:space="0" w:color="auto" w:frame="1"/>
        </w:rPr>
        <w:t xml:space="preserve">Hver ampul på 10 ml indeholder 11,6 µg </w:t>
      </w:r>
      <w:r w:rsidRPr="00037B01">
        <w:rPr>
          <w:sz w:val="24"/>
          <w:szCs w:val="24"/>
          <w:bdr w:val="none" w:sz="0" w:space="0" w:color="auto" w:frame="1"/>
        </w:rPr>
        <w:t>svarende til 0,</w:t>
      </w:r>
      <w:r>
        <w:rPr>
          <w:sz w:val="24"/>
          <w:szCs w:val="24"/>
          <w:bdr w:val="none" w:sz="0" w:space="0" w:color="auto" w:frame="1"/>
        </w:rPr>
        <w:t>506 </w:t>
      </w:r>
      <w:r w:rsidRPr="00037B01">
        <w:rPr>
          <w:sz w:val="24"/>
          <w:szCs w:val="24"/>
          <w:bdr w:val="none" w:sz="0" w:space="0" w:color="auto" w:frame="1"/>
        </w:rPr>
        <w:t>µmol</w:t>
      </w:r>
      <w:r>
        <w:rPr>
          <w:sz w:val="24"/>
          <w:szCs w:val="24"/>
          <w:bdr w:val="none" w:sz="0" w:space="0" w:color="auto" w:frame="1"/>
        </w:rPr>
        <w:t xml:space="preserve"> </w:t>
      </w:r>
      <w:r w:rsidRPr="00160FE2">
        <w:rPr>
          <w:sz w:val="24"/>
          <w:szCs w:val="24"/>
          <w:bdr w:val="none" w:sz="0" w:space="0" w:color="auto" w:frame="1"/>
        </w:rPr>
        <w:t xml:space="preserve">natrium. </w:t>
      </w:r>
    </w:p>
    <w:p w14:paraId="617FE68C" w14:textId="77777777" w:rsidR="00B8700B" w:rsidRPr="00160FE2" w:rsidRDefault="00B8700B" w:rsidP="00B8700B">
      <w:pPr>
        <w:ind w:left="851" w:hanging="851"/>
        <w:jc w:val="both"/>
        <w:rPr>
          <w:sz w:val="24"/>
          <w:szCs w:val="24"/>
        </w:rPr>
      </w:pPr>
    </w:p>
    <w:p w14:paraId="02BC865E" w14:textId="77777777" w:rsidR="00B8700B" w:rsidRPr="00160FE2" w:rsidRDefault="00B8700B" w:rsidP="00B8700B">
      <w:pPr>
        <w:autoSpaceDE w:val="0"/>
        <w:autoSpaceDN w:val="0"/>
        <w:adjustRightInd w:val="0"/>
        <w:ind w:left="851"/>
        <w:jc w:val="both"/>
        <w:rPr>
          <w:sz w:val="24"/>
          <w:szCs w:val="24"/>
        </w:rPr>
      </w:pPr>
      <w:r w:rsidRPr="00160FE2">
        <w:rPr>
          <w:sz w:val="24"/>
          <w:szCs w:val="24"/>
          <w:bdr w:val="none" w:sz="0" w:space="0" w:color="auto" w:frame="1"/>
        </w:rPr>
        <w:t xml:space="preserve">Hver ml opløsning indeholder 0,31 µg </w:t>
      </w:r>
      <w:r w:rsidRPr="00037B01">
        <w:rPr>
          <w:sz w:val="24"/>
          <w:szCs w:val="24"/>
          <w:bdr w:val="none" w:sz="0" w:space="0" w:color="auto" w:frame="1"/>
        </w:rPr>
        <w:t>svarende til 0,0</w:t>
      </w:r>
      <w:r>
        <w:rPr>
          <w:sz w:val="24"/>
          <w:szCs w:val="24"/>
          <w:bdr w:val="none" w:sz="0" w:space="0" w:color="auto" w:frame="1"/>
        </w:rPr>
        <w:t>0</w:t>
      </w:r>
      <w:r w:rsidRPr="00037B01">
        <w:rPr>
          <w:sz w:val="24"/>
          <w:szCs w:val="24"/>
          <w:bdr w:val="none" w:sz="0" w:space="0" w:color="auto" w:frame="1"/>
        </w:rPr>
        <w:t>8</w:t>
      </w:r>
      <w:r>
        <w:rPr>
          <w:sz w:val="24"/>
          <w:szCs w:val="24"/>
          <w:bdr w:val="none" w:sz="0" w:space="0" w:color="auto" w:frame="1"/>
        </w:rPr>
        <w:t> </w:t>
      </w:r>
      <w:r w:rsidRPr="00037B01">
        <w:rPr>
          <w:sz w:val="24"/>
          <w:szCs w:val="24"/>
          <w:bdr w:val="none" w:sz="0" w:space="0" w:color="auto" w:frame="1"/>
        </w:rPr>
        <w:t>µmol</w:t>
      </w:r>
      <w:r>
        <w:rPr>
          <w:sz w:val="24"/>
          <w:szCs w:val="24"/>
          <w:bdr w:val="none" w:sz="0" w:space="0" w:color="auto" w:frame="1"/>
        </w:rPr>
        <w:t xml:space="preserve"> </w:t>
      </w:r>
      <w:r w:rsidRPr="00160FE2">
        <w:rPr>
          <w:sz w:val="24"/>
          <w:szCs w:val="24"/>
          <w:bdr w:val="none" w:sz="0" w:space="0" w:color="auto" w:frame="1"/>
        </w:rPr>
        <w:t xml:space="preserve">kalium. </w:t>
      </w:r>
    </w:p>
    <w:p w14:paraId="157B8125" w14:textId="77777777" w:rsidR="00B8700B" w:rsidRPr="00160FE2" w:rsidRDefault="00B8700B" w:rsidP="00B8700B">
      <w:pPr>
        <w:ind w:left="851"/>
        <w:jc w:val="both"/>
        <w:rPr>
          <w:sz w:val="24"/>
          <w:szCs w:val="24"/>
          <w:lang w:val="de-DE"/>
        </w:rPr>
      </w:pPr>
      <w:r w:rsidRPr="00160FE2">
        <w:rPr>
          <w:sz w:val="24"/>
          <w:szCs w:val="24"/>
          <w:bdr w:val="none" w:sz="0" w:space="0" w:color="auto" w:frame="1"/>
        </w:rPr>
        <w:t xml:space="preserve">Hver ampul på 10 ml indeholder 3,1 µg </w:t>
      </w:r>
      <w:r w:rsidRPr="00037B01">
        <w:rPr>
          <w:sz w:val="24"/>
          <w:szCs w:val="24"/>
          <w:bdr w:val="none" w:sz="0" w:space="0" w:color="auto" w:frame="1"/>
        </w:rPr>
        <w:t>svarende til 0,08</w:t>
      </w:r>
      <w:r>
        <w:rPr>
          <w:sz w:val="24"/>
          <w:szCs w:val="24"/>
          <w:bdr w:val="none" w:sz="0" w:space="0" w:color="auto" w:frame="1"/>
        </w:rPr>
        <w:t> </w:t>
      </w:r>
      <w:r w:rsidRPr="00037B01">
        <w:rPr>
          <w:sz w:val="24"/>
          <w:szCs w:val="24"/>
          <w:bdr w:val="none" w:sz="0" w:space="0" w:color="auto" w:frame="1"/>
        </w:rPr>
        <w:t>µmol</w:t>
      </w:r>
      <w:r>
        <w:rPr>
          <w:sz w:val="24"/>
          <w:szCs w:val="24"/>
          <w:bdr w:val="none" w:sz="0" w:space="0" w:color="auto" w:frame="1"/>
        </w:rPr>
        <w:t xml:space="preserve"> </w:t>
      </w:r>
      <w:r w:rsidRPr="00160FE2">
        <w:rPr>
          <w:sz w:val="24"/>
          <w:szCs w:val="24"/>
          <w:bdr w:val="none" w:sz="0" w:space="0" w:color="auto" w:frame="1"/>
        </w:rPr>
        <w:t xml:space="preserve">kalium. </w:t>
      </w:r>
    </w:p>
    <w:p w14:paraId="74D8F3F4" w14:textId="77777777" w:rsidR="00FA7273" w:rsidRPr="00160FE2" w:rsidRDefault="00FA7273" w:rsidP="00160FE2">
      <w:pPr>
        <w:autoSpaceDE w:val="0"/>
        <w:autoSpaceDN w:val="0"/>
        <w:adjustRightInd w:val="0"/>
        <w:ind w:left="851" w:hanging="851"/>
        <w:jc w:val="both"/>
        <w:rPr>
          <w:sz w:val="24"/>
          <w:szCs w:val="24"/>
          <w:u w:val="single"/>
          <w:lang w:val="de-DE"/>
        </w:rPr>
      </w:pPr>
    </w:p>
    <w:p w14:paraId="4213DE83" w14:textId="77777777" w:rsidR="00FA7273" w:rsidRPr="00160FE2" w:rsidRDefault="00FA7273" w:rsidP="00495989">
      <w:pPr>
        <w:autoSpaceDE w:val="0"/>
        <w:autoSpaceDN w:val="0"/>
        <w:adjustRightInd w:val="0"/>
        <w:ind w:left="851"/>
        <w:jc w:val="both"/>
        <w:rPr>
          <w:sz w:val="24"/>
          <w:szCs w:val="24"/>
          <w:lang w:val="de-DE"/>
        </w:rPr>
      </w:pPr>
      <w:r w:rsidRPr="00160FE2">
        <w:rPr>
          <w:sz w:val="24"/>
          <w:szCs w:val="24"/>
          <w:bdr w:val="none" w:sz="0" w:space="0" w:color="auto" w:frame="1"/>
        </w:rPr>
        <w:t>Alle hjælpestoffer er anført under pkt. 6.1.</w:t>
      </w:r>
    </w:p>
    <w:p w14:paraId="7A70DA66" w14:textId="77777777" w:rsidR="009260DE" w:rsidRPr="00160FE2" w:rsidRDefault="009260DE" w:rsidP="00160FE2">
      <w:pPr>
        <w:tabs>
          <w:tab w:val="left" w:pos="851"/>
        </w:tabs>
        <w:ind w:left="851" w:hanging="851"/>
        <w:rPr>
          <w:sz w:val="24"/>
          <w:szCs w:val="24"/>
        </w:rPr>
      </w:pPr>
    </w:p>
    <w:p w14:paraId="56777616" w14:textId="77777777" w:rsidR="009260DE" w:rsidRPr="00160FE2" w:rsidRDefault="009260DE" w:rsidP="00160FE2">
      <w:pPr>
        <w:tabs>
          <w:tab w:val="left" w:pos="851"/>
        </w:tabs>
        <w:ind w:left="851" w:hanging="851"/>
        <w:rPr>
          <w:b/>
          <w:sz w:val="24"/>
          <w:szCs w:val="24"/>
        </w:rPr>
      </w:pPr>
      <w:r w:rsidRPr="00160FE2">
        <w:rPr>
          <w:b/>
          <w:sz w:val="24"/>
          <w:szCs w:val="24"/>
        </w:rPr>
        <w:t>3.</w:t>
      </w:r>
      <w:r w:rsidRPr="00160FE2">
        <w:rPr>
          <w:b/>
          <w:sz w:val="24"/>
          <w:szCs w:val="24"/>
        </w:rPr>
        <w:tab/>
        <w:t>LÆGEMIDDELFORM</w:t>
      </w:r>
    </w:p>
    <w:p w14:paraId="0CD5C403" w14:textId="77777777" w:rsidR="00FA7273" w:rsidRPr="00495989" w:rsidRDefault="00FA7273" w:rsidP="00495989">
      <w:pPr>
        <w:ind w:left="851"/>
        <w:rPr>
          <w:sz w:val="24"/>
          <w:szCs w:val="24"/>
          <w:lang w:val="de-DE"/>
        </w:rPr>
      </w:pPr>
      <w:r w:rsidRPr="00495989">
        <w:rPr>
          <w:sz w:val="24"/>
          <w:szCs w:val="24"/>
          <w:bdr w:val="none" w:sz="0" w:space="0" w:color="auto" w:frame="1"/>
        </w:rPr>
        <w:t>Koncentrat til infusionsvæske, opløsning</w:t>
      </w:r>
    </w:p>
    <w:p w14:paraId="00116377" w14:textId="77777777" w:rsidR="00495989" w:rsidRDefault="00495989" w:rsidP="00495989">
      <w:pPr>
        <w:ind w:left="851"/>
        <w:rPr>
          <w:sz w:val="24"/>
          <w:szCs w:val="24"/>
          <w:bdr w:val="none" w:sz="0" w:space="0" w:color="auto" w:frame="1"/>
        </w:rPr>
      </w:pPr>
    </w:p>
    <w:p w14:paraId="0520B274" w14:textId="77777777" w:rsidR="00FA7273" w:rsidRPr="00495989" w:rsidRDefault="00FA7273" w:rsidP="00495989">
      <w:pPr>
        <w:ind w:left="851"/>
        <w:rPr>
          <w:sz w:val="24"/>
          <w:szCs w:val="24"/>
          <w:lang w:val="de-DE"/>
        </w:rPr>
      </w:pPr>
      <w:r w:rsidRPr="00495989">
        <w:rPr>
          <w:sz w:val="24"/>
          <w:szCs w:val="24"/>
          <w:bdr w:val="none" w:sz="0" w:space="0" w:color="auto" w:frame="1"/>
        </w:rPr>
        <w:t>Klar og farveløs opløsning.</w:t>
      </w:r>
    </w:p>
    <w:p w14:paraId="526AC3D0" w14:textId="77777777" w:rsidR="00FA7273" w:rsidRPr="00495989" w:rsidRDefault="00FA7273" w:rsidP="00495989">
      <w:pPr>
        <w:ind w:left="851"/>
        <w:rPr>
          <w:sz w:val="24"/>
          <w:szCs w:val="24"/>
          <w:lang w:val="de-DE"/>
        </w:rPr>
      </w:pPr>
      <w:r w:rsidRPr="00495989">
        <w:rPr>
          <w:sz w:val="24"/>
          <w:szCs w:val="24"/>
          <w:bdr w:val="none" w:sz="0" w:space="0" w:color="auto" w:frame="1"/>
        </w:rPr>
        <w:t>Densitet 1,0</w:t>
      </w:r>
    </w:p>
    <w:p w14:paraId="64E6DAD3" w14:textId="77777777" w:rsidR="00FA7273" w:rsidRPr="00495989" w:rsidRDefault="00FA7273" w:rsidP="00495989">
      <w:pPr>
        <w:ind w:left="851"/>
        <w:rPr>
          <w:sz w:val="24"/>
          <w:szCs w:val="24"/>
          <w:lang w:val="de-DE"/>
        </w:rPr>
      </w:pPr>
      <w:r w:rsidRPr="00495989">
        <w:rPr>
          <w:sz w:val="24"/>
          <w:szCs w:val="24"/>
          <w:bdr w:val="none" w:sz="0" w:space="0" w:color="auto" w:frame="1"/>
        </w:rPr>
        <w:t>pH</w:t>
      </w:r>
      <w:r w:rsidRPr="00495989">
        <w:rPr>
          <w:sz w:val="24"/>
          <w:szCs w:val="24"/>
          <w:bdr w:val="none" w:sz="0" w:space="0" w:color="auto" w:frame="1"/>
        </w:rPr>
        <w:tab/>
        <w:t>2,7 til 3,3</w:t>
      </w:r>
    </w:p>
    <w:p w14:paraId="0765CFCF" w14:textId="77777777" w:rsidR="00FA7273" w:rsidRPr="00495989" w:rsidRDefault="00FA7273" w:rsidP="00495989">
      <w:pPr>
        <w:ind w:left="851"/>
        <w:rPr>
          <w:sz w:val="24"/>
          <w:szCs w:val="24"/>
          <w:lang w:val="de-DE"/>
        </w:rPr>
      </w:pPr>
      <w:proofErr w:type="spellStart"/>
      <w:r w:rsidRPr="00495989">
        <w:rPr>
          <w:sz w:val="24"/>
          <w:szCs w:val="24"/>
          <w:bdr w:val="none" w:sz="0" w:space="0" w:color="auto" w:frame="1"/>
        </w:rPr>
        <w:t>Osmolalitet</w:t>
      </w:r>
      <w:proofErr w:type="spellEnd"/>
      <w:r w:rsidRPr="00495989">
        <w:rPr>
          <w:sz w:val="24"/>
          <w:szCs w:val="24"/>
          <w:bdr w:val="none" w:sz="0" w:space="0" w:color="auto" w:frame="1"/>
        </w:rPr>
        <w:t xml:space="preserve"> 15 </w:t>
      </w:r>
      <w:proofErr w:type="spellStart"/>
      <w:r w:rsidRPr="00495989">
        <w:rPr>
          <w:sz w:val="24"/>
          <w:szCs w:val="24"/>
          <w:bdr w:val="none" w:sz="0" w:space="0" w:color="auto" w:frame="1"/>
        </w:rPr>
        <w:t>mosmol</w:t>
      </w:r>
      <w:proofErr w:type="spellEnd"/>
      <w:r w:rsidRPr="00495989">
        <w:rPr>
          <w:sz w:val="24"/>
          <w:szCs w:val="24"/>
          <w:bdr w:val="none" w:sz="0" w:space="0" w:color="auto" w:frame="1"/>
        </w:rPr>
        <w:t>/kg</w:t>
      </w:r>
    </w:p>
    <w:p w14:paraId="67E1F50A" w14:textId="77777777" w:rsidR="00FA7273" w:rsidRPr="00495989" w:rsidRDefault="00FA7273" w:rsidP="00495989">
      <w:pPr>
        <w:ind w:left="851"/>
        <w:rPr>
          <w:sz w:val="24"/>
          <w:szCs w:val="24"/>
          <w:lang w:val="de-DE"/>
        </w:rPr>
      </w:pPr>
      <w:proofErr w:type="spellStart"/>
      <w:r w:rsidRPr="00495989">
        <w:rPr>
          <w:sz w:val="24"/>
          <w:szCs w:val="24"/>
          <w:bdr w:val="none" w:sz="0" w:space="0" w:color="auto" w:frame="1"/>
        </w:rPr>
        <w:t>Osmolaritet</w:t>
      </w:r>
      <w:proofErr w:type="spellEnd"/>
      <w:r w:rsidRPr="00495989">
        <w:rPr>
          <w:sz w:val="24"/>
          <w:szCs w:val="24"/>
          <w:bdr w:val="none" w:sz="0" w:space="0" w:color="auto" w:frame="1"/>
        </w:rPr>
        <w:t xml:space="preserve"> 15 </w:t>
      </w:r>
      <w:proofErr w:type="spellStart"/>
      <w:r w:rsidRPr="00495989">
        <w:rPr>
          <w:sz w:val="24"/>
          <w:szCs w:val="24"/>
          <w:bdr w:val="none" w:sz="0" w:space="0" w:color="auto" w:frame="1"/>
        </w:rPr>
        <w:t>mosmol</w:t>
      </w:r>
      <w:proofErr w:type="spellEnd"/>
      <w:r w:rsidRPr="00495989">
        <w:rPr>
          <w:sz w:val="24"/>
          <w:szCs w:val="24"/>
          <w:bdr w:val="none" w:sz="0" w:space="0" w:color="auto" w:frame="1"/>
        </w:rPr>
        <w:t>/l</w:t>
      </w:r>
    </w:p>
    <w:p w14:paraId="76ED42FA" w14:textId="77777777" w:rsidR="009260DE" w:rsidRPr="00160FE2" w:rsidRDefault="009260DE" w:rsidP="00160FE2">
      <w:pPr>
        <w:tabs>
          <w:tab w:val="left" w:pos="851"/>
        </w:tabs>
        <w:ind w:left="851" w:hanging="851"/>
        <w:rPr>
          <w:sz w:val="24"/>
          <w:szCs w:val="24"/>
        </w:rPr>
      </w:pPr>
    </w:p>
    <w:p w14:paraId="072F69AF" w14:textId="77777777" w:rsidR="009260DE" w:rsidRPr="00160FE2" w:rsidRDefault="009260DE" w:rsidP="00160FE2">
      <w:pPr>
        <w:tabs>
          <w:tab w:val="left" w:pos="851"/>
        </w:tabs>
        <w:ind w:left="851" w:hanging="851"/>
        <w:rPr>
          <w:sz w:val="24"/>
          <w:szCs w:val="24"/>
        </w:rPr>
      </w:pPr>
    </w:p>
    <w:p w14:paraId="40F6119A" w14:textId="77777777" w:rsidR="009260DE" w:rsidRPr="00160FE2" w:rsidRDefault="009260DE" w:rsidP="00160FE2">
      <w:pPr>
        <w:tabs>
          <w:tab w:val="left" w:pos="851"/>
        </w:tabs>
        <w:ind w:left="851" w:hanging="851"/>
        <w:rPr>
          <w:b/>
          <w:sz w:val="24"/>
          <w:szCs w:val="24"/>
        </w:rPr>
      </w:pPr>
      <w:r w:rsidRPr="00160FE2">
        <w:rPr>
          <w:b/>
          <w:sz w:val="24"/>
          <w:szCs w:val="24"/>
        </w:rPr>
        <w:t>4.</w:t>
      </w:r>
      <w:r w:rsidRPr="00160FE2">
        <w:rPr>
          <w:b/>
          <w:sz w:val="24"/>
          <w:szCs w:val="24"/>
        </w:rPr>
        <w:tab/>
        <w:t>KLINISKE OPLYSNINGER</w:t>
      </w:r>
    </w:p>
    <w:p w14:paraId="3B0E0F2C" w14:textId="77777777" w:rsidR="009260DE" w:rsidRPr="00160FE2" w:rsidRDefault="009260DE" w:rsidP="00160FE2">
      <w:pPr>
        <w:tabs>
          <w:tab w:val="left" w:pos="851"/>
        </w:tabs>
        <w:ind w:left="851" w:hanging="851"/>
        <w:rPr>
          <w:b/>
          <w:sz w:val="24"/>
          <w:szCs w:val="24"/>
        </w:rPr>
      </w:pPr>
    </w:p>
    <w:p w14:paraId="2568D6BD" w14:textId="77777777" w:rsidR="009260DE" w:rsidRPr="00160FE2" w:rsidRDefault="009260DE" w:rsidP="00160FE2">
      <w:pPr>
        <w:tabs>
          <w:tab w:val="left" w:pos="851"/>
        </w:tabs>
        <w:ind w:left="851" w:hanging="851"/>
        <w:rPr>
          <w:b/>
          <w:sz w:val="24"/>
          <w:szCs w:val="24"/>
          <w:u w:val="single"/>
        </w:rPr>
      </w:pPr>
      <w:r w:rsidRPr="00160FE2">
        <w:rPr>
          <w:b/>
          <w:sz w:val="24"/>
          <w:szCs w:val="24"/>
        </w:rPr>
        <w:t>4.1</w:t>
      </w:r>
      <w:r w:rsidRPr="00160FE2">
        <w:rPr>
          <w:b/>
          <w:sz w:val="24"/>
          <w:szCs w:val="24"/>
        </w:rPr>
        <w:tab/>
        <w:t>Terapeutiske indikationer</w:t>
      </w:r>
    </w:p>
    <w:p w14:paraId="495A54FC" w14:textId="77777777" w:rsidR="00FA7273" w:rsidRPr="00160FE2" w:rsidRDefault="00FA7273" w:rsidP="00023C61">
      <w:pPr>
        <w:autoSpaceDE w:val="0"/>
        <w:autoSpaceDN w:val="0"/>
        <w:adjustRightInd w:val="0"/>
        <w:ind w:left="851"/>
        <w:rPr>
          <w:sz w:val="24"/>
          <w:szCs w:val="24"/>
          <w:lang w:val="de-DE"/>
        </w:rPr>
      </w:pPr>
      <w:proofErr w:type="spellStart"/>
      <w:r w:rsidRPr="00160FE2">
        <w:rPr>
          <w:color w:val="000000"/>
          <w:sz w:val="24"/>
          <w:szCs w:val="24"/>
          <w:bdr w:val="none" w:sz="0" w:space="0" w:color="auto" w:frame="1"/>
        </w:rPr>
        <w:t>Junyelt</w:t>
      </w:r>
      <w:proofErr w:type="spellEnd"/>
      <w:r w:rsidRPr="00160FE2">
        <w:rPr>
          <w:color w:val="000000"/>
          <w:sz w:val="24"/>
          <w:szCs w:val="24"/>
          <w:bdr w:val="none" w:sz="0" w:space="0" w:color="auto" w:frame="1"/>
        </w:rPr>
        <w:t xml:space="preserve"> </w:t>
      </w:r>
      <w:r w:rsidRPr="00160FE2">
        <w:rPr>
          <w:sz w:val="24"/>
          <w:szCs w:val="24"/>
          <w:bdr w:val="none" w:sz="0" w:space="0" w:color="auto" w:frame="1"/>
        </w:rPr>
        <w:t>anvendes som en del af et intravenøst ernæringsregime til nyfødte, der er født for tidligt eller til tiden, spædbørn og børn. Det er beregnet til at dække det basale behov for sporstoffer.</w:t>
      </w:r>
    </w:p>
    <w:p w14:paraId="02D73A1A" w14:textId="77777777" w:rsidR="009260DE" w:rsidRPr="00160FE2" w:rsidRDefault="009260DE" w:rsidP="00160FE2">
      <w:pPr>
        <w:tabs>
          <w:tab w:val="left" w:pos="851"/>
        </w:tabs>
        <w:ind w:left="851" w:hanging="851"/>
        <w:rPr>
          <w:sz w:val="24"/>
          <w:szCs w:val="24"/>
        </w:rPr>
      </w:pPr>
    </w:p>
    <w:p w14:paraId="15DCA59B" w14:textId="77777777" w:rsidR="009260DE" w:rsidRPr="00160FE2" w:rsidRDefault="009260DE" w:rsidP="00160FE2">
      <w:pPr>
        <w:tabs>
          <w:tab w:val="left" w:pos="851"/>
        </w:tabs>
        <w:ind w:left="851" w:hanging="851"/>
        <w:rPr>
          <w:b/>
          <w:sz w:val="24"/>
          <w:szCs w:val="24"/>
        </w:rPr>
      </w:pPr>
      <w:r w:rsidRPr="00160FE2">
        <w:rPr>
          <w:b/>
          <w:sz w:val="24"/>
          <w:szCs w:val="24"/>
        </w:rPr>
        <w:t>4.2</w:t>
      </w:r>
      <w:r w:rsidRPr="00160FE2">
        <w:rPr>
          <w:b/>
          <w:sz w:val="24"/>
          <w:szCs w:val="24"/>
        </w:rPr>
        <w:tab/>
        <w:t>Dosering og indgivelsesmåde</w:t>
      </w:r>
    </w:p>
    <w:p w14:paraId="771A98C4" w14:textId="77777777" w:rsidR="00195C63" w:rsidRPr="00495989" w:rsidRDefault="00195C63" w:rsidP="00495989">
      <w:pPr>
        <w:ind w:firstLine="851"/>
        <w:rPr>
          <w:sz w:val="24"/>
          <w:szCs w:val="24"/>
          <w:u w:val="single"/>
          <w:lang w:val="de-DE"/>
        </w:rPr>
      </w:pPr>
      <w:r w:rsidRPr="00495989">
        <w:rPr>
          <w:sz w:val="24"/>
          <w:szCs w:val="24"/>
          <w:u w:val="single"/>
          <w:bdr w:val="none" w:sz="0" w:space="0" w:color="auto" w:frame="1"/>
        </w:rPr>
        <w:t>Dosering</w:t>
      </w:r>
    </w:p>
    <w:p w14:paraId="52638C17" w14:textId="77777777" w:rsidR="00195C63" w:rsidRPr="00495989" w:rsidRDefault="00195C63" w:rsidP="00495989">
      <w:pPr>
        <w:jc w:val="both"/>
        <w:rPr>
          <w:sz w:val="24"/>
          <w:szCs w:val="24"/>
          <w:lang w:val="de-DE"/>
        </w:rPr>
      </w:pPr>
    </w:p>
    <w:p w14:paraId="500235FB" w14:textId="77777777" w:rsidR="00195C63" w:rsidRPr="00160FE2" w:rsidRDefault="00195C63" w:rsidP="00495989">
      <w:pPr>
        <w:ind w:left="851"/>
        <w:rPr>
          <w:b/>
          <w:sz w:val="24"/>
          <w:szCs w:val="24"/>
          <w:lang w:val="de-DE"/>
        </w:rPr>
      </w:pPr>
      <w:r w:rsidRPr="00160FE2">
        <w:rPr>
          <w:b/>
          <w:bCs/>
          <w:sz w:val="24"/>
          <w:szCs w:val="24"/>
          <w:bdr w:val="none" w:sz="0" w:space="0" w:color="auto" w:frame="1"/>
        </w:rPr>
        <w:t>Nyfødte, der er født for tidligt eller til tiden, spædbørn og børn (der vejer 20 kg eller derunder):</w:t>
      </w:r>
    </w:p>
    <w:p w14:paraId="7FDDC009" w14:textId="77777777" w:rsidR="00195C63" w:rsidRPr="00160FE2" w:rsidRDefault="00195C63" w:rsidP="00495989">
      <w:pPr>
        <w:ind w:left="851"/>
        <w:rPr>
          <w:sz w:val="24"/>
          <w:szCs w:val="24"/>
          <w:lang w:val="de-DE"/>
        </w:rPr>
      </w:pPr>
      <w:r w:rsidRPr="00160FE2">
        <w:rPr>
          <w:sz w:val="24"/>
          <w:szCs w:val="24"/>
          <w:bdr w:val="none" w:sz="0" w:space="0" w:color="auto" w:frame="1"/>
        </w:rPr>
        <w:t xml:space="preserve">Det basale behov for de indeholdte sporstoffer dækkes af 1 ml </w:t>
      </w:r>
      <w:proofErr w:type="spellStart"/>
      <w:r w:rsidRPr="00160FE2">
        <w:rPr>
          <w:sz w:val="24"/>
          <w:szCs w:val="24"/>
          <w:bdr w:val="none" w:sz="0" w:space="0" w:color="auto" w:frame="1"/>
        </w:rPr>
        <w:t>Junyelt</w:t>
      </w:r>
      <w:proofErr w:type="spellEnd"/>
      <w:r w:rsidRPr="00160FE2">
        <w:rPr>
          <w:sz w:val="24"/>
          <w:szCs w:val="24"/>
          <w:bdr w:val="none" w:sz="0" w:space="0" w:color="auto" w:frame="1"/>
        </w:rPr>
        <w:t xml:space="preserve"> per kg legemsvægt per dag. Den daglige dosis må højst være 20 ml.</w:t>
      </w:r>
    </w:p>
    <w:p w14:paraId="791D2203" w14:textId="77777777" w:rsidR="00195C63" w:rsidRPr="00160FE2" w:rsidRDefault="00195C63" w:rsidP="00495989">
      <w:pPr>
        <w:ind w:left="851" w:hanging="851"/>
        <w:rPr>
          <w:sz w:val="24"/>
          <w:szCs w:val="24"/>
          <w:lang w:val="de-DE"/>
        </w:rPr>
      </w:pPr>
    </w:p>
    <w:p w14:paraId="6DAEB9F5" w14:textId="77777777" w:rsidR="00195C63" w:rsidRPr="00160FE2" w:rsidRDefault="00195C63" w:rsidP="00495989">
      <w:pPr>
        <w:ind w:left="851"/>
        <w:rPr>
          <w:b/>
          <w:sz w:val="24"/>
          <w:szCs w:val="24"/>
          <w:lang w:val="de-DE"/>
        </w:rPr>
      </w:pPr>
      <w:r w:rsidRPr="00160FE2">
        <w:rPr>
          <w:b/>
          <w:bCs/>
          <w:sz w:val="24"/>
          <w:szCs w:val="24"/>
          <w:bdr w:val="none" w:sz="0" w:space="0" w:color="auto" w:frame="1"/>
        </w:rPr>
        <w:t>Børn (der vejer over 20 kg):</w:t>
      </w:r>
    </w:p>
    <w:p w14:paraId="6320E95B" w14:textId="77777777" w:rsidR="00195C63" w:rsidRPr="00160FE2" w:rsidRDefault="00195C63" w:rsidP="00495989">
      <w:pPr>
        <w:ind w:left="851"/>
        <w:rPr>
          <w:sz w:val="24"/>
          <w:szCs w:val="24"/>
          <w:lang w:val="de-DE"/>
        </w:rPr>
      </w:pPr>
      <w:r w:rsidRPr="00160FE2">
        <w:rPr>
          <w:sz w:val="24"/>
          <w:szCs w:val="24"/>
          <w:bdr w:val="none" w:sz="0" w:space="0" w:color="auto" w:frame="1"/>
        </w:rPr>
        <w:t xml:space="preserve">En daglig dosis på 20 ml </w:t>
      </w:r>
      <w:proofErr w:type="spellStart"/>
      <w:r w:rsidRPr="00160FE2">
        <w:rPr>
          <w:sz w:val="24"/>
          <w:szCs w:val="24"/>
          <w:bdr w:val="none" w:sz="0" w:space="0" w:color="auto" w:frame="1"/>
        </w:rPr>
        <w:t>Junyelt</w:t>
      </w:r>
      <w:proofErr w:type="spellEnd"/>
      <w:r w:rsidRPr="00160FE2">
        <w:rPr>
          <w:sz w:val="24"/>
          <w:szCs w:val="24"/>
          <w:bdr w:val="none" w:sz="0" w:space="0" w:color="auto" w:frame="1"/>
        </w:rPr>
        <w:t xml:space="preserve"> bør dække det basale behov for sporstoffer. </w:t>
      </w:r>
    </w:p>
    <w:p w14:paraId="00A543EB" w14:textId="77777777" w:rsidR="00195C63" w:rsidRPr="00160FE2" w:rsidRDefault="00195C63" w:rsidP="00495989">
      <w:pPr>
        <w:autoSpaceDE w:val="0"/>
        <w:autoSpaceDN w:val="0"/>
        <w:adjustRightInd w:val="0"/>
        <w:ind w:left="851" w:hanging="851"/>
        <w:rPr>
          <w:sz w:val="24"/>
          <w:szCs w:val="24"/>
          <w:lang w:val="de-DE"/>
        </w:rPr>
      </w:pPr>
    </w:p>
    <w:p w14:paraId="5F2B4B83" w14:textId="77777777" w:rsidR="00195C63" w:rsidRPr="00160FE2" w:rsidRDefault="00195C63" w:rsidP="00495989">
      <w:pPr>
        <w:ind w:left="851"/>
        <w:rPr>
          <w:color w:val="000000"/>
          <w:sz w:val="24"/>
          <w:szCs w:val="24"/>
          <w:lang w:val="de-DE" w:eastAsia="en-GB"/>
        </w:rPr>
      </w:pPr>
      <w:r w:rsidRPr="00160FE2">
        <w:rPr>
          <w:color w:val="000000"/>
          <w:sz w:val="24"/>
          <w:szCs w:val="24"/>
          <w:bdr w:val="none" w:sz="0" w:space="0" w:color="auto" w:frame="1"/>
          <w:lang w:eastAsia="en-GB"/>
        </w:rPr>
        <w:t xml:space="preserve">Hos spædbørn, der er født for tidligt, bør </w:t>
      </w:r>
      <w:proofErr w:type="spellStart"/>
      <w:r w:rsidRPr="00160FE2">
        <w:rPr>
          <w:color w:val="000000"/>
          <w:sz w:val="24"/>
          <w:szCs w:val="24"/>
          <w:bdr w:val="none" w:sz="0" w:space="0" w:color="auto" w:frame="1"/>
          <w:lang w:eastAsia="en-GB"/>
        </w:rPr>
        <w:t>Junyelt</w:t>
      </w:r>
      <w:proofErr w:type="spellEnd"/>
      <w:r w:rsidRPr="00160FE2">
        <w:rPr>
          <w:color w:val="000000"/>
          <w:sz w:val="24"/>
          <w:szCs w:val="24"/>
          <w:bdr w:val="none" w:sz="0" w:space="0" w:color="auto" w:frame="1"/>
          <w:lang w:eastAsia="en-GB"/>
        </w:rPr>
        <w:t xml:space="preserve"> suppleres med en enkelt zinkopløsning til injektion, så den samlede parenterale indtagelse af zink er 450-500 µg/kg/dag.</w:t>
      </w:r>
    </w:p>
    <w:p w14:paraId="1AFCC2D3" w14:textId="77777777" w:rsidR="00195C63" w:rsidRPr="00160FE2" w:rsidRDefault="00195C63" w:rsidP="00495989">
      <w:pPr>
        <w:ind w:left="851" w:hanging="851"/>
        <w:rPr>
          <w:color w:val="000000"/>
          <w:sz w:val="24"/>
          <w:szCs w:val="24"/>
          <w:lang w:val="de-DE" w:eastAsia="en-GB"/>
        </w:rPr>
      </w:pPr>
    </w:p>
    <w:p w14:paraId="6DCADC9C" w14:textId="77777777" w:rsidR="00195C63" w:rsidRPr="00160FE2" w:rsidRDefault="00195C63" w:rsidP="00495989">
      <w:pPr>
        <w:ind w:left="851"/>
        <w:rPr>
          <w:color w:val="000000"/>
          <w:sz w:val="24"/>
          <w:szCs w:val="24"/>
          <w:lang w:val="de-DE" w:eastAsia="en-GB"/>
        </w:rPr>
      </w:pPr>
      <w:r w:rsidRPr="00160FE2">
        <w:rPr>
          <w:color w:val="000000"/>
          <w:sz w:val="24"/>
          <w:szCs w:val="24"/>
          <w:bdr w:val="none" w:sz="0" w:space="0" w:color="auto" w:frame="1"/>
          <w:lang w:eastAsia="en-GB"/>
        </w:rPr>
        <w:lastRenderedPageBreak/>
        <w:t xml:space="preserve">En daglig infusion med jern anbefales, hvis et spædbarn, der er født for tidligt, får parenteral ernæring i længere tid (&gt; 3 uger), og hvis der gives parenteral ernæring i &gt; 4 uger, skal der endvidere gives molybdæn. </w:t>
      </w:r>
    </w:p>
    <w:p w14:paraId="78E52FE0" w14:textId="77777777" w:rsidR="00195C63" w:rsidRPr="00160FE2" w:rsidRDefault="00195C63" w:rsidP="00160FE2">
      <w:pPr>
        <w:ind w:left="851" w:hanging="851"/>
        <w:jc w:val="both"/>
        <w:rPr>
          <w:sz w:val="24"/>
          <w:szCs w:val="24"/>
          <w:u w:val="single"/>
          <w:lang w:val="de-DE"/>
        </w:rPr>
      </w:pPr>
    </w:p>
    <w:p w14:paraId="0B6AAC99" w14:textId="77777777" w:rsidR="00195C63" w:rsidRPr="00023C61" w:rsidRDefault="00195C63" w:rsidP="00495989">
      <w:pPr>
        <w:ind w:left="851"/>
        <w:rPr>
          <w:sz w:val="24"/>
          <w:szCs w:val="24"/>
          <w:u w:val="single"/>
          <w:lang w:val="de-DE"/>
        </w:rPr>
      </w:pPr>
      <w:r w:rsidRPr="00023C61">
        <w:rPr>
          <w:sz w:val="24"/>
          <w:szCs w:val="24"/>
          <w:u w:val="single"/>
          <w:bdr w:val="none" w:sz="0" w:space="0" w:color="auto" w:frame="1"/>
        </w:rPr>
        <w:t xml:space="preserve">Administration </w:t>
      </w:r>
    </w:p>
    <w:p w14:paraId="166C25C1" w14:textId="77777777" w:rsidR="00195C63" w:rsidRPr="00495989" w:rsidRDefault="00195C63" w:rsidP="00495989">
      <w:pPr>
        <w:ind w:left="851"/>
        <w:rPr>
          <w:sz w:val="24"/>
          <w:szCs w:val="24"/>
          <w:lang w:val="de-DE"/>
        </w:rPr>
      </w:pPr>
    </w:p>
    <w:p w14:paraId="4DF10B1E" w14:textId="77777777" w:rsidR="00195C63" w:rsidRPr="00495989" w:rsidRDefault="00195C63" w:rsidP="00495989">
      <w:pPr>
        <w:ind w:left="851"/>
        <w:rPr>
          <w:sz w:val="24"/>
          <w:szCs w:val="24"/>
          <w:lang w:val="de-DE"/>
        </w:rPr>
      </w:pPr>
      <w:r w:rsidRPr="00495989">
        <w:rPr>
          <w:sz w:val="24"/>
          <w:szCs w:val="24"/>
          <w:bdr w:val="none" w:sz="0" w:space="0" w:color="auto" w:frame="1"/>
        </w:rPr>
        <w:t>Intravenøst:</w:t>
      </w:r>
    </w:p>
    <w:p w14:paraId="33446BF8" w14:textId="77777777" w:rsidR="00195C63" w:rsidRPr="00495989" w:rsidRDefault="00195C63" w:rsidP="00495989">
      <w:pPr>
        <w:ind w:left="851"/>
        <w:rPr>
          <w:sz w:val="24"/>
          <w:szCs w:val="24"/>
          <w:lang w:val="de-DE"/>
        </w:rPr>
      </w:pPr>
      <w:proofErr w:type="spellStart"/>
      <w:r w:rsidRPr="00495989">
        <w:rPr>
          <w:color w:val="000000"/>
          <w:sz w:val="24"/>
          <w:szCs w:val="24"/>
          <w:bdr w:val="none" w:sz="0" w:space="0" w:color="auto" w:frame="1"/>
        </w:rPr>
        <w:t>Junyelt</w:t>
      </w:r>
      <w:proofErr w:type="spellEnd"/>
      <w:r w:rsidRPr="00495989">
        <w:rPr>
          <w:color w:val="000000"/>
          <w:sz w:val="24"/>
          <w:szCs w:val="24"/>
          <w:bdr w:val="none" w:sz="0" w:space="0" w:color="auto" w:frame="1"/>
        </w:rPr>
        <w:t xml:space="preserve"> </w:t>
      </w:r>
      <w:r w:rsidRPr="00495989">
        <w:rPr>
          <w:sz w:val="24"/>
          <w:szCs w:val="24"/>
          <w:bdr w:val="none" w:sz="0" w:space="0" w:color="auto" w:frame="1"/>
        </w:rPr>
        <w:t xml:space="preserve">er ikke beregnet til administration i den aktuelle formulering. Det skal fortyndes til den ønskede endelige </w:t>
      </w:r>
      <w:proofErr w:type="spellStart"/>
      <w:r w:rsidRPr="00495989">
        <w:rPr>
          <w:sz w:val="24"/>
          <w:szCs w:val="24"/>
          <w:bdr w:val="none" w:sz="0" w:space="0" w:color="auto" w:frame="1"/>
        </w:rPr>
        <w:t>osmolaritet</w:t>
      </w:r>
      <w:proofErr w:type="spellEnd"/>
      <w:r w:rsidRPr="00495989">
        <w:rPr>
          <w:sz w:val="24"/>
          <w:szCs w:val="24"/>
          <w:bdr w:val="none" w:sz="0" w:space="0" w:color="auto" w:frame="1"/>
        </w:rPr>
        <w:t xml:space="preserve">. </w:t>
      </w:r>
    </w:p>
    <w:p w14:paraId="62EEDC6A" w14:textId="77777777" w:rsidR="00195C63" w:rsidRPr="00495989" w:rsidRDefault="00195C63" w:rsidP="00495989">
      <w:pPr>
        <w:ind w:left="851"/>
        <w:rPr>
          <w:sz w:val="24"/>
          <w:szCs w:val="24"/>
          <w:lang w:val="de-DE"/>
        </w:rPr>
      </w:pPr>
    </w:p>
    <w:p w14:paraId="008AA7C0" w14:textId="77777777" w:rsidR="00195C63" w:rsidRPr="00495989" w:rsidRDefault="00195C63" w:rsidP="00495989">
      <w:pPr>
        <w:ind w:left="851"/>
        <w:rPr>
          <w:sz w:val="24"/>
          <w:szCs w:val="24"/>
          <w:lang w:val="de-DE"/>
        </w:rPr>
      </w:pPr>
      <w:r w:rsidRPr="00495989">
        <w:rPr>
          <w:sz w:val="24"/>
          <w:szCs w:val="24"/>
          <w:bdr w:val="none" w:sz="0" w:space="0" w:color="auto" w:frame="1"/>
        </w:rPr>
        <w:t xml:space="preserve">For </w:t>
      </w:r>
      <w:r w:rsidRPr="00495989">
        <w:rPr>
          <w:sz w:val="24"/>
          <w:szCs w:val="24"/>
        </w:rPr>
        <w:t>instruktioner om</w:t>
      </w:r>
      <w:r w:rsidRPr="00495989">
        <w:rPr>
          <w:sz w:val="24"/>
          <w:szCs w:val="24"/>
          <w:bdr w:val="none" w:sz="0" w:space="0" w:color="auto" w:frame="1"/>
        </w:rPr>
        <w:t xml:space="preserve"> dosisjusteringer hos særlige patientgrupper, se pkt. 4.4.</w:t>
      </w:r>
    </w:p>
    <w:p w14:paraId="62523109" w14:textId="77777777" w:rsidR="00195C63" w:rsidRPr="00495989" w:rsidRDefault="00195C63" w:rsidP="00495989">
      <w:pPr>
        <w:ind w:left="851"/>
        <w:rPr>
          <w:sz w:val="24"/>
          <w:szCs w:val="24"/>
          <w:highlight w:val="green"/>
          <w:lang w:val="de-DE"/>
        </w:rPr>
      </w:pPr>
      <w:r w:rsidRPr="00495989">
        <w:rPr>
          <w:sz w:val="24"/>
          <w:szCs w:val="24"/>
          <w:bdr w:val="none" w:sz="0" w:space="0" w:color="auto" w:frame="1"/>
        </w:rPr>
        <w:t xml:space="preserve">For uforligeligheder og brugsvejledning, se pkt. 6.2 og 6.6. </w:t>
      </w:r>
    </w:p>
    <w:p w14:paraId="76D3B4EF" w14:textId="77777777" w:rsidR="009260DE" w:rsidRPr="00160FE2" w:rsidRDefault="009260DE" w:rsidP="00160FE2">
      <w:pPr>
        <w:tabs>
          <w:tab w:val="left" w:pos="851"/>
        </w:tabs>
        <w:ind w:left="851" w:hanging="851"/>
        <w:rPr>
          <w:sz w:val="24"/>
          <w:szCs w:val="24"/>
        </w:rPr>
      </w:pPr>
    </w:p>
    <w:p w14:paraId="32D12C1C" w14:textId="77777777" w:rsidR="009260DE" w:rsidRPr="00160FE2" w:rsidRDefault="009260DE" w:rsidP="00160FE2">
      <w:pPr>
        <w:tabs>
          <w:tab w:val="left" w:pos="851"/>
        </w:tabs>
        <w:ind w:left="851" w:hanging="851"/>
        <w:rPr>
          <w:b/>
          <w:sz w:val="24"/>
          <w:szCs w:val="24"/>
        </w:rPr>
      </w:pPr>
      <w:r w:rsidRPr="00160FE2">
        <w:rPr>
          <w:b/>
          <w:sz w:val="24"/>
          <w:szCs w:val="24"/>
        </w:rPr>
        <w:t>4.3</w:t>
      </w:r>
      <w:r w:rsidRPr="00160FE2">
        <w:rPr>
          <w:b/>
          <w:sz w:val="24"/>
          <w:szCs w:val="24"/>
        </w:rPr>
        <w:tab/>
        <w:t>Kontraindikationer</w:t>
      </w:r>
    </w:p>
    <w:p w14:paraId="4079D9D6" w14:textId="668E4249" w:rsidR="00195C63" w:rsidRPr="00160FE2" w:rsidRDefault="00195C63" w:rsidP="00495989">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e-DE"/>
        </w:rPr>
      </w:pPr>
      <w:r w:rsidRPr="00160FE2">
        <w:rPr>
          <w:rFonts w:ascii="Times New Roman" w:hAnsi="Times New Roman"/>
          <w:sz w:val="24"/>
          <w:szCs w:val="24"/>
          <w:bdr w:val="none" w:sz="0" w:space="0" w:color="auto" w:frame="1"/>
          <w:lang w:val="da-DK"/>
        </w:rPr>
        <w:t>Patienter med kendt overfølsomhed over for et af de aktive stoffer eller hjælpe</w:t>
      </w:r>
      <w:r w:rsidR="00023C61">
        <w:rPr>
          <w:rFonts w:ascii="Times New Roman" w:hAnsi="Times New Roman"/>
          <w:sz w:val="24"/>
          <w:szCs w:val="24"/>
          <w:bdr w:val="none" w:sz="0" w:space="0" w:color="auto" w:frame="1"/>
          <w:lang w:val="da-DK"/>
        </w:rPr>
        <w:softHyphen/>
      </w:r>
      <w:r w:rsidRPr="00160FE2">
        <w:rPr>
          <w:rFonts w:ascii="Times New Roman" w:hAnsi="Times New Roman"/>
          <w:sz w:val="24"/>
          <w:szCs w:val="24"/>
          <w:bdr w:val="none" w:sz="0" w:space="0" w:color="auto" w:frame="1"/>
          <w:lang w:val="da-DK"/>
        </w:rPr>
        <w:t>stofferne.</w:t>
      </w:r>
    </w:p>
    <w:p w14:paraId="1DA6CD52" w14:textId="7A91E240" w:rsidR="00195C63" w:rsidRPr="00160FE2" w:rsidRDefault="00195C63" w:rsidP="00495989">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e-DE"/>
        </w:rPr>
      </w:pPr>
      <w:r w:rsidRPr="00160FE2">
        <w:rPr>
          <w:rFonts w:ascii="Times New Roman" w:hAnsi="Times New Roman"/>
          <w:sz w:val="24"/>
          <w:szCs w:val="24"/>
          <w:bdr w:val="none" w:sz="0" w:space="0" w:color="auto" w:frame="1"/>
          <w:lang w:val="da-DK"/>
        </w:rPr>
        <w:t>Ved Wilsons sygdom og hvis serumkoncentrationerne af et eller flere af de spor</w:t>
      </w:r>
      <w:r w:rsidR="00023C61">
        <w:rPr>
          <w:rFonts w:ascii="Times New Roman" w:hAnsi="Times New Roman"/>
          <w:sz w:val="24"/>
          <w:szCs w:val="24"/>
          <w:bdr w:val="none" w:sz="0" w:space="0" w:color="auto" w:frame="1"/>
          <w:lang w:val="da-DK"/>
        </w:rPr>
        <w:softHyphen/>
      </w:r>
      <w:r w:rsidRPr="00160FE2">
        <w:rPr>
          <w:rFonts w:ascii="Times New Roman" w:hAnsi="Times New Roman"/>
          <w:sz w:val="24"/>
          <w:szCs w:val="24"/>
          <w:bdr w:val="none" w:sz="0" w:space="0" w:color="auto" w:frame="1"/>
          <w:lang w:val="da-DK"/>
        </w:rPr>
        <w:t xml:space="preserve">stoffer, som </w:t>
      </w:r>
      <w:proofErr w:type="spellStart"/>
      <w:r w:rsidRPr="00160FE2">
        <w:rPr>
          <w:rFonts w:ascii="Times New Roman" w:hAnsi="Times New Roman"/>
          <w:sz w:val="24"/>
          <w:szCs w:val="24"/>
          <w:bdr w:val="none" w:sz="0" w:space="0" w:color="auto" w:frame="1"/>
          <w:lang w:val="da-DK"/>
        </w:rPr>
        <w:t>Junyelt</w:t>
      </w:r>
      <w:proofErr w:type="spellEnd"/>
      <w:r w:rsidRPr="00160FE2">
        <w:rPr>
          <w:rFonts w:ascii="Times New Roman" w:hAnsi="Times New Roman"/>
          <w:sz w:val="24"/>
          <w:szCs w:val="24"/>
          <w:bdr w:val="none" w:sz="0" w:space="0" w:color="auto" w:frame="1"/>
          <w:lang w:val="da-DK"/>
        </w:rPr>
        <w:t xml:space="preserve"> indeholder, er forhøjede.</w:t>
      </w:r>
    </w:p>
    <w:p w14:paraId="20BB2162" w14:textId="77777777" w:rsidR="009260DE" w:rsidRPr="00160FE2" w:rsidRDefault="009260DE" w:rsidP="00160FE2">
      <w:pPr>
        <w:tabs>
          <w:tab w:val="left" w:pos="851"/>
        </w:tabs>
        <w:ind w:left="851" w:hanging="851"/>
        <w:rPr>
          <w:sz w:val="24"/>
          <w:szCs w:val="24"/>
        </w:rPr>
      </w:pPr>
    </w:p>
    <w:p w14:paraId="45FC749C" w14:textId="77777777" w:rsidR="009260DE" w:rsidRPr="00160FE2" w:rsidRDefault="009260DE" w:rsidP="00160FE2">
      <w:pPr>
        <w:tabs>
          <w:tab w:val="left" w:pos="851"/>
        </w:tabs>
        <w:ind w:left="851" w:hanging="851"/>
        <w:rPr>
          <w:b/>
          <w:sz w:val="24"/>
          <w:szCs w:val="24"/>
        </w:rPr>
      </w:pPr>
      <w:r w:rsidRPr="00160FE2">
        <w:rPr>
          <w:b/>
          <w:sz w:val="24"/>
          <w:szCs w:val="24"/>
        </w:rPr>
        <w:t>4.4</w:t>
      </w:r>
      <w:r w:rsidRPr="00160FE2">
        <w:rPr>
          <w:b/>
          <w:sz w:val="24"/>
          <w:szCs w:val="24"/>
        </w:rPr>
        <w:tab/>
        <w:t>Særlige advarsler og forsigtighedsregler vedrørende brugen</w:t>
      </w:r>
    </w:p>
    <w:p w14:paraId="6DF66413" w14:textId="77777777" w:rsidR="00195C63" w:rsidRPr="00495989" w:rsidRDefault="00195C63" w:rsidP="00495989">
      <w:pPr>
        <w:ind w:left="851"/>
        <w:rPr>
          <w:rFonts w:eastAsia="Calibri"/>
          <w:sz w:val="24"/>
          <w:szCs w:val="24"/>
          <w:highlight w:val="yellow"/>
          <w:lang w:val="de-DE"/>
        </w:rPr>
      </w:pPr>
      <w:r w:rsidRPr="00495989">
        <w:rPr>
          <w:sz w:val="24"/>
          <w:szCs w:val="24"/>
          <w:bdr w:val="none" w:sz="0" w:space="0" w:color="auto" w:frame="1"/>
        </w:rPr>
        <w:t xml:space="preserve">Opløsningen kan anvendes efter nøje kontrol af patientens kliniske og biologiske parametre. </w:t>
      </w:r>
    </w:p>
    <w:p w14:paraId="206A3221" w14:textId="77777777" w:rsidR="00195C63" w:rsidRPr="00495989" w:rsidRDefault="00195C63" w:rsidP="00495989">
      <w:pPr>
        <w:ind w:left="851"/>
        <w:rPr>
          <w:sz w:val="24"/>
          <w:szCs w:val="24"/>
          <w:lang w:val="de-DE" w:eastAsia="en-GB"/>
        </w:rPr>
      </w:pPr>
      <w:r w:rsidRPr="00495989">
        <w:rPr>
          <w:sz w:val="24"/>
          <w:szCs w:val="24"/>
          <w:bdr w:val="none" w:sz="0" w:space="0" w:color="auto" w:frame="1"/>
        </w:rPr>
        <w:t xml:space="preserve">I den pædiatriske population kan behovet for de enkelte sporstoffer variere på grundlag af faktorer som alder, vægt, tilgrundliggende sygdomme og varighed af parenteral ernæring. </w:t>
      </w:r>
    </w:p>
    <w:p w14:paraId="37175C7D" w14:textId="77777777" w:rsidR="00195C63" w:rsidRPr="00495989" w:rsidRDefault="00195C63" w:rsidP="00495989">
      <w:pPr>
        <w:ind w:left="851"/>
        <w:rPr>
          <w:rFonts w:eastAsia="Calibri"/>
          <w:sz w:val="24"/>
          <w:szCs w:val="24"/>
          <w:lang w:val="de-DE"/>
        </w:rPr>
      </w:pPr>
    </w:p>
    <w:p w14:paraId="1644067F" w14:textId="77777777" w:rsidR="00195C63" w:rsidRPr="00495989" w:rsidRDefault="00195C63" w:rsidP="00495989">
      <w:pPr>
        <w:ind w:left="851"/>
        <w:rPr>
          <w:rFonts w:eastAsia="Calibri"/>
          <w:sz w:val="24"/>
          <w:szCs w:val="24"/>
          <w:lang w:val="de-DE"/>
        </w:rPr>
      </w:pPr>
      <w:r w:rsidRPr="00495989">
        <w:rPr>
          <w:sz w:val="24"/>
          <w:szCs w:val="24"/>
          <w:bdr w:val="none" w:sz="0" w:space="0" w:color="auto" w:frame="1"/>
        </w:rPr>
        <w:t xml:space="preserve">Ved længerevarende kunstig ernæring skal koncentrationen af mangan i blodet kontrolleres regelmæssigt. Hvis koncentrationen af mangan stiger til det potentielt toksiske område (se venligst de relevante referenceintervaller), kan det være nødvendigt at reducere dosis eller stoppe infusionen med </w:t>
      </w:r>
      <w:proofErr w:type="spellStart"/>
      <w:r w:rsidRPr="00495989">
        <w:rPr>
          <w:sz w:val="24"/>
          <w:szCs w:val="24"/>
          <w:bdr w:val="none" w:sz="0" w:space="0" w:color="auto" w:frame="1"/>
        </w:rPr>
        <w:t>Junyelt</w:t>
      </w:r>
      <w:proofErr w:type="spellEnd"/>
      <w:r w:rsidRPr="00495989">
        <w:rPr>
          <w:sz w:val="24"/>
          <w:szCs w:val="24"/>
          <w:bdr w:val="none" w:sz="0" w:space="0" w:color="auto" w:frame="1"/>
        </w:rPr>
        <w:t>. Hvis der kommer neurologiske tegn, skal det overvejes, om der er tale om en overdosering med mangan.</w:t>
      </w:r>
    </w:p>
    <w:p w14:paraId="4AB9FCDE" w14:textId="77777777" w:rsidR="00195C63" w:rsidRPr="00495989" w:rsidRDefault="00195C63" w:rsidP="00495989">
      <w:pPr>
        <w:ind w:left="851"/>
        <w:rPr>
          <w:rFonts w:eastAsia="Calibri"/>
          <w:sz w:val="24"/>
          <w:szCs w:val="24"/>
          <w:lang w:val="de-DE"/>
        </w:rPr>
      </w:pPr>
    </w:p>
    <w:p w14:paraId="5519300B" w14:textId="6C918622" w:rsidR="00195C63" w:rsidRDefault="00195C63" w:rsidP="00495989">
      <w:pPr>
        <w:ind w:left="851"/>
        <w:rPr>
          <w:sz w:val="24"/>
          <w:szCs w:val="24"/>
          <w:bdr w:val="none" w:sz="0" w:space="0" w:color="auto" w:frame="1"/>
        </w:rPr>
      </w:pPr>
      <w:r w:rsidRPr="00495989">
        <w:rPr>
          <w:sz w:val="24"/>
          <w:szCs w:val="24"/>
          <w:bdr w:val="none" w:sz="0" w:space="0" w:color="auto" w:frame="1"/>
        </w:rPr>
        <w:t xml:space="preserve">Der skal især udvises forsigtighed, når lægemidlet anvendes til patienter med nedsat biliær </w:t>
      </w:r>
      <w:proofErr w:type="spellStart"/>
      <w:r w:rsidRPr="00495989">
        <w:rPr>
          <w:sz w:val="24"/>
          <w:szCs w:val="24"/>
          <w:bdr w:val="none" w:sz="0" w:space="0" w:color="auto" w:frame="1"/>
        </w:rPr>
        <w:t>ekskretion</w:t>
      </w:r>
      <w:proofErr w:type="spellEnd"/>
      <w:r w:rsidRPr="00495989">
        <w:rPr>
          <w:sz w:val="24"/>
          <w:szCs w:val="24"/>
          <w:bdr w:val="none" w:sz="0" w:space="0" w:color="auto" w:frame="1"/>
        </w:rPr>
        <w:t xml:space="preserve">, da dette kan påvirke den biliære elimination af mangan, kobber og zink, hvilket kan medføre akkumulation og overdosering. Hvis der forekommer kvalme, opkastning eller smerter i </w:t>
      </w:r>
      <w:proofErr w:type="spellStart"/>
      <w:r w:rsidRPr="00495989">
        <w:rPr>
          <w:sz w:val="24"/>
          <w:szCs w:val="24"/>
          <w:bdr w:val="none" w:sz="0" w:space="0" w:color="auto" w:frame="1"/>
        </w:rPr>
        <w:t>epigastriet</w:t>
      </w:r>
      <w:proofErr w:type="spellEnd"/>
      <w:r w:rsidRPr="00495989">
        <w:rPr>
          <w:sz w:val="24"/>
          <w:szCs w:val="24"/>
          <w:bdr w:val="none" w:sz="0" w:space="0" w:color="auto" w:frame="1"/>
        </w:rPr>
        <w:t xml:space="preserve">, skal det overvejes, om der er tale om en overdosering med kobber. Hos patienter med nedsat leverfunktion eller mild </w:t>
      </w:r>
      <w:proofErr w:type="spellStart"/>
      <w:r w:rsidRPr="00495989">
        <w:rPr>
          <w:sz w:val="24"/>
          <w:szCs w:val="24"/>
          <w:bdr w:val="none" w:sz="0" w:space="0" w:color="auto" w:frame="1"/>
        </w:rPr>
        <w:t>cholestase</w:t>
      </w:r>
      <w:proofErr w:type="spellEnd"/>
      <w:r w:rsidRPr="00495989">
        <w:rPr>
          <w:sz w:val="24"/>
          <w:szCs w:val="24"/>
          <w:bdr w:val="none" w:sz="0" w:space="0" w:color="auto" w:frame="1"/>
        </w:rPr>
        <w:t xml:space="preserve"> skal doseringen tilpasses. Endvidere, ved udtalt </w:t>
      </w:r>
      <w:proofErr w:type="spellStart"/>
      <w:r w:rsidRPr="00495989">
        <w:rPr>
          <w:sz w:val="24"/>
          <w:szCs w:val="24"/>
          <w:bdr w:val="none" w:sz="0" w:space="0" w:color="auto" w:frame="1"/>
        </w:rPr>
        <w:t>cholestase</w:t>
      </w:r>
      <w:proofErr w:type="spellEnd"/>
      <w:r w:rsidRPr="00495989">
        <w:rPr>
          <w:sz w:val="24"/>
          <w:szCs w:val="24"/>
          <w:bdr w:val="none" w:sz="0" w:space="0" w:color="auto" w:frame="1"/>
        </w:rPr>
        <w:t xml:space="preserve"> bør koncentrationen af kobber i blodet og </w:t>
      </w:r>
      <w:proofErr w:type="spellStart"/>
      <w:r w:rsidRPr="00495989">
        <w:rPr>
          <w:sz w:val="24"/>
          <w:szCs w:val="24"/>
          <w:bdr w:val="none" w:sz="0" w:space="0" w:color="auto" w:frame="1"/>
        </w:rPr>
        <w:t>hepatobiliære</w:t>
      </w:r>
      <w:proofErr w:type="spellEnd"/>
      <w:r w:rsidRPr="00495989">
        <w:rPr>
          <w:sz w:val="24"/>
          <w:szCs w:val="24"/>
          <w:bdr w:val="none" w:sz="0" w:space="0" w:color="auto" w:frame="1"/>
        </w:rPr>
        <w:t xml:space="preserve"> parametre kontrolleres.</w:t>
      </w:r>
    </w:p>
    <w:p w14:paraId="25D3C3C9" w14:textId="77777777" w:rsidR="00495989" w:rsidRPr="00495989" w:rsidRDefault="00495989" w:rsidP="00495989">
      <w:pPr>
        <w:ind w:left="851"/>
        <w:rPr>
          <w:sz w:val="24"/>
          <w:szCs w:val="24"/>
          <w:lang w:eastAsia="en-GB"/>
        </w:rPr>
      </w:pPr>
    </w:p>
    <w:p w14:paraId="4254F7C7" w14:textId="77777777" w:rsidR="00195C63" w:rsidRPr="00495989" w:rsidRDefault="00195C63" w:rsidP="00495989">
      <w:pPr>
        <w:ind w:left="851"/>
        <w:rPr>
          <w:rFonts w:eastAsia="Calibri"/>
          <w:sz w:val="24"/>
          <w:szCs w:val="24"/>
        </w:rPr>
      </w:pPr>
      <w:proofErr w:type="spellStart"/>
      <w:r w:rsidRPr="00495989">
        <w:rPr>
          <w:sz w:val="24"/>
          <w:szCs w:val="24"/>
          <w:bdr w:val="none" w:sz="0" w:space="0" w:color="auto" w:frame="1"/>
        </w:rPr>
        <w:t>Junyelt</w:t>
      </w:r>
      <w:proofErr w:type="spellEnd"/>
      <w:r w:rsidRPr="00495989">
        <w:rPr>
          <w:sz w:val="24"/>
          <w:szCs w:val="24"/>
          <w:bdr w:val="none" w:sz="0" w:space="0" w:color="auto" w:frame="1"/>
        </w:rPr>
        <w:t xml:space="preserve"> skal anvendes med forsigtighed til patienter med nedsat nyrefunktion, da udskillelsen af visse sporstoffer (selen og zink) kan være signifikant nedsat, hvilket kan medføre akkumulation og overdosering. Hos patienter med nedsat nyrefunktion skal doseringen tilpasses.</w:t>
      </w:r>
    </w:p>
    <w:p w14:paraId="50B268B4" w14:textId="77777777" w:rsidR="00195C63" w:rsidRPr="00495989" w:rsidRDefault="00195C63" w:rsidP="00495989">
      <w:pPr>
        <w:ind w:left="851"/>
        <w:rPr>
          <w:rFonts w:eastAsia="Calibri"/>
          <w:sz w:val="24"/>
          <w:szCs w:val="24"/>
        </w:rPr>
      </w:pPr>
    </w:p>
    <w:p w14:paraId="6767B24E" w14:textId="77777777" w:rsidR="00195C63" w:rsidRPr="00495989" w:rsidRDefault="00195C63" w:rsidP="00495989">
      <w:pPr>
        <w:ind w:left="851"/>
        <w:rPr>
          <w:rFonts w:eastAsia="Calibri"/>
          <w:sz w:val="24"/>
          <w:szCs w:val="24"/>
        </w:rPr>
      </w:pPr>
      <w:proofErr w:type="spellStart"/>
      <w:r w:rsidRPr="00495989">
        <w:rPr>
          <w:sz w:val="24"/>
          <w:szCs w:val="24"/>
          <w:bdr w:val="none" w:sz="0" w:space="0" w:color="auto" w:frame="1"/>
        </w:rPr>
        <w:t>Junyelt</w:t>
      </w:r>
      <w:proofErr w:type="spellEnd"/>
      <w:r w:rsidRPr="00495989">
        <w:rPr>
          <w:sz w:val="24"/>
          <w:szCs w:val="24"/>
          <w:bdr w:val="none" w:sz="0" w:space="0" w:color="auto" w:frame="1"/>
        </w:rPr>
        <w:t xml:space="preserve"> skal bruges med forsigtighed til patienter med manifest </w:t>
      </w:r>
      <w:proofErr w:type="spellStart"/>
      <w:r w:rsidRPr="00495989">
        <w:rPr>
          <w:sz w:val="24"/>
          <w:szCs w:val="24"/>
          <w:bdr w:val="none" w:sz="0" w:space="0" w:color="auto" w:frame="1"/>
        </w:rPr>
        <w:t>hyperthyreose</w:t>
      </w:r>
      <w:proofErr w:type="spellEnd"/>
      <w:r w:rsidRPr="00495989">
        <w:rPr>
          <w:sz w:val="24"/>
          <w:szCs w:val="24"/>
          <w:bdr w:val="none" w:sz="0" w:space="0" w:color="auto" w:frame="1"/>
        </w:rPr>
        <w:t>.</w:t>
      </w:r>
    </w:p>
    <w:p w14:paraId="10305047" w14:textId="77777777" w:rsidR="00195C63" w:rsidRPr="00495989" w:rsidRDefault="00195C63" w:rsidP="00495989">
      <w:pPr>
        <w:ind w:left="851"/>
        <w:rPr>
          <w:rFonts w:eastAsia="Calibri"/>
          <w:sz w:val="24"/>
          <w:szCs w:val="24"/>
        </w:rPr>
      </w:pPr>
    </w:p>
    <w:p w14:paraId="28846386" w14:textId="77777777" w:rsidR="00195C63" w:rsidRPr="00495989" w:rsidRDefault="00195C63" w:rsidP="00495989">
      <w:pPr>
        <w:ind w:left="851"/>
        <w:rPr>
          <w:rFonts w:eastAsia="Calibri"/>
          <w:sz w:val="24"/>
          <w:szCs w:val="24"/>
        </w:rPr>
      </w:pPr>
      <w:r w:rsidRPr="00495989">
        <w:rPr>
          <w:sz w:val="24"/>
          <w:szCs w:val="24"/>
          <w:bdr w:val="none" w:sz="0" w:space="0" w:color="auto" w:frame="1"/>
        </w:rPr>
        <w:t>Hos patienter, der får parenteral ernæring i mellemlange til lange perioder, er der en øget forekomst af kobber-, zink- og selenmangel. I sådanne tilfælde kan det være nødvendigt at tilpasse dosis ved yderligere tilførsel af opløsninger, der alene indeholder disse enkeltstoffer.</w:t>
      </w:r>
    </w:p>
    <w:p w14:paraId="79EADA34" w14:textId="77777777" w:rsidR="00195C63" w:rsidRPr="00495989" w:rsidRDefault="00195C63" w:rsidP="00495989">
      <w:pPr>
        <w:ind w:left="851"/>
        <w:rPr>
          <w:rFonts w:eastAsia="Calibri"/>
          <w:sz w:val="24"/>
          <w:szCs w:val="24"/>
          <w:lang w:val="de-DE"/>
        </w:rPr>
      </w:pPr>
      <w:r w:rsidRPr="00495989">
        <w:rPr>
          <w:sz w:val="24"/>
          <w:szCs w:val="24"/>
          <w:bdr w:val="none" w:sz="0" w:space="0" w:color="auto" w:frame="1"/>
        </w:rPr>
        <w:lastRenderedPageBreak/>
        <w:t xml:space="preserve">På grund af risikoen for udfældning må der ikke tilsættes lægemidler eller elektrolytter til </w:t>
      </w:r>
      <w:proofErr w:type="spellStart"/>
      <w:r w:rsidRPr="00495989">
        <w:rPr>
          <w:sz w:val="24"/>
          <w:szCs w:val="24"/>
          <w:bdr w:val="none" w:sz="0" w:space="0" w:color="auto" w:frame="1"/>
        </w:rPr>
        <w:t>Junyelt</w:t>
      </w:r>
      <w:proofErr w:type="spellEnd"/>
      <w:r w:rsidRPr="00495989">
        <w:rPr>
          <w:sz w:val="24"/>
          <w:szCs w:val="24"/>
          <w:bdr w:val="none" w:sz="0" w:space="0" w:color="auto" w:frame="1"/>
        </w:rPr>
        <w:t xml:space="preserve">, før sidstnævnte er blevet fortyndet. Kompatibilitetsprofilen for infusionsopløsninger, der gives via samme forbindelse, skal verificeres. </w:t>
      </w:r>
    </w:p>
    <w:p w14:paraId="41C1E484" w14:textId="77777777" w:rsidR="00195C63" w:rsidRPr="00495989" w:rsidRDefault="00195C63" w:rsidP="00495989">
      <w:pPr>
        <w:ind w:left="851"/>
        <w:rPr>
          <w:rFonts w:eastAsia="Calibri"/>
          <w:sz w:val="24"/>
          <w:szCs w:val="24"/>
          <w:lang w:val="de-DE"/>
        </w:rPr>
      </w:pPr>
    </w:p>
    <w:p w14:paraId="46687DE2" w14:textId="77777777" w:rsidR="00195C63" w:rsidRPr="00495989" w:rsidRDefault="00195C63" w:rsidP="00495989">
      <w:pPr>
        <w:ind w:left="851"/>
        <w:rPr>
          <w:rFonts w:eastAsia="Calibri"/>
          <w:sz w:val="24"/>
          <w:szCs w:val="24"/>
          <w:lang w:val="de-DE"/>
        </w:rPr>
      </w:pPr>
      <w:r w:rsidRPr="00495989">
        <w:rPr>
          <w:sz w:val="24"/>
          <w:szCs w:val="24"/>
          <w:bdr w:val="none" w:sz="0" w:space="0" w:color="auto" w:frame="1"/>
        </w:rPr>
        <w:t xml:space="preserve">Hvis der indtages yderligere jod i forbindelse med brug af jodholdige </w:t>
      </w:r>
      <w:proofErr w:type="spellStart"/>
      <w:r w:rsidRPr="00495989">
        <w:rPr>
          <w:sz w:val="24"/>
          <w:szCs w:val="24"/>
          <w:bdr w:val="none" w:sz="0" w:space="0" w:color="auto" w:frame="1"/>
        </w:rPr>
        <w:t>antiseptika</w:t>
      </w:r>
      <w:proofErr w:type="spellEnd"/>
      <w:r w:rsidRPr="00495989">
        <w:rPr>
          <w:sz w:val="24"/>
          <w:szCs w:val="24"/>
          <w:bdr w:val="none" w:sz="0" w:space="0" w:color="auto" w:frame="1"/>
        </w:rPr>
        <w:t xml:space="preserve">, er det ikke nødvendigt at justere dosis af </w:t>
      </w:r>
      <w:proofErr w:type="spellStart"/>
      <w:r w:rsidRPr="00495989">
        <w:rPr>
          <w:sz w:val="24"/>
          <w:szCs w:val="24"/>
          <w:bdr w:val="none" w:sz="0" w:space="0" w:color="auto" w:frame="1"/>
        </w:rPr>
        <w:t>Junyelt</w:t>
      </w:r>
      <w:proofErr w:type="spellEnd"/>
      <w:r w:rsidRPr="00495989">
        <w:rPr>
          <w:sz w:val="24"/>
          <w:szCs w:val="24"/>
          <w:bdr w:val="none" w:sz="0" w:space="0" w:color="auto" w:frame="1"/>
        </w:rPr>
        <w:t>.</w:t>
      </w:r>
    </w:p>
    <w:p w14:paraId="3634169F" w14:textId="77777777" w:rsidR="009260DE" w:rsidRPr="00160FE2" w:rsidRDefault="009260DE" w:rsidP="00160FE2">
      <w:pPr>
        <w:tabs>
          <w:tab w:val="left" w:pos="851"/>
        </w:tabs>
        <w:ind w:left="851" w:hanging="851"/>
        <w:rPr>
          <w:sz w:val="24"/>
          <w:szCs w:val="24"/>
        </w:rPr>
      </w:pPr>
    </w:p>
    <w:p w14:paraId="0754938E" w14:textId="77777777" w:rsidR="009260DE" w:rsidRPr="00160FE2" w:rsidRDefault="009260DE" w:rsidP="00160FE2">
      <w:pPr>
        <w:tabs>
          <w:tab w:val="left" w:pos="851"/>
        </w:tabs>
        <w:ind w:left="851" w:hanging="851"/>
        <w:rPr>
          <w:b/>
          <w:sz w:val="24"/>
          <w:szCs w:val="24"/>
        </w:rPr>
      </w:pPr>
      <w:r w:rsidRPr="00160FE2">
        <w:rPr>
          <w:b/>
          <w:sz w:val="24"/>
          <w:szCs w:val="24"/>
        </w:rPr>
        <w:t>4.5</w:t>
      </w:r>
      <w:r w:rsidRPr="00160FE2">
        <w:rPr>
          <w:b/>
          <w:sz w:val="24"/>
          <w:szCs w:val="24"/>
        </w:rPr>
        <w:tab/>
        <w:t>Interaktion med andre lægemidler og andre former for interaktion</w:t>
      </w:r>
    </w:p>
    <w:p w14:paraId="50C3A437" w14:textId="77777777" w:rsidR="00195C63" w:rsidRPr="00160FE2" w:rsidRDefault="00195C63" w:rsidP="00495989">
      <w:pPr>
        <w:autoSpaceDE w:val="0"/>
        <w:autoSpaceDN w:val="0"/>
        <w:adjustRightInd w:val="0"/>
        <w:ind w:left="851"/>
        <w:rPr>
          <w:bCs/>
          <w:sz w:val="24"/>
          <w:szCs w:val="24"/>
          <w:lang w:val="de-DE"/>
        </w:rPr>
      </w:pPr>
      <w:r w:rsidRPr="00160FE2">
        <w:rPr>
          <w:bCs/>
          <w:sz w:val="24"/>
          <w:szCs w:val="24"/>
          <w:bdr w:val="none" w:sz="0" w:space="0" w:color="auto" w:frame="1"/>
        </w:rPr>
        <w:t>Der er ikke udført interaktionsstudier.</w:t>
      </w:r>
    </w:p>
    <w:p w14:paraId="5F530019" w14:textId="77777777" w:rsidR="009260DE" w:rsidRPr="00160FE2" w:rsidRDefault="009260DE" w:rsidP="00160FE2">
      <w:pPr>
        <w:tabs>
          <w:tab w:val="left" w:pos="851"/>
        </w:tabs>
        <w:ind w:left="851" w:hanging="851"/>
        <w:rPr>
          <w:sz w:val="24"/>
          <w:szCs w:val="24"/>
        </w:rPr>
      </w:pPr>
    </w:p>
    <w:p w14:paraId="0E379DCB" w14:textId="77777777" w:rsidR="009260DE" w:rsidRPr="00160FE2" w:rsidRDefault="009260DE" w:rsidP="00160FE2">
      <w:pPr>
        <w:tabs>
          <w:tab w:val="left" w:pos="851"/>
        </w:tabs>
        <w:ind w:left="851" w:hanging="851"/>
        <w:rPr>
          <w:b/>
          <w:sz w:val="24"/>
          <w:szCs w:val="24"/>
        </w:rPr>
      </w:pPr>
      <w:r w:rsidRPr="00160FE2">
        <w:rPr>
          <w:b/>
          <w:sz w:val="24"/>
          <w:szCs w:val="24"/>
        </w:rPr>
        <w:t>4.6</w:t>
      </w:r>
      <w:r w:rsidRPr="00160FE2">
        <w:rPr>
          <w:b/>
          <w:sz w:val="24"/>
          <w:szCs w:val="24"/>
        </w:rPr>
        <w:tab/>
        <w:t>Graviditet og amning</w:t>
      </w:r>
    </w:p>
    <w:p w14:paraId="697CA188" w14:textId="77777777" w:rsidR="00195C63" w:rsidRPr="00160FE2" w:rsidRDefault="00195C63" w:rsidP="00495989">
      <w:pPr>
        <w:autoSpaceDE w:val="0"/>
        <w:autoSpaceDN w:val="0"/>
        <w:adjustRightInd w:val="0"/>
        <w:ind w:left="851"/>
        <w:rPr>
          <w:color w:val="000000"/>
          <w:sz w:val="24"/>
          <w:szCs w:val="24"/>
        </w:rPr>
      </w:pPr>
      <w:r w:rsidRPr="00160FE2">
        <w:rPr>
          <w:color w:val="000000"/>
          <w:sz w:val="24"/>
          <w:szCs w:val="24"/>
          <w:bdr w:val="none" w:sz="0" w:space="0" w:color="auto" w:frame="1"/>
        </w:rPr>
        <w:t>Ikke relevant.</w:t>
      </w:r>
    </w:p>
    <w:p w14:paraId="3F56BD10" w14:textId="77777777" w:rsidR="009260DE" w:rsidRPr="00160FE2" w:rsidRDefault="009260DE" w:rsidP="00160FE2">
      <w:pPr>
        <w:tabs>
          <w:tab w:val="left" w:pos="851"/>
        </w:tabs>
        <w:ind w:left="851" w:hanging="851"/>
        <w:rPr>
          <w:sz w:val="24"/>
          <w:szCs w:val="24"/>
        </w:rPr>
      </w:pPr>
    </w:p>
    <w:p w14:paraId="7D9FF563" w14:textId="77777777" w:rsidR="009260DE" w:rsidRPr="00160FE2" w:rsidRDefault="009260DE" w:rsidP="00160FE2">
      <w:pPr>
        <w:tabs>
          <w:tab w:val="left" w:pos="851"/>
        </w:tabs>
        <w:ind w:left="851" w:hanging="851"/>
        <w:rPr>
          <w:b/>
          <w:sz w:val="24"/>
          <w:szCs w:val="24"/>
        </w:rPr>
      </w:pPr>
      <w:r w:rsidRPr="00160FE2">
        <w:rPr>
          <w:b/>
          <w:sz w:val="24"/>
          <w:szCs w:val="24"/>
        </w:rPr>
        <w:t>4.7</w:t>
      </w:r>
      <w:r w:rsidRPr="00160FE2">
        <w:rPr>
          <w:b/>
          <w:sz w:val="24"/>
          <w:szCs w:val="24"/>
        </w:rPr>
        <w:tab/>
        <w:t>Virkninger på evnen til at føre motorkøretøj eller betjene maskiner</w:t>
      </w:r>
    </w:p>
    <w:p w14:paraId="480AC31F" w14:textId="77777777" w:rsidR="00495989" w:rsidRDefault="00495989" w:rsidP="00495989">
      <w:pPr>
        <w:ind w:left="851"/>
        <w:rPr>
          <w:color w:val="000000"/>
          <w:sz w:val="24"/>
          <w:szCs w:val="24"/>
          <w:bdr w:val="none" w:sz="0" w:space="0" w:color="auto" w:frame="1"/>
        </w:rPr>
      </w:pPr>
      <w:r>
        <w:rPr>
          <w:color w:val="000000"/>
          <w:sz w:val="24"/>
          <w:szCs w:val="24"/>
          <w:bdr w:val="none" w:sz="0" w:space="0" w:color="auto" w:frame="1"/>
        </w:rPr>
        <w:t>Ikke mærkning.</w:t>
      </w:r>
    </w:p>
    <w:p w14:paraId="049DB6C5" w14:textId="5FEC5294" w:rsidR="00D0497F" w:rsidRPr="00160FE2" w:rsidRDefault="00D0497F" w:rsidP="00495989">
      <w:pPr>
        <w:ind w:left="851"/>
        <w:rPr>
          <w:noProof/>
          <w:sz w:val="24"/>
          <w:szCs w:val="24"/>
          <w:lang w:val="de-DE"/>
        </w:rPr>
      </w:pPr>
      <w:r w:rsidRPr="00160FE2">
        <w:rPr>
          <w:color w:val="000000"/>
          <w:sz w:val="24"/>
          <w:szCs w:val="24"/>
          <w:bdr w:val="none" w:sz="0" w:space="0" w:color="auto" w:frame="1"/>
        </w:rPr>
        <w:t>Ikke relevant.</w:t>
      </w:r>
    </w:p>
    <w:p w14:paraId="1980D469" w14:textId="77777777" w:rsidR="009260DE" w:rsidRPr="00160FE2" w:rsidRDefault="009260DE" w:rsidP="00160FE2">
      <w:pPr>
        <w:tabs>
          <w:tab w:val="left" w:pos="851"/>
        </w:tabs>
        <w:ind w:left="851" w:hanging="851"/>
        <w:rPr>
          <w:sz w:val="24"/>
          <w:szCs w:val="24"/>
        </w:rPr>
      </w:pPr>
    </w:p>
    <w:p w14:paraId="7E618167" w14:textId="77777777" w:rsidR="009260DE" w:rsidRPr="00160FE2" w:rsidRDefault="009260DE" w:rsidP="00160FE2">
      <w:pPr>
        <w:tabs>
          <w:tab w:val="left" w:pos="851"/>
        </w:tabs>
        <w:ind w:left="851" w:hanging="851"/>
        <w:rPr>
          <w:b/>
          <w:sz w:val="24"/>
          <w:szCs w:val="24"/>
        </w:rPr>
      </w:pPr>
      <w:r w:rsidRPr="00160FE2">
        <w:rPr>
          <w:b/>
          <w:sz w:val="24"/>
          <w:szCs w:val="24"/>
        </w:rPr>
        <w:t>4.8</w:t>
      </w:r>
      <w:r w:rsidRPr="00160FE2">
        <w:rPr>
          <w:b/>
          <w:sz w:val="24"/>
          <w:szCs w:val="24"/>
        </w:rPr>
        <w:tab/>
        <w:t>Bivirkninger</w:t>
      </w:r>
    </w:p>
    <w:p w14:paraId="26D6A9B0" w14:textId="3E92DBEB" w:rsidR="00D0497F" w:rsidRPr="00495989" w:rsidRDefault="00D0497F" w:rsidP="00495989">
      <w:pPr>
        <w:ind w:left="851"/>
        <w:rPr>
          <w:sz w:val="24"/>
          <w:szCs w:val="24"/>
        </w:rPr>
      </w:pPr>
      <w:r w:rsidRPr="00495989">
        <w:rPr>
          <w:sz w:val="24"/>
          <w:szCs w:val="24"/>
          <w:bdr w:val="none" w:sz="0" w:space="0" w:color="auto" w:frame="1"/>
        </w:rPr>
        <w:t xml:space="preserve">Følgende bivirkning af opløsninger med sporstoffer er rapporteret efter markedsføringen. Hyppigheden er ikke kendt (kan ikke estimeres ud fra forhåndenværende data). </w:t>
      </w:r>
    </w:p>
    <w:p w14:paraId="1438884D" w14:textId="77777777" w:rsidR="00D0497F" w:rsidRPr="00495989" w:rsidRDefault="00D0497F" w:rsidP="00495989">
      <w:pPr>
        <w:ind w:left="851"/>
        <w:rPr>
          <w:sz w:val="24"/>
          <w:szCs w:val="24"/>
        </w:rPr>
      </w:pPr>
    </w:p>
    <w:tbl>
      <w:tblPr>
        <w:tblW w:w="843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06"/>
      </w:tblGrid>
      <w:tr w:rsidR="00495989" w:rsidRPr="00495989" w14:paraId="4BEAD0A8" w14:textId="77777777" w:rsidTr="00495989">
        <w:tc>
          <w:tcPr>
            <w:tcW w:w="3827" w:type="dxa"/>
            <w:tcBorders>
              <w:top w:val="single" w:sz="4" w:space="0" w:color="auto"/>
              <w:left w:val="single" w:sz="4" w:space="0" w:color="auto"/>
              <w:bottom w:val="single" w:sz="4" w:space="0" w:color="auto"/>
              <w:right w:val="single" w:sz="4" w:space="0" w:color="auto"/>
            </w:tcBorders>
            <w:hideMark/>
          </w:tcPr>
          <w:p w14:paraId="57D1B0C3" w14:textId="77777777" w:rsidR="00D0497F" w:rsidRPr="00495989" w:rsidRDefault="00D0497F" w:rsidP="00495989">
            <w:pPr>
              <w:rPr>
                <w:sz w:val="24"/>
                <w:szCs w:val="24"/>
                <w:lang w:val="en-US"/>
              </w:rPr>
            </w:pPr>
            <w:r w:rsidRPr="00495989">
              <w:rPr>
                <w:sz w:val="24"/>
                <w:szCs w:val="24"/>
                <w:bdr w:val="none" w:sz="0" w:space="0" w:color="auto" w:frame="1"/>
              </w:rPr>
              <w:t>Systemorganklasse (SOC)</w:t>
            </w:r>
          </w:p>
        </w:tc>
        <w:tc>
          <w:tcPr>
            <w:tcW w:w="4606" w:type="dxa"/>
            <w:tcBorders>
              <w:top w:val="single" w:sz="4" w:space="0" w:color="auto"/>
              <w:left w:val="single" w:sz="4" w:space="0" w:color="auto"/>
              <w:bottom w:val="single" w:sz="4" w:space="0" w:color="auto"/>
              <w:right w:val="single" w:sz="4" w:space="0" w:color="auto"/>
            </w:tcBorders>
            <w:hideMark/>
          </w:tcPr>
          <w:p w14:paraId="22770AEC" w14:textId="77777777" w:rsidR="00D0497F" w:rsidRPr="00495989" w:rsidRDefault="00D0497F" w:rsidP="00495989">
            <w:pPr>
              <w:rPr>
                <w:sz w:val="24"/>
                <w:szCs w:val="24"/>
                <w:lang w:val="en-US"/>
              </w:rPr>
            </w:pPr>
            <w:proofErr w:type="spellStart"/>
            <w:r w:rsidRPr="00495989">
              <w:rPr>
                <w:sz w:val="24"/>
                <w:szCs w:val="24"/>
                <w:bdr w:val="none" w:sz="0" w:space="0" w:color="auto" w:frame="1"/>
              </w:rPr>
              <w:t>MedDRA</w:t>
            </w:r>
            <w:proofErr w:type="spellEnd"/>
            <w:r w:rsidRPr="00495989">
              <w:rPr>
                <w:sz w:val="24"/>
                <w:szCs w:val="24"/>
                <w:bdr w:val="none" w:sz="0" w:space="0" w:color="auto" w:frame="1"/>
              </w:rPr>
              <w:t xml:space="preserve"> foretrukken term </w:t>
            </w:r>
          </w:p>
        </w:tc>
      </w:tr>
      <w:tr w:rsidR="00495989" w:rsidRPr="00495989" w14:paraId="7B6E0B57" w14:textId="77777777" w:rsidTr="00495989">
        <w:tc>
          <w:tcPr>
            <w:tcW w:w="3827" w:type="dxa"/>
            <w:tcBorders>
              <w:top w:val="single" w:sz="4" w:space="0" w:color="auto"/>
              <w:left w:val="single" w:sz="4" w:space="0" w:color="auto"/>
              <w:bottom w:val="single" w:sz="4" w:space="0" w:color="auto"/>
              <w:right w:val="single" w:sz="4" w:space="0" w:color="auto"/>
            </w:tcBorders>
            <w:hideMark/>
          </w:tcPr>
          <w:p w14:paraId="0A539D78" w14:textId="3E13D0D2" w:rsidR="00D0497F" w:rsidRPr="00495989" w:rsidRDefault="00D0497F" w:rsidP="00495989">
            <w:pPr>
              <w:rPr>
                <w:sz w:val="24"/>
                <w:szCs w:val="24"/>
                <w:lang w:val="de-DE"/>
              </w:rPr>
            </w:pPr>
            <w:r w:rsidRPr="00495989">
              <w:rPr>
                <w:sz w:val="24"/>
                <w:szCs w:val="24"/>
                <w:bdr w:val="none" w:sz="0" w:space="0" w:color="auto" w:frame="1"/>
              </w:rPr>
              <w:t>A</w:t>
            </w:r>
            <w:r w:rsidR="00495989">
              <w:rPr>
                <w:sz w:val="24"/>
                <w:szCs w:val="24"/>
                <w:bdr w:val="none" w:sz="0" w:space="0" w:color="auto" w:frame="1"/>
              </w:rPr>
              <w:t>lmene</w:t>
            </w:r>
            <w:r w:rsidRPr="00495989">
              <w:rPr>
                <w:sz w:val="24"/>
                <w:szCs w:val="24"/>
                <w:bdr w:val="none" w:sz="0" w:space="0" w:color="auto" w:frame="1"/>
              </w:rPr>
              <w:t xml:space="preserve"> </w:t>
            </w:r>
            <w:r w:rsidR="00495989">
              <w:rPr>
                <w:sz w:val="24"/>
                <w:szCs w:val="24"/>
                <w:bdr w:val="none" w:sz="0" w:space="0" w:color="auto" w:frame="1"/>
              </w:rPr>
              <w:t>symptomer</w:t>
            </w:r>
            <w:r w:rsidRPr="00495989">
              <w:rPr>
                <w:sz w:val="24"/>
                <w:szCs w:val="24"/>
                <w:bdr w:val="none" w:sz="0" w:space="0" w:color="auto" w:frame="1"/>
              </w:rPr>
              <w:t xml:space="preserve"> </w:t>
            </w:r>
            <w:r w:rsidR="00495989">
              <w:rPr>
                <w:sz w:val="24"/>
                <w:szCs w:val="24"/>
                <w:bdr w:val="none" w:sz="0" w:space="0" w:color="auto" w:frame="1"/>
              </w:rPr>
              <w:t>og</w:t>
            </w:r>
            <w:r w:rsidRPr="00495989">
              <w:rPr>
                <w:sz w:val="24"/>
                <w:szCs w:val="24"/>
                <w:bdr w:val="none" w:sz="0" w:space="0" w:color="auto" w:frame="1"/>
              </w:rPr>
              <w:t xml:space="preserve"> </w:t>
            </w:r>
            <w:r w:rsidR="00495989">
              <w:rPr>
                <w:sz w:val="24"/>
                <w:szCs w:val="24"/>
                <w:bdr w:val="none" w:sz="0" w:space="0" w:color="auto" w:frame="1"/>
              </w:rPr>
              <w:t>reaktioner</w:t>
            </w:r>
            <w:r w:rsidRPr="00495989">
              <w:rPr>
                <w:sz w:val="24"/>
                <w:szCs w:val="24"/>
                <w:bdr w:val="none" w:sz="0" w:space="0" w:color="auto" w:frame="1"/>
              </w:rPr>
              <w:t xml:space="preserve"> </w:t>
            </w:r>
            <w:r w:rsidR="00495989">
              <w:rPr>
                <w:sz w:val="24"/>
                <w:szCs w:val="24"/>
                <w:bdr w:val="none" w:sz="0" w:space="0" w:color="auto" w:frame="1"/>
              </w:rPr>
              <w:t>på</w:t>
            </w:r>
            <w:r w:rsidRPr="00495989">
              <w:rPr>
                <w:sz w:val="24"/>
                <w:szCs w:val="24"/>
                <w:bdr w:val="none" w:sz="0" w:space="0" w:color="auto" w:frame="1"/>
              </w:rPr>
              <w:t xml:space="preserve"> </w:t>
            </w:r>
            <w:r w:rsidR="00495989">
              <w:rPr>
                <w:sz w:val="24"/>
                <w:szCs w:val="24"/>
                <w:bdr w:val="none" w:sz="0" w:space="0" w:color="auto" w:frame="1"/>
              </w:rPr>
              <w:t>administrationsstedet</w:t>
            </w:r>
            <w:r w:rsidRPr="00495989">
              <w:rPr>
                <w:sz w:val="24"/>
                <w:szCs w:val="24"/>
                <w:bdr w:val="none" w:sz="0" w:space="0" w:color="auto" w:frame="1"/>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44CCAF4E" w14:textId="77777777" w:rsidR="00D0497F" w:rsidRPr="00495989" w:rsidRDefault="00D0497F" w:rsidP="00495989">
            <w:pPr>
              <w:rPr>
                <w:sz w:val="24"/>
                <w:szCs w:val="24"/>
                <w:lang w:val="en-US"/>
              </w:rPr>
            </w:pPr>
            <w:r w:rsidRPr="00495989">
              <w:rPr>
                <w:sz w:val="24"/>
                <w:szCs w:val="24"/>
                <w:bdr w:val="none" w:sz="0" w:space="0" w:color="auto" w:frame="1"/>
              </w:rPr>
              <w:t xml:space="preserve">Smerter på administrationsstedet </w:t>
            </w:r>
          </w:p>
        </w:tc>
      </w:tr>
    </w:tbl>
    <w:p w14:paraId="2AF03C3B" w14:textId="77777777" w:rsidR="00D0497F" w:rsidRPr="00495989" w:rsidRDefault="00D0497F" w:rsidP="00495989">
      <w:pPr>
        <w:ind w:left="851"/>
        <w:rPr>
          <w:sz w:val="24"/>
          <w:szCs w:val="24"/>
          <w:lang w:val="en-US"/>
        </w:rPr>
      </w:pPr>
    </w:p>
    <w:p w14:paraId="5D436538" w14:textId="77777777" w:rsidR="00D0497F" w:rsidRPr="00495989" w:rsidRDefault="00D0497F" w:rsidP="00495989">
      <w:pPr>
        <w:ind w:left="851"/>
        <w:rPr>
          <w:sz w:val="24"/>
          <w:szCs w:val="24"/>
          <w:u w:val="single"/>
          <w:lang w:val="en-GB"/>
        </w:rPr>
      </w:pPr>
      <w:r w:rsidRPr="00495989">
        <w:rPr>
          <w:sz w:val="24"/>
          <w:szCs w:val="24"/>
          <w:u w:val="single"/>
          <w:bdr w:val="none" w:sz="0" w:space="0" w:color="auto" w:frame="1"/>
        </w:rPr>
        <w:t>Indberetning af formodede bivirkninger</w:t>
      </w:r>
    </w:p>
    <w:p w14:paraId="7D8F019D" w14:textId="77777777" w:rsidR="00D0497F" w:rsidRPr="00495989" w:rsidRDefault="00D0497F" w:rsidP="00495989">
      <w:pPr>
        <w:ind w:left="851"/>
        <w:rPr>
          <w:sz w:val="24"/>
          <w:szCs w:val="24"/>
          <w:bdr w:val="none" w:sz="0" w:space="0" w:color="auto" w:frame="1"/>
        </w:rPr>
      </w:pPr>
      <w:r w:rsidRPr="00495989">
        <w:rPr>
          <w:sz w:val="24"/>
          <w:szCs w:val="24"/>
          <w:bdr w:val="none" w:sz="0" w:space="0" w:color="auto" w:frame="1"/>
        </w:rPr>
        <w:t>Når lægemidlet er godkendt, er indberetning af formodede bivirkninger vigtig. Det muliggør løbende overvågning af benefit/</w:t>
      </w:r>
      <w:proofErr w:type="spellStart"/>
      <w:r w:rsidRPr="00495989">
        <w:rPr>
          <w:sz w:val="24"/>
          <w:szCs w:val="24"/>
          <w:bdr w:val="none" w:sz="0" w:space="0" w:color="auto" w:frame="1"/>
        </w:rPr>
        <w:t>risk</w:t>
      </w:r>
      <w:proofErr w:type="spellEnd"/>
      <w:r w:rsidRPr="00495989">
        <w:rPr>
          <w:sz w:val="24"/>
          <w:szCs w:val="24"/>
          <w:bdr w:val="none" w:sz="0" w:space="0" w:color="auto" w:frame="1"/>
        </w:rPr>
        <w:t>-forholdet for lægemidlet. Læger og sundhedspersonale anmodes om at indberette alle formodede bivirkninger via:</w:t>
      </w:r>
    </w:p>
    <w:p w14:paraId="723DCFEE" w14:textId="77777777" w:rsidR="00D0497F" w:rsidRPr="00495989" w:rsidRDefault="00D0497F" w:rsidP="00495989">
      <w:pPr>
        <w:ind w:left="851"/>
        <w:rPr>
          <w:sz w:val="24"/>
          <w:szCs w:val="24"/>
          <w:bdr w:val="none" w:sz="0" w:space="0" w:color="auto" w:frame="1"/>
        </w:rPr>
      </w:pPr>
    </w:p>
    <w:p w14:paraId="485ECCE1" w14:textId="77777777" w:rsidR="00D0497F" w:rsidRPr="00495989" w:rsidRDefault="00D0497F" w:rsidP="00495989">
      <w:pPr>
        <w:ind w:left="851"/>
        <w:rPr>
          <w:sz w:val="24"/>
          <w:szCs w:val="24"/>
          <w:lang w:val="fr-FR"/>
        </w:rPr>
      </w:pPr>
      <w:r w:rsidRPr="00495989">
        <w:rPr>
          <w:sz w:val="24"/>
          <w:szCs w:val="24"/>
        </w:rPr>
        <w:t xml:space="preserve">Lægemiddelstyrelsen </w:t>
      </w:r>
    </w:p>
    <w:p w14:paraId="77E6B178" w14:textId="77777777" w:rsidR="00D0497F" w:rsidRPr="00495989" w:rsidRDefault="00D0497F" w:rsidP="00495989">
      <w:pPr>
        <w:ind w:left="851"/>
        <w:rPr>
          <w:sz w:val="24"/>
          <w:szCs w:val="24"/>
        </w:rPr>
      </w:pPr>
      <w:r w:rsidRPr="00495989">
        <w:rPr>
          <w:sz w:val="24"/>
          <w:szCs w:val="24"/>
        </w:rPr>
        <w:t xml:space="preserve">Axel Heides Gade 1 </w:t>
      </w:r>
    </w:p>
    <w:p w14:paraId="683351B6" w14:textId="77777777" w:rsidR="00D0497F" w:rsidRPr="00495989" w:rsidRDefault="00D0497F" w:rsidP="00495989">
      <w:pPr>
        <w:ind w:left="851"/>
        <w:rPr>
          <w:i/>
          <w:iCs/>
          <w:sz w:val="24"/>
          <w:szCs w:val="24"/>
        </w:rPr>
      </w:pPr>
      <w:r w:rsidRPr="00495989">
        <w:rPr>
          <w:sz w:val="24"/>
          <w:szCs w:val="24"/>
        </w:rPr>
        <w:t xml:space="preserve">DK-2300 København S </w:t>
      </w:r>
    </w:p>
    <w:p w14:paraId="13D29C8B" w14:textId="77777777" w:rsidR="00D0497F" w:rsidRPr="00B244F3" w:rsidRDefault="00D0497F" w:rsidP="00495989">
      <w:pPr>
        <w:ind w:left="851"/>
        <w:rPr>
          <w:color w:val="0000FF"/>
          <w:sz w:val="24"/>
          <w:szCs w:val="24"/>
          <w:lang w:val="en-US"/>
        </w:rPr>
      </w:pPr>
      <w:proofErr w:type="spellStart"/>
      <w:r w:rsidRPr="00B244F3">
        <w:rPr>
          <w:sz w:val="24"/>
          <w:szCs w:val="24"/>
          <w:lang w:val="en-US"/>
        </w:rPr>
        <w:t>Websted</w:t>
      </w:r>
      <w:proofErr w:type="spellEnd"/>
      <w:r w:rsidRPr="00B244F3">
        <w:rPr>
          <w:sz w:val="24"/>
          <w:szCs w:val="24"/>
          <w:lang w:val="en-US"/>
        </w:rPr>
        <w:t xml:space="preserve">: </w:t>
      </w:r>
      <w:r w:rsidRPr="00B244F3">
        <w:rPr>
          <w:color w:val="0000FF"/>
          <w:sz w:val="24"/>
          <w:szCs w:val="24"/>
          <w:lang w:val="en-US"/>
        </w:rPr>
        <w:t xml:space="preserve">www.meldenbivirkning.dk </w:t>
      </w:r>
    </w:p>
    <w:p w14:paraId="11CC49C7" w14:textId="77777777" w:rsidR="00D0497F" w:rsidRPr="00495989" w:rsidRDefault="00D0497F" w:rsidP="00495989">
      <w:pPr>
        <w:ind w:left="851"/>
        <w:rPr>
          <w:noProof/>
          <w:sz w:val="24"/>
          <w:szCs w:val="24"/>
          <w:lang w:val="en-US"/>
        </w:rPr>
      </w:pPr>
      <w:r w:rsidRPr="00495989">
        <w:rPr>
          <w:sz w:val="24"/>
          <w:szCs w:val="24"/>
          <w:lang w:val="en-US"/>
        </w:rPr>
        <w:t>E-mail: dkma@dkma.dk</w:t>
      </w:r>
    </w:p>
    <w:p w14:paraId="23F1D3BF" w14:textId="77777777" w:rsidR="009260DE" w:rsidRPr="00160FE2" w:rsidRDefault="009260DE" w:rsidP="00160FE2">
      <w:pPr>
        <w:pStyle w:val="Sidehoved"/>
        <w:tabs>
          <w:tab w:val="left" w:pos="851"/>
        </w:tabs>
        <w:ind w:left="851" w:hanging="851"/>
        <w:rPr>
          <w:szCs w:val="24"/>
          <w:lang w:val="en-US"/>
        </w:rPr>
      </w:pPr>
    </w:p>
    <w:p w14:paraId="0F551AD6" w14:textId="77777777" w:rsidR="009260DE" w:rsidRPr="00160FE2" w:rsidRDefault="009260DE" w:rsidP="00160FE2">
      <w:pPr>
        <w:tabs>
          <w:tab w:val="left" w:pos="851"/>
        </w:tabs>
        <w:ind w:left="851" w:hanging="851"/>
        <w:rPr>
          <w:b/>
          <w:sz w:val="24"/>
          <w:szCs w:val="24"/>
        </w:rPr>
      </w:pPr>
      <w:r w:rsidRPr="00160FE2">
        <w:rPr>
          <w:b/>
          <w:sz w:val="24"/>
          <w:szCs w:val="24"/>
        </w:rPr>
        <w:t>4.9</w:t>
      </w:r>
      <w:r w:rsidRPr="00160FE2">
        <w:rPr>
          <w:b/>
          <w:sz w:val="24"/>
          <w:szCs w:val="24"/>
        </w:rPr>
        <w:tab/>
        <w:t>Overdosering</w:t>
      </w:r>
    </w:p>
    <w:p w14:paraId="5C146398" w14:textId="77777777" w:rsidR="00D0497F" w:rsidRPr="00160FE2" w:rsidRDefault="00D0497F" w:rsidP="00495989">
      <w:pPr>
        <w:ind w:left="851"/>
        <w:rPr>
          <w:rFonts w:eastAsia="Calibri"/>
          <w:color w:val="000000"/>
          <w:sz w:val="24"/>
          <w:szCs w:val="24"/>
        </w:rPr>
      </w:pPr>
      <w:r w:rsidRPr="00160FE2">
        <w:rPr>
          <w:color w:val="000000"/>
          <w:sz w:val="24"/>
          <w:szCs w:val="24"/>
          <w:bdr w:val="none" w:sz="0" w:space="0" w:color="auto" w:frame="1"/>
        </w:rPr>
        <w:t xml:space="preserve">Hvis der er mistanke om overdosering, skal behandlingen med </w:t>
      </w:r>
      <w:proofErr w:type="spellStart"/>
      <w:r w:rsidRPr="00160FE2">
        <w:rPr>
          <w:color w:val="000000"/>
          <w:sz w:val="24"/>
          <w:szCs w:val="24"/>
          <w:bdr w:val="none" w:sz="0" w:space="0" w:color="auto" w:frame="1"/>
        </w:rPr>
        <w:t>Junyelt</w:t>
      </w:r>
      <w:proofErr w:type="spellEnd"/>
      <w:r w:rsidRPr="00160FE2">
        <w:rPr>
          <w:color w:val="000000"/>
          <w:sz w:val="24"/>
          <w:szCs w:val="24"/>
          <w:bdr w:val="none" w:sz="0" w:space="0" w:color="auto" w:frame="1"/>
        </w:rPr>
        <w:t xml:space="preserve"> stoppes. Overdosering skal verificeres ved passende laboratorieprøver. </w:t>
      </w:r>
    </w:p>
    <w:p w14:paraId="61EDE449" w14:textId="77777777" w:rsidR="009260DE" w:rsidRPr="00160FE2" w:rsidRDefault="009260DE" w:rsidP="00160FE2">
      <w:pPr>
        <w:tabs>
          <w:tab w:val="left" w:pos="851"/>
        </w:tabs>
        <w:ind w:left="851" w:hanging="851"/>
        <w:rPr>
          <w:sz w:val="24"/>
          <w:szCs w:val="24"/>
        </w:rPr>
      </w:pPr>
    </w:p>
    <w:p w14:paraId="7E5B9E21" w14:textId="77777777" w:rsidR="009260DE" w:rsidRPr="00160FE2" w:rsidRDefault="009260DE" w:rsidP="00160FE2">
      <w:pPr>
        <w:tabs>
          <w:tab w:val="left" w:pos="851"/>
        </w:tabs>
        <w:ind w:left="851" w:hanging="851"/>
        <w:rPr>
          <w:b/>
          <w:sz w:val="24"/>
          <w:szCs w:val="24"/>
        </w:rPr>
      </w:pPr>
      <w:r w:rsidRPr="00160FE2">
        <w:rPr>
          <w:b/>
          <w:sz w:val="24"/>
          <w:szCs w:val="24"/>
        </w:rPr>
        <w:t>4.10</w:t>
      </w:r>
      <w:r w:rsidRPr="00160FE2">
        <w:rPr>
          <w:b/>
          <w:sz w:val="24"/>
          <w:szCs w:val="24"/>
        </w:rPr>
        <w:tab/>
        <w:t>Udlevering</w:t>
      </w:r>
    </w:p>
    <w:p w14:paraId="1BCE617C" w14:textId="193ED52B" w:rsidR="009260DE" w:rsidRPr="00160FE2" w:rsidRDefault="00495989" w:rsidP="00160FE2">
      <w:pPr>
        <w:tabs>
          <w:tab w:val="left" w:pos="851"/>
        </w:tabs>
        <w:ind w:left="851" w:hanging="851"/>
        <w:rPr>
          <w:sz w:val="24"/>
          <w:szCs w:val="24"/>
        </w:rPr>
      </w:pPr>
      <w:r>
        <w:rPr>
          <w:sz w:val="24"/>
          <w:szCs w:val="24"/>
        </w:rPr>
        <w:tab/>
      </w:r>
      <w:r w:rsidR="00160FE2" w:rsidRPr="00160FE2">
        <w:rPr>
          <w:sz w:val="24"/>
          <w:szCs w:val="24"/>
        </w:rPr>
        <w:t>B</w:t>
      </w:r>
    </w:p>
    <w:p w14:paraId="577E9183" w14:textId="77777777" w:rsidR="009260DE" w:rsidRPr="00160FE2" w:rsidRDefault="009260DE" w:rsidP="00160FE2">
      <w:pPr>
        <w:tabs>
          <w:tab w:val="left" w:pos="851"/>
        </w:tabs>
        <w:ind w:left="851" w:hanging="851"/>
        <w:rPr>
          <w:sz w:val="24"/>
          <w:szCs w:val="24"/>
        </w:rPr>
      </w:pPr>
    </w:p>
    <w:p w14:paraId="2DA122A9" w14:textId="77777777" w:rsidR="009260DE" w:rsidRPr="00160FE2" w:rsidRDefault="009260DE" w:rsidP="00160FE2">
      <w:pPr>
        <w:tabs>
          <w:tab w:val="left" w:pos="851"/>
        </w:tabs>
        <w:ind w:left="851" w:hanging="851"/>
        <w:rPr>
          <w:sz w:val="24"/>
          <w:szCs w:val="24"/>
        </w:rPr>
      </w:pPr>
    </w:p>
    <w:p w14:paraId="19BB7F98" w14:textId="77777777" w:rsidR="009260DE" w:rsidRPr="00160FE2" w:rsidRDefault="009260DE" w:rsidP="00160FE2">
      <w:pPr>
        <w:tabs>
          <w:tab w:val="left" w:pos="851"/>
        </w:tabs>
        <w:ind w:left="851" w:hanging="851"/>
        <w:rPr>
          <w:b/>
          <w:sz w:val="24"/>
          <w:szCs w:val="24"/>
        </w:rPr>
      </w:pPr>
      <w:r w:rsidRPr="00160FE2">
        <w:rPr>
          <w:b/>
          <w:sz w:val="24"/>
          <w:szCs w:val="24"/>
        </w:rPr>
        <w:t>5.</w:t>
      </w:r>
      <w:r w:rsidRPr="00160FE2">
        <w:rPr>
          <w:b/>
          <w:sz w:val="24"/>
          <w:szCs w:val="24"/>
        </w:rPr>
        <w:tab/>
        <w:t>FARMAKOLOGISKE EGENSKABER</w:t>
      </w:r>
    </w:p>
    <w:p w14:paraId="491AA7A9" w14:textId="77777777" w:rsidR="009260DE" w:rsidRPr="00160FE2" w:rsidRDefault="009260DE" w:rsidP="00160FE2">
      <w:pPr>
        <w:tabs>
          <w:tab w:val="left" w:pos="851"/>
        </w:tabs>
        <w:ind w:left="851" w:hanging="851"/>
        <w:rPr>
          <w:sz w:val="24"/>
          <w:szCs w:val="24"/>
        </w:rPr>
      </w:pPr>
    </w:p>
    <w:p w14:paraId="1E9ED623" w14:textId="77777777" w:rsidR="009260DE" w:rsidRPr="00160FE2" w:rsidRDefault="009260DE" w:rsidP="00160FE2">
      <w:pPr>
        <w:tabs>
          <w:tab w:val="left" w:pos="851"/>
        </w:tabs>
        <w:ind w:left="851" w:hanging="851"/>
        <w:rPr>
          <w:b/>
          <w:sz w:val="24"/>
          <w:szCs w:val="24"/>
        </w:rPr>
      </w:pPr>
      <w:r w:rsidRPr="00160FE2">
        <w:rPr>
          <w:b/>
          <w:sz w:val="24"/>
          <w:szCs w:val="24"/>
        </w:rPr>
        <w:t>5.0</w:t>
      </w:r>
      <w:r w:rsidRPr="00160FE2">
        <w:rPr>
          <w:b/>
          <w:sz w:val="24"/>
          <w:szCs w:val="24"/>
        </w:rPr>
        <w:tab/>
        <w:t>Terapeutisk klassifikation</w:t>
      </w:r>
    </w:p>
    <w:p w14:paraId="4E89CB17" w14:textId="181C21E3" w:rsidR="009260DE" w:rsidRPr="00160FE2" w:rsidRDefault="00495989" w:rsidP="00495989">
      <w:pPr>
        <w:ind w:left="851"/>
        <w:jc w:val="both"/>
        <w:outlineLvl w:val="0"/>
        <w:rPr>
          <w:sz w:val="24"/>
          <w:szCs w:val="24"/>
        </w:rPr>
      </w:pPr>
      <w:r w:rsidRPr="00160FE2">
        <w:rPr>
          <w:noProof/>
          <w:sz w:val="24"/>
          <w:szCs w:val="24"/>
          <w:bdr w:val="none" w:sz="0" w:space="0" w:color="auto" w:frame="1"/>
        </w:rPr>
        <w:t xml:space="preserve">ATC-kode: </w:t>
      </w:r>
      <w:r w:rsidRPr="00160FE2">
        <w:rPr>
          <w:noProof/>
          <w:color w:val="000000"/>
          <w:sz w:val="24"/>
          <w:szCs w:val="24"/>
          <w:bdr w:val="none" w:sz="0" w:space="0" w:color="auto" w:frame="1"/>
          <w:shd w:val="clear" w:color="auto" w:fill="FFFFFF"/>
        </w:rPr>
        <w:t>B</w:t>
      </w:r>
      <w:r>
        <w:rPr>
          <w:noProof/>
          <w:color w:val="000000"/>
          <w:sz w:val="24"/>
          <w:szCs w:val="24"/>
          <w:bdr w:val="none" w:sz="0" w:space="0" w:color="auto" w:frame="1"/>
          <w:shd w:val="clear" w:color="auto" w:fill="FFFFFF"/>
        </w:rPr>
        <w:t xml:space="preserve"> </w:t>
      </w:r>
      <w:r w:rsidRPr="00160FE2">
        <w:rPr>
          <w:noProof/>
          <w:color w:val="000000"/>
          <w:sz w:val="24"/>
          <w:szCs w:val="24"/>
          <w:bdr w:val="none" w:sz="0" w:space="0" w:color="auto" w:frame="1"/>
          <w:shd w:val="clear" w:color="auto" w:fill="FFFFFF"/>
        </w:rPr>
        <w:t>05</w:t>
      </w:r>
      <w:r>
        <w:rPr>
          <w:noProof/>
          <w:color w:val="000000"/>
          <w:sz w:val="24"/>
          <w:szCs w:val="24"/>
          <w:bdr w:val="none" w:sz="0" w:space="0" w:color="auto" w:frame="1"/>
          <w:shd w:val="clear" w:color="auto" w:fill="FFFFFF"/>
        </w:rPr>
        <w:t xml:space="preserve"> </w:t>
      </w:r>
      <w:r w:rsidRPr="00160FE2">
        <w:rPr>
          <w:noProof/>
          <w:color w:val="000000"/>
          <w:sz w:val="24"/>
          <w:szCs w:val="24"/>
          <w:bdr w:val="none" w:sz="0" w:space="0" w:color="auto" w:frame="1"/>
          <w:shd w:val="clear" w:color="auto" w:fill="FFFFFF"/>
        </w:rPr>
        <w:t>XA</w:t>
      </w:r>
      <w:r>
        <w:rPr>
          <w:noProof/>
          <w:color w:val="000000"/>
          <w:sz w:val="24"/>
          <w:szCs w:val="24"/>
          <w:bdr w:val="none" w:sz="0" w:space="0" w:color="auto" w:frame="1"/>
          <w:shd w:val="clear" w:color="auto" w:fill="FFFFFF"/>
        </w:rPr>
        <w:t xml:space="preserve"> </w:t>
      </w:r>
      <w:r w:rsidRPr="00160FE2">
        <w:rPr>
          <w:noProof/>
          <w:color w:val="000000"/>
          <w:sz w:val="24"/>
          <w:szCs w:val="24"/>
          <w:bdr w:val="none" w:sz="0" w:space="0" w:color="auto" w:frame="1"/>
          <w:shd w:val="clear" w:color="auto" w:fill="FFFFFF"/>
        </w:rPr>
        <w:t>31</w:t>
      </w:r>
      <w:r>
        <w:rPr>
          <w:noProof/>
          <w:color w:val="000000"/>
          <w:sz w:val="24"/>
          <w:szCs w:val="24"/>
          <w:bdr w:val="none" w:sz="0" w:space="0" w:color="auto" w:frame="1"/>
          <w:shd w:val="clear" w:color="auto" w:fill="FFFFFF"/>
        </w:rPr>
        <w:t>.</w:t>
      </w:r>
      <w:r w:rsidR="00D0497F" w:rsidRPr="00160FE2">
        <w:rPr>
          <w:sz w:val="24"/>
          <w:szCs w:val="24"/>
          <w:bdr w:val="none" w:sz="0" w:space="0" w:color="auto" w:frame="1"/>
        </w:rPr>
        <w:t xml:space="preserve"> Elektrolytopløsning</w:t>
      </w:r>
      <w:r>
        <w:rPr>
          <w:sz w:val="24"/>
          <w:szCs w:val="24"/>
          <w:bdr w:val="none" w:sz="0" w:space="0" w:color="auto" w:frame="1"/>
        </w:rPr>
        <w:t>.</w:t>
      </w:r>
    </w:p>
    <w:p w14:paraId="17410B0C" w14:textId="77777777" w:rsidR="009260DE" w:rsidRPr="00160FE2" w:rsidRDefault="009260DE" w:rsidP="00160FE2">
      <w:pPr>
        <w:tabs>
          <w:tab w:val="left" w:pos="851"/>
        </w:tabs>
        <w:ind w:left="851" w:hanging="851"/>
        <w:rPr>
          <w:sz w:val="24"/>
          <w:szCs w:val="24"/>
        </w:rPr>
      </w:pPr>
    </w:p>
    <w:p w14:paraId="35518F18" w14:textId="77777777" w:rsidR="009260DE" w:rsidRPr="00160FE2" w:rsidRDefault="009260DE" w:rsidP="00160FE2">
      <w:pPr>
        <w:tabs>
          <w:tab w:val="num" w:pos="851"/>
        </w:tabs>
        <w:ind w:left="851" w:hanging="851"/>
        <w:rPr>
          <w:b/>
          <w:sz w:val="24"/>
          <w:szCs w:val="24"/>
        </w:rPr>
      </w:pPr>
      <w:r w:rsidRPr="00160FE2">
        <w:rPr>
          <w:b/>
          <w:sz w:val="24"/>
          <w:szCs w:val="24"/>
        </w:rPr>
        <w:t>5.1</w:t>
      </w:r>
      <w:r w:rsidRPr="00160FE2">
        <w:rPr>
          <w:b/>
          <w:sz w:val="24"/>
          <w:szCs w:val="24"/>
        </w:rPr>
        <w:tab/>
      </w:r>
      <w:proofErr w:type="spellStart"/>
      <w:r w:rsidRPr="00160FE2">
        <w:rPr>
          <w:b/>
          <w:sz w:val="24"/>
          <w:szCs w:val="24"/>
        </w:rPr>
        <w:t>Farmakodynamiske</w:t>
      </w:r>
      <w:proofErr w:type="spellEnd"/>
      <w:r w:rsidRPr="00160FE2">
        <w:rPr>
          <w:b/>
          <w:sz w:val="24"/>
          <w:szCs w:val="24"/>
        </w:rPr>
        <w:t xml:space="preserve"> egenskaber</w:t>
      </w:r>
    </w:p>
    <w:p w14:paraId="38D545CE" w14:textId="77777777" w:rsidR="00D0497F" w:rsidRPr="00160FE2" w:rsidRDefault="00D0497F" w:rsidP="00495989">
      <w:pPr>
        <w:autoSpaceDE w:val="0"/>
        <w:autoSpaceDN w:val="0"/>
        <w:adjustRightInd w:val="0"/>
        <w:ind w:left="851"/>
        <w:rPr>
          <w:sz w:val="24"/>
          <w:szCs w:val="24"/>
        </w:rPr>
      </w:pPr>
      <w:proofErr w:type="spellStart"/>
      <w:r w:rsidRPr="00160FE2">
        <w:rPr>
          <w:sz w:val="24"/>
          <w:szCs w:val="24"/>
          <w:bdr w:val="none" w:sz="0" w:space="0" w:color="auto" w:frame="1"/>
        </w:rPr>
        <w:lastRenderedPageBreak/>
        <w:t>Junyelt</w:t>
      </w:r>
      <w:proofErr w:type="spellEnd"/>
      <w:r w:rsidRPr="00160FE2">
        <w:rPr>
          <w:sz w:val="24"/>
          <w:szCs w:val="24"/>
          <w:bdr w:val="none" w:sz="0" w:space="0" w:color="auto" w:frame="1"/>
        </w:rPr>
        <w:t xml:space="preserve"> er en opløsning, der består af fem essentielle sporstoffer (zink, kobber, mangan, jod og selen).</w:t>
      </w:r>
    </w:p>
    <w:p w14:paraId="68E3C195" w14:textId="77777777" w:rsidR="00D0497F" w:rsidRPr="00160FE2" w:rsidRDefault="00D0497F" w:rsidP="00495989">
      <w:pPr>
        <w:autoSpaceDE w:val="0"/>
        <w:autoSpaceDN w:val="0"/>
        <w:adjustRightInd w:val="0"/>
        <w:ind w:left="851" w:hanging="851"/>
        <w:rPr>
          <w:sz w:val="24"/>
          <w:szCs w:val="24"/>
        </w:rPr>
      </w:pPr>
    </w:p>
    <w:p w14:paraId="0486517E" w14:textId="77777777" w:rsidR="00D0497F" w:rsidRPr="00160FE2" w:rsidRDefault="00D0497F" w:rsidP="00495989">
      <w:pPr>
        <w:autoSpaceDE w:val="0"/>
        <w:autoSpaceDN w:val="0"/>
        <w:adjustRightInd w:val="0"/>
        <w:ind w:left="851"/>
        <w:rPr>
          <w:sz w:val="24"/>
          <w:szCs w:val="24"/>
          <w:lang w:val="de-DE"/>
        </w:rPr>
      </w:pPr>
      <w:r w:rsidRPr="00160FE2">
        <w:rPr>
          <w:sz w:val="24"/>
          <w:szCs w:val="24"/>
          <w:bdr w:val="none" w:sz="0" w:space="0" w:color="auto" w:frame="1"/>
        </w:rPr>
        <w:t>Sporstoffer fås normalt gennem en varieret kost, og de er nødvendige for at opretholde den metaboliske ligevægt.</w:t>
      </w:r>
    </w:p>
    <w:p w14:paraId="2FF0F284" w14:textId="77777777" w:rsidR="00D0497F" w:rsidRPr="00160FE2" w:rsidRDefault="00D0497F" w:rsidP="00495989">
      <w:pPr>
        <w:autoSpaceDE w:val="0"/>
        <w:autoSpaceDN w:val="0"/>
        <w:adjustRightInd w:val="0"/>
        <w:ind w:left="851" w:hanging="851"/>
        <w:rPr>
          <w:sz w:val="24"/>
          <w:szCs w:val="24"/>
          <w:lang w:val="de-DE"/>
        </w:rPr>
      </w:pPr>
    </w:p>
    <w:p w14:paraId="49947E14" w14:textId="77777777" w:rsidR="00D0497F" w:rsidRPr="00160FE2" w:rsidRDefault="00D0497F" w:rsidP="00495989">
      <w:pPr>
        <w:autoSpaceDE w:val="0"/>
        <w:autoSpaceDN w:val="0"/>
        <w:adjustRightInd w:val="0"/>
        <w:ind w:left="851"/>
        <w:rPr>
          <w:sz w:val="24"/>
          <w:szCs w:val="24"/>
          <w:lang w:val="de-DE"/>
        </w:rPr>
      </w:pPr>
      <w:r w:rsidRPr="00160FE2">
        <w:rPr>
          <w:sz w:val="24"/>
          <w:szCs w:val="24"/>
          <w:bdr w:val="none" w:sz="0" w:space="0" w:color="auto" w:frame="1"/>
        </w:rPr>
        <w:t>Ved kunstig ernæring er tilførsel af sporstoffer nødvendig, da mangel på et eller flere af disse kan medføre betydelige metaboliske og kliniske forstyrrelser.</w:t>
      </w:r>
    </w:p>
    <w:p w14:paraId="60B5B415" w14:textId="77777777" w:rsidR="00D0497F" w:rsidRPr="00160FE2" w:rsidRDefault="00D0497F" w:rsidP="00495989">
      <w:pPr>
        <w:autoSpaceDE w:val="0"/>
        <w:autoSpaceDN w:val="0"/>
        <w:adjustRightInd w:val="0"/>
        <w:ind w:left="851" w:hanging="851"/>
        <w:rPr>
          <w:sz w:val="24"/>
          <w:szCs w:val="24"/>
          <w:lang w:val="de-DE"/>
        </w:rPr>
      </w:pPr>
    </w:p>
    <w:p w14:paraId="35CA7C45" w14:textId="77777777" w:rsidR="00D0497F" w:rsidRPr="00160FE2" w:rsidRDefault="00D0497F" w:rsidP="00495989">
      <w:pPr>
        <w:autoSpaceDE w:val="0"/>
        <w:autoSpaceDN w:val="0"/>
        <w:adjustRightInd w:val="0"/>
        <w:ind w:left="851"/>
        <w:rPr>
          <w:sz w:val="24"/>
          <w:szCs w:val="24"/>
          <w:lang w:val="de-DE"/>
        </w:rPr>
      </w:pPr>
      <w:r w:rsidRPr="00160FE2">
        <w:rPr>
          <w:sz w:val="24"/>
          <w:szCs w:val="24"/>
          <w:bdr w:val="none" w:sz="0" w:space="0" w:color="auto" w:frame="1"/>
        </w:rPr>
        <w:t xml:space="preserve">Sammensætningen af </w:t>
      </w:r>
      <w:proofErr w:type="spellStart"/>
      <w:r w:rsidRPr="00160FE2">
        <w:rPr>
          <w:sz w:val="24"/>
          <w:szCs w:val="24"/>
          <w:bdr w:val="none" w:sz="0" w:space="0" w:color="auto" w:frame="1"/>
        </w:rPr>
        <w:t>Junyelt</w:t>
      </w:r>
      <w:proofErr w:type="spellEnd"/>
      <w:r w:rsidRPr="00160FE2">
        <w:rPr>
          <w:sz w:val="24"/>
          <w:szCs w:val="24"/>
          <w:bdr w:val="none" w:sz="0" w:space="0" w:color="auto" w:frame="1"/>
        </w:rPr>
        <w:t xml:space="preserve"> er baseret på gældende internationale anbefalinger om spædbørns og børns behov for sporstoffer. </w:t>
      </w:r>
    </w:p>
    <w:p w14:paraId="26CEE32C" w14:textId="77777777" w:rsidR="009260DE" w:rsidRPr="00160FE2" w:rsidRDefault="009260DE" w:rsidP="00160FE2">
      <w:pPr>
        <w:tabs>
          <w:tab w:val="left" w:pos="851"/>
        </w:tabs>
        <w:ind w:left="851" w:hanging="851"/>
        <w:rPr>
          <w:sz w:val="24"/>
          <w:szCs w:val="24"/>
        </w:rPr>
      </w:pPr>
    </w:p>
    <w:p w14:paraId="69EDE1C7" w14:textId="77777777" w:rsidR="009260DE" w:rsidRPr="00160FE2" w:rsidRDefault="009260DE" w:rsidP="00160FE2">
      <w:pPr>
        <w:tabs>
          <w:tab w:val="left" w:pos="851"/>
        </w:tabs>
        <w:ind w:left="851" w:hanging="851"/>
        <w:rPr>
          <w:b/>
          <w:sz w:val="24"/>
          <w:szCs w:val="24"/>
        </w:rPr>
      </w:pPr>
      <w:r w:rsidRPr="00160FE2">
        <w:rPr>
          <w:b/>
          <w:sz w:val="24"/>
          <w:szCs w:val="24"/>
        </w:rPr>
        <w:t>5.2</w:t>
      </w:r>
      <w:r w:rsidRPr="00160FE2">
        <w:rPr>
          <w:b/>
          <w:sz w:val="24"/>
          <w:szCs w:val="24"/>
        </w:rPr>
        <w:tab/>
      </w:r>
      <w:proofErr w:type="spellStart"/>
      <w:r w:rsidRPr="00160FE2">
        <w:rPr>
          <w:b/>
          <w:sz w:val="24"/>
          <w:szCs w:val="24"/>
        </w:rPr>
        <w:t>Farmakokinetiske</w:t>
      </w:r>
      <w:proofErr w:type="spellEnd"/>
      <w:r w:rsidRPr="00160FE2">
        <w:rPr>
          <w:b/>
          <w:sz w:val="24"/>
          <w:szCs w:val="24"/>
        </w:rPr>
        <w:t xml:space="preserve"> egenskaber</w:t>
      </w:r>
    </w:p>
    <w:p w14:paraId="004EB361" w14:textId="77777777" w:rsidR="00D0497F" w:rsidRPr="00160FE2" w:rsidRDefault="00D0497F" w:rsidP="00187189">
      <w:pPr>
        <w:autoSpaceDE w:val="0"/>
        <w:autoSpaceDN w:val="0"/>
        <w:adjustRightInd w:val="0"/>
        <w:ind w:left="851"/>
        <w:rPr>
          <w:bCs/>
          <w:sz w:val="24"/>
          <w:szCs w:val="24"/>
          <w:lang w:val="de-DE"/>
        </w:rPr>
      </w:pPr>
      <w:r w:rsidRPr="00160FE2">
        <w:rPr>
          <w:bCs/>
          <w:sz w:val="24"/>
          <w:szCs w:val="24"/>
          <w:bdr w:val="none" w:sz="0" w:space="0" w:color="auto" w:frame="1"/>
        </w:rPr>
        <w:t xml:space="preserve">Sporstofferne i </w:t>
      </w:r>
      <w:proofErr w:type="spellStart"/>
      <w:r w:rsidRPr="00160FE2">
        <w:rPr>
          <w:bCs/>
          <w:sz w:val="24"/>
          <w:szCs w:val="24"/>
          <w:bdr w:val="none" w:sz="0" w:space="0" w:color="auto" w:frame="1"/>
        </w:rPr>
        <w:t>Junyelt</w:t>
      </w:r>
      <w:proofErr w:type="spellEnd"/>
      <w:r w:rsidRPr="00160FE2">
        <w:rPr>
          <w:bCs/>
          <w:sz w:val="24"/>
          <w:szCs w:val="24"/>
          <w:bdr w:val="none" w:sz="0" w:space="0" w:color="auto" w:frame="1"/>
        </w:rPr>
        <w:t xml:space="preserve">, </w:t>
      </w:r>
      <w:proofErr w:type="spellStart"/>
      <w:r w:rsidRPr="00160FE2">
        <w:rPr>
          <w:bCs/>
          <w:sz w:val="24"/>
          <w:szCs w:val="24"/>
          <w:bdr w:val="none" w:sz="0" w:space="0" w:color="auto" w:frame="1"/>
        </w:rPr>
        <w:t>infunderet</w:t>
      </w:r>
      <w:proofErr w:type="spellEnd"/>
      <w:r w:rsidRPr="00160FE2">
        <w:rPr>
          <w:bCs/>
          <w:sz w:val="24"/>
          <w:szCs w:val="24"/>
          <w:bdr w:val="none" w:sz="0" w:space="0" w:color="auto" w:frame="1"/>
        </w:rPr>
        <w:t xml:space="preserve"> i fysiologiske mængder, bør udnyttes på samme måde som stoffer absorberet fra en oral kost. </w:t>
      </w:r>
    </w:p>
    <w:p w14:paraId="66443D31" w14:textId="77777777" w:rsidR="00D0497F" w:rsidRPr="00495989" w:rsidRDefault="00D0497F" w:rsidP="00187189">
      <w:pPr>
        <w:autoSpaceDE w:val="0"/>
        <w:autoSpaceDN w:val="0"/>
        <w:adjustRightInd w:val="0"/>
        <w:ind w:left="851" w:hanging="851"/>
        <w:rPr>
          <w:bCs/>
          <w:sz w:val="24"/>
          <w:szCs w:val="24"/>
          <w:highlight w:val="yellow"/>
          <w:lang w:val="de-DE"/>
        </w:rPr>
      </w:pPr>
    </w:p>
    <w:p w14:paraId="62EC8067" w14:textId="77777777" w:rsidR="00D0497F" w:rsidRPr="00160FE2" w:rsidRDefault="00D0497F" w:rsidP="00187189">
      <w:pPr>
        <w:ind w:left="851"/>
        <w:rPr>
          <w:rFonts w:eastAsia="Calibri"/>
          <w:color w:val="000000"/>
          <w:sz w:val="24"/>
          <w:szCs w:val="24"/>
          <w:lang w:val="de-DE"/>
        </w:rPr>
      </w:pPr>
      <w:r w:rsidRPr="00160FE2">
        <w:rPr>
          <w:color w:val="000000"/>
          <w:sz w:val="24"/>
          <w:szCs w:val="24"/>
          <w:bdr w:val="none" w:sz="0" w:space="0" w:color="auto" w:frame="1"/>
        </w:rPr>
        <w:t xml:space="preserve">De forskellige </w:t>
      </w:r>
      <w:proofErr w:type="spellStart"/>
      <w:r w:rsidRPr="00160FE2">
        <w:rPr>
          <w:color w:val="000000"/>
          <w:sz w:val="24"/>
          <w:szCs w:val="24"/>
          <w:bdr w:val="none" w:sz="0" w:space="0" w:color="auto" w:frame="1"/>
        </w:rPr>
        <w:t>metaboliseringsveje</w:t>
      </w:r>
      <w:proofErr w:type="spellEnd"/>
      <w:r w:rsidRPr="00160FE2">
        <w:rPr>
          <w:color w:val="000000"/>
          <w:sz w:val="24"/>
          <w:szCs w:val="24"/>
          <w:bdr w:val="none" w:sz="0" w:space="0" w:color="auto" w:frame="1"/>
        </w:rPr>
        <w:t xml:space="preserve"> for sporstoffer kan opsummeres på følgende måde:</w:t>
      </w:r>
    </w:p>
    <w:p w14:paraId="2606E475" w14:textId="77777777" w:rsidR="00D0497F" w:rsidRPr="00160FE2" w:rsidRDefault="00D0497F" w:rsidP="00187189">
      <w:pPr>
        <w:pStyle w:val="Listeafsnit"/>
        <w:numPr>
          <w:ilvl w:val="0"/>
          <w:numId w:val="7"/>
        </w:numPr>
        <w:spacing w:after="0" w:line="240" w:lineRule="auto"/>
        <w:ind w:left="1276" w:hanging="425"/>
        <w:rPr>
          <w:rFonts w:ascii="Times New Roman" w:eastAsia="Calibri" w:hAnsi="Times New Roman"/>
          <w:color w:val="000000"/>
          <w:sz w:val="24"/>
          <w:szCs w:val="24"/>
          <w:lang w:val="de-DE" w:eastAsia="en-US"/>
        </w:rPr>
      </w:pPr>
      <w:r w:rsidRPr="00160FE2">
        <w:rPr>
          <w:rFonts w:ascii="Times New Roman" w:hAnsi="Times New Roman"/>
          <w:color w:val="000000"/>
          <w:sz w:val="24"/>
          <w:szCs w:val="24"/>
          <w:bdr w:val="none" w:sz="0" w:space="0" w:color="auto" w:frame="1"/>
          <w:lang w:val="da-DK" w:eastAsia="en-US"/>
        </w:rPr>
        <w:t xml:space="preserve">Transport i blodet ved hjælp af proteiner: albumin (Mn, Cu, </w:t>
      </w:r>
      <w:proofErr w:type="spellStart"/>
      <w:r w:rsidRPr="00160FE2">
        <w:rPr>
          <w:rFonts w:ascii="Times New Roman" w:hAnsi="Times New Roman"/>
          <w:color w:val="000000"/>
          <w:sz w:val="24"/>
          <w:szCs w:val="24"/>
          <w:bdr w:val="none" w:sz="0" w:space="0" w:color="auto" w:frame="1"/>
          <w:lang w:val="da-DK" w:eastAsia="en-US"/>
        </w:rPr>
        <w:t>Zn</w:t>
      </w:r>
      <w:proofErr w:type="spellEnd"/>
      <w:r w:rsidRPr="00160FE2">
        <w:rPr>
          <w:rFonts w:ascii="Times New Roman" w:hAnsi="Times New Roman"/>
          <w:color w:val="000000"/>
          <w:sz w:val="24"/>
          <w:szCs w:val="24"/>
          <w:bdr w:val="none" w:sz="0" w:space="0" w:color="auto" w:frame="1"/>
          <w:lang w:val="da-DK" w:eastAsia="en-US"/>
        </w:rPr>
        <w:t xml:space="preserve">, Se), </w:t>
      </w:r>
      <w:proofErr w:type="spellStart"/>
      <w:r w:rsidRPr="00160FE2">
        <w:rPr>
          <w:rFonts w:ascii="Times New Roman" w:hAnsi="Times New Roman"/>
          <w:color w:val="000000"/>
          <w:sz w:val="24"/>
          <w:szCs w:val="24"/>
          <w:bdr w:val="none" w:sz="0" w:space="0" w:color="auto" w:frame="1"/>
          <w:lang w:val="da-DK" w:eastAsia="en-US"/>
        </w:rPr>
        <w:t>ceruloplasmin</w:t>
      </w:r>
      <w:proofErr w:type="spellEnd"/>
      <w:r w:rsidRPr="00160FE2">
        <w:rPr>
          <w:rFonts w:ascii="Times New Roman" w:hAnsi="Times New Roman"/>
          <w:color w:val="000000"/>
          <w:sz w:val="24"/>
          <w:szCs w:val="24"/>
          <w:bdr w:val="none" w:sz="0" w:space="0" w:color="auto" w:frame="1"/>
          <w:lang w:val="da-DK" w:eastAsia="en-US"/>
        </w:rPr>
        <w:t xml:space="preserve"> (Cu), </w:t>
      </w:r>
      <w:proofErr w:type="spellStart"/>
      <w:r w:rsidRPr="00160FE2">
        <w:rPr>
          <w:rFonts w:ascii="Times New Roman" w:hAnsi="Times New Roman"/>
          <w:color w:val="000000"/>
          <w:sz w:val="24"/>
          <w:szCs w:val="24"/>
          <w:bdr w:val="none" w:sz="0" w:space="0" w:color="auto" w:frame="1"/>
          <w:lang w:val="da-DK" w:eastAsia="en-US"/>
        </w:rPr>
        <w:t>selenomethionin</w:t>
      </w:r>
      <w:proofErr w:type="spellEnd"/>
      <w:r w:rsidRPr="00160FE2">
        <w:rPr>
          <w:rFonts w:ascii="Times New Roman" w:hAnsi="Times New Roman"/>
          <w:color w:val="000000"/>
          <w:sz w:val="24"/>
          <w:szCs w:val="24"/>
          <w:bdr w:val="none" w:sz="0" w:space="0" w:color="auto" w:frame="1"/>
          <w:lang w:val="da-DK" w:eastAsia="en-US"/>
        </w:rPr>
        <w:t xml:space="preserve"> (Se) eller ikke-protein transportører (I).</w:t>
      </w:r>
    </w:p>
    <w:p w14:paraId="71772BB3" w14:textId="77777777" w:rsidR="00D0497F" w:rsidRPr="00160FE2" w:rsidRDefault="00D0497F" w:rsidP="00187189">
      <w:pPr>
        <w:pStyle w:val="Listeafsnit"/>
        <w:numPr>
          <w:ilvl w:val="0"/>
          <w:numId w:val="7"/>
        </w:numPr>
        <w:spacing w:after="0" w:line="240" w:lineRule="auto"/>
        <w:ind w:left="1276" w:hanging="425"/>
        <w:rPr>
          <w:rFonts w:ascii="Times New Roman" w:eastAsia="Calibri" w:hAnsi="Times New Roman"/>
          <w:color w:val="000000"/>
          <w:sz w:val="24"/>
          <w:szCs w:val="24"/>
          <w:lang w:val="da-DK" w:eastAsia="en-US"/>
        </w:rPr>
      </w:pPr>
      <w:r w:rsidRPr="00160FE2">
        <w:rPr>
          <w:rFonts w:ascii="Times New Roman" w:hAnsi="Times New Roman"/>
          <w:color w:val="000000"/>
          <w:sz w:val="24"/>
          <w:szCs w:val="24"/>
          <w:bdr w:val="none" w:sz="0" w:space="0" w:color="auto" w:frame="1"/>
          <w:lang w:val="da-DK" w:eastAsia="en-US"/>
        </w:rPr>
        <w:t xml:space="preserve">Oplagring ved hjælp af specifikke proteiner: </w:t>
      </w:r>
      <w:proofErr w:type="spellStart"/>
      <w:r w:rsidRPr="00160FE2">
        <w:rPr>
          <w:rFonts w:ascii="Times New Roman" w:hAnsi="Times New Roman"/>
          <w:color w:val="000000"/>
          <w:sz w:val="24"/>
          <w:szCs w:val="24"/>
          <w:bdr w:val="none" w:sz="0" w:space="0" w:color="auto" w:frame="1"/>
          <w:lang w:val="da-DK" w:eastAsia="en-US"/>
        </w:rPr>
        <w:t>thyreoideahormoner</w:t>
      </w:r>
      <w:proofErr w:type="spellEnd"/>
      <w:r w:rsidRPr="00160FE2">
        <w:rPr>
          <w:rFonts w:ascii="Times New Roman" w:hAnsi="Times New Roman"/>
          <w:color w:val="000000"/>
          <w:sz w:val="24"/>
          <w:szCs w:val="24"/>
          <w:bdr w:val="none" w:sz="0" w:space="0" w:color="auto" w:frame="1"/>
          <w:lang w:val="da-DK" w:eastAsia="en-US"/>
        </w:rPr>
        <w:t xml:space="preserve"> (I), </w:t>
      </w:r>
      <w:proofErr w:type="spellStart"/>
      <w:r w:rsidRPr="00160FE2">
        <w:rPr>
          <w:rFonts w:ascii="Times New Roman" w:hAnsi="Times New Roman"/>
          <w:color w:val="000000"/>
          <w:sz w:val="24"/>
          <w:szCs w:val="24"/>
          <w:bdr w:val="none" w:sz="0" w:space="0" w:color="auto" w:frame="1"/>
          <w:lang w:val="da-DK" w:eastAsia="en-US"/>
        </w:rPr>
        <w:t>selenoproteiner</w:t>
      </w:r>
      <w:proofErr w:type="spellEnd"/>
      <w:r w:rsidRPr="00160FE2">
        <w:rPr>
          <w:rFonts w:ascii="Times New Roman" w:hAnsi="Times New Roman"/>
          <w:color w:val="000000"/>
          <w:sz w:val="24"/>
          <w:szCs w:val="24"/>
          <w:bdr w:val="none" w:sz="0" w:space="0" w:color="auto" w:frame="1"/>
          <w:lang w:val="da-DK" w:eastAsia="en-US"/>
        </w:rPr>
        <w:t xml:space="preserve"> (Se) eller uspecifikke proteiner: </w:t>
      </w:r>
      <w:proofErr w:type="spellStart"/>
      <w:r w:rsidRPr="00160FE2">
        <w:rPr>
          <w:rFonts w:ascii="Times New Roman" w:hAnsi="Times New Roman"/>
          <w:color w:val="000000"/>
          <w:sz w:val="24"/>
          <w:szCs w:val="24"/>
          <w:bdr w:val="none" w:sz="0" w:space="0" w:color="auto" w:frame="1"/>
          <w:lang w:val="da-DK" w:eastAsia="en-US"/>
        </w:rPr>
        <w:t>metallothioneiner</w:t>
      </w:r>
      <w:proofErr w:type="spellEnd"/>
      <w:r w:rsidRPr="00160FE2">
        <w:rPr>
          <w:rFonts w:ascii="Times New Roman" w:hAnsi="Times New Roman"/>
          <w:color w:val="000000"/>
          <w:sz w:val="24"/>
          <w:szCs w:val="24"/>
          <w:bdr w:val="none" w:sz="0" w:space="0" w:color="auto" w:frame="1"/>
          <w:lang w:val="da-DK" w:eastAsia="en-US"/>
        </w:rPr>
        <w:t xml:space="preserve"> (Cu, </w:t>
      </w:r>
      <w:proofErr w:type="spellStart"/>
      <w:r w:rsidRPr="00160FE2">
        <w:rPr>
          <w:rFonts w:ascii="Times New Roman" w:hAnsi="Times New Roman"/>
          <w:color w:val="000000"/>
          <w:sz w:val="24"/>
          <w:szCs w:val="24"/>
          <w:bdr w:val="none" w:sz="0" w:space="0" w:color="auto" w:frame="1"/>
          <w:lang w:val="da-DK" w:eastAsia="en-US"/>
        </w:rPr>
        <w:t>Zn</w:t>
      </w:r>
      <w:proofErr w:type="spellEnd"/>
      <w:r w:rsidRPr="00160FE2">
        <w:rPr>
          <w:rFonts w:ascii="Times New Roman" w:hAnsi="Times New Roman"/>
          <w:color w:val="000000"/>
          <w:sz w:val="24"/>
          <w:szCs w:val="24"/>
          <w:bdr w:val="none" w:sz="0" w:space="0" w:color="auto" w:frame="1"/>
          <w:lang w:val="da-DK" w:eastAsia="en-US"/>
        </w:rPr>
        <w:t>, Mn).</w:t>
      </w:r>
    </w:p>
    <w:p w14:paraId="03D47202" w14:textId="77777777" w:rsidR="00D0497F" w:rsidRPr="00160FE2" w:rsidRDefault="00D0497F" w:rsidP="00187189">
      <w:pPr>
        <w:pStyle w:val="Listeafsnit"/>
        <w:numPr>
          <w:ilvl w:val="0"/>
          <w:numId w:val="7"/>
        </w:numPr>
        <w:spacing w:after="0" w:line="240" w:lineRule="auto"/>
        <w:ind w:left="1276" w:hanging="425"/>
        <w:rPr>
          <w:rFonts w:ascii="Times New Roman" w:eastAsia="Calibri" w:hAnsi="Times New Roman"/>
          <w:color w:val="000000"/>
          <w:sz w:val="24"/>
          <w:szCs w:val="24"/>
          <w:lang w:val="da-DK" w:eastAsia="en-US"/>
        </w:rPr>
      </w:pPr>
      <w:r w:rsidRPr="00160FE2">
        <w:rPr>
          <w:rFonts w:ascii="Times New Roman" w:hAnsi="Times New Roman"/>
          <w:color w:val="000000"/>
          <w:sz w:val="24"/>
          <w:szCs w:val="24"/>
          <w:bdr w:val="none" w:sz="0" w:space="0" w:color="auto" w:frame="1"/>
          <w:lang w:val="da-DK" w:eastAsia="en-US"/>
        </w:rPr>
        <w:t xml:space="preserve">Elimination: de </w:t>
      </w:r>
      <w:proofErr w:type="spellStart"/>
      <w:r w:rsidRPr="00160FE2">
        <w:rPr>
          <w:rFonts w:ascii="Times New Roman" w:hAnsi="Times New Roman"/>
          <w:color w:val="000000"/>
          <w:sz w:val="24"/>
          <w:szCs w:val="24"/>
          <w:bdr w:val="none" w:sz="0" w:space="0" w:color="auto" w:frame="1"/>
          <w:lang w:val="da-DK" w:eastAsia="en-US"/>
        </w:rPr>
        <w:t>kationiske</w:t>
      </w:r>
      <w:proofErr w:type="spellEnd"/>
      <w:r w:rsidRPr="00160FE2">
        <w:rPr>
          <w:rFonts w:ascii="Times New Roman" w:hAnsi="Times New Roman"/>
          <w:color w:val="000000"/>
          <w:sz w:val="24"/>
          <w:szCs w:val="24"/>
          <w:bdr w:val="none" w:sz="0" w:space="0" w:color="auto" w:frame="1"/>
          <w:lang w:val="da-DK" w:eastAsia="en-US"/>
        </w:rPr>
        <w:t xml:space="preserve"> sporstoffer (Cu, Mn, </w:t>
      </w:r>
      <w:proofErr w:type="spellStart"/>
      <w:r w:rsidRPr="00160FE2">
        <w:rPr>
          <w:rFonts w:ascii="Times New Roman" w:hAnsi="Times New Roman"/>
          <w:color w:val="000000"/>
          <w:sz w:val="24"/>
          <w:szCs w:val="24"/>
          <w:bdr w:val="none" w:sz="0" w:space="0" w:color="auto" w:frame="1"/>
          <w:lang w:val="da-DK" w:eastAsia="en-US"/>
        </w:rPr>
        <w:t>Zn</w:t>
      </w:r>
      <w:proofErr w:type="spellEnd"/>
      <w:r w:rsidRPr="00160FE2">
        <w:rPr>
          <w:rFonts w:ascii="Times New Roman" w:hAnsi="Times New Roman"/>
          <w:color w:val="000000"/>
          <w:sz w:val="24"/>
          <w:szCs w:val="24"/>
          <w:bdr w:val="none" w:sz="0" w:space="0" w:color="auto" w:frame="1"/>
          <w:lang w:val="da-DK" w:eastAsia="en-US"/>
        </w:rPr>
        <w:t xml:space="preserve">) udskilles primært via biliær </w:t>
      </w:r>
      <w:proofErr w:type="spellStart"/>
      <w:r w:rsidRPr="00160FE2">
        <w:rPr>
          <w:rFonts w:ascii="Times New Roman" w:hAnsi="Times New Roman"/>
          <w:color w:val="000000"/>
          <w:sz w:val="24"/>
          <w:szCs w:val="24"/>
          <w:bdr w:val="none" w:sz="0" w:space="0" w:color="auto" w:frame="1"/>
          <w:lang w:val="da-DK" w:eastAsia="en-US"/>
        </w:rPr>
        <w:t>ekskretion</w:t>
      </w:r>
      <w:proofErr w:type="spellEnd"/>
      <w:r w:rsidRPr="00160FE2">
        <w:rPr>
          <w:rFonts w:ascii="Times New Roman" w:hAnsi="Times New Roman"/>
          <w:color w:val="000000"/>
          <w:sz w:val="24"/>
          <w:szCs w:val="24"/>
          <w:bdr w:val="none" w:sz="0" w:space="0" w:color="auto" w:frame="1"/>
          <w:lang w:val="da-DK" w:eastAsia="en-US"/>
        </w:rPr>
        <w:t xml:space="preserve">. De </w:t>
      </w:r>
      <w:proofErr w:type="spellStart"/>
      <w:r w:rsidRPr="00160FE2">
        <w:rPr>
          <w:rFonts w:ascii="Times New Roman" w:hAnsi="Times New Roman"/>
          <w:color w:val="000000"/>
          <w:sz w:val="24"/>
          <w:szCs w:val="24"/>
          <w:bdr w:val="none" w:sz="0" w:space="0" w:color="auto" w:frame="1"/>
          <w:lang w:val="da-DK" w:eastAsia="en-US"/>
        </w:rPr>
        <w:t>anioniske</w:t>
      </w:r>
      <w:proofErr w:type="spellEnd"/>
      <w:r w:rsidRPr="00160FE2">
        <w:rPr>
          <w:rFonts w:ascii="Times New Roman" w:hAnsi="Times New Roman"/>
          <w:color w:val="000000"/>
          <w:sz w:val="24"/>
          <w:szCs w:val="24"/>
          <w:bdr w:val="none" w:sz="0" w:space="0" w:color="auto" w:frame="1"/>
          <w:lang w:val="da-DK" w:eastAsia="en-US"/>
        </w:rPr>
        <w:t xml:space="preserve"> sporstoffer (I) og visse </w:t>
      </w:r>
      <w:proofErr w:type="spellStart"/>
      <w:r w:rsidRPr="00160FE2">
        <w:rPr>
          <w:rFonts w:ascii="Times New Roman" w:hAnsi="Times New Roman"/>
          <w:color w:val="000000"/>
          <w:sz w:val="24"/>
          <w:szCs w:val="24"/>
          <w:bdr w:val="none" w:sz="0" w:space="0" w:color="auto" w:frame="1"/>
          <w:lang w:val="da-DK" w:eastAsia="en-US"/>
        </w:rPr>
        <w:t>oxygenerede</w:t>
      </w:r>
      <w:proofErr w:type="spellEnd"/>
      <w:r w:rsidRPr="00160FE2">
        <w:rPr>
          <w:rFonts w:ascii="Times New Roman" w:hAnsi="Times New Roman"/>
          <w:color w:val="000000"/>
          <w:sz w:val="24"/>
          <w:szCs w:val="24"/>
          <w:bdr w:val="none" w:sz="0" w:space="0" w:color="auto" w:frame="1"/>
          <w:lang w:val="da-DK" w:eastAsia="en-US"/>
        </w:rPr>
        <w:t xml:space="preserve"> former af mineraler (Se) udskilles primært i urinen.</w:t>
      </w:r>
    </w:p>
    <w:p w14:paraId="7D163FD1" w14:textId="77777777" w:rsidR="009260DE" w:rsidRPr="00160FE2" w:rsidRDefault="009260DE" w:rsidP="00160FE2">
      <w:pPr>
        <w:tabs>
          <w:tab w:val="left" w:pos="851"/>
        </w:tabs>
        <w:ind w:left="851" w:hanging="851"/>
        <w:rPr>
          <w:sz w:val="24"/>
          <w:szCs w:val="24"/>
        </w:rPr>
      </w:pPr>
    </w:p>
    <w:p w14:paraId="599B2CA9" w14:textId="77777777" w:rsidR="009260DE" w:rsidRPr="00160FE2" w:rsidRDefault="009260DE" w:rsidP="00160FE2">
      <w:pPr>
        <w:tabs>
          <w:tab w:val="left" w:pos="851"/>
        </w:tabs>
        <w:ind w:left="851" w:hanging="851"/>
        <w:rPr>
          <w:b/>
          <w:sz w:val="24"/>
          <w:szCs w:val="24"/>
        </w:rPr>
      </w:pPr>
      <w:r w:rsidRPr="00160FE2">
        <w:rPr>
          <w:b/>
          <w:sz w:val="24"/>
          <w:szCs w:val="24"/>
        </w:rPr>
        <w:t>5.3</w:t>
      </w:r>
      <w:r w:rsidRPr="00160FE2">
        <w:rPr>
          <w:b/>
          <w:sz w:val="24"/>
          <w:szCs w:val="24"/>
        </w:rPr>
        <w:tab/>
        <w:t>Prækliniske sikkerhedsdata</w:t>
      </w:r>
    </w:p>
    <w:p w14:paraId="21A21B05" w14:textId="77777777" w:rsidR="00D0497F" w:rsidRPr="00160FE2" w:rsidRDefault="00D0497F" w:rsidP="00187189">
      <w:pPr>
        <w:autoSpaceDE w:val="0"/>
        <w:autoSpaceDN w:val="0"/>
        <w:adjustRightInd w:val="0"/>
        <w:ind w:left="851"/>
        <w:rPr>
          <w:sz w:val="24"/>
          <w:szCs w:val="24"/>
        </w:rPr>
      </w:pPr>
      <w:r w:rsidRPr="00160FE2">
        <w:rPr>
          <w:sz w:val="24"/>
          <w:szCs w:val="24"/>
          <w:bdr w:val="none" w:sz="0" w:space="0" w:color="auto" w:frame="1"/>
        </w:rPr>
        <w:t xml:space="preserve">Da opløsninger med sporstoffer til intravenøs injektion er velkendte præparater, som har været anvendt til medicinske formål i mange årtier, er der ikke udført specifikke prækliniske studier med </w:t>
      </w:r>
      <w:proofErr w:type="spellStart"/>
      <w:r w:rsidRPr="00160FE2">
        <w:rPr>
          <w:sz w:val="24"/>
          <w:szCs w:val="24"/>
          <w:bdr w:val="none" w:sz="0" w:space="0" w:color="auto" w:frame="1"/>
        </w:rPr>
        <w:t>Junyelt</w:t>
      </w:r>
      <w:proofErr w:type="spellEnd"/>
      <w:r w:rsidRPr="00160FE2">
        <w:rPr>
          <w:sz w:val="24"/>
          <w:szCs w:val="24"/>
          <w:bdr w:val="none" w:sz="0" w:space="0" w:color="auto" w:frame="1"/>
        </w:rPr>
        <w:t xml:space="preserve">. </w:t>
      </w:r>
    </w:p>
    <w:p w14:paraId="62F35313" w14:textId="77777777" w:rsidR="00D0497F" w:rsidRPr="00160FE2" w:rsidRDefault="00D0497F" w:rsidP="00187189">
      <w:pPr>
        <w:autoSpaceDE w:val="0"/>
        <w:autoSpaceDN w:val="0"/>
        <w:adjustRightInd w:val="0"/>
        <w:ind w:left="851"/>
        <w:rPr>
          <w:sz w:val="24"/>
          <w:szCs w:val="24"/>
          <w:lang w:val="de-DE"/>
        </w:rPr>
      </w:pPr>
      <w:r w:rsidRPr="00160FE2">
        <w:rPr>
          <w:sz w:val="24"/>
          <w:szCs w:val="24"/>
          <w:bdr w:val="none" w:sz="0" w:space="0" w:color="auto" w:frame="1"/>
        </w:rPr>
        <w:t>Sikkerhedsvurderingen er primært baseret på klinisk erfaring og dokumentation.</w:t>
      </w:r>
    </w:p>
    <w:p w14:paraId="627AA2E1" w14:textId="77777777" w:rsidR="009260DE" w:rsidRPr="00160FE2" w:rsidRDefault="009260DE" w:rsidP="00160FE2">
      <w:pPr>
        <w:tabs>
          <w:tab w:val="left" w:pos="851"/>
        </w:tabs>
        <w:ind w:left="851" w:hanging="851"/>
        <w:rPr>
          <w:sz w:val="24"/>
          <w:szCs w:val="24"/>
        </w:rPr>
      </w:pPr>
    </w:p>
    <w:p w14:paraId="15C77A1E" w14:textId="77777777" w:rsidR="009260DE" w:rsidRPr="00160FE2" w:rsidRDefault="009260DE" w:rsidP="00160FE2">
      <w:pPr>
        <w:tabs>
          <w:tab w:val="left" w:pos="851"/>
        </w:tabs>
        <w:ind w:left="851" w:hanging="851"/>
        <w:rPr>
          <w:sz w:val="24"/>
          <w:szCs w:val="24"/>
        </w:rPr>
      </w:pPr>
    </w:p>
    <w:p w14:paraId="20A4855A" w14:textId="77777777" w:rsidR="009260DE" w:rsidRPr="00160FE2" w:rsidRDefault="009260DE" w:rsidP="00160FE2">
      <w:pPr>
        <w:tabs>
          <w:tab w:val="left" w:pos="851"/>
        </w:tabs>
        <w:ind w:left="851" w:hanging="851"/>
        <w:rPr>
          <w:b/>
          <w:sz w:val="24"/>
          <w:szCs w:val="24"/>
        </w:rPr>
      </w:pPr>
      <w:r w:rsidRPr="00160FE2">
        <w:rPr>
          <w:b/>
          <w:sz w:val="24"/>
          <w:szCs w:val="24"/>
        </w:rPr>
        <w:t>6.</w:t>
      </w:r>
      <w:r w:rsidRPr="00160FE2">
        <w:rPr>
          <w:b/>
          <w:sz w:val="24"/>
          <w:szCs w:val="24"/>
        </w:rPr>
        <w:tab/>
        <w:t>FARMACEUTISKE OPLYSNINGER</w:t>
      </w:r>
    </w:p>
    <w:p w14:paraId="629C86DD" w14:textId="77777777" w:rsidR="009260DE" w:rsidRPr="00160FE2" w:rsidRDefault="009260DE" w:rsidP="00160FE2">
      <w:pPr>
        <w:tabs>
          <w:tab w:val="left" w:pos="851"/>
        </w:tabs>
        <w:ind w:left="851" w:hanging="851"/>
        <w:rPr>
          <w:sz w:val="24"/>
          <w:szCs w:val="24"/>
        </w:rPr>
      </w:pPr>
    </w:p>
    <w:p w14:paraId="29EEBCD4" w14:textId="77777777" w:rsidR="009260DE" w:rsidRPr="00160FE2" w:rsidRDefault="009260DE" w:rsidP="00160FE2">
      <w:pPr>
        <w:tabs>
          <w:tab w:val="left" w:pos="851"/>
        </w:tabs>
        <w:ind w:left="851" w:hanging="851"/>
        <w:rPr>
          <w:b/>
          <w:sz w:val="24"/>
          <w:szCs w:val="24"/>
        </w:rPr>
      </w:pPr>
      <w:r w:rsidRPr="00160FE2">
        <w:rPr>
          <w:b/>
          <w:sz w:val="24"/>
          <w:szCs w:val="24"/>
        </w:rPr>
        <w:t>6.1</w:t>
      </w:r>
      <w:r w:rsidRPr="00160FE2">
        <w:rPr>
          <w:b/>
          <w:sz w:val="24"/>
          <w:szCs w:val="24"/>
        </w:rPr>
        <w:tab/>
        <w:t>Hjælpestoffer</w:t>
      </w:r>
    </w:p>
    <w:p w14:paraId="352D2BAF" w14:textId="77777777" w:rsidR="00D0497F" w:rsidRPr="00B244F3" w:rsidRDefault="00D0497F" w:rsidP="00187189">
      <w:pPr>
        <w:autoSpaceDE w:val="0"/>
        <w:autoSpaceDN w:val="0"/>
        <w:adjustRightInd w:val="0"/>
        <w:ind w:left="851"/>
        <w:rPr>
          <w:sz w:val="24"/>
          <w:szCs w:val="24"/>
          <w:lang w:eastAsia="fr-FR"/>
        </w:rPr>
      </w:pPr>
      <w:r w:rsidRPr="00187189">
        <w:rPr>
          <w:sz w:val="24"/>
          <w:szCs w:val="24"/>
          <w:bdr w:val="none" w:sz="0" w:space="0" w:color="auto" w:frame="1"/>
        </w:rPr>
        <w:t>Saltsyre (til pH-justering)</w:t>
      </w:r>
    </w:p>
    <w:p w14:paraId="20F1957E" w14:textId="77777777" w:rsidR="00D0497F" w:rsidRPr="00B244F3" w:rsidRDefault="00D0497F" w:rsidP="00187189">
      <w:pPr>
        <w:autoSpaceDE w:val="0"/>
        <w:autoSpaceDN w:val="0"/>
        <w:adjustRightInd w:val="0"/>
        <w:ind w:left="851"/>
        <w:rPr>
          <w:sz w:val="24"/>
          <w:szCs w:val="24"/>
        </w:rPr>
      </w:pPr>
      <w:r w:rsidRPr="00187189">
        <w:rPr>
          <w:sz w:val="24"/>
          <w:szCs w:val="24"/>
          <w:bdr w:val="none" w:sz="0" w:space="0" w:color="auto" w:frame="1"/>
        </w:rPr>
        <w:t xml:space="preserve">Vand til injektionsvæsker </w:t>
      </w:r>
    </w:p>
    <w:p w14:paraId="0A11F0E0" w14:textId="77777777" w:rsidR="009260DE" w:rsidRPr="00160FE2" w:rsidRDefault="009260DE" w:rsidP="00160FE2">
      <w:pPr>
        <w:tabs>
          <w:tab w:val="left" w:pos="851"/>
        </w:tabs>
        <w:ind w:left="851" w:hanging="851"/>
        <w:rPr>
          <w:sz w:val="24"/>
          <w:szCs w:val="24"/>
        </w:rPr>
      </w:pPr>
    </w:p>
    <w:p w14:paraId="6D5267A9" w14:textId="77777777" w:rsidR="009260DE" w:rsidRPr="00160FE2" w:rsidRDefault="009260DE" w:rsidP="00160FE2">
      <w:pPr>
        <w:tabs>
          <w:tab w:val="left" w:pos="851"/>
        </w:tabs>
        <w:ind w:left="851" w:hanging="851"/>
        <w:rPr>
          <w:b/>
          <w:sz w:val="24"/>
          <w:szCs w:val="24"/>
        </w:rPr>
      </w:pPr>
      <w:r w:rsidRPr="00160FE2">
        <w:rPr>
          <w:b/>
          <w:sz w:val="24"/>
          <w:szCs w:val="24"/>
        </w:rPr>
        <w:t>6.2</w:t>
      </w:r>
      <w:r w:rsidRPr="00160FE2">
        <w:rPr>
          <w:b/>
          <w:sz w:val="24"/>
          <w:szCs w:val="24"/>
        </w:rPr>
        <w:tab/>
        <w:t>Uforligeligheder</w:t>
      </w:r>
    </w:p>
    <w:p w14:paraId="204E1F44" w14:textId="77777777" w:rsidR="00D0497F" w:rsidRDefault="00D0497F" w:rsidP="00187189">
      <w:pPr>
        <w:autoSpaceDE w:val="0"/>
        <w:autoSpaceDN w:val="0"/>
        <w:adjustRightInd w:val="0"/>
        <w:ind w:left="851"/>
        <w:rPr>
          <w:sz w:val="24"/>
          <w:szCs w:val="24"/>
          <w:bdr w:val="none" w:sz="0" w:space="0" w:color="auto" w:frame="1"/>
        </w:rPr>
      </w:pPr>
      <w:proofErr w:type="spellStart"/>
      <w:r w:rsidRPr="00187189">
        <w:rPr>
          <w:sz w:val="24"/>
          <w:szCs w:val="24"/>
          <w:bdr w:val="none" w:sz="0" w:space="0" w:color="auto" w:frame="1"/>
        </w:rPr>
        <w:t>Junyelt</w:t>
      </w:r>
      <w:proofErr w:type="spellEnd"/>
      <w:r w:rsidRPr="00187189">
        <w:rPr>
          <w:sz w:val="24"/>
          <w:szCs w:val="24"/>
          <w:bdr w:val="none" w:sz="0" w:space="0" w:color="auto" w:frame="1"/>
        </w:rPr>
        <w:t xml:space="preserve"> må ikke anvendes som vehikel for andre lægemidler.</w:t>
      </w:r>
    </w:p>
    <w:p w14:paraId="5909A616" w14:textId="77777777" w:rsidR="008957C1" w:rsidRPr="00187189" w:rsidRDefault="008957C1" w:rsidP="00187189">
      <w:pPr>
        <w:autoSpaceDE w:val="0"/>
        <w:autoSpaceDN w:val="0"/>
        <w:adjustRightInd w:val="0"/>
        <w:ind w:left="851"/>
        <w:rPr>
          <w:sz w:val="24"/>
          <w:szCs w:val="24"/>
          <w:lang w:eastAsia="fr-FR"/>
        </w:rPr>
      </w:pPr>
    </w:p>
    <w:p w14:paraId="70123E41" w14:textId="77777777" w:rsidR="00D0497F" w:rsidRPr="00187189" w:rsidRDefault="00D0497F" w:rsidP="00187189">
      <w:pPr>
        <w:autoSpaceDE w:val="0"/>
        <w:autoSpaceDN w:val="0"/>
        <w:adjustRightInd w:val="0"/>
        <w:ind w:left="851"/>
        <w:rPr>
          <w:sz w:val="24"/>
          <w:szCs w:val="24"/>
        </w:rPr>
      </w:pPr>
      <w:r w:rsidRPr="00187189">
        <w:rPr>
          <w:sz w:val="24"/>
          <w:szCs w:val="24"/>
          <w:bdr w:val="none" w:sz="0" w:space="0" w:color="auto" w:frame="1"/>
        </w:rPr>
        <w:t>Dette lægemiddel må ikke blandes med andre lægemidler end dem, der er anført under pkt. 6.6.</w:t>
      </w:r>
    </w:p>
    <w:p w14:paraId="2C14716F" w14:textId="77777777" w:rsidR="009260DE" w:rsidRPr="00160FE2" w:rsidRDefault="009260DE" w:rsidP="00160FE2">
      <w:pPr>
        <w:tabs>
          <w:tab w:val="left" w:pos="851"/>
        </w:tabs>
        <w:ind w:left="851" w:hanging="851"/>
        <w:rPr>
          <w:sz w:val="24"/>
          <w:szCs w:val="24"/>
        </w:rPr>
      </w:pPr>
    </w:p>
    <w:p w14:paraId="27506FEA" w14:textId="77777777" w:rsidR="009260DE" w:rsidRPr="00160FE2" w:rsidRDefault="009260DE" w:rsidP="00160FE2">
      <w:pPr>
        <w:tabs>
          <w:tab w:val="left" w:pos="851"/>
        </w:tabs>
        <w:ind w:left="851" w:hanging="851"/>
        <w:rPr>
          <w:b/>
          <w:sz w:val="24"/>
          <w:szCs w:val="24"/>
        </w:rPr>
      </w:pPr>
      <w:r w:rsidRPr="00160FE2">
        <w:rPr>
          <w:b/>
          <w:sz w:val="24"/>
          <w:szCs w:val="24"/>
        </w:rPr>
        <w:t>6.3</w:t>
      </w:r>
      <w:r w:rsidRPr="00160FE2">
        <w:rPr>
          <w:b/>
          <w:sz w:val="24"/>
          <w:szCs w:val="24"/>
        </w:rPr>
        <w:tab/>
        <w:t>Opbevaringstid</w:t>
      </w:r>
    </w:p>
    <w:p w14:paraId="3EF12F5B" w14:textId="6D3F6D63" w:rsidR="00D0497F" w:rsidRPr="00160FE2" w:rsidRDefault="009260DE" w:rsidP="00160FE2">
      <w:pPr>
        <w:ind w:left="851" w:hanging="851"/>
        <w:jc w:val="both"/>
        <w:rPr>
          <w:sz w:val="24"/>
          <w:szCs w:val="24"/>
          <w:lang w:val="de-DE"/>
        </w:rPr>
      </w:pPr>
      <w:r w:rsidRPr="00160FE2">
        <w:rPr>
          <w:sz w:val="24"/>
          <w:szCs w:val="24"/>
        </w:rPr>
        <w:tab/>
      </w:r>
      <w:r w:rsidR="00A658E0">
        <w:rPr>
          <w:sz w:val="24"/>
          <w:szCs w:val="24"/>
          <w:bdr w:val="none" w:sz="0" w:space="0" w:color="auto" w:frame="1"/>
        </w:rPr>
        <w:t>3 å</w:t>
      </w:r>
      <w:r w:rsidR="00D0497F" w:rsidRPr="00160FE2">
        <w:rPr>
          <w:sz w:val="24"/>
          <w:szCs w:val="24"/>
          <w:bdr w:val="none" w:sz="0" w:space="0" w:color="auto" w:frame="1"/>
        </w:rPr>
        <w:t>r</w:t>
      </w:r>
    </w:p>
    <w:p w14:paraId="45B27CB7" w14:textId="77777777" w:rsidR="00D0497F" w:rsidRPr="00160FE2" w:rsidRDefault="00D0497F" w:rsidP="00160FE2">
      <w:pPr>
        <w:ind w:left="851" w:hanging="851"/>
        <w:jc w:val="both"/>
        <w:rPr>
          <w:sz w:val="24"/>
          <w:szCs w:val="24"/>
          <w:lang w:val="de-DE"/>
        </w:rPr>
      </w:pPr>
    </w:p>
    <w:p w14:paraId="6B675D55" w14:textId="77777777" w:rsidR="00D0497F" w:rsidRPr="00160FE2" w:rsidRDefault="00D0497F" w:rsidP="00187189">
      <w:pPr>
        <w:ind w:left="851"/>
        <w:jc w:val="both"/>
        <w:rPr>
          <w:sz w:val="24"/>
          <w:szCs w:val="24"/>
          <w:lang w:val="de-DE"/>
        </w:rPr>
      </w:pPr>
      <w:r w:rsidRPr="00160FE2">
        <w:rPr>
          <w:sz w:val="24"/>
          <w:szCs w:val="24"/>
          <w:bdr w:val="none" w:sz="0" w:space="0" w:color="auto" w:frame="1"/>
        </w:rPr>
        <w:t>Den dokumenterede kemiske og fysiske stabilitet efter fortynding er 48 timer ved 25 °C.</w:t>
      </w:r>
    </w:p>
    <w:p w14:paraId="77747272" w14:textId="77777777" w:rsidR="00D0497F" w:rsidRPr="00160FE2" w:rsidRDefault="00D0497F" w:rsidP="00187189">
      <w:pPr>
        <w:ind w:left="851"/>
        <w:jc w:val="both"/>
        <w:rPr>
          <w:noProof/>
          <w:sz w:val="24"/>
          <w:szCs w:val="24"/>
        </w:rPr>
      </w:pPr>
      <w:r w:rsidRPr="00160FE2">
        <w:rPr>
          <w:sz w:val="24"/>
          <w:szCs w:val="24"/>
          <w:bdr w:val="none" w:sz="0" w:space="0" w:color="auto" w:frame="1"/>
        </w:rPr>
        <w:t>Ud fra et mikrobiologisk synspunkt skal lægemidlet bruges med det samme efter fortynding. Brug af andre opbevaringstider og -betingelser før brug er på brugerens eget ansvar, hvis det ikke bruges med det samme.</w:t>
      </w:r>
    </w:p>
    <w:p w14:paraId="26F8DBB3" w14:textId="77777777" w:rsidR="009260DE" w:rsidRPr="00160FE2" w:rsidRDefault="009260DE" w:rsidP="00160FE2">
      <w:pPr>
        <w:tabs>
          <w:tab w:val="left" w:pos="851"/>
        </w:tabs>
        <w:ind w:left="851" w:hanging="851"/>
        <w:rPr>
          <w:sz w:val="24"/>
          <w:szCs w:val="24"/>
        </w:rPr>
      </w:pPr>
    </w:p>
    <w:p w14:paraId="34112517" w14:textId="77777777" w:rsidR="009260DE" w:rsidRPr="00160FE2" w:rsidRDefault="009260DE" w:rsidP="00160FE2">
      <w:pPr>
        <w:tabs>
          <w:tab w:val="left" w:pos="851"/>
        </w:tabs>
        <w:ind w:left="851" w:hanging="851"/>
        <w:rPr>
          <w:b/>
          <w:sz w:val="24"/>
          <w:szCs w:val="24"/>
        </w:rPr>
      </w:pPr>
      <w:r w:rsidRPr="00160FE2">
        <w:rPr>
          <w:b/>
          <w:sz w:val="24"/>
          <w:szCs w:val="24"/>
        </w:rPr>
        <w:t>6.4</w:t>
      </w:r>
      <w:r w:rsidRPr="00160FE2">
        <w:rPr>
          <w:b/>
          <w:sz w:val="24"/>
          <w:szCs w:val="24"/>
        </w:rPr>
        <w:tab/>
        <w:t>Særlige opbevaringsforhold</w:t>
      </w:r>
    </w:p>
    <w:p w14:paraId="3B62C155" w14:textId="77777777" w:rsidR="00D0497F" w:rsidRPr="00160FE2" w:rsidRDefault="00D0497F" w:rsidP="00187189">
      <w:pPr>
        <w:ind w:left="851"/>
        <w:jc w:val="both"/>
        <w:rPr>
          <w:noProof/>
          <w:sz w:val="24"/>
          <w:szCs w:val="24"/>
        </w:rPr>
      </w:pPr>
      <w:r w:rsidRPr="00160FE2">
        <w:rPr>
          <w:noProof/>
          <w:sz w:val="24"/>
          <w:szCs w:val="24"/>
          <w:bdr w:val="none" w:sz="0" w:space="0" w:color="auto" w:frame="1"/>
        </w:rPr>
        <w:t>Må ikke nedfryses.</w:t>
      </w:r>
    </w:p>
    <w:p w14:paraId="7D93B56A" w14:textId="77777777" w:rsidR="009260DE" w:rsidRPr="00160FE2" w:rsidRDefault="009260DE" w:rsidP="00160FE2">
      <w:pPr>
        <w:tabs>
          <w:tab w:val="left" w:pos="851"/>
        </w:tabs>
        <w:ind w:left="851" w:hanging="851"/>
        <w:rPr>
          <w:sz w:val="24"/>
          <w:szCs w:val="24"/>
        </w:rPr>
      </w:pPr>
    </w:p>
    <w:p w14:paraId="26A3994C" w14:textId="77777777" w:rsidR="009260DE" w:rsidRPr="00160FE2" w:rsidRDefault="009260DE" w:rsidP="00160FE2">
      <w:pPr>
        <w:tabs>
          <w:tab w:val="left" w:pos="851"/>
        </w:tabs>
        <w:ind w:left="851" w:hanging="851"/>
        <w:rPr>
          <w:b/>
          <w:sz w:val="24"/>
          <w:szCs w:val="24"/>
        </w:rPr>
      </w:pPr>
      <w:r w:rsidRPr="00160FE2">
        <w:rPr>
          <w:b/>
          <w:sz w:val="24"/>
          <w:szCs w:val="24"/>
        </w:rPr>
        <w:t>6.5</w:t>
      </w:r>
      <w:r w:rsidRPr="00160FE2">
        <w:rPr>
          <w:b/>
          <w:sz w:val="24"/>
          <w:szCs w:val="24"/>
        </w:rPr>
        <w:tab/>
        <w:t>Emballagetyper og pakningsstørrelser</w:t>
      </w:r>
    </w:p>
    <w:p w14:paraId="07BF446B" w14:textId="77777777" w:rsidR="00D0497F" w:rsidRDefault="00D0497F" w:rsidP="00187189">
      <w:pPr>
        <w:ind w:left="851"/>
        <w:rPr>
          <w:sz w:val="24"/>
          <w:szCs w:val="24"/>
          <w:bdr w:val="none" w:sz="0" w:space="0" w:color="auto" w:frame="1"/>
        </w:rPr>
      </w:pPr>
      <w:r w:rsidRPr="00187189">
        <w:rPr>
          <w:sz w:val="24"/>
          <w:szCs w:val="24"/>
          <w:bdr w:val="none" w:sz="0" w:space="0" w:color="auto" w:frame="1"/>
        </w:rPr>
        <w:t>10 ml opløsning i polypropylen ampuller i pakningsstørrelser på 10 og 50.</w:t>
      </w:r>
    </w:p>
    <w:p w14:paraId="62358FDA" w14:textId="77777777" w:rsidR="008957C1" w:rsidRPr="00187189" w:rsidRDefault="008957C1" w:rsidP="00187189">
      <w:pPr>
        <w:ind w:left="851"/>
        <w:rPr>
          <w:sz w:val="24"/>
          <w:szCs w:val="24"/>
          <w:highlight w:val="yellow"/>
        </w:rPr>
      </w:pPr>
    </w:p>
    <w:p w14:paraId="4FB07E35" w14:textId="77777777" w:rsidR="00D0497F" w:rsidRPr="00187189" w:rsidRDefault="00D0497F" w:rsidP="00187189">
      <w:pPr>
        <w:ind w:left="851"/>
        <w:rPr>
          <w:noProof/>
          <w:sz w:val="24"/>
          <w:szCs w:val="24"/>
          <w:lang w:val="de-DE"/>
        </w:rPr>
      </w:pPr>
      <w:r w:rsidRPr="00187189">
        <w:rPr>
          <w:noProof/>
          <w:sz w:val="24"/>
          <w:szCs w:val="24"/>
          <w:bdr w:val="none" w:sz="0" w:space="0" w:color="auto" w:frame="1"/>
        </w:rPr>
        <w:t>Ikke alle pakningsstørrelser er nødvendigvis markedsført.</w:t>
      </w:r>
    </w:p>
    <w:p w14:paraId="4EBBF5F8" w14:textId="77777777" w:rsidR="009260DE" w:rsidRPr="00160FE2" w:rsidRDefault="009260DE" w:rsidP="00160FE2">
      <w:pPr>
        <w:tabs>
          <w:tab w:val="left" w:pos="851"/>
        </w:tabs>
        <w:ind w:left="851" w:hanging="851"/>
        <w:rPr>
          <w:sz w:val="24"/>
          <w:szCs w:val="24"/>
        </w:rPr>
      </w:pPr>
    </w:p>
    <w:p w14:paraId="1BD8121F" w14:textId="77777777" w:rsidR="009260DE" w:rsidRPr="00160FE2" w:rsidRDefault="009260DE" w:rsidP="00160FE2">
      <w:pPr>
        <w:tabs>
          <w:tab w:val="left" w:pos="851"/>
        </w:tabs>
        <w:ind w:left="851" w:hanging="851"/>
        <w:rPr>
          <w:b/>
          <w:sz w:val="24"/>
          <w:szCs w:val="24"/>
        </w:rPr>
      </w:pPr>
      <w:r w:rsidRPr="00160FE2">
        <w:rPr>
          <w:b/>
          <w:sz w:val="24"/>
          <w:szCs w:val="24"/>
        </w:rPr>
        <w:t>6.6</w:t>
      </w:r>
      <w:r w:rsidRPr="00160FE2">
        <w:rPr>
          <w:b/>
          <w:sz w:val="24"/>
          <w:szCs w:val="24"/>
        </w:rPr>
        <w:tab/>
        <w:t>Regler for destruktion og anden håndtering</w:t>
      </w:r>
    </w:p>
    <w:p w14:paraId="732BD135" w14:textId="77777777" w:rsidR="00D0497F" w:rsidRPr="00160FE2" w:rsidRDefault="00D0497F" w:rsidP="00187189">
      <w:pPr>
        <w:pStyle w:val="Default"/>
        <w:ind w:left="851"/>
        <w:rPr>
          <w:rFonts w:eastAsia="Times New Roman"/>
          <w:color w:val="auto"/>
          <w:lang w:val="de-DE" w:eastAsia="en-US"/>
        </w:rPr>
      </w:pPr>
      <w:r w:rsidRPr="00160FE2">
        <w:rPr>
          <w:rFonts w:eastAsia="Times New Roman"/>
          <w:color w:val="auto"/>
          <w:bdr w:val="none" w:sz="0" w:space="0" w:color="auto" w:frame="1"/>
          <w:lang w:val="da-DK" w:eastAsia="en-US"/>
        </w:rPr>
        <w:t xml:space="preserve">Før brug kontrolleres det, om koncentratet til infusionsvæske, opløsning er homogent, at ampullen ikke er beskadiget, og om indholdet er fri for partikler. </w:t>
      </w:r>
    </w:p>
    <w:p w14:paraId="7305CBB9" w14:textId="77777777" w:rsidR="00D0497F" w:rsidRPr="00160FE2" w:rsidRDefault="00D0497F" w:rsidP="00187189">
      <w:pPr>
        <w:pStyle w:val="Default"/>
        <w:ind w:left="851"/>
        <w:rPr>
          <w:rFonts w:eastAsia="Times New Roman"/>
          <w:color w:val="auto"/>
          <w:lang w:val="da-DK" w:eastAsia="en-US"/>
        </w:rPr>
      </w:pPr>
      <w:proofErr w:type="spellStart"/>
      <w:r w:rsidRPr="00160FE2">
        <w:rPr>
          <w:rFonts w:eastAsia="Times New Roman"/>
          <w:color w:val="auto"/>
          <w:bdr w:val="none" w:sz="0" w:space="0" w:color="auto" w:frame="1"/>
          <w:lang w:val="da-DK" w:eastAsia="en-US"/>
        </w:rPr>
        <w:t>Junyelt</w:t>
      </w:r>
      <w:proofErr w:type="spellEnd"/>
      <w:r w:rsidRPr="00160FE2">
        <w:rPr>
          <w:rFonts w:eastAsia="Times New Roman"/>
          <w:color w:val="auto"/>
          <w:bdr w:val="none" w:sz="0" w:space="0" w:color="auto" w:frame="1"/>
          <w:lang w:val="da-DK" w:eastAsia="en-US"/>
        </w:rPr>
        <w:t xml:space="preserve"> er ikke beregnet til administration i den aktuelle formulering. </w:t>
      </w:r>
      <w:proofErr w:type="spellStart"/>
      <w:r w:rsidRPr="00160FE2">
        <w:rPr>
          <w:rFonts w:eastAsia="Times New Roman"/>
          <w:color w:val="auto"/>
          <w:bdr w:val="none" w:sz="0" w:space="0" w:color="auto" w:frame="1"/>
          <w:lang w:val="da-DK" w:eastAsia="en-US"/>
        </w:rPr>
        <w:t>Junyelt</w:t>
      </w:r>
      <w:proofErr w:type="spellEnd"/>
      <w:r w:rsidRPr="00160FE2">
        <w:rPr>
          <w:rFonts w:eastAsia="Times New Roman"/>
          <w:color w:val="auto"/>
          <w:bdr w:val="none" w:sz="0" w:space="0" w:color="auto" w:frame="1"/>
          <w:lang w:val="da-DK" w:eastAsia="en-US"/>
        </w:rPr>
        <w:t xml:space="preserve"> skal fortyndes eller blandes ved let </w:t>
      </w:r>
      <w:proofErr w:type="spellStart"/>
      <w:r w:rsidRPr="00160FE2">
        <w:rPr>
          <w:rFonts w:eastAsia="Times New Roman"/>
          <w:color w:val="auto"/>
          <w:bdr w:val="none" w:sz="0" w:space="0" w:color="auto" w:frame="1"/>
          <w:lang w:val="da-DK" w:eastAsia="en-US"/>
        </w:rPr>
        <w:t>omrysten</w:t>
      </w:r>
      <w:proofErr w:type="spellEnd"/>
      <w:r w:rsidRPr="00160FE2">
        <w:rPr>
          <w:rFonts w:eastAsia="Times New Roman"/>
          <w:color w:val="auto"/>
          <w:bdr w:val="none" w:sz="0" w:space="0" w:color="auto" w:frame="1"/>
          <w:lang w:val="da-DK" w:eastAsia="en-US"/>
        </w:rPr>
        <w:t xml:space="preserve"> under tilberedningen under strenge aseptiske forhold, før infusion. </w:t>
      </w:r>
    </w:p>
    <w:p w14:paraId="40656095" w14:textId="77777777" w:rsidR="00D0497F" w:rsidRPr="00160FE2" w:rsidRDefault="00D0497F" w:rsidP="00187189">
      <w:pPr>
        <w:pStyle w:val="Default"/>
        <w:ind w:left="851"/>
        <w:rPr>
          <w:rFonts w:eastAsia="Times New Roman"/>
          <w:color w:val="auto"/>
          <w:lang w:val="da-DK" w:eastAsia="en-US"/>
        </w:rPr>
      </w:pPr>
      <w:proofErr w:type="spellStart"/>
      <w:r w:rsidRPr="00160FE2">
        <w:rPr>
          <w:rFonts w:eastAsia="Times New Roman"/>
          <w:color w:val="auto"/>
          <w:bdr w:val="none" w:sz="0" w:space="0" w:color="auto" w:frame="1"/>
          <w:lang w:val="da-DK" w:eastAsia="en-US"/>
        </w:rPr>
        <w:t>Junyelt</w:t>
      </w:r>
      <w:proofErr w:type="spellEnd"/>
      <w:r w:rsidRPr="00160FE2">
        <w:rPr>
          <w:rFonts w:eastAsia="Times New Roman"/>
          <w:color w:val="auto"/>
          <w:bdr w:val="none" w:sz="0" w:space="0" w:color="auto" w:frame="1"/>
          <w:lang w:val="da-DK" w:eastAsia="en-US"/>
        </w:rPr>
        <w:t xml:space="preserve"> skal fortyndes til den passende endelige </w:t>
      </w:r>
      <w:proofErr w:type="spellStart"/>
      <w:r w:rsidRPr="00160FE2">
        <w:rPr>
          <w:rFonts w:eastAsia="Times New Roman"/>
          <w:color w:val="auto"/>
          <w:bdr w:val="none" w:sz="0" w:space="0" w:color="auto" w:frame="1"/>
          <w:lang w:val="da-DK" w:eastAsia="en-US"/>
        </w:rPr>
        <w:t>osmolaritet</w:t>
      </w:r>
      <w:proofErr w:type="spellEnd"/>
      <w:r w:rsidRPr="00160FE2">
        <w:rPr>
          <w:rFonts w:eastAsia="Times New Roman"/>
          <w:color w:val="auto"/>
          <w:bdr w:val="none" w:sz="0" w:space="0" w:color="auto" w:frame="1"/>
          <w:lang w:val="da-DK" w:eastAsia="en-US"/>
        </w:rPr>
        <w:t xml:space="preserve">. </w:t>
      </w:r>
    </w:p>
    <w:p w14:paraId="0C370F05" w14:textId="77777777" w:rsidR="00D0497F" w:rsidRPr="00160FE2" w:rsidRDefault="00D0497F" w:rsidP="00187189">
      <w:pPr>
        <w:pStyle w:val="Default"/>
        <w:ind w:left="851"/>
        <w:rPr>
          <w:rFonts w:eastAsia="Times New Roman"/>
          <w:color w:val="auto"/>
          <w:lang w:val="da-DK" w:eastAsia="en-US"/>
        </w:rPr>
      </w:pPr>
      <w:r w:rsidRPr="00160FE2">
        <w:rPr>
          <w:rFonts w:eastAsia="Times New Roman"/>
          <w:color w:val="auto"/>
          <w:bdr w:val="none" w:sz="0" w:space="0" w:color="auto" w:frame="1"/>
          <w:lang w:val="da-DK" w:eastAsia="en-US"/>
        </w:rPr>
        <w:t xml:space="preserve">For eksempel: </w:t>
      </w:r>
    </w:p>
    <w:p w14:paraId="3747F2F5" w14:textId="0D2DF565" w:rsidR="00D0497F" w:rsidRPr="00160FE2" w:rsidRDefault="00D0497F" w:rsidP="00187189">
      <w:pPr>
        <w:pStyle w:val="Default"/>
        <w:numPr>
          <w:ilvl w:val="0"/>
          <w:numId w:val="11"/>
        </w:numPr>
        <w:spacing w:after="23"/>
        <w:ind w:left="1276" w:hanging="425"/>
        <w:rPr>
          <w:rFonts w:eastAsia="Times New Roman"/>
          <w:color w:val="auto"/>
          <w:lang w:val="da-DK" w:eastAsia="en-US"/>
        </w:rPr>
      </w:pPr>
      <w:r w:rsidRPr="00160FE2">
        <w:rPr>
          <w:rFonts w:eastAsia="Times New Roman"/>
          <w:color w:val="auto"/>
          <w:bdr w:val="none" w:sz="0" w:space="0" w:color="auto" w:frame="1"/>
          <w:lang w:val="da-DK" w:eastAsia="en-US"/>
        </w:rPr>
        <w:t xml:space="preserve">5 eller 10 ml </w:t>
      </w:r>
      <w:proofErr w:type="spellStart"/>
      <w:r w:rsidRPr="00160FE2">
        <w:rPr>
          <w:rFonts w:eastAsia="Times New Roman"/>
          <w:color w:val="auto"/>
          <w:bdr w:val="none" w:sz="0" w:space="0" w:color="auto" w:frame="1"/>
          <w:lang w:val="da-DK" w:eastAsia="en-US"/>
        </w:rPr>
        <w:t>Junyelt</w:t>
      </w:r>
      <w:proofErr w:type="spellEnd"/>
      <w:r w:rsidRPr="00160FE2">
        <w:rPr>
          <w:rFonts w:eastAsia="Times New Roman"/>
          <w:color w:val="auto"/>
          <w:bdr w:val="none" w:sz="0" w:space="0" w:color="auto" w:frame="1"/>
          <w:lang w:val="da-DK" w:eastAsia="en-US"/>
        </w:rPr>
        <w:t xml:space="preserve"> kan fortyndes i mindst 50 ml </w:t>
      </w:r>
      <w:proofErr w:type="spellStart"/>
      <w:r w:rsidRPr="00160FE2">
        <w:rPr>
          <w:rFonts w:eastAsia="Times New Roman"/>
          <w:color w:val="auto"/>
          <w:bdr w:val="none" w:sz="0" w:space="0" w:color="auto" w:frame="1"/>
          <w:lang w:val="da-DK" w:eastAsia="en-US"/>
        </w:rPr>
        <w:t>natriumchlorid</w:t>
      </w:r>
      <w:proofErr w:type="spellEnd"/>
      <w:r w:rsidRPr="00160FE2">
        <w:rPr>
          <w:rFonts w:eastAsia="Times New Roman"/>
          <w:color w:val="auto"/>
          <w:bdr w:val="none" w:sz="0" w:space="0" w:color="auto" w:frame="1"/>
          <w:lang w:val="da-DK" w:eastAsia="en-US"/>
        </w:rPr>
        <w:t xml:space="preserve"> 0,9 % til infusionsvæske eller </w:t>
      </w:r>
      <w:proofErr w:type="spellStart"/>
      <w:r w:rsidRPr="00160FE2">
        <w:rPr>
          <w:rFonts w:eastAsia="Times New Roman"/>
          <w:color w:val="auto"/>
          <w:bdr w:val="none" w:sz="0" w:space="0" w:color="auto" w:frame="1"/>
          <w:lang w:val="da-DK" w:eastAsia="en-US"/>
        </w:rPr>
        <w:t>glucose</w:t>
      </w:r>
      <w:proofErr w:type="spellEnd"/>
      <w:r w:rsidRPr="00160FE2">
        <w:rPr>
          <w:rFonts w:eastAsia="Times New Roman"/>
          <w:color w:val="auto"/>
          <w:bdr w:val="none" w:sz="0" w:space="0" w:color="auto" w:frame="1"/>
          <w:lang w:val="da-DK" w:eastAsia="en-US"/>
        </w:rPr>
        <w:t xml:space="preserve"> 5 % til infusionsvæske. </w:t>
      </w:r>
    </w:p>
    <w:p w14:paraId="5E40670F" w14:textId="31C52846" w:rsidR="00D0497F" w:rsidRPr="00160FE2" w:rsidRDefault="00D0497F" w:rsidP="00187189">
      <w:pPr>
        <w:pStyle w:val="Default"/>
        <w:numPr>
          <w:ilvl w:val="0"/>
          <w:numId w:val="11"/>
        </w:numPr>
        <w:ind w:left="1276" w:hanging="425"/>
        <w:rPr>
          <w:rFonts w:eastAsia="Times New Roman"/>
          <w:color w:val="auto"/>
          <w:lang w:val="da-DK" w:eastAsia="en-US"/>
        </w:rPr>
      </w:pPr>
      <w:r w:rsidRPr="00160FE2">
        <w:rPr>
          <w:rFonts w:eastAsia="Times New Roman"/>
          <w:color w:val="auto"/>
          <w:bdr w:val="none" w:sz="0" w:space="0" w:color="auto" w:frame="1"/>
          <w:lang w:val="da-DK" w:eastAsia="en-US"/>
        </w:rPr>
        <w:t xml:space="preserve">10 eller 20 ml </w:t>
      </w:r>
      <w:proofErr w:type="spellStart"/>
      <w:r w:rsidRPr="00160FE2">
        <w:rPr>
          <w:rFonts w:eastAsia="Times New Roman"/>
          <w:color w:val="auto"/>
          <w:bdr w:val="none" w:sz="0" w:space="0" w:color="auto" w:frame="1"/>
          <w:lang w:val="da-DK" w:eastAsia="en-US"/>
        </w:rPr>
        <w:t>Junyelt</w:t>
      </w:r>
      <w:proofErr w:type="spellEnd"/>
      <w:r w:rsidRPr="00160FE2">
        <w:rPr>
          <w:rFonts w:eastAsia="Times New Roman"/>
          <w:color w:val="auto"/>
          <w:bdr w:val="none" w:sz="0" w:space="0" w:color="auto" w:frame="1"/>
          <w:lang w:val="da-DK" w:eastAsia="en-US"/>
        </w:rPr>
        <w:t xml:space="preserve"> kan fortyndes i mindst 100 ml </w:t>
      </w:r>
      <w:proofErr w:type="spellStart"/>
      <w:r w:rsidRPr="00160FE2">
        <w:rPr>
          <w:rFonts w:eastAsia="Times New Roman"/>
          <w:color w:val="auto"/>
          <w:bdr w:val="none" w:sz="0" w:space="0" w:color="auto" w:frame="1"/>
          <w:lang w:val="da-DK" w:eastAsia="en-US"/>
        </w:rPr>
        <w:t>natriumchlorid</w:t>
      </w:r>
      <w:proofErr w:type="spellEnd"/>
      <w:r w:rsidRPr="00160FE2">
        <w:rPr>
          <w:rFonts w:eastAsia="Times New Roman"/>
          <w:color w:val="auto"/>
          <w:bdr w:val="none" w:sz="0" w:space="0" w:color="auto" w:frame="1"/>
          <w:lang w:val="da-DK" w:eastAsia="en-US"/>
        </w:rPr>
        <w:t xml:space="preserve"> 0,9 % til infusionsvæske eller </w:t>
      </w:r>
      <w:proofErr w:type="spellStart"/>
      <w:r w:rsidRPr="00160FE2">
        <w:rPr>
          <w:rFonts w:eastAsia="Times New Roman"/>
          <w:color w:val="auto"/>
          <w:bdr w:val="none" w:sz="0" w:space="0" w:color="auto" w:frame="1"/>
          <w:lang w:val="da-DK" w:eastAsia="en-US"/>
        </w:rPr>
        <w:t>glucose</w:t>
      </w:r>
      <w:proofErr w:type="spellEnd"/>
      <w:r w:rsidRPr="00160FE2">
        <w:rPr>
          <w:rFonts w:eastAsia="Times New Roman"/>
          <w:color w:val="auto"/>
          <w:bdr w:val="none" w:sz="0" w:space="0" w:color="auto" w:frame="1"/>
          <w:lang w:val="da-DK" w:eastAsia="en-US"/>
        </w:rPr>
        <w:t xml:space="preserve"> 5 % til infusionsvæske.</w:t>
      </w:r>
    </w:p>
    <w:p w14:paraId="67BEA448" w14:textId="73A6DAEC" w:rsidR="00D0497F" w:rsidRPr="00160FE2" w:rsidRDefault="00D0497F" w:rsidP="00187189">
      <w:pPr>
        <w:pStyle w:val="Default"/>
        <w:numPr>
          <w:ilvl w:val="0"/>
          <w:numId w:val="11"/>
        </w:numPr>
        <w:ind w:left="1276" w:hanging="425"/>
        <w:rPr>
          <w:rFonts w:eastAsia="Times New Roman"/>
          <w:color w:val="auto"/>
          <w:lang w:val="da-DK" w:eastAsia="en-US"/>
        </w:rPr>
      </w:pPr>
      <w:r w:rsidRPr="00160FE2">
        <w:rPr>
          <w:rFonts w:eastAsia="Times New Roman"/>
          <w:color w:val="auto"/>
          <w:bdr w:val="none" w:sz="0" w:space="0" w:color="auto" w:frame="1"/>
          <w:lang w:val="da-DK" w:eastAsia="en-US"/>
        </w:rPr>
        <w:t>I disse fortyndinger vil pH være ca. 3,5-4,5.</w:t>
      </w:r>
    </w:p>
    <w:p w14:paraId="17B14556" w14:textId="77777777" w:rsidR="00D0497F" w:rsidRPr="00160FE2" w:rsidRDefault="00D0497F" w:rsidP="00187189">
      <w:pPr>
        <w:pStyle w:val="Default"/>
        <w:ind w:left="851" w:hanging="851"/>
        <w:rPr>
          <w:rFonts w:eastAsia="Times New Roman"/>
          <w:color w:val="auto"/>
          <w:lang w:val="da-DK" w:eastAsia="en-US"/>
        </w:rPr>
      </w:pPr>
    </w:p>
    <w:p w14:paraId="06BDAC4B" w14:textId="77777777" w:rsidR="00D0497F" w:rsidRPr="00160FE2" w:rsidRDefault="00D0497F" w:rsidP="00187189">
      <w:pPr>
        <w:pStyle w:val="Default"/>
        <w:ind w:left="851"/>
        <w:rPr>
          <w:rFonts w:eastAsia="Times New Roman"/>
          <w:color w:val="auto"/>
          <w:lang w:val="da-DK" w:eastAsia="en-US"/>
        </w:rPr>
      </w:pPr>
      <w:r w:rsidRPr="00160FE2">
        <w:rPr>
          <w:rFonts w:eastAsia="Times New Roman"/>
          <w:color w:val="auto"/>
          <w:bdr w:val="none" w:sz="0" w:space="0" w:color="auto" w:frame="1"/>
          <w:lang w:val="da-DK" w:eastAsia="en-US"/>
        </w:rPr>
        <w:t xml:space="preserve">Den </w:t>
      </w:r>
      <w:proofErr w:type="spellStart"/>
      <w:r w:rsidRPr="00160FE2">
        <w:rPr>
          <w:rFonts w:eastAsia="Times New Roman"/>
          <w:color w:val="auto"/>
          <w:bdr w:val="none" w:sz="0" w:space="0" w:color="auto" w:frame="1"/>
          <w:lang w:val="da-DK" w:eastAsia="en-US"/>
        </w:rPr>
        <w:t>rekonstituerede</w:t>
      </w:r>
      <w:proofErr w:type="spellEnd"/>
      <w:r w:rsidRPr="00160FE2">
        <w:rPr>
          <w:rFonts w:eastAsia="Times New Roman"/>
          <w:color w:val="auto"/>
          <w:bdr w:val="none" w:sz="0" w:space="0" w:color="auto" w:frame="1"/>
          <w:lang w:val="da-DK" w:eastAsia="en-US"/>
        </w:rPr>
        <w:t xml:space="preserve"> infusionsvæske skal inspiceres visuelt før brug. Kun en klar opløsning uden partikler må anvendes. </w:t>
      </w:r>
    </w:p>
    <w:p w14:paraId="358767A1" w14:textId="77777777" w:rsidR="00D0497F" w:rsidRPr="00160FE2" w:rsidRDefault="00D0497F" w:rsidP="00187189">
      <w:pPr>
        <w:pStyle w:val="Default"/>
        <w:ind w:left="851"/>
        <w:rPr>
          <w:rFonts w:eastAsia="Times New Roman"/>
          <w:color w:val="auto"/>
          <w:lang w:val="da-DK" w:eastAsia="en-US"/>
        </w:rPr>
      </w:pPr>
      <w:r w:rsidRPr="00160FE2">
        <w:rPr>
          <w:rFonts w:eastAsia="Times New Roman"/>
          <w:color w:val="auto"/>
          <w:bdr w:val="none" w:sz="0" w:space="0" w:color="auto" w:frame="1"/>
          <w:lang w:val="da-DK" w:eastAsia="en-US"/>
        </w:rPr>
        <w:t xml:space="preserve">Opbevar ikke delvist brugte beholdere og kassér alt udstyr efter brug. </w:t>
      </w:r>
    </w:p>
    <w:p w14:paraId="269F4FAD" w14:textId="77777777" w:rsidR="00D0497F" w:rsidRPr="00160FE2" w:rsidRDefault="00D0497F" w:rsidP="00187189">
      <w:pPr>
        <w:ind w:left="851"/>
        <w:rPr>
          <w:sz w:val="24"/>
          <w:szCs w:val="24"/>
          <w:lang w:val="de-DE"/>
        </w:rPr>
      </w:pPr>
      <w:r w:rsidRPr="00160FE2">
        <w:rPr>
          <w:sz w:val="24"/>
          <w:szCs w:val="24"/>
          <w:bdr w:val="none" w:sz="0" w:space="0" w:color="auto" w:frame="1"/>
        </w:rPr>
        <w:t>Når opløsninger indgives samtidigt gennem en fælles kanyle, skal det sikres, at de kompatible.</w:t>
      </w:r>
    </w:p>
    <w:p w14:paraId="48C05E90" w14:textId="77777777" w:rsidR="00D0497F" w:rsidRPr="00160FE2" w:rsidRDefault="00D0497F" w:rsidP="00187189">
      <w:pPr>
        <w:ind w:left="851" w:hanging="851"/>
        <w:rPr>
          <w:sz w:val="24"/>
          <w:szCs w:val="24"/>
          <w:lang w:val="de-DE"/>
        </w:rPr>
      </w:pPr>
    </w:p>
    <w:p w14:paraId="16F8956E" w14:textId="77777777" w:rsidR="00D0497F" w:rsidRPr="00160FE2" w:rsidRDefault="00D0497F" w:rsidP="00187189">
      <w:pPr>
        <w:ind w:left="851"/>
        <w:rPr>
          <w:sz w:val="24"/>
          <w:szCs w:val="24"/>
          <w:lang w:val="de-DE"/>
        </w:rPr>
      </w:pPr>
      <w:r w:rsidRPr="00160FE2">
        <w:rPr>
          <w:sz w:val="24"/>
          <w:szCs w:val="24"/>
          <w:bdr w:val="none" w:sz="0" w:space="0" w:color="auto" w:frame="1"/>
        </w:rPr>
        <w:t>Ikke anvendt lægemiddel samt affald heraf skal bortskaffes i henhold til lokale retningslinjer.</w:t>
      </w:r>
    </w:p>
    <w:p w14:paraId="57CEAC48" w14:textId="77777777" w:rsidR="009260DE" w:rsidRPr="00160FE2" w:rsidRDefault="009260DE" w:rsidP="00160FE2">
      <w:pPr>
        <w:tabs>
          <w:tab w:val="left" w:pos="851"/>
        </w:tabs>
        <w:ind w:left="851" w:hanging="851"/>
        <w:jc w:val="both"/>
        <w:rPr>
          <w:sz w:val="24"/>
          <w:szCs w:val="24"/>
        </w:rPr>
      </w:pPr>
    </w:p>
    <w:p w14:paraId="2EB42FF5" w14:textId="77777777" w:rsidR="009260DE" w:rsidRPr="00160FE2" w:rsidRDefault="009260DE" w:rsidP="00160FE2">
      <w:pPr>
        <w:tabs>
          <w:tab w:val="left" w:pos="851"/>
        </w:tabs>
        <w:ind w:left="851" w:hanging="851"/>
        <w:rPr>
          <w:b/>
          <w:sz w:val="24"/>
          <w:szCs w:val="24"/>
        </w:rPr>
      </w:pPr>
      <w:r w:rsidRPr="00160FE2">
        <w:rPr>
          <w:b/>
          <w:sz w:val="24"/>
          <w:szCs w:val="24"/>
        </w:rPr>
        <w:t>7.</w:t>
      </w:r>
      <w:r w:rsidRPr="00160FE2">
        <w:rPr>
          <w:b/>
          <w:sz w:val="24"/>
          <w:szCs w:val="24"/>
        </w:rPr>
        <w:tab/>
        <w:t>INDEHAVER AF MARKEDSFØRINGSTILLADELSEN</w:t>
      </w:r>
    </w:p>
    <w:p w14:paraId="260D7350" w14:textId="4BDBB4FB" w:rsidR="00D0497F" w:rsidRPr="00160FE2" w:rsidRDefault="00D0497F" w:rsidP="00187189">
      <w:pPr>
        <w:ind w:left="851"/>
        <w:jc w:val="both"/>
        <w:rPr>
          <w:sz w:val="24"/>
          <w:szCs w:val="24"/>
          <w:lang w:val="de-DE"/>
        </w:rPr>
      </w:pPr>
      <w:proofErr w:type="spellStart"/>
      <w:r w:rsidRPr="00160FE2">
        <w:rPr>
          <w:sz w:val="24"/>
          <w:szCs w:val="24"/>
          <w:bdr w:val="none" w:sz="0" w:space="0" w:color="auto" w:frame="1"/>
        </w:rPr>
        <w:t>Laboratoire</w:t>
      </w:r>
      <w:proofErr w:type="spellEnd"/>
      <w:r w:rsidRPr="00160FE2">
        <w:rPr>
          <w:sz w:val="24"/>
          <w:szCs w:val="24"/>
          <w:bdr w:val="none" w:sz="0" w:space="0" w:color="auto" w:frame="1"/>
        </w:rPr>
        <w:t xml:space="preserve"> </w:t>
      </w:r>
      <w:proofErr w:type="spellStart"/>
      <w:r w:rsidRPr="00160FE2">
        <w:rPr>
          <w:sz w:val="24"/>
          <w:szCs w:val="24"/>
          <w:bdr w:val="none" w:sz="0" w:space="0" w:color="auto" w:frame="1"/>
        </w:rPr>
        <w:t>A</w:t>
      </w:r>
      <w:r w:rsidR="00187189">
        <w:rPr>
          <w:sz w:val="24"/>
          <w:szCs w:val="24"/>
          <w:bdr w:val="none" w:sz="0" w:space="0" w:color="auto" w:frame="1"/>
        </w:rPr>
        <w:t>guettant</w:t>
      </w:r>
      <w:proofErr w:type="spellEnd"/>
    </w:p>
    <w:p w14:paraId="6D0D8998" w14:textId="77777777" w:rsidR="00D0497F" w:rsidRPr="00160FE2" w:rsidRDefault="00D0497F" w:rsidP="00187189">
      <w:pPr>
        <w:ind w:left="851"/>
        <w:jc w:val="both"/>
        <w:rPr>
          <w:sz w:val="24"/>
          <w:szCs w:val="24"/>
          <w:lang w:val="de-DE"/>
        </w:rPr>
      </w:pPr>
      <w:r w:rsidRPr="00160FE2">
        <w:rPr>
          <w:sz w:val="24"/>
          <w:szCs w:val="24"/>
          <w:bdr w:val="none" w:sz="0" w:space="0" w:color="auto" w:frame="1"/>
        </w:rPr>
        <w:t xml:space="preserve">1 </w:t>
      </w:r>
      <w:proofErr w:type="spellStart"/>
      <w:r w:rsidRPr="00160FE2">
        <w:rPr>
          <w:sz w:val="24"/>
          <w:szCs w:val="24"/>
          <w:bdr w:val="none" w:sz="0" w:space="0" w:color="auto" w:frame="1"/>
        </w:rPr>
        <w:t>rue</w:t>
      </w:r>
      <w:proofErr w:type="spellEnd"/>
      <w:r w:rsidRPr="00160FE2">
        <w:rPr>
          <w:sz w:val="24"/>
          <w:szCs w:val="24"/>
          <w:bdr w:val="none" w:sz="0" w:space="0" w:color="auto" w:frame="1"/>
        </w:rPr>
        <w:t xml:space="preserve"> Alexander Fleming</w:t>
      </w:r>
    </w:p>
    <w:p w14:paraId="3B647BA3" w14:textId="7909227E" w:rsidR="00D0497F" w:rsidRPr="00160FE2" w:rsidRDefault="00D0497F" w:rsidP="00187189">
      <w:pPr>
        <w:ind w:left="851"/>
        <w:jc w:val="both"/>
        <w:rPr>
          <w:sz w:val="24"/>
          <w:szCs w:val="24"/>
          <w:lang w:val="de-DE"/>
        </w:rPr>
      </w:pPr>
      <w:r w:rsidRPr="00160FE2">
        <w:rPr>
          <w:sz w:val="24"/>
          <w:szCs w:val="24"/>
          <w:bdr w:val="none" w:sz="0" w:space="0" w:color="auto" w:frame="1"/>
        </w:rPr>
        <w:t>69007 L</w:t>
      </w:r>
      <w:r w:rsidR="00187189">
        <w:rPr>
          <w:sz w:val="24"/>
          <w:szCs w:val="24"/>
          <w:bdr w:val="none" w:sz="0" w:space="0" w:color="auto" w:frame="1"/>
        </w:rPr>
        <w:t>yon</w:t>
      </w:r>
    </w:p>
    <w:p w14:paraId="51A08FC3" w14:textId="5742F149" w:rsidR="009260DE" w:rsidRPr="00160FE2" w:rsidRDefault="00D0497F" w:rsidP="00187189">
      <w:pPr>
        <w:ind w:left="851"/>
        <w:jc w:val="both"/>
        <w:rPr>
          <w:sz w:val="24"/>
          <w:szCs w:val="24"/>
        </w:rPr>
      </w:pPr>
      <w:r w:rsidRPr="00160FE2">
        <w:rPr>
          <w:sz w:val="24"/>
          <w:szCs w:val="24"/>
          <w:bdr w:val="none" w:sz="0" w:space="0" w:color="auto" w:frame="1"/>
        </w:rPr>
        <w:t>F</w:t>
      </w:r>
      <w:r w:rsidR="00187189">
        <w:rPr>
          <w:sz w:val="24"/>
          <w:szCs w:val="24"/>
          <w:bdr w:val="none" w:sz="0" w:space="0" w:color="auto" w:frame="1"/>
        </w:rPr>
        <w:t>rankrig</w:t>
      </w:r>
    </w:p>
    <w:p w14:paraId="17B809CD" w14:textId="77777777" w:rsidR="009260DE" w:rsidRPr="00160FE2" w:rsidRDefault="009260DE" w:rsidP="00160FE2">
      <w:pPr>
        <w:tabs>
          <w:tab w:val="left" w:pos="851"/>
        </w:tabs>
        <w:ind w:left="851" w:hanging="851"/>
        <w:rPr>
          <w:sz w:val="24"/>
          <w:szCs w:val="24"/>
        </w:rPr>
      </w:pPr>
    </w:p>
    <w:p w14:paraId="0A5CCEC6" w14:textId="77777777" w:rsidR="009260DE" w:rsidRPr="00160FE2" w:rsidRDefault="009260DE" w:rsidP="00160FE2">
      <w:pPr>
        <w:tabs>
          <w:tab w:val="left" w:pos="851"/>
        </w:tabs>
        <w:ind w:left="851" w:hanging="851"/>
        <w:rPr>
          <w:b/>
          <w:sz w:val="24"/>
          <w:szCs w:val="24"/>
        </w:rPr>
      </w:pPr>
      <w:r w:rsidRPr="00160FE2">
        <w:rPr>
          <w:b/>
          <w:sz w:val="24"/>
          <w:szCs w:val="24"/>
        </w:rPr>
        <w:t>8.</w:t>
      </w:r>
      <w:r w:rsidRPr="00160FE2">
        <w:rPr>
          <w:b/>
          <w:sz w:val="24"/>
          <w:szCs w:val="24"/>
        </w:rPr>
        <w:tab/>
        <w:t>MARKEDSFØRINGSTILLADELSESNUMMER (NUMRE)</w:t>
      </w:r>
    </w:p>
    <w:p w14:paraId="2575387B" w14:textId="3E2F5FD3" w:rsidR="009260DE" w:rsidRPr="00160FE2" w:rsidRDefault="00187189" w:rsidP="00160FE2">
      <w:pPr>
        <w:tabs>
          <w:tab w:val="left" w:pos="851"/>
        </w:tabs>
        <w:ind w:left="851" w:hanging="851"/>
        <w:rPr>
          <w:sz w:val="24"/>
          <w:szCs w:val="24"/>
        </w:rPr>
      </w:pPr>
      <w:r>
        <w:rPr>
          <w:sz w:val="24"/>
          <w:szCs w:val="24"/>
        </w:rPr>
        <w:tab/>
      </w:r>
      <w:r w:rsidR="00160FE2" w:rsidRPr="00160FE2">
        <w:rPr>
          <w:sz w:val="24"/>
          <w:szCs w:val="24"/>
        </w:rPr>
        <w:t>56640</w:t>
      </w:r>
    </w:p>
    <w:p w14:paraId="1D048327" w14:textId="77777777" w:rsidR="009260DE" w:rsidRPr="00160FE2" w:rsidRDefault="009260DE" w:rsidP="00160FE2">
      <w:pPr>
        <w:tabs>
          <w:tab w:val="left" w:pos="851"/>
        </w:tabs>
        <w:ind w:left="851" w:hanging="851"/>
        <w:jc w:val="both"/>
        <w:rPr>
          <w:sz w:val="24"/>
          <w:szCs w:val="24"/>
        </w:rPr>
      </w:pPr>
    </w:p>
    <w:p w14:paraId="5128390C" w14:textId="77777777" w:rsidR="009260DE" w:rsidRPr="00160FE2" w:rsidRDefault="009260DE" w:rsidP="00160FE2">
      <w:pPr>
        <w:tabs>
          <w:tab w:val="left" w:pos="851"/>
        </w:tabs>
        <w:ind w:left="851" w:hanging="851"/>
        <w:rPr>
          <w:b/>
          <w:sz w:val="24"/>
          <w:szCs w:val="24"/>
        </w:rPr>
      </w:pPr>
      <w:r w:rsidRPr="00160FE2">
        <w:rPr>
          <w:b/>
          <w:sz w:val="24"/>
          <w:szCs w:val="24"/>
        </w:rPr>
        <w:t>9.</w:t>
      </w:r>
      <w:r w:rsidRPr="00160FE2">
        <w:rPr>
          <w:b/>
          <w:sz w:val="24"/>
          <w:szCs w:val="24"/>
        </w:rPr>
        <w:tab/>
        <w:t>DATO FOR FØRSTE MARKEDSFØRINGSTILLADELSE</w:t>
      </w:r>
    </w:p>
    <w:p w14:paraId="0F215EF3" w14:textId="2A43BD62" w:rsidR="009260DE" w:rsidRPr="00160FE2" w:rsidRDefault="00187189" w:rsidP="00160FE2">
      <w:pPr>
        <w:tabs>
          <w:tab w:val="left" w:pos="851"/>
        </w:tabs>
        <w:ind w:left="851" w:hanging="851"/>
        <w:rPr>
          <w:sz w:val="24"/>
          <w:szCs w:val="24"/>
        </w:rPr>
      </w:pPr>
      <w:r>
        <w:rPr>
          <w:sz w:val="24"/>
          <w:szCs w:val="24"/>
        </w:rPr>
        <w:tab/>
      </w:r>
      <w:r w:rsidR="00634786">
        <w:rPr>
          <w:sz w:val="24"/>
          <w:szCs w:val="24"/>
        </w:rPr>
        <w:t>6</w:t>
      </w:r>
      <w:r w:rsidR="00160FE2" w:rsidRPr="00160FE2">
        <w:rPr>
          <w:sz w:val="24"/>
          <w:szCs w:val="24"/>
        </w:rPr>
        <w:t>. februar 2017</w:t>
      </w:r>
    </w:p>
    <w:p w14:paraId="0E443EBC" w14:textId="77777777" w:rsidR="009260DE" w:rsidRPr="00160FE2" w:rsidRDefault="009260DE" w:rsidP="00160FE2">
      <w:pPr>
        <w:tabs>
          <w:tab w:val="left" w:pos="851"/>
        </w:tabs>
        <w:ind w:left="851" w:hanging="851"/>
        <w:rPr>
          <w:sz w:val="24"/>
          <w:szCs w:val="24"/>
        </w:rPr>
      </w:pPr>
    </w:p>
    <w:p w14:paraId="6B277D73" w14:textId="77777777" w:rsidR="009260DE" w:rsidRPr="00160FE2" w:rsidRDefault="009260DE" w:rsidP="00160FE2">
      <w:pPr>
        <w:tabs>
          <w:tab w:val="left" w:pos="851"/>
        </w:tabs>
        <w:ind w:left="851" w:hanging="851"/>
        <w:rPr>
          <w:b/>
          <w:sz w:val="24"/>
          <w:szCs w:val="24"/>
        </w:rPr>
      </w:pPr>
      <w:r w:rsidRPr="00160FE2">
        <w:rPr>
          <w:b/>
          <w:sz w:val="24"/>
          <w:szCs w:val="24"/>
        </w:rPr>
        <w:t>10.</w:t>
      </w:r>
      <w:r w:rsidRPr="00160FE2">
        <w:rPr>
          <w:b/>
          <w:sz w:val="24"/>
          <w:szCs w:val="24"/>
        </w:rPr>
        <w:tab/>
        <w:t>DATO FOR ÆNDRING AF TEKSTEN</w:t>
      </w:r>
    </w:p>
    <w:p w14:paraId="650485BC" w14:textId="52792AAB" w:rsidR="009260DE" w:rsidRPr="00160FE2" w:rsidRDefault="00187189" w:rsidP="00160FE2">
      <w:pPr>
        <w:tabs>
          <w:tab w:val="left" w:pos="851"/>
        </w:tabs>
        <w:ind w:left="851" w:hanging="851"/>
        <w:rPr>
          <w:sz w:val="24"/>
          <w:szCs w:val="24"/>
        </w:rPr>
      </w:pPr>
      <w:r>
        <w:rPr>
          <w:sz w:val="24"/>
          <w:szCs w:val="24"/>
        </w:rPr>
        <w:tab/>
      </w:r>
      <w:r w:rsidR="00B8700B">
        <w:rPr>
          <w:sz w:val="24"/>
          <w:szCs w:val="24"/>
        </w:rPr>
        <w:t xml:space="preserve">21. marts 2019 </w:t>
      </w:r>
    </w:p>
    <w:sectPr w:rsidR="009260DE" w:rsidRPr="00160FE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D2A4" w14:textId="77777777" w:rsidR="007E45A5" w:rsidRDefault="007E45A5">
      <w:r>
        <w:separator/>
      </w:r>
    </w:p>
  </w:endnote>
  <w:endnote w:type="continuationSeparator" w:id="0">
    <w:p w14:paraId="0024ACAE" w14:textId="77777777" w:rsidR="007E45A5" w:rsidRDefault="007E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2882" w14:textId="77777777" w:rsidR="000259B9" w:rsidRDefault="000259B9">
    <w:pPr>
      <w:pStyle w:val="Sidefod"/>
      <w:pBdr>
        <w:bottom w:val="single" w:sz="6" w:space="1" w:color="auto"/>
      </w:pBdr>
    </w:pPr>
  </w:p>
  <w:p w14:paraId="36F7D4CE" w14:textId="77777777" w:rsidR="000259B9" w:rsidRDefault="000259B9" w:rsidP="00C42586">
    <w:pPr>
      <w:pStyle w:val="Sidefod"/>
      <w:tabs>
        <w:tab w:val="clear" w:pos="4819"/>
        <w:tab w:val="left" w:pos="8505"/>
      </w:tabs>
      <w:rPr>
        <w:i/>
        <w:sz w:val="18"/>
        <w:szCs w:val="18"/>
      </w:rPr>
    </w:pPr>
  </w:p>
  <w:p w14:paraId="5CABBD20"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010F">
      <w:rPr>
        <w:i/>
        <w:noProof/>
        <w:sz w:val="18"/>
        <w:szCs w:val="18"/>
      </w:rPr>
      <w:t>Junyelt, koncentrat til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4010F">
      <w:rPr>
        <w:rStyle w:val="Sidetal"/>
        <w:i/>
        <w:noProof/>
        <w:sz w:val="18"/>
        <w:szCs w:val="18"/>
      </w:rPr>
      <w:t>6</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4010F">
      <w:rPr>
        <w:rStyle w:val="Sidetal"/>
        <w:i/>
        <w:noProof/>
        <w:sz w:val="18"/>
        <w:szCs w:val="18"/>
      </w:rPr>
      <w:t>6</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B39E" w14:textId="77777777" w:rsidR="007E45A5" w:rsidRDefault="007E45A5">
      <w:r>
        <w:separator/>
      </w:r>
    </w:p>
  </w:footnote>
  <w:footnote w:type="continuationSeparator" w:id="0">
    <w:p w14:paraId="1474EE2E" w14:textId="77777777" w:rsidR="007E45A5" w:rsidRDefault="007E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2B28EC"/>
    <w:multiLevelType w:val="hybridMultilevel"/>
    <w:tmpl w:val="012087E2"/>
    <w:lvl w:ilvl="0" w:tplc="4C38824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82494A"/>
    <w:multiLevelType w:val="hybridMultilevel"/>
    <w:tmpl w:val="E0941D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E97674"/>
    <w:multiLevelType w:val="hybridMultilevel"/>
    <w:tmpl w:val="27D8F0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CBB0441"/>
    <w:multiLevelType w:val="hybridMultilevel"/>
    <w:tmpl w:val="E2BC05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9EE614E"/>
    <w:multiLevelType w:val="hybridMultilevel"/>
    <w:tmpl w:val="5EBA920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A0320C6"/>
    <w:multiLevelType w:val="hybridMultilevel"/>
    <w:tmpl w:val="1BC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A5"/>
    <w:rsid w:val="00023C61"/>
    <w:rsid w:val="000259B9"/>
    <w:rsid w:val="00041491"/>
    <w:rsid w:val="00050D16"/>
    <w:rsid w:val="00074F2A"/>
    <w:rsid w:val="000A1CA8"/>
    <w:rsid w:val="000A466B"/>
    <w:rsid w:val="000B058C"/>
    <w:rsid w:val="000E4EE6"/>
    <w:rsid w:val="001454E2"/>
    <w:rsid w:val="00160FE2"/>
    <w:rsid w:val="00187189"/>
    <w:rsid w:val="00195C63"/>
    <w:rsid w:val="001C694E"/>
    <w:rsid w:val="001E5A37"/>
    <w:rsid w:val="00206CE8"/>
    <w:rsid w:val="0021526C"/>
    <w:rsid w:val="002740A0"/>
    <w:rsid w:val="00280D94"/>
    <w:rsid w:val="00283A2B"/>
    <w:rsid w:val="002B30AD"/>
    <w:rsid w:val="002C2C01"/>
    <w:rsid w:val="0038237D"/>
    <w:rsid w:val="003A29AE"/>
    <w:rsid w:val="003A32D7"/>
    <w:rsid w:val="003B4074"/>
    <w:rsid w:val="003C769A"/>
    <w:rsid w:val="003F1838"/>
    <w:rsid w:val="004354C5"/>
    <w:rsid w:val="0045746C"/>
    <w:rsid w:val="0049104B"/>
    <w:rsid w:val="00491154"/>
    <w:rsid w:val="00495989"/>
    <w:rsid w:val="004E3B12"/>
    <w:rsid w:val="00516E37"/>
    <w:rsid w:val="00532310"/>
    <w:rsid w:val="00565F0F"/>
    <w:rsid w:val="00594A86"/>
    <w:rsid w:val="00596D86"/>
    <w:rsid w:val="00634786"/>
    <w:rsid w:val="00637F5A"/>
    <w:rsid w:val="006560B1"/>
    <w:rsid w:val="006756DD"/>
    <w:rsid w:val="00737275"/>
    <w:rsid w:val="00740EEC"/>
    <w:rsid w:val="0078011A"/>
    <w:rsid w:val="00782AF4"/>
    <w:rsid w:val="00790EE7"/>
    <w:rsid w:val="007B6649"/>
    <w:rsid w:val="007E45A5"/>
    <w:rsid w:val="0082576E"/>
    <w:rsid w:val="008957C1"/>
    <w:rsid w:val="00907900"/>
    <w:rsid w:val="00907F75"/>
    <w:rsid w:val="009260DE"/>
    <w:rsid w:val="0093258A"/>
    <w:rsid w:val="009C7BA3"/>
    <w:rsid w:val="009D1F5A"/>
    <w:rsid w:val="00A35E80"/>
    <w:rsid w:val="00A658E0"/>
    <w:rsid w:val="00B003BF"/>
    <w:rsid w:val="00B244F3"/>
    <w:rsid w:val="00B373D7"/>
    <w:rsid w:val="00B778C3"/>
    <w:rsid w:val="00B8700B"/>
    <w:rsid w:val="00C36276"/>
    <w:rsid w:val="00C4010F"/>
    <w:rsid w:val="00C42586"/>
    <w:rsid w:val="00C53E51"/>
    <w:rsid w:val="00C60CCD"/>
    <w:rsid w:val="00C84483"/>
    <w:rsid w:val="00C95551"/>
    <w:rsid w:val="00CB20D7"/>
    <w:rsid w:val="00D020B0"/>
    <w:rsid w:val="00D0497F"/>
    <w:rsid w:val="00D11748"/>
    <w:rsid w:val="00D366CF"/>
    <w:rsid w:val="00E108AA"/>
    <w:rsid w:val="00E3749A"/>
    <w:rsid w:val="00E7437F"/>
    <w:rsid w:val="00E865B8"/>
    <w:rsid w:val="00EB0164"/>
    <w:rsid w:val="00EC0B9B"/>
    <w:rsid w:val="00ED5E9F"/>
    <w:rsid w:val="00F5415A"/>
    <w:rsid w:val="00F66D4F"/>
    <w:rsid w:val="00FA727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7FF27"/>
  <w15:chartTrackingRefBased/>
  <w15:docId w15:val="{B563DCC8-B18B-408E-AA85-56DADFFD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95C63"/>
    <w:pPr>
      <w:spacing w:after="200" w:line="276" w:lineRule="auto"/>
      <w:ind w:left="720"/>
      <w:contextualSpacing/>
    </w:pPr>
    <w:rPr>
      <w:rFonts w:ascii="Calibri" w:hAnsi="Calibri"/>
      <w:sz w:val="22"/>
      <w:szCs w:val="22"/>
      <w:lang w:val="fr-FR" w:eastAsia="fr-FR"/>
    </w:rPr>
  </w:style>
  <w:style w:type="paragraph" w:customStyle="1" w:styleId="AmmCorpsTexte">
    <w:name w:val="AmmCorpsTexte"/>
    <w:basedOn w:val="Normal"/>
    <w:rsid w:val="00195C63"/>
    <w:pPr>
      <w:spacing w:after="120"/>
      <w:jc w:val="both"/>
    </w:pPr>
    <w:rPr>
      <w:rFonts w:ascii="Arial" w:hAnsi="Arial"/>
      <w:sz w:val="20"/>
      <w:lang w:val="fr-FR" w:eastAsia="fr-FR"/>
    </w:rPr>
  </w:style>
  <w:style w:type="paragraph" w:customStyle="1" w:styleId="Default">
    <w:name w:val="Default"/>
    <w:rsid w:val="00D0497F"/>
    <w:pPr>
      <w:autoSpaceDE w:val="0"/>
      <w:autoSpaceDN w:val="0"/>
      <w:adjustRightInd w:val="0"/>
    </w:pPr>
    <w:rPr>
      <w:rFonts w:eastAsia="SimSu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488">
      <w:bodyDiv w:val="1"/>
      <w:marLeft w:val="0"/>
      <w:marRight w:val="0"/>
      <w:marTop w:val="0"/>
      <w:marBottom w:val="0"/>
      <w:divBdr>
        <w:top w:val="none" w:sz="0" w:space="0" w:color="auto"/>
        <w:left w:val="none" w:sz="0" w:space="0" w:color="auto"/>
        <w:bottom w:val="none" w:sz="0" w:space="0" w:color="auto"/>
        <w:right w:val="none" w:sz="0" w:space="0" w:color="auto"/>
      </w:divBdr>
    </w:div>
    <w:div w:id="552029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827163">
      <w:bodyDiv w:val="1"/>
      <w:marLeft w:val="0"/>
      <w:marRight w:val="0"/>
      <w:marTop w:val="0"/>
      <w:marBottom w:val="0"/>
      <w:divBdr>
        <w:top w:val="none" w:sz="0" w:space="0" w:color="auto"/>
        <w:left w:val="none" w:sz="0" w:space="0" w:color="auto"/>
        <w:bottom w:val="none" w:sz="0" w:space="0" w:color="auto"/>
        <w:right w:val="none" w:sz="0" w:space="0" w:color="auto"/>
      </w:divBdr>
    </w:div>
    <w:div w:id="263807957">
      <w:bodyDiv w:val="1"/>
      <w:marLeft w:val="0"/>
      <w:marRight w:val="0"/>
      <w:marTop w:val="0"/>
      <w:marBottom w:val="0"/>
      <w:divBdr>
        <w:top w:val="none" w:sz="0" w:space="0" w:color="auto"/>
        <w:left w:val="none" w:sz="0" w:space="0" w:color="auto"/>
        <w:bottom w:val="none" w:sz="0" w:space="0" w:color="auto"/>
        <w:right w:val="none" w:sz="0" w:space="0" w:color="auto"/>
      </w:divBdr>
    </w:div>
    <w:div w:id="277298068">
      <w:bodyDiv w:val="1"/>
      <w:marLeft w:val="0"/>
      <w:marRight w:val="0"/>
      <w:marTop w:val="0"/>
      <w:marBottom w:val="0"/>
      <w:divBdr>
        <w:top w:val="none" w:sz="0" w:space="0" w:color="auto"/>
        <w:left w:val="none" w:sz="0" w:space="0" w:color="auto"/>
        <w:bottom w:val="none" w:sz="0" w:space="0" w:color="auto"/>
        <w:right w:val="none" w:sz="0" w:space="0" w:color="auto"/>
      </w:divBdr>
    </w:div>
    <w:div w:id="330838740">
      <w:bodyDiv w:val="1"/>
      <w:marLeft w:val="0"/>
      <w:marRight w:val="0"/>
      <w:marTop w:val="0"/>
      <w:marBottom w:val="0"/>
      <w:divBdr>
        <w:top w:val="none" w:sz="0" w:space="0" w:color="auto"/>
        <w:left w:val="none" w:sz="0" w:space="0" w:color="auto"/>
        <w:bottom w:val="none" w:sz="0" w:space="0" w:color="auto"/>
        <w:right w:val="none" w:sz="0" w:space="0" w:color="auto"/>
      </w:divBdr>
    </w:div>
    <w:div w:id="367990423">
      <w:bodyDiv w:val="1"/>
      <w:marLeft w:val="0"/>
      <w:marRight w:val="0"/>
      <w:marTop w:val="0"/>
      <w:marBottom w:val="0"/>
      <w:divBdr>
        <w:top w:val="none" w:sz="0" w:space="0" w:color="auto"/>
        <w:left w:val="none" w:sz="0" w:space="0" w:color="auto"/>
        <w:bottom w:val="none" w:sz="0" w:space="0" w:color="auto"/>
        <w:right w:val="none" w:sz="0" w:space="0" w:color="auto"/>
      </w:divBdr>
    </w:div>
    <w:div w:id="408889571">
      <w:bodyDiv w:val="1"/>
      <w:marLeft w:val="0"/>
      <w:marRight w:val="0"/>
      <w:marTop w:val="0"/>
      <w:marBottom w:val="0"/>
      <w:divBdr>
        <w:top w:val="none" w:sz="0" w:space="0" w:color="auto"/>
        <w:left w:val="none" w:sz="0" w:space="0" w:color="auto"/>
        <w:bottom w:val="none" w:sz="0" w:space="0" w:color="auto"/>
        <w:right w:val="none" w:sz="0" w:space="0" w:color="auto"/>
      </w:divBdr>
    </w:div>
    <w:div w:id="518616747">
      <w:bodyDiv w:val="1"/>
      <w:marLeft w:val="0"/>
      <w:marRight w:val="0"/>
      <w:marTop w:val="0"/>
      <w:marBottom w:val="0"/>
      <w:divBdr>
        <w:top w:val="none" w:sz="0" w:space="0" w:color="auto"/>
        <w:left w:val="none" w:sz="0" w:space="0" w:color="auto"/>
        <w:bottom w:val="none" w:sz="0" w:space="0" w:color="auto"/>
        <w:right w:val="none" w:sz="0" w:space="0" w:color="auto"/>
      </w:divBdr>
    </w:div>
    <w:div w:id="761800207">
      <w:bodyDiv w:val="1"/>
      <w:marLeft w:val="0"/>
      <w:marRight w:val="0"/>
      <w:marTop w:val="0"/>
      <w:marBottom w:val="0"/>
      <w:divBdr>
        <w:top w:val="none" w:sz="0" w:space="0" w:color="auto"/>
        <w:left w:val="none" w:sz="0" w:space="0" w:color="auto"/>
        <w:bottom w:val="none" w:sz="0" w:space="0" w:color="auto"/>
        <w:right w:val="none" w:sz="0" w:space="0" w:color="auto"/>
      </w:divBdr>
    </w:div>
    <w:div w:id="808980434">
      <w:bodyDiv w:val="1"/>
      <w:marLeft w:val="0"/>
      <w:marRight w:val="0"/>
      <w:marTop w:val="0"/>
      <w:marBottom w:val="0"/>
      <w:divBdr>
        <w:top w:val="none" w:sz="0" w:space="0" w:color="auto"/>
        <w:left w:val="none" w:sz="0" w:space="0" w:color="auto"/>
        <w:bottom w:val="none" w:sz="0" w:space="0" w:color="auto"/>
        <w:right w:val="none" w:sz="0" w:space="0" w:color="auto"/>
      </w:divBdr>
    </w:div>
    <w:div w:id="1073167133">
      <w:bodyDiv w:val="1"/>
      <w:marLeft w:val="0"/>
      <w:marRight w:val="0"/>
      <w:marTop w:val="0"/>
      <w:marBottom w:val="0"/>
      <w:divBdr>
        <w:top w:val="none" w:sz="0" w:space="0" w:color="auto"/>
        <w:left w:val="none" w:sz="0" w:space="0" w:color="auto"/>
        <w:bottom w:val="none" w:sz="0" w:space="0" w:color="auto"/>
        <w:right w:val="none" w:sz="0" w:space="0" w:color="auto"/>
      </w:divBdr>
    </w:div>
    <w:div w:id="1285696762">
      <w:bodyDiv w:val="1"/>
      <w:marLeft w:val="0"/>
      <w:marRight w:val="0"/>
      <w:marTop w:val="0"/>
      <w:marBottom w:val="0"/>
      <w:divBdr>
        <w:top w:val="none" w:sz="0" w:space="0" w:color="auto"/>
        <w:left w:val="none" w:sz="0" w:space="0" w:color="auto"/>
        <w:bottom w:val="none" w:sz="0" w:space="0" w:color="auto"/>
        <w:right w:val="none" w:sz="0" w:space="0" w:color="auto"/>
      </w:divBdr>
    </w:div>
    <w:div w:id="1435440706">
      <w:bodyDiv w:val="1"/>
      <w:marLeft w:val="0"/>
      <w:marRight w:val="0"/>
      <w:marTop w:val="0"/>
      <w:marBottom w:val="0"/>
      <w:divBdr>
        <w:top w:val="none" w:sz="0" w:space="0" w:color="auto"/>
        <w:left w:val="none" w:sz="0" w:space="0" w:color="auto"/>
        <w:bottom w:val="none" w:sz="0" w:space="0" w:color="auto"/>
        <w:right w:val="none" w:sz="0" w:space="0" w:color="auto"/>
      </w:divBdr>
    </w:div>
    <w:div w:id="1438714951">
      <w:bodyDiv w:val="1"/>
      <w:marLeft w:val="0"/>
      <w:marRight w:val="0"/>
      <w:marTop w:val="0"/>
      <w:marBottom w:val="0"/>
      <w:divBdr>
        <w:top w:val="none" w:sz="0" w:space="0" w:color="auto"/>
        <w:left w:val="none" w:sz="0" w:space="0" w:color="auto"/>
        <w:bottom w:val="none" w:sz="0" w:space="0" w:color="auto"/>
        <w:right w:val="none" w:sz="0" w:space="0" w:color="auto"/>
      </w:divBdr>
    </w:div>
    <w:div w:id="1600596676">
      <w:bodyDiv w:val="1"/>
      <w:marLeft w:val="0"/>
      <w:marRight w:val="0"/>
      <w:marTop w:val="0"/>
      <w:marBottom w:val="0"/>
      <w:divBdr>
        <w:top w:val="none" w:sz="0" w:space="0" w:color="auto"/>
        <w:left w:val="none" w:sz="0" w:space="0" w:color="auto"/>
        <w:bottom w:val="none" w:sz="0" w:space="0" w:color="auto"/>
        <w:right w:val="none" w:sz="0" w:space="0" w:color="auto"/>
      </w:divBdr>
    </w:div>
    <w:div w:id="1675953776">
      <w:bodyDiv w:val="1"/>
      <w:marLeft w:val="0"/>
      <w:marRight w:val="0"/>
      <w:marTop w:val="0"/>
      <w:marBottom w:val="0"/>
      <w:divBdr>
        <w:top w:val="none" w:sz="0" w:space="0" w:color="auto"/>
        <w:left w:val="none" w:sz="0" w:space="0" w:color="auto"/>
        <w:bottom w:val="none" w:sz="0" w:space="0" w:color="auto"/>
        <w:right w:val="none" w:sz="0" w:space="0" w:color="auto"/>
      </w:divBdr>
    </w:div>
    <w:div w:id="1756319475">
      <w:bodyDiv w:val="1"/>
      <w:marLeft w:val="0"/>
      <w:marRight w:val="0"/>
      <w:marTop w:val="0"/>
      <w:marBottom w:val="0"/>
      <w:divBdr>
        <w:top w:val="none" w:sz="0" w:space="0" w:color="auto"/>
        <w:left w:val="none" w:sz="0" w:space="0" w:color="auto"/>
        <w:bottom w:val="none" w:sz="0" w:space="0" w:color="auto"/>
        <w:right w:val="none" w:sz="0" w:space="0" w:color="auto"/>
      </w:divBdr>
    </w:div>
    <w:div w:id="1841576991">
      <w:bodyDiv w:val="1"/>
      <w:marLeft w:val="0"/>
      <w:marRight w:val="0"/>
      <w:marTop w:val="0"/>
      <w:marBottom w:val="0"/>
      <w:divBdr>
        <w:top w:val="none" w:sz="0" w:space="0" w:color="auto"/>
        <w:left w:val="none" w:sz="0" w:space="0" w:color="auto"/>
        <w:bottom w:val="none" w:sz="0" w:space="0" w:color="auto"/>
        <w:right w:val="none" w:sz="0" w:space="0" w:color="auto"/>
      </w:divBdr>
    </w:div>
    <w:div w:id="1850753746">
      <w:bodyDiv w:val="1"/>
      <w:marLeft w:val="0"/>
      <w:marRight w:val="0"/>
      <w:marTop w:val="0"/>
      <w:marBottom w:val="0"/>
      <w:divBdr>
        <w:top w:val="none" w:sz="0" w:space="0" w:color="auto"/>
        <w:left w:val="none" w:sz="0" w:space="0" w:color="auto"/>
        <w:bottom w:val="none" w:sz="0" w:space="0" w:color="auto"/>
        <w:right w:val="none" w:sz="0" w:space="0" w:color="auto"/>
      </w:divBdr>
    </w:div>
    <w:div w:id="1879971868">
      <w:bodyDiv w:val="1"/>
      <w:marLeft w:val="0"/>
      <w:marRight w:val="0"/>
      <w:marTop w:val="0"/>
      <w:marBottom w:val="0"/>
      <w:divBdr>
        <w:top w:val="none" w:sz="0" w:space="0" w:color="auto"/>
        <w:left w:val="none" w:sz="0" w:space="0" w:color="auto"/>
        <w:bottom w:val="none" w:sz="0" w:space="0" w:color="auto"/>
        <w:right w:val="none" w:sz="0" w:space="0" w:color="auto"/>
      </w:divBdr>
    </w:div>
    <w:div w:id="19879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8980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Pjaca</dc:creator>
  <cp:keywords/>
  <dc:description>2019010654
SPC pkt. 2, 4.4</dc:description>
  <cp:lastModifiedBy>Helle Venn</cp:lastModifiedBy>
  <cp:revision>2</cp:revision>
  <cp:lastPrinted>2019-03-21T08:28:00Z</cp:lastPrinted>
  <dcterms:created xsi:type="dcterms:W3CDTF">2021-06-17T09:58:00Z</dcterms:created>
  <dcterms:modified xsi:type="dcterms:W3CDTF">2021-06-17T09:58:00Z</dcterms:modified>
</cp:coreProperties>
</file>