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9383C"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7EE083E1" wp14:editId="06304ED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341F363B" w14:textId="77777777" w:rsidR="009260DE" w:rsidRPr="00C84483" w:rsidRDefault="009260DE" w:rsidP="009260DE">
      <w:pPr>
        <w:pStyle w:val="Titel"/>
        <w:tabs>
          <w:tab w:val="right" w:pos="9356"/>
        </w:tabs>
        <w:jc w:val="left"/>
        <w:rPr>
          <w:b w:val="0"/>
          <w:szCs w:val="24"/>
          <w:lang w:eastAsia="en-US"/>
        </w:rPr>
      </w:pPr>
    </w:p>
    <w:p w14:paraId="2C704682" w14:textId="45A643A5"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B94E8A">
        <w:rPr>
          <w:szCs w:val="24"/>
        </w:rPr>
        <w:t>26. maj 2025</w:t>
      </w:r>
    </w:p>
    <w:p w14:paraId="6A4DB13B" w14:textId="77777777" w:rsidR="009260DE" w:rsidRPr="00C84483" w:rsidRDefault="009260DE" w:rsidP="009260DE">
      <w:pPr>
        <w:pStyle w:val="Titel"/>
        <w:tabs>
          <w:tab w:val="left" w:pos="8222"/>
        </w:tabs>
        <w:jc w:val="left"/>
        <w:rPr>
          <w:b w:val="0"/>
          <w:szCs w:val="24"/>
        </w:rPr>
      </w:pPr>
    </w:p>
    <w:p w14:paraId="419513A1" w14:textId="77777777" w:rsidR="009260DE" w:rsidRPr="00C84483" w:rsidRDefault="009260DE" w:rsidP="009260DE">
      <w:pPr>
        <w:pStyle w:val="Titel"/>
        <w:jc w:val="left"/>
        <w:rPr>
          <w:b w:val="0"/>
          <w:szCs w:val="24"/>
        </w:rPr>
      </w:pPr>
    </w:p>
    <w:p w14:paraId="0F1ED03F" w14:textId="77777777" w:rsidR="009260DE" w:rsidRPr="00C84483" w:rsidRDefault="009260DE" w:rsidP="009260DE">
      <w:pPr>
        <w:pStyle w:val="Titel"/>
        <w:jc w:val="left"/>
        <w:rPr>
          <w:b w:val="0"/>
          <w:szCs w:val="24"/>
        </w:rPr>
      </w:pPr>
    </w:p>
    <w:p w14:paraId="2C27C2AD" w14:textId="77777777" w:rsidR="009260DE" w:rsidRPr="00C84483" w:rsidRDefault="009260DE" w:rsidP="009260DE">
      <w:pPr>
        <w:jc w:val="center"/>
        <w:rPr>
          <w:b/>
          <w:sz w:val="24"/>
          <w:szCs w:val="24"/>
        </w:rPr>
      </w:pPr>
      <w:r w:rsidRPr="00C84483">
        <w:rPr>
          <w:b/>
          <w:sz w:val="24"/>
          <w:szCs w:val="24"/>
        </w:rPr>
        <w:t>PRODUKTRESUMÉ</w:t>
      </w:r>
    </w:p>
    <w:p w14:paraId="0C642CC2" w14:textId="77777777" w:rsidR="009260DE" w:rsidRPr="00C84483" w:rsidRDefault="009260DE" w:rsidP="009260DE">
      <w:pPr>
        <w:jc w:val="center"/>
        <w:rPr>
          <w:b/>
          <w:sz w:val="24"/>
          <w:szCs w:val="24"/>
        </w:rPr>
      </w:pPr>
    </w:p>
    <w:p w14:paraId="7A15D402" w14:textId="77777777" w:rsidR="009260DE" w:rsidRDefault="009260DE" w:rsidP="009260DE">
      <w:pPr>
        <w:jc w:val="center"/>
        <w:rPr>
          <w:b/>
          <w:sz w:val="24"/>
          <w:szCs w:val="24"/>
        </w:rPr>
      </w:pPr>
      <w:r w:rsidRPr="00C84483">
        <w:rPr>
          <w:b/>
          <w:sz w:val="24"/>
          <w:szCs w:val="24"/>
        </w:rPr>
        <w:t>for</w:t>
      </w:r>
    </w:p>
    <w:p w14:paraId="32734025" w14:textId="77777777" w:rsidR="000B058C" w:rsidRPr="00C84483" w:rsidRDefault="000B058C" w:rsidP="009260DE">
      <w:pPr>
        <w:jc w:val="center"/>
        <w:rPr>
          <w:b/>
          <w:sz w:val="24"/>
          <w:szCs w:val="24"/>
        </w:rPr>
      </w:pPr>
    </w:p>
    <w:p w14:paraId="0A70A92E" w14:textId="77777777" w:rsidR="009260DE" w:rsidRPr="00C84483" w:rsidRDefault="00C9754D" w:rsidP="009260DE">
      <w:pPr>
        <w:jc w:val="center"/>
        <w:rPr>
          <w:b/>
          <w:sz w:val="24"/>
          <w:szCs w:val="24"/>
        </w:rPr>
      </w:pPr>
      <w:r>
        <w:rPr>
          <w:b/>
          <w:sz w:val="24"/>
          <w:szCs w:val="24"/>
        </w:rPr>
        <w:t>Kalcicur, injektionsvæske, opløsning</w:t>
      </w:r>
    </w:p>
    <w:p w14:paraId="1F17061B" w14:textId="77777777" w:rsidR="009260DE" w:rsidRPr="00C84483" w:rsidRDefault="009260DE" w:rsidP="009260DE">
      <w:pPr>
        <w:jc w:val="both"/>
        <w:rPr>
          <w:sz w:val="24"/>
          <w:szCs w:val="24"/>
        </w:rPr>
      </w:pPr>
    </w:p>
    <w:p w14:paraId="5151FCB8" w14:textId="77777777" w:rsidR="009260DE" w:rsidRPr="00C84483" w:rsidRDefault="009260DE" w:rsidP="009260DE">
      <w:pPr>
        <w:jc w:val="both"/>
        <w:rPr>
          <w:sz w:val="24"/>
          <w:szCs w:val="24"/>
        </w:rPr>
      </w:pPr>
    </w:p>
    <w:p w14:paraId="5159008D"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5E76F5AA" w14:textId="5CAF98C5" w:rsidR="009260DE" w:rsidRPr="00C84483" w:rsidRDefault="00817058" w:rsidP="009260DE">
      <w:pPr>
        <w:tabs>
          <w:tab w:val="left" w:pos="851"/>
        </w:tabs>
        <w:ind w:left="851"/>
        <w:rPr>
          <w:sz w:val="24"/>
          <w:szCs w:val="24"/>
        </w:rPr>
      </w:pPr>
      <w:r>
        <w:rPr>
          <w:sz w:val="24"/>
          <w:szCs w:val="24"/>
        </w:rPr>
        <w:t>34444</w:t>
      </w:r>
    </w:p>
    <w:p w14:paraId="14BB6FCC" w14:textId="77777777" w:rsidR="009260DE" w:rsidRPr="00C84483" w:rsidRDefault="009260DE" w:rsidP="009260DE">
      <w:pPr>
        <w:tabs>
          <w:tab w:val="left" w:pos="851"/>
        </w:tabs>
        <w:ind w:left="851"/>
        <w:rPr>
          <w:sz w:val="24"/>
          <w:szCs w:val="24"/>
        </w:rPr>
      </w:pPr>
    </w:p>
    <w:p w14:paraId="75BCB44E"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635E1450" w14:textId="7D365893" w:rsidR="009260DE" w:rsidRPr="00C84483" w:rsidRDefault="00D03330" w:rsidP="009260DE">
      <w:pPr>
        <w:tabs>
          <w:tab w:val="left" w:pos="851"/>
        </w:tabs>
        <w:ind w:left="851"/>
        <w:rPr>
          <w:sz w:val="24"/>
          <w:szCs w:val="24"/>
        </w:rPr>
      </w:pPr>
      <w:r>
        <w:rPr>
          <w:sz w:val="24"/>
          <w:szCs w:val="24"/>
        </w:rPr>
        <w:t>Kalcicur</w:t>
      </w:r>
    </w:p>
    <w:p w14:paraId="2B3E2432" w14:textId="77777777" w:rsidR="009260DE" w:rsidRPr="00C84483" w:rsidRDefault="009260DE" w:rsidP="009260DE">
      <w:pPr>
        <w:tabs>
          <w:tab w:val="left" w:pos="851"/>
        </w:tabs>
        <w:ind w:left="851"/>
        <w:rPr>
          <w:sz w:val="24"/>
          <w:szCs w:val="24"/>
        </w:rPr>
      </w:pPr>
    </w:p>
    <w:p w14:paraId="09FF518F"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76D7D47F" w14:textId="77777777" w:rsidR="00D03330" w:rsidRPr="00D03330" w:rsidRDefault="00D03330" w:rsidP="00D03330">
      <w:pPr>
        <w:tabs>
          <w:tab w:val="left" w:pos="851"/>
        </w:tabs>
        <w:ind w:left="851"/>
        <w:rPr>
          <w:sz w:val="24"/>
          <w:szCs w:val="24"/>
        </w:rPr>
      </w:pPr>
      <w:r w:rsidRPr="00D03330">
        <w:rPr>
          <w:sz w:val="24"/>
          <w:szCs w:val="24"/>
        </w:rPr>
        <w:t>1 ml indeholder calciumchloriddihydrat svarende til 18,3 mg calcium.</w:t>
      </w:r>
    </w:p>
    <w:p w14:paraId="51000419" w14:textId="77777777" w:rsidR="00D03330" w:rsidRPr="00D03330" w:rsidRDefault="00D03330" w:rsidP="00D03330">
      <w:pPr>
        <w:tabs>
          <w:tab w:val="left" w:pos="851"/>
        </w:tabs>
        <w:ind w:left="851"/>
        <w:rPr>
          <w:sz w:val="24"/>
          <w:szCs w:val="24"/>
        </w:rPr>
      </w:pPr>
      <w:r w:rsidRPr="00D03330">
        <w:rPr>
          <w:sz w:val="24"/>
          <w:szCs w:val="24"/>
        </w:rPr>
        <w:t>Indeholder 0,46 mmol/ml calcium og 0,91 mmol/ml chlorid.</w:t>
      </w:r>
    </w:p>
    <w:p w14:paraId="08AA0595" w14:textId="77777777" w:rsidR="00D03330" w:rsidRPr="00D03330" w:rsidRDefault="00D03330" w:rsidP="00D03330">
      <w:pPr>
        <w:tabs>
          <w:tab w:val="left" w:pos="851"/>
        </w:tabs>
        <w:ind w:left="851"/>
        <w:rPr>
          <w:sz w:val="24"/>
          <w:szCs w:val="24"/>
        </w:rPr>
      </w:pPr>
    </w:p>
    <w:p w14:paraId="7DA4D814" w14:textId="15551B16" w:rsidR="00D03330" w:rsidRPr="00D03330" w:rsidRDefault="00D03330" w:rsidP="00D03330">
      <w:pPr>
        <w:tabs>
          <w:tab w:val="left" w:pos="851"/>
        </w:tabs>
        <w:ind w:left="851"/>
        <w:rPr>
          <w:sz w:val="24"/>
          <w:szCs w:val="24"/>
        </w:rPr>
      </w:pPr>
      <w:r w:rsidRPr="00D03330">
        <w:rPr>
          <w:sz w:val="24"/>
          <w:szCs w:val="24"/>
        </w:rPr>
        <w:t>Alle hjælpestoffer er anført under pkt. 6.1</w:t>
      </w:r>
      <w:r w:rsidR="00817058">
        <w:rPr>
          <w:sz w:val="24"/>
          <w:szCs w:val="24"/>
        </w:rPr>
        <w:t>.</w:t>
      </w:r>
    </w:p>
    <w:p w14:paraId="4CC41341" w14:textId="77777777" w:rsidR="009260DE" w:rsidRPr="00C84483" w:rsidRDefault="009260DE" w:rsidP="009260DE">
      <w:pPr>
        <w:tabs>
          <w:tab w:val="left" w:pos="851"/>
        </w:tabs>
        <w:ind w:left="851"/>
        <w:rPr>
          <w:sz w:val="24"/>
          <w:szCs w:val="24"/>
        </w:rPr>
      </w:pPr>
    </w:p>
    <w:p w14:paraId="1923880C"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0407A573" w14:textId="4A752DC8" w:rsidR="00817058" w:rsidRPr="00817058" w:rsidRDefault="00817058" w:rsidP="00817058">
      <w:pPr>
        <w:tabs>
          <w:tab w:val="left" w:pos="851"/>
        </w:tabs>
        <w:ind w:left="851"/>
        <w:rPr>
          <w:sz w:val="24"/>
          <w:szCs w:val="24"/>
        </w:rPr>
      </w:pPr>
      <w:r w:rsidRPr="00817058">
        <w:rPr>
          <w:sz w:val="24"/>
          <w:szCs w:val="24"/>
        </w:rPr>
        <w:t>Injektionsvæske, opløsning</w:t>
      </w:r>
    </w:p>
    <w:p w14:paraId="3462D6D0" w14:textId="77777777" w:rsidR="00817058" w:rsidRPr="00817058" w:rsidRDefault="00817058" w:rsidP="00817058">
      <w:pPr>
        <w:tabs>
          <w:tab w:val="left" w:pos="851"/>
        </w:tabs>
        <w:ind w:left="851"/>
        <w:rPr>
          <w:sz w:val="24"/>
          <w:szCs w:val="24"/>
        </w:rPr>
      </w:pPr>
    </w:p>
    <w:p w14:paraId="4ED7BF94" w14:textId="77777777" w:rsidR="00817058" w:rsidRPr="00817058" w:rsidRDefault="00817058" w:rsidP="00817058">
      <w:pPr>
        <w:tabs>
          <w:tab w:val="left" w:pos="851"/>
        </w:tabs>
        <w:ind w:left="851"/>
        <w:rPr>
          <w:sz w:val="24"/>
          <w:szCs w:val="24"/>
        </w:rPr>
      </w:pPr>
      <w:r w:rsidRPr="00817058">
        <w:rPr>
          <w:sz w:val="24"/>
          <w:szCs w:val="24"/>
        </w:rPr>
        <w:t>Klar, farveløs til svagt farvet opløsning.</w:t>
      </w:r>
    </w:p>
    <w:p w14:paraId="5D51EB52" w14:textId="0C6A2880" w:rsidR="00817058" w:rsidRPr="00B94E8A" w:rsidRDefault="00817058" w:rsidP="00817058">
      <w:pPr>
        <w:tabs>
          <w:tab w:val="left" w:pos="851"/>
        </w:tabs>
        <w:ind w:left="851"/>
        <w:rPr>
          <w:sz w:val="24"/>
          <w:szCs w:val="24"/>
          <w:lang w:val="en-US"/>
        </w:rPr>
      </w:pPr>
      <w:r w:rsidRPr="00B94E8A">
        <w:rPr>
          <w:sz w:val="24"/>
          <w:szCs w:val="24"/>
          <w:lang w:val="en-US"/>
        </w:rPr>
        <w:t>pH: 5,5-7,5.</w:t>
      </w:r>
    </w:p>
    <w:p w14:paraId="446E5EF8" w14:textId="37457178" w:rsidR="00817058" w:rsidRPr="00B94E8A" w:rsidRDefault="00817058" w:rsidP="00817058">
      <w:pPr>
        <w:tabs>
          <w:tab w:val="left" w:pos="851"/>
        </w:tabs>
        <w:ind w:left="851"/>
        <w:rPr>
          <w:sz w:val="24"/>
          <w:szCs w:val="24"/>
          <w:lang w:val="en-US"/>
        </w:rPr>
      </w:pPr>
      <w:r w:rsidRPr="00B94E8A">
        <w:rPr>
          <w:sz w:val="24"/>
          <w:szCs w:val="24"/>
          <w:lang w:val="en-US"/>
        </w:rPr>
        <w:t>Osmolaritet: Ca. 1.200 mOsm/kg.</w:t>
      </w:r>
    </w:p>
    <w:p w14:paraId="06CF6BF6" w14:textId="77777777" w:rsidR="009260DE" w:rsidRPr="00B94E8A" w:rsidRDefault="009260DE" w:rsidP="009260DE">
      <w:pPr>
        <w:tabs>
          <w:tab w:val="left" w:pos="851"/>
        </w:tabs>
        <w:ind w:left="851"/>
        <w:rPr>
          <w:sz w:val="24"/>
          <w:szCs w:val="24"/>
          <w:lang w:val="en-US"/>
        </w:rPr>
      </w:pPr>
    </w:p>
    <w:p w14:paraId="5E6D6DD2" w14:textId="77777777" w:rsidR="009260DE" w:rsidRPr="00B94E8A" w:rsidRDefault="009260DE" w:rsidP="009260DE">
      <w:pPr>
        <w:tabs>
          <w:tab w:val="left" w:pos="851"/>
        </w:tabs>
        <w:ind w:left="851"/>
        <w:rPr>
          <w:sz w:val="24"/>
          <w:szCs w:val="24"/>
          <w:lang w:val="en-US"/>
        </w:rPr>
      </w:pPr>
    </w:p>
    <w:p w14:paraId="271AFDA1"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5180C6B4" w14:textId="77777777" w:rsidR="009260DE" w:rsidRPr="00C84483" w:rsidRDefault="009260DE" w:rsidP="009260DE">
      <w:pPr>
        <w:tabs>
          <w:tab w:val="left" w:pos="851"/>
        </w:tabs>
        <w:ind w:left="851"/>
        <w:rPr>
          <w:b/>
          <w:sz w:val="24"/>
          <w:szCs w:val="24"/>
        </w:rPr>
      </w:pPr>
    </w:p>
    <w:p w14:paraId="5453D097"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2479C8CE" w14:textId="77777777" w:rsidR="002537DD" w:rsidRPr="002537DD" w:rsidRDefault="002537DD" w:rsidP="002537DD">
      <w:pPr>
        <w:tabs>
          <w:tab w:val="left" w:pos="851"/>
        </w:tabs>
        <w:ind w:left="851"/>
        <w:rPr>
          <w:sz w:val="24"/>
          <w:szCs w:val="24"/>
        </w:rPr>
      </w:pPr>
      <w:r w:rsidRPr="002537DD">
        <w:rPr>
          <w:sz w:val="24"/>
          <w:szCs w:val="24"/>
        </w:rPr>
        <w:t>Kalcicur bruges til behandling af hypokalcæmi, overdosis af calciumantagonister, hypermagnesiæmi og hyperkaliæmi hos voksne og børn.</w:t>
      </w:r>
    </w:p>
    <w:p w14:paraId="01A79ECA" w14:textId="77777777" w:rsidR="009260DE" w:rsidRPr="00C84483" w:rsidRDefault="009260DE" w:rsidP="009260DE">
      <w:pPr>
        <w:tabs>
          <w:tab w:val="left" w:pos="851"/>
        </w:tabs>
        <w:ind w:left="851"/>
        <w:rPr>
          <w:sz w:val="24"/>
          <w:szCs w:val="24"/>
        </w:rPr>
      </w:pPr>
    </w:p>
    <w:p w14:paraId="16835353"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3A8ACC4A" w14:textId="77777777" w:rsidR="002537DD" w:rsidRPr="002537DD" w:rsidRDefault="002537DD" w:rsidP="002537DD">
      <w:pPr>
        <w:tabs>
          <w:tab w:val="left" w:pos="851"/>
        </w:tabs>
        <w:ind w:left="851"/>
        <w:rPr>
          <w:sz w:val="24"/>
          <w:szCs w:val="24"/>
        </w:rPr>
      </w:pPr>
    </w:p>
    <w:p w14:paraId="79CBFE08" w14:textId="77777777" w:rsidR="002537DD" w:rsidRPr="002537DD" w:rsidRDefault="002537DD" w:rsidP="002537DD">
      <w:pPr>
        <w:tabs>
          <w:tab w:val="left" w:pos="851"/>
        </w:tabs>
        <w:ind w:left="851"/>
        <w:rPr>
          <w:sz w:val="24"/>
          <w:szCs w:val="24"/>
          <w:u w:val="single"/>
        </w:rPr>
      </w:pPr>
      <w:r w:rsidRPr="002537DD">
        <w:rPr>
          <w:sz w:val="24"/>
          <w:szCs w:val="24"/>
          <w:u w:val="single"/>
        </w:rPr>
        <w:t>Dosering</w:t>
      </w:r>
    </w:p>
    <w:p w14:paraId="21DD803B" w14:textId="77777777" w:rsidR="002537DD" w:rsidRPr="002537DD" w:rsidRDefault="002537DD" w:rsidP="002537DD">
      <w:pPr>
        <w:tabs>
          <w:tab w:val="left" w:pos="851"/>
        </w:tabs>
        <w:ind w:left="851"/>
        <w:rPr>
          <w:sz w:val="24"/>
          <w:szCs w:val="24"/>
        </w:rPr>
      </w:pPr>
      <w:r w:rsidRPr="002537DD">
        <w:rPr>
          <w:sz w:val="24"/>
          <w:szCs w:val="24"/>
        </w:rPr>
        <w:t xml:space="preserve">Kalcicur administreres som en langsom intravenøs injektion. </w:t>
      </w:r>
    </w:p>
    <w:p w14:paraId="498D0CB5" w14:textId="77777777" w:rsidR="002537DD" w:rsidRPr="002537DD" w:rsidRDefault="002537DD" w:rsidP="002537DD">
      <w:pPr>
        <w:tabs>
          <w:tab w:val="left" w:pos="851"/>
        </w:tabs>
        <w:ind w:left="851"/>
        <w:rPr>
          <w:sz w:val="24"/>
          <w:szCs w:val="24"/>
        </w:rPr>
      </w:pPr>
      <w:r w:rsidRPr="002537DD">
        <w:rPr>
          <w:sz w:val="24"/>
          <w:szCs w:val="24"/>
        </w:rPr>
        <w:t>Vær opmærksom på, at Kalcicur ikke må administreres subkutant eller intramuskulært.</w:t>
      </w:r>
    </w:p>
    <w:p w14:paraId="432D5B36" w14:textId="5171C51F" w:rsidR="002537DD" w:rsidRDefault="002537DD">
      <w:pPr>
        <w:rPr>
          <w:sz w:val="24"/>
          <w:szCs w:val="24"/>
        </w:rPr>
      </w:pPr>
      <w:r>
        <w:rPr>
          <w:sz w:val="24"/>
          <w:szCs w:val="24"/>
        </w:rPr>
        <w:br w:type="page"/>
      </w:r>
    </w:p>
    <w:p w14:paraId="14A40FCE" w14:textId="77777777" w:rsidR="002537DD" w:rsidRPr="002537DD" w:rsidRDefault="002537DD" w:rsidP="002537DD">
      <w:pPr>
        <w:tabs>
          <w:tab w:val="left" w:pos="851"/>
        </w:tabs>
        <w:ind w:left="851"/>
        <w:rPr>
          <w:sz w:val="24"/>
          <w:szCs w:val="24"/>
        </w:rPr>
      </w:pPr>
    </w:p>
    <w:p w14:paraId="3E111031" w14:textId="77777777" w:rsidR="002537DD" w:rsidRPr="002537DD" w:rsidRDefault="002537DD" w:rsidP="002537DD">
      <w:pPr>
        <w:tabs>
          <w:tab w:val="left" w:pos="851"/>
        </w:tabs>
        <w:ind w:left="851"/>
        <w:rPr>
          <w:i/>
          <w:iCs/>
          <w:sz w:val="24"/>
          <w:szCs w:val="24"/>
        </w:rPr>
      </w:pPr>
      <w:r w:rsidRPr="002537DD">
        <w:rPr>
          <w:i/>
          <w:iCs/>
          <w:sz w:val="24"/>
          <w:szCs w:val="24"/>
        </w:rPr>
        <w:t>Voksne</w:t>
      </w:r>
    </w:p>
    <w:p w14:paraId="2FA6FF05" w14:textId="77777777" w:rsidR="002537DD" w:rsidRPr="002537DD" w:rsidRDefault="002537DD" w:rsidP="002537DD">
      <w:pPr>
        <w:tabs>
          <w:tab w:val="left" w:pos="851"/>
        </w:tabs>
        <w:ind w:left="851"/>
        <w:rPr>
          <w:sz w:val="24"/>
          <w:szCs w:val="24"/>
        </w:rPr>
      </w:pPr>
      <w:r w:rsidRPr="002537DD">
        <w:rPr>
          <w:sz w:val="24"/>
          <w:szCs w:val="24"/>
        </w:rPr>
        <w:t>Intravenøs injektion: 5</w:t>
      </w:r>
      <w:r w:rsidRPr="002537DD">
        <w:rPr>
          <w:sz w:val="24"/>
          <w:szCs w:val="24"/>
        </w:rPr>
        <w:noBreakHyphen/>
        <w:t>10 ml gives som en langsom intravenøs injektion over 5</w:t>
      </w:r>
      <w:r w:rsidRPr="002537DD">
        <w:rPr>
          <w:sz w:val="24"/>
          <w:szCs w:val="24"/>
        </w:rPr>
        <w:noBreakHyphen/>
        <w:t>10 min. Dosis kan om nødvendigt gentages.</w:t>
      </w:r>
    </w:p>
    <w:p w14:paraId="349226C7" w14:textId="77777777" w:rsidR="002537DD" w:rsidRPr="002537DD" w:rsidRDefault="002537DD" w:rsidP="002537DD">
      <w:pPr>
        <w:tabs>
          <w:tab w:val="left" w:pos="851"/>
        </w:tabs>
        <w:ind w:left="851"/>
        <w:rPr>
          <w:sz w:val="24"/>
          <w:szCs w:val="24"/>
        </w:rPr>
      </w:pPr>
    </w:p>
    <w:p w14:paraId="65E67077" w14:textId="77777777" w:rsidR="002537DD" w:rsidRPr="002537DD" w:rsidRDefault="002537DD" w:rsidP="002537DD">
      <w:pPr>
        <w:tabs>
          <w:tab w:val="left" w:pos="851"/>
        </w:tabs>
        <w:ind w:left="851"/>
        <w:rPr>
          <w:i/>
          <w:iCs/>
          <w:sz w:val="24"/>
          <w:szCs w:val="24"/>
        </w:rPr>
      </w:pPr>
      <w:r w:rsidRPr="002537DD">
        <w:rPr>
          <w:i/>
          <w:iCs/>
          <w:sz w:val="24"/>
          <w:szCs w:val="24"/>
        </w:rPr>
        <w:t>Børn</w:t>
      </w:r>
    </w:p>
    <w:p w14:paraId="54756CB5" w14:textId="77777777" w:rsidR="002537DD" w:rsidRPr="002537DD" w:rsidRDefault="002537DD" w:rsidP="002537DD">
      <w:pPr>
        <w:tabs>
          <w:tab w:val="left" w:pos="851"/>
        </w:tabs>
        <w:ind w:left="851"/>
        <w:rPr>
          <w:sz w:val="24"/>
          <w:szCs w:val="24"/>
        </w:rPr>
      </w:pPr>
      <w:r w:rsidRPr="002537DD">
        <w:rPr>
          <w:sz w:val="24"/>
          <w:szCs w:val="24"/>
        </w:rPr>
        <w:t>Intravenøs injektion: 0,1</w:t>
      </w:r>
      <w:r w:rsidRPr="002537DD">
        <w:rPr>
          <w:sz w:val="24"/>
          <w:szCs w:val="24"/>
        </w:rPr>
        <w:noBreakHyphen/>
        <w:t>0,3 ml/kg kropsvægt gives som en langsom intravenøs injektion over 5</w:t>
      </w:r>
      <w:r w:rsidRPr="002537DD">
        <w:rPr>
          <w:sz w:val="24"/>
          <w:szCs w:val="24"/>
        </w:rPr>
        <w:noBreakHyphen/>
        <w:t>10 min. Dosis kan om nødvendigt gentages.</w:t>
      </w:r>
    </w:p>
    <w:p w14:paraId="37D82FAD" w14:textId="77777777" w:rsidR="002537DD" w:rsidRPr="002537DD" w:rsidRDefault="002537DD" w:rsidP="002537DD">
      <w:pPr>
        <w:tabs>
          <w:tab w:val="left" w:pos="851"/>
        </w:tabs>
        <w:ind w:left="851"/>
        <w:rPr>
          <w:i/>
          <w:iCs/>
          <w:sz w:val="24"/>
          <w:szCs w:val="24"/>
        </w:rPr>
      </w:pPr>
    </w:p>
    <w:p w14:paraId="7BA9C41B" w14:textId="77777777" w:rsidR="002537DD" w:rsidRPr="002537DD" w:rsidRDefault="002537DD" w:rsidP="002537DD">
      <w:pPr>
        <w:tabs>
          <w:tab w:val="left" w:pos="851"/>
        </w:tabs>
        <w:ind w:left="851"/>
        <w:rPr>
          <w:i/>
          <w:iCs/>
          <w:sz w:val="24"/>
          <w:szCs w:val="24"/>
        </w:rPr>
      </w:pPr>
      <w:r w:rsidRPr="002537DD">
        <w:rPr>
          <w:i/>
          <w:iCs/>
          <w:sz w:val="24"/>
          <w:szCs w:val="24"/>
        </w:rPr>
        <w:t>Patienter med nedsat nyrefunktion</w:t>
      </w:r>
    </w:p>
    <w:p w14:paraId="3AD52BDB" w14:textId="77777777" w:rsidR="002537DD" w:rsidRPr="002537DD" w:rsidRDefault="002537DD" w:rsidP="002537DD">
      <w:pPr>
        <w:tabs>
          <w:tab w:val="left" w:pos="851"/>
        </w:tabs>
        <w:ind w:left="851"/>
        <w:rPr>
          <w:sz w:val="24"/>
          <w:szCs w:val="24"/>
        </w:rPr>
      </w:pPr>
      <w:r w:rsidRPr="002537DD">
        <w:rPr>
          <w:sz w:val="24"/>
          <w:szCs w:val="24"/>
        </w:rPr>
        <w:t>Der er utilstrækkelig erfaring med brug af Kalcicur til behandling af patienter med nedsat nyrefunktion. Derfor bør patienter med svært nedsat nyrefunktion ikke behandles med Kalcicur (se pkt. 4.3).</w:t>
      </w:r>
    </w:p>
    <w:p w14:paraId="1F0047B4" w14:textId="77777777" w:rsidR="002537DD" w:rsidRPr="002537DD" w:rsidRDefault="002537DD" w:rsidP="002537DD">
      <w:pPr>
        <w:tabs>
          <w:tab w:val="left" w:pos="851"/>
        </w:tabs>
        <w:ind w:left="851"/>
        <w:rPr>
          <w:sz w:val="24"/>
          <w:szCs w:val="24"/>
        </w:rPr>
      </w:pPr>
    </w:p>
    <w:p w14:paraId="68CB8161" w14:textId="77777777" w:rsidR="002537DD" w:rsidRPr="002537DD" w:rsidRDefault="002537DD" w:rsidP="002537DD">
      <w:pPr>
        <w:tabs>
          <w:tab w:val="left" w:pos="851"/>
        </w:tabs>
        <w:ind w:left="851"/>
        <w:rPr>
          <w:i/>
          <w:iCs/>
          <w:sz w:val="24"/>
          <w:szCs w:val="24"/>
        </w:rPr>
      </w:pPr>
      <w:r w:rsidRPr="002537DD">
        <w:rPr>
          <w:i/>
          <w:iCs/>
          <w:sz w:val="24"/>
          <w:szCs w:val="24"/>
        </w:rPr>
        <w:t>Patienter med nedsat leverfunktion</w:t>
      </w:r>
    </w:p>
    <w:p w14:paraId="622F60E5" w14:textId="77777777" w:rsidR="002537DD" w:rsidRPr="002537DD" w:rsidRDefault="002537DD" w:rsidP="002537DD">
      <w:pPr>
        <w:tabs>
          <w:tab w:val="left" w:pos="851"/>
        </w:tabs>
        <w:ind w:left="851"/>
        <w:rPr>
          <w:sz w:val="24"/>
          <w:szCs w:val="24"/>
        </w:rPr>
      </w:pPr>
      <w:r w:rsidRPr="002537DD">
        <w:rPr>
          <w:sz w:val="24"/>
          <w:szCs w:val="24"/>
        </w:rPr>
        <w:t>Der er utilstrækkelig erfaring med brug af Kalcicur til behandling af patienter med nedsat leverfunktion. Derfor er det ikke muligt at give specifikke anbefalinger for behandling af disse patienter med calciumchlorid.</w:t>
      </w:r>
    </w:p>
    <w:p w14:paraId="4EA5184B" w14:textId="77777777" w:rsidR="002537DD" w:rsidRPr="002537DD" w:rsidRDefault="002537DD" w:rsidP="002537DD">
      <w:pPr>
        <w:tabs>
          <w:tab w:val="left" w:pos="851"/>
        </w:tabs>
        <w:ind w:left="851"/>
        <w:rPr>
          <w:sz w:val="24"/>
          <w:szCs w:val="24"/>
        </w:rPr>
      </w:pPr>
    </w:p>
    <w:p w14:paraId="2EA1CCB0" w14:textId="74FF07A2" w:rsidR="002537DD" w:rsidRPr="002537DD" w:rsidRDefault="002537DD" w:rsidP="002537DD">
      <w:pPr>
        <w:tabs>
          <w:tab w:val="left" w:pos="851"/>
        </w:tabs>
        <w:ind w:left="851"/>
        <w:rPr>
          <w:sz w:val="24"/>
          <w:szCs w:val="24"/>
          <w:u w:val="single"/>
        </w:rPr>
      </w:pPr>
      <w:r w:rsidRPr="002537DD">
        <w:rPr>
          <w:sz w:val="24"/>
          <w:szCs w:val="24"/>
          <w:u w:val="single"/>
        </w:rPr>
        <w:t>Overvågning</w:t>
      </w:r>
    </w:p>
    <w:p w14:paraId="103654CE" w14:textId="77777777" w:rsidR="002537DD" w:rsidRPr="002537DD" w:rsidRDefault="002537DD" w:rsidP="002537DD">
      <w:pPr>
        <w:tabs>
          <w:tab w:val="left" w:pos="851"/>
        </w:tabs>
        <w:ind w:left="851"/>
        <w:rPr>
          <w:sz w:val="24"/>
          <w:szCs w:val="24"/>
        </w:rPr>
      </w:pPr>
      <w:r w:rsidRPr="002537DD">
        <w:rPr>
          <w:sz w:val="24"/>
          <w:szCs w:val="24"/>
        </w:rPr>
        <w:t>Behandling med Kalcicur som parenteral administration bør altid ledsages af tæt overvågning af blodkoncentrationen og urinudskillelse af calcium. Ioniseret calcium bør overvåges for at forebygge hypercalcæmi. Plasmakoncentrationer, der overstiger 1,30 mmol/ml, bør regnes for at være hypercalcæmi. Intravenøs administration af calcium bør overvåges for at tjekke hjertefrekvens og EKG, da der kan opstå bradykardi med vasodilation eller arytmi, hvis calcium administreres for hurtigt. Det kan også være nødvendigt at overvåge den neuromuskulære funktion.</w:t>
      </w:r>
    </w:p>
    <w:p w14:paraId="0F6026A6" w14:textId="77777777" w:rsidR="002537DD" w:rsidRPr="002537DD" w:rsidRDefault="002537DD" w:rsidP="002537DD">
      <w:pPr>
        <w:tabs>
          <w:tab w:val="left" w:pos="851"/>
        </w:tabs>
        <w:ind w:left="851"/>
        <w:rPr>
          <w:sz w:val="24"/>
          <w:szCs w:val="24"/>
          <w:u w:val="single"/>
        </w:rPr>
      </w:pPr>
    </w:p>
    <w:p w14:paraId="76B7708A" w14:textId="77777777" w:rsidR="002537DD" w:rsidRPr="002537DD" w:rsidRDefault="002537DD" w:rsidP="002537DD">
      <w:pPr>
        <w:tabs>
          <w:tab w:val="left" w:pos="851"/>
        </w:tabs>
        <w:ind w:left="851"/>
        <w:rPr>
          <w:sz w:val="24"/>
          <w:szCs w:val="24"/>
          <w:u w:val="single"/>
        </w:rPr>
      </w:pPr>
      <w:r w:rsidRPr="002537DD">
        <w:rPr>
          <w:sz w:val="24"/>
          <w:szCs w:val="24"/>
          <w:u w:val="single"/>
        </w:rPr>
        <w:t>Administration</w:t>
      </w:r>
    </w:p>
    <w:p w14:paraId="76654DD9" w14:textId="77777777" w:rsidR="002537DD" w:rsidRPr="002537DD" w:rsidRDefault="002537DD" w:rsidP="002537DD">
      <w:pPr>
        <w:tabs>
          <w:tab w:val="left" w:pos="851"/>
        </w:tabs>
        <w:ind w:left="851"/>
        <w:rPr>
          <w:sz w:val="24"/>
          <w:szCs w:val="24"/>
        </w:rPr>
      </w:pPr>
      <w:r w:rsidRPr="002537DD">
        <w:rPr>
          <w:sz w:val="24"/>
          <w:szCs w:val="24"/>
        </w:rPr>
        <w:t>Intravenøs administration.</w:t>
      </w:r>
    </w:p>
    <w:p w14:paraId="27687771" w14:textId="77777777" w:rsidR="002537DD" w:rsidRPr="002537DD" w:rsidRDefault="002537DD" w:rsidP="002537DD">
      <w:pPr>
        <w:tabs>
          <w:tab w:val="left" w:pos="851"/>
        </w:tabs>
        <w:ind w:left="851"/>
        <w:rPr>
          <w:sz w:val="24"/>
          <w:szCs w:val="24"/>
        </w:rPr>
      </w:pPr>
      <w:r w:rsidRPr="002537DD">
        <w:rPr>
          <w:sz w:val="24"/>
          <w:szCs w:val="24"/>
        </w:rPr>
        <w:t>Kalcicur skal helst administreres i et centralt venekateter på grund af vaskulær irritation og risiko for nekrose under ekstravasation. Ved administration gennem en perifer vene bør omhyggelig overvågning foretages for at sikre, at ekstravasation undgås ved injektion af calciumchlorid.</w:t>
      </w:r>
    </w:p>
    <w:p w14:paraId="3BCACBF3" w14:textId="77777777" w:rsidR="009260DE" w:rsidRPr="00C84483" w:rsidRDefault="009260DE" w:rsidP="009260DE">
      <w:pPr>
        <w:tabs>
          <w:tab w:val="left" w:pos="851"/>
        </w:tabs>
        <w:ind w:left="851"/>
        <w:rPr>
          <w:sz w:val="24"/>
          <w:szCs w:val="24"/>
        </w:rPr>
      </w:pPr>
    </w:p>
    <w:p w14:paraId="6DFEF2DB"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1A8AC3F0" w14:textId="77777777" w:rsidR="002537DD" w:rsidRPr="002537DD" w:rsidRDefault="002537DD" w:rsidP="002537DD">
      <w:pPr>
        <w:numPr>
          <w:ilvl w:val="0"/>
          <w:numId w:val="6"/>
        </w:numPr>
        <w:tabs>
          <w:tab w:val="left" w:pos="851"/>
        </w:tabs>
        <w:ind w:left="1134" w:hanging="283"/>
        <w:rPr>
          <w:sz w:val="24"/>
          <w:szCs w:val="24"/>
        </w:rPr>
      </w:pPr>
      <w:r w:rsidRPr="002537DD">
        <w:rPr>
          <w:sz w:val="24"/>
          <w:szCs w:val="24"/>
        </w:rPr>
        <w:t>Overfølsomhed over for calciumchlorid eller over for et eller flere af hjælpestofferne anført i pkt. 6.1.</w:t>
      </w:r>
    </w:p>
    <w:p w14:paraId="588B97C4" w14:textId="77777777" w:rsidR="002537DD" w:rsidRPr="002537DD" w:rsidRDefault="002537DD" w:rsidP="002537DD">
      <w:pPr>
        <w:numPr>
          <w:ilvl w:val="0"/>
          <w:numId w:val="6"/>
        </w:numPr>
        <w:tabs>
          <w:tab w:val="left" w:pos="851"/>
        </w:tabs>
        <w:ind w:left="1134" w:hanging="283"/>
        <w:rPr>
          <w:sz w:val="24"/>
          <w:szCs w:val="24"/>
        </w:rPr>
      </w:pPr>
      <w:r w:rsidRPr="002537DD">
        <w:rPr>
          <w:sz w:val="24"/>
          <w:szCs w:val="24"/>
        </w:rPr>
        <w:t xml:space="preserve">Hypercalcæmi, </w:t>
      </w:r>
      <w:bookmarkStart w:id="1" w:name="_Hlk198732349"/>
      <w:r w:rsidRPr="002537DD">
        <w:rPr>
          <w:sz w:val="24"/>
          <w:szCs w:val="24"/>
        </w:rPr>
        <w:t>hypercalciuri</w:t>
      </w:r>
      <w:bookmarkEnd w:id="1"/>
      <w:r w:rsidRPr="002537DD">
        <w:rPr>
          <w:sz w:val="24"/>
          <w:szCs w:val="24"/>
        </w:rPr>
        <w:t>, hypophosphatæmi, svær nyresygdom.</w:t>
      </w:r>
    </w:p>
    <w:p w14:paraId="7E4A2246" w14:textId="77777777" w:rsidR="002537DD" w:rsidRPr="002537DD" w:rsidRDefault="002537DD" w:rsidP="002537DD">
      <w:pPr>
        <w:numPr>
          <w:ilvl w:val="0"/>
          <w:numId w:val="6"/>
        </w:numPr>
        <w:tabs>
          <w:tab w:val="left" w:pos="851"/>
        </w:tabs>
        <w:ind w:left="1134" w:hanging="283"/>
        <w:rPr>
          <w:sz w:val="24"/>
          <w:szCs w:val="24"/>
        </w:rPr>
      </w:pPr>
      <w:r w:rsidRPr="002537DD">
        <w:rPr>
          <w:sz w:val="24"/>
          <w:szCs w:val="24"/>
        </w:rPr>
        <w:t>Ventrikelflimren</w:t>
      </w:r>
    </w:p>
    <w:p w14:paraId="7D11E318" w14:textId="77777777" w:rsidR="002537DD" w:rsidRPr="002537DD" w:rsidRDefault="002537DD" w:rsidP="002537DD">
      <w:pPr>
        <w:numPr>
          <w:ilvl w:val="0"/>
          <w:numId w:val="6"/>
        </w:numPr>
        <w:tabs>
          <w:tab w:val="left" w:pos="851"/>
        </w:tabs>
        <w:ind w:left="1134" w:hanging="283"/>
        <w:rPr>
          <w:sz w:val="24"/>
          <w:szCs w:val="24"/>
        </w:rPr>
      </w:pPr>
      <w:r w:rsidRPr="002537DD">
        <w:rPr>
          <w:sz w:val="24"/>
          <w:szCs w:val="24"/>
        </w:rPr>
        <w:t>Nyresten, da denne tilstand kan blive værre</w:t>
      </w:r>
    </w:p>
    <w:p w14:paraId="3241FFBD" w14:textId="77777777" w:rsidR="002537DD" w:rsidRPr="002537DD" w:rsidRDefault="002537DD" w:rsidP="002537DD">
      <w:pPr>
        <w:numPr>
          <w:ilvl w:val="0"/>
          <w:numId w:val="6"/>
        </w:numPr>
        <w:tabs>
          <w:tab w:val="left" w:pos="851"/>
        </w:tabs>
        <w:ind w:left="1134" w:hanging="283"/>
        <w:rPr>
          <w:sz w:val="24"/>
          <w:szCs w:val="24"/>
        </w:rPr>
      </w:pPr>
      <w:r w:rsidRPr="002537DD">
        <w:rPr>
          <w:sz w:val="24"/>
          <w:szCs w:val="24"/>
        </w:rPr>
        <w:t>Samtidig administration af ceftriaxon, se pkt. 4.5.</w:t>
      </w:r>
    </w:p>
    <w:p w14:paraId="28FCBE6B" w14:textId="36453639" w:rsidR="002537DD" w:rsidRPr="002537DD" w:rsidRDefault="002537DD" w:rsidP="002537DD">
      <w:pPr>
        <w:numPr>
          <w:ilvl w:val="0"/>
          <w:numId w:val="6"/>
        </w:numPr>
        <w:tabs>
          <w:tab w:val="left" w:pos="851"/>
        </w:tabs>
        <w:ind w:left="1134" w:hanging="283"/>
        <w:rPr>
          <w:sz w:val="24"/>
          <w:szCs w:val="24"/>
        </w:rPr>
      </w:pPr>
      <w:r w:rsidRPr="002537DD">
        <w:rPr>
          <w:sz w:val="24"/>
          <w:szCs w:val="24"/>
        </w:rPr>
        <w:t>Patienter, der har fået digitalisglykosider eller adrenalin, se pkt. 4.5</w:t>
      </w:r>
      <w:r>
        <w:rPr>
          <w:sz w:val="24"/>
          <w:szCs w:val="24"/>
        </w:rPr>
        <w:t>.</w:t>
      </w:r>
    </w:p>
    <w:p w14:paraId="680D633A" w14:textId="77777777" w:rsidR="009260DE" w:rsidRPr="00C84483" w:rsidRDefault="009260DE" w:rsidP="009260DE">
      <w:pPr>
        <w:tabs>
          <w:tab w:val="left" w:pos="851"/>
        </w:tabs>
        <w:ind w:left="851"/>
        <w:rPr>
          <w:sz w:val="24"/>
          <w:szCs w:val="24"/>
        </w:rPr>
      </w:pPr>
    </w:p>
    <w:p w14:paraId="64A49F0E"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557698DE" w14:textId="77777777" w:rsidR="002537DD" w:rsidRPr="002537DD" w:rsidRDefault="002537DD" w:rsidP="002537DD">
      <w:pPr>
        <w:tabs>
          <w:tab w:val="left" w:pos="851"/>
        </w:tabs>
        <w:ind w:left="851"/>
        <w:rPr>
          <w:sz w:val="24"/>
          <w:szCs w:val="24"/>
        </w:rPr>
      </w:pPr>
      <w:r w:rsidRPr="002537DD">
        <w:rPr>
          <w:sz w:val="24"/>
          <w:szCs w:val="24"/>
        </w:rPr>
        <w:t>Overbehandling af hypocalcæmi bør undgås.</w:t>
      </w:r>
    </w:p>
    <w:p w14:paraId="41D372D0" w14:textId="77777777" w:rsidR="002537DD" w:rsidRPr="002537DD" w:rsidRDefault="002537DD" w:rsidP="002537DD">
      <w:pPr>
        <w:tabs>
          <w:tab w:val="left" w:pos="851"/>
        </w:tabs>
        <w:ind w:left="851"/>
        <w:rPr>
          <w:sz w:val="24"/>
          <w:szCs w:val="24"/>
        </w:rPr>
      </w:pPr>
    </w:p>
    <w:p w14:paraId="67E85A32" w14:textId="77777777" w:rsidR="002537DD" w:rsidRPr="002537DD" w:rsidRDefault="002537DD" w:rsidP="002537DD">
      <w:pPr>
        <w:tabs>
          <w:tab w:val="left" w:pos="851"/>
        </w:tabs>
        <w:ind w:left="851"/>
        <w:rPr>
          <w:sz w:val="24"/>
          <w:szCs w:val="24"/>
        </w:rPr>
      </w:pPr>
      <w:r w:rsidRPr="002537DD">
        <w:rPr>
          <w:sz w:val="24"/>
          <w:szCs w:val="24"/>
        </w:rPr>
        <w:t>Forsigtighed bør udvises, når Kalcicur administreres hos patienter med sarkoidose, da det kan øge den hypercalcæmi, der opstår ved denne sygdom.</w:t>
      </w:r>
    </w:p>
    <w:p w14:paraId="57D918B0" w14:textId="77777777" w:rsidR="002537DD" w:rsidRPr="002537DD" w:rsidRDefault="002537DD" w:rsidP="002537DD">
      <w:pPr>
        <w:tabs>
          <w:tab w:val="left" w:pos="851"/>
        </w:tabs>
        <w:ind w:left="851"/>
        <w:rPr>
          <w:sz w:val="24"/>
          <w:szCs w:val="24"/>
        </w:rPr>
      </w:pPr>
    </w:p>
    <w:p w14:paraId="3E9500B0" w14:textId="77777777" w:rsidR="002537DD" w:rsidRPr="002537DD" w:rsidRDefault="002537DD" w:rsidP="002537DD">
      <w:pPr>
        <w:tabs>
          <w:tab w:val="left" w:pos="851"/>
        </w:tabs>
        <w:ind w:left="851"/>
        <w:rPr>
          <w:sz w:val="24"/>
          <w:szCs w:val="24"/>
        </w:rPr>
      </w:pPr>
      <w:r w:rsidRPr="002537DD">
        <w:rPr>
          <w:sz w:val="24"/>
          <w:szCs w:val="24"/>
        </w:rPr>
        <w:lastRenderedPageBreak/>
        <w:t>Calciumtilskud til patienter med sepsis har ikke vist sig at være gavnlig for patienterne og kan forårsage skade.</w:t>
      </w:r>
    </w:p>
    <w:p w14:paraId="7548373A" w14:textId="77777777" w:rsidR="002537DD" w:rsidRPr="002537DD" w:rsidRDefault="002537DD" w:rsidP="002537DD">
      <w:pPr>
        <w:tabs>
          <w:tab w:val="left" w:pos="851"/>
        </w:tabs>
        <w:ind w:left="851"/>
        <w:rPr>
          <w:sz w:val="24"/>
          <w:szCs w:val="24"/>
        </w:rPr>
      </w:pPr>
    </w:p>
    <w:p w14:paraId="6E7B9D5C" w14:textId="77777777" w:rsidR="002537DD" w:rsidRPr="002537DD" w:rsidRDefault="002537DD" w:rsidP="002537DD">
      <w:pPr>
        <w:tabs>
          <w:tab w:val="left" w:pos="851"/>
        </w:tabs>
        <w:ind w:left="851"/>
        <w:rPr>
          <w:sz w:val="24"/>
          <w:szCs w:val="24"/>
        </w:rPr>
      </w:pPr>
      <w:r w:rsidRPr="002537DD">
        <w:rPr>
          <w:sz w:val="24"/>
          <w:szCs w:val="24"/>
        </w:rPr>
        <w:t>Tag forholdsregler for at undgå ekstravasation, når der udføres intravenøs injektion. Calciumchlorid kan forårsage svær nekrotiserende vævsskade.</w:t>
      </w:r>
    </w:p>
    <w:p w14:paraId="1750C4D7" w14:textId="77777777" w:rsidR="002537DD" w:rsidRPr="002537DD" w:rsidRDefault="002537DD" w:rsidP="002537DD">
      <w:pPr>
        <w:tabs>
          <w:tab w:val="left" w:pos="851"/>
        </w:tabs>
        <w:ind w:left="851"/>
        <w:rPr>
          <w:sz w:val="24"/>
          <w:szCs w:val="24"/>
        </w:rPr>
      </w:pPr>
    </w:p>
    <w:p w14:paraId="109C2DAC" w14:textId="77777777" w:rsidR="002537DD" w:rsidRPr="002537DD" w:rsidRDefault="002537DD" w:rsidP="002537DD">
      <w:pPr>
        <w:tabs>
          <w:tab w:val="left" w:pos="851"/>
        </w:tabs>
        <w:ind w:left="851"/>
        <w:rPr>
          <w:sz w:val="24"/>
          <w:szCs w:val="24"/>
        </w:rPr>
      </w:pPr>
      <w:r w:rsidRPr="002537DD">
        <w:rPr>
          <w:sz w:val="24"/>
          <w:szCs w:val="24"/>
        </w:rPr>
        <w:t>Intravenøs administration af calciumchlorid kan forårsage vasodilation, hvilket kan resultere i et moderat blodtryksfald.</w:t>
      </w:r>
    </w:p>
    <w:p w14:paraId="5290D07D" w14:textId="77777777" w:rsidR="002537DD" w:rsidRPr="002537DD" w:rsidRDefault="002537DD" w:rsidP="002537DD">
      <w:pPr>
        <w:tabs>
          <w:tab w:val="left" w:pos="851"/>
        </w:tabs>
        <w:ind w:left="851"/>
        <w:rPr>
          <w:sz w:val="24"/>
          <w:szCs w:val="24"/>
        </w:rPr>
      </w:pPr>
    </w:p>
    <w:p w14:paraId="189B1D4F" w14:textId="77777777" w:rsidR="002537DD" w:rsidRPr="002537DD" w:rsidRDefault="002537DD" w:rsidP="002537DD">
      <w:pPr>
        <w:tabs>
          <w:tab w:val="left" w:pos="851"/>
        </w:tabs>
        <w:ind w:left="851"/>
        <w:rPr>
          <w:sz w:val="24"/>
          <w:szCs w:val="24"/>
        </w:rPr>
      </w:pPr>
      <w:r w:rsidRPr="002537DD">
        <w:rPr>
          <w:sz w:val="24"/>
          <w:szCs w:val="24"/>
        </w:rPr>
        <w:t>Der bør udvises forsigtighed ved administration af intravenøse opløsninger med calcium, da der er en øget risiko for hypercalcæmi ved tilstande såsom kronisk nedsat nyrefunktion, dehydrering eller forstyrrelser i elektrolytbalancen.</w:t>
      </w:r>
    </w:p>
    <w:p w14:paraId="11C027A2" w14:textId="77777777" w:rsidR="002537DD" w:rsidRPr="002537DD" w:rsidRDefault="002537DD" w:rsidP="002537DD">
      <w:pPr>
        <w:tabs>
          <w:tab w:val="left" w:pos="851"/>
        </w:tabs>
        <w:ind w:left="851"/>
        <w:rPr>
          <w:sz w:val="24"/>
          <w:szCs w:val="24"/>
        </w:rPr>
      </w:pPr>
    </w:p>
    <w:p w14:paraId="13BD33B7" w14:textId="77777777" w:rsidR="002537DD" w:rsidRPr="002537DD" w:rsidRDefault="002537DD" w:rsidP="002537DD">
      <w:pPr>
        <w:tabs>
          <w:tab w:val="left" w:pos="851"/>
        </w:tabs>
        <w:ind w:left="851"/>
        <w:rPr>
          <w:sz w:val="24"/>
          <w:szCs w:val="24"/>
        </w:rPr>
      </w:pPr>
      <w:r w:rsidRPr="002537DD">
        <w:rPr>
          <w:sz w:val="24"/>
          <w:szCs w:val="24"/>
        </w:rPr>
        <w:t>Der bør udvises forsigtighed ved administration af intravenøse opløsninger med calcium hos patienter med hjertesygdom, da calciumsalte kan øge risikoen for hjertearytmi.</w:t>
      </w:r>
    </w:p>
    <w:p w14:paraId="5C75C05B" w14:textId="77777777" w:rsidR="002537DD" w:rsidRPr="002537DD" w:rsidRDefault="002537DD" w:rsidP="002537DD">
      <w:pPr>
        <w:tabs>
          <w:tab w:val="left" w:pos="851"/>
        </w:tabs>
        <w:ind w:left="851"/>
        <w:rPr>
          <w:sz w:val="24"/>
          <w:szCs w:val="24"/>
        </w:rPr>
      </w:pPr>
    </w:p>
    <w:p w14:paraId="2C614AD6" w14:textId="77777777" w:rsidR="002537DD" w:rsidRPr="002537DD" w:rsidRDefault="002537DD" w:rsidP="002537DD">
      <w:pPr>
        <w:tabs>
          <w:tab w:val="left" w:pos="851"/>
        </w:tabs>
        <w:ind w:left="851"/>
        <w:rPr>
          <w:sz w:val="24"/>
          <w:szCs w:val="24"/>
        </w:rPr>
      </w:pPr>
      <w:r w:rsidRPr="002537DD">
        <w:rPr>
          <w:sz w:val="24"/>
          <w:szCs w:val="24"/>
        </w:rPr>
        <w:t>Calciumchlorid kan surgøre og forsigtighed bør udvises, når administration udføres ved sygdomme, hvor surgøring kan forårsage problemer såsom ved nyresygdom, cor pulmonale, respiratorisk acidose og respirationssvigt.</w:t>
      </w:r>
    </w:p>
    <w:p w14:paraId="2B80BD2C" w14:textId="77777777" w:rsidR="002537DD" w:rsidRPr="002537DD" w:rsidRDefault="002537DD" w:rsidP="002537DD">
      <w:pPr>
        <w:tabs>
          <w:tab w:val="left" w:pos="851"/>
        </w:tabs>
        <w:ind w:left="851"/>
        <w:rPr>
          <w:sz w:val="24"/>
          <w:szCs w:val="24"/>
        </w:rPr>
      </w:pPr>
    </w:p>
    <w:p w14:paraId="04E61B21" w14:textId="77777777" w:rsidR="002537DD" w:rsidRPr="002537DD" w:rsidRDefault="002537DD" w:rsidP="002537DD">
      <w:pPr>
        <w:tabs>
          <w:tab w:val="left" w:pos="851"/>
        </w:tabs>
        <w:ind w:left="851"/>
        <w:rPr>
          <w:sz w:val="24"/>
          <w:szCs w:val="24"/>
        </w:rPr>
      </w:pPr>
      <w:r w:rsidRPr="002537DD">
        <w:rPr>
          <w:sz w:val="24"/>
          <w:szCs w:val="24"/>
        </w:rPr>
        <w:t>Calcium bør ikke gives alene men sammen med en igangværende glucose-infusion (uden calcium, pjosphor eller magnesium), når administration udføres via perifere infusionsslanger.</w:t>
      </w:r>
    </w:p>
    <w:p w14:paraId="0AAB61CF" w14:textId="77777777" w:rsidR="002537DD" w:rsidRPr="002537DD" w:rsidRDefault="002537DD" w:rsidP="002537DD">
      <w:pPr>
        <w:tabs>
          <w:tab w:val="left" w:pos="851"/>
        </w:tabs>
        <w:ind w:left="851"/>
        <w:rPr>
          <w:sz w:val="24"/>
          <w:szCs w:val="24"/>
        </w:rPr>
      </w:pPr>
    </w:p>
    <w:p w14:paraId="6BD40B1A" w14:textId="77777777" w:rsidR="002537DD" w:rsidRPr="002537DD" w:rsidRDefault="002537DD" w:rsidP="002537DD">
      <w:pPr>
        <w:tabs>
          <w:tab w:val="left" w:pos="851"/>
        </w:tabs>
        <w:ind w:left="851"/>
        <w:rPr>
          <w:sz w:val="24"/>
          <w:szCs w:val="24"/>
        </w:rPr>
      </w:pPr>
      <w:r w:rsidRPr="002537DD">
        <w:rPr>
          <w:sz w:val="24"/>
          <w:szCs w:val="24"/>
        </w:rPr>
        <w:t>Kalcicur må ikke gives i den samme infusionsslange som andre opløsninger indeholdende calcium, såsom ernæringsopløsninger. Calciumchlorid kan forårsage irritation og må ikke gives intramuskulært, subkutant eller i perivaskulært væv, da svær nekrose kan opstå. Direkte injektion i hjertevævet skal undgås.</w:t>
      </w:r>
    </w:p>
    <w:p w14:paraId="40BADA88" w14:textId="77777777" w:rsidR="002537DD" w:rsidRPr="002537DD" w:rsidRDefault="002537DD" w:rsidP="002537DD">
      <w:pPr>
        <w:tabs>
          <w:tab w:val="left" w:pos="851"/>
        </w:tabs>
        <w:ind w:left="851"/>
        <w:rPr>
          <w:sz w:val="24"/>
          <w:szCs w:val="24"/>
        </w:rPr>
      </w:pPr>
    </w:p>
    <w:p w14:paraId="5B5E776F" w14:textId="77777777" w:rsidR="002537DD" w:rsidRPr="002537DD" w:rsidRDefault="002537DD" w:rsidP="002537DD">
      <w:pPr>
        <w:tabs>
          <w:tab w:val="left" w:pos="851"/>
        </w:tabs>
        <w:ind w:left="851"/>
        <w:rPr>
          <w:sz w:val="24"/>
          <w:szCs w:val="24"/>
        </w:rPr>
      </w:pPr>
      <w:r w:rsidRPr="002537DD">
        <w:rPr>
          <w:sz w:val="24"/>
          <w:szCs w:val="24"/>
        </w:rPr>
        <w:t>Der kan forekomme udfældning, når samtidig intravenøs administration af calciumchlorid og phosphat eller magnesium finder sted, se pkt. 6.2. Udfældningen kan sætte sig fast i små blodkar og foranledige emboli.</w:t>
      </w:r>
    </w:p>
    <w:p w14:paraId="5218C9F8" w14:textId="77777777" w:rsidR="002537DD" w:rsidRPr="002537DD" w:rsidRDefault="002537DD" w:rsidP="002537DD">
      <w:pPr>
        <w:tabs>
          <w:tab w:val="left" w:pos="851"/>
        </w:tabs>
        <w:ind w:left="851"/>
        <w:rPr>
          <w:sz w:val="24"/>
          <w:szCs w:val="24"/>
        </w:rPr>
      </w:pPr>
    </w:p>
    <w:p w14:paraId="1C091779" w14:textId="77777777" w:rsidR="002537DD" w:rsidRPr="002537DD" w:rsidRDefault="002537DD" w:rsidP="002537DD">
      <w:pPr>
        <w:tabs>
          <w:tab w:val="left" w:pos="851"/>
        </w:tabs>
        <w:ind w:left="851"/>
        <w:rPr>
          <w:sz w:val="24"/>
          <w:szCs w:val="24"/>
        </w:rPr>
      </w:pPr>
      <w:r w:rsidRPr="002537DD">
        <w:rPr>
          <w:sz w:val="24"/>
          <w:szCs w:val="24"/>
        </w:rPr>
        <w:t>Kontinuerlig EKG</w:t>
      </w:r>
      <w:r w:rsidRPr="002537DD">
        <w:rPr>
          <w:sz w:val="24"/>
          <w:szCs w:val="24"/>
        </w:rPr>
        <w:noBreakHyphen/>
        <w:t>overvågning bør udføres ved brug af calciumsalte for at modvirke kardiotoksicitet i forbindelse med hypercalcæmi.</w:t>
      </w:r>
    </w:p>
    <w:p w14:paraId="23D63169" w14:textId="77777777" w:rsidR="002537DD" w:rsidRPr="002537DD" w:rsidRDefault="002537DD" w:rsidP="002537DD">
      <w:pPr>
        <w:tabs>
          <w:tab w:val="left" w:pos="851"/>
        </w:tabs>
        <w:ind w:left="851"/>
        <w:rPr>
          <w:sz w:val="24"/>
          <w:szCs w:val="24"/>
        </w:rPr>
      </w:pPr>
    </w:p>
    <w:p w14:paraId="6B324250" w14:textId="77777777" w:rsidR="002537DD" w:rsidRPr="002537DD" w:rsidRDefault="002537DD" w:rsidP="002537DD">
      <w:pPr>
        <w:tabs>
          <w:tab w:val="left" w:pos="851"/>
        </w:tabs>
        <w:ind w:left="851"/>
        <w:rPr>
          <w:sz w:val="24"/>
          <w:szCs w:val="24"/>
        </w:rPr>
      </w:pPr>
      <w:r w:rsidRPr="002537DD">
        <w:rPr>
          <w:sz w:val="24"/>
          <w:szCs w:val="24"/>
        </w:rPr>
        <w:t>Serumkoncentrationerne af calcium bør overvåges nøje hos patienter med nedsat nyrefynktion, særligt ved samtidig behandling med høje doser af D-vitamin. Hyppig overvågning af serumkoncentrationen af calcium anbefales under behandlingen for at sikre, at normale niveauer ikke overstiges. Det kan også være nødvendigt at overvåge calciumkoncentrationen i urinen for at undgå hypercalciuri, der kan opstå under tilstedeværelsen af hypocalcæmi.</w:t>
      </w:r>
    </w:p>
    <w:p w14:paraId="59BD7948" w14:textId="77777777" w:rsidR="009260DE" w:rsidRPr="00C84483" w:rsidRDefault="009260DE" w:rsidP="009260DE">
      <w:pPr>
        <w:tabs>
          <w:tab w:val="left" w:pos="851"/>
        </w:tabs>
        <w:ind w:left="851"/>
        <w:rPr>
          <w:sz w:val="24"/>
          <w:szCs w:val="24"/>
        </w:rPr>
      </w:pPr>
    </w:p>
    <w:p w14:paraId="54E2AC07"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2DC64F84" w14:textId="77777777" w:rsidR="002537DD" w:rsidRPr="002537DD" w:rsidRDefault="002537DD" w:rsidP="002537DD">
      <w:pPr>
        <w:tabs>
          <w:tab w:val="left" w:pos="851"/>
        </w:tabs>
        <w:ind w:left="851"/>
        <w:rPr>
          <w:sz w:val="24"/>
          <w:szCs w:val="24"/>
        </w:rPr>
      </w:pPr>
    </w:p>
    <w:p w14:paraId="2BE5528C" w14:textId="77777777" w:rsidR="002537DD" w:rsidRPr="002537DD" w:rsidRDefault="002537DD" w:rsidP="002537DD">
      <w:pPr>
        <w:tabs>
          <w:tab w:val="left" w:pos="851"/>
        </w:tabs>
        <w:ind w:left="851"/>
        <w:rPr>
          <w:i/>
          <w:iCs/>
          <w:sz w:val="24"/>
          <w:szCs w:val="24"/>
        </w:rPr>
      </w:pPr>
      <w:r w:rsidRPr="002537DD">
        <w:rPr>
          <w:i/>
          <w:iCs/>
          <w:sz w:val="24"/>
          <w:szCs w:val="24"/>
        </w:rPr>
        <w:t>Ceftriaxon</w:t>
      </w:r>
    </w:p>
    <w:p w14:paraId="179C854D" w14:textId="77777777" w:rsidR="002537DD" w:rsidRPr="002537DD" w:rsidRDefault="002537DD" w:rsidP="002537DD">
      <w:pPr>
        <w:tabs>
          <w:tab w:val="left" w:pos="851"/>
        </w:tabs>
        <w:ind w:left="851"/>
        <w:rPr>
          <w:sz w:val="24"/>
          <w:szCs w:val="24"/>
        </w:rPr>
      </w:pPr>
      <w:r w:rsidRPr="002537DD">
        <w:rPr>
          <w:sz w:val="24"/>
          <w:szCs w:val="24"/>
        </w:rPr>
        <w:t xml:space="preserve">Samtidig administration af calcium og ceftriaxon er kontraindiceret. Dette gælder også ved brug af forskellige infusionsslanger på grund af risiko for ceftriaxon-calcium udfældninger. For børn på 28 dage eller yngre skal der være 48 timer mellem administration af henholdsvis ceftriaxon og calcium. For børn, der er ældre end 28 dage, skal </w:t>
      </w:r>
      <w:r w:rsidRPr="002537DD">
        <w:rPr>
          <w:sz w:val="24"/>
          <w:szCs w:val="24"/>
        </w:rPr>
        <w:lastRenderedPageBreak/>
        <w:t>infusionsslangen skylles grundigt med NaCl 9 mg/ml mellem hver infusion af henholdsvis ceftriaxon og calcium, og ellers skal der anvendes forskellige infusionsslanger.</w:t>
      </w:r>
    </w:p>
    <w:p w14:paraId="6AB2968A" w14:textId="77777777" w:rsidR="002537DD" w:rsidRPr="002537DD" w:rsidRDefault="002537DD" w:rsidP="002537DD">
      <w:pPr>
        <w:tabs>
          <w:tab w:val="left" w:pos="851"/>
        </w:tabs>
        <w:ind w:left="851"/>
        <w:rPr>
          <w:sz w:val="24"/>
          <w:szCs w:val="24"/>
        </w:rPr>
      </w:pPr>
    </w:p>
    <w:p w14:paraId="6046157B" w14:textId="77777777" w:rsidR="002537DD" w:rsidRPr="002537DD" w:rsidRDefault="002537DD" w:rsidP="002537DD">
      <w:pPr>
        <w:tabs>
          <w:tab w:val="left" w:pos="851"/>
        </w:tabs>
        <w:ind w:left="851"/>
        <w:rPr>
          <w:i/>
          <w:iCs/>
          <w:sz w:val="24"/>
          <w:szCs w:val="24"/>
        </w:rPr>
      </w:pPr>
      <w:r w:rsidRPr="002537DD">
        <w:rPr>
          <w:i/>
          <w:iCs/>
          <w:sz w:val="24"/>
          <w:szCs w:val="24"/>
        </w:rPr>
        <w:t>Hjerteglykosider/digitalis</w:t>
      </w:r>
    </w:p>
    <w:p w14:paraId="7BB2F85B" w14:textId="77777777" w:rsidR="002537DD" w:rsidRPr="002537DD" w:rsidRDefault="002537DD" w:rsidP="002537DD">
      <w:pPr>
        <w:tabs>
          <w:tab w:val="left" w:pos="851"/>
        </w:tabs>
        <w:ind w:left="851"/>
        <w:rPr>
          <w:sz w:val="24"/>
          <w:szCs w:val="24"/>
        </w:rPr>
      </w:pPr>
      <w:r w:rsidRPr="002537DD">
        <w:rPr>
          <w:sz w:val="24"/>
          <w:szCs w:val="24"/>
        </w:rPr>
        <w:t>Da de inotrope og toksiske effekter af intravenøst administreret calciumchlorid og hjerteglykosider er synergistiske, kan samtidig anvendelse øge risikoen for arytmi.</w:t>
      </w:r>
    </w:p>
    <w:p w14:paraId="1BEEB1BF" w14:textId="77777777" w:rsidR="002537DD" w:rsidRPr="002537DD" w:rsidRDefault="002537DD" w:rsidP="002537DD">
      <w:pPr>
        <w:tabs>
          <w:tab w:val="left" w:pos="851"/>
        </w:tabs>
        <w:ind w:left="851"/>
        <w:rPr>
          <w:sz w:val="24"/>
          <w:szCs w:val="24"/>
        </w:rPr>
      </w:pPr>
    </w:p>
    <w:p w14:paraId="2F25BB70" w14:textId="77777777" w:rsidR="002537DD" w:rsidRPr="002537DD" w:rsidRDefault="002537DD" w:rsidP="002537DD">
      <w:pPr>
        <w:tabs>
          <w:tab w:val="left" w:pos="851"/>
        </w:tabs>
        <w:ind w:left="851"/>
        <w:rPr>
          <w:i/>
          <w:iCs/>
          <w:sz w:val="24"/>
          <w:szCs w:val="24"/>
        </w:rPr>
      </w:pPr>
      <w:r w:rsidRPr="002537DD">
        <w:rPr>
          <w:i/>
          <w:iCs/>
          <w:sz w:val="24"/>
          <w:szCs w:val="24"/>
        </w:rPr>
        <w:t>Adrenalin</w:t>
      </w:r>
    </w:p>
    <w:p w14:paraId="5594835D" w14:textId="77777777" w:rsidR="002537DD" w:rsidRPr="002537DD" w:rsidRDefault="002537DD" w:rsidP="002537DD">
      <w:pPr>
        <w:tabs>
          <w:tab w:val="left" w:pos="851"/>
        </w:tabs>
        <w:ind w:left="851"/>
        <w:rPr>
          <w:sz w:val="24"/>
          <w:szCs w:val="24"/>
        </w:rPr>
      </w:pPr>
      <w:r w:rsidRPr="002537DD">
        <w:rPr>
          <w:sz w:val="24"/>
          <w:szCs w:val="24"/>
        </w:rPr>
        <w:t>Samtidig anvendelse af calcium og adrenalin kan resultere i arytmi.</w:t>
      </w:r>
    </w:p>
    <w:p w14:paraId="3D807228" w14:textId="77777777" w:rsidR="002537DD" w:rsidRPr="002537DD" w:rsidRDefault="002537DD" w:rsidP="002537DD">
      <w:pPr>
        <w:tabs>
          <w:tab w:val="left" w:pos="851"/>
        </w:tabs>
        <w:ind w:left="851"/>
        <w:rPr>
          <w:sz w:val="24"/>
          <w:szCs w:val="24"/>
        </w:rPr>
      </w:pPr>
    </w:p>
    <w:p w14:paraId="03A84D8A" w14:textId="77777777" w:rsidR="002537DD" w:rsidRPr="002537DD" w:rsidRDefault="002537DD" w:rsidP="002537DD">
      <w:pPr>
        <w:tabs>
          <w:tab w:val="left" w:pos="851"/>
        </w:tabs>
        <w:ind w:left="851"/>
        <w:rPr>
          <w:i/>
          <w:iCs/>
          <w:sz w:val="24"/>
          <w:szCs w:val="24"/>
        </w:rPr>
      </w:pPr>
      <w:r w:rsidRPr="002537DD">
        <w:rPr>
          <w:i/>
          <w:iCs/>
          <w:sz w:val="24"/>
          <w:szCs w:val="24"/>
        </w:rPr>
        <w:t>Calciumantagonister</w:t>
      </w:r>
    </w:p>
    <w:p w14:paraId="6AB354E9" w14:textId="77777777" w:rsidR="002537DD" w:rsidRPr="002537DD" w:rsidRDefault="002537DD" w:rsidP="002537DD">
      <w:pPr>
        <w:tabs>
          <w:tab w:val="left" w:pos="851"/>
        </w:tabs>
        <w:ind w:left="851"/>
        <w:rPr>
          <w:sz w:val="24"/>
          <w:szCs w:val="24"/>
        </w:rPr>
      </w:pPr>
      <w:r w:rsidRPr="002537DD">
        <w:rPr>
          <w:sz w:val="24"/>
          <w:szCs w:val="24"/>
        </w:rPr>
        <w:t>Calcium kan muligvis reducere virkningen af verapamil, når det anvendes samtidigt. Dette gælder formentlig også for andre calciumantagonister.</w:t>
      </w:r>
    </w:p>
    <w:p w14:paraId="7CCD6E2B" w14:textId="77777777" w:rsidR="002537DD" w:rsidRPr="002537DD" w:rsidRDefault="002537DD" w:rsidP="002537DD">
      <w:pPr>
        <w:tabs>
          <w:tab w:val="left" w:pos="851"/>
        </w:tabs>
        <w:ind w:left="851"/>
        <w:rPr>
          <w:sz w:val="24"/>
          <w:szCs w:val="24"/>
        </w:rPr>
      </w:pPr>
    </w:p>
    <w:p w14:paraId="70086DAA" w14:textId="77777777" w:rsidR="002537DD" w:rsidRPr="002537DD" w:rsidRDefault="002537DD" w:rsidP="002537DD">
      <w:pPr>
        <w:tabs>
          <w:tab w:val="left" w:pos="851"/>
        </w:tabs>
        <w:ind w:left="851"/>
        <w:rPr>
          <w:i/>
          <w:iCs/>
          <w:sz w:val="24"/>
          <w:szCs w:val="24"/>
        </w:rPr>
      </w:pPr>
      <w:r w:rsidRPr="002537DD">
        <w:rPr>
          <w:i/>
          <w:iCs/>
          <w:sz w:val="24"/>
          <w:szCs w:val="24"/>
        </w:rPr>
        <w:t>Calcium- eller magnesiumholdige lægemidler</w:t>
      </w:r>
    </w:p>
    <w:p w14:paraId="0E641151" w14:textId="77777777" w:rsidR="002537DD" w:rsidRPr="002537DD" w:rsidRDefault="002537DD" w:rsidP="002537DD">
      <w:pPr>
        <w:tabs>
          <w:tab w:val="left" w:pos="851"/>
        </w:tabs>
        <w:ind w:left="851"/>
        <w:rPr>
          <w:sz w:val="24"/>
          <w:szCs w:val="24"/>
        </w:rPr>
      </w:pPr>
      <w:r w:rsidRPr="002537DD">
        <w:rPr>
          <w:sz w:val="24"/>
          <w:szCs w:val="24"/>
        </w:rPr>
        <w:t>Samtidig anvendelse med andre calcium- eller magnesiumholdige lægemidler kan måske øge risikoen for hypercalcæmi eller hypermagnesiæmi, særligt hos patienter med nyresygdom.</w:t>
      </w:r>
    </w:p>
    <w:p w14:paraId="2FF8FBF6" w14:textId="77777777" w:rsidR="002537DD" w:rsidRPr="002537DD" w:rsidRDefault="002537DD" w:rsidP="002537DD">
      <w:pPr>
        <w:tabs>
          <w:tab w:val="left" w:pos="851"/>
        </w:tabs>
        <w:ind w:left="851"/>
        <w:rPr>
          <w:sz w:val="24"/>
          <w:szCs w:val="24"/>
        </w:rPr>
      </w:pPr>
    </w:p>
    <w:p w14:paraId="7DE6D44B" w14:textId="77777777" w:rsidR="002537DD" w:rsidRPr="002537DD" w:rsidRDefault="002537DD" w:rsidP="002537DD">
      <w:pPr>
        <w:tabs>
          <w:tab w:val="left" w:pos="851"/>
        </w:tabs>
        <w:ind w:left="851"/>
        <w:rPr>
          <w:i/>
          <w:iCs/>
          <w:sz w:val="24"/>
          <w:szCs w:val="24"/>
        </w:rPr>
      </w:pPr>
      <w:r w:rsidRPr="002537DD">
        <w:rPr>
          <w:i/>
          <w:iCs/>
          <w:sz w:val="24"/>
          <w:szCs w:val="24"/>
        </w:rPr>
        <w:t>Neuromuskulære blokkere</w:t>
      </w:r>
    </w:p>
    <w:p w14:paraId="1B6B4FD6" w14:textId="77777777" w:rsidR="002537DD" w:rsidRPr="002537DD" w:rsidRDefault="002537DD" w:rsidP="002537DD">
      <w:pPr>
        <w:tabs>
          <w:tab w:val="left" w:pos="851"/>
        </w:tabs>
        <w:ind w:left="851"/>
        <w:rPr>
          <w:i/>
          <w:iCs/>
          <w:sz w:val="24"/>
          <w:szCs w:val="24"/>
        </w:rPr>
      </w:pPr>
      <w:r w:rsidRPr="002537DD">
        <w:rPr>
          <w:sz w:val="24"/>
          <w:szCs w:val="24"/>
        </w:rPr>
        <w:t>Samtidig anvendelse med parenterale calciumsalte modvirker sædvanligvis effekten af nondepolariserende neuromuskulære blokkere. Yderligere er der rapporteret om, at samtidig anvendelse af calciumsalte forstærker eller forlænger den neuromuskulært blokerende virkning af tubocurarin.</w:t>
      </w:r>
    </w:p>
    <w:p w14:paraId="7EE291B1" w14:textId="77777777" w:rsidR="002537DD" w:rsidRPr="002537DD" w:rsidRDefault="002537DD" w:rsidP="002537DD">
      <w:pPr>
        <w:tabs>
          <w:tab w:val="left" w:pos="851"/>
        </w:tabs>
        <w:ind w:left="851"/>
        <w:rPr>
          <w:sz w:val="24"/>
          <w:szCs w:val="24"/>
        </w:rPr>
      </w:pPr>
    </w:p>
    <w:p w14:paraId="54FC220B" w14:textId="77777777" w:rsidR="002537DD" w:rsidRPr="002537DD" w:rsidRDefault="002537DD" w:rsidP="002537DD">
      <w:pPr>
        <w:tabs>
          <w:tab w:val="left" w:pos="851"/>
        </w:tabs>
        <w:ind w:left="851"/>
        <w:rPr>
          <w:i/>
          <w:iCs/>
          <w:sz w:val="24"/>
          <w:szCs w:val="24"/>
        </w:rPr>
      </w:pPr>
      <w:r w:rsidRPr="002537DD">
        <w:rPr>
          <w:i/>
          <w:iCs/>
          <w:sz w:val="24"/>
          <w:szCs w:val="24"/>
        </w:rPr>
        <w:t>Thiaziddiuretika</w:t>
      </w:r>
    </w:p>
    <w:p w14:paraId="67B2EBD1" w14:textId="4FC421AB" w:rsidR="002537DD" w:rsidRPr="002537DD" w:rsidRDefault="002537DD" w:rsidP="002537DD">
      <w:pPr>
        <w:tabs>
          <w:tab w:val="left" w:pos="851"/>
        </w:tabs>
        <w:ind w:left="851"/>
        <w:rPr>
          <w:sz w:val="24"/>
          <w:szCs w:val="24"/>
        </w:rPr>
      </w:pPr>
      <w:r w:rsidRPr="002537DD">
        <w:rPr>
          <w:sz w:val="24"/>
          <w:szCs w:val="24"/>
        </w:rPr>
        <w:t>Kombinationen af calcium sammen med thiaziddiuretika kan måske inducere hypercalcæmi</w:t>
      </w:r>
      <w:r w:rsidR="0013264B">
        <w:rPr>
          <w:sz w:val="24"/>
          <w:szCs w:val="24"/>
        </w:rPr>
        <w:t>.</w:t>
      </w:r>
    </w:p>
    <w:p w14:paraId="560D9960" w14:textId="77777777" w:rsidR="002537DD" w:rsidRPr="002537DD" w:rsidRDefault="002537DD" w:rsidP="002537DD">
      <w:pPr>
        <w:tabs>
          <w:tab w:val="left" w:pos="851"/>
        </w:tabs>
        <w:ind w:left="851"/>
        <w:rPr>
          <w:sz w:val="24"/>
          <w:szCs w:val="24"/>
        </w:rPr>
      </w:pPr>
    </w:p>
    <w:p w14:paraId="5A060415"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5D94C4BD" w14:textId="77777777" w:rsidR="0013264B" w:rsidRDefault="0013264B" w:rsidP="0013264B">
      <w:pPr>
        <w:tabs>
          <w:tab w:val="left" w:pos="851"/>
        </w:tabs>
        <w:ind w:left="851"/>
        <w:rPr>
          <w:sz w:val="24"/>
          <w:szCs w:val="24"/>
          <w:u w:val="single"/>
        </w:rPr>
      </w:pPr>
    </w:p>
    <w:p w14:paraId="00586F5B" w14:textId="1E6D2E45" w:rsidR="0013264B" w:rsidRPr="0013264B" w:rsidRDefault="0013264B" w:rsidP="0013264B">
      <w:pPr>
        <w:tabs>
          <w:tab w:val="left" w:pos="851"/>
        </w:tabs>
        <w:ind w:left="851"/>
        <w:rPr>
          <w:sz w:val="24"/>
          <w:szCs w:val="24"/>
          <w:u w:val="single"/>
        </w:rPr>
      </w:pPr>
      <w:r w:rsidRPr="0013264B">
        <w:rPr>
          <w:sz w:val="24"/>
          <w:szCs w:val="24"/>
          <w:u w:val="single"/>
        </w:rPr>
        <w:t>Graviditet</w:t>
      </w:r>
    </w:p>
    <w:p w14:paraId="5BB49527" w14:textId="77777777" w:rsidR="0013264B" w:rsidRPr="0013264B" w:rsidRDefault="0013264B" w:rsidP="0013264B">
      <w:pPr>
        <w:tabs>
          <w:tab w:val="left" w:pos="851"/>
        </w:tabs>
        <w:ind w:left="851"/>
        <w:rPr>
          <w:sz w:val="24"/>
          <w:szCs w:val="24"/>
        </w:rPr>
      </w:pPr>
      <w:r w:rsidRPr="0013264B">
        <w:rPr>
          <w:sz w:val="24"/>
          <w:szCs w:val="24"/>
        </w:rPr>
        <w:t xml:space="preserve">Data fra dyrestudier er utilstrækkelige, hvad angår reproduktionstoksicitet (se pkt. 5.3). </w:t>
      </w:r>
    </w:p>
    <w:p w14:paraId="39CAE19F" w14:textId="77777777" w:rsidR="0013264B" w:rsidRPr="0013264B" w:rsidRDefault="0013264B" w:rsidP="0013264B">
      <w:pPr>
        <w:tabs>
          <w:tab w:val="left" w:pos="851"/>
        </w:tabs>
        <w:ind w:left="851"/>
        <w:rPr>
          <w:sz w:val="24"/>
          <w:szCs w:val="24"/>
        </w:rPr>
      </w:pPr>
      <w:r w:rsidRPr="0013264B">
        <w:rPr>
          <w:sz w:val="24"/>
          <w:szCs w:val="24"/>
        </w:rPr>
        <w:t>Der foreligger ikke tilstrækkelige publicerede data vedrørende anvendelse under graviditet.</w:t>
      </w:r>
    </w:p>
    <w:p w14:paraId="373E5A91" w14:textId="77777777" w:rsidR="0013264B" w:rsidRPr="0013264B" w:rsidRDefault="0013264B" w:rsidP="0013264B">
      <w:pPr>
        <w:tabs>
          <w:tab w:val="left" w:pos="851"/>
        </w:tabs>
        <w:ind w:left="851"/>
        <w:rPr>
          <w:sz w:val="24"/>
          <w:szCs w:val="24"/>
          <w:u w:val="single"/>
        </w:rPr>
      </w:pPr>
    </w:p>
    <w:p w14:paraId="6E25434A" w14:textId="77777777" w:rsidR="0013264B" w:rsidRPr="0013264B" w:rsidRDefault="0013264B" w:rsidP="0013264B">
      <w:pPr>
        <w:tabs>
          <w:tab w:val="left" w:pos="851"/>
        </w:tabs>
        <w:ind w:left="851"/>
        <w:rPr>
          <w:sz w:val="24"/>
          <w:szCs w:val="24"/>
          <w:u w:val="single"/>
        </w:rPr>
      </w:pPr>
      <w:r w:rsidRPr="0013264B">
        <w:rPr>
          <w:sz w:val="24"/>
          <w:szCs w:val="24"/>
          <w:u w:val="single"/>
        </w:rPr>
        <w:t>Amning</w:t>
      </w:r>
    </w:p>
    <w:p w14:paraId="26936D30" w14:textId="77777777" w:rsidR="0013264B" w:rsidRPr="0013264B" w:rsidRDefault="0013264B" w:rsidP="0013264B">
      <w:pPr>
        <w:tabs>
          <w:tab w:val="left" w:pos="851"/>
        </w:tabs>
        <w:ind w:left="851"/>
        <w:rPr>
          <w:sz w:val="24"/>
          <w:szCs w:val="24"/>
        </w:rPr>
      </w:pPr>
      <w:r w:rsidRPr="0013264B">
        <w:rPr>
          <w:sz w:val="24"/>
          <w:szCs w:val="24"/>
        </w:rPr>
        <w:t>Der foreligger ikke tilstrækkelige publicerede data vedrørende anvendelse under amning.</w:t>
      </w:r>
    </w:p>
    <w:p w14:paraId="00D0954C" w14:textId="77777777" w:rsidR="0013264B" w:rsidRPr="0013264B" w:rsidRDefault="0013264B" w:rsidP="0013264B">
      <w:pPr>
        <w:tabs>
          <w:tab w:val="left" w:pos="851"/>
        </w:tabs>
        <w:ind w:left="851"/>
        <w:rPr>
          <w:sz w:val="24"/>
          <w:szCs w:val="24"/>
          <w:u w:val="single"/>
        </w:rPr>
      </w:pPr>
    </w:p>
    <w:p w14:paraId="5CFC2354" w14:textId="77777777" w:rsidR="0013264B" w:rsidRPr="0013264B" w:rsidRDefault="0013264B" w:rsidP="0013264B">
      <w:pPr>
        <w:tabs>
          <w:tab w:val="left" w:pos="851"/>
        </w:tabs>
        <w:ind w:left="851"/>
        <w:rPr>
          <w:sz w:val="24"/>
          <w:szCs w:val="24"/>
          <w:u w:val="single"/>
        </w:rPr>
      </w:pPr>
      <w:r w:rsidRPr="0013264B">
        <w:rPr>
          <w:sz w:val="24"/>
          <w:szCs w:val="24"/>
          <w:u w:val="single"/>
        </w:rPr>
        <w:t>Fertilitet</w:t>
      </w:r>
    </w:p>
    <w:p w14:paraId="4FE4397D" w14:textId="77777777" w:rsidR="0013264B" w:rsidRPr="0013264B" w:rsidRDefault="0013264B" w:rsidP="0013264B">
      <w:pPr>
        <w:tabs>
          <w:tab w:val="left" w:pos="851"/>
        </w:tabs>
        <w:ind w:left="851"/>
        <w:rPr>
          <w:sz w:val="24"/>
          <w:szCs w:val="24"/>
        </w:rPr>
      </w:pPr>
      <w:r w:rsidRPr="0013264B">
        <w:rPr>
          <w:sz w:val="24"/>
          <w:szCs w:val="24"/>
        </w:rPr>
        <w:t>Der foreligger ingen data.</w:t>
      </w:r>
    </w:p>
    <w:p w14:paraId="6D473F50" w14:textId="77777777" w:rsidR="009260DE" w:rsidRPr="00C84483" w:rsidRDefault="009260DE" w:rsidP="009260DE">
      <w:pPr>
        <w:tabs>
          <w:tab w:val="left" w:pos="851"/>
        </w:tabs>
        <w:ind w:left="851"/>
        <w:rPr>
          <w:sz w:val="24"/>
          <w:szCs w:val="24"/>
        </w:rPr>
      </w:pPr>
    </w:p>
    <w:p w14:paraId="6154D061"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6308A102" w14:textId="77777777" w:rsidR="008B627B" w:rsidRPr="008B627B" w:rsidRDefault="008B627B" w:rsidP="008B627B">
      <w:pPr>
        <w:tabs>
          <w:tab w:val="left" w:pos="851"/>
        </w:tabs>
        <w:ind w:left="851"/>
        <w:rPr>
          <w:sz w:val="24"/>
          <w:szCs w:val="24"/>
        </w:rPr>
      </w:pPr>
      <w:r w:rsidRPr="008B627B">
        <w:rPr>
          <w:sz w:val="24"/>
          <w:szCs w:val="24"/>
        </w:rPr>
        <w:t>Ikke mærkning.</w:t>
      </w:r>
    </w:p>
    <w:p w14:paraId="5D15C1D6" w14:textId="77777777" w:rsidR="008B627B" w:rsidRPr="008B627B" w:rsidRDefault="008B627B" w:rsidP="008B627B">
      <w:pPr>
        <w:tabs>
          <w:tab w:val="left" w:pos="851"/>
        </w:tabs>
        <w:ind w:left="851"/>
        <w:rPr>
          <w:sz w:val="24"/>
          <w:szCs w:val="24"/>
        </w:rPr>
      </w:pPr>
      <w:r w:rsidRPr="008B627B">
        <w:rPr>
          <w:sz w:val="24"/>
          <w:szCs w:val="24"/>
        </w:rPr>
        <w:t>Kalcicur påvirker ikke eller kun i ubetydelig grad evnen til at føre motorkøretøj og betjene maskiner.</w:t>
      </w:r>
    </w:p>
    <w:p w14:paraId="3F7A0551" w14:textId="77777777" w:rsidR="009260DE" w:rsidRPr="00C84483" w:rsidRDefault="009260DE" w:rsidP="009260DE">
      <w:pPr>
        <w:tabs>
          <w:tab w:val="left" w:pos="851"/>
        </w:tabs>
        <w:ind w:left="851"/>
        <w:rPr>
          <w:sz w:val="24"/>
          <w:szCs w:val="24"/>
        </w:rPr>
      </w:pPr>
    </w:p>
    <w:p w14:paraId="472ABBD5"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1DE6A8F8" w14:textId="77777777" w:rsidR="008B627B" w:rsidRPr="008B627B" w:rsidRDefault="008B627B" w:rsidP="008B627B">
      <w:pPr>
        <w:ind w:left="851"/>
        <w:rPr>
          <w:color w:val="212121"/>
          <w:sz w:val="24"/>
          <w:szCs w:val="24"/>
          <w:lang w:eastAsia="sv-SE"/>
        </w:rPr>
      </w:pPr>
      <w:r w:rsidRPr="008B627B">
        <w:rPr>
          <w:sz w:val="24"/>
          <w:szCs w:val="24"/>
        </w:rPr>
        <w:t>Bivirkninger, som kan opstå, er vist forneden i henhold til</w:t>
      </w:r>
      <w:r w:rsidRPr="008B627B">
        <w:rPr>
          <w:color w:val="212121"/>
          <w:sz w:val="24"/>
          <w:szCs w:val="24"/>
          <w:lang w:eastAsia="sv-SE"/>
        </w:rPr>
        <w:t xml:space="preserve"> MedDRA-klassificering af systemorganklasser. De fleste bivirkninger er dosisafhængige.</w:t>
      </w:r>
    </w:p>
    <w:p w14:paraId="34ECF827" w14:textId="77777777" w:rsidR="008B627B" w:rsidRPr="008B627B" w:rsidRDefault="008B627B" w:rsidP="008B627B">
      <w:pPr>
        <w:ind w:left="851"/>
        <w:rPr>
          <w:color w:val="212121"/>
          <w:sz w:val="24"/>
          <w:szCs w:val="24"/>
          <w:lang w:eastAsia="sv-SE"/>
        </w:rPr>
      </w:pPr>
    </w:p>
    <w:p w14:paraId="01F8C3A4" w14:textId="77777777" w:rsidR="008B627B" w:rsidRPr="008B627B" w:rsidRDefault="008B627B" w:rsidP="008B627B">
      <w:pPr>
        <w:ind w:left="851"/>
        <w:rPr>
          <w:sz w:val="24"/>
          <w:szCs w:val="24"/>
        </w:rPr>
      </w:pPr>
      <w:r w:rsidRPr="008B627B">
        <w:rPr>
          <w:color w:val="212121"/>
          <w:sz w:val="24"/>
          <w:szCs w:val="24"/>
          <w:lang w:eastAsia="sv-SE"/>
        </w:rPr>
        <w:lastRenderedPageBreak/>
        <w:t>Kardiovaskulære og andre systemiske bivirkninger i tabellen kan opstå som et symptom på akut hypercalcæmi, på grund af hurtig intravenøs injektion eller overdosis, se pkt. 4.9.</w:t>
      </w:r>
    </w:p>
    <w:p w14:paraId="3F762B64" w14:textId="77777777" w:rsidR="008B627B" w:rsidRDefault="008B627B" w:rsidP="008B627B"/>
    <w:tbl>
      <w:tblPr>
        <w:tblW w:w="906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3024"/>
        <w:gridCol w:w="3014"/>
      </w:tblGrid>
      <w:tr w:rsidR="008B627B" w14:paraId="68E1363D" w14:textId="77777777" w:rsidTr="008B627B">
        <w:tc>
          <w:tcPr>
            <w:tcW w:w="3023" w:type="dxa"/>
            <w:tcBorders>
              <w:top w:val="single" w:sz="4" w:space="0" w:color="auto"/>
              <w:left w:val="single" w:sz="4" w:space="0" w:color="auto"/>
              <w:bottom w:val="single" w:sz="4" w:space="0" w:color="auto"/>
              <w:right w:val="single" w:sz="4" w:space="0" w:color="auto"/>
            </w:tcBorders>
            <w:hideMark/>
          </w:tcPr>
          <w:p w14:paraId="336B79BE" w14:textId="77777777" w:rsidR="008B627B" w:rsidRDefault="008B627B">
            <w:pPr>
              <w:keepNext/>
              <w:rPr>
                <w:iCs/>
                <w:szCs w:val="22"/>
                <w:lang w:val="en-US"/>
              </w:rPr>
            </w:pPr>
            <w:r>
              <w:rPr>
                <w:b/>
                <w:iCs/>
                <w:sz w:val="21"/>
                <w:szCs w:val="21"/>
                <w:lang w:val="en-GB"/>
              </w:rPr>
              <w:t xml:space="preserve">MedDRA </w:t>
            </w:r>
            <w:r>
              <w:rPr>
                <w:b/>
                <w:bCs/>
                <w:szCs w:val="22"/>
                <w:lang w:val="en-US" w:eastAsia="sv-SE"/>
              </w:rPr>
              <w:t>systemorganklasse</w:t>
            </w:r>
          </w:p>
        </w:tc>
        <w:tc>
          <w:tcPr>
            <w:tcW w:w="3024" w:type="dxa"/>
            <w:tcBorders>
              <w:top w:val="single" w:sz="4" w:space="0" w:color="auto"/>
              <w:left w:val="single" w:sz="4" w:space="0" w:color="auto"/>
              <w:bottom w:val="single" w:sz="4" w:space="0" w:color="auto"/>
              <w:right w:val="single" w:sz="4" w:space="0" w:color="auto"/>
            </w:tcBorders>
            <w:hideMark/>
          </w:tcPr>
          <w:p w14:paraId="3D2A3368" w14:textId="77777777" w:rsidR="008B627B" w:rsidRDefault="008B627B">
            <w:pPr>
              <w:rPr>
                <w:iCs/>
                <w:szCs w:val="22"/>
                <w:lang w:val="en-GB"/>
              </w:rPr>
            </w:pPr>
            <w:r>
              <w:rPr>
                <w:b/>
                <w:bCs/>
                <w:szCs w:val="22"/>
                <w:lang w:val="en-US" w:eastAsia="sv-SE"/>
              </w:rPr>
              <w:t>Bivirkninger</w:t>
            </w:r>
          </w:p>
        </w:tc>
        <w:tc>
          <w:tcPr>
            <w:tcW w:w="3014" w:type="dxa"/>
            <w:tcBorders>
              <w:top w:val="single" w:sz="4" w:space="0" w:color="auto"/>
              <w:left w:val="single" w:sz="4" w:space="0" w:color="auto"/>
              <w:bottom w:val="single" w:sz="4" w:space="0" w:color="auto"/>
              <w:right w:val="single" w:sz="4" w:space="0" w:color="auto"/>
            </w:tcBorders>
            <w:hideMark/>
          </w:tcPr>
          <w:p w14:paraId="1702FE44" w14:textId="77777777" w:rsidR="008B627B" w:rsidRDefault="008B627B">
            <w:pPr>
              <w:rPr>
                <w:b/>
                <w:bCs/>
                <w:iCs/>
                <w:szCs w:val="22"/>
                <w:lang w:val="en-GB"/>
              </w:rPr>
            </w:pPr>
            <w:r>
              <w:rPr>
                <w:b/>
                <w:bCs/>
                <w:iCs/>
                <w:szCs w:val="22"/>
                <w:lang w:val="en-GB"/>
              </w:rPr>
              <w:t>Hyppighed</w:t>
            </w:r>
          </w:p>
        </w:tc>
      </w:tr>
      <w:tr w:rsidR="008B627B" w14:paraId="3007B2A9" w14:textId="77777777" w:rsidTr="008B627B">
        <w:tc>
          <w:tcPr>
            <w:tcW w:w="3023" w:type="dxa"/>
            <w:tcBorders>
              <w:top w:val="single" w:sz="4" w:space="0" w:color="auto"/>
              <w:left w:val="single" w:sz="4" w:space="0" w:color="auto"/>
              <w:bottom w:val="single" w:sz="4" w:space="0" w:color="auto"/>
              <w:right w:val="single" w:sz="4" w:space="0" w:color="auto"/>
            </w:tcBorders>
            <w:hideMark/>
          </w:tcPr>
          <w:p w14:paraId="22EAC390" w14:textId="77777777" w:rsidR="008B627B" w:rsidRDefault="008B627B">
            <w:pPr>
              <w:keepNext/>
              <w:rPr>
                <w:iCs/>
                <w:szCs w:val="22"/>
                <w:lang w:val="en-US"/>
              </w:rPr>
            </w:pPr>
            <w:r>
              <w:rPr>
                <w:iCs/>
                <w:szCs w:val="22"/>
                <w:lang w:val="en-US"/>
              </w:rPr>
              <w:t>Hjerte</w:t>
            </w:r>
          </w:p>
        </w:tc>
        <w:tc>
          <w:tcPr>
            <w:tcW w:w="3024" w:type="dxa"/>
            <w:tcBorders>
              <w:top w:val="single" w:sz="4" w:space="0" w:color="auto"/>
              <w:left w:val="single" w:sz="4" w:space="0" w:color="auto"/>
              <w:bottom w:val="single" w:sz="4" w:space="0" w:color="auto"/>
              <w:right w:val="single" w:sz="4" w:space="0" w:color="auto"/>
            </w:tcBorders>
            <w:hideMark/>
          </w:tcPr>
          <w:p w14:paraId="235D3964" w14:textId="77777777" w:rsidR="008B627B" w:rsidRDefault="008B627B">
            <w:pPr>
              <w:rPr>
                <w:iCs/>
                <w:szCs w:val="22"/>
                <w:lang w:val="en-GB"/>
              </w:rPr>
            </w:pPr>
            <w:r>
              <w:rPr>
                <w:color w:val="212121"/>
                <w:szCs w:val="22"/>
                <w:lang w:val="en-GB" w:eastAsia="sv-SE"/>
              </w:rPr>
              <w:t>Bradykardi</w:t>
            </w:r>
          </w:p>
        </w:tc>
        <w:tc>
          <w:tcPr>
            <w:tcW w:w="3014" w:type="dxa"/>
            <w:tcBorders>
              <w:top w:val="single" w:sz="4" w:space="0" w:color="auto"/>
              <w:left w:val="single" w:sz="4" w:space="0" w:color="auto"/>
              <w:bottom w:val="single" w:sz="4" w:space="0" w:color="auto"/>
              <w:right w:val="single" w:sz="4" w:space="0" w:color="auto"/>
            </w:tcBorders>
            <w:hideMark/>
          </w:tcPr>
          <w:p w14:paraId="4A6F6F25" w14:textId="77777777" w:rsidR="008B627B" w:rsidRDefault="008B627B">
            <w:pPr>
              <w:rPr>
                <w:iCs/>
                <w:szCs w:val="22"/>
                <w:lang w:val="en-GB"/>
              </w:rPr>
            </w:pPr>
            <w:r>
              <w:rPr>
                <w:iCs/>
                <w:szCs w:val="22"/>
                <w:lang w:val="en-GB"/>
              </w:rPr>
              <w:t>Ikke kendt</w:t>
            </w:r>
          </w:p>
        </w:tc>
      </w:tr>
      <w:tr w:rsidR="008B627B" w14:paraId="6DA7A0CD" w14:textId="77777777" w:rsidTr="008B627B">
        <w:trPr>
          <w:trHeight w:val="125"/>
        </w:trPr>
        <w:tc>
          <w:tcPr>
            <w:tcW w:w="3023" w:type="dxa"/>
            <w:vMerge w:val="restart"/>
            <w:tcBorders>
              <w:top w:val="single" w:sz="4" w:space="0" w:color="auto"/>
              <w:left w:val="single" w:sz="4" w:space="0" w:color="auto"/>
              <w:bottom w:val="single" w:sz="4" w:space="0" w:color="auto"/>
              <w:right w:val="single" w:sz="4" w:space="0" w:color="auto"/>
            </w:tcBorders>
          </w:tcPr>
          <w:p w14:paraId="325DDD87" w14:textId="77777777" w:rsidR="008B627B" w:rsidRDefault="008B627B">
            <w:pPr>
              <w:keepNext/>
              <w:rPr>
                <w:iCs/>
                <w:szCs w:val="22"/>
                <w:lang w:val="en-GB"/>
              </w:rPr>
            </w:pPr>
          </w:p>
        </w:tc>
        <w:tc>
          <w:tcPr>
            <w:tcW w:w="3024" w:type="dxa"/>
            <w:tcBorders>
              <w:top w:val="single" w:sz="4" w:space="0" w:color="auto"/>
              <w:left w:val="single" w:sz="4" w:space="0" w:color="auto"/>
              <w:bottom w:val="single" w:sz="4" w:space="0" w:color="auto"/>
              <w:right w:val="single" w:sz="4" w:space="0" w:color="auto"/>
            </w:tcBorders>
            <w:hideMark/>
          </w:tcPr>
          <w:p w14:paraId="56085F9B" w14:textId="77777777" w:rsidR="008B627B" w:rsidRDefault="008B627B">
            <w:pPr>
              <w:rPr>
                <w:iCs/>
                <w:szCs w:val="22"/>
                <w:lang w:val="en-GB"/>
              </w:rPr>
            </w:pPr>
            <w:r>
              <w:rPr>
                <w:color w:val="212121"/>
                <w:szCs w:val="22"/>
                <w:lang w:val="en-GB" w:eastAsia="sv-SE"/>
              </w:rPr>
              <w:t>Arytmi</w:t>
            </w:r>
          </w:p>
        </w:tc>
        <w:tc>
          <w:tcPr>
            <w:tcW w:w="3014" w:type="dxa"/>
            <w:tcBorders>
              <w:top w:val="single" w:sz="4" w:space="0" w:color="auto"/>
              <w:left w:val="single" w:sz="4" w:space="0" w:color="auto"/>
              <w:bottom w:val="single" w:sz="4" w:space="0" w:color="auto"/>
              <w:right w:val="single" w:sz="4" w:space="0" w:color="auto"/>
            </w:tcBorders>
            <w:hideMark/>
          </w:tcPr>
          <w:p w14:paraId="1A4895CD" w14:textId="77777777" w:rsidR="008B627B" w:rsidRDefault="008B627B">
            <w:pPr>
              <w:rPr>
                <w:iCs/>
                <w:szCs w:val="22"/>
                <w:lang w:val="en-GB"/>
              </w:rPr>
            </w:pPr>
            <w:r>
              <w:rPr>
                <w:iCs/>
                <w:szCs w:val="22"/>
                <w:lang w:val="en-GB"/>
              </w:rPr>
              <w:t>Ikke kendt</w:t>
            </w:r>
          </w:p>
        </w:tc>
      </w:tr>
      <w:tr w:rsidR="008B627B" w14:paraId="3A7980C2" w14:textId="77777777" w:rsidTr="008B627B">
        <w:trPr>
          <w:trHeight w:val="1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D0D5AD" w14:textId="77777777" w:rsidR="008B627B" w:rsidRDefault="008B627B">
            <w:pPr>
              <w:rPr>
                <w:iCs/>
                <w:sz w:val="22"/>
                <w:szCs w:val="22"/>
                <w:lang w:val="en-GB"/>
              </w:rPr>
            </w:pPr>
          </w:p>
        </w:tc>
        <w:tc>
          <w:tcPr>
            <w:tcW w:w="3024" w:type="dxa"/>
            <w:tcBorders>
              <w:top w:val="single" w:sz="4" w:space="0" w:color="auto"/>
              <w:left w:val="single" w:sz="4" w:space="0" w:color="auto"/>
              <w:bottom w:val="single" w:sz="4" w:space="0" w:color="auto"/>
              <w:right w:val="single" w:sz="4" w:space="0" w:color="auto"/>
            </w:tcBorders>
            <w:hideMark/>
          </w:tcPr>
          <w:p w14:paraId="30A23BC5" w14:textId="77777777" w:rsidR="008B627B" w:rsidRDefault="008B627B">
            <w:pPr>
              <w:rPr>
                <w:iCs/>
                <w:szCs w:val="22"/>
                <w:lang w:val="en-GB"/>
              </w:rPr>
            </w:pPr>
            <w:r>
              <w:rPr>
                <w:color w:val="212121"/>
                <w:szCs w:val="22"/>
                <w:lang w:val="en-GB" w:eastAsia="sv-SE"/>
              </w:rPr>
              <w:t>Synkope</w:t>
            </w:r>
          </w:p>
        </w:tc>
        <w:tc>
          <w:tcPr>
            <w:tcW w:w="3014" w:type="dxa"/>
            <w:tcBorders>
              <w:top w:val="single" w:sz="4" w:space="0" w:color="auto"/>
              <w:left w:val="single" w:sz="4" w:space="0" w:color="auto"/>
              <w:bottom w:val="single" w:sz="4" w:space="0" w:color="auto"/>
              <w:right w:val="single" w:sz="4" w:space="0" w:color="auto"/>
            </w:tcBorders>
            <w:hideMark/>
          </w:tcPr>
          <w:p w14:paraId="5ADBB9F3" w14:textId="77777777" w:rsidR="008B627B" w:rsidRDefault="008B627B">
            <w:pPr>
              <w:rPr>
                <w:iCs/>
                <w:szCs w:val="22"/>
                <w:lang w:val="en-GB"/>
              </w:rPr>
            </w:pPr>
            <w:r>
              <w:rPr>
                <w:iCs/>
                <w:szCs w:val="22"/>
                <w:lang w:val="en-GB"/>
              </w:rPr>
              <w:t>Ikke kendt</w:t>
            </w:r>
          </w:p>
        </w:tc>
      </w:tr>
      <w:tr w:rsidR="008B627B" w14:paraId="641111D3" w14:textId="77777777" w:rsidTr="008B627B">
        <w:trPr>
          <w:trHeight w:val="770"/>
        </w:trPr>
        <w:tc>
          <w:tcPr>
            <w:tcW w:w="3023" w:type="dxa"/>
            <w:vMerge w:val="restart"/>
            <w:tcBorders>
              <w:top w:val="single" w:sz="4" w:space="0" w:color="auto"/>
              <w:left w:val="single" w:sz="4" w:space="0" w:color="auto"/>
              <w:bottom w:val="single" w:sz="4" w:space="0" w:color="auto"/>
              <w:right w:val="single" w:sz="4" w:space="0" w:color="auto"/>
            </w:tcBorders>
            <w:hideMark/>
          </w:tcPr>
          <w:p w14:paraId="624D7861" w14:textId="77777777" w:rsidR="008B627B" w:rsidRDefault="008B627B">
            <w:pPr>
              <w:keepNext/>
              <w:rPr>
                <w:iCs/>
                <w:szCs w:val="22"/>
                <w:lang w:val="en-GB"/>
              </w:rPr>
            </w:pPr>
            <w:r>
              <w:rPr>
                <w:iCs/>
                <w:szCs w:val="22"/>
                <w:lang w:val="en-GB"/>
              </w:rPr>
              <w:t>Blod og lymfesystem</w:t>
            </w:r>
          </w:p>
        </w:tc>
        <w:tc>
          <w:tcPr>
            <w:tcW w:w="3024" w:type="dxa"/>
            <w:tcBorders>
              <w:top w:val="single" w:sz="4" w:space="0" w:color="auto"/>
              <w:left w:val="single" w:sz="4" w:space="0" w:color="auto"/>
              <w:bottom w:val="single" w:sz="4" w:space="0" w:color="auto"/>
              <w:right w:val="single" w:sz="4" w:space="0" w:color="auto"/>
            </w:tcBorders>
            <w:hideMark/>
          </w:tcPr>
          <w:p w14:paraId="510FFC47" w14:textId="77777777" w:rsidR="008B627B" w:rsidRDefault="008B627B">
            <w:pPr>
              <w:rPr>
                <w:iCs/>
                <w:szCs w:val="22"/>
                <w:lang w:val="en-GB"/>
              </w:rPr>
            </w:pPr>
            <w:r>
              <w:rPr>
                <w:iCs/>
                <w:szCs w:val="22"/>
                <w:lang w:val="en-GB"/>
              </w:rPr>
              <w:t>Blodtryksfald</w:t>
            </w:r>
          </w:p>
        </w:tc>
        <w:tc>
          <w:tcPr>
            <w:tcW w:w="3014" w:type="dxa"/>
            <w:tcBorders>
              <w:top w:val="single" w:sz="4" w:space="0" w:color="auto"/>
              <w:left w:val="single" w:sz="4" w:space="0" w:color="auto"/>
              <w:bottom w:val="single" w:sz="4" w:space="0" w:color="auto"/>
              <w:right w:val="single" w:sz="4" w:space="0" w:color="auto"/>
            </w:tcBorders>
            <w:hideMark/>
          </w:tcPr>
          <w:p w14:paraId="6D4DFDDE" w14:textId="77777777" w:rsidR="008B627B" w:rsidRDefault="008B627B">
            <w:pPr>
              <w:rPr>
                <w:iCs/>
                <w:szCs w:val="22"/>
                <w:lang w:val="en-GB"/>
              </w:rPr>
            </w:pPr>
            <w:r>
              <w:rPr>
                <w:iCs/>
                <w:szCs w:val="22"/>
                <w:lang w:val="en-GB"/>
              </w:rPr>
              <w:t>Ikke kendt</w:t>
            </w:r>
          </w:p>
        </w:tc>
      </w:tr>
      <w:tr w:rsidR="008B627B" w14:paraId="285F1FF3" w14:textId="77777777" w:rsidTr="008B627B">
        <w:trPr>
          <w:trHeight w:val="1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5C64E" w14:textId="77777777" w:rsidR="008B627B" w:rsidRDefault="008B627B">
            <w:pPr>
              <w:rPr>
                <w:iCs/>
                <w:sz w:val="22"/>
                <w:szCs w:val="22"/>
                <w:lang w:val="en-GB"/>
              </w:rPr>
            </w:pPr>
          </w:p>
        </w:tc>
        <w:tc>
          <w:tcPr>
            <w:tcW w:w="3024" w:type="dxa"/>
            <w:tcBorders>
              <w:top w:val="single" w:sz="4" w:space="0" w:color="auto"/>
              <w:left w:val="single" w:sz="4" w:space="0" w:color="auto"/>
              <w:bottom w:val="single" w:sz="4" w:space="0" w:color="auto"/>
              <w:right w:val="single" w:sz="4" w:space="0" w:color="auto"/>
            </w:tcBorders>
            <w:hideMark/>
          </w:tcPr>
          <w:p w14:paraId="72F5ABCC" w14:textId="77777777" w:rsidR="008B627B" w:rsidRDefault="008B627B">
            <w:pPr>
              <w:rPr>
                <w:iCs/>
                <w:szCs w:val="22"/>
                <w:lang w:val="en-GB"/>
              </w:rPr>
            </w:pPr>
            <w:r>
              <w:rPr>
                <w:color w:val="212121"/>
                <w:szCs w:val="22"/>
                <w:lang w:val="en-GB" w:eastAsia="sv-SE"/>
              </w:rPr>
              <w:t>Perifer vasodilation</w:t>
            </w:r>
          </w:p>
        </w:tc>
        <w:tc>
          <w:tcPr>
            <w:tcW w:w="3014" w:type="dxa"/>
            <w:tcBorders>
              <w:top w:val="single" w:sz="4" w:space="0" w:color="auto"/>
              <w:left w:val="single" w:sz="4" w:space="0" w:color="auto"/>
              <w:bottom w:val="single" w:sz="4" w:space="0" w:color="auto"/>
              <w:right w:val="single" w:sz="4" w:space="0" w:color="auto"/>
            </w:tcBorders>
            <w:hideMark/>
          </w:tcPr>
          <w:p w14:paraId="55CCAEEA" w14:textId="77777777" w:rsidR="008B627B" w:rsidRDefault="008B627B">
            <w:pPr>
              <w:rPr>
                <w:iCs/>
                <w:szCs w:val="22"/>
                <w:lang w:val="en-GB"/>
              </w:rPr>
            </w:pPr>
            <w:r>
              <w:rPr>
                <w:iCs/>
                <w:szCs w:val="22"/>
                <w:lang w:val="en-GB"/>
              </w:rPr>
              <w:t>Ikke kendt</w:t>
            </w:r>
          </w:p>
        </w:tc>
      </w:tr>
      <w:tr w:rsidR="008B627B" w14:paraId="6C4B566D" w14:textId="77777777" w:rsidTr="008B627B">
        <w:trPr>
          <w:trHeight w:val="125"/>
        </w:trPr>
        <w:tc>
          <w:tcPr>
            <w:tcW w:w="3023" w:type="dxa"/>
            <w:vMerge w:val="restart"/>
            <w:tcBorders>
              <w:top w:val="single" w:sz="4" w:space="0" w:color="auto"/>
              <w:left w:val="single" w:sz="4" w:space="0" w:color="auto"/>
              <w:bottom w:val="single" w:sz="4" w:space="0" w:color="auto"/>
              <w:right w:val="single" w:sz="4" w:space="0" w:color="auto"/>
            </w:tcBorders>
            <w:hideMark/>
          </w:tcPr>
          <w:p w14:paraId="6459780E" w14:textId="77777777" w:rsidR="008B627B" w:rsidRDefault="008B627B">
            <w:pPr>
              <w:keepNext/>
              <w:rPr>
                <w:iCs/>
                <w:szCs w:val="22"/>
                <w:lang w:val="en-GB"/>
              </w:rPr>
            </w:pPr>
            <w:r>
              <w:rPr>
                <w:iCs/>
                <w:szCs w:val="22"/>
                <w:lang w:val="en-GB"/>
              </w:rPr>
              <w:t>Mave-tarm-kanalen</w:t>
            </w:r>
          </w:p>
        </w:tc>
        <w:tc>
          <w:tcPr>
            <w:tcW w:w="3024" w:type="dxa"/>
            <w:tcBorders>
              <w:top w:val="single" w:sz="4" w:space="0" w:color="auto"/>
              <w:left w:val="single" w:sz="4" w:space="0" w:color="auto"/>
              <w:bottom w:val="single" w:sz="4" w:space="0" w:color="auto"/>
              <w:right w:val="single" w:sz="4" w:space="0" w:color="auto"/>
            </w:tcBorders>
            <w:hideMark/>
          </w:tcPr>
          <w:p w14:paraId="575F9590" w14:textId="77777777" w:rsidR="008B627B" w:rsidRDefault="008B627B">
            <w:pPr>
              <w:rPr>
                <w:iCs/>
                <w:szCs w:val="22"/>
                <w:lang w:val="en-GB"/>
              </w:rPr>
            </w:pPr>
            <w:r>
              <w:rPr>
                <w:iCs/>
                <w:szCs w:val="22"/>
                <w:lang w:val="en-GB"/>
              </w:rPr>
              <w:t>Forstoppelse</w:t>
            </w:r>
          </w:p>
        </w:tc>
        <w:tc>
          <w:tcPr>
            <w:tcW w:w="3014" w:type="dxa"/>
            <w:tcBorders>
              <w:top w:val="single" w:sz="4" w:space="0" w:color="auto"/>
              <w:left w:val="single" w:sz="4" w:space="0" w:color="auto"/>
              <w:bottom w:val="single" w:sz="4" w:space="0" w:color="auto"/>
              <w:right w:val="single" w:sz="4" w:space="0" w:color="auto"/>
            </w:tcBorders>
            <w:hideMark/>
          </w:tcPr>
          <w:p w14:paraId="08F9A569" w14:textId="77777777" w:rsidR="008B627B" w:rsidRDefault="008B627B">
            <w:pPr>
              <w:rPr>
                <w:iCs/>
                <w:szCs w:val="22"/>
                <w:lang w:val="en-GB"/>
              </w:rPr>
            </w:pPr>
            <w:r>
              <w:rPr>
                <w:iCs/>
                <w:szCs w:val="22"/>
                <w:lang w:val="en-GB"/>
              </w:rPr>
              <w:t>Ikke kendt</w:t>
            </w:r>
          </w:p>
        </w:tc>
      </w:tr>
      <w:tr w:rsidR="008B627B" w14:paraId="0038931C" w14:textId="77777777" w:rsidTr="008B627B">
        <w:trPr>
          <w:trHeight w:val="1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F9706" w14:textId="77777777" w:rsidR="008B627B" w:rsidRDefault="008B627B">
            <w:pPr>
              <w:rPr>
                <w:iCs/>
                <w:sz w:val="22"/>
                <w:szCs w:val="22"/>
                <w:lang w:val="en-GB"/>
              </w:rPr>
            </w:pPr>
          </w:p>
        </w:tc>
        <w:tc>
          <w:tcPr>
            <w:tcW w:w="3024" w:type="dxa"/>
            <w:tcBorders>
              <w:top w:val="single" w:sz="4" w:space="0" w:color="auto"/>
              <w:left w:val="single" w:sz="4" w:space="0" w:color="auto"/>
              <w:bottom w:val="single" w:sz="4" w:space="0" w:color="auto"/>
              <w:right w:val="single" w:sz="4" w:space="0" w:color="auto"/>
            </w:tcBorders>
            <w:hideMark/>
          </w:tcPr>
          <w:p w14:paraId="1F918BBC" w14:textId="77777777" w:rsidR="008B627B" w:rsidRDefault="008B627B">
            <w:pPr>
              <w:rPr>
                <w:iCs/>
                <w:szCs w:val="22"/>
                <w:lang w:val="en-GB"/>
              </w:rPr>
            </w:pPr>
            <w:r>
              <w:rPr>
                <w:color w:val="212121"/>
                <w:szCs w:val="22"/>
                <w:lang w:val="en-GB" w:eastAsia="sv-SE"/>
              </w:rPr>
              <w:t>Abdominalsmerter</w:t>
            </w:r>
          </w:p>
        </w:tc>
        <w:tc>
          <w:tcPr>
            <w:tcW w:w="3014" w:type="dxa"/>
            <w:tcBorders>
              <w:top w:val="single" w:sz="4" w:space="0" w:color="auto"/>
              <w:left w:val="single" w:sz="4" w:space="0" w:color="auto"/>
              <w:bottom w:val="single" w:sz="4" w:space="0" w:color="auto"/>
              <w:right w:val="single" w:sz="4" w:space="0" w:color="auto"/>
            </w:tcBorders>
            <w:hideMark/>
          </w:tcPr>
          <w:p w14:paraId="2DAA7ADF" w14:textId="77777777" w:rsidR="008B627B" w:rsidRDefault="008B627B">
            <w:pPr>
              <w:rPr>
                <w:iCs/>
                <w:szCs w:val="22"/>
                <w:lang w:val="en-GB"/>
              </w:rPr>
            </w:pPr>
            <w:r>
              <w:rPr>
                <w:iCs/>
                <w:szCs w:val="22"/>
                <w:lang w:val="en-GB"/>
              </w:rPr>
              <w:t>Ikke kendt</w:t>
            </w:r>
          </w:p>
        </w:tc>
      </w:tr>
      <w:tr w:rsidR="008B627B" w14:paraId="02364B6E" w14:textId="77777777" w:rsidTr="008B627B">
        <w:trPr>
          <w:trHeight w:val="1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704156" w14:textId="77777777" w:rsidR="008B627B" w:rsidRDefault="008B627B">
            <w:pPr>
              <w:rPr>
                <w:iCs/>
                <w:sz w:val="22"/>
                <w:szCs w:val="22"/>
                <w:lang w:val="en-GB"/>
              </w:rPr>
            </w:pPr>
          </w:p>
        </w:tc>
        <w:tc>
          <w:tcPr>
            <w:tcW w:w="3024" w:type="dxa"/>
            <w:tcBorders>
              <w:top w:val="single" w:sz="4" w:space="0" w:color="auto"/>
              <w:left w:val="single" w:sz="4" w:space="0" w:color="auto"/>
              <w:bottom w:val="single" w:sz="4" w:space="0" w:color="auto"/>
              <w:right w:val="single" w:sz="4" w:space="0" w:color="auto"/>
            </w:tcBorders>
            <w:hideMark/>
          </w:tcPr>
          <w:p w14:paraId="0E874182" w14:textId="77777777" w:rsidR="008B627B" w:rsidRDefault="008B627B">
            <w:pPr>
              <w:rPr>
                <w:iCs/>
                <w:szCs w:val="22"/>
                <w:lang w:val="en-GB"/>
              </w:rPr>
            </w:pPr>
            <w:r>
              <w:rPr>
                <w:iCs/>
                <w:szCs w:val="22"/>
                <w:lang w:val="en-GB"/>
              </w:rPr>
              <w:t>Opkastning</w:t>
            </w:r>
          </w:p>
        </w:tc>
        <w:tc>
          <w:tcPr>
            <w:tcW w:w="3014" w:type="dxa"/>
            <w:tcBorders>
              <w:top w:val="single" w:sz="4" w:space="0" w:color="auto"/>
              <w:left w:val="single" w:sz="4" w:space="0" w:color="auto"/>
              <w:bottom w:val="single" w:sz="4" w:space="0" w:color="auto"/>
              <w:right w:val="single" w:sz="4" w:space="0" w:color="auto"/>
            </w:tcBorders>
            <w:hideMark/>
          </w:tcPr>
          <w:p w14:paraId="75E8E216" w14:textId="77777777" w:rsidR="008B627B" w:rsidRDefault="008B627B">
            <w:pPr>
              <w:rPr>
                <w:iCs/>
                <w:szCs w:val="22"/>
                <w:lang w:val="en-GB"/>
              </w:rPr>
            </w:pPr>
            <w:r>
              <w:rPr>
                <w:iCs/>
                <w:szCs w:val="22"/>
                <w:lang w:val="en-GB"/>
              </w:rPr>
              <w:t>Ikke kendt</w:t>
            </w:r>
          </w:p>
        </w:tc>
      </w:tr>
      <w:tr w:rsidR="008B627B" w14:paraId="08BC0B5F" w14:textId="77777777" w:rsidTr="008B627B">
        <w:trPr>
          <w:trHeight w:val="1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F87421" w14:textId="77777777" w:rsidR="008B627B" w:rsidRDefault="008B627B">
            <w:pPr>
              <w:rPr>
                <w:iCs/>
                <w:sz w:val="22"/>
                <w:szCs w:val="22"/>
                <w:lang w:val="en-GB"/>
              </w:rPr>
            </w:pPr>
          </w:p>
        </w:tc>
        <w:tc>
          <w:tcPr>
            <w:tcW w:w="3024" w:type="dxa"/>
            <w:tcBorders>
              <w:top w:val="single" w:sz="4" w:space="0" w:color="auto"/>
              <w:left w:val="single" w:sz="4" w:space="0" w:color="auto"/>
              <w:bottom w:val="single" w:sz="4" w:space="0" w:color="auto"/>
              <w:right w:val="single" w:sz="4" w:space="0" w:color="auto"/>
            </w:tcBorders>
          </w:tcPr>
          <w:p w14:paraId="118C0689" w14:textId="77777777" w:rsidR="008B627B" w:rsidRDefault="008B627B">
            <w:pPr>
              <w:rPr>
                <w:iCs/>
                <w:szCs w:val="22"/>
                <w:lang w:val="en-GB"/>
              </w:rPr>
            </w:pPr>
          </w:p>
        </w:tc>
        <w:tc>
          <w:tcPr>
            <w:tcW w:w="3014" w:type="dxa"/>
            <w:tcBorders>
              <w:top w:val="single" w:sz="4" w:space="0" w:color="auto"/>
              <w:left w:val="single" w:sz="4" w:space="0" w:color="auto"/>
              <w:bottom w:val="single" w:sz="4" w:space="0" w:color="auto"/>
              <w:right w:val="single" w:sz="4" w:space="0" w:color="auto"/>
            </w:tcBorders>
            <w:hideMark/>
          </w:tcPr>
          <w:p w14:paraId="43E37994" w14:textId="77777777" w:rsidR="008B627B" w:rsidRDefault="008B627B">
            <w:pPr>
              <w:rPr>
                <w:iCs/>
                <w:szCs w:val="22"/>
                <w:lang w:val="en-GB"/>
              </w:rPr>
            </w:pPr>
            <w:r>
              <w:rPr>
                <w:iCs/>
                <w:szCs w:val="22"/>
                <w:lang w:val="en-GB"/>
              </w:rPr>
              <w:t>Ikke kendt</w:t>
            </w:r>
          </w:p>
        </w:tc>
      </w:tr>
      <w:tr w:rsidR="008B627B" w14:paraId="6715A1EE" w14:textId="77777777" w:rsidTr="008B627B">
        <w:trPr>
          <w:trHeight w:val="125"/>
        </w:trPr>
        <w:tc>
          <w:tcPr>
            <w:tcW w:w="3023" w:type="dxa"/>
            <w:vMerge w:val="restart"/>
            <w:tcBorders>
              <w:top w:val="single" w:sz="4" w:space="0" w:color="auto"/>
              <w:left w:val="single" w:sz="4" w:space="0" w:color="auto"/>
              <w:bottom w:val="single" w:sz="4" w:space="0" w:color="auto"/>
              <w:right w:val="single" w:sz="4" w:space="0" w:color="auto"/>
            </w:tcBorders>
            <w:hideMark/>
          </w:tcPr>
          <w:p w14:paraId="310CDE81" w14:textId="77777777" w:rsidR="008B627B" w:rsidRDefault="008B627B">
            <w:pPr>
              <w:keepNext/>
              <w:rPr>
                <w:iCs/>
                <w:szCs w:val="22"/>
                <w:lang w:val="sv-SE"/>
              </w:rPr>
            </w:pPr>
            <w:r w:rsidRPr="008B627B">
              <w:rPr>
                <w:color w:val="212121"/>
                <w:szCs w:val="22"/>
                <w:lang w:eastAsia="sv-SE"/>
              </w:rPr>
              <w:t>Almene symptomer og reaktioner på administrationsstedet</w:t>
            </w:r>
          </w:p>
        </w:tc>
        <w:tc>
          <w:tcPr>
            <w:tcW w:w="3024" w:type="dxa"/>
            <w:tcBorders>
              <w:top w:val="single" w:sz="4" w:space="0" w:color="auto"/>
              <w:left w:val="single" w:sz="4" w:space="0" w:color="auto"/>
              <w:bottom w:val="single" w:sz="4" w:space="0" w:color="auto"/>
              <w:right w:val="single" w:sz="4" w:space="0" w:color="auto"/>
            </w:tcBorders>
            <w:hideMark/>
          </w:tcPr>
          <w:p w14:paraId="55C0CE08" w14:textId="77777777" w:rsidR="008B627B" w:rsidRDefault="008B627B">
            <w:pPr>
              <w:rPr>
                <w:iCs/>
                <w:szCs w:val="22"/>
                <w:lang w:val="sv-SE"/>
              </w:rPr>
            </w:pPr>
            <w:r>
              <w:rPr>
                <w:color w:val="212121"/>
                <w:szCs w:val="22"/>
                <w:lang w:val="sv-SE" w:eastAsia="sv-SE"/>
              </w:rPr>
              <w:t>Lokale reaktioner såsom rødme af huden eller udslæt og smerter ved extravasation, der kan føre til svær nekrosis</w:t>
            </w:r>
          </w:p>
        </w:tc>
        <w:tc>
          <w:tcPr>
            <w:tcW w:w="3014" w:type="dxa"/>
            <w:tcBorders>
              <w:top w:val="single" w:sz="4" w:space="0" w:color="auto"/>
              <w:left w:val="single" w:sz="4" w:space="0" w:color="auto"/>
              <w:bottom w:val="single" w:sz="4" w:space="0" w:color="auto"/>
              <w:right w:val="single" w:sz="4" w:space="0" w:color="auto"/>
            </w:tcBorders>
            <w:hideMark/>
          </w:tcPr>
          <w:p w14:paraId="60ACFA92" w14:textId="77777777" w:rsidR="008B627B" w:rsidRDefault="008B627B">
            <w:pPr>
              <w:rPr>
                <w:iCs/>
                <w:szCs w:val="22"/>
                <w:lang w:val="en-GB"/>
              </w:rPr>
            </w:pPr>
            <w:r>
              <w:rPr>
                <w:iCs/>
                <w:szCs w:val="22"/>
                <w:lang w:val="en-GB"/>
              </w:rPr>
              <w:t>Ikke kendt</w:t>
            </w:r>
          </w:p>
        </w:tc>
      </w:tr>
      <w:tr w:rsidR="008B627B" w14:paraId="79F20E03" w14:textId="77777777" w:rsidTr="008B627B">
        <w:trPr>
          <w:trHeight w:val="1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F22112" w14:textId="77777777" w:rsidR="008B627B" w:rsidRDefault="008B627B">
            <w:pPr>
              <w:rPr>
                <w:iCs/>
                <w:sz w:val="22"/>
                <w:szCs w:val="22"/>
                <w:lang w:val="sv-SE"/>
              </w:rPr>
            </w:pPr>
          </w:p>
        </w:tc>
        <w:tc>
          <w:tcPr>
            <w:tcW w:w="3024" w:type="dxa"/>
            <w:tcBorders>
              <w:top w:val="single" w:sz="4" w:space="0" w:color="auto"/>
              <w:left w:val="single" w:sz="4" w:space="0" w:color="auto"/>
              <w:bottom w:val="single" w:sz="4" w:space="0" w:color="auto"/>
              <w:right w:val="single" w:sz="4" w:space="0" w:color="auto"/>
            </w:tcBorders>
          </w:tcPr>
          <w:p w14:paraId="3AEB81D0" w14:textId="77777777" w:rsidR="008B627B" w:rsidRDefault="008B627B">
            <w:pPr>
              <w:rPr>
                <w:color w:val="212121"/>
                <w:szCs w:val="22"/>
                <w:lang w:val="en-US" w:eastAsia="sv-SE"/>
              </w:rPr>
            </w:pPr>
            <w:r>
              <w:rPr>
                <w:color w:val="212121"/>
                <w:szCs w:val="22"/>
                <w:lang w:val="en-US" w:eastAsia="sv-SE"/>
              </w:rPr>
              <w:t>Varmefølelse, calcinosis cutis</w:t>
            </w:r>
          </w:p>
          <w:p w14:paraId="77DFCCF8" w14:textId="77777777" w:rsidR="008B627B" w:rsidRDefault="008B627B">
            <w:pPr>
              <w:rPr>
                <w:iCs/>
                <w:szCs w:val="22"/>
                <w:lang w:val="en-US"/>
              </w:rPr>
            </w:pPr>
          </w:p>
        </w:tc>
        <w:tc>
          <w:tcPr>
            <w:tcW w:w="3014" w:type="dxa"/>
            <w:tcBorders>
              <w:top w:val="single" w:sz="4" w:space="0" w:color="auto"/>
              <w:left w:val="single" w:sz="4" w:space="0" w:color="auto"/>
              <w:bottom w:val="single" w:sz="4" w:space="0" w:color="auto"/>
              <w:right w:val="single" w:sz="4" w:space="0" w:color="auto"/>
            </w:tcBorders>
            <w:hideMark/>
          </w:tcPr>
          <w:p w14:paraId="5FC74013" w14:textId="77777777" w:rsidR="008B627B" w:rsidRDefault="008B627B">
            <w:pPr>
              <w:rPr>
                <w:iCs/>
                <w:szCs w:val="22"/>
                <w:lang w:val="en-GB"/>
              </w:rPr>
            </w:pPr>
            <w:r>
              <w:rPr>
                <w:iCs/>
                <w:szCs w:val="22"/>
                <w:lang w:val="en-GB"/>
              </w:rPr>
              <w:t>Ikke kendt</w:t>
            </w:r>
          </w:p>
        </w:tc>
      </w:tr>
    </w:tbl>
    <w:p w14:paraId="5610859F" w14:textId="77777777" w:rsidR="008B627B" w:rsidRPr="008B627B" w:rsidRDefault="008B627B" w:rsidP="008B627B">
      <w:pPr>
        <w:ind w:left="851"/>
        <w:rPr>
          <w:i/>
          <w:sz w:val="24"/>
          <w:szCs w:val="24"/>
        </w:rPr>
      </w:pPr>
    </w:p>
    <w:p w14:paraId="52E2FA67" w14:textId="77777777" w:rsidR="008B627B" w:rsidRPr="008B627B" w:rsidRDefault="008B627B" w:rsidP="008B627B">
      <w:pPr>
        <w:keepNext/>
        <w:autoSpaceDE w:val="0"/>
        <w:autoSpaceDN w:val="0"/>
        <w:adjustRightInd w:val="0"/>
        <w:ind w:left="851"/>
        <w:rPr>
          <w:sz w:val="24"/>
          <w:szCs w:val="24"/>
          <w:u w:val="single"/>
        </w:rPr>
      </w:pPr>
      <w:r w:rsidRPr="008B627B">
        <w:rPr>
          <w:sz w:val="24"/>
          <w:szCs w:val="24"/>
          <w:u w:val="single"/>
        </w:rPr>
        <w:t>Indberetning af formodede bivirkninger</w:t>
      </w:r>
    </w:p>
    <w:p w14:paraId="68AD32DB" w14:textId="3A23404C" w:rsidR="008B627B" w:rsidRPr="008B627B" w:rsidRDefault="008B627B" w:rsidP="008B627B">
      <w:pPr>
        <w:autoSpaceDE w:val="0"/>
        <w:autoSpaceDN w:val="0"/>
        <w:adjustRightInd w:val="0"/>
        <w:ind w:left="851"/>
        <w:rPr>
          <w:sz w:val="24"/>
          <w:szCs w:val="24"/>
        </w:rPr>
      </w:pPr>
      <w:r w:rsidRPr="008B627B">
        <w:rPr>
          <w:sz w:val="24"/>
          <w:szCs w:val="24"/>
        </w:rPr>
        <w:t>Når lægemidlet er godkendt, er indberetning af formodede bivirkninger vigtig. Det muliggør løbende overvågning af benefit/risk-forholdet for lægemidlet. Sundhedspersoner anmodes om at indberette alle formodede bivirkninger via</w:t>
      </w:r>
      <w:r>
        <w:rPr>
          <w:sz w:val="24"/>
          <w:szCs w:val="24"/>
        </w:rPr>
        <w:t>:</w:t>
      </w:r>
    </w:p>
    <w:p w14:paraId="5784FBE9" w14:textId="77777777" w:rsidR="008B627B" w:rsidRPr="008B627B" w:rsidRDefault="008B627B" w:rsidP="008B627B">
      <w:pPr>
        <w:autoSpaceDE w:val="0"/>
        <w:autoSpaceDN w:val="0"/>
        <w:adjustRightInd w:val="0"/>
        <w:ind w:left="851"/>
        <w:rPr>
          <w:sz w:val="24"/>
          <w:szCs w:val="24"/>
        </w:rPr>
      </w:pPr>
    </w:p>
    <w:p w14:paraId="23C0F941" w14:textId="77777777" w:rsidR="008B627B" w:rsidRPr="008B627B" w:rsidRDefault="008B627B" w:rsidP="008B627B">
      <w:pPr>
        <w:autoSpaceDE w:val="0"/>
        <w:autoSpaceDN w:val="0"/>
        <w:adjustRightInd w:val="0"/>
        <w:ind w:left="851"/>
        <w:rPr>
          <w:sz w:val="24"/>
          <w:szCs w:val="24"/>
        </w:rPr>
      </w:pPr>
      <w:r w:rsidRPr="008B627B">
        <w:rPr>
          <w:sz w:val="24"/>
          <w:szCs w:val="24"/>
        </w:rPr>
        <w:t>Lægemiddelstyrelsen</w:t>
      </w:r>
    </w:p>
    <w:p w14:paraId="3D2703C3" w14:textId="77777777" w:rsidR="008B627B" w:rsidRPr="008B627B" w:rsidRDefault="008B627B" w:rsidP="008B627B">
      <w:pPr>
        <w:autoSpaceDE w:val="0"/>
        <w:autoSpaceDN w:val="0"/>
        <w:adjustRightInd w:val="0"/>
        <w:ind w:left="851"/>
        <w:rPr>
          <w:sz w:val="24"/>
          <w:szCs w:val="24"/>
        </w:rPr>
      </w:pPr>
      <w:r w:rsidRPr="008B627B">
        <w:rPr>
          <w:sz w:val="24"/>
          <w:szCs w:val="24"/>
        </w:rPr>
        <w:t>Axel Heides Gade 1</w:t>
      </w:r>
    </w:p>
    <w:p w14:paraId="1CC81ED1" w14:textId="77777777" w:rsidR="008B627B" w:rsidRPr="008B627B" w:rsidRDefault="008B627B" w:rsidP="008B627B">
      <w:pPr>
        <w:autoSpaceDE w:val="0"/>
        <w:autoSpaceDN w:val="0"/>
        <w:adjustRightInd w:val="0"/>
        <w:ind w:left="851"/>
        <w:rPr>
          <w:sz w:val="24"/>
          <w:szCs w:val="24"/>
        </w:rPr>
      </w:pPr>
      <w:r w:rsidRPr="008B627B">
        <w:rPr>
          <w:sz w:val="24"/>
          <w:szCs w:val="24"/>
        </w:rPr>
        <w:t>DK-2300 København S</w:t>
      </w:r>
    </w:p>
    <w:p w14:paraId="4452FCA3" w14:textId="77777777" w:rsidR="008B627B" w:rsidRPr="008B627B" w:rsidRDefault="008B627B" w:rsidP="008B627B">
      <w:pPr>
        <w:autoSpaceDE w:val="0"/>
        <w:autoSpaceDN w:val="0"/>
        <w:adjustRightInd w:val="0"/>
        <w:ind w:left="851"/>
        <w:rPr>
          <w:sz w:val="24"/>
          <w:szCs w:val="24"/>
        </w:rPr>
      </w:pPr>
      <w:r w:rsidRPr="008B627B">
        <w:rPr>
          <w:sz w:val="24"/>
          <w:szCs w:val="24"/>
        </w:rPr>
        <w:t>Websted: www.meldenbivirkning.dk</w:t>
      </w:r>
    </w:p>
    <w:p w14:paraId="11CAF32A" w14:textId="77777777" w:rsidR="009260DE" w:rsidRPr="008B627B" w:rsidRDefault="009260DE" w:rsidP="008B627B">
      <w:pPr>
        <w:tabs>
          <w:tab w:val="left" w:pos="851"/>
        </w:tabs>
        <w:ind w:left="851"/>
        <w:rPr>
          <w:sz w:val="24"/>
          <w:szCs w:val="24"/>
        </w:rPr>
      </w:pPr>
    </w:p>
    <w:p w14:paraId="31DF510D"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1DDED4ED" w14:textId="77777777" w:rsidR="00676D95" w:rsidRPr="00676D95" w:rsidRDefault="00676D95" w:rsidP="00676D95">
      <w:pPr>
        <w:tabs>
          <w:tab w:val="left" w:pos="851"/>
        </w:tabs>
        <w:ind w:left="851"/>
        <w:rPr>
          <w:sz w:val="24"/>
          <w:szCs w:val="24"/>
        </w:rPr>
      </w:pPr>
    </w:p>
    <w:p w14:paraId="089B5966" w14:textId="77777777" w:rsidR="00676D95" w:rsidRPr="00676D95" w:rsidRDefault="00676D95" w:rsidP="00676D95">
      <w:pPr>
        <w:tabs>
          <w:tab w:val="left" w:pos="851"/>
        </w:tabs>
        <w:ind w:left="851"/>
        <w:rPr>
          <w:i/>
          <w:iCs/>
          <w:sz w:val="24"/>
          <w:szCs w:val="24"/>
        </w:rPr>
      </w:pPr>
      <w:r w:rsidRPr="00676D95">
        <w:rPr>
          <w:i/>
          <w:iCs/>
          <w:sz w:val="24"/>
          <w:szCs w:val="24"/>
        </w:rPr>
        <w:t>Symptomer</w:t>
      </w:r>
    </w:p>
    <w:p w14:paraId="4AC1549A" w14:textId="77777777" w:rsidR="00676D95" w:rsidRPr="00676D95" w:rsidRDefault="00676D95" w:rsidP="00676D95">
      <w:pPr>
        <w:tabs>
          <w:tab w:val="left" w:pos="851"/>
        </w:tabs>
        <w:ind w:left="851"/>
        <w:rPr>
          <w:sz w:val="24"/>
          <w:szCs w:val="24"/>
        </w:rPr>
      </w:pPr>
      <w:r w:rsidRPr="00676D95">
        <w:rPr>
          <w:sz w:val="24"/>
          <w:szCs w:val="24"/>
        </w:rPr>
        <w:t>Der kan opstå hypercalcæmi ved administration af høje doser af calciumsalte, særligt for patienter med nyresvigt. Symptomer, der forbindes med hypercalcæmi, inkluderer tørst, kvalme, opkastning, forstoppelse, polyuri, abdominalsmerter, muskelsvaghed, psykiske forstyrrelser og i svære tilfælde hjertearytmi og koma.</w:t>
      </w:r>
    </w:p>
    <w:p w14:paraId="75D77AC6" w14:textId="77777777" w:rsidR="00676D95" w:rsidRPr="00676D95" w:rsidRDefault="00676D95" w:rsidP="00676D95">
      <w:pPr>
        <w:tabs>
          <w:tab w:val="left" w:pos="851"/>
        </w:tabs>
        <w:ind w:left="851"/>
        <w:rPr>
          <w:sz w:val="24"/>
          <w:szCs w:val="24"/>
        </w:rPr>
      </w:pPr>
    </w:p>
    <w:p w14:paraId="668DEE2C" w14:textId="77777777" w:rsidR="00676D95" w:rsidRPr="00676D95" w:rsidRDefault="00676D95" w:rsidP="00676D95">
      <w:pPr>
        <w:tabs>
          <w:tab w:val="left" w:pos="851"/>
        </w:tabs>
        <w:ind w:left="851"/>
        <w:rPr>
          <w:i/>
          <w:iCs/>
          <w:sz w:val="24"/>
          <w:szCs w:val="24"/>
        </w:rPr>
      </w:pPr>
      <w:r w:rsidRPr="00676D95">
        <w:rPr>
          <w:i/>
          <w:iCs/>
          <w:sz w:val="24"/>
          <w:szCs w:val="24"/>
        </w:rPr>
        <w:t>Behandling</w:t>
      </w:r>
    </w:p>
    <w:p w14:paraId="6DF6EBB8" w14:textId="77777777" w:rsidR="00676D95" w:rsidRPr="00676D95" w:rsidRDefault="00676D95" w:rsidP="00676D95">
      <w:pPr>
        <w:tabs>
          <w:tab w:val="left" w:pos="851"/>
        </w:tabs>
        <w:ind w:left="851"/>
        <w:rPr>
          <w:sz w:val="24"/>
          <w:szCs w:val="24"/>
        </w:rPr>
      </w:pPr>
      <w:r w:rsidRPr="00676D95">
        <w:rPr>
          <w:sz w:val="24"/>
          <w:szCs w:val="24"/>
        </w:rPr>
        <w:t>Plasmakoncentrationer af ioniseret calcium, der overstiger 1,30 mmol/l betragtes som hypercalcæmi. Som vejledende for behandlingen bør plasmakoncentrationer af calcium monitoreres med hyppige intervaller.</w:t>
      </w:r>
    </w:p>
    <w:p w14:paraId="34BDD49A" w14:textId="77777777" w:rsidR="00676D95" w:rsidRPr="00676D95" w:rsidRDefault="00676D95" w:rsidP="00676D95">
      <w:pPr>
        <w:tabs>
          <w:tab w:val="left" w:pos="851"/>
        </w:tabs>
        <w:ind w:left="851"/>
        <w:rPr>
          <w:sz w:val="24"/>
          <w:szCs w:val="24"/>
        </w:rPr>
      </w:pPr>
      <w:r w:rsidRPr="00676D95">
        <w:rPr>
          <w:sz w:val="24"/>
          <w:szCs w:val="24"/>
        </w:rPr>
        <w:t>Ved milde tilfælde af overdosering vil behandlingen involvere øjeblikkelig seponering af calciumchlorid og andre calciumholdige lægemidler.</w:t>
      </w:r>
    </w:p>
    <w:p w14:paraId="7191DB01" w14:textId="77777777" w:rsidR="00676D95" w:rsidRPr="00676D95" w:rsidRDefault="00676D95" w:rsidP="00676D95">
      <w:pPr>
        <w:tabs>
          <w:tab w:val="left" w:pos="851"/>
        </w:tabs>
        <w:ind w:left="851"/>
        <w:rPr>
          <w:sz w:val="24"/>
          <w:szCs w:val="24"/>
        </w:rPr>
      </w:pPr>
    </w:p>
    <w:p w14:paraId="038BA503" w14:textId="77777777" w:rsidR="00676D95" w:rsidRPr="00676D95" w:rsidRDefault="00676D95" w:rsidP="00676D95">
      <w:pPr>
        <w:numPr>
          <w:ilvl w:val="0"/>
          <w:numId w:val="7"/>
        </w:numPr>
        <w:tabs>
          <w:tab w:val="left" w:pos="851"/>
        </w:tabs>
        <w:ind w:left="1134" w:hanging="283"/>
        <w:rPr>
          <w:sz w:val="24"/>
          <w:szCs w:val="24"/>
        </w:rPr>
      </w:pPr>
      <w:r w:rsidRPr="00676D95">
        <w:rPr>
          <w:sz w:val="24"/>
          <w:szCs w:val="24"/>
        </w:rPr>
        <w:t>I mere alvorlige tilfælde kan følgende metoder være påkrævet for at reducere calciumkoncentrationen i plasma: Intravenøs rehydrering med NaCl.</w:t>
      </w:r>
    </w:p>
    <w:p w14:paraId="1F460A15" w14:textId="77777777" w:rsidR="00676D95" w:rsidRPr="00676D95" w:rsidRDefault="00676D95" w:rsidP="00676D95">
      <w:pPr>
        <w:numPr>
          <w:ilvl w:val="0"/>
          <w:numId w:val="7"/>
        </w:numPr>
        <w:tabs>
          <w:tab w:val="left" w:pos="851"/>
        </w:tabs>
        <w:ind w:left="1134" w:hanging="283"/>
        <w:rPr>
          <w:sz w:val="24"/>
          <w:szCs w:val="24"/>
        </w:rPr>
      </w:pPr>
      <w:r w:rsidRPr="00676D95">
        <w:rPr>
          <w:sz w:val="24"/>
          <w:szCs w:val="24"/>
        </w:rPr>
        <w:t>Anvendelse af non-thiazider</w:t>
      </w:r>
    </w:p>
    <w:p w14:paraId="5CFD7EA0" w14:textId="77777777" w:rsidR="00676D95" w:rsidRPr="00676D95" w:rsidRDefault="00676D95" w:rsidP="00676D95">
      <w:pPr>
        <w:numPr>
          <w:ilvl w:val="0"/>
          <w:numId w:val="7"/>
        </w:numPr>
        <w:tabs>
          <w:tab w:val="left" w:pos="851"/>
        </w:tabs>
        <w:ind w:left="1134" w:hanging="283"/>
        <w:rPr>
          <w:sz w:val="24"/>
          <w:szCs w:val="24"/>
        </w:rPr>
      </w:pPr>
      <w:r w:rsidRPr="00676D95">
        <w:rPr>
          <w:sz w:val="24"/>
          <w:szCs w:val="24"/>
        </w:rPr>
        <w:t>Dialyse ved meget alvorlig eller livstruende overdosis.</w:t>
      </w:r>
    </w:p>
    <w:p w14:paraId="03EFA668" w14:textId="77777777" w:rsidR="00676D95" w:rsidRPr="00676D95" w:rsidRDefault="00676D95" w:rsidP="00676D95">
      <w:pPr>
        <w:tabs>
          <w:tab w:val="left" w:pos="851"/>
        </w:tabs>
        <w:ind w:left="851"/>
        <w:rPr>
          <w:sz w:val="24"/>
          <w:szCs w:val="24"/>
        </w:rPr>
      </w:pPr>
    </w:p>
    <w:p w14:paraId="79FBC6E3" w14:textId="77777777" w:rsidR="009260DE" w:rsidRPr="00C84483" w:rsidRDefault="009260DE" w:rsidP="009260DE">
      <w:pPr>
        <w:tabs>
          <w:tab w:val="left" w:pos="851"/>
        </w:tabs>
        <w:ind w:left="851" w:hanging="851"/>
        <w:rPr>
          <w:b/>
          <w:sz w:val="24"/>
          <w:szCs w:val="24"/>
        </w:rPr>
      </w:pPr>
      <w:r w:rsidRPr="00C84483">
        <w:rPr>
          <w:b/>
          <w:sz w:val="24"/>
          <w:szCs w:val="24"/>
        </w:rPr>
        <w:lastRenderedPageBreak/>
        <w:t>4.10</w:t>
      </w:r>
      <w:r w:rsidRPr="00C84483">
        <w:rPr>
          <w:b/>
          <w:sz w:val="24"/>
          <w:szCs w:val="24"/>
        </w:rPr>
        <w:tab/>
        <w:t>Udlevering</w:t>
      </w:r>
    </w:p>
    <w:p w14:paraId="4B09E9E6" w14:textId="326CE3BB" w:rsidR="009260DE" w:rsidRPr="00C84483" w:rsidRDefault="00676D95" w:rsidP="009260DE">
      <w:pPr>
        <w:tabs>
          <w:tab w:val="left" w:pos="851"/>
        </w:tabs>
        <w:ind w:left="851"/>
        <w:rPr>
          <w:sz w:val="24"/>
          <w:szCs w:val="24"/>
        </w:rPr>
      </w:pPr>
      <w:r>
        <w:rPr>
          <w:sz w:val="24"/>
          <w:szCs w:val="24"/>
        </w:rPr>
        <w:t>B</w:t>
      </w:r>
    </w:p>
    <w:p w14:paraId="565F0B13" w14:textId="77777777" w:rsidR="009260DE" w:rsidRPr="00C84483" w:rsidRDefault="009260DE" w:rsidP="009260DE">
      <w:pPr>
        <w:tabs>
          <w:tab w:val="left" w:pos="851"/>
        </w:tabs>
        <w:ind w:left="851"/>
        <w:rPr>
          <w:sz w:val="24"/>
          <w:szCs w:val="24"/>
        </w:rPr>
      </w:pPr>
    </w:p>
    <w:p w14:paraId="1738AEAC" w14:textId="77777777" w:rsidR="009260DE" w:rsidRPr="00C84483" w:rsidRDefault="009260DE" w:rsidP="009260DE">
      <w:pPr>
        <w:tabs>
          <w:tab w:val="left" w:pos="851"/>
        </w:tabs>
        <w:ind w:left="851"/>
        <w:rPr>
          <w:sz w:val="24"/>
          <w:szCs w:val="24"/>
        </w:rPr>
      </w:pPr>
    </w:p>
    <w:p w14:paraId="7491BCFF"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160C6B8A" w14:textId="77777777" w:rsidR="009260DE" w:rsidRPr="00C84483" w:rsidRDefault="009260DE" w:rsidP="009260DE">
      <w:pPr>
        <w:tabs>
          <w:tab w:val="left" w:pos="851"/>
        </w:tabs>
        <w:ind w:left="851"/>
        <w:rPr>
          <w:sz w:val="24"/>
          <w:szCs w:val="24"/>
        </w:rPr>
      </w:pPr>
    </w:p>
    <w:p w14:paraId="75864BFF"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0D661193" w14:textId="77777777" w:rsidR="00A933E3" w:rsidRPr="00A933E3" w:rsidRDefault="00A933E3" w:rsidP="00A933E3">
      <w:pPr>
        <w:tabs>
          <w:tab w:val="left" w:pos="851"/>
        </w:tabs>
        <w:ind w:left="851"/>
        <w:rPr>
          <w:sz w:val="24"/>
          <w:szCs w:val="24"/>
        </w:rPr>
      </w:pPr>
      <w:r w:rsidRPr="00A933E3">
        <w:rPr>
          <w:sz w:val="24"/>
          <w:szCs w:val="24"/>
        </w:rPr>
        <w:t>Farmakoterapeutisk klassifikation: Mineralpræparater, calcium, calciumchlorid</w:t>
      </w:r>
    </w:p>
    <w:p w14:paraId="1FBCF9CA" w14:textId="4A8658E9" w:rsidR="00A933E3" w:rsidRPr="00A933E3" w:rsidRDefault="00A933E3" w:rsidP="00A933E3">
      <w:pPr>
        <w:tabs>
          <w:tab w:val="left" w:pos="851"/>
        </w:tabs>
        <w:ind w:left="851"/>
        <w:rPr>
          <w:sz w:val="24"/>
          <w:szCs w:val="24"/>
        </w:rPr>
      </w:pPr>
      <w:r w:rsidRPr="00A933E3">
        <w:rPr>
          <w:sz w:val="24"/>
          <w:szCs w:val="24"/>
        </w:rPr>
        <w:t>ATC-kode: A12AA07</w:t>
      </w:r>
      <w:r>
        <w:rPr>
          <w:sz w:val="24"/>
          <w:szCs w:val="24"/>
        </w:rPr>
        <w:t>.</w:t>
      </w:r>
    </w:p>
    <w:p w14:paraId="2FC77581" w14:textId="77777777" w:rsidR="00A933E3" w:rsidRPr="00A933E3" w:rsidRDefault="00A933E3" w:rsidP="00A933E3">
      <w:pPr>
        <w:tabs>
          <w:tab w:val="left" w:pos="851"/>
        </w:tabs>
        <w:ind w:left="851"/>
        <w:rPr>
          <w:sz w:val="24"/>
          <w:szCs w:val="24"/>
        </w:rPr>
      </w:pPr>
    </w:p>
    <w:p w14:paraId="11F39568" w14:textId="77777777" w:rsidR="00A933E3" w:rsidRPr="00A933E3" w:rsidRDefault="00A933E3" w:rsidP="00A933E3">
      <w:pPr>
        <w:tabs>
          <w:tab w:val="left" w:pos="851"/>
        </w:tabs>
        <w:ind w:left="851"/>
        <w:rPr>
          <w:sz w:val="24"/>
          <w:szCs w:val="24"/>
        </w:rPr>
      </w:pPr>
      <w:r w:rsidRPr="00A933E3">
        <w:rPr>
          <w:sz w:val="24"/>
          <w:szCs w:val="24"/>
        </w:rPr>
        <w:t>Calcium er essentiel for funktionen af nervesystemet, musklerne, hjertet, cellemembraner, skelettet såvel som kapillær permeabilitet. Calcium spiller en vigtig rolle i mange enzymreaktioner, og det er essentielt for mange fysiologiske processer. Dette inkluderer overførsel af nerveimpulser, sammentrækning af hjertemusklen, glat muskulatur og skeletmuskulatur. Calcium er også essentiel for nyrefunktion, respiration og blodets størkning. Calcium spiller også en regulerende rolle i frigivelsen og opbevaringen af neurotransmittere og hormoner. Calcium spiller også en regulerende rolle i optagelsen og bindingen af aminosyrer, i absorption af cyanocobalamin og i udskillelsen af gastrin.</w:t>
      </w:r>
    </w:p>
    <w:p w14:paraId="48B76B75" w14:textId="77777777" w:rsidR="00A933E3" w:rsidRPr="00A933E3" w:rsidRDefault="00A933E3" w:rsidP="00A933E3">
      <w:pPr>
        <w:tabs>
          <w:tab w:val="left" w:pos="851"/>
        </w:tabs>
        <w:ind w:left="851"/>
        <w:rPr>
          <w:sz w:val="24"/>
          <w:szCs w:val="24"/>
        </w:rPr>
      </w:pPr>
    </w:p>
    <w:p w14:paraId="3FA23594" w14:textId="77777777" w:rsidR="00A933E3" w:rsidRPr="00A933E3" w:rsidRDefault="00A933E3" w:rsidP="00A933E3">
      <w:pPr>
        <w:tabs>
          <w:tab w:val="left" w:pos="851"/>
        </w:tabs>
        <w:ind w:left="851"/>
        <w:rPr>
          <w:sz w:val="24"/>
          <w:szCs w:val="24"/>
        </w:rPr>
      </w:pPr>
      <w:r w:rsidRPr="00A933E3">
        <w:rPr>
          <w:sz w:val="24"/>
          <w:szCs w:val="24"/>
        </w:rPr>
        <w:t>Calcium i skelettet er i konstant udskiftning med calcium i plasma. Calciumkoncentrationer i plasma holdes inden for snævre grænser ved hjælp af endokrin kontrolmekanisme, som involverer parathyroideahormon, calcitonin og D-vitamin. Med denne kontrolmekanisme kan calcium frigøres fra knoglerne, hvis niveauet af plasmacalcium falder og kan bindes til knoglerne, hvis niveauet af plasmacalcium stiger.</w:t>
      </w:r>
    </w:p>
    <w:p w14:paraId="4CEE52F2" w14:textId="77777777" w:rsidR="00A933E3" w:rsidRPr="00A933E3" w:rsidRDefault="00A933E3" w:rsidP="00A933E3">
      <w:pPr>
        <w:tabs>
          <w:tab w:val="left" w:pos="851"/>
        </w:tabs>
        <w:ind w:left="851"/>
        <w:rPr>
          <w:sz w:val="24"/>
          <w:szCs w:val="24"/>
        </w:rPr>
      </w:pPr>
    </w:p>
    <w:p w14:paraId="0A2FBD36"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71C32F53" w14:textId="77777777" w:rsidR="00A933E3" w:rsidRPr="00A933E3" w:rsidRDefault="00A933E3" w:rsidP="00A933E3">
      <w:pPr>
        <w:tabs>
          <w:tab w:val="left" w:pos="851"/>
        </w:tabs>
        <w:ind w:left="851"/>
        <w:rPr>
          <w:sz w:val="24"/>
          <w:szCs w:val="24"/>
        </w:rPr>
      </w:pPr>
    </w:p>
    <w:p w14:paraId="00B64C59" w14:textId="0F9C144B" w:rsidR="00A933E3" w:rsidRPr="00A933E3" w:rsidRDefault="00A933E3" w:rsidP="00A933E3">
      <w:pPr>
        <w:tabs>
          <w:tab w:val="left" w:pos="851"/>
        </w:tabs>
        <w:ind w:left="851"/>
        <w:rPr>
          <w:sz w:val="24"/>
          <w:szCs w:val="24"/>
          <w:u w:val="single"/>
        </w:rPr>
      </w:pPr>
      <w:r w:rsidRPr="00A933E3">
        <w:rPr>
          <w:sz w:val="24"/>
          <w:szCs w:val="24"/>
          <w:u w:val="single"/>
        </w:rPr>
        <w:t>Absorption</w:t>
      </w:r>
    </w:p>
    <w:p w14:paraId="6C9BB072" w14:textId="77777777" w:rsidR="00A933E3" w:rsidRPr="00A933E3" w:rsidRDefault="00A933E3" w:rsidP="00A933E3">
      <w:pPr>
        <w:tabs>
          <w:tab w:val="left" w:pos="851"/>
        </w:tabs>
        <w:ind w:left="851"/>
        <w:rPr>
          <w:sz w:val="24"/>
          <w:szCs w:val="24"/>
        </w:rPr>
      </w:pPr>
      <w:r w:rsidRPr="00A933E3">
        <w:rPr>
          <w:sz w:val="24"/>
          <w:szCs w:val="24"/>
        </w:rPr>
        <w:t>Calciumsalte administreret intramuskulært eller intravenøst absorberes direkte i blodcirkulationen.</w:t>
      </w:r>
    </w:p>
    <w:p w14:paraId="2BCCF582" w14:textId="77777777" w:rsidR="00A933E3" w:rsidRPr="00A933E3" w:rsidRDefault="00A933E3" w:rsidP="00A933E3">
      <w:pPr>
        <w:tabs>
          <w:tab w:val="left" w:pos="851"/>
        </w:tabs>
        <w:ind w:left="851"/>
        <w:rPr>
          <w:sz w:val="24"/>
          <w:szCs w:val="24"/>
          <w:u w:val="single"/>
        </w:rPr>
      </w:pPr>
    </w:p>
    <w:p w14:paraId="70F35769" w14:textId="77777777" w:rsidR="00A933E3" w:rsidRPr="00A933E3" w:rsidRDefault="00A933E3" w:rsidP="00A933E3">
      <w:pPr>
        <w:tabs>
          <w:tab w:val="left" w:pos="851"/>
        </w:tabs>
        <w:ind w:left="851"/>
        <w:rPr>
          <w:sz w:val="24"/>
          <w:szCs w:val="24"/>
          <w:u w:val="single"/>
        </w:rPr>
      </w:pPr>
      <w:r w:rsidRPr="00A933E3">
        <w:rPr>
          <w:sz w:val="24"/>
          <w:szCs w:val="24"/>
          <w:u w:val="single"/>
        </w:rPr>
        <w:t>Fordeling</w:t>
      </w:r>
    </w:p>
    <w:p w14:paraId="426D5985" w14:textId="77777777" w:rsidR="00A933E3" w:rsidRPr="00A933E3" w:rsidRDefault="00A933E3" w:rsidP="00A933E3">
      <w:pPr>
        <w:tabs>
          <w:tab w:val="left" w:pos="851"/>
        </w:tabs>
        <w:ind w:left="851"/>
        <w:rPr>
          <w:sz w:val="24"/>
          <w:szCs w:val="24"/>
        </w:rPr>
      </w:pPr>
      <w:r w:rsidRPr="00A933E3">
        <w:rPr>
          <w:sz w:val="24"/>
          <w:szCs w:val="24"/>
        </w:rPr>
        <w:t>99 % af den samlede mængde calcium i kroppen forekommer i knoglerne og tænderne. Ca. 50 % af calcium i plasmaserum forefindes i den fysiologisk aktive, ioniserede form, 5 % er kompleksbundet med phosphater, citrater og andre anioner. Ca. 45 % af serumcalcium er bundet til plasmaproteiner (hovedsageligt albumin).</w:t>
      </w:r>
    </w:p>
    <w:p w14:paraId="78101F40" w14:textId="77777777" w:rsidR="00A933E3" w:rsidRPr="00A933E3" w:rsidRDefault="00A933E3" w:rsidP="00A933E3">
      <w:pPr>
        <w:tabs>
          <w:tab w:val="left" w:pos="851"/>
        </w:tabs>
        <w:ind w:left="851"/>
        <w:rPr>
          <w:sz w:val="24"/>
          <w:szCs w:val="24"/>
          <w:u w:val="single"/>
        </w:rPr>
      </w:pPr>
    </w:p>
    <w:p w14:paraId="1D8BD596" w14:textId="77777777" w:rsidR="00A933E3" w:rsidRPr="00A933E3" w:rsidRDefault="00A933E3" w:rsidP="00A933E3">
      <w:pPr>
        <w:tabs>
          <w:tab w:val="left" w:pos="851"/>
        </w:tabs>
        <w:ind w:left="851"/>
        <w:rPr>
          <w:sz w:val="24"/>
          <w:szCs w:val="24"/>
          <w:u w:val="single"/>
        </w:rPr>
      </w:pPr>
      <w:r w:rsidRPr="00A933E3">
        <w:rPr>
          <w:sz w:val="24"/>
          <w:szCs w:val="24"/>
          <w:u w:val="single"/>
        </w:rPr>
        <w:t>Biotransformation</w:t>
      </w:r>
    </w:p>
    <w:p w14:paraId="188D8E5F" w14:textId="77777777" w:rsidR="00A933E3" w:rsidRPr="00A933E3" w:rsidRDefault="00A933E3" w:rsidP="00A933E3">
      <w:pPr>
        <w:tabs>
          <w:tab w:val="left" w:pos="851"/>
        </w:tabs>
        <w:ind w:left="851"/>
        <w:rPr>
          <w:sz w:val="24"/>
          <w:szCs w:val="24"/>
        </w:rPr>
      </w:pPr>
      <w:r w:rsidRPr="00A933E3">
        <w:rPr>
          <w:sz w:val="24"/>
          <w:szCs w:val="24"/>
        </w:rPr>
        <w:t>Injiceret calcium bliver en del af kroppens eget intravaskulære calcium og metaboliseres på samme måde som kroppens eget calcium.</w:t>
      </w:r>
    </w:p>
    <w:p w14:paraId="099B92CE" w14:textId="77777777" w:rsidR="00A933E3" w:rsidRPr="00A933E3" w:rsidRDefault="00A933E3" w:rsidP="00A933E3">
      <w:pPr>
        <w:tabs>
          <w:tab w:val="left" w:pos="851"/>
        </w:tabs>
        <w:ind w:left="851"/>
        <w:rPr>
          <w:sz w:val="24"/>
          <w:szCs w:val="24"/>
          <w:u w:val="single"/>
        </w:rPr>
      </w:pPr>
    </w:p>
    <w:p w14:paraId="305B9678" w14:textId="77777777" w:rsidR="00A933E3" w:rsidRPr="00A933E3" w:rsidRDefault="00A933E3" w:rsidP="00A933E3">
      <w:pPr>
        <w:tabs>
          <w:tab w:val="left" w:pos="851"/>
        </w:tabs>
        <w:ind w:left="851"/>
        <w:rPr>
          <w:sz w:val="24"/>
          <w:szCs w:val="24"/>
          <w:u w:val="single"/>
        </w:rPr>
      </w:pPr>
      <w:r w:rsidRPr="00A933E3">
        <w:rPr>
          <w:sz w:val="24"/>
          <w:szCs w:val="24"/>
          <w:u w:val="single"/>
        </w:rPr>
        <w:t>Elimination</w:t>
      </w:r>
    </w:p>
    <w:p w14:paraId="44A844D2" w14:textId="77777777" w:rsidR="00A933E3" w:rsidRPr="00A933E3" w:rsidRDefault="00A933E3" w:rsidP="00A933E3">
      <w:pPr>
        <w:tabs>
          <w:tab w:val="left" w:pos="851"/>
        </w:tabs>
        <w:ind w:left="851"/>
        <w:rPr>
          <w:sz w:val="24"/>
          <w:szCs w:val="24"/>
        </w:rPr>
      </w:pPr>
      <w:r w:rsidRPr="00A933E3">
        <w:rPr>
          <w:sz w:val="24"/>
          <w:szCs w:val="24"/>
        </w:rPr>
        <w:t>Calcium udskilles via fæces, urin og sved. Nyreudskillelsen er afhængig af den glomerulære filtration og den tubulære reabsorption af calcium</w:t>
      </w:r>
    </w:p>
    <w:p w14:paraId="4B766F5A" w14:textId="77777777" w:rsidR="009260DE" w:rsidRPr="00C84483" w:rsidRDefault="009260DE" w:rsidP="009260DE">
      <w:pPr>
        <w:tabs>
          <w:tab w:val="left" w:pos="851"/>
        </w:tabs>
        <w:ind w:left="851"/>
        <w:rPr>
          <w:sz w:val="24"/>
          <w:szCs w:val="24"/>
        </w:rPr>
      </w:pPr>
    </w:p>
    <w:p w14:paraId="199AB17B"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66AA2FC7" w14:textId="77777777" w:rsidR="00A933E3" w:rsidRPr="00A933E3" w:rsidRDefault="00A933E3" w:rsidP="00A933E3">
      <w:pPr>
        <w:tabs>
          <w:tab w:val="left" w:pos="851"/>
        </w:tabs>
        <w:ind w:left="851"/>
        <w:rPr>
          <w:sz w:val="24"/>
          <w:szCs w:val="24"/>
        </w:rPr>
      </w:pPr>
      <w:r w:rsidRPr="00A933E3">
        <w:rPr>
          <w:sz w:val="24"/>
          <w:szCs w:val="24"/>
        </w:rPr>
        <w:t>Der foreligger ingen non-kliniske data, der vurderes som relevante for den kliniske sikkerhed udover data i andre afsnit af produktresuméet.</w:t>
      </w:r>
    </w:p>
    <w:p w14:paraId="72CCA6D9" w14:textId="77777777" w:rsidR="009260DE" w:rsidRPr="00C84483" w:rsidRDefault="009260DE" w:rsidP="009260DE">
      <w:pPr>
        <w:tabs>
          <w:tab w:val="left" w:pos="851"/>
        </w:tabs>
        <w:ind w:left="851"/>
        <w:rPr>
          <w:sz w:val="24"/>
          <w:szCs w:val="24"/>
        </w:rPr>
      </w:pPr>
    </w:p>
    <w:p w14:paraId="3029C8C5" w14:textId="237A29D9" w:rsidR="00A933E3" w:rsidRDefault="00A933E3">
      <w:pPr>
        <w:rPr>
          <w:sz w:val="24"/>
          <w:szCs w:val="24"/>
        </w:rPr>
      </w:pPr>
      <w:r>
        <w:rPr>
          <w:sz w:val="24"/>
          <w:szCs w:val="24"/>
        </w:rPr>
        <w:br w:type="page"/>
      </w:r>
    </w:p>
    <w:p w14:paraId="20A43AD5" w14:textId="77777777" w:rsidR="009260DE" w:rsidRPr="00C84483" w:rsidRDefault="009260DE" w:rsidP="009260DE">
      <w:pPr>
        <w:tabs>
          <w:tab w:val="left" w:pos="851"/>
        </w:tabs>
        <w:ind w:left="851"/>
        <w:rPr>
          <w:sz w:val="24"/>
          <w:szCs w:val="24"/>
        </w:rPr>
      </w:pPr>
    </w:p>
    <w:p w14:paraId="4E0803CF"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2486F8AA" w14:textId="77777777" w:rsidR="009260DE" w:rsidRPr="00BA09F1" w:rsidRDefault="009260DE" w:rsidP="009260DE">
      <w:pPr>
        <w:tabs>
          <w:tab w:val="left" w:pos="851"/>
        </w:tabs>
        <w:ind w:left="851"/>
        <w:rPr>
          <w:sz w:val="24"/>
          <w:szCs w:val="24"/>
        </w:rPr>
      </w:pPr>
    </w:p>
    <w:p w14:paraId="68FE4AC7"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3E05F5EC" w14:textId="06E67682" w:rsidR="00A933E3" w:rsidRPr="00A933E3" w:rsidRDefault="00A933E3" w:rsidP="00A933E3">
      <w:pPr>
        <w:tabs>
          <w:tab w:val="left" w:pos="851"/>
        </w:tabs>
        <w:ind w:left="851"/>
        <w:rPr>
          <w:sz w:val="24"/>
          <w:szCs w:val="24"/>
        </w:rPr>
      </w:pPr>
      <w:r w:rsidRPr="00A933E3">
        <w:rPr>
          <w:sz w:val="24"/>
          <w:szCs w:val="24"/>
        </w:rPr>
        <w:t>Vand til injektionsvæske</w:t>
      </w:r>
      <w:r>
        <w:rPr>
          <w:sz w:val="24"/>
          <w:szCs w:val="24"/>
        </w:rPr>
        <w:t>r</w:t>
      </w:r>
    </w:p>
    <w:p w14:paraId="32B4D0E5" w14:textId="77777777" w:rsidR="009260DE" w:rsidRPr="00C84483" w:rsidRDefault="009260DE" w:rsidP="009260DE">
      <w:pPr>
        <w:tabs>
          <w:tab w:val="left" w:pos="851"/>
        </w:tabs>
        <w:ind w:left="851"/>
        <w:rPr>
          <w:sz w:val="24"/>
          <w:szCs w:val="24"/>
        </w:rPr>
      </w:pPr>
    </w:p>
    <w:p w14:paraId="5DBEA4DA"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5A1ACDE2" w14:textId="77777777" w:rsidR="00F95896" w:rsidRPr="00F95896" w:rsidRDefault="00F95896" w:rsidP="00F95896">
      <w:pPr>
        <w:tabs>
          <w:tab w:val="left" w:pos="851"/>
        </w:tabs>
        <w:ind w:left="851"/>
        <w:rPr>
          <w:sz w:val="24"/>
          <w:szCs w:val="24"/>
        </w:rPr>
      </w:pPr>
      <w:r w:rsidRPr="00F95896">
        <w:rPr>
          <w:sz w:val="24"/>
          <w:szCs w:val="24"/>
        </w:rPr>
        <w:t>Da der ikke foreligger studier af eventuelle uforligeligheder, må dette lægemiddel ikke blandes med andre lægemidler.</w:t>
      </w:r>
    </w:p>
    <w:p w14:paraId="51593DFA" w14:textId="77777777" w:rsidR="00F95896" w:rsidRPr="00F95896" w:rsidRDefault="00F95896" w:rsidP="00F95896">
      <w:pPr>
        <w:tabs>
          <w:tab w:val="left" w:pos="851"/>
        </w:tabs>
        <w:ind w:left="851"/>
        <w:rPr>
          <w:sz w:val="24"/>
          <w:szCs w:val="24"/>
        </w:rPr>
      </w:pPr>
    </w:p>
    <w:p w14:paraId="67AB88B8" w14:textId="77777777" w:rsidR="00F95896" w:rsidRPr="00F95896" w:rsidRDefault="00F95896" w:rsidP="00F95896">
      <w:pPr>
        <w:tabs>
          <w:tab w:val="left" w:pos="851"/>
        </w:tabs>
        <w:ind w:left="851"/>
        <w:rPr>
          <w:i/>
          <w:iCs/>
          <w:sz w:val="24"/>
          <w:szCs w:val="24"/>
        </w:rPr>
      </w:pPr>
      <w:r w:rsidRPr="00F95896">
        <w:rPr>
          <w:i/>
          <w:iCs/>
          <w:sz w:val="24"/>
          <w:szCs w:val="24"/>
        </w:rPr>
        <w:t>Tetracykliner</w:t>
      </w:r>
    </w:p>
    <w:p w14:paraId="3AA8E013" w14:textId="77777777" w:rsidR="00F95896" w:rsidRPr="00F95896" w:rsidRDefault="00F95896" w:rsidP="00F95896">
      <w:pPr>
        <w:tabs>
          <w:tab w:val="left" w:pos="851"/>
        </w:tabs>
        <w:ind w:left="851"/>
        <w:rPr>
          <w:sz w:val="24"/>
          <w:szCs w:val="24"/>
        </w:rPr>
      </w:pPr>
      <w:r w:rsidRPr="00F95896">
        <w:rPr>
          <w:sz w:val="24"/>
          <w:szCs w:val="24"/>
        </w:rPr>
        <w:t>Calciumsalte kan danne komplekser med tetracykliner, og derfor bør tetracykliner og calciumsalte ikke blandes til parenteral administration.</w:t>
      </w:r>
    </w:p>
    <w:p w14:paraId="7BA8FB96" w14:textId="77777777" w:rsidR="00F95896" w:rsidRPr="00F95896" w:rsidRDefault="00F95896" w:rsidP="00F95896">
      <w:pPr>
        <w:tabs>
          <w:tab w:val="left" w:pos="851"/>
        </w:tabs>
        <w:ind w:left="851"/>
        <w:rPr>
          <w:sz w:val="24"/>
          <w:szCs w:val="24"/>
        </w:rPr>
      </w:pPr>
    </w:p>
    <w:p w14:paraId="1CC89CA9" w14:textId="77777777" w:rsidR="00F95896" w:rsidRPr="00F95896" w:rsidRDefault="00F95896" w:rsidP="00F95896">
      <w:pPr>
        <w:tabs>
          <w:tab w:val="left" w:pos="851"/>
        </w:tabs>
        <w:ind w:left="851"/>
        <w:rPr>
          <w:i/>
          <w:iCs/>
          <w:sz w:val="24"/>
          <w:szCs w:val="24"/>
        </w:rPr>
      </w:pPr>
      <w:r w:rsidRPr="00F95896">
        <w:rPr>
          <w:i/>
          <w:iCs/>
          <w:sz w:val="24"/>
          <w:szCs w:val="24"/>
        </w:rPr>
        <w:t>Magnesiumsulfat</w:t>
      </w:r>
    </w:p>
    <w:p w14:paraId="572EB9EA" w14:textId="77777777" w:rsidR="00F95896" w:rsidRPr="00F95896" w:rsidRDefault="00F95896" w:rsidP="00F95896">
      <w:pPr>
        <w:tabs>
          <w:tab w:val="left" w:pos="851"/>
        </w:tabs>
        <w:ind w:left="851"/>
        <w:rPr>
          <w:sz w:val="24"/>
          <w:szCs w:val="24"/>
        </w:rPr>
      </w:pPr>
      <w:r w:rsidRPr="00F95896">
        <w:rPr>
          <w:sz w:val="24"/>
          <w:szCs w:val="24"/>
        </w:rPr>
        <w:t>Blanding af calciumsalte med magnesiumsulfat kan forårsage udfældning af calciumsulfat. Magnesiumsulfat og calciumchlorid bør derfor ikke blandes til parenteral administration.</w:t>
      </w:r>
    </w:p>
    <w:p w14:paraId="369F1A87" w14:textId="77777777" w:rsidR="00F95896" w:rsidRPr="00F95896" w:rsidRDefault="00F95896" w:rsidP="00F95896">
      <w:pPr>
        <w:tabs>
          <w:tab w:val="left" w:pos="851"/>
        </w:tabs>
        <w:ind w:left="851"/>
        <w:rPr>
          <w:sz w:val="24"/>
          <w:szCs w:val="24"/>
        </w:rPr>
      </w:pPr>
    </w:p>
    <w:p w14:paraId="10C982B0" w14:textId="77777777" w:rsidR="00F95896" w:rsidRPr="00F95896" w:rsidRDefault="00F95896" w:rsidP="00F95896">
      <w:pPr>
        <w:tabs>
          <w:tab w:val="left" w:pos="851"/>
        </w:tabs>
        <w:ind w:left="851"/>
        <w:rPr>
          <w:i/>
          <w:iCs/>
          <w:sz w:val="24"/>
          <w:szCs w:val="24"/>
        </w:rPr>
      </w:pPr>
      <w:r w:rsidRPr="00F95896">
        <w:rPr>
          <w:i/>
          <w:iCs/>
          <w:sz w:val="24"/>
          <w:szCs w:val="24"/>
        </w:rPr>
        <w:t>Phosphatholdige lægemidler</w:t>
      </w:r>
    </w:p>
    <w:p w14:paraId="1DA76505" w14:textId="77777777" w:rsidR="00F95896" w:rsidRPr="00F95896" w:rsidRDefault="00F95896" w:rsidP="00F95896">
      <w:pPr>
        <w:tabs>
          <w:tab w:val="left" w:pos="851"/>
        </w:tabs>
        <w:ind w:left="851"/>
        <w:rPr>
          <w:sz w:val="24"/>
          <w:szCs w:val="24"/>
        </w:rPr>
      </w:pPr>
      <w:r w:rsidRPr="00F95896">
        <w:rPr>
          <w:sz w:val="24"/>
          <w:szCs w:val="24"/>
        </w:rPr>
        <w:t>Blanding af calciumsalte med carbonater kan forårsage udfældning af calciumcarbonat. Carbonatholdige lægemidler og calciumsalte bør derfor ikke blandes til parenteral administration.</w:t>
      </w:r>
    </w:p>
    <w:p w14:paraId="39DB2471" w14:textId="77777777" w:rsidR="00F95896" w:rsidRPr="00F95896" w:rsidRDefault="00F95896" w:rsidP="00F95896">
      <w:pPr>
        <w:tabs>
          <w:tab w:val="left" w:pos="851"/>
        </w:tabs>
        <w:ind w:left="851"/>
        <w:rPr>
          <w:sz w:val="24"/>
          <w:szCs w:val="24"/>
        </w:rPr>
      </w:pPr>
    </w:p>
    <w:p w14:paraId="2711E2A9" w14:textId="77777777" w:rsidR="00F95896" w:rsidRPr="00F95896" w:rsidRDefault="00F95896" w:rsidP="00F95896">
      <w:pPr>
        <w:tabs>
          <w:tab w:val="left" w:pos="851"/>
        </w:tabs>
        <w:ind w:left="851"/>
        <w:rPr>
          <w:i/>
          <w:iCs/>
          <w:sz w:val="24"/>
          <w:szCs w:val="24"/>
        </w:rPr>
      </w:pPr>
      <w:r w:rsidRPr="00F95896">
        <w:rPr>
          <w:i/>
          <w:iCs/>
          <w:sz w:val="24"/>
          <w:szCs w:val="24"/>
        </w:rPr>
        <w:t>Tartratholdige lægemidler</w:t>
      </w:r>
    </w:p>
    <w:p w14:paraId="74313E8A" w14:textId="77777777" w:rsidR="00F95896" w:rsidRPr="00F95896" w:rsidRDefault="00F95896" w:rsidP="00F95896">
      <w:pPr>
        <w:tabs>
          <w:tab w:val="left" w:pos="851"/>
        </w:tabs>
        <w:ind w:left="851"/>
        <w:rPr>
          <w:sz w:val="24"/>
          <w:szCs w:val="24"/>
        </w:rPr>
      </w:pPr>
      <w:r w:rsidRPr="00F95896">
        <w:rPr>
          <w:sz w:val="24"/>
          <w:szCs w:val="24"/>
        </w:rPr>
        <w:t>Blanding af calciumsalte med tartrater kan forårsage udfældning af calciumtartrat. Tartratholdige lægemidler og calciumsalte bør derfor ikke blandes til parenteral administration.</w:t>
      </w:r>
    </w:p>
    <w:p w14:paraId="7237DE84" w14:textId="77777777" w:rsidR="009260DE" w:rsidRPr="00C84483" w:rsidRDefault="009260DE" w:rsidP="009260DE">
      <w:pPr>
        <w:tabs>
          <w:tab w:val="left" w:pos="851"/>
        </w:tabs>
        <w:ind w:left="851"/>
        <w:rPr>
          <w:sz w:val="24"/>
          <w:szCs w:val="24"/>
        </w:rPr>
      </w:pPr>
    </w:p>
    <w:p w14:paraId="646066D0"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64956E8B" w14:textId="58A13024" w:rsidR="001D3EA9" w:rsidRPr="001D3EA9" w:rsidRDefault="001D3EA9" w:rsidP="001D3EA9">
      <w:pPr>
        <w:tabs>
          <w:tab w:val="left" w:pos="851"/>
        </w:tabs>
        <w:ind w:left="851"/>
        <w:rPr>
          <w:sz w:val="24"/>
          <w:szCs w:val="24"/>
        </w:rPr>
      </w:pPr>
      <w:r w:rsidRPr="001D3EA9">
        <w:rPr>
          <w:sz w:val="24"/>
          <w:szCs w:val="24"/>
        </w:rPr>
        <w:t>3 år</w:t>
      </w:r>
      <w:r>
        <w:rPr>
          <w:sz w:val="24"/>
          <w:szCs w:val="24"/>
        </w:rPr>
        <w:t>.</w:t>
      </w:r>
    </w:p>
    <w:p w14:paraId="17C4E8DE" w14:textId="77777777" w:rsidR="009260DE" w:rsidRPr="00C84483" w:rsidRDefault="009260DE" w:rsidP="009260DE">
      <w:pPr>
        <w:tabs>
          <w:tab w:val="left" w:pos="851"/>
        </w:tabs>
        <w:ind w:left="851"/>
        <w:rPr>
          <w:sz w:val="24"/>
          <w:szCs w:val="24"/>
        </w:rPr>
      </w:pPr>
    </w:p>
    <w:p w14:paraId="78265866"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42FD3A82" w14:textId="77777777" w:rsidR="001D3EA9" w:rsidRPr="001D3EA9" w:rsidRDefault="001D3EA9" w:rsidP="001D3EA9">
      <w:pPr>
        <w:tabs>
          <w:tab w:val="left" w:pos="851"/>
        </w:tabs>
        <w:ind w:left="851"/>
        <w:rPr>
          <w:sz w:val="24"/>
          <w:szCs w:val="24"/>
        </w:rPr>
      </w:pPr>
      <w:r w:rsidRPr="001D3EA9">
        <w:rPr>
          <w:sz w:val="24"/>
          <w:szCs w:val="24"/>
        </w:rPr>
        <w:t>Ingen særlige opbevaringsbetingelser.</w:t>
      </w:r>
    </w:p>
    <w:p w14:paraId="72328AB9" w14:textId="77777777" w:rsidR="009260DE" w:rsidRPr="00C84483" w:rsidRDefault="009260DE" w:rsidP="009260DE">
      <w:pPr>
        <w:tabs>
          <w:tab w:val="left" w:pos="851"/>
        </w:tabs>
        <w:ind w:left="851"/>
        <w:rPr>
          <w:sz w:val="24"/>
          <w:szCs w:val="24"/>
        </w:rPr>
      </w:pPr>
    </w:p>
    <w:p w14:paraId="1800BDBE"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3039051C" w14:textId="3570BDDF" w:rsidR="001D3EA9" w:rsidRPr="001D3EA9" w:rsidRDefault="001D3EA9" w:rsidP="001D3EA9">
      <w:pPr>
        <w:tabs>
          <w:tab w:val="left" w:pos="851"/>
        </w:tabs>
        <w:ind w:left="851"/>
        <w:rPr>
          <w:sz w:val="24"/>
          <w:szCs w:val="24"/>
        </w:rPr>
      </w:pPr>
      <w:r w:rsidRPr="001D3EA9">
        <w:rPr>
          <w:sz w:val="24"/>
          <w:szCs w:val="24"/>
        </w:rPr>
        <w:t>Klar glasampul</w:t>
      </w:r>
      <w:r>
        <w:rPr>
          <w:sz w:val="24"/>
          <w:szCs w:val="24"/>
        </w:rPr>
        <w:t>.</w:t>
      </w:r>
    </w:p>
    <w:p w14:paraId="1685CA0F" w14:textId="77777777" w:rsidR="001D3EA9" w:rsidRPr="001D3EA9" w:rsidRDefault="001D3EA9" w:rsidP="001D3EA9">
      <w:pPr>
        <w:tabs>
          <w:tab w:val="left" w:pos="851"/>
        </w:tabs>
        <w:ind w:left="851"/>
        <w:rPr>
          <w:sz w:val="24"/>
          <w:szCs w:val="24"/>
        </w:rPr>
      </w:pPr>
    </w:p>
    <w:p w14:paraId="25A54E7C" w14:textId="0CC7D3E8" w:rsidR="001D3EA9" w:rsidRPr="001D3EA9" w:rsidRDefault="001D3EA9" w:rsidP="001D3EA9">
      <w:pPr>
        <w:tabs>
          <w:tab w:val="left" w:pos="851"/>
        </w:tabs>
        <w:ind w:left="851"/>
        <w:rPr>
          <w:sz w:val="24"/>
          <w:szCs w:val="24"/>
          <w:lang w:val="sv-SE"/>
        </w:rPr>
      </w:pPr>
      <w:r w:rsidRPr="001D3EA9">
        <w:rPr>
          <w:sz w:val="24"/>
          <w:szCs w:val="24"/>
        </w:rPr>
        <w:t xml:space="preserve">Pakningsstørrelser: </w:t>
      </w:r>
      <w:r w:rsidRPr="001D3EA9">
        <w:rPr>
          <w:sz w:val="24"/>
          <w:szCs w:val="24"/>
          <w:lang w:val="sv-SE"/>
        </w:rPr>
        <w:t>10</w:t>
      </w:r>
      <w:r>
        <w:rPr>
          <w:sz w:val="24"/>
          <w:szCs w:val="24"/>
          <w:lang w:val="sv-SE"/>
        </w:rPr>
        <w:t>×</w:t>
      </w:r>
      <w:r w:rsidRPr="001D3EA9">
        <w:rPr>
          <w:sz w:val="24"/>
          <w:szCs w:val="24"/>
          <w:lang w:val="sv-SE"/>
        </w:rPr>
        <w:t>10 ml, 20</w:t>
      </w:r>
      <w:r>
        <w:rPr>
          <w:sz w:val="24"/>
          <w:szCs w:val="24"/>
          <w:lang w:val="sv-SE"/>
        </w:rPr>
        <w:t>×</w:t>
      </w:r>
      <w:r w:rsidRPr="001D3EA9">
        <w:rPr>
          <w:sz w:val="24"/>
          <w:szCs w:val="24"/>
          <w:lang w:val="sv-SE"/>
        </w:rPr>
        <w:t>10 ml, 50</w:t>
      </w:r>
      <w:r>
        <w:rPr>
          <w:sz w:val="24"/>
          <w:szCs w:val="24"/>
          <w:lang w:val="sv-SE"/>
        </w:rPr>
        <w:t>×</w:t>
      </w:r>
      <w:r w:rsidRPr="001D3EA9">
        <w:rPr>
          <w:sz w:val="24"/>
          <w:szCs w:val="24"/>
          <w:lang w:val="sv-SE"/>
        </w:rPr>
        <w:t>10 ml</w:t>
      </w:r>
      <w:r>
        <w:rPr>
          <w:sz w:val="24"/>
          <w:szCs w:val="24"/>
          <w:lang w:val="sv-SE"/>
        </w:rPr>
        <w:t xml:space="preserve"> og</w:t>
      </w:r>
      <w:r w:rsidRPr="001D3EA9">
        <w:rPr>
          <w:sz w:val="24"/>
          <w:szCs w:val="24"/>
          <w:lang w:val="sv-SE"/>
        </w:rPr>
        <w:t xml:space="preserve"> 100</w:t>
      </w:r>
      <w:r>
        <w:rPr>
          <w:sz w:val="24"/>
          <w:szCs w:val="24"/>
          <w:lang w:val="sv-SE"/>
        </w:rPr>
        <w:t>×</w:t>
      </w:r>
      <w:r w:rsidRPr="001D3EA9">
        <w:rPr>
          <w:sz w:val="24"/>
          <w:szCs w:val="24"/>
          <w:lang w:val="sv-SE"/>
        </w:rPr>
        <w:t>10 ml</w:t>
      </w:r>
      <w:r>
        <w:rPr>
          <w:sz w:val="24"/>
          <w:szCs w:val="24"/>
          <w:lang w:val="sv-SE"/>
        </w:rPr>
        <w:t>.</w:t>
      </w:r>
    </w:p>
    <w:p w14:paraId="51C0A4E4" w14:textId="77777777" w:rsidR="001D3EA9" w:rsidRPr="001D3EA9" w:rsidRDefault="001D3EA9" w:rsidP="001D3EA9">
      <w:pPr>
        <w:tabs>
          <w:tab w:val="left" w:pos="851"/>
        </w:tabs>
        <w:ind w:left="851"/>
        <w:rPr>
          <w:sz w:val="24"/>
          <w:szCs w:val="24"/>
        </w:rPr>
      </w:pPr>
    </w:p>
    <w:p w14:paraId="6682A15B" w14:textId="77777777" w:rsidR="001D3EA9" w:rsidRPr="001D3EA9" w:rsidRDefault="001D3EA9" w:rsidP="001D3EA9">
      <w:pPr>
        <w:tabs>
          <w:tab w:val="left" w:pos="851"/>
        </w:tabs>
        <w:ind w:left="851"/>
        <w:rPr>
          <w:sz w:val="24"/>
          <w:szCs w:val="24"/>
        </w:rPr>
      </w:pPr>
      <w:r w:rsidRPr="001D3EA9">
        <w:rPr>
          <w:sz w:val="24"/>
          <w:szCs w:val="24"/>
        </w:rPr>
        <w:t>Ikke alle pakningsstørrelser er nødvendigvis markedsført.</w:t>
      </w:r>
    </w:p>
    <w:p w14:paraId="7BEB6A7B" w14:textId="77777777" w:rsidR="009260DE" w:rsidRPr="00C84483" w:rsidRDefault="009260DE" w:rsidP="009260DE">
      <w:pPr>
        <w:tabs>
          <w:tab w:val="left" w:pos="851"/>
        </w:tabs>
        <w:ind w:left="851"/>
        <w:rPr>
          <w:sz w:val="24"/>
          <w:szCs w:val="24"/>
        </w:rPr>
      </w:pPr>
    </w:p>
    <w:p w14:paraId="1160E666"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4D706A41" w14:textId="77777777" w:rsidR="00AC001C" w:rsidRPr="00AC001C" w:rsidRDefault="00AC001C" w:rsidP="00AC001C">
      <w:pPr>
        <w:tabs>
          <w:tab w:val="left" w:pos="851"/>
        </w:tabs>
        <w:ind w:left="851"/>
        <w:rPr>
          <w:sz w:val="24"/>
          <w:szCs w:val="24"/>
        </w:rPr>
      </w:pPr>
      <w:r w:rsidRPr="00AC001C">
        <w:rPr>
          <w:sz w:val="24"/>
          <w:szCs w:val="24"/>
        </w:rPr>
        <w:t>Kun til engangsbrug, ubrugt produkt skal kasseres.</w:t>
      </w:r>
    </w:p>
    <w:p w14:paraId="6CA90DD6" w14:textId="77777777" w:rsidR="00AC001C" w:rsidRPr="00AC001C" w:rsidRDefault="00AC001C" w:rsidP="00AC001C">
      <w:pPr>
        <w:tabs>
          <w:tab w:val="left" w:pos="851"/>
        </w:tabs>
        <w:ind w:left="851"/>
        <w:rPr>
          <w:sz w:val="24"/>
          <w:szCs w:val="24"/>
        </w:rPr>
      </w:pPr>
    </w:p>
    <w:p w14:paraId="2C84BCDC" w14:textId="77777777" w:rsidR="00AC001C" w:rsidRPr="00AC001C" w:rsidRDefault="00AC001C" w:rsidP="00AC001C">
      <w:pPr>
        <w:tabs>
          <w:tab w:val="left" w:pos="851"/>
        </w:tabs>
        <w:ind w:left="851"/>
        <w:rPr>
          <w:sz w:val="24"/>
          <w:szCs w:val="24"/>
        </w:rPr>
      </w:pPr>
      <w:r w:rsidRPr="00AC001C">
        <w:rPr>
          <w:sz w:val="24"/>
          <w:szCs w:val="24"/>
        </w:rPr>
        <w:t>Produktet skal inspiceres visuelt for partikler og misfarvning før administration. Kun klar, farveløs opløsning fri for partikler og udfældninger må anvendes.</w:t>
      </w:r>
    </w:p>
    <w:p w14:paraId="7B4E0FF9" w14:textId="77777777" w:rsidR="00AC001C" w:rsidRPr="00AC001C" w:rsidRDefault="00AC001C" w:rsidP="00AC001C">
      <w:pPr>
        <w:tabs>
          <w:tab w:val="left" w:pos="851"/>
        </w:tabs>
        <w:ind w:left="851"/>
        <w:rPr>
          <w:sz w:val="24"/>
          <w:szCs w:val="24"/>
        </w:rPr>
      </w:pPr>
    </w:p>
    <w:p w14:paraId="7CC7AB4E" w14:textId="77777777" w:rsidR="00AC001C" w:rsidRPr="00AC001C" w:rsidRDefault="00AC001C" w:rsidP="00AC001C">
      <w:pPr>
        <w:tabs>
          <w:tab w:val="left" w:pos="851"/>
        </w:tabs>
        <w:ind w:left="851"/>
        <w:rPr>
          <w:sz w:val="24"/>
          <w:szCs w:val="24"/>
        </w:rPr>
      </w:pPr>
      <w:r w:rsidRPr="00AC001C">
        <w:rPr>
          <w:sz w:val="24"/>
          <w:szCs w:val="24"/>
        </w:rPr>
        <w:t>Ikke anvendt lægemiddel samt affald heraf skal bortskaffes i henhold til lokale retningslinjer.</w:t>
      </w:r>
    </w:p>
    <w:p w14:paraId="66A73D48" w14:textId="5330DEBB" w:rsidR="00AC001C" w:rsidRDefault="00AC001C">
      <w:pPr>
        <w:rPr>
          <w:sz w:val="24"/>
          <w:szCs w:val="24"/>
        </w:rPr>
      </w:pPr>
      <w:r>
        <w:rPr>
          <w:sz w:val="24"/>
          <w:szCs w:val="24"/>
        </w:rPr>
        <w:br w:type="page"/>
      </w:r>
    </w:p>
    <w:p w14:paraId="14DD9C7B" w14:textId="77777777" w:rsidR="009260DE" w:rsidRPr="00C84483" w:rsidRDefault="009260DE" w:rsidP="000730CA">
      <w:pPr>
        <w:tabs>
          <w:tab w:val="left" w:pos="851"/>
        </w:tabs>
        <w:ind w:left="851"/>
        <w:rPr>
          <w:sz w:val="24"/>
          <w:szCs w:val="24"/>
        </w:rPr>
      </w:pPr>
    </w:p>
    <w:p w14:paraId="38E6D58A"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518F0AF3" w14:textId="77777777" w:rsidR="00AC001C" w:rsidRPr="00AC001C" w:rsidRDefault="00AC001C" w:rsidP="00AC001C">
      <w:pPr>
        <w:tabs>
          <w:tab w:val="left" w:pos="851"/>
        </w:tabs>
        <w:ind w:left="851"/>
        <w:rPr>
          <w:sz w:val="24"/>
          <w:szCs w:val="24"/>
          <w:lang w:val="sv-SE"/>
        </w:rPr>
      </w:pPr>
      <w:r w:rsidRPr="00AC001C">
        <w:rPr>
          <w:sz w:val="24"/>
          <w:szCs w:val="24"/>
          <w:lang w:val="sv-SE"/>
        </w:rPr>
        <w:t>Abboxia AB</w:t>
      </w:r>
    </w:p>
    <w:p w14:paraId="77A3F45A" w14:textId="77777777" w:rsidR="00AC001C" w:rsidRPr="00AC001C" w:rsidRDefault="00AC001C" w:rsidP="00AC001C">
      <w:pPr>
        <w:tabs>
          <w:tab w:val="left" w:pos="851"/>
        </w:tabs>
        <w:ind w:left="851"/>
        <w:rPr>
          <w:sz w:val="24"/>
          <w:szCs w:val="24"/>
          <w:lang w:val="sv-SE"/>
        </w:rPr>
      </w:pPr>
      <w:r w:rsidRPr="00AC001C">
        <w:rPr>
          <w:sz w:val="24"/>
          <w:szCs w:val="24"/>
          <w:lang w:val="sv-SE"/>
        </w:rPr>
        <w:t>Box 50</w:t>
      </w:r>
    </w:p>
    <w:p w14:paraId="67E205FF" w14:textId="77777777" w:rsidR="00AC001C" w:rsidRPr="00AC001C" w:rsidRDefault="00AC001C" w:rsidP="00AC001C">
      <w:pPr>
        <w:tabs>
          <w:tab w:val="left" w:pos="851"/>
        </w:tabs>
        <w:ind w:left="851"/>
        <w:rPr>
          <w:sz w:val="24"/>
          <w:szCs w:val="24"/>
          <w:lang w:val="sv-SE"/>
        </w:rPr>
      </w:pPr>
      <w:r w:rsidRPr="00AC001C">
        <w:rPr>
          <w:sz w:val="24"/>
          <w:szCs w:val="24"/>
          <w:lang w:val="sv-SE"/>
        </w:rPr>
        <w:t>431 21 Mölndal</w:t>
      </w:r>
    </w:p>
    <w:p w14:paraId="650CF7A7" w14:textId="77777777" w:rsidR="00AC001C" w:rsidRPr="00AC001C" w:rsidRDefault="00AC001C" w:rsidP="00AC001C">
      <w:pPr>
        <w:tabs>
          <w:tab w:val="left" w:pos="851"/>
        </w:tabs>
        <w:ind w:left="851"/>
        <w:rPr>
          <w:sz w:val="24"/>
          <w:szCs w:val="24"/>
        </w:rPr>
      </w:pPr>
      <w:r w:rsidRPr="00AC001C">
        <w:rPr>
          <w:sz w:val="24"/>
          <w:szCs w:val="24"/>
        </w:rPr>
        <w:t>Sverige</w:t>
      </w:r>
    </w:p>
    <w:p w14:paraId="70FFEB9F" w14:textId="77777777" w:rsidR="009260DE" w:rsidRDefault="009260DE" w:rsidP="009260DE">
      <w:pPr>
        <w:tabs>
          <w:tab w:val="left" w:pos="851"/>
        </w:tabs>
        <w:ind w:left="851"/>
        <w:rPr>
          <w:sz w:val="24"/>
          <w:szCs w:val="24"/>
        </w:rPr>
      </w:pPr>
    </w:p>
    <w:p w14:paraId="2131A2B0"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083B10B5" w14:textId="72C17DB1" w:rsidR="009260DE" w:rsidRPr="00C84483" w:rsidRDefault="00AC001C" w:rsidP="009260DE">
      <w:pPr>
        <w:tabs>
          <w:tab w:val="left" w:pos="851"/>
        </w:tabs>
        <w:ind w:left="851"/>
        <w:rPr>
          <w:sz w:val="24"/>
          <w:szCs w:val="24"/>
        </w:rPr>
      </w:pPr>
      <w:r>
        <w:rPr>
          <w:sz w:val="24"/>
          <w:szCs w:val="24"/>
        </w:rPr>
        <w:t>73363</w:t>
      </w:r>
    </w:p>
    <w:p w14:paraId="5CFCB044" w14:textId="77777777" w:rsidR="009260DE" w:rsidRPr="00C84483" w:rsidRDefault="009260DE" w:rsidP="009260DE">
      <w:pPr>
        <w:tabs>
          <w:tab w:val="left" w:pos="851"/>
        </w:tabs>
        <w:ind w:left="851"/>
        <w:jc w:val="both"/>
        <w:rPr>
          <w:sz w:val="24"/>
          <w:szCs w:val="24"/>
        </w:rPr>
      </w:pPr>
    </w:p>
    <w:p w14:paraId="6503099A"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40943E2C" w14:textId="7796C091" w:rsidR="009260DE" w:rsidRPr="00C84483" w:rsidRDefault="00B94E8A" w:rsidP="009260DE">
      <w:pPr>
        <w:tabs>
          <w:tab w:val="left" w:pos="851"/>
        </w:tabs>
        <w:ind w:left="851"/>
        <w:rPr>
          <w:sz w:val="24"/>
          <w:szCs w:val="24"/>
        </w:rPr>
      </w:pPr>
      <w:r>
        <w:rPr>
          <w:sz w:val="24"/>
          <w:szCs w:val="24"/>
        </w:rPr>
        <w:t>26. maj 2025</w:t>
      </w:r>
    </w:p>
    <w:p w14:paraId="12220709" w14:textId="77777777" w:rsidR="009260DE" w:rsidRPr="00C84483" w:rsidRDefault="009260DE" w:rsidP="009260DE">
      <w:pPr>
        <w:tabs>
          <w:tab w:val="left" w:pos="851"/>
        </w:tabs>
        <w:ind w:left="851"/>
        <w:rPr>
          <w:sz w:val="24"/>
          <w:szCs w:val="24"/>
        </w:rPr>
      </w:pPr>
    </w:p>
    <w:p w14:paraId="3E74B112"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1DB9E059" w14:textId="498F1178" w:rsidR="009260DE" w:rsidRPr="00C84483" w:rsidRDefault="00AC001C"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8172E" w14:textId="77777777" w:rsidR="00C9754D" w:rsidRDefault="00C9754D">
      <w:r>
        <w:separator/>
      </w:r>
    </w:p>
  </w:endnote>
  <w:endnote w:type="continuationSeparator" w:id="0">
    <w:p w14:paraId="29479F3B" w14:textId="77777777" w:rsidR="00C9754D" w:rsidRDefault="00C97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9E0F1" w14:textId="77777777" w:rsidR="000259B9" w:rsidRDefault="000259B9">
    <w:pPr>
      <w:pStyle w:val="Sidefod"/>
      <w:pBdr>
        <w:bottom w:val="single" w:sz="6" w:space="1" w:color="auto"/>
      </w:pBdr>
    </w:pPr>
  </w:p>
  <w:p w14:paraId="77274388" w14:textId="77777777" w:rsidR="000259B9" w:rsidRDefault="000259B9" w:rsidP="00C42586">
    <w:pPr>
      <w:pStyle w:val="Sidefod"/>
      <w:tabs>
        <w:tab w:val="clear" w:pos="4819"/>
        <w:tab w:val="left" w:pos="8505"/>
      </w:tabs>
      <w:rPr>
        <w:i/>
        <w:sz w:val="18"/>
        <w:szCs w:val="18"/>
      </w:rPr>
    </w:pPr>
  </w:p>
  <w:p w14:paraId="3856AB46" w14:textId="60944A90"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537DD">
      <w:rPr>
        <w:i/>
        <w:noProof/>
        <w:sz w:val="18"/>
        <w:szCs w:val="18"/>
      </w:rPr>
      <w:t>Kalcicur, injektionsvæske, opløsning 0,46 mmol-ml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3360A" w14:textId="77777777" w:rsidR="00C9754D" w:rsidRDefault="00C9754D">
      <w:r>
        <w:separator/>
      </w:r>
    </w:p>
  </w:footnote>
  <w:footnote w:type="continuationSeparator" w:id="0">
    <w:p w14:paraId="07FEBA22" w14:textId="77777777" w:rsidR="00C9754D" w:rsidRDefault="00C97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FD70212"/>
    <w:multiLevelType w:val="hybridMultilevel"/>
    <w:tmpl w:val="09C4EDB8"/>
    <w:lvl w:ilvl="0" w:tplc="3AE268C6">
      <w:start w:val="4"/>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E582C58"/>
    <w:multiLevelType w:val="hybridMultilevel"/>
    <w:tmpl w:val="B670575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54D"/>
    <w:rsid w:val="000259B9"/>
    <w:rsid w:val="00041491"/>
    <w:rsid w:val="00050D16"/>
    <w:rsid w:val="000730CA"/>
    <w:rsid w:val="00074F2A"/>
    <w:rsid w:val="000A1CA8"/>
    <w:rsid w:val="000A466B"/>
    <w:rsid w:val="000B058C"/>
    <w:rsid w:val="000D68B0"/>
    <w:rsid w:val="000E4EE6"/>
    <w:rsid w:val="0013264B"/>
    <w:rsid w:val="001454E2"/>
    <w:rsid w:val="001D3EA9"/>
    <w:rsid w:val="00206CE8"/>
    <w:rsid w:val="0021526C"/>
    <w:rsid w:val="002537DD"/>
    <w:rsid w:val="00283A2B"/>
    <w:rsid w:val="002B30AD"/>
    <w:rsid w:val="002C1EC0"/>
    <w:rsid w:val="002C2C01"/>
    <w:rsid w:val="00311E96"/>
    <w:rsid w:val="003A29AE"/>
    <w:rsid w:val="003A32D7"/>
    <w:rsid w:val="003B4074"/>
    <w:rsid w:val="003C769A"/>
    <w:rsid w:val="003D3A90"/>
    <w:rsid w:val="003F1838"/>
    <w:rsid w:val="004251C1"/>
    <w:rsid w:val="0045746C"/>
    <w:rsid w:val="0049104B"/>
    <w:rsid w:val="004E3B12"/>
    <w:rsid w:val="00532310"/>
    <w:rsid w:val="00565F0F"/>
    <w:rsid w:val="00594A86"/>
    <w:rsid w:val="00596D86"/>
    <w:rsid w:val="00637F5A"/>
    <w:rsid w:val="00641C65"/>
    <w:rsid w:val="006560B1"/>
    <w:rsid w:val="006756DD"/>
    <w:rsid w:val="00676D95"/>
    <w:rsid w:val="0071241E"/>
    <w:rsid w:val="00737275"/>
    <w:rsid w:val="00740EEC"/>
    <w:rsid w:val="0078011A"/>
    <w:rsid w:val="00782AF4"/>
    <w:rsid w:val="00790EE7"/>
    <w:rsid w:val="007B6649"/>
    <w:rsid w:val="00817058"/>
    <w:rsid w:val="0082576E"/>
    <w:rsid w:val="0089346F"/>
    <w:rsid w:val="008B627B"/>
    <w:rsid w:val="00907F75"/>
    <w:rsid w:val="009260DE"/>
    <w:rsid w:val="0093258A"/>
    <w:rsid w:val="009C7BA3"/>
    <w:rsid w:val="009D1F5A"/>
    <w:rsid w:val="00A10294"/>
    <w:rsid w:val="00A933E3"/>
    <w:rsid w:val="00AC001C"/>
    <w:rsid w:val="00B003BF"/>
    <w:rsid w:val="00B373D7"/>
    <w:rsid w:val="00B55271"/>
    <w:rsid w:val="00B94E8A"/>
    <w:rsid w:val="00BD7931"/>
    <w:rsid w:val="00BF6243"/>
    <w:rsid w:val="00C36276"/>
    <w:rsid w:val="00C42586"/>
    <w:rsid w:val="00C45F6B"/>
    <w:rsid w:val="00C60CCD"/>
    <w:rsid w:val="00C84483"/>
    <w:rsid w:val="00C95551"/>
    <w:rsid w:val="00C9754D"/>
    <w:rsid w:val="00CB20D7"/>
    <w:rsid w:val="00D020B0"/>
    <w:rsid w:val="00D03330"/>
    <w:rsid w:val="00D11748"/>
    <w:rsid w:val="00D237F6"/>
    <w:rsid w:val="00D34D98"/>
    <w:rsid w:val="00D366CF"/>
    <w:rsid w:val="00D93992"/>
    <w:rsid w:val="00E108AA"/>
    <w:rsid w:val="00E3749A"/>
    <w:rsid w:val="00E7437F"/>
    <w:rsid w:val="00E865B8"/>
    <w:rsid w:val="00EC0B9B"/>
    <w:rsid w:val="00ED5E9F"/>
    <w:rsid w:val="00F66D4F"/>
    <w:rsid w:val="00F95896"/>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5AD34"/>
  <w15:chartTrackingRefBased/>
  <w15:docId w15:val="{A59DA70C-ACD0-4B7A-B310-AA2881737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52430">
      <w:bodyDiv w:val="1"/>
      <w:marLeft w:val="0"/>
      <w:marRight w:val="0"/>
      <w:marTop w:val="0"/>
      <w:marBottom w:val="0"/>
      <w:divBdr>
        <w:top w:val="none" w:sz="0" w:space="0" w:color="auto"/>
        <w:left w:val="none" w:sz="0" w:space="0" w:color="auto"/>
        <w:bottom w:val="none" w:sz="0" w:space="0" w:color="auto"/>
        <w:right w:val="none" w:sz="0" w:space="0" w:color="auto"/>
      </w:divBdr>
    </w:div>
    <w:div w:id="93988849">
      <w:bodyDiv w:val="1"/>
      <w:marLeft w:val="0"/>
      <w:marRight w:val="0"/>
      <w:marTop w:val="0"/>
      <w:marBottom w:val="0"/>
      <w:divBdr>
        <w:top w:val="none" w:sz="0" w:space="0" w:color="auto"/>
        <w:left w:val="none" w:sz="0" w:space="0" w:color="auto"/>
        <w:bottom w:val="none" w:sz="0" w:space="0" w:color="auto"/>
        <w:right w:val="none" w:sz="0" w:space="0" w:color="auto"/>
      </w:divBdr>
    </w:div>
    <w:div w:id="16004973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70210341">
      <w:bodyDiv w:val="1"/>
      <w:marLeft w:val="0"/>
      <w:marRight w:val="0"/>
      <w:marTop w:val="0"/>
      <w:marBottom w:val="0"/>
      <w:divBdr>
        <w:top w:val="none" w:sz="0" w:space="0" w:color="auto"/>
        <w:left w:val="none" w:sz="0" w:space="0" w:color="auto"/>
        <w:bottom w:val="none" w:sz="0" w:space="0" w:color="auto"/>
        <w:right w:val="none" w:sz="0" w:space="0" w:color="auto"/>
      </w:divBdr>
    </w:div>
    <w:div w:id="303900111">
      <w:bodyDiv w:val="1"/>
      <w:marLeft w:val="0"/>
      <w:marRight w:val="0"/>
      <w:marTop w:val="0"/>
      <w:marBottom w:val="0"/>
      <w:divBdr>
        <w:top w:val="none" w:sz="0" w:space="0" w:color="auto"/>
        <w:left w:val="none" w:sz="0" w:space="0" w:color="auto"/>
        <w:bottom w:val="none" w:sz="0" w:space="0" w:color="auto"/>
        <w:right w:val="none" w:sz="0" w:space="0" w:color="auto"/>
      </w:divBdr>
    </w:div>
    <w:div w:id="365983128">
      <w:bodyDiv w:val="1"/>
      <w:marLeft w:val="0"/>
      <w:marRight w:val="0"/>
      <w:marTop w:val="0"/>
      <w:marBottom w:val="0"/>
      <w:divBdr>
        <w:top w:val="none" w:sz="0" w:space="0" w:color="auto"/>
        <w:left w:val="none" w:sz="0" w:space="0" w:color="auto"/>
        <w:bottom w:val="none" w:sz="0" w:space="0" w:color="auto"/>
        <w:right w:val="none" w:sz="0" w:space="0" w:color="auto"/>
      </w:divBdr>
    </w:div>
    <w:div w:id="420835900">
      <w:bodyDiv w:val="1"/>
      <w:marLeft w:val="0"/>
      <w:marRight w:val="0"/>
      <w:marTop w:val="0"/>
      <w:marBottom w:val="0"/>
      <w:divBdr>
        <w:top w:val="none" w:sz="0" w:space="0" w:color="auto"/>
        <w:left w:val="none" w:sz="0" w:space="0" w:color="auto"/>
        <w:bottom w:val="none" w:sz="0" w:space="0" w:color="auto"/>
        <w:right w:val="none" w:sz="0" w:space="0" w:color="auto"/>
      </w:divBdr>
    </w:div>
    <w:div w:id="507644176">
      <w:bodyDiv w:val="1"/>
      <w:marLeft w:val="0"/>
      <w:marRight w:val="0"/>
      <w:marTop w:val="0"/>
      <w:marBottom w:val="0"/>
      <w:divBdr>
        <w:top w:val="none" w:sz="0" w:space="0" w:color="auto"/>
        <w:left w:val="none" w:sz="0" w:space="0" w:color="auto"/>
        <w:bottom w:val="none" w:sz="0" w:space="0" w:color="auto"/>
        <w:right w:val="none" w:sz="0" w:space="0" w:color="auto"/>
      </w:divBdr>
    </w:div>
    <w:div w:id="534199047">
      <w:bodyDiv w:val="1"/>
      <w:marLeft w:val="0"/>
      <w:marRight w:val="0"/>
      <w:marTop w:val="0"/>
      <w:marBottom w:val="0"/>
      <w:divBdr>
        <w:top w:val="none" w:sz="0" w:space="0" w:color="auto"/>
        <w:left w:val="none" w:sz="0" w:space="0" w:color="auto"/>
        <w:bottom w:val="none" w:sz="0" w:space="0" w:color="auto"/>
        <w:right w:val="none" w:sz="0" w:space="0" w:color="auto"/>
      </w:divBdr>
    </w:div>
    <w:div w:id="571280589">
      <w:bodyDiv w:val="1"/>
      <w:marLeft w:val="0"/>
      <w:marRight w:val="0"/>
      <w:marTop w:val="0"/>
      <w:marBottom w:val="0"/>
      <w:divBdr>
        <w:top w:val="none" w:sz="0" w:space="0" w:color="auto"/>
        <w:left w:val="none" w:sz="0" w:space="0" w:color="auto"/>
        <w:bottom w:val="none" w:sz="0" w:space="0" w:color="auto"/>
        <w:right w:val="none" w:sz="0" w:space="0" w:color="auto"/>
      </w:divBdr>
    </w:div>
    <w:div w:id="597064122">
      <w:bodyDiv w:val="1"/>
      <w:marLeft w:val="0"/>
      <w:marRight w:val="0"/>
      <w:marTop w:val="0"/>
      <w:marBottom w:val="0"/>
      <w:divBdr>
        <w:top w:val="none" w:sz="0" w:space="0" w:color="auto"/>
        <w:left w:val="none" w:sz="0" w:space="0" w:color="auto"/>
        <w:bottom w:val="none" w:sz="0" w:space="0" w:color="auto"/>
        <w:right w:val="none" w:sz="0" w:space="0" w:color="auto"/>
      </w:divBdr>
    </w:div>
    <w:div w:id="658922240">
      <w:bodyDiv w:val="1"/>
      <w:marLeft w:val="0"/>
      <w:marRight w:val="0"/>
      <w:marTop w:val="0"/>
      <w:marBottom w:val="0"/>
      <w:divBdr>
        <w:top w:val="none" w:sz="0" w:space="0" w:color="auto"/>
        <w:left w:val="none" w:sz="0" w:space="0" w:color="auto"/>
        <w:bottom w:val="none" w:sz="0" w:space="0" w:color="auto"/>
        <w:right w:val="none" w:sz="0" w:space="0" w:color="auto"/>
      </w:divBdr>
    </w:div>
    <w:div w:id="766777544">
      <w:bodyDiv w:val="1"/>
      <w:marLeft w:val="0"/>
      <w:marRight w:val="0"/>
      <w:marTop w:val="0"/>
      <w:marBottom w:val="0"/>
      <w:divBdr>
        <w:top w:val="none" w:sz="0" w:space="0" w:color="auto"/>
        <w:left w:val="none" w:sz="0" w:space="0" w:color="auto"/>
        <w:bottom w:val="none" w:sz="0" w:space="0" w:color="auto"/>
        <w:right w:val="none" w:sz="0" w:space="0" w:color="auto"/>
      </w:divBdr>
    </w:div>
    <w:div w:id="798260855">
      <w:bodyDiv w:val="1"/>
      <w:marLeft w:val="0"/>
      <w:marRight w:val="0"/>
      <w:marTop w:val="0"/>
      <w:marBottom w:val="0"/>
      <w:divBdr>
        <w:top w:val="none" w:sz="0" w:space="0" w:color="auto"/>
        <w:left w:val="none" w:sz="0" w:space="0" w:color="auto"/>
        <w:bottom w:val="none" w:sz="0" w:space="0" w:color="auto"/>
        <w:right w:val="none" w:sz="0" w:space="0" w:color="auto"/>
      </w:divBdr>
    </w:div>
    <w:div w:id="802426716">
      <w:bodyDiv w:val="1"/>
      <w:marLeft w:val="0"/>
      <w:marRight w:val="0"/>
      <w:marTop w:val="0"/>
      <w:marBottom w:val="0"/>
      <w:divBdr>
        <w:top w:val="none" w:sz="0" w:space="0" w:color="auto"/>
        <w:left w:val="none" w:sz="0" w:space="0" w:color="auto"/>
        <w:bottom w:val="none" w:sz="0" w:space="0" w:color="auto"/>
        <w:right w:val="none" w:sz="0" w:space="0" w:color="auto"/>
      </w:divBdr>
    </w:div>
    <w:div w:id="854538543">
      <w:bodyDiv w:val="1"/>
      <w:marLeft w:val="0"/>
      <w:marRight w:val="0"/>
      <w:marTop w:val="0"/>
      <w:marBottom w:val="0"/>
      <w:divBdr>
        <w:top w:val="none" w:sz="0" w:space="0" w:color="auto"/>
        <w:left w:val="none" w:sz="0" w:space="0" w:color="auto"/>
        <w:bottom w:val="none" w:sz="0" w:space="0" w:color="auto"/>
        <w:right w:val="none" w:sz="0" w:space="0" w:color="auto"/>
      </w:divBdr>
    </w:div>
    <w:div w:id="875386714">
      <w:bodyDiv w:val="1"/>
      <w:marLeft w:val="0"/>
      <w:marRight w:val="0"/>
      <w:marTop w:val="0"/>
      <w:marBottom w:val="0"/>
      <w:divBdr>
        <w:top w:val="none" w:sz="0" w:space="0" w:color="auto"/>
        <w:left w:val="none" w:sz="0" w:space="0" w:color="auto"/>
        <w:bottom w:val="none" w:sz="0" w:space="0" w:color="auto"/>
        <w:right w:val="none" w:sz="0" w:space="0" w:color="auto"/>
      </w:divBdr>
    </w:div>
    <w:div w:id="936135202">
      <w:bodyDiv w:val="1"/>
      <w:marLeft w:val="0"/>
      <w:marRight w:val="0"/>
      <w:marTop w:val="0"/>
      <w:marBottom w:val="0"/>
      <w:divBdr>
        <w:top w:val="none" w:sz="0" w:space="0" w:color="auto"/>
        <w:left w:val="none" w:sz="0" w:space="0" w:color="auto"/>
        <w:bottom w:val="none" w:sz="0" w:space="0" w:color="auto"/>
        <w:right w:val="none" w:sz="0" w:space="0" w:color="auto"/>
      </w:divBdr>
    </w:div>
    <w:div w:id="942303251">
      <w:bodyDiv w:val="1"/>
      <w:marLeft w:val="0"/>
      <w:marRight w:val="0"/>
      <w:marTop w:val="0"/>
      <w:marBottom w:val="0"/>
      <w:divBdr>
        <w:top w:val="none" w:sz="0" w:space="0" w:color="auto"/>
        <w:left w:val="none" w:sz="0" w:space="0" w:color="auto"/>
        <w:bottom w:val="none" w:sz="0" w:space="0" w:color="auto"/>
        <w:right w:val="none" w:sz="0" w:space="0" w:color="auto"/>
      </w:divBdr>
    </w:div>
    <w:div w:id="955676949">
      <w:bodyDiv w:val="1"/>
      <w:marLeft w:val="0"/>
      <w:marRight w:val="0"/>
      <w:marTop w:val="0"/>
      <w:marBottom w:val="0"/>
      <w:divBdr>
        <w:top w:val="none" w:sz="0" w:space="0" w:color="auto"/>
        <w:left w:val="none" w:sz="0" w:space="0" w:color="auto"/>
        <w:bottom w:val="none" w:sz="0" w:space="0" w:color="auto"/>
        <w:right w:val="none" w:sz="0" w:space="0" w:color="auto"/>
      </w:divBdr>
    </w:div>
    <w:div w:id="988442197">
      <w:bodyDiv w:val="1"/>
      <w:marLeft w:val="0"/>
      <w:marRight w:val="0"/>
      <w:marTop w:val="0"/>
      <w:marBottom w:val="0"/>
      <w:divBdr>
        <w:top w:val="none" w:sz="0" w:space="0" w:color="auto"/>
        <w:left w:val="none" w:sz="0" w:space="0" w:color="auto"/>
        <w:bottom w:val="none" w:sz="0" w:space="0" w:color="auto"/>
        <w:right w:val="none" w:sz="0" w:space="0" w:color="auto"/>
      </w:divBdr>
    </w:div>
    <w:div w:id="1082609184">
      <w:bodyDiv w:val="1"/>
      <w:marLeft w:val="0"/>
      <w:marRight w:val="0"/>
      <w:marTop w:val="0"/>
      <w:marBottom w:val="0"/>
      <w:divBdr>
        <w:top w:val="none" w:sz="0" w:space="0" w:color="auto"/>
        <w:left w:val="none" w:sz="0" w:space="0" w:color="auto"/>
        <w:bottom w:val="none" w:sz="0" w:space="0" w:color="auto"/>
        <w:right w:val="none" w:sz="0" w:space="0" w:color="auto"/>
      </w:divBdr>
    </w:div>
    <w:div w:id="1093671417">
      <w:bodyDiv w:val="1"/>
      <w:marLeft w:val="0"/>
      <w:marRight w:val="0"/>
      <w:marTop w:val="0"/>
      <w:marBottom w:val="0"/>
      <w:divBdr>
        <w:top w:val="none" w:sz="0" w:space="0" w:color="auto"/>
        <w:left w:val="none" w:sz="0" w:space="0" w:color="auto"/>
        <w:bottom w:val="none" w:sz="0" w:space="0" w:color="auto"/>
        <w:right w:val="none" w:sz="0" w:space="0" w:color="auto"/>
      </w:divBdr>
    </w:div>
    <w:div w:id="1127699929">
      <w:bodyDiv w:val="1"/>
      <w:marLeft w:val="0"/>
      <w:marRight w:val="0"/>
      <w:marTop w:val="0"/>
      <w:marBottom w:val="0"/>
      <w:divBdr>
        <w:top w:val="none" w:sz="0" w:space="0" w:color="auto"/>
        <w:left w:val="none" w:sz="0" w:space="0" w:color="auto"/>
        <w:bottom w:val="none" w:sz="0" w:space="0" w:color="auto"/>
        <w:right w:val="none" w:sz="0" w:space="0" w:color="auto"/>
      </w:divBdr>
    </w:div>
    <w:div w:id="1133791161">
      <w:bodyDiv w:val="1"/>
      <w:marLeft w:val="0"/>
      <w:marRight w:val="0"/>
      <w:marTop w:val="0"/>
      <w:marBottom w:val="0"/>
      <w:divBdr>
        <w:top w:val="none" w:sz="0" w:space="0" w:color="auto"/>
        <w:left w:val="none" w:sz="0" w:space="0" w:color="auto"/>
        <w:bottom w:val="none" w:sz="0" w:space="0" w:color="auto"/>
        <w:right w:val="none" w:sz="0" w:space="0" w:color="auto"/>
      </w:divBdr>
    </w:div>
    <w:div w:id="1167214399">
      <w:bodyDiv w:val="1"/>
      <w:marLeft w:val="0"/>
      <w:marRight w:val="0"/>
      <w:marTop w:val="0"/>
      <w:marBottom w:val="0"/>
      <w:divBdr>
        <w:top w:val="none" w:sz="0" w:space="0" w:color="auto"/>
        <w:left w:val="none" w:sz="0" w:space="0" w:color="auto"/>
        <w:bottom w:val="none" w:sz="0" w:space="0" w:color="auto"/>
        <w:right w:val="none" w:sz="0" w:space="0" w:color="auto"/>
      </w:divBdr>
    </w:div>
    <w:div w:id="1167288315">
      <w:bodyDiv w:val="1"/>
      <w:marLeft w:val="0"/>
      <w:marRight w:val="0"/>
      <w:marTop w:val="0"/>
      <w:marBottom w:val="0"/>
      <w:divBdr>
        <w:top w:val="none" w:sz="0" w:space="0" w:color="auto"/>
        <w:left w:val="none" w:sz="0" w:space="0" w:color="auto"/>
        <w:bottom w:val="none" w:sz="0" w:space="0" w:color="auto"/>
        <w:right w:val="none" w:sz="0" w:space="0" w:color="auto"/>
      </w:divBdr>
    </w:div>
    <w:div w:id="1196306884">
      <w:bodyDiv w:val="1"/>
      <w:marLeft w:val="0"/>
      <w:marRight w:val="0"/>
      <w:marTop w:val="0"/>
      <w:marBottom w:val="0"/>
      <w:divBdr>
        <w:top w:val="none" w:sz="0" w:space="0" w:color="auto"/>
        <w:left w:val="none" w:sz="0" w:space="0" w:color="auto"/>
        <w:bottom w:val="none" w:sz="0" w:space="0" w:color="auto"/>
        <w:right w:val="none" w:sz="0" w:space="0" w:color="auto"/>
      </w:divBdr>
    </w:div>
    <w:div w:id="1276594881">
      <w:bodyDiv w:val="1"/>
      <w:marLeft w:val="0"/>
      <w:marRight w:val="0"/>
      <w:marTop w:val="0"/>
      <w:marBottom w:val="0"/>
      <w:divBdr>
        <w:top w:val="none" w:sz="0" w:space="0" w:color="auto"/>
        <w:left w:val="none" w:sz="0" w:space="0" w:color="auto"/>
        <w:bottom w:val="none" w:sz="0" w:space="0" w:color="auto"/>
        <w:right w:val="none" w:sz="0" w:space="0" w:color="auto"/>
      </w:divBdr>
    </w:div>
    <w:div w:id="1314336552">
      <w:bodyDiv w:val="1"/>
      <w:marLeft w:val="0"/>
      <w:marRight w:val="0"/>
      <w:marTop w:val="0"/>
      <w:marBottom w:val="0"/>
      <w:divBdr>
        <w:top w:val="none" w:sz="0" w:space="0" w:color="auto"/>
        <w:left w:val="none" w:sz="0" w:space="0" w:color="auto"/>
        <w:bottom w:val="none" w:sz="0" w:space="0" w:color="auto"/>
        <w:right w:val="none" w:sz="0" w:space="0" w:color="auto"/>
      </w:divBdr>
    </w:div>
    <w:div w:id="1319453816">
      <w:bodyDiv w:val="1"/>
      <w:marLeft w:val="0"/>
      <w:marRight w:val="0"/>
      <w:marTop w:val="0"/>
      <w:marBottom w:val="0"/>
      <w:divBdr>
        <w:top w:val="none" w:sz="0" w:space="0" w:color="auto"/>
        <w:left w:val="none" w:sz="0" w:space="0" w:color="auto"/>
        <w:bottom w:val="none" w:sz="0" w:space="0" w:color="auto"/>
        <w:right w:val="none" w:sz="0" w:space="0" w:color="auto"/>
      </w:divBdr>
    </w:div>
    <w:div w:id="1381052842">
      <w:bodyDiv w:val="1"/>
      <w:marLeft w:val="0"/>
      <w:marRight w:val="0"/>
      <w:marTop w:val="0"/>
      <w:marBottom w:val="0"/>
      <w:divBdr>
        <w:top w:val="none" w:sz="0" w:space="0" w:color="auto"/>
        <w:left w:val="none" w:sz="0" w:space="0" w:color="auto"/>
        <w:bottom w:val="none" w:sz="0" w:space="0" w:color="auto"/>
        <w:right w:val="none" w:sz="0" w:space="0" w:color="auto"/>
      </w:divBdr>
    </w:div>
    <w:div w:id="1453790554">
      <w:bodyDiv w:val="1"/>
      <w:marLeft w:val="0"/>
      <w:marRight w:val="0"/>
      <w:marTop w:val="0"/>
      <w:marBottom w:val="0"/>
      <w:divBdr>
        <w:top w:val="none" w:sz="0" w:space="0" w:color="auto"/>
        <w:left w:val="none" w:sz="0" w:space="0" w:color="auto"/>
        <w:bottom w:val="none" w:sz="0" w:space="0" w:color="auto"/>
        <w:right w:val="none" w:sz="0" w:space="0" w:color="auto"/>
      </w:divBdr>
    </w:div>
    <w:div w:id="1505440223">
      <w:bodyDiv w:val="1"/>
      <w:marLeft w:val="0"/>
      <w:marRight w:val="0"/>
      <w:marTop w:val="0"/>
      <w:marBottom w:val="0"/>
      <w:divBdr>
        <w:top w:val="none" w:sz="0" w:space="0" w:color="auto"/>
        <w:left w:val="none" w:sz="0" w:space="0" w:color="auto"/>
        <w:bottom w:val="none" w:sz="0" w:space="0" w:color="auto"/>
        <w:right w:val="none" w:sz="0" w:space="0" w:color="auto"/>
      </w:divBdr>
    </w:div>
    <w:div w:id="1606234903">
      <w:bodyDiv w:val="1"/>
      <w:marLeft w:val="0"/>
      <w:marRight w:val="0"/>
      <w:marTop w:val="0"/>
      <w:marBottom w:val="0"/>
      <w:divBdr>
        <w:top w:val="none" w:sz="0" w:space="0" w:color="auto"/>
        <w:left w:val="none" w:sz="0" w:space="0" w:color="auto"/>
        <w:bottom w:val="none" w:sz="0" w:space="0" w:color="auto"/>
        <w:right w:val="none" w:sz="0" w:space="0" w:color="auto"/>
      </w:divBdr>
    </w:div>
    <w:div w:id="1643120028">
      <w:bodyDiv w:val="1"/>
      <w:marLeft w:val="0"/>
      <w:marRight w:val="0"/>
      <w:marTop w:val="0"/>
      <w:marBottom w:val="0"/>
      <w:divBdr>
        <w:top w:val="none" w:sz="0" w:space="0" w:color="auto"/>
        <w:left w:val="none" w:sz="0" w:space="0" w:color="auto"/>
        <w:bottom w:val="none" w:sz="0" w:space="0" w:color="auto"/>
        <w:right w:val="none" w:sz="0" w:space="0" w:color="auto"/>
      </w:divBdr>
    </w:div>
    <w:div w:id="1764063937">
      <w:bodyDiv w:val="1"/>
      <w:marLeft w:val="0"/>
      <w:marRight w:val="0"/>
      <w:marTop w:val="0"/>
      <w:marBottom w:val="0"/>
      <w:divBdr>
        <w:top w:val="none" w:sz="0" w:space="0" w:color="auto"/>
        <w:left w:val="none" w:sz="0" w:space="0" w:color="auto"/>
        <w:bottom w:val="none" w:sz="0" w:space="0" w:color="auto"/>
        <w:right w:val="none" w:sz="0" w:space="0" w:color="auto"/>
      </w:divBdr>
    </w:div>
    <w:div w:id="1870532651">
      <w:bodyDiv w:val="1"/>
      <w:marLeft w:val="0"/>
      <w:marRight w:val="0"/>
      <w:marTop w:val="0"/>
      <w:marBottom w:val="0"/>
      <w:divBdr>
        <w:top w:val="none" w:sz="0" w:space="0" w:color="auto"/>
        <w:left w:val="none" w:sz="0" w:space="0" w:color="auto"/>
        <w:bottom w:val="none" w:sz="0" w:space="0" w:color="auto"/>
        <w:right w:val="none" w:sz="0" w:space="0" w:color="auto"/>
      </w:divBdr>
    </w:div>
    <w:div w:id="2033922212">
      <w:bodyDiv w:val="1"/>
      <w:marLeft w:val="0"/>
      <w:marRight w:val="0"/>
      <w:marTop w:val="0"/>
      <w:marBottom w:val="0"/>
      <w:divBdr>
        <w:top w:val="none" w:sz="0" w:space="0" w:color="auto"/>
        <w:left w:val="none" w:sz="0" w:space="0" w:color="auto"/>
        <w:bottom w:val="none" w:sz="0" w:space="0" w:color="auto"/>
        <w:right w:val="none" w:sz="0" w:space="0" w:color="auto"/>
      </w:divBdr>
    </w:div>
    <w:div w:id="2055033888">
      <w:bodyDiv w:val="1"/>
      <w:marLeft w:val="0"/>
      <w:marRight w:val="0"/>
      <w:marTop w:val="0"/>
      <w:marBottom w:val="0"/>
      <w:divBdr>
        <w:top w:val="none" w:sz="0" w:space="0" w:color="auto"/>
        <w:left w:val="none" w:sz="0" w:space="0" w:color="auto"/>
        <w:bottom w:val="none" w:sz="0" w:space="0" w:color="auto"/>
        <w:right w:val="none" w:sz="0" w:space="0" w:color="auto"/>
      </w:divBdr>
    </w:div>
    <w:div w:id="213878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54</TotalTime>
  <Pages>8</Pages>
  <Words>1752</Words>
  <Characters>12130</Characters>
  <Application>Microsoft Office Word</Application>
  <DocSecurity>0</DocSecurity>
  <Lines>101</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2025021726 mt</dc:description>
  <cp:lastModifiedBy>Hanne Thy Iversen</cp:lastModifiedBy>
  <cp:revision>11</cp:revision>
  <cp:lastPrinted>2012-08-22T08:53:00Z</cp:lastPrinted>
  <dcterms:created xsi:type="dcterms:W3CDTF">2025-05-22T11:51:00Z</dcterms:created>
  <dcterms:modified xsi:type="dcterms:W3CDTF">2025-05-26T08:35:00Z</dcterms:modified>
</cp:coreProperties>
</file>