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2354" w:rsidRPr="00C84483" w:rsidRDefault="00672354" w:rsidP="006876D8">
      <w:pPr>
        <w:rPr>
          <w:b/>
          <w:szCs w:val="24"/>
        </w:rPr>
      </w:pPr>
      <w:bookmarkStart w:id="0" w:name="_GoBack"/>
      <w:bookmarkEnd w:id="0"/>
      <w:r w:rsidRPr="009260DE">
        <w:rPr>
          <w:noProof/>
          <w:sz w:val="24"/>
          <w:szCs w:val="24"/>
          <w:lang w:eastAsia="da-DK"/>
        </w:rPr>
        <w:drawing>
          <wp:anchor distT="0" distB="0" distL="114300" distR="114300" simplePos="0" relativeHeight="251659264" behindDoc="0" locked="0" layoutInCell="1" allowOverlap="1" wp14:anchorId="573760A3" wp14:editId="02832C74">
            <wp:simplePos x="0" y="0"/>
            <wp:positionH relativeFrom="column">
              <wp:posOffset>0</wp:posOffset>
            </wp:positionH>
            <wp:positionV relativeFrom="paragraph">
              <wp:posOffset>76200</wp:posOffset>
            </wp:positionV>
            <wp:extent cx="2428875" cy="685800"/>
            <wp:effectExtent l="0" t="0" r="9525" b="0"/>
            <wp:wrapSquare wrapText="bothSides"/>
            <wp:docPr id="1" name="Billede 3" descr="C:\Users\marh\AppData\Local\Microsoft\Windows\Temporary Internet Files\Content.Outlook\3DQ1N8R9\LMST_auto_s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 descr="C:\Users\marh\AppData\Local\Microsoft\Windows\Temporary Internet Files\Content.Outlook\3DQ1N8R9\LMST_auto_sto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br w:type="textWrapping" w:clear="all"/>
      </w:r>
    </w:p>
    <w:p w:rsidR="00672354" w:rsidRPr="00C84483" w:rsidRDefault="00672354" w:rsidP="00672354">
      <w:pPr>
        <w:pStyle w:val="Titel"/>
        <w:tabs>
          <w:tab w:val="right" w:pos="9356"/>
        </w:tabs>
        <w:jc w:val="left"/>
        <w:rPr>
          <w:b w:val="0"/>
          <w:szCs w:val="24"/>
          <w:lang w:eastAsia="en-US"/>
        </w:rPr>
      </w:pPr>
      <w:r w:rsidRPr="00C84483">
        <w:rPr>
          <w:b w:val="0"/>
          <w:szCs w:val="24"/>
          <w:lang w:eastAsia="en-US"/>
        </w:rPr>
        <w:tab/>
      </w:r>
      <w:r w:rsidR="006876D8">
        <w:rPr>
          <w:szCs w:val="24"/>
        </w:rPr>
        <w:t>25. august 2020</w:t>
      </w:r>
    </w:p>
    <w:p w:rsidR="00672354" w:rsidRPr="00C84483" w:rsidRDefault="00672354" w:rsidP="00672354">
      <w:pPr>
        <w:pStyle w:val="Titel"/>
        <w:tabs>
          <w:tab w:val="left" w:pos="8222"/>
        </w:tabs>
        <w:jc w:val="left"/>
        <w:rPr>
          <w:b w:val="0"/>
          <w:szCs w:val="24"/>
        </w:rPr>
      </w:pPr>
    </w:p>
    <w:p w:rsidR="00672354" w:rsidRPr="00C84483" w:rsidRDefault="00672354" w:rsidP="00672354">
      <w:pPr>
        <w:pStyle w:val="Titel"/>
        <w:jc w:val="left"/>
        <w:rPr>
          <w:b w:val="0"/>
          <w:szCs w:val="24"/>
        </w:rPr>
      </w:pPr>
    </w:p>
    <w:p w:rsidR="00672354" w:rsidRPr="00C84483" w:rsidRDefault="00672354" w:rsidP="00672354">
      <w:pPr>
        <w:pStyle w:val="Titel"/>
        <w:jc w:val="left"/>
        <w:rPr>
          <w:b w:val="0"/>
          <w:szCs w:val="24"/>
        </w:rPr>
      </w:pPr>
    </w:p>
    <w:p w:rsidR="00672354" w:rsidRPr="00C84483" w:rsidRDefault="00672354" w:rsidP="00672354">
      <w:pPr>
        <w:jc w:val="center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PRODUKTRESUMÉ</w:t>
      </w:r>
    </w:p>
    <w:p w:rsidR="00672354" w:rsidRPr="00C84483" w:rsidRDefault="00672354" w:rsidP="00672354">
      <w:pPr>
        <w:jc w:val="center"/>
        <w:rPr>
          <w:b/>
          <w:sz w:val="24"/>
          <w:szCs w:val="24"/>
        </w:rPr>
      </w:pPr>
    </w:p>
    <w:p w:rsidR="00672354" w:rsidRDefault="00672354" w:rsidP="00672354">
      <w:pPr>
        <w:jc w:val="center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for</w:t>
      </w:r>
    </w:p>
    <w:p w:rsidR="00672354" w:rsidRPr="00C84483" w:rsidRDefault="00672354" w:rsidP="00672354">
      <w:pPr>
        <w:jc w:val="center"/>
        <w:rPr>
          <w:b/>
          <w:sz w:val="24"/>
          <w:szCs w:val="24"/>
        </w:rPr>
      </w:pPr>
    </w:p>
    <w:p w:rsidR="00672354" w:rsidRPr="00C84483" w:rsidRDefault="00672354" w:rsidP="0067235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Kalitabs, depottabletter</w:t>
      </w:r>
    </w:p>
    <w:p w:rsidR="00672354" w:rsidRPr="00C84483" w:rsidRDefault="00672354" w:rsidP="00672354">
      <w:pPr>
        <w:jc w:val="both"/>
        <w:rPr>
          <w:sz w:val="24"/>
          <w:szCs w:val="24"/>
        </w:rPr>
      </w:pPr>
    </w:p>
    <w:p w:rsidR="00672354" w:rsidRPr="00C84483" w:rsidRDefault="00672354" w:rsidP="00672354">
      <w:pPr>
        <w:jc w:val="both"/>
        <w:rPr>
          <w:sz w:val="24"/>
          <w:szCs w:val="24"/>
        </w:rPr>
      </w:pPr>
    </w:p>
    <w:p w:rsidR="00672354" w:rsidRPr="00C84483" w:rsidRDefault="00672354" w:rsidP="00672354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0.</w:t>
      </w:r>
      <w:r w:rsidRPr="00C84483">
        <w:rPr>
          <w:b/>
          <w:sz w:val="24"/>
          <w:szCs w:val="24"/>
        </w:rPr>
        <w:tab/>
        <w:t>D.SP.NR.</w:t>
      </w:r>
    </w:p>
    <w:p w:rsidR="00672354" w:rsidRPr="00C84483" w:rsidRDefault="00672354" w:rsidP="00672354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29465</w:t>
      </w:r>
    </w:p>
    <w:p w:rsidR="00672354" w:rsidRPr="00C84483" w:rsidRDefault="00672354" w:rsidP="00672354">
      <w:pPr>
        <w:tabs>
          <w:tab w:val="left" w:pos="851"/>
        </w:tabs>
        <w:ind w:left="851"/>
        <w:rPr>
          <w:sz w:val="24"/>
          <w:szCs w:val="24"/>
        </w:rPr>
      </w:pPr>
    </w:p>
    <w:p w:rsidR="00672354" w:rsidRPr="00C84483" w:rsidRDefault="00672354" w:rsidP="00672354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1.</w:t>
      </w:r>
      <w:r w:rsidRPr="00C84483">
        <w:rPr>
          <w:b/>
          <w:sz w:val="24"/>
          <w:szCs w:val="24"/>
        </w:rPr>
        <w:tab/>
        <w:t>LÆGEMIDLETS NAVN</w:t>
      </w:r>
    </w:p>
    <w:p w:rsidR="00672354" w:rsidRPr="00C84483" w:rsidRDefault="00672354" w:rsidP="00672354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Kalitabs</w:t>
      </w:r>
    </w:p>
    <w:p w:rsidR="00672354" w:rsidRPr="00C84483" w:rsidRDefault="00672354" w:rsidP="00672354">
      <w:pPr>
        <w:tabs>
          <w:tab w:val="left" w:pos="851"/>
        </w:tabs>
        <w:ind w:left="851"/>
        <w:rPr>
          <w:sz w:val="24"/>
          <w:szCs w:val="24"/>
        </w:rPr>
      </w:pPr>
    </w:p>
    <w:p w:rsidR="00672354" w:rsidRPr="00C84483" w:rsidRDefault="00672354" w:rsidP="00672354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2.</w:t>
      </w:r>
      <w:r w:rsidRPr="00C84483">
        <w:rPr>
          <w:b/>
          <w:sz w:val="24"/>
          <w:szCs w:val="24"/>
        </w:rPr>
        <w:tab/>
        <w:t>KVALITATIV OG KVANTITATIV SAMMENSÆTNING</w:t>
      </w:r>
    </w:p>
    <w:p w:rsidR="00672354" w:rsidRDefault="00672354" w:rsidP="00672354">
      <w:pPr>
        <w:ind w:left="851"/>
        <w:rPr>
          <w:sz w:val="24"/>
          <w:lang w:eastAsia="da-DK"/>
        </w:rPr>
      </w:pPr>
      <w:r>
        <w:rPr>
          <w:sz w:val="24"/>
          <w:lang w:eastAsia="da-DK"/>
        </w:rPr>
        <w:t>1 depottablet indeholder</w:t>
      </w:r>
      <w:r w:rsidRPr="00311840">
        <w:rPr>
          <w:sz w:val="24"/>
          <w:lang w:eastAsia="da-DK"/>
        </w:rPr>
        <w:t xml:space="preserve"> 750 mg </w:t>
      </w:r>
      <w:r>
        <w:rPr>
          <w:sz w:val="24"/>
          <w:lang w:eastAsia="da-DK"/>
        </w:rPr>
        <w:t>eller</w:t>
      </w:r>
      <w:r w:rsidRPr="00311840">
        <w:rPr>
          <w:sz w:val="24"/>
          <w:lang w:eastAsia="da-DK"/>
        </w:rPr>
        <w:t xml:space="preserve"> 1000 mg</w:t>
      </w:r>
      <w:r>
        <w:rPr>
          <w:sz w:val="24"/>
          <w:lang w:eastAsia="da-DK"/>
        </w:rPr>
        <w:t xml:space="preserve"> </w:t>
      </w:r>
      <w:proofErr w:type="spellStart"/>
      <w:r>
        <w:rPr>
          <w:sz w:val="24"/>
          <w:lang w:eastAsia="da-DK"/>
        </w:rPr>
        <w:t>k</w:t>
      </w:r>
      <w:r w:rsidRPr="00311840">
        <w:rPr>
          <w:sz w:val="24"/>
          <w:lang w:eastAsia="da-DK"/>
        </w:rPr>
        <w:t>aliumchlorid</w:t>
      </w:r>
      <w:proofErr w:type="spellEnd"/>
      <w:r>
        <w:rPr>
          <w:sz w:val="24"/>
          <w:lang w:eastAsia="da-DK"/>
        </w:rPr>
        <w:t>.</w:t>
      </w:r>
    </w:p>
    <w:p w:rsidR="00672354" w:rsidRPr="00311840" w:rsidRDefault="00672354" w:rsidP="00672354">
      <w:pPr>
        <w:ind w:left="851"/>
        <w:rPr>
          <w:sz w:val="24"/>
          <w:szCs w:val="22"/>
          <w:lang w:eastAsia="da-DK"/>
        </w:rPr>
      </w:pPr>
    </w:p>
    <w:p w:rsidR="00672354" w:rsidRPr="002407FC" w:rsidRDefault="00672354" w:rsidP="00672354">
      <w:pPr>
        <w:ind w:left="851"/>
        <w:rPr>
          <w:sz w:val="24"/>
          <w:lang w:eastAsia="da-DK"/>
        </w:rPr>
      </w:pPr>
      <w:r w:rsidRPr="00311840">
        <w:rPr>
          <w:sz w:val="24"/>
          <w:lang w:eastAsia="da-DK"/>
        </w:rPr>
        <w:t>Alle hjælpestoffer er anført under pkt. 6.1.</w:t>
      </w:r>
    </w:p>
    <w:p w:rsidR="00672354" w:rsidRPr="00C84483" w:rsidRDefault="00672354" w:rsidP="00672354">
      <w:pPr>
        <w:tabs>
          <w:tab w:val="left" w:pos="851"/>
        </w:tabs>
        <w:ind w:left="851"/>
        <w:rPr>
          <w:sz w:val="24"/>
          <w:szCs w:val="24"/>
        </w:rPr>
      </w:pPr>
    </w:p>
    <w:p w:rsidR="00672354" w:rsidRPr="00C84483" w:rsidRDefault="00672354" w:rsidP="00672354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3.</w:t>
      </w:r>
      <w:r w:rsidRPr="00C84483">
        <w:rPr>
          <w:b/>
          <w:sz w:val="24"/>
          <w:szCs w:val="24"/>
        </w:rPr>
        <w:tab/>
        <w:t>LÆGEMIDDELFORM</w:t>
      </w:r>
    </w:p>
    <w:p w:rsidR="00672354" w:rsidRDefault="00672354" w:rsidP="00672354">
      <w:pPr>
        <w:ind w:left="851"/>
        <w:rPr>
          <w:sz w:val="24"/>
          <w:lang w:eastAsia="da-DK"/>
        </w:rPr>
      </w:pPr>
      <w:r>
        <w:rPr>
          <w:sz w:val="24"/>
          <w:lang w:eastAsia="da-DK"/>
        </w:rPr>
        <w:t>Depottabletter</w:t>
      </w:r>
    </w:p>
    <w:p w:rsidR="00672354" w:rsidRPr="00311840" w:rsidRDefault="00672354" w:rsidP="00672354">
      <w:pPr>
        <w:ind w:left="851"/>
        <w:rPr>
          <w:sz w:val="24"/>
          <w:szCs w:val="22"/>
          <w:lang w:eastAsia="da-DK"/>
        </w:rPr>
      </w:pPr>
    </w:p>
    <w:p w:rsidR="00672354" w:rsidRPr="00311840" w:rsidRDefault="00672354" w:rsidP="00672354">
      <w:pPr>
        <w:shd w:val="clear" w:color="auto" w:fill="FFFFFF"/>
        <w:ind w:left="851"/>
        <w:rPr>
          <w:sz w:val="24"/>
          <w:szCs w:val="22"/>
          <w:lang w:eastAsia="da-DK"/>
        </w:rPr>
      </w:pPr>
      <w:r w:rsidRPr="00311840">
        <w:rPr>
          <w:sz w:val="24"/>
          <w:lang w:eastAsia="da-DK"/>
        </w:rPr>
        <w:t>750 mg: Hvid, hvælvet, filmovertrukket</w:t>
      </w:r>
      <w:r>
        <w:rPr>
          <w:sz w:val="24"/>
          <w:lang w:eastAsia="da-DK"/>
        </w:rPr>
        <w:t>,</w:t>
      </w:r>
      <w:r w:rsidRPr="00311840">
        <w:rPr>
          <w:sz w:val="24"/>
          <w:lang w:eastAsia="da-DK"/>
        </w:rPr>
        <w:t xml:space="preserve"> oval tablet, 16 x 6,8 mm</w:t>
      </w:r>
      <w:r>
        <w:rPr>
          <w:sz w:val="24"/>
          <w:lang w:eastAsia="da-DK"/>
        </w:rPr>
        <w:t>.</w:t>
      </w:r>
    </w:p>
    <w:p w:rsidR="00672354" w:rsidRPr="00B255D1" w:rsidRDefault="00672354" w:rsidP="00672354">
      <w:pPr>
        <w:ind w:left="851"/>
        <w:rPr>
          <w:sz w:val="24"/>
          <w:szCs w:val="22"/>
          <w:lang w:eastAsia="da-DK"/>
        </w:rPr>
      </w:pPr>
      <w:r w:rsidRPr="00311840">
        <w:rPr>
          <w:sz w:val="24"/>
          <w:lang w:eastAsia="da-DK"/>
        </w:rPr>
        <w:t>1000 mg: Hvid, hvælvet, filmovertrukket</w:t>
      </w:r>
      <w:r>
        <w:rPr>
          <w:sz w:val="24"/>
          <w:lang w:eastAsia="da-DK"/>
        </w:rPr>
        <w:t>,</w:t>
      </w:r>
      <w:r w:rsidRPr="00311840">
        <w:rPr>
          <w:sz w:val="24"/>
          <w:lang w:eastAsia="da-DK"/>
        </w:rPr>
        <w:t xml:space="preserve"> oval tablet, 18 x 7,4 mm</w:t>
      </w:r>
      <w:r>
        <w:rPr>
          <w:sz w:val="24"/>
          <w:lang w:eastAsia="da-DK"/>
        </w:rPr>
        <w:t>.</w:t>
      </w:r>
    </w:p>
    <w:p w:rsidR="00672354" w:rsidRPr="00C84483" w:rsidRDefault="00672354" w:rsidP="00672354">
      <w:pPr>
        <w:tabs>
          <w:tab w:val="left" w:pos="851"/>
        </w:tabs>
        <w:ind w:left="851"/>
        <w:rPr>
          <w:sz w:val="24"/>
          <w:szCs w:val="24"/>
        </w:rPr>
      </w:pPr>
    </w:p>
    <w:p w:rsidR="00672354" w:rsidRPr="00C84483" w:rsidRDefault="00672354" w:rsidP="00672354">
      <w:pPr>
        <w:tabs>
          <w:tab w:val="left" w:pos="851"/>
        </w:tabs>
        <w:ind w:left="851"/>
        <w:rPr>
          <w:sz w:val="24"/>
          <w:szCs w:val="24"/>
        </w:rPr>
      </w:pPr>
    </w:p>
    <w:p w:rsidR="00672354" w:rsidRPr="00C84483" w:rsidRDefault="00672354" w:rsidP="00672354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</w:t>
      </w:r>
      <w:r w:rsidRPr="00C84483">
        <w:rPr>
          <w:b/>
          <w:sz w:val="24"/>
          <w:szCs w:val="24"/>
        </w:rPr>
        <w:tab/>
        <w:t>KLINISKE OPLYSNINGER</w:t>
      </w:r>
    </w:p>
    <w:p w:rsidR="00672354" w:rsidRPr="00C84483" w:rsidRDefault="00672354" w:rsidP="00672354">
      <w:pPr>
        <w:tabs>
          <w:tab w:val="left" w:pos="851"/>
        </w:tabs>
        <w:ind w:left="851"/>
        <w:rPr>
          <w:b/>
          <w:sz w:val="24"/>
          <w:szCs w:val="24"/>
        </w:rPr>
      </w:pPr>
    </w:p>
    <w:p w:rsidR="00672354" w:rsidRPr="00C84483" w:rsidRDefault="00672354" w:rsidP="00672354">
      <w:pPr>
        <w:tabs>
          <w:tab w:val="left" w:pos="851"/>
        </w:tabs>
        <w:ind w:left="851" w:hanging="851"/>
        <w:rPr>
          <w:b/>
          <w:sz w:val="24"/>
          <w:szCs w:val="24"/>
          <w:u w:val="single"/>
        </w:rPr>
      </w:pPr>
      <w:r w:rsidRPr="00C84483">
        <w:rPr>
          <w:b/>
          <w:sz w:val="24"/>
          <w:szCs w:val="24"/>
        </w:rPr>
        <w:t>4.1</w:t>
      </w:r>
      <w:r w:rsidRPr="00C84483">
        <w:rPr>
          <w:b/>
          <w:sz w:val="24"/>
          <w:szCs w:val="24"/>
        </w:rPr>
        <w:tab/>
        <w:t>Terapeutiske indikationer</w:t>
      </w:r>
    </w:p>
    <w:p w:rsidR="00672354" w:rsidRPr="00311840" w:rsidRDefault="00672354" w:rsidP="00672354">
      <w:pPr>
        <w:ind w:left="851"/>
        <w:rPr>
          <w:sz w:val="24"/>
          <w:szCs w:val="22"/>
          <w:lang w:eastAsia="da-DK"/>
        </w:rPr>
      </w:pPr>
      <w:proofErr w:type="spellStart"/>
      <w:r w:rsidRPr="00311840">
        <w:rPr>
          <w:sz w:val="24"/>
          <w:lang w:eastAsia="da-DK"/>
        </w:rPr>
        <w:t>Hypokaliæmi</w:t>
      </w:r>
      <w:proofErr w:type="spellEnd"/>
      <w:r w:rsidRPr="00311840">
        <w:rPr>
          <w:sz w:val="24"/>
          <w:lang w:eastAsia="da-DK"/>
        </w:rPr>
        <w:t xml:space="preserve">. </w:t>
      </w:r>
    </w:p>
    <w:p w:rsidR="00672354" w:rsidRPr="00B255D1" w:rsidRDefault="00672354" w:rsidP="00672354">
      <w:pPr>
        <w:ind w:left="851"/>
        <w:rPr>
          <w:sz w:val="24"/>
          <w:szCs w:val="22"/>
          <w:lang w:eastAsia="da-DK"/>
        </w:rPr>
      </w:pPr>
      <w:r w:rsidRPr="00311840">
        <w:rPr>
          <w:sz w:val="24"/>
          <w:lang w:eastAsia="da-DK"/>
        </w:rPr>
        <w:t xml:space="preserve">Forebyggelse af </w:t>
      </w:r>
      <w:proofErr w:type="spellStart"/>
      <w:r w:rsidRPr="00311840">
        <w:rPr>
          <w:sz w:val="24"/>
          <w:lang w:eastAsia="da-DK"/>
        </w:rPr>
        <w:t>hypokaliæmi</w:t>
      </w:r>
      <w:proofErr w:type="spellEnd"/>
      <w:r w:rsidRPr="00311840">
        <w:rPr>
          <w:sz w:val="24"/>
          <w:lang w:eastAsia="da-DK"/>
        </w:rPr>
        <w:t xml:space="preserve"> i forbindelse med </w:t>
      </w:r>
      <w:proofErr w:type="spellStart"/>
      <w:r w:rsidRPr="00311840">
        <w:rPr>
          <w:sz w:val="24"/>
          <w:lang w:eastAsia="da-DK"/>
        </w:rPr>
        <w:t>diuretikabehandling</w:t>
      </w:r>
      <w:proofErr w:type="spellEnd"/>
      <w:r w:rsidRPr="00311840">
        <w:rPr>
          <w:sz w:val="24"/>
          <w:lang w:eastAsia="da-DK"/>
        </w:rPr>
        <w:t>.</w:t>
      </w:r>
    </w:p>
    <w:p w:rsidR="00672354" w:rsidRPr="00C84483" w:rsidRDefault="00672354" w:rsidP="00672354">
      <w:pPr>
        <w:tabs>
          <w:tab w:val="left" w:pos="851"/>
        </w:tabs>
        <w:ind w:left="851"/>
        <w:rPr>
          <w:sz w:val="24"/>
          <w:szCs w:val="24"/>
        </w:rPr>
      </w:pPr>
    </w:p>
    <w:p w:rsidR="00672354" w:rsidRPr="00C84483" w:rsidRDefault="00672354" w:rsidP="00672354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4.2</w:t>
      </w:r>
      <w:r w:rsidRPr="00C84483">
        <w:rPr>
          <w:b/>
          <w:sz w:val="24"/>
          <w:szCs w:val="24"/>
        </w:rPr>
        <w:tab/>
        <w:t>Dosering og indgivelsesmåde</w:t>
      </w:r>
    </w:p>
    <w:p w:rsidR="00672354" w:rsidRDefault="00672354" w:rsidP="00672354">
      <w:pPr>
        <w:ind w:left="851"/>
        <w:rPr>
          <w:sz w:val="24"/>
          <w:u w:val="single"/>
          <w:lang w:eastAsia="da-DK"/>
        </w:rPr>
      </w:pPr>
    </w:p>
    <w:p w:rsidR="00672354" w:rsidRPr="00311840" w:rsidRDefault="00672354" w:rsidP="00672354">
      <w:pPr>
        <w:ind w:left="851"/>
        <w:rPr>
          <w:sz w:val="24"/>
          <w:szCs w:val="22"/>
          <w:u w:val="single"/>
          <w:lang w:eastAsia="da-DK"/>
        </w:rPr>
      </w:pPr>
      <w:r w:rsidRPr="00311840">
        <w:rPr>
          <w:sz w:val="24"/>
          <w:u w:val="single"/>
          <w:lang w:eastAsia="da-DK"/>
        </w:rPr>
        <w:t>Dosering</w:t>
      </w:r>
    </w:p>
    <w:p w:rsidR="00672354" w:rsidRPr="00311840" w:rsidRDefault="00672354" w:rsidP="00672354">
      <w:pPr>
        <w:ind w:left="851"/>
        <w:rPr>
          <w:i/>
          <w:iCs/>
          <w:color w:val="000000"/>
          <w:sz w:val="24"/>
          <w:szCs w:val="22"/>
          <w:lang w:eastAsia="da-DK"/>
        </w:rPr>
      </w:pPr>
    </w:p>
    <w:p w:rsidR="00672354" w:rsidRPr="00311840" w:rsidRDefault="00672354" w:rsidP="00672354">
      <w:pPr>
        <w:ind w:left="851"/>
        <w:rPr>
          <w:sz w:val="24"/>
          <w:szCs w:val="22"/>
          <w:lang w:eastAsia="da-DK"/>
        </w:rPr>
      </w:pPr>
      <w:r w:rsidRPr="00311840">
        <w:rPr>
          <w:i/>
          <w:color w:val="000000"/>
          <w:sz w:val="24"/>
          <w:lang w:eastAsia="da-DK"/>
        </w:rPr>
        <w:t>Voksne</w:t>
      </w:r>
    </w:p>
    <w:p w:rsidR="00672354" w:rsidRPr="00311840" w:rsidRDefault="00672354" w:rsidP="00672354">
      <w:pPr>
        <w:ind w:left="851"/>
        <w:rPr>
          <w:sz w:val="24"/>
          <w:szCs w:val="22"/>
          <w:lang w:eastAsia="da-DK"/>
        </w:rPr>
      </w:pPr>
      <w:r w:rsidRPr="00311840">
        <w:rPr>
          <w:sz w:val="24"/>
          <w:lang w:eastAsia="da-DK"/>
        </w:rPr>
        <w:t xml:space="preserve">Profylaktisk, generelt for 750 mg: 1-2 tabletter, 2-3 gange </w:t>
      </w:r>
      <w:r>
        <w:rPr>
          <w:sz w:val="24"/>
          <w:lang w:eastAsia="da-DK"/>
        </w:rPr>
        <w:t>daglig</w:t>
      </w:r>
      <w:r w:rsidRPr="00311840">
        <w:rPr>
          <w:sz w:val="24"/>
          <w:lang w:eastAsia="da-DK"/>
        </w:rPr>
        <w:t xml:space="preserve"> og for 1000 mg: 1 tablet to gange </w:t>
      </w:r>
      <w:r>
        <w:rPr>
          <w:sz w:val="24"/>
          <w:lang w:eastAsia="da-DK"/>
        </w:rPr>
        <w:t>daglig</w:t>
      </w:r>
      <w:r w:rsidRPr="00311840">
        <w:rPr>
          <w:sz w:val="24"/>
          <w:lang w:eastAsia="da-DK"/>
        </w:rPr>
        <w:t>.</w:t>
      </w:r>
    </w:p>
    <w:p w:rsidR="00672354" w:rsidRPr="00311840" w:rsidRDefault="00672354" w:rsidP="00672354">
      <w:pPr>
        <w:ind w:left="851"/>
        <w:rPr>
          <w:sz w:val="24"/>
          <w:szCs w:val="22"/>
          <w:lang w:eastAsia="da-DK"/>
        </w:rPr>
      </w:pPr>
    </w:p>
    <w:p w:rsidR="00672354" w:rsidRPr="00311840" w:rsidRDefault="00672354" w:rsidP="00672354">
      <w:pPr>
        <w:ind w:left="851"/>
        <w:rPr>
          <w:sz w:val="24"/>
          <w:lang w:eastAsia="da-DK"/>
        </w:rPr>
      </w:pPr>
      <w:r w:rsidRPr="00311840">
        <w:rPr>
          <w:sz w:val="24"/>
          <w:lang w:eastAsia="da-DK"/>
        </w:rPr>
        <w:t xml:space="preserve">Ved </w:t>
      </w:r>
      <w:proofErr w:type="spellStart"/>
      <w:r w:rsidRPr="00311840">
        <w:rPr>
          <w:sz w:val="24"/>
          <w:lang w:eastAsia="da-DK"/>
        </w:rPr>
        <w:t>hypokaliæmi</w:t>
      </w:r>
      <w:proofErr w:type="spellEnd"/>
      <w:r w:rsidRPr="00311840">
        <w:rPr>
          <w:sz w:val="24"/>
          <w:lang w:eastAsia="da-DK"/>
        </w:rPr>
        <w:t xml:space="preserve"> skal dosis justeres individuelt i henhold til serum-kaliumniveauer. Generelt for 750 mg er 2 tabletter 2-3 gange </w:t>
      </w:r>
      <w:r>
        <w:rPr>
          <w:sz w:val="24"/>
          <w:lang w:eastAsia="da-DK"/>
        </w:rPr>
        <w:t>daglig</w:t>
      </w:r>
      <w:r w:rsidRPr="00311840">
        <w:rPr>
          <w:sz w:val="24"/>
          <w:lang w:eastAsia="da-DK"/>
        </w:rPr>
        <w:t xml:space="preserve"> nok, indtil serum-kaliumniveauet er </w:t>
      </w:r>
      <w:r w:rsidRPr="00311840">
        <w:rPr>
          <w:sz w:val="24"/>
          <w:lang w:eastAsia="da-DK"/>
        </w:rPr>
        <w:lastRenderedPageBreak/>
        <w:t xml:space="preserve">forbedret. Derefter vil doseringen generelt være 1-2 tabletter to gange </w:t>
      </w:r>
      <w:r>
        <w:rPr>
          <w:sz w:val="24"/>
          <w:lang w:eastAsia="da-DK"/>
        </w:rPr>
        <w:t>daglig</w:t>
      </w:r>
      <w:r w:rsidRPr="00311840">
        <w:rPr>
          <w:sz w:val="24"/>
          <w:lang w:eastAsia="da-DK"/>
        </w:rPr>
        <w:t xml:space="preserve">. For 1000 mg er doseringen generelt 2 tabletter 2 gange </w:t>
      </w:r>
      <w:r>
        <w:rPr>
          <w:sz w:val="24"/>
          <w:lang w:eastAsia="da-DK"/>
        </w:rPr>
        <w:t>daglig</w:t>
      </w:r>
      <w:r w:rsidRPr="00311840">
        <w:rPr>
          <w:sz w:val="24"/>
          <w:lang w:eastAsia="da-DK"/>
        </w:rPr>
        <w:t>.</w:t>
      </w:r>
    </w:p>
    <w:p w:rsidR="00672354" w:rsidRPr="00311840" w:rsidRDefault="00672354" w:rsidP="00672354">
      <w:pPr>
        <w:ind w:left="851"/>
        <w:rPr>
          <w:sz w:val="24"/>
          <w:szCs w:val="22"/>
          <w:lang w:eastAsia="da-DK"/>
        </w:rPr>
      </w:pPr>
      <w:r w:rsidRPr="00311840">
        <w:rPr>
          <w:sz w:val="24"/>
          <w:lang w:eastAsia="da-DK"/>
        </w:rPr>
        <w:t>Serum-kalium bør måles regelmæssigt for at justere doseringen in henhold til virkningen.</w:t>
      </w:r>
    </w:p>
    <w:p w:rsidR="00672354" w:rsidRPr="00311840" w:rsidRDefault="00672354" w:rsidP="00672354">
      <w:pPr>
        <w:ind w:left="851"/>
        <w:rPr>
          <w:sz w:val="24"/>
          <w:szCs w:val="22"/>
          <w:lang w:eastAsia="da-DK"/>
        </w:rPr>
      </w:pPr>
    </w:p>
    <w:p w:rsidR="00672354" w:rsidRPr="00311840" w:rsidRDefault="00672354" w:rsidP="00672354">
      <w:pPr>
        <w:autoSpaceDE w:val="0"/>
        <w:autoSpaceDN w:val="0"/>
        <w:adjustRightInd w:val="0"/>
        <w:ind w:left="851"/>
        <w:rPr>
          <w:i/>
          <w:iCs/>
          <w:color w:val="000000"/>
          <w:sz w:val="24"/>
          <w:szCs w:val="22"/>
          <w:lang w:eastAsia="da-DK"/>
        </w:rPr>
      </w:pPr>
      <w:r w:rsidRPr="00311840">
        <w:rPr>
          <w:i/>
          <w:color w:val="000000"/>
          <w:sz w:val="24"/>
          <w:lang w:eastAsia="da-DK"/>
        </w:rPr>
        <w:t>Ældre</w:t>
      </w:r>
    </w:p>
    <w:p w:rsidR="00672354" w:rsidRPr="00311840" w:rsidRDefault="00672354" w:rsidP="00672354">
      <w:pPr>
        <w:ind w:left="851"/>
        <w:rPr>
          <w:sz w:val="24"/>
          <w:szCs w:val="22"/>
          <w:lang w:eastAsia="da-DK"/>
        </w:rPr>
      </w:pPr>
      <w:r w:rsidRPr="00311840">
        <w:rPr>
          <w:sz w:val="24"/>
          <w:lang w:eastAsia="da-DK"/>
        </w:rPr>
        <w:t>Doseringsanbefalinger for ældre patienter med normal nyrefunktion er de samme som for voksne med normal nyrefunktion. Da ældre patienter imidlertid kan have nedsat nyrefunktion, kan dosisjusteringer være nødvendige i henhold til deres nyrefunktionsstatus (Se Nedsat nyrefunktion nedenfor).</w:t>
      </w:r>
    </w:p>
    <w:p w:rsidR="00672354" w:rsidRPr="00311840" w:rsidRDefault="00672354" w:rsidP="00672354">
      <w:pPr>
        <w:autoSpaceDE w:val="0"/>
        <w:autoSpaceDN w:val="0"/>
        <w:adjustRightInd w:val="0"/>
        <w:ind w:left="851"/>
        <w:rPr>
          <w:i/>
          <w:iCs/>
          <w:color w:val="000000"/>
          <w:sz w:val="24"/>
          <w:szCs w:val="22"/>
          <w:lang w:eastAsia="da-DK"/>
        </w:rPr>
      </w:pPr>
    </w:p>
    <w:p w:rsidR="00672354" w:rsidRPr="00311840" w:rsidRDefault="00672354" w:rsidP="00672354">
      <w:pPr>
        <w:autoSpaceDE w:val="0"/>
        <w:autoSpaceDN w:val="0"/>
        <w:adjustRightInd w:val="0"/>
        <w:ind w:left="851"/>
        <w:rPr>
          <w:color w:val="000000"/>
          <w:sz w:val="24"/>
          <w:szCs w:val="22"/>
          <w:lang w:eastAsia="da-DK"/>
        </w:rPr>
      </w:pPr>
      <w:r>
        <w:rPr>
          <w:i/>
          <w:color w:val="000000"/>
          <w:sz w:val="24"/>
          <w:lang w:eastAsia="da-DK"/>
        </w:rPr>
        <w:t>Pædiatrisk population</w:t>
      </w:r>
    </w:p>
    <w:p w:rsidR="00672354" w:rsidRPr="00311840" w:rsidRDefault="00672354" w:rsidP="00672354">
      <w:pPr>
        <w:autoSpaceDE w:val="0"/>
        <w:autoSpaceDN w:val="0"/>
        <w:adjustRightInd w:val="0"/>
        <w:ind w:left="851"/>
        <w:rPr>
          <w:i/>
          <w:iCs/>
          <w:color w:val="000000"/>
          <w:sz w:val="24"/>
          <w:szCs w:val="22"/>
          <w:lang w:eastAsia="da-DK"/>
        </w:rPr>
      </w:pPr>
      <w:r w:rsidRPr="00311840">
        <w:rPr>
          <w:color w:val="000000"/>
          <w:sz w:val="24"/>
          <w:lang w:eastAsia="da-DK"/>
        </w:rPr>
        <w:t>Kalitabs' sikkerhed og virkning hos børn og unge i alderen under 18 år er ikke klarlagt. Der foreligger ingen data.</w:t>
      </w:r>
    </w:p>
    <w:p w:rsidR="00672354" w:rsidRPr="00311840" w:rsidRDefault="00672354" w:rsidP="00672354">
      <w:pPr>
        <w:autoSpaceDE w:val="0"/>
        <w:autoSpaceDN w:val="0"/>
        <w:adjustRightInd w:val="0"/>
        <w:ind w:left="851"/>
        <w:rPr>
          <w:i/>
          <w:iCs/>
          <w:color w:val="000000"/>
          <w:sz w:val="24"/>
          <w:szCs w:val="22"/>
          <w:lang w:eastAsia="da-DK"/>
        </w:rPr>
      </w:pPr>
    </w:p>
    <w:p w:rsidR="00672354" w:rsidRPr="00311840" w:rsidRDefault="00672354" w:rsidP="00672354">
      <w:pPr>
        <w:autoSpaceDE w:val="0"/>
        <w:autoSpaceDN w:val="0"/>
        <w:adjustRightInd w:val="0"/>
        <w:ind w:left="851"/>
        <w:rPr>
          <w:color w:val="000000"/>
          <w:sz w:val="24"/>
          <w:szCs w:val="22"/>
          <w:lang w:eastAsia="da-DK"/>
        </w:rPr>
      </w:pPr>
      <w:r>
        <w:rPr>
          <w:i/>
          <w:color w:val="000000"/>
          <w:sz w:val="24"/>
          <w:lang w:eastAsia="da-DK"/>
        </w:rPr>
        <w:t>Nedsat nyrefunktion</w:t>
      </w:r>
    </w:p>
    <w:p w:rsidR="00672354" w:rsidRPr="00311840" w:rsidRDefault="00672354" w:rsidP="00672354">
      <w:pPr>
        <w:ind w:left="851"/>
        <w:rPr>
          <w:sz w:val="24"/>
          <w:szCs w:val="22"/>
          <w:lang w:eastAsia="da-DK"/>
        </w:rPr>
      </w:pPr>
      <w:r w:rsidRPr="00311840">
        <w:rPr>
          <w:color w:val="000000"/>
          <w:sz w:val="24"/>
          <w:lang w:eastAsia="da-DK"/>
        </w:rPr>
        <w:t>En individuelt justeret dosisreduktion er nødvendig for patienter med let til moderat nedsat nyrefunktion.</w:t>
      </w:r>
      <w:r w:rsidRPr="00311840">
        <w:rPr>
          <w:sz w:val="24"/>
          <w:lang w:eastAsia="da-DK"/>
        </w:rPr>
        <w:t xml:space="preserve"> Kalitabs bør ikke anvendes til patienter med svært nedsat nyrefunktion (se pkt. 4.3 og 4.4).</w:t>
      </w:r>
    </w:p>
    <w:p w:rsidR="00672354" w:rsidRPr="00311840" w:rsidRDefault="00672354" w:rsidP="00672354">
      <w:pPr>
        <w:autoSpaceDE w:val="0"/>
        <w:autoSpaceDN w:val="0"/>
        <w:adjustRightInd w:val="0"/>
        <w:ind w:left="851"/>
        <w:rPr>
          <w:b/>
          <w:i/>
          <w:sz w:val="24"/>
          <w:szCs w:val="22"/>
          <w:lang w:eastAsia="da-DK"/>
        </w:rPr>
      </w:pPr>
    </w:p>
    <w:p w:rsidR="00672354" w:rsidRPr="00311840" w:rsidRDefault="00672354" w:rsidP="00672354">
      <w:pPr>
        <w:ind w:left="851"/>
        <w:rPr>
          <w:sz w:val="24"/>
          <w:szCs w:val="22"/>
          <w:u w:val="single"/>
          <w:lang w:eastAsia="da-DK"/>
        </w:rPr>
      </w:pPr>
      <w:r w:rsidRPr="00311840">
        <w:rPr>
          <w:sz w:val="24"/>
          <w:u w:val="single"/>
          <w:lang w:eastAsia="da-DK"/>
        </w:rPr>
        <w:t xml:space="preserve">Administration </w:t>
      </w:r>
    </w:p>
    <w:p w:rsidR="00672354" w:rsidRPr="00B255D1" w:rsidRDefault="00672354" w:rsidP="00672354">
      <w:pPr>
        <w:ind w:left="851"/>
        <w:rPr>
          <w:sz w:val="24"/>
          <w:szCs w:val="22"/>
          <w:u w:val="single"/>
          <w:lang w:eastAsia="da-DK"/>
        </w:rPr>
      </w:pPr>
      <w:r w:rsidRPr="00311840">
        <w:rPr>
          <w:sz w:val="24"/>
          <w:lang w:eastAsia="da-DK"/>
        </w:rPr>
        <w:t>Tabletterne skal synkes hele sammen med mindst et glas vand og ikke mens patienten ligger ned.</w:t>
      </w:r>
    </w:p>
    <w:p w:rsidR="00672354" w:rsidRPr="00C84483" w:rsidRDefault="00672354" w:rsidP="00672354">
      <w:pPr>
        <w:tabs>
          <w:tab w:val="left" w:pos="851"/>
        </w:tabs>
        <w:ind w:left="851"/>
        <w:rPr>
          <w:sz w:val="24"/>
          <w:szCs w:val="24"/>
        </w:rPr>
      </w:pPr>
    </w:p>
    <w:p w:rsidR="00672354" w:rsidRPr="00C84483" w:rsidRDefault="00672354" w:rsidP="00672354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4.3</w:t>
      </w:r>
      <w:r w:rsidRPr="00C84483">
        <w:rPr>
          <w:b/>
          <w:sz w:val="24"/>
          <w:szCs w:val="24"/>
        </w:rPr>
        <w:tab/>
        <w:t>Kontraindikationer</w:t>
      </w:r>
    </w:p>
    <w:p w:rsidR="00672354" w:rsidRPr="00311840" w:rsidRDefault="00672354" w:rsidP="00672354">
      <w:pPr>
        <w:ind w:left="1134" w:hanging="283"/>
        <w:rPr>
          <w:sz w:val="24"/>
          <w:szCs w:val="22"/>
          <w:lang w:eastAsia="da-DK"/>
        </w:rPr>
      </w:pPr>
      <w:r w:rsidRPr="00311840">
        <w:rPr>
          <w:sz w:val="24"/>
          <w:cs/>
          <w:lang w:eastAsia="da-DK"/>
        </w:rPr>
        <w:t>•</w:t>
      </w:r>
      <w:r w:rsidRPr="00311840">
        <w:rPr>
          <w:sz w:val="24"/>
          <w:lang w:eastAsia="da-DK"/>
        </w:rPr>
        <w:tab/>
        <w:t xml:space="preserve">Overfølsomhed over for et eller </w:t>
      </w:r>
      <w:r w:rsidR="006876D8">
        <w:t xml:space="preserve">over for et eller </w:t>
      </w:r>
      <w:r w:rsidRPr="00311840">
        <w:rPr>
          <w:sz w:val="24"/>
          <w:lang w:eastAsia="da-DK"/>
        </w:rPr>
        <w:t>flere af hjælpestofferne anført i pkt. 6.1.</w:t>
      </w:r>
    </w:p>
    <w:p w:rsidR="00672354" w:rsidRPr="00311840" w:rsidRDefault="00672354" w:rsidP="00672354">
      <w:pPr>
        <w:ind w:left="1134" w:hanging="283"/>
        <w:rPr>
          <w:sz w:val="24"/>
          <w:szCs w:val="22"/>
          <w:lang w:eastAsia="da-DK"/>
        </w:rPr>
      </w:pPr>
      <w:r w:rsidRPr="00311840">
        <w:rPr>
          <w:sz w:val="24"/>
          <w:cs/>
          <w:lang w:eastAsia="da-DK"/>
        </w:rPr>
        <w:t>•</w:t>
      </w:r>
      <w:r w:rsidRPr="00311840">
        <w:rPr>
          <w:sz w:val="24"/>
          <w:lang w:eastAsia="da-DK"/>
        </w:rPr>
        <w:tab/>
        <w:t xml:space="preserve">Svær elektrolytforstyrrelse, herunder </w:t>
      </w:r>
      <w:proofErr w:type="spellStart"/>
      <w:r w:rsidRPr="00311840">
        <w:rPr>
          <w:sz w:val="24"/>
          <w:lang w:eastAsia="da-DK"/>
        </w:rPr>
        <w:t>hyperkaliæmi</w:t>
      </w:r>
      <w:proofErr w:type="spellEnd"/>
      <w:r w:rsidRPr="00311840">
        <w:rPr>
          <w:sz w:val="24"/>
          <w:lang w:eastAsia="da-DK"/>
        </w:rPr>
        <w:t xml:space="preserve"> eller andre situationer, der kan føre til </w:t>
      </w:r>
      <w:proofErr w:type="spellStart"/>
      <w:r w:rsidRPr="00311840">
        <w:rPr>
          <w:sz w:val="24"/>
          <w:lang w:eastAsia="da-DK"/>
        </w:rPr>
        <w:t>hyperkaliæmi</w:t>
      </w:r>
      <w:proofErr w:type="spellEnd"/>
      <w:r w:rsidRPr="00311840">
        <w:rPr>
          <w:sz w:val="24"/>
          <w:lang w:eastAsia="da-DK"/>
        </w:rPr>
        <w:t xml:space="preserve"> (se pkt. 4.4 og 4.5).</w:t>
      </w:r>
    </w:p>
    <w:p w:rsidR="00672354" w:rsidRPr="00311840" w:rsidRDefault="00672354" w:rsidP="00672354">
      <w:pPr>
        <w:ind w:left="1134" w:hanging="283"/>
        <w:rPr>
          <w:sz w:val="24"/>
          <w:szCs w:val="22"/>
          <w:lang w:eastAsia="da-DK"/>
        </w:rPr>
      </w:pPr>
      <w:r w:rsidRPr="00311840">
        <w:rPr>
          <w:sz w:val="24"/>
          <w:cs/>
          <w:lang w:eastAsia="da-DK"/>
        </w:rPr>
        <w:t>•</w:t>
      </w:r>
      <w:r w:rsidRPr="00311840">
        <w:rPr>
          <w:sz w:val="24"/>
          <w:lang w:eastAsia="da-DK"/>
        </w:rPr>
        <w:tab/>
        <w:t>Svært nedsat nyrefunktion (se pkt. 4.4).</w:t>
      </w:r>
    </w:p>
    <w:p w:rsidR="00672354" w:rsidRPr="00311840" w:rsidRDefault="00672354" w:rsidP="00672354">
      <w:pPr>
        <w:ind w:left="1134" w:hanging="283"/>
        <w:rPr>
          <w:sz w:val="24"/>
          <w:szCs w:val="22"/>
          <w:lang w:eastAsia="da-DK"/>
        </w:rPr>
      </w:pPr>
      <w:r w:rsidRPr="00311840">
        <w:rPr>
          <w:sz w:val="24"/>
          <w:cs/>
          <w:lang w:eastAsia="da-DK"/>
        </w:rPr>
        <w:t>•</w:t>
      </w:r>
      <w:r w:rsidRPr="00311840">
        <w:rPr>
          <w:sz w:val="24"/>
          <w:lang w:eastAsia="da-DK"/>
        </w:rPr>
        <w:tab/>
        <w:t>Ulcus eller obstruktion i mave-tarm-kanalen (se pkt. 4.4).</w:t>
      </w:r>
    </w:p>
    <w:p w:rsidR="00672354" w:rsidRPr="00D376BD" w:rsidRDefault="00672354" w:rsidP="00672354">
      <w:pPr>
        <w:ind w:left="1134" w:hanging="283"/>
        <w:rPr>
          <w:sz w:val="24"/>
          <w:szCs w:val="22"/>
          <w:lang w:eastAsia="da-DK"/>
        </w:rPr>
      </w:pPr>
      <w:r w:rsidRPr="00311840">
        <w:rPr>
          <w:sz w:val="24"/>
          <w:cs/>
          <w:lang w:eastAsia="da-DK"/>
        </w:rPr>
        <w:t>•</w:t>
      </w:r>
      <w:r w:rsidRPr="00311840">
        <w:rPr>
          <w:sz w:val="24"/>
          <w:lang w:eastAsia="da-DK"/>
        </w:rPr>
        <w:tab/>
        <w:t>Ubehandlet Addisons sygdom (se pkt. 4.4).</w:t>
      </w:r>
    </w:p>
    <w:p w:rsidR="00672354" w:rsidRPr="00C84483" w:rsidRDefault="00672354" w:rsidP="00672354">
      <w:pPr>
        <w:tabs>
          <w:tab w:val="left" w:pos="851"/>
        </w:tabs>
        <w:ind w:left="851"/>
        <w:rPr>
          <w:sz w:val="24"/>
          <w:szCs w:val="24"/>
        </w:rPr>
      </w:pPr>
    </w:p>
    <w:p w:rsidR="00672354" w:rsidRPr="00C84483" w:rsidRDefault="00672354" w:rsidP="00672354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4.4</w:t>
      </w:r>
      <w:r w:rsidRPr="00C84483">
        <w:rPr>
          <w:b/>
          <w:sz w:val="24"/>
          <w:szCs w:val="24"/>
        </w:rPr>
        <w:tab/>
        <w:t>Særlige advarsler og forsigtighedsregler vedrørende brugen</w:t>
      </w:r>
    </w:p>
    <w:p w:rsidR="00672354" w:rsidRPr="00D376BD" w:rsidRDefault="00672354" w:rsidP="00672354">
      <w:pPr>
        <w:ind w:left="851"/>
        <w:rPr>
          <w:sz w:val="24"/>
          <w:szCs w:val="22"/>
          <w:lang w:eastAsia="da-DK"/>
        </w:rPr>
      </w:pPr>
      <w:proofErr w:type="spellStart"/>
      <w:r w:rsidRPr="00311840">
        <w:rPr>
          <w:sz w:val="24"/>
          <w:lang w:eastAsia="da-DK"/>
        </w:rPr>
        <w:t>Kaliumchlorid</w:t>
      </w:r>
      <w:proofErr w:type="spellEnd"/>
      <w:r w:rsidRPr="00311840">
        <w:rPr>
          <w:sz w:val="24"/>
          <w:lang w:eastAsia="da-DK"/>
        </w:rPr>
        <w:t xml:space="preserve"> bør administreres med betydelig forsigtighed til patienter med hjertesygdom eller tilstande, der gør dem mere modtagelige for </w:t>
      </w:r>
      <w:proofErr w:type="spellStart"/>
      <w:r w:rsidRPr="00311840">
        <w:rPr>
          <w:sz w:val="24"/>
          <w:lang w:eastAsia="da-DK"/>
        </w:rPr>
        <w:t>hyperkaliæmi</w:t>
      </w:r>
      <w:proofErr w:type="spellEnd"/>
      <w:r w:rsidRPr="00311840">
        <w:rPr>
          <w:sz w:val="24"/>
          <w:lang w:eastAsia="da-DK"/>
        </w:rPr>
        <w:t xml:space="preserve">, såsom nedsat nyrefunktion eller binyrebarkinsufficiens, akut dehydrering eller omfattende vævsdestruktion, som opstår ved svære forbrændinger. Serum-kalium bør overvåges hos patienter med hjerteinsufficiens eller nedsat nyrefunktion. </w:t>
      </w:r>
      <w:proofErr w:type="spellStart"/>
      <w:r w:rsidRPr="00311840">
        <w:rPr>
          <w:sz w:val="24"/>
          <w:lang w:eastAsia="da-DK"/>
        </w:rPr>
        <w:t>Kaliumchlorid</w:t>
      </w:r>
      <w:proofErr w:type="spellEnd"/>
      <w:r w:rsidRPr="00311840">
        <w:rPr>
          <w:sz w:val="24"/>
          <w:lang w:eastAsia="da-DK"/>
        </w:rPr>
        <w:t xml:space="preserve"> bør administreres med betydelig forsigtighed hos ældre patienter, da de har en større risiko for hjerteinsufficiens eller nedsat nyrefunktion. Obstruktion i den øvre eller nedre del af mave-tarm-kanalen, blødning, </w:t>
      </w:r>
      <w:proofErr w:type="spellStart"/>
      <w:r w:rsidRPr="00311840">
        <w:rPr>
          <w:sz w:val="24"/>
          <w:lang w:eastAsia="da-DK"/>
        </w:rPr>
        <w:t>ulceration</w:t>
      </w:r>
      <w:proofErr w:type="spellEnd"/>
      <w:r w:rsidRPr="00311840">
        <w:rPr>
          <w:sz w:val="24"/>
          <w:lang w:eastAsia="da-DK"/>
        </w:rPr>
        <w:t xml:space="preserve"> og perforation kan opstå, især når </w:t>
      </w:r>
      <w:proofErr w:type="spellStart"/>
      <w:r w:rsidRPr="00311840">
        <w:rPr>
          <w:sz w:val="24"/>
          <w:lang w:eastAsia="da-DK"/>
        </w:rPr>
        <w:t>kaliumchlorid</w:t>
      </w:r>
      <w:proofErr w:type="spellEnd"/>
      <w:r w:rsidRPr="00311840">
        <w:rPr>
          <w:sz w:val="24"/>
          <w:lang w:eastAsia="da-DK"/>
        </w:rPr>
        <w:t xml:space="preserve"> indtages med for lidt vand, eller når det administreres til patienter med nedsat passage gennem mave-tarm-kanalen. Derfor skal </w:t>
      </w:r>
      <w:proofErr w:type="spellStart"/>
      <w:r w:rsidRPr="00311840">
        <w:rPr>
          <w:sz w:val="24"/>
          <w:lang w:eastAsia="da-DK"/>
        </w:rPr>
        <w:t>kaliumchlorid</w:t>
      </w:r>
      <w:proofErr w:type="spellEnd"/>
      <w:r w:rsidRPr="00311840">
        <w:rPr>
          <w:sz w:val="24"/>
          <w:lang w:eastAsia="da-DK"/>
        </w:rPr>
        <w:t xml:space="preserve"> administreres med forsigtighed til patienter, hvor passagen gennem mave-tarm-kanalen kan være nedsat, som hos sengeliggende eller gravide patienter (se pkt. 4.6). Behandlingen bør seponeres, hvis der opstår svær kvalme, opkastning eller mavebesvær.</w:t>
      </w:r>
    </w:p>
    <w:p w:rsidR="00672354" w:rsidRPr="00C84483" w:rsidRDefault="00672354" w:rsidP="00672354">
      <w:pPr>
        <w:tabs>
          <w:tab w:val="left" w:pos="851"/>
        </w:tabs>
        <w:ind w:left="851"/>
        <w:rPr>
          <w:sz w:val="24"/>
          <w:szCs w:val="24"/>
        </w:rPr>
      </w:pPr>
    </w:p>
    <w:p w:rsidR="00672354" w:rsidRPr="00C84483" w:rsidRDefault="00672354" w:rsidP="00672354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4.5</w:t>
      </w:r>
      <w:r w:rsidRPr="00C84483">
        <w:rPr>
          <w:b/>
          <w:sz w:val="24"/>
          <w:szCs w:val="24"/>
        </w:rPr>
        <w:tab/>
        <w:t>Interaktion med andre lægemidler og andre former for interaktion</w:t>
      </w:r>
    </w:p>
    <w:p w:rsidR="00672354" w:rsidRPr="00D376BD" w:rsidRDefault="00672354" w:rsidP="00672354">
      <w:pPr>
        <w:ind w:left="851"/>
        <w:rPr>
          <w:sz w:val="24"/>
          <w:lang w:eastAsia="da-DK"/>
        </w:rPr>
      </w:pPr>
      <w:r w:rsidRPr="00311840">
        <w:rPr>
          <w:sz w:val="24"/>
          <w:lang w:eastAsia="da-DK"/>
        </w:rPr>
        <w:t xml:space="preserve">Samtidig behandling med kaliumbesparende </w:t>
      </w:r>
      <w:proofErr w:type="spellStart"/>
      <w:r w:rsidRPr="00311840">
        <w:rPr>
          <w:sz w:val="24"/>
          <w:lang w:eastAsia="da-DK"/>
        </w:rPr>
        <w:t>diuretika</w:t>
      </w:r>
      <w:proofErr w:type="spellEnd"/>
      <w:r w:rsidRPr="00311840">
        <w:rPr>
          <w:sz w:val="24"/>
          <w:lang w:eastAsia="da-DK"/>
        </w:rPr>
        <w:t xml:space="preserve"> (</w:t>
      </w:r>
      <w:proofErr w:type="spellStart"/>
      <w:r w:rsidRPr="00311840">
        <w:rPr>
          <w:sz w:val="24"/>
          <w:lang w:eastAsia="da-DK"/>
        </w:rPr>
        <w:t>spironolacton</w:t>
      </w:r>
      <w:proofErr w:type="spellEnd"/>
      <w:r w:rsidRPr="00311840">
        <w:rPr>
          <w:sz w:val="24"/>
          <w:lang w:eastAsia="da-DK"/>
        </w:rPr>
        <w:t xml:space="preserve">, </w:t>
      </w:r>
      <w:proofErr w:type="spellStart"/>
      <w:r w:rsidRPr="00311840">
        <w:rPr>
          <w:sz w:val="24"/>
          <w:lang w:eastAsia="da-DK"/>
        </w:rPr>
        <w:t>eplerenon</w:t>
      </w:r>
      <w:proofErr w:type="spellEnd"/>
      <w:r w:rsidRPr="00311840">
        <w:rPr>
          <w:sz w:val="24"/>
          <w:lang w:eastAsia="da-DK"/>
        </w:rPr>
        <w:t xml:space="preserve">, </w:t>
      </w:r>
      <w:proofErr w:type="spellStart"/>
      <w:r w:rsidRPr="00311840">
        <w:rPr>
          <w:sz w:val="24"/>
          <w:lang w:eastAsia="da-DK"/>
        </w:rPr>
        <w:t>triamteren</w:t>
      </w:r>
      <w:proofErr w:type="spellEnd"/>
      <w:r w:rsidRPr="00311840">
        <w:rPr>
          <w:sz w:val="24"/>
          <w:lang w:eastAsia="da-DK"/>
        </w:rPr>
        <w:t xml:space="preserve"> og </w:t>
      </w:r>
      <w:proofErr w:type="spellStart"/>
      <w:r w:rsidRPr="00311840">
        <w:rPr>
          <w:sz w:val="24"/>
          <w:lang w:eastAsia="da-DK"/>
        </w:rPr>
        <w:t>amilorid</w:t>
      </w:r>
      <w:proofErr w:type="spellEnd"/>
      <w:r w:rsidRPr="00311840">
        <w:rPr>
          <w:sz w:val="24"/>
          <w:lang w:eastAsia="da-DK"/>
        </w:rPr>
        <w:t xml:space="preserve">), </w:t>
      </w:r>
      <w:proofErr w:type="spellStart"/>
      <w:r w:rsidRPr="00311840">
        <w:rPr>
          <w:sz w:val="24"/>
          <w:lang w:eastAsia="da-DK"/>
        </w:rPr>
        <w:t>angiotensinkonverterende</w:t>
      </w:r>
      <w:proofErr w:type="spellEnd"/>
      <w:r w:rsidRPr="00311840">
        <w:rPr>
          <w:sz w:val="24"/>
          <w:lang w:eastAsia="da-DK"/>
        </w:rPr>
        <w:t xml:space="preserve"> enzym (ACE)-</w:t>
      </w:r>
      <w:proofErr w:type="spellStart"/>
      <w:r w:rsidRPr="00311840">
        <w:rPr>
          <w:sz w:val="24"/>
          <w:lang w:eastAsia="da-DK"/>
        </w:rPr>
        <w:t>hæmmere</w:t>
      </w:r>
      <w:proofErr w:type="spellEnd"/>
      <w:r w:rsidRPr="00311840">
        <w:rPr>
          <w:sz w:val="24"/>
          <w:lang w:eastAsia="da-DK"/>
        </w:rPr>
        <w:t xml:space="preserve"> (f.eks. </w:t>
      </w:r>
      <w:proofErr w:type="spellStart"/>
      <w:r w:rsidRPr="00311840">
        <w:rPr>
          <w:sz w:val="24"/>
          <w:lang w:eastAsia="da-DK"/>
        </w:rPr>
        <w:t>captopril</w:t>
      </w:r>
      <w:proofErr w:type="spellEnd"/>
      <w:r w:rsidRPr="00311840">
        <w:rPr>
          <w:sz w:val="24"/>
          <w:lang w:eastAsia="da-DK"/>
        </w:rPr>
        <w:t xml:space="preserve">, </w:t>
      </w:r>
      <w:proofErr w:type="spellStart"/>
      <w:r w:rsidRPr="00311840">
        <w:rPr>
          <w:sz w:val="24"/>
          <w:lang w:eastAsia="da-DK"/>
        </w:rPr>
        <w:t>enalapril</w:t>
      </w:r>
      <w:proofErr w:type="spellEnd"/>
      <w:r w:rsidRPr="00311840">
        <w:rPr>
          <w:sz w:val="24"/>
          <w:lang w:eastAsia="da-DK"/>
        </w:rPr>
        <w:t xml:space="preserve">, </w:t>
      </w:r>
      <w:proofErr w:type="spellStart"/>
      <w:r w:rsidRPr="00311840">
        <w:rPr>
          <w:sz w:val="24"/>
          <w:lang w:eastAsia="da-DK"/>
        </w:rPr>
        <w:t>lisinopril</w:t>
      </w:r>
      <w:proofErr w:type="spellEnd"/>
      <w:r w:rsidRPr="00311840">
        <w:rPr>
          <w:sz w:val="24"/>
          <w:lang w:eastAsia="da-DK"/>
        </w:rPr>
        <w:t xml:space="preserve">, </w:t>
      </w:r>
      <w:proofErr w:type="spellStart"/>
      <w:r w:rsidRPr="00311840">
        <w:rPr>
          <w:sz w:val="24"/>
          <w:lang w:eastAsia="da-DK"/>
        </w:rPr>
        <w:t>perindopril</w:t>
      </w:r>
      <w:proofErr w:type="spellEnd"/>
      <w:r w:rsidRPr="00311840">
        <w:rPr>
          <w:sz w:val="24"/>
          <w:lang w:eastAsia="da-DK"/>
        </w:rPr>
        <w:t xml:space="preserve">, </w:t>
      </w:r>
      <w:proofErr w:type="spellStart"/>
      <w:r w:rsidRPr="00311840">
        <w:rPr>
          <w:sz w:val="24"/>
          <w:lang w:eastAsia="da-DK"/>
        </w:rPr>
        <w:t>quinapril</w:t>
      </w:r>
      <w:proofErr w:type="spellEnd"/>
      <w:r w:rsidRPr="00311840">
        <w:rPr>
          <w:sz w:val="24"/>
          <w:lang w:eastAsia="da-DK"/>
        </w:rPr>
        <w:t xml:space="preserve">, </w:t>
      </w:r>
      <w:proofErr w:type="spellStart"/>
      <w:r w:rsidRPr="00311840">
        <w:rPr>
          <w:sz w:val="24"/>
          <w:lang w:eastAsia="da-DK"/>
        </w:rPr>
        <w:t>ramipril</w:t>
      </w:r>
      <w:proofErr w:type="spellEnd"/>
      <w:r w:rsidRPr="00311840">
        <w:rPr>
          <w:sz w:val="24"/>
          <w:lang w:eastAsia="da-DK"/>
        </w:rPr>
        <w:t xml:space="preserve">, </w:t>
      </w:r>
      <w:proofErr w:type="spellStart"/>
      <w:r w:rsidRPr="00311840">
        <w:rPr>
          <w:sz w:val="24"/>
          <w:lang w:eastAsia="da-DK"/>
        </w:rPr>
        <w:t>zofenopril</w:t>
      </w:r>
      <w:proofErr w:type="spellEnd"/>
      <w:r w:rsidRPr="00311840">
        <w:rPr>
          <w:sz w:val="24"/>
          <w:lang w:eastAsia="da-DK"/>
        </w:rPr>
        <w:t xml:space="preserve">), </w:t>
      </w:r>
      <w:proofErr w:type="spellStart"/>
      <w:r w:rsidRPr="00311840">
        <w:rPr>
          <w:sz w:val="24"/>
          <w:lang w:eastAsia="da-DK"/>
        </w:rPr>
        <w:t>angiotensin</w:t>
      </w:r>
      <w:proofErr w:type="spellEnd"/>
      <w:r w:rsidRPr="00311840">
        <w:rPr>
          <w:sz w:val="24"/>
          <w:lang w:eastAsia="da-DK"/>
        </w:rPr>
        <w:t xml:space="preserve"> II-receptorantagonister (f.eks. </w:t>
      </w:r>
      <w:proofErr w:type="spellStart"/>
      <w:r w:rsidRPr="00311840">
        <w:rPr>
          <w:sz w:val="24"/>
          <w:lang w:eastAsia="da-DK"/>
        </w:rPr>
        <w:t>azilsartan</w:t>
      </w:r>
      <w:proofErr w:type="spellEnd"/>
      <w:r w:rsidRPr="00311840">
        <w:rPr>
          <w:sz w:val="24"/>
          <w:lang w:eastAsia="da-DK"/>
        </w:rPr>
        <w:t xml:space="preserve">, </w:t>
      </w:r>
      <w:proofErr w:type="spellStart"/>
      <w:r w:rsidRPr="00311840">
        <w:rPr>
          <w:sz w:val="24"/>
          <w:lang w:eastAsia="da-DK"/>
        </w:rPr>
        <w:t>candesartan</w:t>
      </w:r>
      <w:proofErr w:type="spellEnd"/>
      <w:r w:rsidRPr="00311840">
        <w:rPr>
          <w:sz w:val="24"/>
          <w:lang w:eastAsia="da-DK"/>
        </w:rPr>
        <w:t xml:space="preserve">, </w:t>
      </w:r>
      <w:proofErr w:type="spellStart"/>
      <w:r w:rsidRPr="00311840">
        <w:rPr>
          <w:sz w:val="24"/>
          <w:lang w:eastAsia="da-DK"/>
        </w:rPr>
        <w:t>eprosartan</w:t>
      </w:r>
      <w:proofErr w:type="spellEnd"/>
      <w:r w:rsidRPr="00311840">
        <w:rPr>
          <w:sz w:val="24"/>
          <w:lang w:eastAsia="da-DK"/>
        </w:rPr>
        <w:t xml:space="preserve">, </w:t>
      </w:r>
      <w:proofErr w:type="spellStart"/>
      <w:r w:rsidRPr="00311840">
        <w:rPr>
          <w:sz w:val="24"/>
          <w:lang w:eastAsia="da-DK"/>
        </w:rPr>
        <w:t>irbesartan</w:t>
      </w:r>
      <w:proofErr w:type="spellEnd"/>
      <w:r w:rsidRPr="00311840">
        <w:rPr>
          <w:sz w:val="24"/>
          <w:lang w:eastAsia="da-DK"/>
        </w:rPr>
        <w:t xml:space="preserve">, </w:t>
      </w:r>
      <w:proofErr w:type="spellStart"/>
      <w:r w:rsidRPr="00311840">
        <w:rPr>
          <w:sz w:val="24"/>
          <w:lang w:eastAsia="da-DK"/>
        </w:rPr>
        <w:t>losartan</w:t>
      </w:r>
      <w:proofErr w:type="spellEnd"/>
      <w:r w:rsidRPr="00311840">
        <w:rPr>
          <w:sz w:val="24"/>
          <w:lang w:eastAsia="da-DK"/>
        </w:rPr>
        <w:t xml:space="preserve">, </w:t>
      </w:r>
      <w:proofErr w:type="spellStart"/>
      <w:r w:rsidRPr="00311840">
        <w:rPr>
          <w:sz w:val="24"/>
          <w:lang w:eastAsia="da-DK"/>
        </w:rPr>
        <w:lastRenderedPageBreak/>
        <w:t>tasosartan</w:t>
      </w:r>
      <w:proofErr w:type="spellEnd"/>
      <w:r w:rsidRPr="00311840">
        <w:rPr>
          <w:sz w:val="24"/>
          <w:lang w:eastAsia="da-DK"/>
        </w:rPr>
        <w:t xml:space="preserve">, </w:t>
      </w:r>
      <w:proofErr w:type="spellStart"/>
      <w:r w:rsidRPr="00311840">
        <w:rPr>
          <w:sz w:val="24"/>
          <w:lang w:eastAsia="da-DK"/>
        </w:rPr>
        <w:t>telmisartan</w:t>
      </w:r>
      <w:proofErr w:type="spellEnd"/>
      <w:r w:rsidRPr="00311840">
        <w:rPr>
          <w:sz w:val="24"/>
          <w:lang w:eastAsia="da-DK"/>
        </w:rPr>
        <w:t xml:space="preserve">, </w:t>
      </w:r>
      <w:proofErr w:type="spellStart"/>
      <w:r w:rsidRPr="00311840">
        <w:rPr>
          <w:sz w:val="24"/>
          <w:lang w:eastAsia="da-DK"/>
        </w:rPr>
        <w:t>valsartan</w:t>
      </w:r>
      <w:proofErr w:type="spellEnd"/>
      <w:r w:rsidRPr="00311840">
        <w:rPr>
          <w:sz w:val="24"/>
          <w:lang w:eastAsia="da-DK"/>
        </w:rPr>
        <w:t xml:space="preserve">), </w:t>
      </w:r>
      <w:proofErr w:type="spellStart"/>
      <w:r w:rsidRPr="00311840">
        <w:rPr>
          <w:sz w:val="24"/>
          <w:lang w:eastAsia="da-DK"/>
        </w:rPr>
        <w:t>reninhæmmere</w:t>
      </w:r>
      <w:proofErr w:type="spellEnd"/>
      <w:r w:rsidRPr="00311840">
        <w:rPr>
          <w:sz w:val="24"/>
          <w:lang w:eastAsia="da-DK"/>
        </w:rPr>
        <w:t xml:space="preserve"> (f.eks. </w:t>
      </w:r>
      <w:proofErr w:type="spellStart"/>
      <w:r w:rsidRPr="00311840">
        <w:rPr>
          <w:sz w:val="24"/>
          <w:lang w:eastAsia="da-DK"/>
        </w:rPr>
        <w:t>aliskiren</w:t>
      </w:r>
      <w:proofErr w:type="spellEnd"/>
      <w:r w:rsidRPr="00311840">
        <w:rPr>
          <w:sz w:val="24"/>
          <w:lang w:eastAsia="da-DK"/>
        </w:rPr>
        <w:t xml:space="preserve">), </w:t>
      </w:r>
      <w:proofErr w:type="spellStart"/>
      <w:r w:rsidRPr="00311840">
        <w:rPr>
          <w:sz w:val="24"/>
          <w:lang w:eastAsia="da-DK"/>
        </w:rPr>
        <w:t>ciclosporin</w:t>
      </w:r>
      <w:proofErr w:type="spellEnd"/>
      <w:r w:rsidRPr="00311840">
        <w:rPr>
          <w:sz w:val="24"/>
          <w:lang w:eastAsia="da-DK"/>
        </w:rPr>
        <w:t xml:space="preserve">, </w:t>
      </w:r>
      <w:proofErr w:type="spellStart"/>
      <w:r w:rsidRPr="00311840">
        <w:rPr>
          <w:sz w:val="24"/>
          <w:lang w:eastAsia="da-DK"/>
        </w:rPr>
        <w:t>tacrolimus</w:t>
      </w:r>
      <w:proofErr w:type="spellEnd"/>
      <w:r w:rsidRPr="00311840">
        <w:rPr>
          <w:sz w:val="24"/>
          <w:lang w:eastAsia="da-DK"/>
        </w:rPr>
        <w:t xml:space="preserve">, </w:t>
      </w:r>
      <w:proofErr w:type="spellStart"/>
      <w:r w:rsidRPr="00311840">
        <w:rPr>
          <w:sz w:val="24"/>
          <w:lang w:eastAsia="da-DK"/>
        </w:rPr>
        <w:t>trimethoprim</w:t>
      </w:r>
      <w:proofErr w:type="spellEnd"/>
      <w:r w:rsidRPr="00311840">
        <w:rPr>
          <w:sz w:val="24"/>
          <w:lang w:eastAsia="da-DK"/>
        </w:rPr>
        <w:t xml:space="preserve"> og lægemidler, der indeholder kalium, såsom kaliumsalte af penicillin, øger risikoen for </w:t>
      </w:r>
      <w:proofErr w:type="spellStart"/>
      <w:r w:rsidRPr="00311840">
        <w:rPr>
          <w:sz w:val="24"/>
          <w:lang w:eastAsia="da-DK"/>
        </w:rPr>
        <w:t>hyperkaliæmi</w:t>
      </w:r>
      <w:proofErr w:type="spellEnd"/>
      <w:r w:rsidRPr="00311840">
        <w:rPr>
          <w:sz w:val="24"/>
          <w:lang w:eastAsia="da-DK"/>
        </w:rPr>
        <w:t>.</w:t>
      </w:r>
    </w:p>
    <w:p w:rsidR="00672354" w:rsidRPr="00C84483" w:rsidRDefault="00672354" w:rsidP="00672354">
      <w:pPr>
        <w:tabs>
          <w:tab w:val="left" w:pos="851"/>
        </w:tabs>
        <w:ind w:left="851"/>
        <w:rPr>
          <w:sz w:val="24"/>
          <w:szCs w:val="24"/>
        </w:rPr>
      </w:pPr>
    </w:p>
    <w:p w:rsidR="00672354" w:rsidRPr="00C84483" w:rsidRDefault="00672354" w:rsidP="00672354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4.6</w:t>
      </w:r>
      <w:r w:rsidRPr="00C84483">
        <w:rPr>
          <w:b/>
          <w:sz w:val="24"/>
          <w:szCs w:val="24"/>
        </w:rPr>
        <w:tab/>
        <w:t>Graviditet og amning</w:t>
      </w:r>
    </w:p>
    <w:p w:rsidR="00672354" w:rsidRPr="00311840" w:rsidRDefault="00672354" w:rsidP="00672354">
      <w:pPr>
        <w:ind w:left="851"/>
        <w:rPr>
          <w:sz w:val="24"/>
          <w:szCs w:val="22"/>
          <w:lang w:eastAsia="da-DK"/>
        </w:rPr>
      </w:pPr>
    </w:p>
    <w:p w:rsidR="00672354" w:rsidRPr="00311840" w:rsidRDefault="00672354" w:rsidP="00672354">
      <w:pPr>
        <w:ind w:left="851"/>
        <w:rPr>
          <w:sz w:val="24"/>
          <w:szCs w:val="22"/>
          <w:u w:val="single"/>
          <w:lang w:eastAsia="da-DK"/>
        </w:rPr>
      </w:pPr>
      <w:r>
        <w:rPr>
          <w:sz w:val="24"/>
          <w:u w:val="single"/>
          <w:lang w:eastAsia="da-DK"/>
        </w:rPr>
        <w:t>Fertilitet</w:t>
      </w:r>
    </w:p>
    <w:p w:rsidR="00672354" w:rsidRPr="00311840" w:rsidRDefault="00672354" w:rsidP="00672354">
      <w:pPr>
        <w:ind w:left="851"/>
        <w:rPr>
          <w:sz w:val="24"/>
          <w:szCs w:val="22"/>
          <w:lang w:eastAsia="da-DK"/>
        </w:rPr>
      </w:pPr>
      <w:r w:rsidRPr="00311840">
        <w:rPr>
          <w:sz w:val="24"/>
          <w:lang w:eastAsia="da-DK"/>
        </w:rPr>
        <w:t xml:space="preserve">Der foreligger ingen studier med </w:t>
      </w:r>
      <w:proofErr w:type="spellStart"/>
      <w:r w:rsidRPr="00311840">
        <w:rPr>
          <w:sz w:val="24"/>
          <w:lang w:eastAsia="da-DK"/>
        </w:rPr>
        <w:t>kaliumchlorid</w:t>
      </w:r>
      <w:proofErr w:type="spellEnd"/>
      <w:r w:rsidRPr="00311840">
        <w:rPr>
          <w:sz w:val="24"/>
          <w:lang w:eastAsia="da-DK"/>
        </w:rPr>
        <w:t xml:space="preserve"> angående fertilitet.</w:t>
      </w:r>
    </w:p>
    <w:p w:rsidR="00672354" w:rsidRPr="00C84483" w:rsidRDefault="00672354" w:rsidP="00672354">
      <w:pPr>
        <w:tabs>
          <w:tab w:val="left" w:pos="851"/>
        </w:tabs>
        <w:ind w:left="851"/>
        <w:rPr>
          <w:sz w:val="24"/>
          <w:szCs w:val="24"/>
        </w:rPr>
      </w:pPr>
    </w:p>
    <w:p w:rsidR="00672354" w:rsidRPr="00311840" w:rsidRDefault="00672354" w:rsidP="00672354">
      <w:pPr>
        <w:ind w:left="851"/>
        <w:rPr>
          <w:sz w:val="24"/>
          <w:szCs w:val="22"/>
          <w:u w:val="single"/>
          <w:lang w:eastAsia="da-DK"/>
        </w:rPr>
      </w:pPr>
      <w:r>
        <w:rPr>
          <w:sz w:val="24"/>
          <w:u w:val="single"/>
          <w:lang w:eastAsia="da-DK"/>
        </w:rPr>
        <w:t>Graviditet</w:t>
      </w:r>
    </w:p>
    <w:p w:rsidR="00672354" w:rsidRPr="00311840" w:rsidRDefault="00672354" w:rsidP="00672354">
      <w:pPr>
        <w:ind w:left="851"/>
        <w:rPr>
          <w:sz w:val="24"/>
          <w:szCs w:val="22"/>
          <w:lang w:eastAsia="da-DK"/>
        </w:rPr>
      </w:pPr>
      <w:r w:rsidRPr="00311840">
        <w:rPr>
          <w:sz w:val="24"/>
          <w:lang w:eastAsia="da-DK"/>
        </w:rPr>
        <w:t xml:space="preserve">Der er ingen eller utilstrækkelige data fra anvendelse af </w:t>
      </w:r>
      <w:proofErr w:type="spellStart"/>
      <w:r w:rsidRPr="00311840">
        <w:rPr>
          <w:sz w:val="24"/>
          <w:lang w:eastAsia="da-DK"/>
        </w:rPr>
        <w:t>kaliumchlorid</w:t>
      </w:r>
      <w:proofErr w:type="spellEnd"/>
      <w:r w:rsidRPr="00311840">
        <w:rPr>
          <w:sz w:val="24"/>
          <w:lang w:eastAsia="da-DK"/>
        </w:rPr>
        <w:t xml:space="preserve"> til gravide kvinder. </w:t>
      </w:r>
      <w:proofErr w:type="spellStart"/>
      <w:r w:rsidRPr="00311840">
        <w:rPr>
          <w:sz w:val="24"/>
          <w:lang w:eastAsia="da-DK"/>
        </w:rPr>
        <w:t>Kaliumchlorid</w:t>
      </w:r>
      <w:proofErr w:type="spellEnd"/>
      <w:r w:rsidRPr="00311840">
        <w:rPr>
          <w:sz w:val="24"/>
          <w:lang w:eastAsia="da-DK"/>
        </w:rPr>
        <w:t xml:space="preserve"> bør administreres med forsigtighed til patienter, hvor passagen gennem mave-tarm-kanalen kan være nedsat, som hos gravide patienter (se pkt. 4.4). Kalitabs bør kun anvendes under graviditet, når de mulige fordele berettiger den mulige risiko.</w:t>
      </w:r>
    </w:p>
    <w:p w:rsidR="00672354" w:rsidRPr="00311840" w:rsidRDefault="00672354" w:rsidP="00672354">
      <w:pPr>
        <w:ind w:left="851"/>
        <w:rPr>
          <w:sz w:val="24"/>
          <w:szCs w:val="22"/>
          <w:lang w:eastAsia="da-DK"/>
        </w:rPr>
      </w:pPr>
    </w:p>
    <w:p w:rsidR="00672354" w:rsidRPr="00311840" w:rsidRDefault="00672354" w:rsidP="00672354">
      <w:pPr>
        <w:ind w:left="851"/>
        <w:rPr>
          <w:sz w:val="24"/>
          <w:szCs w:val="22"/>
          <w:u w:val="single"/>
          <w:lang w:eastAsia="da-DK"/>
        </w:rPr>
      </w:pPr>
      <w:r>
        <w:rPr>
          <w:sz w:val="24"/>
          <w:u w:val="single"/>
          <w:lang w:eastAsia="da-DK"/>
        </w:rPr>
        <w:t>Amning</w:t>
      </w:r>
    </w:p>
    <w:p w:rsidR="00672354" w:rsidRPr="00311840" w:rsidRDefault="00672354" w:rsidP="00672354">
      <w:pPr>
        <w:ind w:left="851"/>
        <w:rPr>
          <w:sz w:val="24"/>
          <w:szCs w:val="22"/>
          <w:lang w:eastAsia="da-DK"/>
        </w:rPr>
      </w:pPr>
      <w:r w:rsidRPr="00311840">
        <w:rPr>
          <w:sz w:val="24"/>
          <w:lang w:eastAsia="da-DK"/>
        </w:rPr>
        <w:t>Kalium udskilles i human mælk, men ved terapeutiske doser af Kalitabs forventes ingen påvirkning på ammende nyfødte/spædbørn. Kalitabs kan anvendes under amning.</w:t>
      </w:r>
    </w:p>
    <w:p w:rsidR="00672354" w:rsidRPr="00C84483" w:rsidRDefault="00672354" w:rsidP="00672354">
      <w:pPr>
        <w:tabs>
          <w:tab w:val="left" w:pos="851"/>
        </w:tabs>
        <w:ind w:left="851"/>
        <w:rPr>
          <w:sz w:val="24"/>
          <w:szCs w:val="24"/>
        </w:rPr>
      </w:pPr>
    </w:p>
    <w:p w:rsidR="00672354" w:rsidRPr="00C84483" w:rsidRDefault="00672354" w:rsidP="00672354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4.7</w:t>
      </w:r>
      <w:r w:rsidRPr="00C84483">
        <w:rPr>
          <w:b/>
          <w:sz w:val="24"/>
          <w:szCs w:val="24"/>
        </w:rPr>
        <w:tab/>
        <w:t>Virkninger på evnen til at føre motorkøretøj eller betjene maskiner</w:t>
      </w:r>
    </w:p>
    <w:p w:rsidR="00672354" w:rsidRDefault="00672354" w:rsidP="00672354">
      <w:pPr>
        <w:ind w:left="851"/>
        <w:rPr>
          <w:sz w:val="24"/>
          <w:lang w:eastAsia="da-DK"/>
        </w:rPr>
      </w:pPr>
      <w:r>
        <w:rPr>
          <w:sz w:val="24"/>
          <w:lang w:eastAsia="da-DK"/>
        </w:rPr>
        <w:t>Ikke mærkning.</w:t>
      </w:r>
    </w:p>
    <w:p w:rsidR="00672354" w:rsidRPr="00D376BD" w:rsidRDefault="00672354" w:rsidP="00672354">
      <w:pPr>
        <w:ind w:left="851"/>
        <w:rPr>
          <w:sz w:val="24"/>
          <w:lang w:eastAsia="da-DK"/>
        </w:rPr>
      </w:pPr>
      <w:proofErr w:type="spellStart"/>
      <w:r w:rsidRPr="00311840">
        <w:rPr>
          <w:sz w:val="24"/>
          <w:lang w:eastAsia="da-DK"/>
        </w:rPr>
        <w:t>Kaliumchlorid</w:t>
      </w:r>
      <w:proofErr w:type="spellEnd"/>
      <w:r w:rsidRPr="00311840">
        <w:rPr>
          <w:sz w:val="24"/>
          <w:lang w:eastAsia="da-DK"/>
        </w:rPr>
        <w:t xml:space="preserve"> påvirker ikke eller kun i ubetydelig grad evnen til at føre motorkøretøj og betjene maskiner.</w:t>
      </w:r>
    </w:p>
    <w:p w:rsidR="00672354" w:rsidRPr="00C84483" w:rsidRDefault="00672354" w:rsidP="00672354">
      <w:pPr>
        <w:tabs>
          <w:tab w:val="left" w:pos="851"/>
        </w:tabs>
        <w:ind w:left="851"/>
        <w:rPr>
          <w:sz w:val="24"/>
          <w:szCs w:val="24"/>
        </w:rPr>
      </w:pPr>
    </w:p>
    <w:p w:rsidR="00672354" w:rsidRPr="00C84483" w:rsidRDefault="00672354" w:rsidP="00672354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4.8</w:t>
      </w:r>
      <w:r w:rsidRPr="00C84483">
        <w:rPr>
          <w:b/>
          <w:sz w:val="24"/>
          <w:szCs w:val="24"/>
        </w:rPr>
        <w:tab/>
        <w:t>Bivirkninger</w:t>
      </w:r>
    </w:p>
    <w:p w:rsidR="00672354" w:rsidRPr="00311840" w:rsidRDefault="00672354" w:rsidP="00672354">
      <w:pPr>
        <w:ind w:left="851"/>
        <w:rPr>
          <w:sz w:val="24"/>
          <w:szCs w:val="22"/>
          <w:lang w:eastAsia="da-DK"/>
        </w:rPr>
      </w:pPr>
      <w:r w:rsidRPr="00311840">
        <w:rPr>
          <w:sz w:val="24"/>
          <w:lang w:eastAsia="da-DK"/>
        </w:rPr>
        <w:t>Bivirkningerne er identificeret fra litteraturkilder og spontan rapportering.</w:t>
      </w:r>
    </w:p>
    <w:p w:rsidR="00672354" w:rsidRPr="00311840" w:rsidRDefault="00672354" w:rsidP="00672354">
      <w:pPr>
        <w:ind w:left="851"/>
        <w:rPr>
          <w:sz w:val="24"/>
          <w:szCs w:val="22"/>
          <w:lang w:eastAsia="da-DK"/>
        </w:rPr>
      </w:pPr>
      <w:r w:rsidRPr="00311840">
        <w:rPr>
          <w:sz w:val="24"/>
          <w:lang w:eastAsia="da-DK"/>
        </w:rPr>
        <w:t xml:space="preserve">Der kan forekomme mave-tarm-forstyrrelser. Der er blevet rapporteret </w:t>
      </w:r>
      <w:proofErr w:type="spellStart"/>
      <w:r w:rsidRPr="00311840">
        <w:rPr>
          <w:sz w:val="24"/>
          <w:lang w:eastAsia="da-DK"/>
        </w:rPr>
        <w:t>hyperkaliæmi</w:t>
      </w:r>
      <w:proofErr w:type="spellEnd"/>
      <w:r w:rsidRPr="00311840">
        <w:rPr>
          <w:sz w:val="24"/>
          <w:lang w:eastAsia="da-DK"/>
        </w:rPr>
        <w:t xml:space="preserve"> eller blødning i mave-tarm-kanalen.</w:t>
      </w:r>
    </w:p>
    <w:p w:rsidR="00672354" w:rsidRPr="00311840" w:rsidRDefault="00672354" w:rsidP="00672354">
      <w:pPr>
        <w:ind w:left="851"/>
        <w:rPr>
          <w:sz w:val="24"/>
          <w:szCs w:val="22"/>
          <w:lang w:eastAsia="da-DK"/>
        </w:rPr>
      </w:pPr>
      <w:r w:rsidRPr="00311840">
        <w:rPr>
          <w:sz w:val="24"/>
          <w:lang w:eastAsia="da-DK"/>
        </w:rPr>
        <w:t xml:space="preserve">Bivirkninger er opstillet i henhold til </w:t>
      </w:r>
      <w:proofErr w:type="spellStart"/>
      <w:r w:rsidRPr="00311840">
        <w:rPr>
          <w:sz w:val="24"/>
          <w:lang w:eastAsia="da-DK"/>
        </w:rPr>
        <w:t>MedDRA</w:t>
      </w:r>
      <w:proofErr w:type="spellEnd"/>
      <w:r w:rsidRPr="00311840">
        <w:rPr>
          <w:sz w:val="24"/>
          <w:lang w:eastAsia="da-DK"/>
        </w:rPr>
        <w:t xml:space="preserve"> systemorganklassifikationen og de mest alvorlige inden for hver systemorganklasse er anført først. Det er ikke muligt at estimere hyppigheden af bivirkningerne grundet den begrænsede mængde data.</w:t>
      </w:r>
    </w:p>
    <w:p w:rsidR="00672354" w:rsidRPr="00311840" w:rsidRDefault="00672354" w:rsidP="00672354">
      <w:pPr>
        <w:rPr>
          <w:sz w:val="24"/>
          <w:szCs w:val="22"/>
          <w:lang w:eastAsia="da-DK"/>
        </w:rPr>
      </w:pPr>
    </w:p>
    <w:tbl>
      <w:tblPr>
        <w:tblW w:w="8647" w:type="dxa"/>
        <w:tblInd w:w="880" w:type="dxa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2528"/>
        <w:gridCol w:w="6119"/>
      </w:tblGrid>
      <w:tr w:rsidR="00672354" w:rsidRPr="00311840" w:rsidTr="003B4BCE"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354" w:rsidRPr="00311840" w:rsidRDefault="00672354" w:rsidP="003B4BCE">
            <w:pPr>
              <w:rPr>
                <w:b/>
                <w:sz w:val="24"/>
                <w:szCs w:val="22"/>
                <w:lang w:eastAsia="da-DK"/>
              </w:rPr>
            </w:pPr>
            <w:r w:rsidRPr="00311840">
              <w:rPr>
                <w:b/>
                <w:sz w:val="24"/>
                <w:lang w:eastAsia="da-DK"/>
              </w:rPr>
              <w:t>Metabolisme og ernæring</w:t>
            </w:r>
          </w:p>
        </w:tc>
      </w:tr>
      <w:tr w:rsidR="00672354" w:rsidRPr="00311840" w:rsidTr="003B4BCE">
        <w:trPr>
          <w:trHeight w:val="363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2354" w:rsidRPr="00311840" w:rsidRDefault="00672354" w:rsidP="003B4BCE">
            <w:pPr>
              <w:rPr>
                <w:sz w:val="24"/>
                <w:szCs w:val="22"/>
                <w:lang w:eastAsia="da-DK"/>
              </w:rPr>
            </w:pPr>
          </w:p>
        </w:tc>
        <w:tc>
          <w:tcPr>
            <w:tcW w:w="6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2354" w:rsidRPr="00311840" w:rsidRDefault="00672354" w:rsidP="003B4BCE">
            <w:pPr>
              <w:rPr>
                <w:sz w:val="24"/>
                <w:szCs w:val="22"/>
                <w:lang w:eastAsia="da-DK"/>
              </w:rPr>
            </w:pPr>
            <w:proofErr w:type="spellStart"/>
            <w:r w:rsidRPr="00311840">
              <w:rPr>
                <w:sz w:val="24"/>
                <w:lang w:eastAsia="da-DK"/>
              </w:rPr>
              <w:t>Hyperkaliæmi</w:t>
            </w:r>
            <w:proofErr w:type="spellEnd"/>
          </w:p>
        </w:tc>
      </w:tr>
      <w:tr w:rsidR="00672354" w:rsidRPr="00311840" w:rsidTr="003B4BCE"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354" w:rsidRPr="00311840" w:rsidRDefault="00672354" w:rsidP="003B4BCE">
            <w:pPr>
              <w:rPr>
                <w:b/>
                <w:sz w:val="24"/>
                <w:szCs w:val="22"/>
                <w:lang w:eastAsia="da-DK"/>
              </w:rPr>
            </w:pPr>
            <w:r w:rsidRPr="00311840">
              <w:rPr>
                <w:b/>
                <w:sz w:val="24"/>
                <w:lang w:eastAsia="da-DK"/>
              </w:rPr>
              <w:t>Mave-tarm-kanalen</w:t>
            </w:r>
          </w:p>
        </w:tc>
      </w:tr>
      <w:tr w:rsidR="00672354" w:rsidRPr="00311840" w:rsidTr="003B4BCE"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354" w:rsidRPr="00311840" w:rsidRDefault="00672354" w:rsidP="003B4BCE">
            <w:pPr>
              <w:rPr>
                <w:sz w:val="24"/>
                <w:szCs w:val="22"/>
                <w:lang w:eastAsia="da-DK"/>
              </w:rPr>
            </w:pPr>
          </w:p>
        </w:tc>
        <w:tc>
          <w:tcPr>
            <w:tcW w:w="6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354" w:rsidRPr="00311840" w:rsidRDefault="00672354" w:rsidP="003B4BCE">
            <w:pPr>
              <w:rPr>
                <w:sz w:val="24"/>
                <w:szCs w:val="22"/>
                <w:lang w:eastAsia="da-DK"/>
              </w:rPr>
            </w:pPr>
            <w:r w:rsidRPr="00311840">
              <w:rPr>
                <w:sz w:val="24"/>
                <w:lang w:eastAsia="da-DK"/>
              </w:rPr>
              <w:t>Mave-tarm-perforation</w:t>
            </w:r>
          </w:p>
          <w:p w:rsidR="00672354" w:rsidRPr="00311840" w:rsidRDefault="00672354" w:rsidP="003B4BCE">
            <w:pPr>
              <w:rPr>
                <w:sz w:val="24"/>
                <w:szCs w:val="22"/>
                <w:lang w:eastAsia="da-DK"/>
              </w:rPr>
            </w:pPr>
            <w:r w:rsidRPr="00311840">
              <w:rPr>
                <w:sz w:val="24"/>
                <w:lang w:eastAsia="da-DK"/>
              </w:rPr>
              <w:t>Mave-tarm-blødning</w:t>
            </w:r>
          </w:p>
          <w:p w:rsidR="00672354" w:rsidRPr="00311840" w:rsidRDefault="00672354" w:rsidP="003B4BCE">
            <w:pPr>
              <w:rPr>
                <w:sz w:val="24"/>
                <w:szCs w:val="22"/>
                <w:lang w:eastAsia="da-DK"/>
              </w:rPr>
            </w:pPr>
            <w:r w:rsidRPr="00311840">
              <w:rPr>
                <w:sz w:val="24"/>
                <w:lang w:eastAsia="da-DK"/>
              </w:rPr>
              <w:t>Ulcus i maven</w:t>
            </w:r>
          </w:p>
          <w:p w:rsidR="00672354" w:rsidRPr="00311840" w:rsidRDefault="00672354" w:rsidP="003B4BCE">
            <w:pPr>
              <w:rPr>
                <w:sz w:val="24"/>
                <w:szCs w:val="22"/>
                <w:lang w:eastAsia="da-DK"/>
              </w:rPr>
            </w:pPr>
            <w:r w:rsidRPr="00311840">
              <w:rPr>
                <w:sz w:val="24"/>
                <w:lang w:eastAsia="da-DK"/>
              </w:rPr>
              <w:t>Ulcus i tolvfingertarmen</w:t>
            </w:r>
          </w:p>
          <w:p w:rsidR="00672354" w:rsidRPr="00311840" w:rsidRDefault="00672354" w:rsidP="003B4BCE">
            <w:pPr>
              <w:rPr>
                <w:sz w:val="24"/>
                <w:szCs w:val="22"/>
                <w:lang w:eastAsia="da-DK"/>
              </w:rPr>
            </w:pPr>
            <w:r w:rsidRPr="00311840">
              <w:rPr>
                <w:sz w:val="24"/>
                <w:lang w:eastAsia="da-DK"/>
              </w:rPr>
              <w:t xml:space="preserve">Ulcus i </w:t>
            </w:r>
            <w:proofErr w:type="spellStart"/>
            <w:r w:rsidRPr="00311840">
              <w:rPr>
                <w:sz w:val="24"/>
                <w:lang w:eastAsia="da-DK"/>
              </w:rPr>
              <w:t>øsofagus</w:t>
            </w:r>
            <w:proofErr w:type="spellEnd"/>
          </w:p>
          <w:p w:rsidR="00672354" w:rsidRPr="00311840" w:rsidRDefault="00672354" w:rsidP="003B4BCE">
            <w:pPr>
              <w:rPr>
                <w:sz w:val="24"/>
                <w:szCs w:val="22"/>
                <w:lang w:eastAsia="da-DK"/>
              </w:rPr>
            </w:pPr>
            <w:r w:rsidRPr="00311840">
              <w:rPr>
                <w:sz w:val="24"/>
                <w:lang w:eastAsia="da-DK"/>
              </w:rPr>
              <w:t>Mave-tarm-obstruktion</w:t>
            </w:r>
          </w:p>
          <w:p w:rsidR="00672354" w:rsidRPr="00311840" w:rsidRDefault="00672354" w:rsidP="003B4BCE">
            <w:pPr>
              <w:rPr>
                <w:sz w:val="24"/>
                <w:szCs w:val="22"/>
                <w:lang w:eastAsia="da-DK"/>
              </w:rPr>
            </w:pPr>
            <w:r w:rsidRPr="00311840">
              <w:rPr>
                <w:sz w:val="24"/>
                <w:lang w:eastAsia="da-DK"/>
              </w:rPr>
              <w:t>Mave-tarm-striktur</w:t>
            </w:r>
          </w:p>
          <w:p w:rsidR="00672354" w:rsidRPr="00311840" w:rsidRDefault="00672354" w:rsidP="003B4BCE">
            <w:pPr>
              <w:rPr>
                <w:sz w:val="24"/>
                <w:szCs w:val="22"/>
                <w:lang w:eastAsia="da-DK"/>
              </w:rPr>
            </w:pPr>
            <w:r w:rsidRPr="00311840">
              <w:rPr>
                <w:sz w:val="24"/>
                <w:lang w:eastAsia="da-DK"/>
              </w:rPr>
              <w:t>Diarré</w:t>
            </w:r>
          </w:p>
          <w:p w:rsidR="00672354" w:rsidRPr="00311840" w:rsidRDefault="00672354" w:rsidP="003B4BCE">
            <w:pPr>
              <w:rPr>
                <w:sz w:val="24"/>
                <w:szCs w:val="22"/>
                <w:lang w:eastAsia="da-DK"/>
              </w:rPr>
            </w:pPr>
            <w:r w:rsidRPr="00311840">
              <w:rPr>
                <w:sz w:val="24"/>
                <w:lang w:eastAsia="da-DK"/>
              </w:rPr>
              <w:t>Opkastning</w:t>
            </w:r>
          </w:p>
          <w:p w:rsidR="00672354" w:rsidRPr="00311840" w:rsidRDefault="00672354" w:rsidP="003B4BCE">
            <w:pPr>
              <w:rPr>
                <w:sz w:val="24"/>
                <w:szCs w:val="22"/>
                <w:lang w:eastAsia="da-DK"/>
              </w:rPr>
            </w:pPr>
            <w:proofErr w:type="spellStart"/>
            <w:r w:rsidRPr="00311840">
              <w:rPr>
                <w:sz w:val="24"/>
                <w:lang w:eastAsia="da-DK"/>
              </w:rPr>
              <w:t>Abdominalsmerter</w:t>
            </w:r>
            <w:proofErr w:type="spellEnd"/>
          </w:p>
          <w:p w:rsidR="00672354" w:rsidRPr="00311840" w:rsidRDefault="00672354" w:rsidP="003B4BCE">
            <w:pPr>
              <w:rPr>
                <w:sz w:val="24"/>
                <w:szCs w:val="22"/>
                <w:lang w:eastAsia="da-DK"/>
              </w:rPr>
            </w:pPr>
            <w:r w:rsidRPr="00311840">
              <w:rPr>
                <w:sz w:val="24"/>
                <w:lang w:eastAsia="da-DK"/>
              </w:rPr>
              <w:t>Kvalme</w:t>
            </w:r>
          </w:p>
        </w:tc>
      </w:tr>
      <w:tr w:rsidR="00672354" w:rsidRPr="00311840" w:rsidTr="003B4BCE"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354" w:rsidRPr="00311840" w:rsidRDefault="00672354" w:rsidP="003B4BCE">
            <w:pPr>
              <w:rPr>
                <w:sz w:val="24"/>
                <w:szCs w:val="22"/>
                <w:lang w:eastAsia="da-DK"/>
              </w:rPr>
            </w:pPr>
            <w:r w:rsidRPr="00311840">
              <w:rPr>
                <w:b/>
                <w:sz w:val="24"/>
                <w:lang w:eastAsia="da-DK"/>
              </w:rPr>
              <w:t>Hud og subkutane væv</w:t>
            </w:r>
          </w:p>
        </w:tc>
      </w:tr>
      <w:tr w:rsidR="00672354" w:rsidRPr="00311840" w:rsidTr="003B4BCE"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354" w:rsidRPr="00311840" w:rsidRDefault="00672354" w:rsidP="003B4BCE">
            <w:pPr>
              <w:rPr>
                <w:sz w:val="24"/>
                <w:szCs w:val="22"/>
                <w:lang w:eastAsia="da-DK"/>
              </w:rPr>
            </w:pPr>
          </w:p>
        </w:tc>
        <w:tc>
          <w:tcPr>
            <w:tcW w:w="6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354" w:rsidRPr="00311840" w:rsidRDefault="00672354" w:rsidP="003B4BCE">
            <w:pPr>
              <w:rPr>
                <w:sz w:val="24"/>
                <w:szCs w:val="22"/>
                <w:lang w:eastAsia="da-DK"/>
              </w:rPr>
            </w:pPr>
            <w:r w:rsidRPr="00311840">
              <w:rPr>
                <w:sz w:val="24"/>
                <w:lang w:eastAsia="da-DK"/>
              </w:rPr>
              <w:t>Udslæt*</w:t>
            </w:r>
          </w:p>
        </w:tc>
      </w:tr>
    </w:tbl>
    <w:p w:rsidR="00672354" w:rsidRPr="00311840" w:rsidRDefault="00672354" w:rsidP="00672354">
      <w:pPr>
        <w:ind w:left="851"/>
        <w:rPr>
          <w:sz w:val="24"/>
          <w:szCs w:val="22"/>
          <w:lang w:eastAsia="da-DK"/>
        </w:rPr>
      </w:pPr>
      <w:r w:rsidRPr="00311840">
        <w:rPr>
          <w:sz w:val="24"/>
          <w:lang w:eastAsia="da-DK"/>
        </w:rPr>
        <w:t xml:space="preserve">*Forskellige typer af hudreaktioner, såsom </w:t>
      </w:r>
      <w:proofErr w:type="spellStart"/>
      <w:r w:rsidRPr="00311840">
        <w:rPr>
          <w:sz w:val="24"/>
          <w:lang w:eastAsia="da-DK"/>
        </w:rPr>
        <w:t>erytematøse</w:t>
      </w:r>
      <w:proofErr w:type="spellEnd"/>
      <w:r w:rsidRPr="00311840">
        <w:rPr>
          <w:sz w:val="24"/>
          <w:lang w:eastAsia="da-DK"/>
        </w:rPr>
        <w:t xml:space="preserve">, </w:t>
      </w:r>
      <w:proofErr w:type="spellStart"/>
      <w:r w:rsidRPr="00311840">
        <w:rPr>
          <w:sz w:val="24"/>
          <w:lang w:eastAsia="da-DK"/>
        </w:rPr>
        <w:t>makulo-papuløse</w:t>
      </w:r>
      <w:proofErr w:type="spellEnd"/>
      <w:r w:rsidRPr="00311840">
        <w:rPr>
          <w:sz w:val="24"/>
          <w:lang w:eastAsia="da-DK"/>
        </w:rPr>
        <w:t xml:space="preserve">, </w:t>
      </w:r>
      <w:proofErr w:type="spellStart"/>
      <w:r w:rsidRPr="00311840">
        <w:rPr>
          <w:sz w:val="24"/>
          <w:lang w:eastAsia="da-DK"/>
        </w:rPr>
        <w:t>papuloskvamøse</w:t>
      </w:r>
      <w:proofErr w:type="spellEnd"/>
      <w:r w:rsidRPr="00311840">
        <w:rPr>
          <w:sz w:val="24"/>
          <w:lang w:eastAsia="da-DK"/>
        </w:rPr>
        <w:t xml:space="preserve">, </w:t>
      </w:r>
      <w:proofErr w:type="spellStart"/>
      <w:r w:rsidRPr="00311840">
        <w:rPr>
          <w:sz w:val="24"/>
          <w:lang w:eastAsia="da-DK"/>
        </w:rPr>
        <w:t>pruritiske</w:t>
      </w:r>
      <w:proofErr w:type="spellEnd"/>
      <w:r w:rsidRPr="00311840">
        <w:rPr>
          <w:sz w:val="24"/>
          <w:lang w:eastAsia="da-DK"/>
        </w:rPr>
        <w:t xml:space="preserve"> og </w:t>
      </w:r>
      <w:proofErr w:type="spellStart"/>
      <w:r w:rsidRPr="00311840">
        <w:rPr>
          <w:sz w:val="24"/>
          <w:lang w:eastAsia="da-DK"/>
        </w:rPr>
        <w:t>pustuløse</w:t>
      </w:r>
      <w:proofErr w:type="spellEnd"/>
      <w:r w:rsidRPr="00311840">
        <w:rPr>
          <w:sz w:val="24"/>
          <w:lang w:eastAsia="da-DK"/>
        </w:rPr>
        <w:t xml:space="preserve"> udslæt er rapporteret.</w:t>
      </w:r>
    </w:p>
    <w:p w:rsidR="00672354" w:rsidRPr="00311840" w:rsidRDefault="00672354" w:rsidP="00672354">
      <w:pPr>
        <w:rPr>
          <w:sz w:val="24"/>
          <w:szCs w:val="22"/>
          <w:lang w:eastAsia="da-DK"/>
        </w:rPr>
      </w:pPr>
    </w:p>
    <w:p w:rsidR="00672354" w:rsidRDefault="00672354" w:rsidP="00672354">
      <w:pPr>
        <w:autoSpaceDE w:val="0"/>
        <w:autoSpaceDN w:val="0"/>
        <w:ind w:left="851"/>
        <w:rPr>
          <w:sz w:val="24"/>
          <w:szCs w:val="24"/>
          <w:u w:val="single"/>
          <w:lang w:eastAsia="da-DK"/>
        </w:rPr>
      </w:pPr>
      <w:r>
        <w:rPr>
          <w:sz w:val="24"/>
          <w:szCs w:val="24"/>
          <w:u w:val="single"/>
          <w:lang w:eastAsia="da-DK"/>
        </w:rPr>
        <w:lastRenderedPageBreak/>
        <w:t>Indberetning af formodede bivirkninger</w:t>
      </w:r>
    </w:p>
    <w:p w:rsidR="00672354" w:rsidRDefault="00672354" w:rsidP="00672354">
      <w:pPr>
        <w:ind w:left="851"/>
        <w:rPr>
          <w:sz w:val="24"/>
          <w:szCs w:val="24"/>
          <w:lang w:eastAsia="da-DK"/>
        </w:rPr>
      </w:pPr>
      <w:r>
        <w:rPr>
          <w:sz w:val="24"/>
          <w:szCs w:val="24"/>
          <w:lang w:eastAsia="da-DK"/>
        </w:rPr>
        <w:t>Når lægemidlet er godkendt, er indberetning af formodede bivirkninger vigtig. Det muliggør løbende overvågning af benefit/</w:t>
      </w:r>
      <w:proofErr w:type="spellStart"/>
      <w:r>
        <w:rPr>
          <w:sz w:val="24"/>
          <w:szCs w:val="24"/>
          <w:lang w:eastAsia="da-DK"/>
        </w:rPr>
        <w:t>risk</w:t>
      </w:r>
      <w:proofErr w:type="spellEnd"/>
      <w:r>
        <w:rPr>
          <w:sz w:val="24"/>
          <w:szCs w:val="24"/>
          <w:lang w:eastAsia="da-DK"/>
        </w:rPr>
        <w:t xml:space="preserve">-forholdet for lægemidlet. </w:t>
      </w:r>
      <w:r w:rsidR="006876D8">
        <w:rPr>
          <w:sz w:val="24"/>
          <w:szCs w:val="24"/>
          <w:lang w:eastAsia="da-DK"/>
        </w:rPr>
        <w:t>Sundhedspersoner</w:t>
      </w:r>
      <w:r>
        <w:rPr>
          <w:sz w:val="24"/>
          <w:szCs w:val="24"/>
          <w:lang w:eastAsia="da-DK"/>
        </w:rPr>
        <w:t xml:space="preserve"> anmodes om at indberette alle formodede bivirkninger via:</w:t>
      </w:r>
    </w:p>
    <w:p w:rsidR="00672354" w:rsidRDefault="00672354" w:rsidP="00672354">
      <w:pPr>
        <w:ind w:left="851"/>
        <w:rPr>
          <w:sz w:val="24"/>
          <w:szCs w:val="24"/>
          <w:lang w:eastAsia="da-DK"/>
        </w:rPr>
      </w:pPr>
    </w:p>
    <w:p w:rsidR="00672354" w:rsidRDefault="00672354" w:rsidP="00672354">
      <w:pPr>
        <w:ind w:left="851"/>
        <w:rPr>
          <w:sz w:val="24"/>
          <w:szCs w:val="24"/>
          <w:lang w:eastAsia="da-DK"/>
        </w:rPr>
      </w:pPr>
      <w:r>
        <w:rPr>
          <w:sz w:val="24"/>
          <w:szCs w:val="24"/>
          <w:lang w:eastAsia="da-DK"/>
        </w:rPr>
        <w:t>Lægemiddelstyrelsen</w:t>
      </w:r>
    </w:p>
    <w:p w:rsidR="00672354" w:rsidRDefault="00672354" w:rsidP="00672354">
      <w:pPr>
        <w:ind w:left="851"/>
        <w:rPr>
          <w:sz w:val="24"/>
          <w:szCs w:val="24"/>
          <w:lang w:eastAsia="da-DK"/>
        </w:rPr>
      </w:pPr>
      <w:r>
        <w:rPr>
          <w:sz w:val="24"/>
          <w:szCs w:val="24"/>
          <w:lang w:eastAsia="da-DK"/>
        </w:rPr>
        <w:t>Axel Heides Gade 1</w:t>
      </w:r>
    </w:p>
    <w:p w:rsidR="00672354" w:rsidRDefault="00672354" w:rsidP="00672354">
      <w:pPr>
        <w:ind w:left="851"/>
        <w:rPr>
          <w:sz w:val="24"/>
          <w:szCs w:val="24"/>
          <w:lang w:eastAsia="da-DK"/>
        </w:rPr>
      </w:pPr>
      <w:r>
        <w:rPr>
          <w:sz w:val="24"/>
          <w:szCs w:val="24"/>
          <w:lang w:eastAsia="da-DK"/>
        </w:rPr>
        <w:t>DK-2300 København S</w:t>
      </w:r>
    </w:p>
    <w:p w:rsidR="00672354" w:rsidRDefault="00672354" w:rsidP="00672354">
      <w:pPr>
        <w:ind w:left="851"/>
        <w:rPr>
          <w:sz w:val="24"/>
          <w:szCs w:val="24"/>
          <w:lang w:val="en-US" w:eastAsia="da-DK"/>
        </w:rPr>
      </w:pPr>
      <w:proofErr w:type="spellStart"/>
      <w:r>
        <w:rPr>
          <w:sz w:val="24"/>
          <w:szCs w:val="24"/>
          <w:lang w:val="en-US" w:eastAsia="da-DK"/>
        </w:rPr>
        <w:t>Websted</w:t>
      </w:r>
      <w:proofErr w:type="spellEnd"/>
      <w:r>
        <w:rPr>
          <w:sz w:val="24"/>
          <w:szCs w:val="24"/>
          <w:lang w:val="en-US" w:eastAsia="da-DK"/>
        </w:rPr>
        <w:t xml:space="preserve">: </w:t>
      </w:r>
      <w:hyperlink r:id="rId8" w:history="1">
        <w:r>
          <w:rPr>
            <w:rStyle w:val="Hyperlink"/>
            <w:sz w:val="24"/>
            <w:lang w:val="en-US" w:eastAsia="da-DK"/>
          </w:rPr>
          <w:t>www.meldenbivirkning.dk</w:t>
        </w:r>
      </w:hyperlink>
    </w:p>
    <w:p w:rsidR="00672354" w:rsidRDefault="00672354" w:rsidP="00672354">
      <w:pPr>
        <w:pStyle w:val="Sidehoved"/>
        <w:tabs>
          <w:tab w:val="left" w:pos="851"/>
        </w:tabs>
        <w:ind w:left="851"/>
        <w:rPr>
          <w:szCs w:val="24"/>
          <w:lang w:val="en-US"/>
        </w:rPr>
      </w:pPr>
    </w:p>
    <w:p w:rsidR="006876D8" w:rsidRPr="003035D7" w:rsidRDefault="006876D8" w:rsidP="00672354">
      <w:pPr>
        <w:pStyle w:val="Sidehoved"/>
        <w:tabs>
          <w:tab w:val="left" w:pos="851"/>
        </w:tabs>
        <w:ind w:left="851"/>
        <w:rPr>
          <w:szCs w:val="24"/>
          <w:lang w:val="en-US"/>
        </w:rPr>
      </w:pPr>
    </w:p>
    <w:p w:rsidR="00672354" w:rsidRPr="00C84483" w:rsidRDefault="00672354" w:rsidP="00672354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4.9</w:t>
      </w:r>
      <w:r w:rsidRPr="00C84483">
        <w:rPr>
          <w:b/>
          <w:sz w:val="24"/>
          <w:szCs w:val="24"/>
        </w:rPr>
        <w:tab/>
        <w:t>Overdosering</w:t>
      </w:r>
    </w:p>
    <w:p w:rsidR="00672354" w:rsidRPr="001F41E2" w:rsidRDefault="00672354" w:rsidP="00672354">
      <w:pPr>
        <w:ind w:left="851"/>
        <w:rPr>
          <w:sz w:val="24"/>
          <w:szCs w:val="22"/>
          <w:lang w:eastAsia="da-DK"/>
        </w:rPr>
      </w:pPr>
      <w:r w:rsidRPr="001F41E2">
        <w:rPr>
          <w:sz w:val="24"/>
          <w:lang w:eastAsia="da-DK"/>
        </w:rPr>
        <w:t xml:space="preserve">For store doser kalium fører til udvikling af </w:t>
      </w:r>
      <w:proofErr w:type="spellStart"/>
      <w:r w:rsidRPr="001F41E2">
        <w:rPr>
          <w:sz w:val="24"/>
          <w:lang w:eastAsia="da-DK"/>
        </w:rPr>
        <w:t>hyperkaliæmi</w:t>
      </w:r>
      <w:proofErr w:type="spellEnd"/>
      <w:r w:rsidRPr="001F41E2">
        <w:rPr>
          <w:sz w:val="24"/>
          <w:lang w:eastAsia="da-DK"/>
        </w:rPr>
        <w:t xml:space="preserve">, især hos patienter med nedsat nyrefunktion. Symptomerne omfatter mental forvirring, </w:t>
      </w:r>
      <w:proofErr w:type="spellStart"/>
      <w:r w:rsidRPr="001F41E2">
        <w:rPr>
          <w:sz w:val="24"/>
          <w:lang w:eastAsia="da-DK"/>
        </w:rPr>
        <w:t>paræstesi</w:t>
      </w:r>
      <w:proofErr w:type="spellEnd"/>
      <w:r w:rsidRPr="001F41E2">
        <w:rPr>
          <w:sz w:val="24"/>
          <w:lang w:eastAsia="da-DK"/>
        </w:rPr>
        <w:t xml:space="preserve"> i ekstremiteter, muskelsvaghed, paralyse, hypotension, </w:t>
      </w:r>
      <w:proofErr w:type="spellStart"/>
      <w:r w:rsidRPr="001F41E2">
        <w:rPr>
          <w:sz w:val="24"/>
          <w:lang w:eastAsia="da-DK"/>
        </w:rPr>
        <w:t>hjertearytmier</w:t>
      </w:r>
      <w:proofErr w:type="spellEnd"/>
      <w:r w:rsidRPr="001F41E2">
        <w:rPr>
          <w:sz w:val="24"/>
          <w:lang w:eastAsia="da-DK"/>
        </w:rPr>
        <w:t>, hjerteblok og hjertestop.</w:t>
      </w:r>
    </w:p>
    <w:p w:rsidR="00672354" w:rsidRPr="001F41E2" w:rsidRDefault="00672354" w:rsidP="00672354">
      <w:pPr>
        <w:ind w:left="851"/>
        <w:rPr>
          <w:sz w:val="24"/>
          <w:szCs w:val="22"/>
          <w:lang w:eastAsia="da-DK"/>
        </w:rPr>
      </w:pPr>
      <w:r w:rsidRPr="001F41E2">
        <w:rPr>
          <w:sz w:val="24"/>
          <w:lang w:eastAsia="da-DK"/>
        </w:rPr>
        <w:t xml:space="preserve">Ændringer i </w:t>
      </w:r>
      <w:proofErr w:type="spellStart"/>
      <w:r w:rsidRPr="001F41E2">
        <w:rPr>
          <w:sz w:val="24"/>
          <w:lang w:eastAsia="da-DK"/>
        </w:rPr>
        <w:t>EKG'et</w:t>
      </w:r>
      <w:proofErr w:type="spellEnd"/>
      <w:r w:rsidRPr="001F41E2">
        <w:rPr>
          <w:sz w:val="24"/>
          <w:lang w:eastAsia="da-DK"/>
        </w:rPr>
        <w:t xml:space="preserve"> er en vigtig indikator for kaliumtoksicitet.</w:t>
      </w:r>
    </w:p>
    <w:p w:rsidR="00672354" w:rsidRPr="001F41E2" w:rsidRDefault="00672354" w:rsidP="00672354">
      <w:pPr>
        <w:ind w:left="851"/>
        <w:rPr>
          <w:sz w:val="24"/>
          <w:szCs w:val="22"/>
          <w:lang w:eastAsia="da-DK"/>
        </w:rPr>
      </w:pPr>
      <w:r w:rsidRPr="001F41E2">
        <w:rPr>
          <w:sz w:val="24"/>
          <w:lang w:eastAsia="da-DK"/>
        </w:rPr>
        <w:t xml:space="preserve">Behandlingen bør følge lokale retningslinjer. Følgende bør overvejes. Mavetømning, hvis nødvendigt. Der bør påbegyndes EKG-overvågning. Insulin og </w:t>
      </w:r>
      <w:proofErr w:type="spellStart"/>
      <w:r w:rsidRPr="001F41E2">
        <w:rPr>
          <w:sz w:val="24"/>
          <w:lang w:eastAsia="da-DK"/>
        </w:rPr>
        <w:t>glucose</w:t>
      </w:r>
      <w:proofErr w:type="spellEnd"/>
      <w:r w:rsidRPr="001F41E2">
        <w:rPr>
          <w:sz w:val="24"/>
          <w:lang w:eastAsia="da-DK"/>
        </w:rPr>
        <w:t xml:space="preserve"> efterfulgt af oral eller </w:t>
      </w:r>
      <w:proofErr w:type="spellStart"/>
      <w:r w:rsidRPr="001F41E2">
        <w:rPr>
          <w:sz w:val="24"/>
          <w:lang w:eastAsia="da-DK"/>
        </w:rPr>
        <w:t>rektal</w:t>
      </w:r>
      <w:proofErr w:type="spellEnd"/>
      <w:r w:rsidRPr="001F41E2">
        <w:rPr>
          <w:sz w:val="24"/>
          <w:lang w:eastAsia="da-DK"/>
        </w:rPr>
        <w:t xml:space="preserve"> administration af </w:t>
      </w:r>
      <w:proofErr w:type="spellStart"/>
      <w:r w:rsidRPr="001F41E2">
        <w:rPr>
          <w:sz w:val="24"/>
          <w:lang w:eastAsia="da-DK"/>
        </w:rPr>
        <w:t>polystyrensulphat</w:t>
      </w:r>
      <w:proofErr w:type="spellEnd"/>
      <w:r w:rsidRPr="001F41E2">
        <w:rPr>
          <w:sz w:val="24"/>
          <w:lang w:eastAsia="da-DK"/>
        </w:rPr>
        <w:t xml:space="preserve">. Intravenøs infusion af </w:t>
      </w:r>
      <w:proofErr w:type="spellStart"/>
      <w:r w:rsidRPr="001F41E2">
        <w:rPr>
          <w:sz w:val="24"/>
          <w:lang w:eastAsia="da-DK"/>
        </w:rPr>
        <w:t>natriumbicarbonat</w:t>
      </w:r>
      <w:proofErr w:type="spellEnd"/>
      <w:r w:rsidRPr="001F41E2">
        <w:rPr>
          <w:sz w:val="24"/>
          <w:lang w:eastAsia="da-DK"/>
        </w:rPr>
        <w:t xml:space="preserve"> eller intravenøs injektion af </w:t>
      </w:r>
      <w:proofErr w:type="spellStart"/>
      <w:r w:rsidRPr="001F41E2">
        <w:rPr>
          <w:sz w:val="24"/>
          <w:lang w:eastAsia="da-DK"/>
        </w:rPr>
        <w:t>calciumchlorid</w:t>
      </w:r>
      <w:proofErr w:type="spellEnd"/>
      <w:r w:rsidRPr="001F41E2">
        <w:rPr>
          <w:sz w:val="24"/>
          <w:lang w:eastAsia="da-DK"/>
        </w:rPr>
        <w:t xml:space="preserve"> eller </w:t>
      </w:r>
      <w:proofErr w:type="spellStart"/>
      <w:r w:rsidRPr="001F41E2">
        <w:rPr>
          <w:sz w:val="24"/>
          <w:lang w:eastAsia="da-DK"/>
        </w:rPr>
        <w:t>calciumgluconat</w:t>
      </w:r>
      <w:proofErr w:type="spellEnd"/>
      <w:r w:rsidRPr="001F41E2">
        <w:rPr>
          <w:sz w:val="24"/>
          <w:lang w:eastAsia="da-DK"/>
        </w:rPr>
        <w:t>.</w:t>
      </w:r>
    </w:p>
    <w:p w:rsidR="00672354" w:rsidRPr="001F41E2" w:rsidRDefault="00672354" w:rsidP="00672354">
      <w:pPr>
        <w:ind w:left="851"/>
        <w:rPr>
          <w:sz w:val="24"/>
          <w:szCs w:val="22"/>
          <w:lang w:eastAsia="da-DK"/>
        </w:rPr>
      </w:pPr>
    </w:p>
    <w:p w:rsidR="00672354" w:rsidRPr="001F41E2" w:rsidRDefault="00672354" w:rsidP="00672354">
      <w:pPr>
        <w:autoSpaceDE w:val="0"/>
        <w:autoSpaceDN w:val="0"/>
        <w:adjustRightInd w:val="0"/>
        <w:ind w:left="851"/>
        <w:rPr>
          <w:sz w:val="24"/>
          <w:lang w:eastAsia="da-DK"/>
        </w:rPr>
      </w:pPr>
      <w:r w:rsidRPr="001F41E2">
        <w:rPr>
          <w:sz w:val="24"/>
          <w:lang w:eastAsia="da-DK"/>
        </w:rPr>
        <w:t xml:space="preserve">Toksisk dosis: 168 mmol. </w:t>
      </w:r>
    </w:p>
    <w:p w:rsidR="00672354" w:rsidRPr="001F41E2" w:rsidRDefault="00672354" w:rsidP="00672354">
      <w:pPr>
        <w:autoSpaceDE w:val="0"/>
        <w:autoSpaceDN w:val="0"/>
        <w:adjustRightInd w:val="0"/>
        <w:ind w:left="851"/>
        <w:rPr>
          <w:sz w:val="24"/>
          <w:lang w:eastAsia="da-DK"/>
        </w:rPr>
      </w:pPr>
      <w:r w:rsidRPr="001F41E2">
        <w:rPr>
          <w:sz w:val="24"/>
          <w:lang w:eastAsia="da-DK"/>
        </w:rPr>
        <w:t xml:space="preserve">Der kan opstå hjertestop hos mindre børn efter 60 mmol. </w:t>
      </w:r>
    </w:p>
    <w:p w:rsidR="00672354" w:rsidRPr="001F41E2" w:rsidRDefault="00672354" w:rsidP="00672354">
      <w:pPr>
        <w:autoSpaceDE w:val="0"/>
        <w:autoSpaceDN w:val="0"/>
        <w:adjustRightInd w:val="0"/>
        <w:ind w:left="851"/>
        <w:rPr>
          <w:sz w:val="24"/>
          <w:lang w:eastAsia="da-DK"/>
        </w:rPr>
      </w:pPr>
      <w:r w:rsidRPr="001F41E2">
        <w:rPr>
          <w:sz w:val="24"/>
          <w:lang w:eastAsia="da-DK"/>
        </w:rPr>
        <w:t>Der kan observeres alvorlige symptomer efter ca. 3 mmol/kg legemsvægt, død efter 4</w:t>
      </w:r>
      <w:r w:rsidRPr="001F41E2">
        <w:rPr>
          <w:sz w:val="24"/>
          <w:lang w:eastAsia="da-DK"/>
        </w:rPr>
        <w:noBreakHyphen/>
        <w:t>13 mmol/kg oralt.</w:t>
      </w:r>
    </w:p>
    <w:p w:rsidR="00672354" w:rsidRPr="0054729D" w:rsidRDefault="00672354" w:rsidP="00672354">
      <w:pPr>
        <w:autoSpaceDE w:val="0"/>
        <w:autoSpaceDN w:val="0"/>
        <w:adjustRightInd w:val="0"/>
        <w:ind w:left="851"/>
        <w:rPr>
          <w:sz w:val="24"/>
          <w:lang w:eastAsia="da-DK"/>
        </w:rPr>
      </w:pPr>
      <w:r w:rsidRPr="001F41E2">
        <w:rPr>
          <w:sz w:val="24"/>
          <w:lang w:eastAsia="da-DK"/>
        </w:rPr>
        <w:t xml:space="preserve">Da der ikke er nogen klar sammenhæng mellem graden af </w:t>
      </w:r>
      <w:proofErr w:type="spellStart"/>
      <w:r w:rsidRPr="001F41E2">
        <w:rPr>
          <w:sz w:val="24"/>
          <w:lang w:eastAsia="da-DK"/>
        </w:rPr>
        <w:t>hyperkaliæmi</w:t>
      </w:r>
      <w:proofErr w:type="spellEnd"/>
      <w:r w:rsidRPr="001F41E2">
        <w:rPr>
          <w:sz w:val="24"/>
          <w:lang w:eastAsia="da-DK"/>
        </w:rPr>
        <w:t xml:space="preserve"> og sandsynligheden for livstruende </w:t>
      </w:r>
      <w:proofErr w:type="spellStart"/>
      <w:r w:rsidRPr="001F41E2">
        <w:rPr>
          <w:sz w:val="24"/>
          <w:lang w:eastAsia="da-DK"/>
        </w:rPr>
        <w:t>arytmier</w:t>
      </w:r>
      <w:proofErr w:type="spellEnd"/>
      <w:r w:rsidRPr="001F41E2">
        <w:rPr>
          <w:sz w:val="24"/>
          <w:lang w:eastAsia="da-DK"/>
        </w:rPr>
        <w:t>, skal den underliggende medicinske tilstand, herunder nyrefunktionen, og samtidige lægemidler der prædisponerer patienterne for en unormal intracellulær/ekstracellulær kaliumbalance og unormal kaliumudskillelse overvejes for at sikre en individualiseret behandling.</w:t>
      </w:r>
    </w:p>
    <w:p w:rsidR="00672354" w:rsidRPr="00C84483" w:rsidRDefault="00672354" w:rsidP="00672354">
      <w:pPr>
        <w:tabs>
          <w:tab w:val="left" w:pos="851"/>
        </w:tabs>
        <w:ind w:left="851"/>
        <w:rPr>
          <w:sz w:val="24"/>
          <w:szCs w:val="24"/>
        </w:rPr>
      </w:pPr>
    </w:p>
    <w:p w:rsidR="00672354" w:rsidRPr="00C84483" w:rsidRDefault="00672354" w:rsidP="00672354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4.10</w:t>
      </w:r>
      <w:r w:rsidRPr="00C84483">
        <w:rPr>
          <w:b/>
          <w:sz w:val="24"/>
          <w:szCs w:val="24"/>
        </w:rPr>
        <w:tab/>
        <w:t>Udlevering</w:t>
      </w:r>
    </w:p>
    <w:p w:rsidR="00672354" w:rsidRPr="00C84483" w:rsidRDefault="00672354" w:rsidP="00672354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HA</w:t>
      </w:r>
    </w:p>
    <w:p w:rsidR="00672354" w:rsidRPr="00C84483" w:rsidRDefault="00672354" w:rsidP="00672354">
      <w:pPr>
        <w:tabs>
          <w:tab w:val="left" w:pos="851"/>
        </w:tabs>
        <w:ind w:left="851"/>
        <w:rPr>
          <w:sz w:val="24"/>
          <w:szCs w:val="24"/>
        </w:rPr>
      </w:pPr>
    </w:p>
    <w:p w:rsidR="00672354" w:rsidRPr="00C84483" w:rsidRDefault="00672354" w:rsidP="00672354">
      <w:pPr>
        <w:tabs>
          <w:tab w:val="left" w:pos="851"/>
        </w:tabs>
        <w:ind w:left="851"/>
        <w:rPr>
          <w:sz w:val="24"/>
          <w:szCs w:val="24"/>
        </w:rPr>
      </w:pPr>
    </w:p>
    <w:p w:rsidR="00672354" w:rsidRPr="00C84483" w:rsidRDefault="00672354" w:rsidP="00672354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</w:t>
      </w:r>
      <w:r w:rsidRPr="00C84483">
        <w:rPr>
          <w:b/>
          <w:sz w:val="24"/>
          <w:szCs w:val="24"/>
        </w:rPr>
        <w:tab/>
        <w:t>FARMAKOLOGISKE EGENSKABER</w:t>
      </w:r>
    </w:p>
    <w:p w:rsidR="00672354" w:rsidRPr="00C84483" w:rsidRDefault="00672354" w:rsidP="00672354">
      <w:pPr>
        <w:tabs>
          <w:tab w:val="left" w:pos="851"/>
        </w:tabs>
        <w:ind w:left="851"/>
        <w:rPr>
          <w:sz w:val="24"/>
          <w:szCs w:val="24"/>
        </w:rPr>
      </w:pPr>
    </w:p>
    <w:p w:rsidR="00672354" w:rsidRPr="00C84483" w:rsidRDefault="00672354" w:rsidP="00672354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5.0</w:t>
      </w:r>
      <w:r w:rsidRPr="00C84483">
        <w:rPr>
          <w:b/>
          <w:sz w:val="24"/>
          <w:szCs w:val="24"/>
        </w:rPr>
        <w:tab/>
        <w:t>Terapeutisk klassifikation</w:t>
      </w:r>
    </w:p>
    <w:p w:rsidR="00672354" w:rsidRPr="00C84483" w:rsidRDefault="00672354" w:rsidP="00672354">
      <w:pPr>
        <w:tabs>
          <w:tab w:val="left" w:pos="851"/>
        </w:tabs>
        <w:ind w:left="851"/>
        <w:rPr>
          <w:sz w:val="24"/>
          <w:szCs w:val="24"/>
        </w:rPr>
      </w:pPr>
      <w:r>
        <w:rPr>
          <w:spacing w:val="-3"/>
          <w:sz w:val="24"/>
          <w:lang w:eastAsia="da-DK"/>
        </w:rPr>
        <w:t xml:space="preserve">ATC-kode: </w:t>
      </w:r>
      <w:r w:rsidRPr="001F41E2">
        <w:rPr>
          <w:spacing w:val="-3"/>
          <w:sz w:val="24"/>
          <w:lang w:eastAsia="da-DK"/>
        </w:rPr>
        <w:t>A 12 BA 01</w:t>
      </w:r>
      <w:r>
        <w:rPr>
          <w:spacing w:val="-3"/>
          <w:sz w:val="24"/>
          <w:lang w:eastAsia="da-DK"/>
        </w:rPr>
        <w:t>. Mineralpræparat.</w:t>
      </w:r>
      <w:r w:rsidRPr="00C84483">
        <w:rPr>
          <w:sz w:val="24"/>
          <w:szCs w:val="24"/>
        </w:rPr>
        <w:t xml:space="preserve"> </w:t>
      </w:r>
    </w:p>
    <w:p w:rsidR="00672354" w:rsidRPr="00C84483" w:rsidRDefault="00672354" w:rsidP="00672354">
      <w:pPr>
        <w:tabs>
          <w:tab w:val="left" w:pos="851"/>
        </w:tabs>
        <w:ind w:left="851"/>
        <w:rPr>
          <w:sz w:val="24"/>
          <w:szCs w:val="24"/>
        </w:rPr>
      </w:pPr>
    </w:p>
    <w:p w:rsidR="00672354" w:rsidRPr="00C84483" w:rsidRDefault="00672354" w:rsidP="00672354">
      <w:pPr>
        <w:tabs>
          <w:tab w:val="num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5.1</w:t>
      </w:r>
      <w:r w:rsidRPr="00C84483">
        <w:rPr>
          <w:b/>
          <w:sz w:val="24"/>
          <w:szCs w:val="24"/>
        </w:rPr>
        <w:tab/>
      </w:r>
      <w:proofErr w:type="spellStart"/>
      <w:r w:rsidRPr="00C84483">
        <w:rPr>
          <w:b/>
          <w:sz w:val="24"/>
          <w:szCs w:val="24"/>
        </w:rPr>
        <w:t>Farmakodynamiske</w:t>
      </w:r>
      <w:proofErr w:type="spellEnd"/>
      <w:r w:rsidRPr="00C84483">
        <w:rPr>
          <w:b/>
          <w:sz w:val="24"/>
          <w:szCs w:val="24"/>
        </w:rPr>
        <w:t xml:space="preserve"> egenskaber</w:t>
      </w:r>
    </w:p>
    <w:p w:rsidR="00672354" w:rsidRPr="00311840" w:rsidRDefault="00672354" w:rsidP="00672354">
      <w:pPr>
        <w:ind w:left="851"/>
        <w:rPr>
          <w:sz w:val="24"/>
          <w:szCs w:val="22"/>
          <w:lang w:eastAsia="da-DK"/>
        </w:rPr>
      </w:pPr>
      <w:proofErr w:type="spellStart"/>
      <w:r w:rsidRPr="00311840">
        <w:rPr>
          <w:sz w:val="24"/>
          <w:lang w:eastAsia="da-DK"/>
        </w:rPr>
        <w:t>Kaliumchlorid</w:t>
      </w:r>
      <w:proofErr w:type="spellEnd"/>
      <w:r w:rsidRPr="00311840">
        <w:rPr>
          <w:sz w:val="24"/>
          <w:lang w:eastAsia="da-DK"/>
        </w:rPr>
        <w:t xml:space="preserve"> frigives langsomt fra tabletten under passagen gennem tyndtarmen, hvorved risikoen for bivirkninger i form af uspecificerede </w:t>
      </w:r>
      <w:proofErr w:type="spellStart"/>
      <w:r w:rsidRPr="00311840">
        <w:rPr>
          <w:sz w:val="24"/>
          <w:lang w:eastAsia="da-DK"/>
        </w:rPr>
        <w:t>ulcerationer</w:t>
      </w:r>
      <w:proofErr w:type="spellEnd"/>
      <w:r w:rsidRPr="00311840">
        <w:rPr>
          <w:sz w:val="24"/>
          <w:lang w:eastAsia="da-DK"/>
        </w:rPr>
        <w:t xml:space="preserve"> reduceres. Kernen udgøres af et hvidt, blødt lipidskelet, som udskilles med fæces. Tabletterne er filmovertrukne, så de er nemmere at sluge, og så den bitre smag elimineres.</w:t>
      </w:r>
    </w:p>
    <w:p w:rsidR="00672354" w:rsidRPr="00311840" w:rsidRDefault="00672354" w:rsidP="00672354">
      <w:pPr>
        <w:ind w:left="851"/>
        <w:rPr>
          <w:sz w:val="24"/>
          <w:szCs w:val="22"/>
          <w:lang w:eastAsia="da-DK"/>
        </w:rPr>
      </w:pPr>
    </w:p>
    <w:p w:rsidR="00672354" w:rsidRPr="00311840" w:rsidRDefault="00672354" w:rsidP="00672354">
      <w:pPr>
        <w:ind w:left="851"/>
        <w:rPr>
          <w:sz w:val="24"/>
          <w:szCs w:val="22"/>
          <w:lang w:eastAsia="da-DK"/>
        </w:rPr>
      </w:pPr>
      <w:proofErr w:type="spellStart"/>
      <w:r w:rsidRPr="00311840">
        <w:rPr>
          <w:sz w:val="24"/>
          <w:lang w:eastAsia="da-DK"/>
        </w:rPr>
        <w:t>Kaliumionen</w:t>
      </w:r>
      <w:proofErr w:type="spellEnd"/>
      <w:r w:rsidRPr="00311840">
        <w:rPr>
          <w:sz w:val="24"/>
          <w:lang w:eastAsia="da-DK"/>
        </w:rPr>
        <w:t xml:space="preserve"> er en vigtig kation i essentielle fysiologiske processer, såsom opretholdelse af intracellulær </w:t>
      </w:r>
      <w:proofErr w:type="spellStart"/>
      <w:r w:rsidRPr="00311840">
        <w:rPr>
          <w:sz w:val="24"/>
          <w:lang w:eastAsia="da-DK"/>
        </w:rPr>
        <w:t>tonicitet</w:t>
      </w:r>
      <w:proofErr w:type="spellEnd"/>
      <w:r w:rsidRPr="00311840">
        <w:rPr>
          <w:sz w:val="24"/>
          <w:lang w:eastAsia="da-DK"/>
        </w:rPr>
        <w:t xml:space="preserve">, transmission af nerveimpulser, muskelkontraktioner og opretholdelse af normal nyrefunktion. </w:t>
      </w:r>
    </w:p>
    <w:p w:rsidR="00672354" w:rsidRPr="00311840" w:rsidRDefault="00672354" w:rsidP="00672354">
      <w:pPr>
        <w:ind w:left="851"/>
        <w:rPr>
          <w:sz w:val="24"/>
          <w:szCs w:val="22"/>
          <w:lang w:eastAsia="da-DK"/>
        </w:rPr>
      </w:pPr>
    </w:p>
    <w:p w:rsidR="00672354" w:rsidRPr="00C41514" w:rsidRDefault="00672354" w:rsidP="00672354">
      <w:pPr>
        <w:ind w:left="851"/>
        <w:rPr>
          <w:sz w:val="24"/>
          <w:szCs w:val="22"/>
          <w:lang w:eastAsia="da-DK"/>
        </w:rPr>
      </w:pPr>
      <w:r w:rsidRPr="00311840">
        <w:rPr>
          <w:sz w:val="24"/>
          <w:lang w:eastAsia="da-DK"/>
        </w:rPr>
        <w:lastRenderedPageBreak/>
        <w:t xml:space="preserve">Kalium er en normal bestanddel af kosten og under </w:t>
      </w:r>
      <w:proofErr w:type="spellStart"/>
      <w:r w:rsidRPr="00311840">
        <w:rPr>
          <w:sz w:val="24"/>
          <w:lang w:eastAsia="da-DK"/>
        </w:rPr>
        <w:t>steady</w:t>
      </w:r>
      <w:proofErr w:type="spellEnd"/>
      <w:r w:rsidRPr="00311840">
        <w:rPr>
          <w:sz w:val="24"/>
          <w:lang w:eastAsia="da-DK"/>
        </w:rPr>
        <w:t>-state-betingelser svarer mængden af kalium absorberet fra mave-tarm-kanalen til den mængde, der udskilles i urinen. Den normale daglige indtagelse er 50-100 </w:t>
      </w:r>
      <w:proofErr w:type="spellStart"/>
      <w:r w:rsidRPr="00311840">
        <w:rPr>
          <w:sz w:val="24"/>
          <w:lang w:eastAsia="da-DK"/>
        </w:rPr>
        <w:t>mÆkv</w:t>
      </w:r>
      <w:proofErr w:type="spellEnd"/>
      <w:r w:rsidRPr="00311840">
        <w:rPr>
          <w:sz w:val="24"/>
          <w:lang w:eastAsia="da-DK"/>
        </w:rPr>
        <w:t xml:space="preserve">. En nedsat indtagelse eller et øget kaliumtab fører til symptomer på </w:t>
      </w:r>
      <w:proofErr w:type="spellStart"/>
      <w:r w:rsidRPr="00311840">
        <w:rPr>
          <w:sz w:val="24"/>
          <w:lang w:eastAsia="da-DK"/>
        </w:rPr>
        <w:t>hypokaliæmi</w:t>
      </w:r>
      <w:proofErr w:type="spellEnd"/>
      <w:r>
        <w:rPr>
          <w:sz w:val="24"/>
          <w:lang w:eastAsia="da-DK"/>
        </w:rPr>
        <w:t>.</w:t>
      </w:r>
    </w:p>
    <w:p w:rsidR="00672354" w:rsidRPr="00C84483" w:rsidRDefault="00672354" w:rsidP="00672354">
      <w:pPr>
        <w:tabs>
          <w:tab w:val="left" w:pos="851"/>
        </w:tabs>
        <w:ind w:left="851"/>
        <w:rPr>
          <w:sz w:val="24"/>
          <w:szCs w:val="24"/>
        </w:rPr>
      </w:pPr>
    </w:p>
    <w:p w:rsidR="00672354" w:rsidRPr="00C84483" w:rsidRDefault="00672354" w:rsidP="00672354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5.2</w:t>
      </w:r>
      <w:r w:rsidRPr="00C84483">
        <w:rPr>
          <w:b/>
          <w:sz w:val="24"/>
          <w:szCs w:val="24"/>
        </w:rPr>
        <w:tab/>
      </w:r>
      <w:proofErr w:type="spellStart"/>
      <w:r w:rsidRPr="00C84483">
        <w:rPr>
          <w:b/>
          <w:sz w:val="24"/>
          <w:szCs w:val="24"/>
        </w:rPr>
        <w:t>Farmakokinetiske</w:t>
      </w:r>
      <w:proofErr w:type="spellEnd"/>
      <w:r w:rsidRPr="00C84483">
        <w:rPr>
          <w:b/>
          <w:sz w:val="24"/>
          <w:szCs w:val="24"/>
        </w:rPr>
        <w:t xml:space="preserve"> egenskaber</w:t>
      </w:r>
    </w:p>
    <w:p w:rsidR="00672354" w:rsidRPr="001F41E2" w:rsidRDefault="00672354" w:rsidP="00672354">
      <w:pPr>
        <w:ind w:left="851"/>
        <w:rPr>
          <w:sz w:val="24"/>
          <w:szCs w:val="22"/>
          <w:lang w:eastAsia="da-DK"/>
        </w:rPr>
      </w:pPr>
      <w:r w:rsidRPr="001F41E2">
        <w:rPr>
          <w:sz w:val="24"/>
          <w:lang w:eastAsia="da-DK"/>
        </w:rPr>
        <w:t>Kalium absorberes let fra mave-tarm-kanalen. Det indgår i den intracellulære væske og opretholder en koncentration på ca. 150 </w:t>
      </w:r>
      <w:proofErr w:type="spellStart"/>
      <w:r w:rsidRPr="001F41E2">
        <w:rPr>
          <w:sz w:val="24"/>
          <w:lang w:eastAsia="da-DK"/>
        </w:rPr>
        <w:t>mÆkv</w:t>
      </w:r>
      <w:proofErr w:type="spellEnd"/>
      <w:r w:rsidRPr="001F41E2">
        <w:rPr>
          <w:sz w:val="24"/>
          <w:lang w:eastAsia="da-DK"/>
        </w:rPr>
        <w:t>/l, og normalområdet for koncentrationen af kalium i plasma anses for at være 3,5</w:t>
      </w:r>
      <w:r w:rsidRPr="001F41E2">
        <w:rPr>
          <w:sz w:val="24"/>
          <w:lang w:eastAsia="da-DK"/>
        </w:rPr>
        <w:noBreakHyphen/>
        <w:t>5 </w:t>
      </w:r>
      <w:proofErr w:type="spellStart"/>
      <w:r w:rsidRPr="001F41E2">
        <w:rPr>
          <w:sz w:val="24"/>
          <w:lang w:eastAsia="da-DK"/>
        </w:rPr>
        <w:t>mÆkv</w:t>
      </w:r>
      <w:proofErr w:type="spellEnd"/>
      <w:r w:rsidRPr="001F41E2">
        <w:rPr>
          <w:sz w:val="24"/>
          <w:lang w:eastAsia="da-DK"/>
        </w:rPr>
        <w:t xml:space="preserve">/l. </w:t>
      </w:r>
    </w:p>
    <w:p w:rsidR="00672354" w:rsidRPr="001F41E2" w:rsidRDefault="00672354" w:rsidP="00672354">
      <w:pPr>
        <w:ind w:left="851"/>
        <w:rPr>
          <w:sz w:val="24"/>
          <w:szCs w:val="22"/>
          <w:lang w:eastAsia="da-DK"/>
        </w:rPr>
      </w:pPr>
    </w:p>
    <w:p w:rsidR="00672354" w:rsidRPr="001F41E2" w:rsidRDefault="00672354" w:rsidP="00672354">
      <w:pPr>
        <w:ind w:left="851"/>
        <w:rPr>
          <w:sz w:val="24"/>
          <w:szCs w:val="22"/>
          <w:lang w:eastAsia="da-DK"/>
        </w:rPr>
      </w:pPr>
      <w:r w:rsidRPr="001F41E2">
        <w:rPr>
          <w:sz w:val="24"/>
          <w:lang w:eastAsia="da-DK"/>
        </w:rPr>
        <w:t xml:space="preserve">Udskillelsen af kalium finder primært sted via nyrernes </w:t>
      </w:r>
      <w:proofErr w:type="spellStart"/>
      <w:r w:rsidRPr="001F41E2">
        <w:rPr>
          <w:sz w:val="24"/>
          <w:lang w:eastAsia="da-DK"/>
        </w:rPr>
        <w:t>distale</w:t>
      </w:r>
      <w:proofErr w:type="spellEnd"/>
      <w:r w:rsidRPr="001F41E2">
        <w:rPr>
          <w:sz w:val="24"/>
          <w:lang w:eastAsia="da-DK"/>
        </w:rPr>
        <w:t xml:space="preserve"> </w:t>
      </w:r>
      <w:proofErr w:type="spellStart"/>
      <w:r w:rsidRPr="001F41E2">
        <w:rPr>
          <w:sz w:val="24"/>
          <w:lang w:eastAsia="da-DK"/>
        </w:rPr>
        <w:t>tubuli</w:t>
      </w:r>
      <w:proofErr w:type="spellEnd"/>
      <w:r w:rsidRPr="001F41E2">
        <w:rPr>
          <w:sz w:val="24"/>
          <w:lang w:eastAsia="da-DK"/>
        </w:rPr>
        <w:t xml:space="preserve">. </w:t>
      </w:r>
    </w:p>
    <w:p w:rsidR="00672354" w:rsidRPr="001F41E2" w:rsidRDefault="00672354" w:rsidP="00672354">
      <w:pPr>
        <w:ind w:left="851"/>
        <w:rPr>
          <w:sz w:val="24"/>
          <w:szCs w:val="22"/>
          <w:lang w:eastAsia="da-DK"/>
        </w:rPr>
      </w:pPr>
    </w:p>
    <w:p w:rsidR="00672354" w:rsidRPr="00CB67BF" w:rsidRDefault="00672354" w:rsidP="00672354">
      <w:pPr>
        <w:ind w:left="851"/>
        <w:rPr>
          <w:sz w:val="24"/>
          <w:szCs w:val="22"/>
          <w:lang w:eastAsia="da-DK"/>
        </w:rPr>
      </w:pPr>
      <w:r w:rsidRPr="001F41E2">
        <w:rPr>
          <w:sz w:val="24"/>
          <w:lang w:eastAsia="da-DK"/>
        </w:rPr>
        <w:t xml:space="preserve">Depottabletterne er fremstillet således at </w:t>
      </w:r>
      <w:proofErr w:type="spellStart"/>
      <w:r w:rsidRPr="001F41E2">
        <w:rPr>
          <w:sz w:val="24"/>
          <w:lang w:eastAsia="da-DK"/>
        </w:rPr>
        <w:t>kaliumchlorid</w:t>
      </w:r>
      <w:proofErr w:type="spellEnd"/>
      <w:r w:rsidRPr="001F41E2">
        <w:rPr>
          <w:sz w:val="24"/>
          <w:lang w:eastAsia="da-DK"/>
        </w:rPr>
        <w:t xml:space="preserve"> langsomt frigives i mave-tarm-kanalen i løbet af 6-8 timer.</w:t>
      </w:r>
    </w:p>
    <w:p w:rsidR="00672354" w:rsidRPr="00C84483" w:rsidRDefault="00672354" w:rsidP="00672354">
      <w:pPr>
        <w:tabs>
          <w:tab w:val="left" w:pos="851"/>
        </w:tabs>
        <w:ind w:left="851"/>
        <w:rPr>
          <w:sz w:val="24"/>
          <w:szCs w:val="24"/>
        </w:rPr>
      </w:pPr>
    </w:p>
    <w:p w:rsidR="00672354" w:rsidRPr="00C84483" w:rsidRDefault="00672354" w:rsidP="00672354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5.3</w:t>
      </w:r>
      <w:r w:rsidRPr="00C84483">
        <w:rPr>
          <w:b/>
          <w:sz w:val="24"/>
          <w:szCs w:val="24"/>
        </w:rPr>
        <w:tab/>
        <w:t>Prækliniske sikkerhedsdata</w:t>
      </w:r>
    </w:p>
    <w:p w:rsidR="00672354" w:rsidRPr="00CB67BF" w:rsidRDefault="00672354" w:rsidP="00672354">
      <w:pPr>
        <w:ind w:left="851"/>
        <w:rPr>
          <w:sz w:val="24"/>
          <w:lang w:eastAsia="da-DK"/>
        </w:rPr>
      </w:pPr>
      <w:r w:rsidRPr="001F41E2">
        <w:rPr>
          <w:sz w:val="24"/>
          <w:lang w:eastAsia="da-DK"/>
        </w:rPr>
        <w:t>Der er ingen yderligere prækliniske data af relevans for sikkerhedsevalueringen end de der allerede er inkluderet</w:t>
      </w:r>
      <w:r>
        <w:rPr>
          <w:sz w:val="24"/>
          <w:lang w:eastAsia="da-DK"/>
        </w:rPr>
        <w:t xml:space="preserve"> i andre punkter i produktresumé</w:t>
      </w:r>
      <w:r w:rsidRPr="001F41E2">
        <w:rPr>
          <w:sz w:val="24"/>
          <w:lang w:eastAsia="da-DK"/>
        </w:rPr>
        <w:t>et.</w:t>
      </w:r>
    </w:p>
    <w:p w:rsidR="00672354" w:rsidRPr="00C84483" w:rsidRDefault="00672354" w:rsidP="00672354">
      <w:pPr>
        <w:tabs>
          <w:tab w:val="left" w:pos="851"/>
        </w:tabs>
        <w:ind w:left="851"/>
        <w:rPr>
          <w:sz w:val="24"/>
          <w:szCs w:val="24"/>
        </w:rPr>
      </w:pPr>
    </w:p>
    <w:p w:rsidR="00672354" w:rsidRPr="00C84483" w:rsidRDefault="00672354" w:rsidP="00672354">
      <w:pPr>
        <w:tabs>
          <w:tab w:val="left" w:pos="851"/>
        </w:tabs>
        <w:ind w:left="851"/>
        <w:rPr>
          <w:sz w:val="24"/>
          <w:szCs w:val="24"/>
        </w:rPr>
      </w:pPr>
    </w:p>
    <w:p w:rsidR="00672354" w:rsidRPr="00C84483" w:rsidRDefault="00672354" w:rsidP="00672354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</w:t>
      </w:r>
      <w:r w:rsidRPr="00C84483">
        <w:rPr>
          <w:b/>
          <w:sz w:val="24"/>
          <w:szCs w:val="24"/>
        </w:rPr>
        <w:tab/>
        <w:t>FARMACEUTISKE OPLYSNINGER</w:t>
      </w:r>
    </w:p>
    <w:p w:rsidR="00672354" w:rsidRPr="00BA09F1" w:rsidRDefault="00672354" w:rsidP="00672354">
      <w:pPr>
        <w:tabs>
          <w:tab w:val="left" w:pos="851"/>
        </w:tabs>
        <w:ind w:left="851"/>
        <w:rPr>
          <w:sz w:val="24"/>
          <w:szCs w:val="24"/>
        </w:rPr>
      </w:pPr>
    </w:p>
    <w:p w:rsidR="00672354" w:rsidRPr="00C84483" w:rsidRDefault="00672354" w:rsidP="00672354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6.1</w:t>
      </w:r>
      <w:r w:rsidRPr="00C84483">
        <w:rPr>
          <w:b/>
          <w:sz w:val="24"/>
          <w:szCs w:val="24"/>
        </w:rPr>
        <w:tab/>
        <w:t>Hjælpestoffer</w:t>
      </w:r>
    </w:p>
    <w:p w:rsidR="00672354" w:rsidRDefault="00672354" w:rsidP="00672354">
      <w:pPr>
        <w:ind w:left="851"/>
        <w:rPr>
          <w:sz w:val="24"/>
          <w:lang w:eastAsia="da-DK"/>
        </w:rPr>
      </w:pPr>
    </w:p>
    <w:p w:rsidR="00672354" w:rsidRPr="001D0548" w:rsidRDefault="00672354" w:rsidP="00672354">
      <w:pPr>
        <w:ind w:left="851"/>
        <w:rPr>
          <w:sz w:val="24"/>
          <w:u w:val="single"/>
          <w:lang w:eastAsia="da-DK"/>
        </w:rPr>
      </w:pPr>
      <w:r w:rsidRPr="001F41E2">
        <w:rPr>
          <w:sz w:val="24"/>
          <w:u w:val="single"/>
          <w:lang w:eastAsia="da-DK"/>
        </w:rPr>
        <w:t>Kerne</w:t>
      </w:r>
    </w:p>
    <w:p w:rsidR="00672354" w:rsidRDefault="00672354" w:rsidP="00672354">
      <w:pPr>
        <w:ind w:left="851"/>
        <w:rPr>
          <w:sz w:val="24"/>
          <w:lang w:eastAsia="da-DK"/>
        </w:rPr>
      </w:pPr>
      <w:proofErr w:type="spellStart"/>
      <w:r>
        <w:rPr>
          <w:sz w:val="24"/>
          <w:lang w:eastAsia="da-DK"/>
        </w:rPr>
        <w:t>E</w:t>
      </w:r>
      <w:r w:rsidRPr="001F41E2">
        <w:rPr>
          <w:sz w:val="24"/>
          <w:lang w:eastAsia="da-DK"/>
        </w:rPr>
        <w:t>thylcellulose</w:t>
      </w:r>
      <w:proofErr w:type="spellEnd"/>
    </w:p>
    <w:p w:rsidR="00672354" w:rsidRDefault="00672354" w:rsidP="00672354">
      <w:pPr>
        <w:ind w:left="851"/>
        <w:rPr>
          <w:sz w:val="24"/>
          <w:lang w:eastAsia="da-DK"/>
        </w:rPr>
      </w:pPr>
      <w:r>
        <w:rPr>
          <w:sz w:val="24"/>
          <w:lang w:eastAsia="da-DK"/>
        </w:rPr>
        <w:t>Glycerol 85 %</w:t>
      </w:r>
    </w:p>
    <w:p w:rsidR="00672354" w:rsidRDefault="00672354" w:rsidP="00672354">
      <w:pPr>
        <w:ind w:left="851"/>
        <w:rPr>
          <w:sz w:val="24"/>
          <w:lang w:eastAsia="da-DK"/>
        </w:rPr>
      </w:pPr>
      <w:proofErr w:type="spellStart"/>
      <w:r>
        <w:rPr>
          <w:sz w:val="24"/>
          <w:lang w:eastAsia="da-DK"/>
        </w:rPr>
        <w:t>S</w:t>
      </w:r>
      <w:r w:rsidRPr="001F41E2">
        <w:rPr>
          <w:sz w:val="24"/>
          <w:lang w:eastAsia="da-DK"/>
        </w:rPr>
        <w:t>tearylalkohol</w:t>
      </w:r>
      <w:proofErr w:type="spellEnd"/>
    </w:p>
    <w:p w:rsidR="00672354" w:rsidRPr="001F41E2" w:rsidRDefault="00672354" w:rsidP="00672354">
      <w:pPr>
        <w:ind w:left="851"/>
        <w:rPr>
          <w:sz w:val="24"/>
          <w:lang w:eastAsia="da-DK"/>
        </w:rPr>
      </w:pPr>
      <w:proofErr w:type="spellStart"/>
      <w:r>
        <w:rPr>
          <w:sz w:val="24"/>
          <w:lang w:eastAsia="da-DK"/>
        </w:rPr>
        <w:t>M</w:t>
      </w:r>
      <w:r w:rsidRPr="001F41E2">
        <w:rPr>
          <w:sz w:val="24"/>
          <w:lang w:eastAsia="da-DK"/>
        </w:rPr>
        <w:t>agnesiumstearat</w:t>
      </w:r>
      <w:proofErr w:type="spellEnd"/>
    </w:p>
    <w:p w:rsidR="00672354" w:rsidRDefault="00672354" w:rsidP="00672354">
      <w:pPr>
        <w:ind w:left="851"/>
        <w:rPr>
          <w:sz w:val="24"/>
          <w:lang w:eastAsia="da-DK"/>
        </w:rPr>
      </w:pPr>
    </w:p>
    <w:p w:rsidR="00672354" w:rsidRPr="001D0548" w:rsidRDefault="00672354" w:rsidP="00672354">
      <w:pPr>
        <w:ind w:left="851"/>
        <w:rPr>
          <w:sz w:val="24"/>
          <w:u w:val="single"/>
          <w:lang w:eastAsia="da-DK"/>
        </w:rPr>
      </w:pPr>
      <w:r w:rsidRPr="001F41E2">
        <w:rPr>
          <w:sz w:val="24"/>
          <w:u w:val="single"/>
          <w:lang w:eastAsia="da-DK"/>
        </w:rPr>
        <w:t>Overtræk</w:t>
      </w:r>
    </w:p>
    <w:p w:rsidR="00672354" w:rsidRDefault="00672354" w:rsidP="00672354">
      <w:pPr>
        <w:ind w:left="851"/>
        <w:rPr>
          <w:sz w:val="24"/>
          <w:lang w:eastAsia="da-DK"/>
        </w:rPr>
      </w:pPr>
      <w:proofErr w:type="spellStart"/>
      <w:r w:rsidRPr="001F41E2">
        <w:rPr>
          <w:sz w:val="24"/>
          <w:lang w:eastAsia="da-DK"/>
        </w:rPr>
        <w:t>Hypromellose</w:t>
      </w:r>
      <w:proofErr w:type="spellEnd"/>
    </w:p>
    <w:p w:rsidR="00672354" w:rsidRDefault="00672354" w:rsidP="00672354">
      <w:pPr>
        <w:ind w:left="851"/>
        <w:rPr>
          <w:sz w:val="24"/>
          <w:lang w:eastAsia="da-DK"/>
        </w:rPr>
      </w:pPr>
      <w:r>
        <w:rPr>
          <w:sz w:val="24"/>
          <w:lang w:eastAsia="da-DK"/>
        </w:rPr>
        <w:t>T</w:t>
      </w:r>
      <w:r w:rsidRPr="001F41E2">
        <w:rPr>
          <w:sz w:val="24"/>
          <w:lang w:eastAsia="da-DK"/>
        </w:rPr>
        <w:t>itandioxid E171</w:t>
      </w:r>
    </w:p>
    <w:p w:rsidR="00672354" w:rsidRDefault="00672354" w:rsidP="00672354">
      <w:pPr>
        <w:ind w:left="851"/>
        <w:rPr>
          <w:sz w:val="24"/>
          <w:lang w:eastAsia="da-DK"/>
        </w:rPr>
      </w:pPr>
      <w:proofErr w:type="spellStart"/>
      <w:r>
        <w:rPr>
          <w:sz w:val="24"/>
          <w:lang w:eastAsia="da-DK"/>
        </w:rPr>
        <w:t>Talcum</w:t>
      </w:r>
      <w:proofErr w:type="spellEnd"/>
    </w:p>
    <w:p w:rsidR="00672354" w:rsidRDefault="00672354" w:rsidP="00672354">
      <w:pPr>
        <w:ind w:left="851"/>
        <w:rPr>
          <w:sz w:val="24"/>
          <w:lang w:eastAsia="da-DK"/>
        </w:rPr>
      </w:pPr>
      <w:r>
        <w:rPr>
          <w:sz w:val="24"/>
          <w:lang w:eastAsia="da-DK"/>
        </w:rPr>
        <w:t>Glycerol 85 %</w:t>
      </w:r>
    </w:p>
    <w:p w:rsidR="00672354" w:rsidRPr="00C84483" w:rsidRDefault="00672354" w:rsidP="00672354">
      <w:pPr>
        <w:ind w:left="851"/>
        <w:rPr>
          <w:sz w:val="24"/>
          <w:szCs w:val="24"/>
        </w:rPr>
      </w:pPr>
      <w:proofErr w:type="spellStart"/>
      <w:r>
        <w:rPr>
          <w:sz w:val="24"/>
          <w:lang w:eastAsia="da-DK"/>
        </w:rPr>
        <w:t>Saccharinnatrium</w:t>
      </w:r>
      <w:proofErr w:type="spellEnd"/>
    </w:p>
    <w:p w:rsidR="00672354" w:rsidRPr="00C84483" w:rsidRDefault="00672354" w:rsidP="00672354">
      <w:pPr>
        <w:tabs>
          <w:tab w:val="left" w:pos="851"/>
        </w:tabs>
        <w:ind w:left="851"/>
        <w:rPr>
          <w:sz w:val="24"/>
          <w:szCs w:val="24"/>
        </w:rPr>
      </w:pPr>
    </w:p>
    <w:p w:rsidR="00672354" w:rsidRPr="00C84483" w:rsidRDefault="00672354" w:rsidP="00672354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6.2</w:t>
      </w:r>
      <w:r w:rsidRPr="00C84483">
        <w:rPr>
          <w:b/>
          <w:sz w:val="24"/>
          <w:szCs w:val="24"/>
        </w:rPr>
        <w:tab/>
        <w:t>Uforligeligheder</w:t>
      </w:r>
    </w:p>
    <w:p w:rsidR="00672354" w:rsidRPr="001D0548" w:rsidRDefault="00672354" w:rsidP="00672354">
      <w:pPr>
        <w:ind w:left="851"/>
        <w:rPr>
          <w:sz w:val="24"/>
          <w:lang w:eastAsia="da-DK"/>
        </w:rPr>
      </w:pPr>
      <w:r w:rsidRPr="001F41E2">
        <w:rPr>
          <w:sz w:val="24"/>
          <w:lang w:eastAsia="da-DK"/>
        </w:rPr>
        <w:t>Ikke relevant.</w:t>
      </w:r>
    </w:p>
    <w:p w:rsidR="00672354" w:rsidRPr="00C84483" w:rsidRDefault="00672354" w:rsidP="00672354">
      <w:pPr>
        <w:tabs>
          <w:tab w:val="left" w:pos="851"/>
        </w:tabs>
        <w:ind w:left="851"/>
        <w:rPr>
          <w:sz w:val="24"/>
          <w:szCs w:val="24"/>
        </w:rPr>
      </w:pPr>
    </w:p>
    <w:p w:rsidR="00672354" w:rsidRPr="00C84483" w:rsidRDefault="00672354" w:rsidP="00672354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6.3</w:t>
      </w:r>
      <w:r w:rsidRPr="00C84483">
        <w:rPr>
          <w:b/>
          <w:sz w:val="24"/>
          <w:szCs w:val="24"/>
        </w:rPr>
        <w:tab/>
        <w:t>Opbevaringstid</w:t>
      </w:r>
    </w:p>
    <w:p w:rsidR="00672354" w:rsidRPr="001F41E2" w:rsidRDefault="00672354" w:rsidP="00672354">
      <w:pPr>
        <w:ind w:left="851"/>
        <w:rPr>
          <w:sz w:val="24"/>
          <w:lang w:eastAsia="da-DK"/>
        </w:rPr>
      </w:pPr>
      <w:r w:rsidRPr="001F41E2">
        <w:rPr>
          <w:sz w:val="24"/>
          <w:lang w:eastAsia="da-DK"/>
        </w:rPr>
        <w:t>5 år.</w:t>
      </w:r>
    </w:p>
    <w:p w:rsidR="00672354" w:rsidRPr="00C84483" w:rsidRDefault="00672354" w:rsidP="00672354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672354" w:rsidRPr="00C84483" w:rsidRDefault="00672354" w:rsidP="00672354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6.4</w:t>
      </w:r>
      <w:r w:rsidRPr="00C84483">
        <w:rPr>
          <w:b/>
          <w:sz w:val="24"/>
          <w:szCs w:val="24"/>
        </w:rPr>
        <w:tab/>
        <w:t>Særlige opbevaringsforhold</w:t>
      </w:r>
    </w:p>
    <w:p w:rsidR="00672354" w:rsidRPr="00C84483" w:rsidRDefault="00672354" w:rsidP="00672354">
      <w:pPr>
        <w:ind w:left="851"/>
        <w:rPr>
          <w:sz w:val="24"/>
          <w:szCs w:val="24"/>
        </w:rPr>
      </w:pPr>
      <w:r>
        <w:rPr>
          <w:sz w:val="24"/>
          <w:lang w:eastAsia="da-DK"/>
        </w:rPr>
        <w:t>Dette lægemiddel kræver i</w:t>
      </w:r>
      <w:r w:rsidRPr="001F41E2">
        <w:rPr>
          <w:sz w:val="24"/>
          <w:lang w:eastAsia="da-DK"/>
        </w:rPr>
        <w:t>ngen</w:t>
      </w:r>
      <w:r>
        <w:rPr>
          <w:sz w:val="24"/>
          <w:lang w:eastAsia="da-DK"/>
        </w:rPr>
        <w:t xml:space="preserve"> særlige forholdsregler vedrørende opbevaringen.</w:t>
      </w:r>
      <w:r w:rsidRPr="00C84483">
        <w:rPr>
          <w:sz w:val="24"/>
          <w:szCs w:val="24"/>
        </w:rPr>
        <w:t xml:space="preserve"> </w:t>
      </w:r>
    </w:p>
    <w:p w:rsidR="00672354" w:rsidRDefault="00672354" w:rsidP="0067235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672354" w:rsidRPr="00C84483" w:rsidRDefault="00672354" w:rsidP="00672354">
      <w:pPr>
        <w:tabs>
          <w:tab w:val="left" w:pos="851"/>
        </w:tabs>
        <w:ind w:left="851"/>
        <w:rPr>
          <w:sz w:val="24"/>
          <w:szCs w:val="24"/>
        </w:rPr>
      </w:pPr>
    </w:p>
    <w:p w:rsidR="00672354" w:rsidRPr="00C84483" w:rsidRDefault="00672354" w:rsidP="00672354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6.5</w:t>
      </w:r>
      <w:r w:rsidRPr="00C84483">
        <w:rPr>
          <w:b/>
          <w:sz w:val="24"/>
          <w:szCs w:val="24"/>
        </w:rPr>
        <w:tab/>
        <w:t>Emballagetyper og pakningsstørrelser</w:t>
      </w:r>
    </w:p>
    <w:p w:rsidR="00672354" w:rsidRDefault="00672354" w:rsidP="00672354">
      <w:pPr>
        <w:ind w:left="851"/>
        <w:rPr>
          <w:sz w:val="24"/>
          <w:lang w:eastAsia="da-DK"/>
        </w:rPr>
      </w:pPr>
      <w:r w:rsidRPr="001F41E2">
        <w:rPr>
          <w:sz w:val="24"/>
          <w:lang w:eastAsia="da-DK"/>
        </w:rPr>
        <w:t>HDPE-</w:t>
      </w:r>
      <w:r>
        <w:rPr>
          <w:sz w:val="24"/>
          <w:lang w:eastAsia="da-DK"/>
        </w:rPr>
        <w:t>beholder</w:t>
      </w:r>
      <w:r w:rsidRPr="001F41E2">
        <w:rPr>
          <w:sz w:val="24"/>
          <w:lang w:eastAsia="da-DK"/>
        </w:rPr>
        <w:t xml:space="preserve"> med et anbrudssikret skruelåg af polypropylenplastic.</w:t>
      </w:r>
    </w:p>
    <w:p w:rsidR="00672354" w:rsidRDefault="00672354" w:rsidP="00672354">
      <w:pPr>
        <w:ind w:left="851"/>
        <w:rPr>
          <w:sz w:val="24"/>
          <w:lang w:eastAsia="da-DK"/>
        </w:rPr>
      </w:pPr>
    </w:p>
    <w:p w:rsidR="00672354" w:rsidRPr="001F41E2" w:rsidRDefault="00672354" w:rsidP="00672354">
      <w:pPr>
        <w:ind w:left="851"/>
        <w:rPr>
          <w:b/>
          <w:bCs/>
          <w:sz w:val="24"/>
          <w:lang w:eastAsia="da-DK"/>
        </w:rPr>
      </w:pPr>
      <w:r w:rsidRPr="000C7F54">
        <w:rPr>
          <w:sz w:val="24"/>
          <w:u w:val="single"/>
          <w:lang w:eastAsia="da-DK"/>
        </w:rPr>
        <w:t>Pakningsstørrelser</w:t>
      </w:r>
    </w:p>
    <w:p w:rsidR="00672354" w:rsidRPr="001F41E2" w:rsidRDefault="00672354" w:rsidP="00672354">
      <w:pPr>
        <w:ind w:left="851"/>
        <w:rPr>
          <w:sz w:val="24"/>
          <w:lang w:eastAsia="da-DK"/>
        </w:rPr>
      </w:pPr>
      <w:r w:rsidRPr="001F41E2">
        <w:rPr>
          <w:sz w:val="24"/>
          <w:lang w:eastAsia="da-DK"/>
        </w:rPr>
        <w:t xml:space="preserve">750 mg: 100 </w:t>
      </w:r>
      <w:r>
        <w:rPr>
          <w:sz w:val="24"/>
          <w:lang w:eastAsia="da-DK"/>
        </w:rPr>
        <w:t>og 250 stk.</w:t>
      </w:r>
    </w:p>
    <w:p w:rsidR="00672354" w:rsidRDefault="00672354" w:rsidP="00672354">
      <w:pPr>
        <w:ind w:left="851"/>
        <w:rPr>
          <w:sz w:val="24"/>
          <w:lang w:eastAsia="da-DK"/>
        </w:rPr>
      </w:pPr>
      <w:r>
        <w:rPr>
          <w:sz w:val="24"/>
          <w:lang w:eastAsia="da-DK"/>
        </w:rPr>
        <w:t>1000 mg</w:t>
      </w:r>
      <w:r w:rsidRPr="001F41E2">
        <w:rPr>
          <w:sz w:val="24"/>
          <w:lang w:eastAsia="da-DK"/>
        </w:rPr>
        <w:t>: 200 </w:t>
      </w:r>
      <w:r>
        <w:rPr>
          <w:sz w:val="24"/>
          <w:lang w:eastAsia="da-DK"/>
        </w:rPr>
        <w:t>stk.</w:t>
      </w:r>
    </w:p>
    <w:p w:rsidR="0091600D" w:rsidRDefault="0091600D" w:rsidP="00672354">
      <w:pPr>
        <w:ind w:left="851"/>
        <w:rPr>
          <w:sz w:val="24"/>
          <w:lang w:eastAsia="da-DK"/>
        </w:rPr>
      </w:pPr>
    </w:p>
    <w:p w:rsidR="0091600D" w:rsidRDefault="0091600D" w:rsidP="0091600D">
      <w:pPr>
        <w:ind w:left="851"/>
        <w:rPr>
          <w:sz w:val="24"/>
          <w:lang w:eastAsia="da-DK"/>
        </w:rPr>
      </w:pPr>
      <w:r>
        <w:t>Ikke alle pakningsstørrelser er nødvendigvis markedsført.</w:t>
      </w:r>
    </w:p>
    <w:p w:rsidR="00672354" w:rsidRPr="00C84483" w:rsidRDefault="00672354" w:rsidP="00672354">
      <w:pPr>
        <w:tabs>
          <w:tab w:val="left" w:pos="851"/>
        </w:tabs>
        <w:ind w:left="851"/>
        <w:rPr>
          <w:sz w:val="24"/>
          <w:szCs w:val="24"/>
        </w:rPr>
      </w:pPr>
    </w:p>
    <w:p w:rsidR="00672354" w:rsidRPr="00C84483" w:rsidRDefault="00672354" w:rsidP="00672354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6.6</w:t>
      </w:r>
      <w:r w:rsidRPr="00C84483">
        <w:rPr>
          <w:b/>
          <w:sz w:val="24"/>
          <w:szCs w:val="24"/>
        </w:rPr>
        <w:tab/>
        <w:t>Regler for destruktion og anden håndtering</w:t>
      </w:r>
    </w:p>
    <w:p w:rsidR="00672354" w:rsidRPr="001F41E2" w:rsidRDefault="00672354" w:rsidP="00672354">
      <w:pPr>
        <w:ind w:left="851"/>
        <w:rPr>
          <w:sz w:val="24"/>
          <w:lang w:eastAsia="da-DK"/>
        </w:rPr>
      </w:pPr>
      <w:r w:rsidRPr="001F41E2">
        <w:rPr>
          <w:sz w:val="24"/>
          <w:lang w:eastAsia="da-DK"/>
        </w:rPr>
        <w:t>Ingen særlige forholdsregler.</w:t>
      </w:r>
    </w:p>
    <w:p w:rsidR="00672354" w:rsidRPr="001F41E2" w:rsidRDefault="00672354" w:rsidP="00672354">
      <w:pPr>
        <w:ind w:left="851"/>
        <w:rPr>
          <w:sz w:val="24"/>
          <w:lang w:eastAsia="da-DK"/>
        </w:rPr>
      </w:pPr>
    </w:p>
    <w:p w:rsidR="00672354" w:rsidRPr="00C46D19" w:rsidRDefault="00672354" w:rsidP="00672354">
      <w:pPr>
        <w:ind w:left="851"/>
        <w:rPr>
          <w:sz w:val="24"/>
          <w:lang w:eastAsia="da-DK"/>
        </w:rPr>
      </w:pPr>
      <w:r w:rsidRPr="001F41E2">
        <w:rPr>
          <w:sz w:val="24"/>
          <w:lang w:eastAsia="da-DK"/>
        </w:rPr>
        <w:t>Ikke anvendt lægemiddel samt affald heraf skal bortskaffes i henhold til lokale retningslinjer.</w:t>
      </w:r>
    </w:p>
    <w:p w:rsidR="00672354" w:rsidRPr="00C84483" w:rsidRDefault="00672354" w:rsidP="00672354">
      <w:pPr>
        <w:tabs>
          <w:tab w:val="left" w:pos="851"/>
        </w:tabs>
        <w:ind w:left="851"/>
        <w:jc w:val="both"/>
        <w:rPr>
          <w:sz w:val="24"/>
          <w:szCs w:val="24"/>
        </w:rPr>
      </w:pPr>
    </w:p>
    <w:p w:rsidR="00672354" w:rsidRPr="00C84483" w:rsidRDefault="00672354" w:rsidP="00672354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7.</w:t>
      </w:r>
      <w:r w:rsidRPr="00C84483">
        <w:rPr>
          <w:b/>
          <w:sz w:val="24"/>
          <w:szCs w:val="24"/>
        </w:rPr>
        <w:tab/>
        <w:t>INDEHAVER AF MARKEDSFØRINGSTILLADELSEN</w:t>
      </w:r>
    </w:p>
    <w:p w:rsidR="00672354" w:rsidRDefault="00672354" w:rsidP="00672354">
      <w:pPr>
        <w:ind w:left="851"/>
        <w:rPr>
          <w:sz w:val="24"/>
          <w:lang w:eastAsia="da-DK"/>
        </w:rPr>
      </w:pPr>
      <w:r w:rsidRPr="001254B6">
        <w:rPr>
          <w:sz w:val="24"/>
          <w:lang w:eastAsia="da-DK"/>
        </w:rPr>
        <w:t>Karo Pharma AB</w:t>
      </w:r>
    </w:p>
    <w:p w:rsidR="00672354" w:rsidRDefault="00672354" w:rsidP="00672354">
      <w:pPr>
        <w:ind w:left="851"/>
        <w:rPr>
          <w:sz w:val="24"/>
          <w:lang w:eastAsia="da-DK"/>
        </w:rPr>
      </w:pPr>
      <w:r w:rsidRPr="001254B6">
        <w:rPr>
          <w:sz w:val="24"/>
          <w:lang w:eastAsia="da-DK"/>
        </w:rPr>
        <w:t>Box 16184</w:t>
      </w:r>
    </w:p>
    <w:p w:rsidR="00672354" w:rsidRDefault="00672354" w:rsidP="00672354">
      <w:pPr>
        <w:ind w:left="851"/>
        <w:rPr>
          <w:sz w:val="24"/>
          <w:lang w:eastAsia="da-DK"/>
        </w:rPr>
      </w:pPr>
      <w:r>
        <w:rPr>
          <w:sz w:val="24"/>
          <w:lang w:eastAsia="da-DK"/>
        </w:rPr>
        <w:t>103 24 Stockholm</w:t>
      </w:r>
    </w:p>
    <w:p w:rsidR="00672354" w:rsidRPr="00C46D19" w:rsidRDefault="00672354" w:rsidP="00672354">
      <w:pPr>
        <w:ind w:left="851"/>
        <w:rPr>
          <w:sz w:val="24"/>
          <w:lang w:eastAsia="da-DK"/>
        </w:rPr>
      </w:pPr>
      <w:r>
        <w:rPr>
          <w:sz w:val="24"/>
          <w:lang w:eastAsia="da-DK"/>
        </w:rPr>
        <w:t>Sverige</w:t>
      </w:r>
    </w:p>
    <w:p w:rsidR="00672354" w:rsidRPr="00C84483" w:rsidRDefault="00672354" w:rsidP="00672354">
      <w:pPr>
        <w:tabs>
          <w:tab w:val="left" w:pos="851"/>
        </w:tabs>
        <w:ind w:left="851"/>
        <w:rPr>
          <w:sz w:val="24"/>
          <w:szCs w:val="24"/>
        </w:rPr>
      </w:pPr>
    </w:p>
    <w:p w:rsidR="00672354" w:rsidRPr="00C84483" w:rsidRDefault="00672354" w:rsidP="00672354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8.</w:t>
      </w:r>
      <w:r w:rsidRPr="00C84483">
        <w:rPr>
          <w:b/>
          <w:sz w:val="24"/>
          <w:szCs w:val="24"/>
        </w:rPr>
        <w:tab/>
        <w:t>MARKEDSFØRINGSTILLADELSESNUMMER (NUMRE)</w:t>
      </w:r>
    </w:p>
    <w:p w:rsidR="00672354" w:rsidRDefault="00672354" w:rsidP="00672354">
      <w:pPr>
        <w:tabs>
          <w:tab w:val="left" w:pos="851"/>
          <w:tab w:val="left" w:pos="1843"/>
        </w:tabs>
        <w:ind w:left="851"/>
        <w:rPr>
          <w:sz w:val="24"/>
          <w:szCs w:val="24"/>
        </w:rPr>
      </w:pPr>
      <w:r>
        <w:rPr>
          <w:sz w:val="24"/>
          <w:szCs w:val="24"/>
        </w:rPr>
        <w:t>750 mg:</w:t>
      </w:r>
      <w:r>
        <w:rPr>
          <w:sz w:val="24"/>
          <w:szCs w:val="24"/>
        </w:rPr>
        <w:tab/>
        <w:t>54791</w:t>
      </w:r>
    </w:p>
    <w:p w:rsidR="00672354" w:rsidRPr="00C84483" w:rsidRDefault="00672354" w:rsidP="00672354">
      <w:pPr>
        <w:tabs>
          <w:tab w:val="left" w:pos="851"/>
          <w:tab w:val="left" w:pos="1843"/>
        </w:tabs>
        <w:ind w:left="851"/>
        <w:rPr>
          <w:sz w:val="24"/>
          <w:szCs w:val="24"/>
        </w:rPr>
      </w:pPr>
      <w:r>
        <w:rPr>
          <w:sz w:val="24"/>
          <w:szCs w:val="24"/>
        </w:rPr>
        <w:t>1000 mg:</w:t>
      </w:r>
      <w:r>
        <w:rPr>
          <w:sz w:val="24"/>
          <w:szCs w:val="24"/>
        </w:rPr>
        <w:tab/>
        <w:t>54792</w:t>
      </w:r>
      <w:r>
        <w:rPr>
          <w:sz w:val="24"/>
          <w:szCs w:val="24"/>
        </w:rPr>
        <w:tab/>
      </w:r>
    </w:p>
    <w:p w:rsidR="00672354" w:rsidRPr="00C84483" w:rsidRDefault="00672354" w:rsidP="00672354">
      <w:pPr>
        <w:tabs>
          <w:tab w:val="left" w:pos="851"/>
        </w:tabs>
        <w:ind w:left="851"/>
        <w:jc w:val="both"/>
        <w:rPr>
          <w:sz w:val="24"/>
          <w:szCs w:val="24"/>
        </w:rPr>
      </w:pPr>
    </w:p>
    <w:p w:rsidR="00672354" w:rsidRPr="00C84483" w:rsidRDefault="00672354" w:rsidP="00672354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9.</w:t>
      </w:r>
      <w:r w:rsidRPr="00C84483">
        <w:rPr>
          <w:b/>
          <w:sz w:val="24"/>
          <w:szCs w:val="24"/>
        </w:rPr>
        <w:tab/>
        <w:t>DATO FOR FØRSTE MARKEDSFØRINGSTILLADELSE</w:t>
      </w:r>
    </w:p>
    <w:p w:rsidR="00672354" w:rsidRPr="00C84483" w:rsidRDefault="00672354" w:rsidP="00672354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26. februar 2016</w:t>
      </w:r>
    </w:p>
    <w:p w:rsidR="00672354" w:rsidRPr="00C84483" w:rsidRDefault="00672354" w:rsidP="00672354">
      <w:pPr>
        <w:tabs>
          <w:tab w:val="left" w:pos="851"/>
        </w:tabs>
        <w:ind w:left="851"/>
        <w:rPr>
          <w:sz w:val="24"/>
          <w:szCs w:val="24"/>
        </w:rPr>
      </w:pPr>
    </w:p>
    <w:p w:rsidR="00672354" w:rsidRPr="00C84483" w:rsidRDefault="00672354" w:rsidP="00672354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10.</w:t>
      </w:r>
      <w:r w:rsidRPr="00C84483">
        <w:rPr>
          <w:b/>
          <w:sz w:val="24"/>
          <w:szCs w:val="24"/>
        </w:rPr>
        <w:tab/>
        <w:t>DATO FOR ÆNDRING AF TEKSTEN</w:t>
      </w:r>
    </w:p>
    <w:p w:rsidR="00672354" w:rsidRPr="00C84483" w:rsidRDefault="0091600D" w:rsidP="00672354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25. august 2020</w:t>
      </w:r>
    </w:p>
    <w:p w:rsidR="00672354" w:rsidRPr="003A0EAF" w:rsidRDefault="00672354" w:rsidP="00672354"/>
    <w:p w:rsidR="00672354" w:rsidRPr="00C22F7F" w:rsidRDefault="00672354" w:rsidP="00672354"/>
    <w:p w:rsidR="009260DE" w:rsidRPr="00672354" w:rsidRDefault="009260DE" w:rsidP="00672354"/>
    <w:sectPr w:rsidR="009260DE" w:rsidRPr="00672354" w:rsidSect="000259B9">
      <w:footerReference w:type="default" r:id="rId9"/>
      <w:pgSz w:w="11906" w:h="16838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2354" w:rsidRDefault="00672354">
      <w:r>
        <w:separator/>
      </w:r>
    </w:p>
  </w:endnote>
  <w:endnote w:type="continuationSeparator" w:id="0">
    <w:p w:rsidR="00672354" w:rsidRDefault="00672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59B9" w:rsidRDefault="000259B9">
    <w:pPr>
      <w:pStyle w:val="Sidefod"/>
      <w:pBdr>
        <w:bottom w:val="single" w:sz="6" w:space="1" w:color="auto"/>
      </w:pBdr>
    </w:pPr>
  </w:p>
  <w:p w:rsidR="000259B9" w:rsidRDefault="000259B9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</w:p>
  <w:p w:rsidR="000259B9" w:rsidRPr="00B373D7" w:rsidRDefault="00782AF4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  <w:r w:rsidRPr="00B373D7">
      <w:rPr>
        <w:i/>
        <w:sz w:val="18"/>
        <w:szCs w:val="18"/>
      </w:rPr>
      <w:fldChar w:fldCharType="begin"/>
    </w:r>
    <w:r w:rsidR="000259B9" w:rsidRPr="00B373D7">
      <w:rPr>
        <w:i/>
        <w:sz w:val="18"/>
        <w:szCs w:val="18"/>
      </w:rPr>
      <w:instrText xml:space="preserve"> FILENAME </w:instrText>
    </w:r>
    <w:r w:rsidRPr="00B373D7">
      <w:rPr>
        <w:i/>
        <w:sz w:val="18"/>
        <w:szCs w:val="18"/>
      </w:rPr>
      <w:fldChar w:fldCharType="separate"/>
    </w:r>
    <w:r w:rsidR="006876D8">
      <w:rPr>
        <w:i/>
        <w:noProof/>
        <w:sz w:val="18"/>
        <w:szCs w:val="18"/>
      </w:rPr>
      <w:t>Kalitabs, depottabletter 750 mg og 1000 mg</w:t>
    </w:r>
    <w:r w:rsidRPr="00B373D7">
      <w:rPr>
        <w:i/>
        <w:sz w:val="18"/>
        <w:szCs w:val="18"/>
      </w:rPr>
      <w:fldChar w:fldCharType="end"/>
    </w:r>
    <w:r w:rsidR="000259B9" w:rsidRPr="00B373D7">
      <w:rPr>
        <w:i/>
        <w:sz w:val="18"/>
        <w:szCs w:val="18"/>
      </w:rPr>
      <w:tab/>
      <w:t xml:space="preserve">Side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PAGE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  <w:r w:rsidR="000259B9" w:rsidRPr="00B373D7">
      <w:rPr>
        <w:rStyle w:val="Sidetal"/>
        <w:i/>
        <w:sz w:val="18"/>
        <w:szCs w:val="18"/>
      </w:rPr>
      <w:t xml:space="preserve"> af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NUMPAGES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2354" w:rsidRDefault="00672354">
      <w:r>
        <w:separator/>
      </w:r>
    </w:p>
  </w:footnote>
  <w:footnote w:type="continuationSeparator" w:id="0">
    <w:p w:rsidR="00672354" w:rsidRDefault="006723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1732C"/>
    <w:multiLevelType w:val="multilevel"/>
    <w:tmpl w:val="7BE2F61C"/>
    <w:lvl w:ilvl="0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3397578A"/>
    <w:multiLevelType w:val="multilevel"/>
    <w:tmpl w:val="392232EE"/>
    <w:lvl w:ilvl="0">
      <w:start w:val="5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364660C3"/>
    <w:multiLevelType w:val="multilevel"/>
    <w:tmpl w:val="DAF0ED20"/>
    <w:lvl w:ilvl="0">
      <w:start w:val="5"/>
      <w:numFmt w:val="decimal"/>
      <w:lvlText w:val="%1.0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2159"/>
        </w:tabs>
        <w:ind w:left="2159" w:hanging="855"/>
      </w:pPr>
    </w:lvl>
    <w:lvl w:ilvl="2">
      <w:start w:val="1"/>
      <w:numFmt w:val="decimal"/>
      <w:lvlText w:val="%1.%2.%3"/>
      <w:lvlJc w:val="left"/>
      <w:pPr>
        <w:tabs>
          <w:tab w:val="num" w:pos="3463"/>
        </w:tabs>
        <w:ind w:left="3463" w:hanging="855"/>
      </w:pPr>
    </w:lvl>
    <w:lvl w:ilvl="3">
      <w:start w:val="1"/>
      <w:numFmt w:val="decimal"/>
      <w:lvlText w:val="%1.%2.%3.%4"/>
      <w:lvlJc w:val="left"/>
      <w:pPr>
        <w:tabs>
          <w:tab w:val="num" w:pos="4767"/>
        </w:tabs>
        <w:ind w:left="4767" w:hanging="855"/>
      </w:pPr>
    </w:lvl>
    <w:lvl w:ilvl="4">
      <w:start w:val="1"/>
      <w:numFmt w:val="decimal"/>
      <w:lvlText w:val="%1.%2.%3.%4.%5"/>
      <w:lvlJc w:val="left"/>
      <w:pPr>
        <w:tabs>
          <w:tab w:val="num" w:pos="6296"/>
        </w:tabs>
        <w:ind w:left="6296" w:hanging="1080"/>
      </w:pPr>
    </w:lvl>
    <w:lvl w:ilvl="5">
      <w:start w:val="1"/>
      <w:numFmt w:val="decimal"/>
      <w:lvlText w:val="%1.%2.%3.%4.%5.%6"/>
      <w:lvlJc w:val="left"/>
      <w:pPr>
        <w:tabs>
          <w:tab w:val="num" w:pos="7600"/>
        </w:tabs>
        <w:ind w:left="76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9264"/>
        </w:tabs>
        <w:ind w:left="92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0568"/>
        </w:tabs>
        <w:ind w:left="1056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2232"/>
        </w:tabs>
        <w:ind w:left="12232" w:hanging="1800"/>
      </w:pPr>
    </w:lvl>
  </w:abstractNum>
  <w:abstractNum w:abstractNumId="3" w15:restartNumberingAfterBreak="0">
    <w:nsid w:val="405C5D3C"/>
    <w:multiLevelType w:val="multilevel"/>
    <w:tmpl w:val="9CBC71D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55542CAA"/>
    <w:multiLevelType w:val="multilevel"/>
    <w:tmpl w:val="6E481CAC"/>
    <w:lvl w:ilvl="0">
      <w:start w:val="5"/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354"/>
    <w:rsid w:val="000259B9"/>
    <w:rsid w:val="00041491"/>
    <w:rsid w:val="00050D16"/>
    <w:rsid w:val="00074F2A"/>
    <w:rsid w:val="000A1CA8"/>
    <w:rsid w:val="000A466B"/>
    <w:rsid w:val="000B058C"/>
    <w:rsid w:val="000E4EE6"/>
    <w:rsid w:val="001454E2"/>
    <w:rsid w:val="00206CE8"/>
    <w:rsid w:val="0021526C"/>
    <w:rsid w:val="00283A2B"/>
    <w:rsid w:val="00285444"/>
    <w:rsid w:val="002B30AD"/>
    <w:rsid w:val="002C2C01"/>
    <w:rsid w:val="003A29AE"/>
    <w:rsid w:val="003A32D7"/>
    <w:rsid w:val="003B4074"/>
    <w:rsid w:val="003C769A"/>
    <w:rsid w:val="003F1838"/>
    <w:rsid w:val="0045746C"/>
    <w:rsid w:val="0049104B"/>
    <w:rsid w:val="004E3B12"/>
    <w:rsid w:val="00532310"/>
    <w:rsid w:val="00560ECC"/>
    <w:rsid w:val="00565F0F"/>
    <w:rsid w:val="00594A86"/>
    <w:rsid w:val="00596D86"/>
    <w:rsid w:val="00637F5A"/>
    <w:rsid w:val="006560B1"/>
    <w:rsid w:val="00672354"/>
    <w:rsid w:val="006756DD"/>
    <w:rsid w:val="006876D8"/>
    <w:rsid w:val="00737275"/>
    <w:rsid w:val="00740EEC"/>
    <w:rsid w:val="0078011A"/>
    <w:rsid w:val="00782AF4"/>
    <w:rsid w:val="00790EE7"/>
    <w:rsid w:val="007B6649"/>
    <w:rsid w:val="0081546F"/>
    <w:rsid w:val="0082576E"/>
    <w:rsid w:val="00907F75"/>
    <w:rsid w:val="0091600D"/>
    <w:rsid w:val="009260DE"/>
    <w:rsid w:val="0093258A"/>
    <w:rsid w:val="009C7BA3"/>
    <w:rsid w:val="009D1F5A"/>
    <w:rsid w:val="00B003BF"/>
    <w:rsid w:val="00B373D7"/>
    <w:rsid w:val="00C36276"/>
    <w:rsid w:val="00C42586"/>
    <w:rsid w:val="00C478C3"/>
    <w:rsid w:val="00C60CCD"/>
    <w:rsid w:val="00C84483"/>
    <w:rsid w:val="00C95551"/>
    <w:rsid w:val="00CB20D7"/>
    <w:rsid w:val="00D020B0"/>
    <w:rsid w:val="00D11748"/>
    <w:rsid w:val="00D366CF"/>
    <w:rsid w:val="00E108AA"/>
    <w:rsid w:val="00E31812"/>
    <w:rsid w:val="00E3749A"/>
    <w:rsid w:val="00E7437F"/>
    <w:rsid w:val="00E865B8"/>
    <w:rsid w:val="00EC0B9B"/>
    <w:rsid w:val="00ED5E9F"/>
    <w:rsid w:val="00F050E3"/>
    <w:rsid w:val="00F66D4F"/>
    <w:rsid w:val="00FB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7B9DA3"/>
  <w15:chartTrackingRefBased/>
  <w15:docId w15:val="{302056C1-BD2D-44EA-B8E1-5961C7F73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6D01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FB6D0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FB6D01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Kommentartekst">
    <w:name w:val="annotation text"/>
    <w:basedOn w:val="Normal"/>
    <w:link w:val="KommentartekstTegn"/>
    <w:semiHidden/>
    <w:rsid w:val="00790EE7"/>
    <w:rPr>
      <w:sz w:val="20"/>
      <w:lang w:eastAsia="da-DK"/>
    </w:rPr>
  </w:style>
  <w:style w:type="paragraph" w:styleId="Sidehoved">
    <w:name w:val="header"/>
    <w:basedOn w:val="Normal"/>
    <w:link w:val="SidehovedTegn"/>
    <w:uiPriority w:val="99"/>
    <w:rsid w:val="00790EE7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Titel">
    <w:name w:val="Title"/>
    <w:basedOn w:val="Normal"/>
    <w:link w:val="TitelTegn"/>
    <w:qFormat/>
    <w:rsid w:val="00790EE7"/>
    <w:pPr>
      <w:jc w:val="center"/>
    </w:pPr>
    <w:rPr>
      <w:b/>
      <w:sz w:val="24"/>
      <w:lang w:eastAsia="da-DK"/>
    </w:rPr>
  </w:style>
  <w:style w:type="character" w:styleId="Kommentarhenvisning">
    <w:name w:val="annotation reference"/>
    <w:semiHidden/>
    <w:rsid w:val="00790EE7"/>
    <w:rPr>
      <w:sz w:val="16"/>
      <w:szCs w:val="16"/>
    </w:rPr>
  </w:style>
  <w:style w:type="paragraph" w:styleId="Markeringsbobletekst">
    <w:name w:val="Balloon Text"/>
    <w:basedOn w:val="Normal"/>
    <w:semiHidden/>
    <w:rsid w:val="00790EE7"/>
    <w:rPr>
      <w:rFonts w:ascii="Tahoma" w:hAnsi="Tahoma" w:cs="Tahoma"/>
      <w:sz w:val="16"/>
      <w:szCs w:val="16"/>
    </w:rPr>
  </w:style>
  <w:style w:type="paragraph" w:styleId="Sidefod">
    <w:name w:val="footer"/>
    <w:basedOn w:val="Normal"/>
    <w:rsid w:val="00C42586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C42586"/>
  </w:style>
  <w:style w:type="character" w:customStyle="1" w:styleId="KommentartekstTegn">
    <w:name w:val="Kommentartekst Tegn"/>
    <w:basedOn w:val="Standardskrifttypeiafsnit"/>
    <w:link w:val="Kommentartekst"/>
    <w:semiHidden/>
    <w:rsid w:val="00B003BF"/>
  </w:style>
  <w:style w:type="character" w:customStyle="1" w:styleId="SidehovedTegn">
    <w:name w:val="Sidehoved Tegn"/>
    <w:link w:val="Sidehoved"/>
    <w:uiPriority w:val="99"/>
    <w:rsid w:val="00B003BF"/>
    <w:rPr>
      <w:sz w:val="24"/>
    </w:rPr>
  </w:style>
  <w:style w:type="character" w:customStyle="1" w:styleId="TitelTegn">
    <w:name w:val="Titel Tegn"/>
    <w:link w:val="Titel"/>
    <w:rsid w:val="00B003BF"/>
    <w:rPr>
      <w:b/>
      <w:sz w:val="24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260DE"/>
    <w:rPr>
      <w:b/>
      <w:bCs/>
      <w:lang w:eastAsia="en-US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260DE"/>
    <w:rPr>
      <w:b/>
      <w:bCs/>
      <w:lang w:eastAsia="en-US"/>
    </w:rPr>
  </w:style>
  <w:style w:type="character" w:styleId="Hyperlink">
    <w:name w:val="Hyperlink"/>
    <w:basedOn w:val="Standardskrifttypeiafsnit"/>
    <w:uiPriority w:val="99"/>
    <w:semiHidden/>
    <w:unhideWhenUsed/>
    <w:rsid w:val="006723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4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ldenbivirkning.d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GOD\SPC'er\_SPC%20Skabeloner\SPC%20Hum.dotm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SPC Hum</Template>
  <TotalTime>5</TotalTime>
  <Pages>6</Pages>
  <Words>1267</Words>
  <Characters>8813</Characters>
  <Application>Microsoft Office Word</Application>
  <DocSecurity>0</DocSecurity>
  <Lines>73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Helle Venn</dc:creator>
  <cp:keywords/>
  <dc:description>2020031344 - MT forlængelse</dc:description>
  <cp:lastModifiedBy>Helle Venn</cp:lastModifiedBy>
  <cp:revision>4</cp:revision>
  <cp:lastPrinted>2012-08-22T08:53:00Z</cp:lastPrinted>
  <dcterms:created xsi:type="dcterms:W3CDTF">2020-08-25T07:40:00Z</dcterms:created>
  <dcterms:modified xsi:type="dcterms:W3CDTF">2020-08-25T07:45:00Z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ewTemplateConverted">
    <vt:lpwstr>SPC Hum.dotm</vt:lpwstr>
  </property>
  <property fmtid="{D5CDD505-2E9C-101B-9397-08002B2CF9AE}" pid="3" name="ConvertedFromMacroDocument">
    <vt:lpwstr>True</vt:lpwstr>
  </property>
</Properties>
</file>