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6CE7" w14:textId="58E6E6A1" w:rsidR="009260DE" w:rsidRPr="00E81E79" w:rsidRDefault="0021526C" w:rsidP="009260DE">
      <w:pPr>
        <w:rPr>
          <w:sz w:val="24"/>
          <w:szCs w:val="24"/>
        </w:rPr>
      </w:pPr>
      <w:r w:rsidRPr="00E81E7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D642A3A" wp14:editId="66B4C9E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81E79">
        <w:rPr>
          <w:sz w:val="24"/>
          <w:szCs w:val="24"/>
        </w:rPr>
        <w:br w:type="textWrapping" w:clear="all"/>
      </w:r>
    </w:p>
    <w:p w14:paraId="78235D62" w14:textId="705A72D6" w:rsidR="009260DE" w:rsidRPr="00E81E79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81E79">
        <w:rPr>
          <w:b w:val="0"/>
          <w:szCs w:val="24"/>
          <w:lang w:eastAsia="en-US"/>
        </w:rPr>
        <w:tab/>
      </w:r>
      <w:r w:rsidR="00FD2B0E">
        <w:rPr>
          <w:szCs w:val="24"/>
        </w:rPr>
        <w:t>3 Maj 2024</w:t>
      </w:r>
    </w:p>
    <w:p w14:paraId="63E05A4D" w14:textId="77777777" w:rsidR="009260DE" w:rsidRPr="00E81E79" w:rsidRDefault="009260DE" w:rsidP="009260DE">
      <w:pPr>
        <w:pStyle w:val="Titel"/>
        <w:jc w:val="left"/>
        <w:rPr>
          <w:b w:val="0"/>
          <w:szCs w:val="24"/>
        </w:rPr>
      </w:pPr>
    </w:p>
    <w:p w14:paraId="30F5264C" w14:textId="77777777" w:rsidR="009260DE" w:rsidRPr="00E81E79" w:rsidRDefault="009260DE" w:rsidP="009260DE">
      <w:pPr>
        <w:pStyle w:val="Titel"/>
        <w:jc w:val="left"/>
        <w:rPr>
          <w:b w:val="0"/>
          <w:szCs w:val="24"/>
        </w:rPr>
      </w:pPr>
    </w:p>
    <w:p w14:paraId="47CB01C8" w14:textId="77777777" w:rsidR="009260DE" w:rsidRPr="00E81E79" w:rsidRDefault="009260DE" w:rsidP="009260DE">
      <w:pPr>
        <w:jc w:val="center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PRODUKTRESUMÉ</w:t>
      </w:r>
    </w:p>
    <w:p w14:paraId="52103D22" w14:textId="77777777" w:rsidR="009260DE" w:rsidRPr="00E81E79" w:rsidRDefault="009260DE" w:rsidP="009260DE">
      <w:pPr>
        <w:jc w:val="center"/>
        <w:rPr>
          <w:b/>
          <w:sz w:val="24"/>
          <w:szCs w:val="24"/>
        </w:rPr>
      </w:pPr>
    </w:p>
    <w:p w14:paraId="54061545" w14:textId="77777777" w:rsidR="009260DE" w:rsidRPr="00E81E79" w:rsidRDefault="009260DE" w:rsidP="009260DE">
      <w:pPr>
        <w:jc w:val="center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for</w:t>
      </w:r>
    </w:p>
    <w:p w14:paraId="086AE2B1" w14:textId="77777777" w:rsidR="000B058C" w:rsidRPr="00E81E79" w:rsidRDefault="000B058C" w:rsidP="009260DE">
      <w:pPr>
        <w:jc w:val="center"/>
        <w:rPr>
          <w:b/>
          <w:sz w:val="24"/>
          <w:szCs w:val="24"/>
        </w:rPr>
      </w:pPr>
    </w:p>
    <w:p w14:paraId="078765FD" w14:textId="42FD9267" w:rsidR="009260DE" w:rsidRPr="00E81E79" w:rsidRDefault="00766F83" w:rsidP="009260DE">
      <w:pPr>
        <w:jc w:val="center"/>
        <w:rPr>
          <w:b/>
          <w:sz w:val="24"/>
          <w:szCs w:val="24"/>
        </w:rPr>
      </w:pPr>
      <w:proofErr w:type="spellStart"/>
      <w:r w:rsidRPr="00E81E79">
        <w:rPr>
          <w:b/>
          <w:sz w:val="24"/>
          <w:szCs w:val="24"/>
        </w:rPr>
        <w:t>Kalium</w:t>
      </w:r>
      <w:r w:rsidR="00081C28" w:rsidRPr="00E81E79">
        <w:rPr>
          <w:b/>
          <w:sz w:val="24"/>
          <w:szCs w:val="24"/>
        </w:rPr>
        <w:t>chlorid</w:t>
      </w:r>
      <w:proofErr w:type="spellEnd"/>
      <w:r w:rsidR="00081C28" w:rsidRPr="00E81E79">
        <w:rPr>
          <w:b/>
          <w:sz w:val="24"/>
          <w:szCs w:val="24"/>
        </w:rPr>
        <w:t xml:space="preserve"> </w:t>
      </w:r>
      <w:r w:rsidR="00FC2E68">
        <w:rPr>
          <w:b/>
          <w:sz w:val="24"/>
          <w:szCs w:val="24"/>
        </w:rPr>
        <w:t>"</w:t>
      </w:r>
      <w:proofErr w:type="spellStart"/>
      <w:r w:rsidR="00081C28" w:rsidRPr="00E81E79">
        <w:rPr>
          <w:b/>
          <w:sz w:val="24"/>
          <w:szCs w:val="24"/>
        </w:rPr>
        <w:t>Orifarm</w:t>
      </w:r>
      <w:proofErr w:type="spellEnd"/>
      <w:r w:rsidR="00FC2E68">
        <w:rPr>
          <w:b/>
          <w:sz w:val="24"/>
          <w:szCs w:val="24"/>
        </w:rPr>
        <w:t>"</w:t>
      </w:r>
      <w:r w:rsidR="00081C28" w:rsidRPr="00E81E79">
        <w:rPr>
          <w:b/>
          <w:sz w:val="24"/>
          <w:szCs w:val="24"/>
        </w:rPr>
        <w:t>, oral opløsning</w:t>
      </w:r>
    </w:p>
    <w:p w14:paraId="70604B89" w14:textId="77777777" w:rsidR="009260DE" w:rsidRPr="00E81E79" w:rsidRDefault="009260DE" w:rsidP="009260DE">
      <w:pPr>
        <w:jc w:val="both"/>
        <w:rPr>
          <w:sz w:val="24"/>
          <w:szCs w:val="24"/>
        </w:rPr>
      </w:pPr>
    </w:p>
    <w:p w14:paraId="393EC28D" w14:textId="77777777" w:rsidR="009260DE" w:rsidRPr="00E81E79" w:rsidRDefault="009260DE" w:rsidP="009260DE">
      <w:pPr>
        <w:jc w:val="both"/>
        <w:rPr>
          <w:sz w:val="24"/>
          <w:szCs w:val="24"/>
        </w:rPr>
      </w:pPr>
    </w:p>
    <w:p w14:paraId="37BA77C3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0.</w:t>
      </w:r>
      <w:r w:rsidRPr="00E81E79">
        <w:rPr>
          <w:b/>
          <w:sz w:val="24"/>
          <w:szCs w:val="24"/>
        </w:rPr>
        <w:tab/>
        <w:t>D.SP.NR.</w:t>
      </w:r>
    </w:p>
    <w:p w14:paraId="079133D5" w14:textId="356CDB17" w:rsidR="009260DE" w:rsidRPr="00E81E79" w:rsidRDefault="00754EBD" w:rsidP="009260DE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32497</w:t>
      </w:r>
    </w:p>
    <w:p w14:paraId="687E2A80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314C36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1.</w:t>
      </w:r>
      <w:r w:rsidRPr="00E81E79">
        <w:rPr>
          <w:b/>
          <w:sz w:val="24"/>
          <w:szCs w:val="24"/>
        </w:rPr>
        <w:tab/>
        <w:t>LÆGEMIDLETS NAVN</w:t>
      </w:r>
    </w:p>
    <w:p w14:paraId="3D459A0B" w14:textId="7D692CBC" w:rsidR="009260DE" w:rsidRPr="00E81E79" w:rsidRDefault="00081C28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</w:p>
    <w:p w14:paraId="32337D73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607C5D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2.</w:t>
      </w:r>
      <w:r w:rsidRPr="00E81E79">
        <w:rPr>
          <w:b/>
          <w:sz w:val="24"/>
          <w:szCs w:val="24"/>
        </w:rPr>
        <w:tab/>
        <w:t>KVALITATIV OG KVANTITATIV SAMMENSÆTNING</w:t>
      </w:r>
    </w:p>
    <w:p w14:paraId="6263E378" w14:textId="148DF794" w:rsidR="002A35EE" w:rsidRPr="00E81E79" w:rsidRDefault="002A35EE" w:rsidP="002A6324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1 ml indeholder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75 mg/ml.</w:t>
      </w:r>
    </w:p>
    <w:p w14:paraId="2D1A4FCE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65746A2D" w14:textId="77777777" w:rsidR="002A35EE" w:rsidRPr="00E81E79" w:rsidRDefault="002A35EE" w:rsidP="002A6324">
      <w:pPr>
        <w:ind w:left="851"/>
        <w:rPr>
          <w:sz w:val="24"/>
          <w:szCs w:val="24"/>
          <w:u w:val="single"/>
        </w:rPr>
      </w:pPr>
      <w:r w:rsidRPr="00E81E79">
        <w:rPr>
          <w:sz w:val="24"/>
          <w:szCs w:val="24"/>
          <w:u w:val="single"/>
        </w:rPr>
        <w:t>Hjælpestoffer, som behandleren skal være opmærksom på:</w:t>
      </w:r>
    </w:p>
    <w:p w14:paraId="3E1A201B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1 ml oral opløsning indeholder 0,4 mg </w:t>
      </w:r>
      <w:proofErr w:type="spellStart"/>
      <w:r w:rsidRPr="00E81E79">
        <w:rPr>
          <w:sz w:val="24"/>
          <w:szCs w:val="24"/>
        </w:rPr>
        <w:t>methylparahydroxybenzoat</w:t>
      </w:r>
      <w:proofErr w:type="spellEnd"/>
      <w:r w:rsidRPr="00E81E79">
        <w:rPr>
          <w:sz w:val="24"/>
          <w:szCs w:val="24"/>
        </w:rPr>
        <w:t xml:space="preserve"> (E218); 0,1 mg </w:t>
      </w:r>
      <w:proofErr w:type="spellStart"/>
      <w:r w:rsidRPr="00E81E79">
        <w:rPr>
          <w:sz w:val="24"/>
          <w:szCs w:val="24"/>
        </w:rPr>
        <w:t>propylparahydroxybenzoat</w:t>
      </w:r>
      <w:proofErr w:type="spellEnd"/>
      <w:r w:rsidRPr="00E81E79">
        <w:rPr>
          <w:sz w:val="24"/>
          <w:szCs w:val="24"/>
        </w:rPr>
        <w:t xml:space="preserve"> (E216); 0,9 mg </w:t>
      </w:r>
      <w:proofErr w:type="spellStart"/>
      <w:r w:rsidRPr="00E81E79">
        <w:rPr>
          <w:sz w:val="24"/>
          <w:szCs w:val="24"/>
        </w:rPr>
        <w:t>ethanol</w:t>
      </w:r>
      <w:proofErr w:type="spellEnd"/>
      <w:r w:rsidRPr="00E81E79">
        <w:rPr>
          <w:sz w:val="24"/>
          <w:szCs w:val="24"/>
        </w:rPr>
        <w:t xml:space="preserve"> (96 %); 0,8 mg propylenglycol (E1520); op til 0,01 mg </w:t>
      </w:r>
      <w:proofErr w:type="spellStart"/>
      <w:r w:rsidRPr="00E81E79">
        <w:rPr>
          <w:sz w:val="24"/>
          <w:szCs w:val="24"/>
        </w:rPr>
        <w:t>glucose</w:t>
      </w:r>
      <w:proofErr w:type="spellEnd"/>
      <w:r w:rsidRPr="00E81E79">
        <w:rPr>
          <w:sz w:val="24"/>
          <w:szCs w:val="24"/>
        </w:rPr>
        <w:t xml:space="preserve"> og op til 0,001 mg </w:t>
      </w:r>
      <w:proofErr w:type="spellStart"/>
      <w:r w:rsidRPr="00E81E79">
        <w:rPr>
          <w:sz w:val="24"/>
          <w:szCs w:val="24"/>
        </w:rPr>
        <w:t>saccharose</w:t>
      </w:r>
      <w:proofErr w:type="spellEnd"/>
      <w:r w:rsidRPr="00E81E79">
        <w:rPr>
          <w:sz w:val="24"/>
          <w:szCs w:val="24"/>
        </w:rPr>
        <w:t>.</w:t>
      </w:r>
      <w:r w:rsidRPr="00E81E79">
        <w:rPr>
          <w:sz w:val="24"/>
          <w:szCs w:val="24"/>
        </w:rPr>
        <w:br/>
      </w:r>
    </w:p>
    <w:p w14:paraId="0B4E8AE5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Alle hjælpestoffer er anført under pkt. 6.1.</w:t>
      </w:r>
    </w:p>
    <w:p w14:paraId="5CB43435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43BE9B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3.</w:t>
      </w:r>
      <w:r w:rsidRPr="00E81E79">
        <w:rPr>
          <w:b/>
          <w:sz w:val="24"/>
          <w:szCs w:val="24"/>
        </w:rPr>
        <w:tab/>
        <w:t>LÆGEMIDDELFORM</w:t>
      </w:r>
    </w:p>
    <w:p w14:paraId="1191CFD4" w14:textId="47DC5D96" w:rsidR="002A35EE" w:rsidRPr="00E81E79" w:rsidRDefault="002A35EE" w:rsidP="002A6324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>Oral opløsning</w:t>
      </w:r>
    </w:p>
    <w:p w14:paraId="21DEB802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7845DCD8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Klar, farveløs eller lys gul væske med anis- og karamelsmag.</w:t>
      </w:r>
    </w:p>
    <w:p w14:paraId="11155E17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C7410A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170EAD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</w:t>
      </w:r>
      <w:r w:rsidRPr="00E81E79">
        <w:rPr>
          <w:b/>
          <w:sz w:val="24"/>
          <w:szCs w:val="24"/>
        </w:rPr>
        <w:tab/>
        <w:t>KLINISKE OPLYSNINGER</w:t>
      </w:r>
    </w:p>
    <w:p w14:paraId="5D9AC801" w14:textId="77777777" w:rsidR="009260DE" w:rsidRPr="00E81E79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5F7C14E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81E79">
        <w:rPr>
          <w:b/>
          <w:sz w:val="24"/>
          <w:szCs w:val="24"/>
        </w:rPr>
        <w:t>4.1</w:t>
      </w:r>
      <w:r w:rsidRPr="00E81E79">
        <w:rPr>
          <w:b/>
          <w:sz w:val="24"/>
          <w:szCs w:val="24"/>
        </w:rPr>
        <w:tab/>
        <w:t>Terapeutiske indikationer</w:t>
      </w:r>
    </w:p>
    <w:p w14:paraId="612ED6E7" w14:textId="77777777" w:rsidR="002A35EE" w:rsidRPr="00E81E79" w:rsidRDefault="002A35EE" w:rsidP="002A6324">
      <w:pPr>
        <w:ind w:left="851"/>
        <w:rPr>
          <w:sz w:val="24"/>
          <w:szCs w:val="24"/>
          <w:lang w:eastAsia="da-DK"/>
        </w:rPr>
      </w:pPr>
      <w:proofErr w:type="spellStart"/>
      <w:r w:rsidRPr="00E81E79">
        <w:rPr>
          <w:sz w:val="24"/>
          <w:szCs w:val="24"/>
        </w:rPr>
        <w:t>Hypokaliæmi</w:t>
      </w:r>
      <w:proofErr w:type="spellEnd"/>
      <w:r w:rsidRPr="00E81E79">
        <w:rPr>
          <w:sz w:val="24"/>
          <w:szCs w:val="24"/>
        </w:rPr>
        <w:t xml:space="preserve">. Forebyggelse ved behandling med </w:t>
      </w:r>
      <w:proofErr w:type="spellStart"/>
      <w:r w:rsidRPr="00E81E79">
        <w:rPr>
          <w:sz w:val="24"/>
          <w:szCs w:val="24"/>
        </w:rPr>
        <w:t>saluretika</w:t>
      </w:r>
      <w:proofErr w:type="spellEnd"/>
      <w:r w:rsidRPr="00E81E79">
        <w:rPr>
          <w:sz w:val="24"/>
          <w:szCs w:val="24"/>
        </w:rPr>
        <w:t>.</w:t>
      </w:r>
    </w:p>
    <w:p w14:paraId="3D669313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25188B" w14:textId="147E8A26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4.2</w:t>
      </w:r>
      <w:r w:rsidRPr="00E81E79">
        <w:rPr>
          <w:b/>
          <w:sz w:val="24"/>
          <w:szCs w:val="24"/>
        </w:rPr>
        <w:tab/>
        <w:t xml:space="preserve">Dosering og </w:t>
      </w:r>
      <w:r w:rsidR="004842A7">
        <w:rPr>
          <w:b/>
          <w:sz w:val="24"/>
          <w:szCs w:val="24"/>
        </w:rPr>
        <w:t>administration</w:t>
      </w:r>
    </w:p>
    <w:p w14:paraId="61F6914E" w14:textId="77777777" w:rsidR="00491E53" w:rsidRDefault="00491E53" w:rsidP="002A6324">
      <w:pPr>
        <w:ind w:left="851"/>
        <w:rPr>
          <w:sz w:val="24"/>
          <w:szCs w:val="24"/>
        </w:rPr>
      </w:pPr>
    </w:p>
    <w:p w14:paraId="36E0F9F5" w14:textId="255FA981" w:rsidR="002A35EE" w:rsidRPr="00491E53" w:rsidRDefault="002A35EE" w:rsidP="002A6324">
      <w:pPr>
        <w:ind w:left="851"/>
        <w:rPr>
          <w:sz w:val="24"/>
          <w:szCs w:val="24"/>
          <w:u w:val="single"/>
          <w:lang w:eastAsia="da-DK"/>
        </w:rPr>
      </w:pPr>
      <w:r w:rsidRPr="00491E53">
        <w:rPr>
          <w:sz w:val="24"/>
          <w:szCs w:val="24"/>
          <w:u w:val="single"/>
        </w:rPr>
        <w:t>Dosering</w:t>
      </w:r>
    </w:p>
    <w:p w14:paraId="6FE1F1D6" w14:textId="77777777" w:rsidR="002A35EE" w:rsidRPr="00E81E79" w:rsidRDefault="002A35EE" w:rsidP="002A6324">
      <w:pPr>
        <w:ind w:left="851"/>
        <w:rPr>
          <w:i/>
          <w:spacing w:val="-3"/>
          <w:sz w:val="24"/>
          <w:szCs w:val="24"/>
        </w:rPr>
      </w:pPr>
      <w:r w:rsidRPr="00E81E79">
        <w:rPr>
          <w:i/>
          <w:spacing w:val="-3"/>
          <w:sz w:val="24"/>
          <w:szCs w:val="24"/>
        </w:rPr>
        <w:t xml:space="preserve">Voksne </w:t>
      </w:r>
    </w:p>
    <w:p w14:paraId="4A079AAC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 xml:space="preserve">Profylaktisk: </w:t>
      </w:r>
    </w:p>
    <w:p w14:paraId="20C5A31C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>0,75</w:t>
      </w:r>
      <w:r w:rsidRPr="00E81E79">
        <w:rPr>
          <w:spacing w:val="-3"/>
          <w:sz w:val="24"/>
          <w:szCs w:val="24"/>
        </w:rPr>
        <w:noBreakHyphen/>
        <w:t>1,5 g (10</w:t>
      </w:r>
      <w:r w:rsidRPr="00E81E79">
        <w:rPr>
          <w:spacing w:val="-3"/>
          <w:sz w:val="24"/>
          <w:szCs w:val="24"/>
        </w:rPr>
        <w:noBreakHyphen/>
        <w:t>20 ml svarende til 10</w:t>
      </w:r>
      <w:r w:rsidRPr="00E81E79">
        <w:rPr>
          <w:spacing w:val="-3"/>
          <w:sz w:val="24"/>
          <w:szCs w:val="24"/>
        </w:rPr>
        <w:noBreakHyphen/>
        <w:t>20 mmol) 2</w:t>
      </w:r>
      <w:r w:rsidRPr="00E81E79">
        <w:rPr>
          <w:spacing w:val="-3"/>
          <w:sz w:val="24"/>
          <w:szCs w:val="24"/>
        </w:rPr>
        <w:noBreakHyphen/>
        <w:t>3 gange dagligt.</w:t>
      </w:r>
    </w:p>
    <w:p w14:paraId="590F2EDB" w14:textId="6D176E29" w:rsidR="009752CE" w:rsidRDefault="009752CE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14:paraId="36EA1255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</w:p>
    <w:p w14:paraId="36855E8D" w14:textId="77777777" w:rsidR="002A35EE" w:rsidRPr="00E81E79" w:rsidRDefault="002A35EE" w:rsidP="002A6324">
      <w:pPr>
        <w:ind w:left="851"/>
        <w:rPr>
          <w:iCs/>
          <w:spacing w:val="-3"/>
          <w:sz w:val="24"/>
          <w:szCs w:val="24"/>
        </w:rPr>
      </w:pPr>
      <w:r w:rsidRPr="00E81E79">
        <w:rPr>
          <w:iCs/>
          <w:spacing w:val="-3"/>
          <w:sz w:val="24"/>
          <w:szCs w:val="24"/>
        </w:rPr>
        <w:t xml:space="preserve">Kurativt: </w:t>
      </w:r>
    </w:p>
    <w:p w14:paraId="35891CA4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>Individuelt afpasset efter serumkaliumværdier.</w:t>
      </w:r>
    </w:p>
    <w:p w14:paraId="681C9C1D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2C9DEAE4" w14:textId="77777777" w:rsidR="002A35EE" w:rsidRPr="00E81E79" w:rsidRDefault="002A35EE" w:rsidP="002A6324">
      <w:pPr>
        <w:ind w:left="851"/>
        <w:rPr>
          <w:i/>
          <w:iCs/>
          <w:sz w:val="24"/>
          <w:szCs w:val="24"/>
        </w:rPr>
      </w:pPr>
      <w:r w:rsidRPr="00E81E79">
        <w:rPr>
          <w:i/>
          <w:iCs/>
          <w:sz w:val="24"/>
          <w:szCs w:val="24"/>
        </w:rPr>
        <w:t>Pædiatrisk population</w:t>
      </w:r>
    </w:p>
    <w:p w14:paraId="4148E4F3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Individuelt afpasset efter serumkaliumværdierne. Der bør foretages nøje monitorering af kaliumværdierne.</w:t>
      </w:r>
    </w:p>
    <w:p w14:paraId="248419FE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7AE5E555" w14:textId="77777777" w:rsidR="002A35EE" w:rsidRPr="00E81E79" w:rsidRDefault="002A35EE" w:rsidP="002A6324">
      <w:pPr>
        <w:ind w:left="851"/>
        <w:rPr>
          <w:i/>
          <w:sz w:val="24"/>
          <w:szCs w:val="24"/>
        </w:rPr>
      </w:pPr>
      <w:r w:rsidRPr="00E81E79">
        <w:rPr>
          <w:i/>
          <w:sz w:val="24"/>
          <w:szCs w:val="24"/>
        </w:rPr>
        <w:t xml:space="preserve">Ældre </w:t>
      </w:r>
    </w:p>
    <w:p w14:paraId="609BF9B2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Doseringsanbefalinger for ældre patienter med normal nyrefunktion er de samme som for voksne med normal nyrefunktion. Da ældre patienter kan have nedsat nyrefunktion, og anden </w:t>
      </w:r>
      <w:proofErr w:type="spellStart"/>
      <w:r w:rsidRPr="00E81E79">
        <w:rPr>
          <w:sz w:val="24"/>
          <w:szCs w:val="24"/>
        </w:rPr>
        <w:t>comorbiditet</w:t>
      </w:r>
      <w:proofErr w:type="spellEnd"/>
      <w:r w:rsidRPr="00E81E79">
        <w:rPr>
          <w:sz w:val="24"/>
          <w:szCs w:val="24"/>
        </w:rPr>
        <w:t xml:space="preserve">, der prædisponerer til </w:t>
      </w:r>
      <w:proofErr w:type="spellStart"/>
      <w:r w:rsidRPr="00E81E79">
        <w:rPr>
          <w:sz w:val="24"/>
          <w:szCs w:val="24"/>
        </w:rPr>
        <w:t>hyperkaliæmi</w:t>
      </w:r>
      <w:proofErr w:type="spellEnd"/>
      <w:r w:rsidRPr="00E81E79">
        <w:rPr>
          <w:sz w:val="24"/>
          <w:szCs w:val="24"/>
        </w:rPr>
        <w:t xml:space="preserve"> (se pkt. 4.4), kan dosisjusteringer være nødvendige i henhold til deres nyrefunktionsstatus (se Nedsat nyrefunktion nedenfor), deres almen tilstand og anden medicinsk behandling (se pkt. 4.4 og 4.5).</w:t>
      </w:r>
    </w:p>
    <w:p w14:paraId="5AC6F967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1E5AD929" w14:textId="77777777" w:rsidR="002A35EE" w:rsidRPr="00E81E79" w:rsidRDefault="002A35EE" w:rsidP="002A6324">
      <w:pPr>
        <w:ind w:left="851"/>
        <w:rPr>
          <w:i/>
          <w:spacing w:val="-3"/>
          <w:sz w:val="24"/>
          <w:szCs w:val="24"/>
        </w:rPr>
      </w:pPr>
      <w:r w:rsidRPr="00E81E79">
        <w:rPr>
          <w:i/>
          <w:spacing w:val="-3"/>
          <w:sz w:val="24"/>
          <w:szCs w:val="24"/>
        </w:rPr>
        <w:t>Nedsat nyrefunktion</w:t>
      </w:r>
    </w:p>
    <w:p w14:paraId="1E49AD39" w14:textId="4C50D7A9" w:rsidR="002A35EE" w:rsidRPr="00E81E79" w:rsidRDefault="002A35EE" w:rsidP="002A6324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 xml:space="preserve">Individuelt justeret dosisreduktion ved mild til moderat nedsat nyrefunktion (se pkt. 4.4).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må ikke anvendes til patienter med svært nedsat nyrefunktion (se pkt. 4.3).</w:t>
      </w:r>
    </w:p>
    <w:p w14:paraId="0B872772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</w:p>
    <w:p w14:paraId="5B00FBAE" w14:textId="77777777" w:rsidR="002A35EE" w:rsidRPr="00E81E79" w:rsidRDefault="002A35EE" w:rsidP="002A6324">
      <w:pPr>
        <w:ind w:left="851"/>
        <w:rPr>
          <w:i/>
          <w:iCs/>
          <w:spacing w:val="-3"/>
          <w:sz w:val="24"/>
          <w:szCs w:val="24"/>
        </w:rPr>
      </w:pPr>
      <w:r w:rsidRPr="00E81E79">
        <w:rPr>
          <w:i/>
          <w:iCs/>
          <w:spacing w:val="-3"/>
          <w:sz w:val="24"/>
          <w:szCs w:val="24"/>
        </w:rPr>
        <w:t>Nedsat leverfunktion</w:t>
      </w:r>
    </w:p>
    <w:p w14:paraId="4FC4360D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>Individuelt justeret dosisreduktion ved moderat til svær nedsat leverfunktion.</w:t>
      </w:r>
    </w:p>
    <w:p w14:paraId="355A6385" w14:textId="77777777" w:rsidR="002A35EE" w:rsidRPr="00E81E79" w:rsidRDefault="002A35EE" w:rsidP="002A6324">
      <w:pPr>
        <w:ind w:left="851"/>
        <w:rPr>
          <w:spacing w:val="-3"/>
          <w:sz w:val="24"/>
          <w:szCs w:val="24"/>
        </w:rPr>
      </w:pPr>
    </w:p>
    <w:p w14:paraId="67A8B424" w14:textId="049F15B6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Ved anvendelse af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anbefales det altid at måle serumkalium regelmæssigt for at tilpasse doseringen i forhold til virkningen. Dette gælder specielt, hvis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anvendes samtidig med andre medicinske produkter, som indeholder kalium.</w:t>
      </w:r>
    </w:p>
    <w:p w14:paraId="4E13A637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62DC5D5A" w14:textId="77777777" w:rsidR="002A35EE" w:rsidRPr="009752CE" w:rsidRDefault="002A35EE" w:rsidP="002A6324">
      <w:pPr>
        <w:ind w:left="851"/>
        <w:rPr>
          <w:sz w:val="24"/>
          <w:szCs w:val="24"/>
          <w:u w:val="single"/>
        </w:rPr>
      </w:pPr>
      <w:r w:rsidRPr="009752CE">
        <w:rPr>
          <w:sz w:val="24"/>
          <w:szCs w:val="24"/>
          <w:u w:val="single"/>
        </w:rPr>
        <w:t>Administration</w:t>
      </w:r>
    </w:p>
    <w:p w14:paraId="3AF62993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Til oral anvendelse.</w:t>
      </w:r>
    </w:p>
    <w:p w14:paraId="10A5CB1D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Kaliumtilskud bør indtages ved måltider.</w:t>
      </w:r>
    </w:p>
    <w:p w14:paraId="58526ACD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D82910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4.3</w:t>
      </w:r>
      <w:r w:rsidRPr="00E81E79">
        <w:rPr>
          <w:b/>
          <w:sz w:val="24"/>
          <w:szCs w:val="24"/>
        </w:rPr>
        <w:tab/>
        <w:t>Kontraindikationer</w:t>
      </w:r>
    </w:p>
    <w:p w14:paraId="6E3A5F78" w14:textId="77777777" w:rsidR="002A35EE" w:rsidRPr="00E81E79" w:rsidRDefault="002A35EE" w:rsidP="002A6324">
      <w:pPr>
        <w:pStyle w:val="Listeafsnit"/>
        <w:numPr>
          <w:ilvl w:val="0"/>
          <w:numId w:val="8"/>
        </w:numPr>
        <w:ind w:left="1276" w:hanging="425"/>
        <w:rPr>
          <w:szCs w:val="24"/>
        </w:rPr>
      </w:pPr>
      <w:r w:rsidRPr="00E81E79">
        <w:rPr>
          <w:szCs w:val="24"/>
        </w:rPr>
        <w:t>Overfølsomhed over for det aktive stof eller over for et eller flere af hjælpestofferne anført i pkt. 6.1.</w:t>
      </w:r>
    </w:p>
    <w:p w14:paraId="506D6E50" w14:textId="77777777" w:rsidR="002A35EE" w:rsidRPr="00E81E79" w:rsidRDefault="002A35EE" w:rsidP="002A6324">
      <w:pPr>
        <w:pStyle w:val="Listeafsnit"/>
        <w:numPr>
          <w:ilvl w:val="0"/>
          <w:numId w:val="8"/>
        </w:numPr>
        <w:ind w:left="1276" w:hanging="425"/>
        <w:rPr>
          <w:szCs w:val="24"/>
        </w:rPr>
      </w:pPr>
      <w:r w:rsidRPr="00E81E79">
        <w:rPr>
          <w:szCs w:val="24"/>
        </w:rPr>
        <w:t xml:space="preserve">Alvorlig elektrolytubalance herunder </w:t>
      </w:r>
      <w:proofErr w:type="spellStart"/>
      <w:r w:rsidRPr="00E81E79">
        <w:rPr>
          <w:szCs w:val="24"/>
        </w:rPr>
        <w:t>hypercalcæmi</w:t>
      </w:r>
      <w:proofErr w:type="spellEnd"/>
      <w:r w:rsidRPr="00E81E79">
        <w:rPr>
          <w:szCs w:val="24"/>
        </w:rPr>
        <w:t xml:space="preserve">, </w:t>
      </w:r>
      <w:proofErr w:type="spellStart"/>
      <w:r w:rsidRPr="00E81E79">
        <w:rPr>
          <w:szCs w:val="24"/>
        </w:rPr>
        <w:t>hyperchloræmi</w:t>
      </w:r>
      <w:proofErr w:type="spellEnd"/>
      <w:r w:rsidRPr="00E81E79">
        <w:rPr>
          <w:szCs w:val="24"/>
        </w:rPr>
        <w:t xml:space="preserve">, </w:t>
      </w:r>
      <w:proofErr w:type="spellStart"/>
      <w:r w:rsidRPr="00E81E79">
        <w:rPr>
          <w:szCs w:val="24"/>
        </w:rPr>
        <w:t>hyperkaliæmi</w:t>
      </w:r>
      <w:proofErr w:type="spellEnd"/>
      <w:r w:rsidRPr="00E81E79">
        <w:rPr>
          <w:szCs w:val="24"/>
        </w:rPr>
        <w:t xml:space="preserve"> eller andre situationer, som kan føre til </w:t>
      </w:r>
      <w:proofErr w:type="spellStart"/>
      <w:r w:rsidRPr="00E81E79">
        <w:rPr>
          <w:szCs w:val="24"/>
        </w:rPr>
        <w:t>hyperkaliæmi</w:t>
      </w:r>
      <w:proofErr w:type="spellEnd"/>
      <w:r w:rsidRPr="00E81E79">
        <w:rPr>
          <w:szCs w:val="24"/>
        </w:rPr>
        <w:t xml:space="preserve">. </w:t>
      </w:r>
    </w:p>
    <w:p w14:paraId="112DC650" w14:textId="77777777" w:rsidR="002A35EE" w:rsidRPr="00E81E79" w:rsidRDefault="002A35EE" w:rsidP="002A6324">
      <w:pPr>
        <w:pStyle w:val="Listeafsnit"/>
        <w:numPr>
          <w:ilvl w:val="0"/>
          <w:numId w:val="8"/>
        </w:numPr>
        <w:ind w:left="1276" w:hanging="425"/>
        <w:rPr>
          <w:szCs w:val="24"/>
        </w:rPr>
      </w:pPr>
      <w:r w:rsidRPr="00E81E79">
        <w:rPr>
          <w:szCs w:val="24"/>
        </w:rPr>
        <w:t xml:space="preserve">Svært nedsat nyrefunktion. </w:t>
      </w:r>
    </w:p>
    <w:p w14:paraId="241D96F9" w14:textId="77777777" w:rsidR="002A35EE" w:rsidRPr="00E81E79" w:rsidRDefault="002A35EE" w:rsidP="002A6324">
      <w:pPr>
        <w:pStyle w:val="Listeafsnit"/>
        <w:numPr>
          <w:ilvl w:val="0"/>
          <w:numId w:val="8"/>
        </w:numPr>
        <w:ind w:left="1276" w:hanging="425"/>
        <w:rPr>
          <w:szCs w:val="24"/>
        </w:rPr>
      </w:pPr>
      <w:r w:rsidRPr="00E81E79">
        <w:rPr>
          <w:szCs w:val="24"/>
        </w:rPr>
        <w:t xml:space="preserve">Ubehandlet Addisons sygdom. </w:t>
      </w:r>
    </w:p>
    <w:p w14:paraId="5C5C2379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C9C933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4.4</w:t>
      </w:r>
      <w:r w:rsidRPr="00E81E79">
        <w:rPr>
          <w:b/>
          <w:sz w:val="24"/>
          <w:szCs w:val="24"/>
        </w:rPr>
        <w:tab/>
        <w:t>Særlige advarsler og forsigtighedsregler vedrørende brugen</w:t>
      </w:r>
    </w:p>
    <w:p w14:paraId="4412E21A" w14:textId="4B313633" w:rsidR="002A35EE" w:rsidRPr="00E81E79" w:rsidRDefault="002A35EE" w:rsidP="002A6324">
      <w:pPr>
        <w:ind w:left="851"/>
        <w:rPr>
          <w:sz w:val="24"/>
          <w:szCs w:val="24"/>
          <w:lang w:eastAsia="da-DK"/>
        </w:rPr>
      </w:pP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bør administreres med stor forsigtighed til patienter med hjertesygdomme inklusiv</w:t>
      </w:r>
      <w:r w:rsidR="00491E53">
        <w:rPr>
          <w:sz w:val="24"/>
          <w:szCs w:val="24"/>
        </w:rPr>
        <w:t>e</w:t>
      </w:r>
      <w:r w:rsidRPr="00E81E79">
        <w:rPr>
          <w:sz w:val="24"/>
          <w:szCs w:val="24"/>
        </w:rPr>
        <w:t xml:space="preserve"> patienter i behandling med </w:t>
      </w:r>
      <w:proofErr w:type="spellStart"/>
      <w:r w:rsidRPr="00E81E79">
        <w:rPr>
          <w:sz w:val="24"/>
          <w:szCs w:val="24"/>
        </w:rPr>
        <w:t>digoxin</w:t>
      </w:r>
      <w:proofErr w:type="spellEnd"/>
      <w:r w:rsidRPr="00E81E79">
        <w:rPr>
          <w:sz w:val="24"/>
          <w:szCs w:val="24"/>
        </w:rPr>
        <w:t xml:space="preserve"> (se pkt. 4.5) eller tilstande, der kan føre til </w:t>
      </w:r>
      <w:proofErr w:type="spellStart"/>
      <w:r w:rsidRPr="00E81E79">
        <w:rPr>
          <w:sz w:val="24"/>
          <w:szCs w:val="24"/>
        </w:rPr>
        <w:t>hyperkaliæmi</w:t>
      </w:r>
      <w:proofErr w:type="spellEnd"/>
      <w:r w:rsidRPr="00E81E79">
        <w:rPr>
          <w:sz w:val="24"/>
          <w:szCs w:val="24"/>
        </w:rPr>
        <w:t xml:space="preserve"> som f.eks. nyre- eller binyrebarkinsufficiens, akut dehydrering eller omfattende vævsbeskadigelse, som forekommer bl.a. i forbindelse med svære forbrændinger. Serumkalium bør monitoreres hos alle patienter, især hos patienter med nedsat hjerte- eller nyrefunktion.</w:t>
      </w:r>
    </w:p>
    <w:p w14:paraId="2378DB4F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6E8233B2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Dosisreduktion hos patienter med nedsat nyrefunktion (se pkt. 4.2).</w:t>
      </w:r>
    </w:p>
    <w:p w14:paraId="1406373E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4D81F780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lastRenderedPageBreak/>
        <w:t xml:space="preserve">Forsigtighed ved samtidig indtagelse af kaliumbesparende </w:t>
      </w:r>
      <w:proofErr w:type="spellStart"/>
      <w:r w:rsidRPr="00E81E79">
        <w:rPr>
          <w:sz w:val="24"/>
          <w:szCs w:val="24"/>
        </w:rPr>
        <w:t>diuretika</w:t>
      </w:r>
      <w:proofErr w:type="spellEnd"/>
      <w:r w:rsidRPr="00E81E79">
        <w:rPr>
          <w:sz w:val="24"/>
          <w:szCs w:val="24"/>
        </w:rPr>
        <w:t xml:space="preserve">, </w:t>
      </w:r>
      <w:proofErr w:type="spellStart"/>
      <w:r w:rsidRPr="00E81E79">
        <w:rPr>
          <w:sz w:val="24"/>
          <w:szCs w:val="24"/>
        </w:rPr>
        <w:t>digoxin</w:t>
      </w:r>
      <w:proofErr w:type="spellEnd"/>
      <w:r w:rsidRPr="00E81E79">
        <w:rPr>
          <w:sz w:val="24"/>
          <w:szCs w:val="24"/>
        </w:rPr>
        <w:t xml:space="preserve">, </w:t>
      </w:r>
      <w:proofErr w:type="spellStart"/>
      <w:r w:rsidRPr="00E81E79">
        <w:rPr>
          <w:sz w:val="24"/>
          <w:szCs w:val="24"/>
        </w:rPr>
        <w:t>NSAIDs</w:t>
      </w:r>
      <w:proofErr w:type="spellEnd"/>
      <w:r w:rsidRPr="00E81E79">
        <w:rPr>
          <w:sz w:val="24"/>
          <w:szCs w:val="24"/>
        </w:rPr>
        <w:t xml:space="preserve"> eller ACE-</w:t>
      </w:r>
      <w:proofErr w:type="spellStart"/>
      <w:r w:rsidRPr="00E81E79">
        <w:rPr>
          <w:sz w:val="24"/>
          <w:szCs w:val="24"/>
        </w:rPr>
        <w:t>hæmmere</w:t>
      </w:r>
      <w:proofErr w:type="spellEnd"/>
      <w:r w:rsidRPr="00E81E79">
        <w:rPr>
          <w:sz w:val="24"/>
          <w:szCs w:val="24"/>
        </w:rPr>
        <w:t xml:space="preserve"> (se pkt. 4.5). Behandlingen bør følges med hyppig bestemmelse af serumkalium.</w:t>
      </w:r>
    </w:p>
    <w:p w14:paraId="0E00C943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4F35C80F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Indeholder </w:t>
      </w:r>
      <w:proofErr w:type="spellStart"/>
      <w:r w:rsidRPr="00E81E79">
        <w:rPr>
          <w:sz w:val="24"/>
          <w:szCs w:val="24"/>
        </w:rPr>
        <w:t>methylparahydroxybenzoat</w:t>
      </w:r>
      <w:proofErr w:type="spellEnd"/>
      <w:r w:rsidRPr="00E81E79">
        <w:rPr>
          <w:sz w:val="24"/>
          <w:szCs w:val="24"/>
        </w:rPr>
        <w:t xml:space="preserve"> (E218) og </w:t>
      </w:r>
      <w:proofErr w:type="spellStart"/>
      <w:r w:rsidRPr="00E81E79">
        <w:rPr>
          <w:sz w:val="24"/>
          <w:szCs w:val="24"/>
        </w:rPr>
        <w:t>propylparahydroxybenzoat</w:t>
      </w:r>
      <w:proofErr w:type="spellEnd"/>
      <w:r w:rsidRPr="00E81E79">
        <w:rPr>
          <w:sz w:val="24"/>
          <w:szCs w:val="24"/>
        </w:rPr>
        <w:t xml:space="preserve"> (E216), der kan give allergiske reaktioner.</w:t>
      </w:r>
    </w:p>
    <w:p w14:paraId="5D48D48B" w14:textId="77777777" w:rsidR="002A35EE" w:rsidRPr="00E81E79" w:rsidRDefault="002A35EE" w:rsidP="002A6324">
      <w:pPr>
        <w:ind w:left="851"/>
        <w:rPr>
          <w:bCs/>
          <w:sz w:val="24"/>
          <w:szCs w:val="24"/>
        </w:rPr>
      </w:pPr>
    </w:p>
    <w:p w14:paraId="4E0EC451" w14:textId="77777777" w:rsidR="002A35EE" w:rsidRPr="00E81E79" w:rsidRDefault="002A35EE" w:rsidP="002A6324">
      <w:pPr>
        <w:ind w:left="851"/>
        <w:rPr>
          <w:bCs/>
          <w:sz w:val="24"/>
          <w:szCs w:val="24"/>
        </w:rPr>
      </w:pPr>
      <w:r w:rsidRPr="00E81E79">
        <w:rPr>
          <w:bCs/>
          <w:sz w:val="24"/>
          <w:szCs w:val="24"/>
        </w:rPr>
        <w:t>Indeholder propylenglycol:</w:t>
      </w:r>
    </w:p>
    <w:p w14:paraId="278E3FE1" w14:textId="77777777" w:rsidR="002A35EE" w:rsidRPr="00E81E79" w:rsidRDefault="002A35EE" w:rsidP="002A6324">
      <w:pPr>
        <w:ind w:left="851"/>
        <w:rPr>
          <w:bCs/>
          <w:sz w:val="24"/>
          <w:szCs w:val="24"/>
        </w:rPr>
      </w:pPr>
      <w:r w:rsidRPr="00E81E79">
        <w:rPr>
          <w:bCs/>
          <w:sz w:val="24"/>
          <w:szCs w:val="24"/>
        </w:rPr>
        <w:t>Dette lægemiddel indeholder 0,8 mg propylenglycol pr. ml.</w:t>
      </w:r>
    </w:p>
    <w:p w14:paraId="17355629" w14:textId="77777777" w:rsidR="002A35EE" w:rsidRPr="00E81E79" w:rsidRDefault="002A35EE" w:rsidP="002A6324">
      <w:pPr>
        <w:ind w:left="851"/>
        <w:rPr>
          <w:bCs/>
          <w:sz w:val="24"/>
          <w:szCs w:val="24"/>
        </w:rPr>
      </w:pPr>
    </w:p>
    <w:p w14:paraId="743717F1" w14:textId="77777777" w:rsidR="002A35EE" w:rsidRPr="00E81E79" w:rsidRDefault="002A35EE" w:rsidP="002A6324">
      <w:pPr>
        <w:ind w:left="851"/>
        <w:rPr>
          <w:bCs/>
          <w:sz w:val="24"/>
          <w:szCs w:val="24"/>
        </w:rPr>
      </w:pPr>
      <w:r w:rsidRPr="00E81E79">
        <w:rPr>
          <w:bCs/>
          <w:sz w:val="24"/>
          <w:szCs w:val="24"/>
        </w:rPr>
        <w:t xml:space="preserve">Indeholder </w:t>
      </w:r>
      <w:proofErr w:type="spellStart"/>
      <w:r w:rsidRPr="00E81E79">
        <w:rPr>
          <w:bCs/>
          <w:sz w:val="24"/>
          <w:szCs w:val="24"/>
        </w:rPr>
        <w:t>glucose</w:t>
      </w:r>
      <w:proofErr w:type="spellEnd"/>
      <w:r w:rsidRPr="00E81E79">
        <w:rPr>
          <w:bCs/>
          <w:sz w:val="24"/>
          <w:szCs w:val="24"/>
        </w:rPr>
        <w:t xml:space="preserve"> og </w:t>
      </w:r>
      <w:proofErr w:type="spellStart"/>
      <w:r w:rsidRPr="00E81E79">
        <w:rPr>
          <w:bCs/>
          <w:sz w:val="24"/>
          <w:szCs w:val="24"/>
        </w:rPr>
        <w:t>saccharose</w:t>
      </w:r>
      <w:proofErr w:type="spellEnd"/>
      <w:r w:rsidRPr="00E81E79">
        <w:rPr>
          <w:bCs/>
          <w:sz w:val="24"/>
          <w:szCs w:val="24"/>
        </w:rPr>
        <w:t>:</w:t>
      </w:r>
    </w:p>
    <w:p w14:paraId="009E6979" w14:textId="77777777" w:rsidR="002A35EE" w:rsidRPr="00E81E79" w:rsidRDefault="002A35EE" w:rsidP="002A6324">
      <w:pPr>
        <w:ind w:left="851"/>
        <w:rPr>
          <w:bCs/>
          <w:sz w:val="24"/>
          <w:szCs w:val="24"/>
        </w:rPr>
      </w:pPr>
      <w:r w:rsidRPr="00E81E79">
        <w:rPr>
          <w:bCs/>
          <w:sz w:val="24"/>
          <w:szCs w:val="24"/>
        </w:rPr>
        <w:t xml:space="preserve">Bør ikke anvendes til patienter med </w:t>
      </w:r>
      <w:proofErr w:type="spellStart"/>
      <w:r w:rsidRPr="00E81E79">
        <w:rPr>
          <w:bCs/>
          <w:sz w:val="24"/>
          <w:szCs w:val="24"/>
        </w:rPr>
        <w:t>glucose</w:t>
      </w:r>
      <w:proofErr w:type="spellEnd"/>
      <w:r w:rsidRPr="00E81E79">
        <w:rPr>
          <w:bCs/>
          <w:sz w:val="24"/>
          <w:szCs w:val="24"/>
        </w:rPr>
        <w:t>/</w:t>
      </w:r>
      <w:proofErr w:type="spellStart"/>
      <w:r w:rsidRPr="00E81E79">
        <w:rPr>
          <w:bCs/>
          <w:sz w:val="24"/>
          <w:szCs w:val="24"/>
        </w:rPr>
        <w:t>galactosemalabsorption</w:t>
      </w:r>
      <w:proofErr w:type="spellEnd"/>
      <w:r w:rsidRPr="00E81E79">
        <w:rPr>
          <w:bCs/>
          <w:sz w:val="24"/>
          <w:szCs w:val="24"/>
        </w:rPr>
        <w:t xml:space="preserve">, hereditær </w:t>
      </w:r>
      <w:proofErr w:type="spellStart"/>
      <w:r w:rsidRPr="00E81E79">
        <w:rPr>
          <w:bCs/>
          <w:sz w:val="24"/>
          <w:szCs w:val="24"/>
        </w:rPr>
        <w:t>fructoseintolerans</w:t>
      </w:r>
      <w:proofErr w:type="spellEnd"/>
      <w:r w:rsidRPr="00E81E79">
        <w:rPr>
          <w:bCs/>
          <w:sz w:val="24"/>
          <w:szCs w:val="24"/>
        </w:rPr>
        <w:t xml:space="preserve"> og </w:t>
      </w:r>
      <w:proofErr w:type="spellStart"/>
      <w:r w:rsidRPr="00E81E79">
        <w:rPr>
          <w:bCs/>
          <w:sz w:val="24"/>
          <w:szCs w:val="24"/>
        </w:rPr>
        <w:t>sucraseisomaltasemangel</w:t>
      </w:r>
      <w:proofErr w:type="spellEnd"/>
      <w:r w:rsidRPr="00E81E79">
        <w:rPr>
          <w:bCs/>
          <w:sz w:val="24"/>
          <w:szCs w:val="24"/>
        </w:rPr>
        <w:t>.</w:t>
      </w:r>
    </w:p>
    <w:p w14:paraId="5840F03E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4E4D5796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Indeholder </w:t>
      </w:r>
      <w:proofErr w:type="spellStart"/>
      <w:r w:rsidRPr="00E81E79">
        <w:rPr>
          <w:sz w:val="24"/>
          <w:szCs w:val="24"/>
        </w:rPr>
        <w:t>ethanol</w:t>
      </w:r>
      <w:proofErr w:type="spellEnd"/>
      <w:r w:rsidRPr="00E81E79">
        <w:rPr>
          <w:sz w:val="24"/>
          <w:szCs w:val="24"/>
        </w:rPr>
        <w:t xml:space="preserve">: </w:t>
      </w:r>
    </w:p>
    <w:p w14:paraId="0825EB5D" w14:textId="016332D2" w:rsidR="002A35EE" w:rsidRPr="00E81E79" w:rsidRDefault="002A35EE" w:rsidP="002A6324">
      <w:pPr>
        <w:ind w:left="851"/>
        <w:rPr>
          <w:sz w:val="24"/>
          <w:szCs w:val="24"/>
        </w:rPr>
      </w:pP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bør på grund af indholdet af </w:t>
      </w:r>
      <w:proofErr w:type="spellStart"/>
      <w:r w:rsidRPr="00E81E79">
        <w:rPr>
          <w:sz w:val="24"/>
          <w:szCs w:val="24"/>
        </w:rPr>
        <w:t>ethanol</w:t>
      </w:r>
      <w:proofErr w:type="spellEnd"/>
      <w:r w:rsidRPr="00E81E79">
        <w:rPr>
          <w:sz w:val="24"/>
          <w:szCs w:val="24"/>
        </w:rPr>
        <w:t xml:space="preserve"> ikke anvendes ved samtidig behandling med </w:t>
      </w:r>
      <w:proofErr w:type="spellStart"/>
      <w:r w:rsidRPr="00E81E79">
        <w:rPr>
          <w:sz w:val="24"/>
          <w:szCs w:val="24"/>
        </w:rPr>
        <w:t>disulfiram</w:t>
      </w:r>
      <w:proofErr w:type="spellEnd"/>
      <w:r w:rsidRPr="00E81E79">
        <w:rPr>
          <w:sz w:val="24"/>
          <w:szCs w:val="24"/>
        </w:rPr>
        <w:t xml:space="preserve"> eller </w:t>
      </w:r>
      <w:proofErr w:type="spellStart"/>
      <w:r w:rsidRPr="00E81E79">
        <w:rPr>
          <w:sz w:val="24"/>
          <w:szCs w:val="24"/>
        </w:rPr>
        <w:t>metronidazol</w:t>
      </w:r>
      <w:proofErr w:type="spellEnd"/>
      <w:r w:rsidRPr="00E81E79">
        <w:rPr>
          <w:sz w:val="24"/>
          <w:szCs w:val="24"/>
        </w:rPr>
        <w:t xml:space="preserve"> (se pkt. 4.5). Dette lægemiddel indeholder 18 mg alkohol (</w:t>
      </w:r>
      <w:proofErr w:type="spellStart"/>
      <w:r w:rsidRPr="00E81E79">
        <w:rPr>
          <w:sz w:val="24"/>
          <w:szCs w:val="24"/>
        </w:rPr>
        <w:t>ethanol</w:t>
      </w:r>
      <w:proofErr w:type="spellEnd"/>
      <w:r w:rsidRPr="00E81E79">
        <w:rPr>
          <w:sz w:val="24"/>
          <w:szCs w:val="24"/>
        </w:rPr>
        <w:t>) pr. dosis (20 ml). Mængden i 20 ml af dette lægemiddel svarer til mindre end 1 ml øl eller mindre end 1 ml vin. Den mindre mængde alkohol i dette lægemiddel vil ikke have nogen nævneværdig effekt.</w:t>
      </w:r>
    </w:p>
    <w:p w14:paraId="48A4385B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12C636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4.5</w:t>
      </w:r>
      <w:r w:rsidRPr="00E81E79">
        <w:rPr>
          <w:b/>
          <w:sz w:val="24"/>
          <w:szCs w:val="24"/>
        </w:rPr>
        <w:tab/>
        <w:t>Interaktion med andre lægemidler og andre former for interaktion</w:t>
      </w:r>
    </w:p>
    <w:p w14:paraId="39E74A78" w14:textId="77777777" w:rsidR="002A35EE" w:rsidRPr="00E81E79" w:rsidRDefault="002A35EE" w:rsidP="002A6324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Samtidig behandling med følgende lægemidler er forbundet med øget risiko for </w:t>
      </w:r>
      <w:proofErr w:type="spellStart"/>
      <w:r w:rsidRPr="00E81E79">
        <w:rPr>
          <w:sz w:val="24"/>
          <w:szCs w:val="24"/>
        </w:rPr>
        <w:t>hyperkaliæmi</w:t>
      </w:r>
      <w:proofErr w:type="spellEnd"/>
      <w:r w:rsidRPr="00E81E79">
        <w:rPr>
          <w:sz w:val="24"/>
          <w:szCs w:val="24"/>
        </w:rPr>
        <w:t xml:space="preserve"> (se pkt. 4.4):</w:t>
      </w:r>
    </w:p>
    <w:p w14:paraId="79209DF4" w14:textId="77777777" w:rsidR="002A35EE" w:rsidRPr="00E81E79" w:rsidRDefault="002A35EE" w:rsidP="002A6324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r w:rsidRPr="00E81E79">
        <w:rPr>
          <w:szCs w:val="24"/>
        </w:rPr>
        <w:t>ACE-</w:t>
      </w:r>
      <w:proofErr w:type="spellStart"/>
      <w:r w:rsidRPr="00E81E79">
        <w:rPr>
          <w:szCs w:val="24"/>
        </w:rPr>
        <w:t>hæmmere</w:t>
      </w:r>
      <w:proofErr w:type="spellEnd"/>
    </w:p>
    <w:p w14:paraId="73589AF7" w14:textId="77777777" w:rsidR="002A35EE" w:rsidRPr="00E81E79" w:rsidRDefault="002A35EE" w:rsidP="002A6324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proofErr w:type="spellStart"/>
      <w:r w:rsidRPr="00E81E79">
        <w:rPr>
          <w:szCs w:val="24"/>
        </w:rPr>
        <w:t>angiotensin</w:t>
      </w:r>
      <w:proofErr w:type="spellEnd"/>
      <w:r w:rsidRPr="00E81E79">
        <w:rPr>
          <w:szCs w:val="24"/>
        </w:rPr>
        <w:t>-II-receptorantagonister</w:t>
      </w:r>
    </w:p>
    <w:p w14:paraId="293DE35A" w14:textId="77777777" w:rsidR="002A35EE" w:rsidRPr="00E81E79" w:rsidRDefault="002A35EE" w:rsidP="002A6324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r w:rsidRPr="00E81E79">
        <w:rPr>
          <w:szCs w:val="24"/>
        </w:rPr>
        <w:t xml:space="preserve">kaliumbesparende </w:t>
      </w:r>
      <w:proofErr w:type="spellStart"/>
      <w:r w:rsidRPr="00E81E79">
        <w:rPr>
          <w:szCs w:val="24"/>
        </w:rPr>
        <w:t>diuretika</w:t>
      </w:r>
      <w:proofErr w:type="spellEnd"/>
    </w:p>
    <w:p w14:paraId="4647C3A5" w14:textId="77777777" w:rsidR="002A35EE" w:rsidRPr="00E81E79" w:rsidRDefault="002A35EE" w:rsidP="002A6324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proofErr w:type="spellStart"/>
      <w:r w:rsidRPr="00E81E79">
        <w:rPr>
          <w:szCs w:val="24"/>
        </w:rPr>
        <w:t>digoxin</w:t>
      </w:r>
      <w:proofErr w:type="spellEnd"/>
    </w:p>
    <w:p w14:paraId="4A296383" w14:textId="77777777" w:rsidR="002A35EE" w:rsidRPr="00E81E79" w:rsidRDefault="002A35EE" w:rsidP="002A6324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proofErr w:type="spellStart"/>
      <w:r w:rsidRPr="00E81E79">
        <w:rPr>
          <w:szCs w:val="24"/>
        </w:rPr>
        <w:t>NSAIDs</w:t>
      </w:r>
      <w:proofErr w:type="spellEnd"/>
    </w:p>
    <w:p w14:paraId="30DB78E0" w14:textId="77777777" w:rsidR="002A35EE" w:rsidRPr="00E81E79" w:rsidRDefault="002A35EE" w:rsidP="002A6324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proofErr w:type="spellStart"/>
      <w:r w:rsidRPr="00E81E79">
        <w:rPr>
          <w:szCs w:val="24"/>
        </w:rPr>
        <w:t>tacrolimus</w:t>
      </w:r>
      <w:proofErr w:type="spellEnd"/>
      <w:r w:rsidRPr="00E81E79">
        <w:rPr>
          <w:szCs w:val="24"/>
        </w:rPr>
        <w:t>.</w:t>
      </w:r>
    </w:p>
    <w:p w14:paraId="6EB8EC82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47562DD7" w14:textId="623C5B2A" w:rsidR="002A35EE" w:rsidRPr="00E81E79" w:rsidRDefault="002A35EE" w:rsidP="002A6324">
      <w:pPr>
        <w:ind w:left="851"/>
        <w:rPr>
          <w:sz w:val="24"/>
          <w:szCs w:val="24"/>
        </w:rPr>
      </w:pP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indeholder </w:t>
      </w:r>
      <w:proofErr w:type="spellStart"/>
      <w:r w:rsidRPr="00E81E79">
        <w:rPr>
          <w:sz w:val="24"/>
          <w:szCs w:val="24"/>
        </w:rPr>
        <w:t>ethanol</w:t>
      </w:r>
      <w:proofErr w:type="spellEnd"/>
      <w:r w:rsidRPr="00E81E79">
        <w:rPr>
          <w:sz w:val="24"/>
          <w:szCs w:val="24"/>
        </w:rPr>
        <w:t xml:space="preserve"> (se pkt. 4.4).</w:t>
      </w:r>
    </w:p>
    <w:p w14:paraId="50295943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Samtidig behandling med </w:t>
      </w:r>
      <w:proofErr w:type="spellStart"/>
      <w:r w:rsidRPr="00E81E79">
        <w:rPr>
          <w:sz w:val="24"/>
          <w:szCs w:val="24"/>
        </w:rPr>
        <w:t>disulfiram</w:t>
      </w:r>
      <w:proofErr w:type="spellEnd"/>
      <w:r w:rsidRPr="00E81E79">
        <w:rPr>
          <w:sz w:val="24"/>
          <w:szCs w:val="24"/>
        </w:rPr>
        <w:t xml:space="preserve"> eller </w:t>
      </w:r>
      <w:proofErr w:type="spellStart"/>
      <w:r w:rsidRPr="00E81E79">
        <w:rPr>
          <w:sz w:val="24"/>
          <w:szCs w:val="24"/>
        </w:rPr>
        <w:t>metronidazol</w:t>
      </w:r>
      <w:proofErr w:type="spellEnd"/>
      <w:r w:rsidRPr="00E81E79">
        <w:rPr>
          <w:sz w:val="24"/>
          <w:szCs w:val="24"/>
        </w:rPr>
        <w:t xml:space="preserve"> bør på grund af indholdet af </w:t>
      </w:r>
      <w:proofErr w:type="spellStart"/>
      <w:r w:rsidRPr="00E81E79">
        <w:rPr>
          <w:sz w:val="24"/>
          <w:szCs w:val="24"/>
        </w:rPr>
        <w:t>ethanol</w:t>
      </w:r>
      <w:proofErr w:type="spellEnd"/>
      <w:r w:rsidRPr="00E81E79">
        <w:rPr>
          <w:sz w:val="24"/>
          <w:szCs w:val="24"/>
        </w:rPr>
        <w:t xml:space="preserve"> ikke anvendes.</w:t>
      </w:r>
    </w:p>
    <w:p w14:paraId="4A7C70E4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03AC6D" w14:textId="147183CB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4.6</w:t>
      </w:r>
      <w:r w:rsidRPr="00E81E79">
        <w:rPr>
          <w:b/>
          <w:sz w:val="24"/>
          <w:szCs w:val="24"/>
        </w:rPr>
        <w:tab/>
      </w:r>
      <w:r w:rsidR="004842A7">
        <w:rPr>
          <w:b/>
          <w:sz w:val="24"/>
          <w:szCs w:val="24"/>
        </w:rPr>
        <w:t>Fertilitet, g</w:t>
      </w:r>
      <w:r w:rsidRPr="00E81E79">
        <w:rPr>
          <w:b/>
          <w:sz w:val="24"/>
          <w:szCs w:val="24"/>
        </w:rPr>
        <w:t>raviditet og amning</w:t>
      </w:r>
    </w:p>
    <w:p w14:paraId="46C939A2" w14:textId="77777777" w:rsidR="00752EAA" w:rsidRDefault="00752EAA" w:rsidP="002A6324">
      <w:pPr>
        <w:ind w:left="851"/>
        <w:rPr>
          <w:sz w:val="24"/>
          <w:szCs w:val="24"/>
        </w:rPr>
      </w:pPr>
    </w:p>
    <w:p w14:paraId="4B7A3622" w14:textId="11464B74" w:rsidR="002A35EE" w:rsidRPr="00752EAA" w:rsidRDefault="002A35EE" w:rsidP="002A6324">
      <w:pPr>
        <w:ind w:left="851"/>
        <w:rPr>
          <w:spacing w:val="-3"/>
          <w:sz w:val="24"/>
          <w:szCs w:val="24"/>
          <w:u w:val="single"/>
          <w:lang w:eastAsia="da-DK"/>
        </w:rPr>
      </w:pPr>
      <w:r w:rsidRPr="00752EAA">
        <w:rPr>
          <w:sz w:val="24"/>
          <w:szCs w:val="24"/>
          <w:u w:val="single"/>
        </w:rPr>
        <w:t>Graviditet</w:t>
      </w:r>
    </w:p>
    <w:p w14:paraId="2A7BA386" w14:textId="77777777" w:rsidR="002A35EE" w:rsidRPr="00E81E79" w:rsidRDefault="002A35EE" w:rsidP="002A6324">
      <w:pPr>
        <w:ind w:left="851"/>
        <w:rPr>
          <w:noProof/>
          <w:sz w:val="24"/>
          <w:szCs w:val="24"/>
        </w:rPr>
      </w:pPr>
      <w:r w:rsidRPr="00E81E79">
        <w:rPr>
          <w:sz w:val="24"/>
          <w:szCs w:val="24"/>
        </w:rPr>
        <w:t xml:space="preserve">Der er ingen eller utilstrækkelige data fra anvendelse af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til gravide kvinder.</w:t>
      </w:r>
    </w:p>
    <w:p w14:paraId="643D181B" w14:textId="6A64068F" w:rsidR="002A35EE" w:rsidRPr="00E81E79" w:rsidRDefault="002A35EE" w:rsidP="002A6324">
      <w:pPr>
        <w:ind w:left="851"/>
        <w:rPr>
          <w:sz w:val="24"/>
          <w:szCs w:val="24"/>
        </w:rPr>
      </w:pP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bør kun anvendes under graviditet, når de mulige fordele berettiger den mulige risiko.</w:t>
      </w:r>
    </w:p>
    <w:p w14:paraId="16D2A824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2A8928DF" w14:textId="50C94A47" w:rsidR="002A35EE" w:rsidRPr="00752EAA" w:rsidRDefault="002A35EE" w:rsidP="002A6324">
      <w:pPr>
        <w:ind w:left="851"/>
        <w:rPr>
          <w:sz w:val="24"/>
          <w:szCs w:val="24"/>
          <w:u w:val="single"/>
        </w:rPr>
      </w:pPr>
      <w:r w:rsidRPr="00752EAA">
        <w:rPr>
          <w:sz w:val="24"/>
          <w:szCs w:val="24"/>
          <w:u w:val="single"/>
        </w:rPr>
        <w:t>Amning</w:t>
      </w:r>
    </w:p>
    <w:p w14:paraId="6AF1CAE6" w14:textId="58E493B2" w:rsidR="002A35EE" w:rsidRPr="00E81E79" w:rsidRDefault="002A35EE" w:rsidP="002A6324">
      <w:pPr>
        <w:ind w:left="851"/>
        <w:rPr>
          <w:noProof/>
          <w:sz w:val="24"/>
          <w:szCs w:val="24"/>
        </w:rPr>
      </w:pPr>
      <w:r w:rsidRPr="00E81E79">
        <w:rPr>
          <w:sz w:val="24"/>
          <w:szCs w:val="24"/>
        </w:rPr>
        <w:t xml:space="preserve">Kalium udskilles i human mælk, men ved terapeutiske doser af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forventes ingen påvirkning på ammede nyfødte/spædbørn.</w:t>
      </w:r>
      <w:r w:rsidRPr="00E81E79">
        <w:rPr>
          <w:noProof/>
          <w:sz w:val="24"/>
          <w:szCs w:val="24"/>
        </w:rPr>
        <w:t xml:space="preserve"> Kaliumchlorid kan anvendes under amning.</w:t>
      </w:r>
    </w:p>
    <w:p w14:paraId="5901DC3A" w14:textId="77777777" w:rsidR="002A35EE" w:rsidRPr="00E81E79" w:rsidRDefault="002A35EE" w:rsidP="002A6324">
      <w:pPr>
        <w:ind w:left="851"/>
        <w:rPr>
          <w:sz w:val="24"/>
          <w:szCs w:val="24"/>
        </w:rPr>
      </w:pPr>
    </w:p>
    <w:p w14:paraId="376A94E2" w14:textId="553354EB" w:rsidR="002A35EE" w:rsidRPr="00752EAA" w:rsidRDefault="002A35EE" w:rsidP="002A6324">
      <w:pPr>
        <w:ind w:left="851"/>
        <w:rPr>
          <w:sz w:val="24"/>
          <w:szCs w:val="24"/>
          <w:u w:val="single"/>
        </w:rPr>
      </w:pPr>
      <w:r w:rsidRPr="00752EAA">
        <w:rPr>
          <w:sz w:val="24"/>
          <w:szCs w:val="24"/>
          <w:u w:val="single"/>
        </w:rPr>
        <w:t>Fertilitet</w:t>
      </w:r>
    </w:p>
    <w:p w14:paraId="0EDE6697" w14:textId="77777777" w:rsidR="002A35EE" w:rsidRPr="00E81E79" w:rsidRDefault="002A35EE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Der foreligger ingen studier med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angående fertilitet.</w:t>
      </w:r>
    </w:p>
    <w:p w14:paraId="50732629" w14:textId="2D4D8E05" w:rsidR="00FC2E68" w:rsidRDefault="00FC2E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4E16B5" w14:textId="77777777" w:rsidR="009260DE" w:rsidRPr="00E81E79" w:rsidRDefault="009260DE" w:rsidP="002A6324">
      <w:pPr>
        <w:ind w:left="851"/>
        <w:rPr>
          <w:sz w:val="24"/>
          <w:szCs w:val="24"/>
        </w:rPr>
      </w:pPr>
    </w:p>
    <w:p w14:paraId="6C8BE4A2" w14:textId="2950EAE4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4.7</w:t>
      </w:r>
      <w:r w:rsidRPr="00E81E79">
        <w:rPr>
          <w:b/>
          <w:sz w:val="24"/>
          <w:szCs w:val="24"/>
        </w:rPr>
        <w:tab/>
        <w:t xml:space="preserve">Virkning på evnen til at føre motorkøretøj </w:t>
      </w:r>
      <w:r w:rsidR="004842A7">
        <w:rPr>
          <w:b/>
          <w:sz w:val="24"/>
          <w:szCs w:val="24"/>
        </w:rPr>
        <w:t>og</w:t>
      </w:r>
      <w:r w:rsidRPr="00E81E79">
        <w:rPr>
          <w:b/>
          <w:sz w:val="24"/>
          <w:szCs w:val="24"/>
        </w:rPr>
        <w:t xml:space="preserve"> betjene maskiner</w:t>
      </w:r>
    </w:p>
    <w:p w14:paraId="59047C37" w14:textId="77777777" w:rsidR="002A6324" w:rsidRPr="00E81E79" w:rsidRDefault="002A6324" w:rsidP="002A6324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Ikke mærkning. </w:t>
      </w:r>
    </w:p>
    <w:p w14:paraId="1C1E21B9" w14:textId="421DA8FB" w:rsidR="002A6324" w:rsidRPr="00E81E79" w:rsidRDefault="002A6324" w:rsidP="002A6324">
      <w:pPr>
        <w:ind w:left="851"/>
        <w:rPr>
          <w:sz w:val="24"/>
          <w:szCs w:val="24"/>
        </w:rPr>
      </w:pP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</w:t>
      </w:r>
      <w:r w:rsidR="00FC2E68">
        <w:rPr>
          <w:sz w:val="24"/>
          <w:szCs w:val="24"/>
        </w:rPr>
        <w:t>"</w:t>
      </w:r>
      <w:proofErr w:type="spellStart"/>
      <w:r w:rsidRPr="00E81E79">
        <w:rPr>
          <w:sz w:val="24"/>
          <w:szCs w:val="24"/>
        </w:rPr>
        <w:t>Orifarm</w:t>
      </w:r>
      <w:proofErr w:type="spellEnd"/>
      <w:r w:rsidR="00FC2E68">
        <w:rPr>
          <w:sz w:val="24"/>
          <w:szCs w:val="24"/>
        </w:rPr>
        <w:t>"</w:t>
      </w:r>
      <w:r w:rsidRPr="00E81E79">
        <w:rPr>
          <w:sz w:val="24"/>
          <w:szCs w:val="24"/>
        </w:rPr>
        <w:t xml:space="preserve"> påvirker ikke eller kun i ubetydelig grad evnen til at føre motorkøretøj og betjene maskiner. </w:t>
      </w:r>
    </w:p>
    <w:p w14:paraId="1BC10BAF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E9EBD3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4.8</w:t>
      </w:r>
      <w:r w:rsidRPr="00E81E79">
        <w:rPr>
          <w:b/>
          <w:sz w:val="24"/>
          <w:szCs w:val="24"/>
        </w:rPr>
        <w:tab/>
        <w:t>Bivirkninger</w:t>
      </w:r>
    </w:p>
    <w:p w14:paraId="6E8C5CEF" w14:textId="77777777" w:rsidR="002A6324" w:rsidRPr="00E81E79" w:rsidRDefault="002A6324" w:rsidP="002A6324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Bivirkninger ses sjældent og omfatter </w:t>
      </w:r>
      <w:proofErr w:type="spellStart"/>
      <w:r w:rsidRPr="00E81E79">
        <w:rPr>
          <w:sz w:val="24"/>
          <w:szCs w:val="24"/>
        </w:rPr>
        <w:t>hyperkaliæmi</w:t>
      </w:r>
      <w:proofErr w:type="spellEnd"/>
      <w:r w:rsidRPr="00E81E79">
        <w:rPr>
          <w:sz w:val="24"/>
          <w:szCs w:val="24"/>
        </w:rPr>
        <w:t>, mavetarm-forstyrrelser og dermatologiske lidelser.</w:t>
      </w:r>
    </w:p>
    <w:p w14:paraId="19D63576" w14:textId="77777777" w:rsidR="002A6324" w:rsidRPr="00E81E79" w:rsidRDefault="002A6324" w:rsidP="002A6324">
      <w:pPr>
        <w:ind w:left="851"/>
        <w:rPr>
          <w:sz w:val="24"/>
          <w:szCs w:val="24"/>
        </w:rPr>
      </w:pPr>
    </w:p>
    <w:tbl>
      <w:tblPr>
        <w:tblW w:w="4580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850"/>
      </w:tblGrid>
      <w:tr w:rsidR="002A6324" w:rsidRPr="00E81E79" w14:paraId="141EEF43" w14:textId="77777777" w:rsidTr="002A6324">
        <w:trPr>
          <w:trHeight w:val="34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46D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b/>
                <w:sz w:val="24"/>
                <w:szCs w:val="24"/>
              </w:rPr>
              <w:t>Blod og lymfesystem</w:t>
            </w:r>
          </w:p>
          <w:p w14:paraId="738F9B27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sz w:val="24"/>
                <w:szCs w:val="24"/>
              </w:rPr>
              <w:t>Meget sjælden (&lt;1/10.000)</w:t>
            </w:r>
          </w:p>
          <w:p w14:paraId="67401409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AA0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5C31C18B" w14:textId="77777777" w:rsidR="002A6324" w:rsidRPr="00E81E79" w:rsidRDefault="002A6324">
            <w:pPr>
              <w:tabs>
                <w:tab w:val="left" w:pos="567"/>
              </w:tabs>
              <w:rPr>
                <w:spacing w:val="-3"/>
                <w:sz w:val="24"/>
                <w:szCs w:val="24"/>
              </w:rPr>
            </w:pPr>
            <w:r w:rsidRPr="00E81E79">
              <w:rPr>
                <w:spacing w:val="-3"/>
                <w:sz w:val="24"/>
                <w:szCs w:val="24"/>
              </w:rPr>
              <w:t>Hæmatologiske forstyrrelser, der påvirker leukocytterne (</w:t>
            </w:r>
            <w:proofErr w:type="spellStart"/>
            <w:r w:rsidRPr="00E81E79">
              <w:rPr>
                <w:spacing w:val="-3"/>
                <w:sz w:val="24"/>
                <w:szCs w:val="24"/>
              </w:rPr>
              <w:t>leukopeni</w:t>
            </w:r>
            <w:proofErr w:type="spellEnd"/>
            <w:r w:rsidRPr="00E81E79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81E79">
              <w:rPr>
                <w:spacing w:val="-3"/>
                <w:sz w:val="24"/>
                <w:szCs w:val="24"/>
              </w:rPr>
              <w:t>neutropeni</w:t>
            </w:r>
            <w:proofErr w:type="spellEnd"/>
            <w:r w:rsidRPr="00E81E79">
              <w:rPr>
                <w:spacing w:val="-3"/>
                <w:sz w:val="24"/>
                <w:szCs w:val="24"/>
              </w:rPr>
              <w:t xml:space="preserve"> og </w:t>
            </w:r>
            <w:proofErr w:type="spellStart"/>
            <w:r w:rsidRPr="00E81E79">
              <w:rPr>
                <w:spacing w:val="-3"/>
                <w:sz w:val="24"/>
                <w:szCs w:val="24"/>
              </w:rPr>
              <w:t>agranulocytose</w:t>
            </w:r>
            <w:proofErr w:type="spellEnd"/>
            <w:r w:rsidRPr="00E81E79">
              <w:rPr>
                <w:spacing w:val="-3"/>
                <w:sz w:val="24"/>
                <w:szCs w:val="24"/>
              </w:rPr>
              <w:t xml:space="preserve">), </w:t>
            </w:r>
            <w:proofErr w:type="spellStart"/>
            <w:r w:rsidRPr="00E81E79">
              <w:rPr>
                <w:spacing w:val="-3"/>
                <w:sz w:val="24"/>
                <w:szCs w:val="24"/>
              </w:rPr>
              <w:t>trombocytopeni</w:t>
            </w:r>
            <w:proofErr w:type="spellEnd"/>
            <w:r w:rsidRPr="00E81E79">
              <w:rPr>
                <w:spacing w:val="-3"/>
                <w:sz w:val="24"/>
                <w:szCs w:val="24"/>
              </w:rPr>
              <w:t>.</w:t>
            </w:r>
          </w:p>
          <w:p w14:paraId="7BDACE07" w14:textId="77777777" w:rsidR="002A6324" w:rsidRPr="00E81E79" w:rsidRDefault="002A6324">
            <w:pPr>
              <w:tabs>
                <w:tab w:val="left" w:pos="567"/>
              </w:tabs>
              <w:rPr>
                <w:spacing w:val="-3"/>
                <w:sz w:val="24"/>
                <w:szCs w:val="24"/>
              </w:rPr>
            </w:pPr>
          </w:p>
        </w:tc>
      </w:tr>
      <w:tr w:rsidR="002A6324" w:rsidRPr="00E81E79" w14:paraId="56143916" w14:textId="77777777" w:rsidTr="002A6324">
        <w:trPr>
          <w:trHeight w:val="34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59D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b/>
                <w:sz w:val="24"/>
                <w:szCs w:val="24"/>
              </w:rPr>
              <w:t>Metabolisme og ernæring</w:t>
            </w:r>
          </w:p>
          <w:p w14:paraId="46F16B52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sz w:val="24"/>
                <w:szCs w:val="24"/>
              </w:rPr>
              <w:t>Ikke almindelig (≥1/1.000 til &lt; 1/100)</w:t>
            </w:r>
          </w:p>
          <w:p w14:paraId="36AF06FA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BA9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4B3F03E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81E79">
              <w:rPr>
                <w:sz w:val="24"/>
                <w:szCs w:val="24"/>
              </w:rPr>
              <w:t>Hyperkaliæmi</w:t>
            </w:r>
            <w:proofErr w:type="spellEnd"/>
            <w:r w:rsidRPr="00E81E79">
              <w:rPr>
                <w:sz w:val="24"/>
                <w:szCs w:val="24"/>
              </w:rPr>
              <w:t>.</w:t>
            </w:r>
          </w:p>
        </w:tc>
      </w:tr>
      <w:tr w:rsidR="002A6324" w:rsidRPr="00E81E79" w14:paraId="08D9EC1B" w14:textId="77777777" w:rsidTr="002A6324">
        <w:trPr>
          <w:trHeight w:val="34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488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b/>
                <w:sz w:val="24"/>
                <w:szCs w:val="24"/>
              </w:rPr>
              <w:t>Mave-tarm-kanalen</w:t>
            </w:r>
          </w:p>
          <w:p w14:paraId="6457E2B1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sz w:val="24"/>
                <w:szCs w:val="24"/>
              </w:rPr>
              <w:t>Sjælden - meget sjælden (≥1/10.000 til &lt;1/10.000)</w:t>
            </w:r>
          </w:p>
          <w:p w14:paraId="1AA07F9D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F50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EF13928" w14:textId="77777777" w:rsidR="002A6324" w:rsidRPr="00E81E79" w:rsidRDefault="002A6324">
            <w:pPr>
              <w:tabs>
                <w:tab w:val="left" w:pos="567"/>
              </w:tabs>
              <w:rPr>
                <w:spacing w:val="-3"/>
                <w:sz w:val="24"/>
                <w:szCs w:val="24"/>
              </w:rPr>
            </w:pPr>
            <w:r w:rsidRPr="00E81E79">
              <w:rPr>
                <w:spacing w:val="-3"/>
                <w:sz w:val="24"/>
                <w:szCs w:val="24"/>
              </w:rPr>
              <w:t xml:space="preserve">Kvalme, opkastninger, mavesmerter, mavekramper, </w:t>
            </w:r>
            <w:proofErr w:type="spellStart"/>
            <w:r w:rsidRPr="00E81E79">
              <w:rPr>
                <w:spacing w:val="-3"/>
                <w:sz w:val="24"/>
                <w:szCs w:val="24"/>
              </w:rPr>
              <w:t>flatulens</w:t>
            </w:r>
            <w:proofErr w:type="spellEnd"/>
            <w:r w:rsidRPr="00E81E79">
              <w:rPr>
                <w:spacing w:val="-3"/>
                <w:sz w:val="24"/>
                <w:szCs w:val="24"/>
              </w:rPr>
              <w:t xml:space="preserve">, diarré, </w:t>
            </w:r>
            <w:proofErr w:type="spellStart"/>
            <w:r w:rsidRPr="00E81E79">
              <w:rPr>
                <w:spacing w:val="-3"/>
                <w:sz w:val="24"/>
                <w:szCs w:val="24"/>
              </w:rPr>
              <w:t>ulcerationer</w:t>
            </w:r>
            <w:proofErr w:type="spellEnd"/>
            <w:r w:rsidRPr="00E81E79">
              <w:rPr>
                <w:spacing w:val="-3"/>
                <w:sz w:val="24"/>
                <w:szCs w:val="24"/>
              </w:rPr>
              <w:t>, tarmperforation.</w:t>
            </w:r>
          </w:p>
          <w:p w14:paraId="072A9D1C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2A6324" w:rsidRPr="00E81E79" w14:paraId="456103A3" w14:textId="77777777" w:rsidTr="002A6324">
        <w:trPr>
          <w:trHeight w:val="34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C60" w14:textId="77777777" w:rsidR="002A6324" w:rsidRPr="00E81E79" w:rsidRDefault="002A6324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E81E79">
              <w:rPr>
                <w:b/>
                <w:sz w:val="24"/>
                <w:szCs w:val="24"/>
              </w:rPr>
              <w:t>Hud og subkutane væv</w:t>
            </w:r>
          </w:p>
          <w:p w14:paraId="54A16AED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81E79">
              <w:rPr>
                <w:sz w:val="24"/>
                <w:szCs w:val="24"/>
              </w:rPr>
              <w:t>Sjælden - meget sjælden (≥1/10.000 til &lt;1/10.000)</w:t>
            </w:r>
          </w:p>
          <w:p w14:paraId="4F8FEDF3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3AC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579EE9DD" w14:textId="77777777" w:rsidR="002A6324" w:rsidRPr="00E81E79" w:rsidRDefault="002A6324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81E79">
              <w:rPr>
                <w:sz w:val="24"/>
                <w:szCs w:val="24"/>
              </w:rPr>
              <w:t>Pruritus</w:t>
            </w:r>
            <w:proofErr w:type="spellEnd"/>
            <w:r w:rsidRPr="00E81E79">
              <w:rPr>
                <w:sz w:val="24"/>
                <w:szCs w:val="24"/>
              </w:rPr>
              <w:t xml:space="preserve">, </w:t>
            </w:r>
            <w:proofErr w:type="spellStart"/>
            <w:r w:rsidRPr="00E81E79">
              <w:rPr>
                <w:sz w:val="24"/>
                <w:szCs w:val="24"/>
              </w:rPr>
              <w:t>eksantem</w:t>
            </w:r>
            <w:proofErr w:type="spellEnd"/>
            <w:r w:rsidRPr="00E81E79">
              <w:rPr>
                <w:sz w:val="24"/>
                <w:szCs w:val="24"/>
              </w:rPr>
              <w:t xml:space="preserve">, </w:t>
            </w:r>
            <w:proofErr w:type="spellStart"/>
            <w:r w:rsidRPr="00E81E79">
              <w:rPr>
                <w:sz w:val="24"/>
                <w:szCs w:val="24"/>
              </w:rPr>
              <w:t>urticaria</w:t>
            </w:r>
            <w:proofErr w:type="spellEnd"/>
            <w:r w:rsidRPr="00E81E79">
              <w:rPr>
                <w:sz w:val="24"/>
                <w:szCs w:val="24"/>
              </w:rPr>
              <w:t>.</w:t>
            </w:r>
          </w:p>
          <w:p w14:paraId="067EB135" w14:textId="77777777" w:rsidR="002A6324" w:rsidRPr="00E81E79" w:rsidRDefault="002A6324">
            <w:pPr>
              <w:tabs>
                <w:tab w:val="left" w:pos="0"/>
                <w:tab w:val="left" w:pos="567"/>
              </w:tabs>
              <w:ind w:left="-70"/>
              <w:rPr>
                <w:sz w:val="24"/>
                <w:szCs w:val="24"/>
              </w:rPr>
            </w:pPr>
          </w:p>
        </w:tc>
      </w:tr>
    </w:tbl>
    <w:p w14:paraId="35D565B3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</w:p>
    <w:p w14:paraId="56AB4391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81E79">
        <w:rPr>
          <w:sz w:val="24"/>
          <w:szCs w:val="24"/>
          <w:u w:val="single"/>
        </w:rPr>
        <w:t>Indberetning af formodede bivirkninger</w:t>
      </w:r>
    </w:p>
    <w:p w14:paraId="034BECB8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81E79">
        <w:rPr>
          <w:sz w:val="24"/>
          <w:szCs w:val="24"/>
        </w:rPr>
        <w:t>risk</w:t>
      </w:r>
      <w:proofErr w:type="spellEnd"/>
      <w:r w:rsidRPr="00E81E79">
        <w:rPr>
          <w:sz w:val="24"/>
          <w:szCs w:val="24"/>
        </w:rPr>
        <w:t>-forholdet for lægemidlet. Sundhedspersoner anmodes om at indberette alle formodede bivirkninger via:</w:t>
      </w:r>
    </w:p>
    <w:p w14:paraId="12C4F68F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</w:p>
    <w:p w14:paraId="293389C5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Lægemiddelstyrelsen</w:t>
      </w:r>
    </w:p>
    <w:p w14:paraId="39390F6D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Axel Heides Gade 1</w:t>
      </w:r>
      <w:bookmarkStart w:id="0" w:name="_GoBack"/>
      <w:bookmarkEnd w:id="0"/>
    </w:p>
    <w:p w14:paraId="5D119FAA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DK-2300 København S</w:t>
      </w:r>
    </w:p>
    <w:p w14:paraId="08271926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Websted: www.meldenbivirkning.dk</w:t>
      </w:r>
    </w:p>
    <w:p w14:paraId="23A43E69" w14:textId="77777777" w:rsidR="009260DE" w:rsidRPr="00E81E79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EFB0F3E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4.9</w:t>
      </w:r>
      <w:r w:rsidRPr="00E81E79">
        <w:rPr>
          <w:b/>
          <w:sz w:val="24"/>
          <w:szCs w:val="24"/>
        </w:rPr>
        <w:tab/>
        <w:t>Overdosering</w:t>
      </w:r>
    </w:p>
    <w:p w14:paraId="356DA959" w14:textId="77777777" w:rsidR="002A6324" w:rsidRPr="00E81E79" w:rsidRDefault="002A6324" w:rsidP="002A6324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Overdosering af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 xml:space="preserve"> fører til udvikling af </w:t>
      </w:r>
      <w:proofErr w:type="spellStart"/>
      <w:r w:rsidRPr="00E81E79">
        <w:rPr>
          <w:sz w:val="24"/>
          <w:szCs w:val="24"/>
        </w:rPr>
        <w:t>hyperkaliæmi</w:t>
      </w:r>
      <w:proofErr w:type="spellEnd"/>
      <w:r w:rsidRPr="00E81E79">
        <w:rPr>
          <w:sz w:val="24"/>
          <w:szCs w:val="24"/>
        </w:rPr>
        <w:t xml:space="preserve">, især hos patienter med nedsat nyrefunktion. Symptomerne inkluderer slaphed, mental forvirring, </w:t>
      </w:r>
      <w:proofErr w:type="spellStart"/>
      <w:r w:rsidRPr="00E81E79">
        <w:rPr>
          <w:sz w:val="24"/>
          <w:szCs w:val="24"/>
        </w:rPr>
        <w:t>paræstesi</w:t>
      </w:r>
      <w:proofErr w:type="spellEnd"/>
      <w:r w:rsidRPr="00E81E79">
        <w:rPr>
          <w:sz w:val="24"/>
          <w:szCs w:val="24"/>
        </w:rPr>
        <w:t xml:space="preserve"> af ekstremiteterne, muskelsvaghed, lammelse, hypotension, </w:t>
      </w:r>
      <w:proofErr w:type="spellStart"/>
      <w:r w:rsidRPr="00E81E79">
        <w:rPr>
          <w:sz w:val="24"/>
          <w:szCs w:val="24"/>
        </w:rPr>
        <w:t>hjertearytmier</w:t>
      </w:r>
      <w:proofErr w:type="spellEnd"/>
      <w:r w:rsidRPr="00E81E79">
        <w:rPr>
          <w:sz w:val="24"/>
          <w:szCs w:val="24"/>
        </w:rPr>
        <w:t>, hjerteblok og hjertestop.</w:t>
      </w:r>
    </w:p>
    <w:p w14:paraId="4B069805" w14:textId="77777777" w:rsidR="002A6324" w:rsidRPr="00E81E79" w:rsidRDefault="002A6324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Karakteristiske EKG-ændringer.</w:t>
      </w:r>
    </w:p>
    <w:p w14:paraId="5702C5BE" w14:textId="77777777" w:rsidR="002A6324" w:rsidRPr="00E81E79" w:rsidRDefault="002A6324" w:rsidP="002A6324">
      <w:pPr>
        <w:ind w:left="851"/>
        <w:rPr>
          <w:sz w:val="24"/>
          <w:szCs w:val="24"/>
        </w:rPr>
      </w:pPr>
    </w:p>
    <w:p w14:paraId="2068E045" w14:textId="77777777" w:rsidR="002A6324" w:rsidRPr="00E81E79" w:rsidRDefault="002A6324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Forgiftningsdosis: </w:t>
      </w:r>
    </w:p>
    <w:p w14:paraId="72706D29" w14:textId="77777777" w:rsidR="002A6324" w:rsidRPr="00E81E79" w:rsidRDefault="002A6324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168 mmol. Hjertestop kan indtræffe hos mindre børn efter 60 mmol.</w:t>
      </w:r>
    </w:p>
    <w:p w14:paraId="5E18C3A4" w14:textId="77777777" w:rsidR="002A6324" w:rsidRPr="00E81E79" w:rsidRDefault="002A6324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Alvorlige symptomer er set efter ca. 3 mmol/kg legemsvægt, død efter 4-13 mmol/kg oralt.</w:t>
      </w:r>
    </w:p>
    <w:p w14:paraId="77164D41" w14:textId="540303E8" w:rsidR="00FC2E68" w:rsidRDefault="00FC2E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B9B8DF" w14:textId="77777777" w:rsidR="002A6324" w:rsidRPr="00E81E79" w:rsidRDefault="002A6324" w:rsidP="002A6324">
      <w:pPr>
        <w:ind w:left="851"/>
        <w:rPr>
          <w:sz w:val="24"/>
          <w:szCs w:val="24"/>
        </w:rPr>
      </w:pPr>
    </w:p>
    <w:p w14:paraId="2D9EBF49" w14:textId="77777777" w:rsidR="002A6324" w:rsidRPr="00E81E79" w:rsidRDefault="002A6324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Behandling: </w:t>
      </w:r>
    </w:p>
    <w:p w14:paraId="3E1D12FC" w14:textId="77777777" w:rsidR="002A6324" w:rsidRPr="00E81E79" w:rsidRDefault="002A6324" w:rsidP="002A6324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Insulin og </w:t>
      </w:r>
      <w:proofErr w:type="spellStart"/>
      <w:r w:rsidRPr="00E81E79">
        <w:rPr>
          <w:sz w:val="24"/>
          <w:szCs w:val="24"/>
        </w:rPr>
        <w:t>glucose</w:t>
      </w:r>
      <w:proofErr w:type="spellEnd"/>
      <w:r w:rsidRPr="00E81E79">
        <w:rPr>
          <w:sz w:val="24"/>
          <w:szCs w:val="24"/>
        </w:rPr>
        <w:t xml:space="preserve"> fulgt op af oral eller </w:t>
      </w:r>
      <w:proofErr w:type="spellStart"/>
      <w:r w:rsidRPr="00E81E79">
        <w:rPr>
          <w:sz w:val="24"/>
          <w:szCs w:val="24"/>
        </w:rPr>
        <w:t>rektal</w:t>
      </w:r>
      <w:proofErr w:type="spellEnd"/>
      <w:r w:rsidRPr="00E81E79">
        <w:rPr>
          <w:sz w:val="24"/>
          <w:szCs w:val="24"/>
        </w:rPr>
        <w:t xml:space="preserve"> indgift af polystyrensulfat (</w:t>
      </w:r>
      <w:proofErr w:type="spellStart"/>
      <w:r w:rsidRPr="00E81E79">
        <w:rPr>
          <w:sz w:val="24"/>
          <w:szCs w:val="24"/>
        </w:rPr>
        <w:t>Resonium</w:t>
      </w:r>
      <w:proofErr w:type="spellEnd"/>
      <w:r w:rsidRPr="00E81E79">
        <w:rPr>
          <w:sz w:val="24"/>
          <w:szCs w:val="24"/>
        </w:rPr>
        <w:t xml:space="preserve">). Intravenøs infusion af </w:t>
      </w:r>
      <w:proofErr w:type="spellStart"/>
      <w:r w:rsidRPr="00E81E79">
        <w:rPr>
          <w:sz w:val="24"/>
          <w:szCs w:val="24"/>
        </w:rPr>
        <w:t>natriumhydrogencarbonat</w:t>
      </w:r>
      <w:proofErr w:type="spellEnd"/>
      <w:r w:rsidRPr="00E81E79">
        <w:rPr>
          <w:sz w:val="24"/>
          <w:szCs w:val="24"/>
        </w:rPr>
        <w:t xml:space="preserve"> eller intravenøs injektion af </w:t>
      </w:r>
      <w:proofErr w:type="spellStart"/>
      <w:r w:rsidRPr="00E81E79">
        <w:rPr>
          <w:sz w:val="24"/>
          <w:szCs w:val="24"/>
        </w:rPr>
        <w:t>calciumchloriddihydrat</w:t>
      </w:r>
      <w:proofErr w:type="spellEnd"/>
      <w:r w:rsidRPr="00E81E79">
        <w:rPr>
          <w:sz w:val="24"/>
          <w:szCs w:val="24"/>
        </w:rPr>
        <w:t xml:space="preserve"> eller </w:t>
      </w:r>
      <w:proofErr w:type="spellStart"/>
      <w:r w:rsidRPr="00E81E79">
        <w:rPr>
          <w:sz w:val="24"/>
          <w:szCs w:val="24"/>
        </w:rPr>
        <w:t>calciumgluconat</w:t>
      </w:r>
      <w:proofErr w:type="spellEnd"/>
      <w:r w:rsidRPr="00E81E79">
        <w:rPr>
          <w:sz w:val="24"/>
          <w:szCs w:val="24"/>
        </w:rPr>
        <w:t>.</w:t>
      </w:r>
    </w:p>
    <w:p w14:paraId="6EE84051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F8650D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4.10</w:t>
      </w:r>
      <w:r w:rsidRPr="00E81E79">
        <w:rPr>
          <w:b/>
          <w:sz w:val="24"/>
          <w:szCs w:val="24"/>
        </w:rPr>
        <w:tab/>
        <w:t>Udlevering</w:t>
      </w:r>
    </w:p>
    <w:p w14:paraId="7A4986D9" w14:textId="6FC118CA" w:rsidR="009260DE" w:rsidRPr="00E81E79" w:rsidRDefault="002A6324" w:rsidP="009260DE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HA</w:t>
      </w:r>
    </w:p>
    <w:p w14:paraId="71C73EF2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C6BD88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61C85E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5.</w:t>
      </w:r>
      <w:r w:rsidRPr="00E81E79">
        <w:rPr>
          <w:b/>
          <w:sz w:val="24"/>
          <w:szCs w:val="24"/>
        </w:rPr>
        <w:tab/>
        <w:t>FARMAKOLOGISKE EGENSKABER</w:t>
      </w:r>
    </w:p>
    <w:p w14:paraId="3748DDCC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71AE5C" w14:textId="16A45970" w:rsidR="009260D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5.1</w:t>
      </w:r>
      <w:r w:rsidRPr="00E81E79">
        <w:rPr>
          <w:b/>
          <w:sz w:val="24"/>
          <w:szCs w:val="24"/>
        </w:rPr>
        <w:tab/>
      </w:r>
      <w:proofErr w:type="spellStart"/>
      <w:r w:rsidRPr="00E81E79">
        <w:rPr>
          <w:b/>
          <w:sz w:val="24"/>
          <w:szCs w:val="24"/>
        </w:rPr>
        <w:t>Farmakodynamiske</w:t>
      </w:r>
      <w:proofErr w:type="spellEnd"/>
      <w:r w:rsidRPr="00E81E79">
        <w:rPr>
          <w:b/>
          <w:sz w:val="24"/>
          <w:szCs w:val="24"/>
        </w:rPr>
        <w:t xml:space="preserve"> egenskaber</w:t>
      </w:r>
    </w:p>
    <w:p w14:paraId="3A07CB9F" w14:textId="1420F1D9" w:rsidR="004842A7" w:rsidRDefault="004842A7" w:rsidP="009260DE">
      <w:pPr>
        <w:tabs>
          <w:tab w:val="num" w:pos="851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Kalium.</w:t>
      </w:r>
    </w:p>
    <w:p w14:paraId="4EEACB4D" w14:textId="4F057AB7" w:rsidR="004842A7" w:rsidRDefault="004842A7" w:rsidP="009260DE">
      <w:pPr>
        <w:tabs>
          <w:tab w:val="num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E81E79">
        <w:rPr>
          <w:sz w:val="24"/>
          <w:szCs w:val="24"/>
        </w:rPr>
        <w:t xml:space="preserve">ATC-kode: </w:t>
      </w:r>
      <w:r w:rsidRPr="00E81E79">
        <w:rPr>
          <w:spacing w:val="-3"/>
          <w:sz w:val="24"/>
          <w:szCs w:val="24"/>
        </w:rPr>
        <w:t>A 12 BA 01</w:t>
      </w:r>
      <w:r w:rsidRPr="00E81E79">
        <w:rPr>
          <w:sz w:val="24"/>
          <w:szCs w:val="24"/>
        </w:rPr>
        <w:t>.</w:t>
      </w:r>
    </w:p>
    <w:p w14:paraId="20418BA9" w14:textId="77777777" w:rsidR="004842A7" w:rsidRPr="004842A7" w:rsidRDefault="004842A7" w:rsidP="009260DE">
      <w:pPr>
        <w:tabs>
          <w:tab w:val="num" w:pos="851"/>
        </w:tabs>
        <w:ind w:left="851" w:hanging="851"/>
        <w:rPr>
          <w:sz w:val="24"/>
          <w:szCs w:val="24"/>
        </w:rPr>
      </w:pPr>
    </w:p>
    <w:p w14:paraId="17F598DB" w14:textId="77777777" w:rsidR="002A6324" w:rsidRPr="00E81E79" w:rsidRDefault="002A6324" w:rsidP="0016459B">
      <w:pPr>
        <w:ind w:left="851"/>
        <w:rPr>
          <w:b/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Kaliumtab over længere tid, f.eks. som følge af </w:t>
      </w:r>
      <w:proofErr w:type="spellStart"/>
      <w:r w:rsidRPr="00E81E79">
        <w:rPr>
          <w:sz w:val="24"/>
          <w:szCs w:val="24"/>
        </w:rPr>
        <w:t>diuretikabehandling</w:t>
      </w:r>
      <w:proofErr w:type="spellEnd"/>
      <w:r w:rsidRPr="00E81E79">
        <w:rPr>
          <w:sz w:val="24"/>
          <w:szCs w:val="24"/>
        </w:rPr>
        <w:t xml:space="preserve">, kan erstattes af oral indgift af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>.</w:t>
      </w:r>
    </w:p>
    <w:p w14:paraId="43F5D623" w14:textId="77777777" w:rsidR="002A6324" w:rsidRPr="00E81E79" w:rsidRDefault="002A6324" w:rsidP="0016459B">
      <w:pPr>
        <w:ind w:left="851"/>
        <w:rPr>
          <w:sz w:val="24"/>
          <w:szCs w:val="24"/>
        </w:rPr>
      </w:pPr>
    </w:p>
    <w:p w14:paraId="4924C89E" w14:textId="27081BF7" w:rsidR="002A6324" w:rsidRPr="00E81E79" w:rsidRDefault="002A6324" w:rsidP="0016459B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 xml:space="preserve">Mangel på </w:t>
      </w:r>
      <w:proofErr w:type="spellStart"/>
      <w:r w:rsidRPr="00E81E79">
        <w:rPr>
          <w:sz w:val="24"/>
          <w:szCs w:val="24"/>
        </w:rPr>
        <w:t>kaliumion</w:t>
      </w:r>
      <w:proofErr w:type="spellEnd"/>
      <w:r w:rsidRPr="00E81E79">
        <w:rPr>
          <w:sz w:val="24"/>
          <w:szCs w:val="24"/>
        </w:rPr>
        <w:t xml:space="preserve"> kan forårsage muskelsvaghed, </w:t>
      </w:r>
      <w:proofErr w:type="spellStart"/>
      <w:r w:rsidRPr="00E81E79">
        <w:rPr>
          <w:sz w:val="24"/>
          <w:szCs w:val="24"/>
        </w:rPr>
        <w:t>paræstesier</w:t>
      </w:r>
      <w:proofErr w:type="spellEnd"/>
      <w:r w:rsidRPr="00E81E79">
        <w:rPr>
          <w:sz w:val="24"/>
          <w:szCs w:val="24"/>
        </w:rPr>
        <w:t xml:space="preserve">, paralytisk </w:t>
      </w:r>
      <w:proofErr w:type="spellStart"/>
      <w:r w:rsidRPr="00E81E79">
        <w:rPr>
          <w:sz w:val="24"/>
          <w:szCs w:val="24"/>
        </w:rPr>
        <w:t>ileus</w:t>
      </w:r>
      <w:proofErr w:type="spellEnd"/>
      <w:r w:rsidRPr="00E81E79">
        <w:rPr>
          <w:sz w:val="24"/>
          <w:szCs w:val="24"/>
        </w:rPr>
        <w:t xml:space="preserve">, </w:t>
      </w:r>
      <w:proofErr w:type="spellStart"/>
      <w:r w:rsidRPr="00E81E79">
        <w:rPr>
          <w:sz w:val="24"/>
          <w:szCs w:val="24"/>
        </w:rPr>
        <w:t>arytmier</w:t>
      </w:r>
      <w:proofErr w:type="spellEnd"/>
      <w:r w:rsidRPr="00E81E79">
        <w:rPr>
          <w:sz w:val="24"/>
          <w:szCs w:val="24"/>
        </w:rPr>
        <w:t xml:space="preserve">, øget følsomhed for hjerteglykosider, koncentreringsdefekt i </w:t>
      </w:r>
      <w:proofErr w:type="spellStart"/>
      <w:r w:rsidRPr="00E81E79">
        <w:rPr>
          <w:sz w:val="24"/>
          <w:szCs w:val="24"/>
        </w:rPr>
        <w:t>nyretubuli</w:t>
      </w:r>
      <w:proofErr w:type="spellEnd"/>
      <w:r w:rsidRPr="00E81E79">
        <w:rPr>
          <w:sz w:val="24"/>
          <w:szCs w:val="24"/>
        </w:rPr>
        <w:t xml:space="preserve"> samt nedsat </w:t>
      </w:r>
      <w:proofErr w:type="spellStart"/>
      <w:r w:rsidRPr="00E81E79">
        <w:rPr>
          <w:sz w:val="24"/>
          <w:szCs w:val="24"/>
        </w:rPr>
        <w:t>glucosetolerance</w:t>
      </w:r>
      <w:proofErr w:type="spellEnd"/>
      <w:r w:rsidRPr="00E81E79">
        <w:rPr>
          <w:sz w:val="24"/>
          <w:szCs w:val="24"/>
        </w:rPr>
        <w:t xml:space="preserve">. Den normale plasmakoncentration er 3,6-5,0 mmol/ml og reguleres overvejende igennem nyrerne. Det daglige kaliumbehov for raske mennesker er ca. 35 mmol, svarende til 2,5 g </w:t>
      </w:r>
      <w:proofErr w:type="spellStart"/>
      <w:r w:rsidRPr="00E81E79">
        <w:rPr>
          <w:sz w:val="24"/>
          <w:szCs w:val="24"/>
        </w:rPr>
        <w:t>kaliumchlorid</w:t>
      </w:r>
      <w:proofErr w:type="spellEnd"/>
      <w:r w:rsidRPr="00E81E79">
        <w:rPr>
          <w:sz w:val="24"/>
          <w:szCs w:val="24"/>
        </w:rPr>
        <w:t>. Almindeligvis anbefales den dobbelte mængde.</w:t>
      </w:r>
    </w:p>
    <w:p w14:paraId="42CBA04A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D11601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5.2</w:t>
      </w:r>
      <w:r w:rsidRPr="00E81E79">
        <w:rPr>
          <w:b/>
          <w:sz w:val="24"/>
          <w:szCs w:val="24"/>
        </w:rPr>
        <w:tab/>
      </w:r>
      <w:proofErr w:type="spellStart"/>
      <w:r w:rsidRPr="00E81E79">
        <w:rPr>
          <w:b/>
          <w:sz w:val="24"/>
          <w:szCs w:val="24"/>
        </w:rPr>
        <w:t>Farmakokinetiske</w:t>
      </w:r>
      <w:proofErr w:type="spellEnd"/>
      <w:r w:rsidRPr="00E81E79">
        <w:rPr>
          <w:b/>
          <w:sz w:val="24"/>
          <w:szCs w:val="24"/>
        </w:rPr>
        <w:t xml:space="preserve"> egenskaber</w:t>
      </w:r>
    </w:p>
    <w:p w14:paraId="297CAD29" w14:textId="77777777" w:rsidR="008E7C7D" w:rsidRDefault="008E7C7D" w:rsidP="0016459B">
      <w:pPr>
        <w:ind w:left="851"/>
        <w:rPr>
          <w:sz w:val="24"/>
          <w:szCs w:val="24"/>
        </w:rPr>
      </w:pPr>
    </w:p>
    <w:p w14:paraId="39B07E18" w14:textId="7D25AD77" w:rsidR="002A6324" w:rsidRPr="008E7C7D" w:rsidRDefault="002A6324" w:rsidP="0016459B">
      <w:pPr>
        <w:ind w:left="851"/>
        <w:rPr>
          <w:spacing w:val="-3"/>
          <w:sz w:val="24"/>
          <w:szCs w:val="24"/>
          <w:u w:val="single"/>
          <w:lang w:eastAsia="da-DK"/>
        </w:rPr>
      </w:pPr>
      <w:r w:rsidRPr="008E7C7D">
        <w:rPr>
          <w:sz w:val="24"/>
          <w:szCs w:val="24"/>
          <w:u w:val="single"/>
        </w:rPr>
        <w:t>Absorption</w:t>
      </w:r>
    </w:p>
    <w:p w14:paraId="42E2315D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 xml:space="preserve">Kalium absorberes let fra </w:t>
      </w:r>
      <w:proofErr w:type="spellStart"/>
      <w:r w:rsidRPr="00E81E79">
        <w:rPr>
          <w:spacing w:val="-3"/>
          <w:sz w:val="24"/>
          <w:szCs w:val="24"/>
        </w:rPr>
        <w:t>mave-tarmkanalen</w:t>
      </w:r>
      <w:proofErr w:type="spellEnd"/>
      <w:r w:rsidRPr="00E81E79">
        <w:rPr>
          <w:spacing w:val="-3"/>
          <w:sz w:val="24"/>
          <w:szCs w:val="24"/>
        </w:rPr>
        <w:t xml:space="preserve">. </w:t>
      </w:r>
    </w:p>
    <w:p w14:paraId="7A8CA408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</w:p>
    <w:p w14:paraId="007DD2A7" w14:textId="77777777" w:rsidR="002A6324" w:rsidRPr="008E7C7D" w:rsidRDefault="002A6324" w:rsidP="0016459B">
      <w:pPr>
        <w:ind w:left="851"/>
        <w:rPr>
          <w:spacing w:val="-3"/>
          <w:sz w:val="24"/>
          <w:szCs w:val="24"/>
          <w:u w:val="single"/>
        </w:rPr>
      </w:pPr>
      <w:r w:rsidRPr="008E7C7D">
        <w:rPr>
          <w:sz w:val="24"/>
          <w:szCs w:val="24"/>
          <w:u w:val="single"/>
        </w:rPr>
        <w:t>Elimination</w:t>
      </w:r>
    </w:p>
    <w:p w14:paraId="7606FB00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>Udskillelsen sker overvejende gennem nyrerne.</w:t>
      </w:r>
    </w:p>
    <w:p w14:paraId="1D4D640F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046605" w14:textId="4C774524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5.3</w:t>
      </w:r>
      <w:r w:rsidRPr="00E81E79">
        <w:rPr>
          <w:b/>
          <w:sz w:val="24"/>
          <w:szCs w:val="24"/>
        </w:rPr>
        <w:tab/>
      </w:r>
      <w:r w:rsidR="004842A7">
        <w:rPr>
          <w:b/>
          <w:sz w:val="24"/>
          <w:szCs w:val="24"/>
        </w:rPr>
        <w:t>Non-</w:t>
      </w:r>
      <w:r w:rsidRPr="00E81E79">
        <w:rPr>
          <w:b/>
          <w:sz w:val="24"/>
          <w:szCs w:val="24"/>
        </w:rPr>
        <w:t>kliniske sikkerhedsdata</w:t>
      </w:r>
    </w:p>
    <w:p w14:paraId="6CCAAE19" w14:textId="0204209B" w:rsidR="009260DE" w:rsidRPr="00E81E79" w:rsidRDefault="002A6324" w:rsidP="009260DE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Ingen.</w:t>
      </w:r>
    </w:p>
    <w:p w14:paraId="3685DE95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B8CA60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38B351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6.</w:t>
      </w:r>
      <w:r w:rsidRPr="00E81E79">
        <w:rPr>
          <w:b/>
          <w:sz w:val="24"/>
          <w:szCs w:val="24"/>
        </w:rPr>
        <w:tab/>
        <w:t>FARMACEUTISKE OPLYSNINGER</w:t>
      </w:r>
    </w:p>
    <w:p w14:paraId="3E442097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A30590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6.1</w:t>
      </w:r>
      <w:r w:rsidRPr="00E81E79">
        <w:rPr>
          <w:b/>
          <w:sz w:val="24"/>
          <w:szCs w:val="24"/>
        </w:rPr>
        <w:tab/>
        <w:t>Hjælpestoffer</w:t>
      </w:r>
    </w:p>
    <w:p w14:paraId="03E4085D" w14:textId="77777777" w:rsidR="002A6324" w:rsidRPr="00E81E79" w:rsidRDefault="002A6324" w:rsidP="0016459B">
      <w:pPr>
        <w:ind w:left="851"/>
        <w:rPr>
          <w:sz w:val="24"/>
          <w:szCs w:val="24"/>
          <w:lang w:eastAsia="da-DK"/>
        </w:rPr>
      </w:pPr>
      <w:proofErr w:type="spellStart"/>
      <w:r w:rsidRPr="00E81E79">
        <w:rPr>
          <w:sz w:val="24"/>
          <w:szCs w:val="24"/>
        </w:rPr>
        <w:t>Hydroxyethylcellulose</w:t>
      </w:r>
      <w:proofErr w:type="spellEnd"/>
      <w:r w:rsidRPr="00E81E79">
        <w:rPr>
          <w:sz w:val="24"/>
          <w:szCs w:val="24"/>
        </w:rPr>
        <w:t xml:space="preserve"> </w:t>
      </w:r>
    </w:p>
    <w:p w14:paraId="5E217801" w14:textId="77777777" w:rsidR="002A6324" w:rsidRPr="00E81E79" w:rsidRDefault="002A6324" w:rsidP="0016459B">
      <w:pPr>
        <w:ind w:left="851"/>
        <w:rPr>
          <w:sz w:val="24"/>
          <w:szCs w:val="24"/>
        </w:rPr>
      </w:pPr>
      <w:proofErr w:type="spellStart"/>
      <w:r w:rsidRPr="00E81E79">
        <w:rPr>
          <w:sz w:val="24"/>
          <w:szCs w:val="24"/>
        </w:rPr>
        <w:t>Saccharinnatrium</w:t>
      </w:r>
      <w:proofErr w:type="spellEnd"/>
      <w:r w:rsidRPr="00E81E79">
        <w:rPr>
          <w:sz w:val="24"/>
          <w:szCs w:val="24"/>
        </w:rPr>
        <w:t xml:space="preserve"> (E954)</w:t>
      </w:r>
    </w:p>
    <w:p w14:paraId="45059C40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proofErr w:type="spellStart"/>
      <w:r w:rsidRPr="00E81E79">
        <w:rPr>
          <w:spacing w:val="-3"/>
          <w:sz w:val="24"/>
          <w:szCs w:val="24"/>
        </w:rPr>
        <w:t>Methylparahydroxybenzoat</w:t>
      </w:r>
      <w:proofErr w:type="spellEnd"/>
      <w:r w:rsidRPr="00E81E79">
        <w:rPr>
          <w:spacing w:val="-3"/>
          <w:sz w:val="24"/>
          <w:szCs w:val="24"/>
        </w:rPr>
        <w:t xml:space="preserve"> (E218)</w:t>
      </w:r>
    </w:p>
    <w:p w14:paraId="03480D95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proofErr w:type="spellStart"/>
      <w:r w:rsidRPr="00E81E79">
        <w:rPr>
          <w:spacing w:val="-3"/>
          <w:sz w:val="24"/>
          <w:szCs w:val="24"/>
        </w:rPr>
        <w:t>Propylparahydroxybenzoat</w:t>
      </w:r>
      <w:proofErr w:type="spellEnd"/>
      <w:r w:rsidRPr="00E81E79">
        <w:rPr>
          <w:spacing w:val="-3"/>
          <w:sz w:val="24"/>
          <w:szCs w:val="24"/>
        </w:rPr>
        <w:t xml:space="preserve"> (E216)</w:t>
      </w:r>
    </w:p>
    <w:p w14:paraId="7E3DC7CB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proofErr w:type="spellStart"/>
      <w:r w:rsidRPr="00E81E79">
        <w:rPr>
          <w:spacing w:val="-3"/>
          <w:sz w:val="24"/>
          <w:szCs w:val="24"/>
        </w:rPr>
        <w:t>Ethanol</w:t>
      </w:r>
      <w:proofErr w:type="spellEnd"/>
      <w:r w:rsidRPr="00E81E79">
        <w:rPr>
          <w:spacing w:val="-3"/>
          <w:sz w:val="24"/>
          <w:szCs w:val="24"/>
        </w:rPr>
        <w:t xml:space="preserve"> 96 %</w:t>
      </w:r>
    </w:p>
    <w:p w14:paraId="2326BF92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>Anissmag</w:t>
      </w:r>
    </w:p>
    <w:p w14:paraId="20900228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bookmarkStart w:id="1" w:name="_Hlk96454694"/>
      <w:r w:rsidRPr="00E81E79">
        <w:rPr>
          <w:spacing w:val="-3"/>
          <w:sz w:val="24"/>
          <w:szCs w:val="24"/>
        </w:rPr>
        <w:t xml:space="preserve">Saltet karamelsmag (indeholder propylenglycol </w:t>
      </w:r>
      <w:r w:rsidRPr="00E81E79">
        <w:rPr>
          <w:sz w:val="24"/>
          <w:szCs w:val="24"/>
        </w:rPr>
        <w:t>(E1520)</w:t>
      </w:r>
      <w:r w:rsidRPr="00E81E79">
        <w:rPr>
          <w:spacing w:val="-3"/>
          <w:sz w:val="24"/>
          <w:szCs w:val="24"/>
        </w:rPr>
        <w:t xml:space="preserve">, </w:t>
      </w:r>
      <w:proofErr w:type="spellStart"/>
      <w:r w:rsidRPr="00E81E79">
        <w:rPr>
          <w:spacing w:val="-3"/>
          <w:sz w:val="24"/>
          <w:szCs w:val="24"/>
        </w:rPr>
        <w:t>glucose</w:t>
      </w:r>
      <w:proofErr w:type="spellEnd"/>
      <w:r w:rsidRPr="00E81E79">
        <w:rPr>
          <w:spacing w:val="-3"/>
          <w:sz w:val="24"/>
          <w:szCs w:val="24"/>
        </w:rPr>
        <w:t xml:space="preserve"> og </w:t>
      </w:r>
      <w:proofErr w:type="spellStart"/>
      <w:r w:rsidRPr="00E81E79">
        <w:rPr>
          <w:spacing w:val="-3"/>
          <w:sz w:val="24"/>
          <w:szCs w:val="24"/>
        </w:rPr>
        <w:t>saccharose</w:t>
      </w:r>
      <w:proofErr w:type="spellEnd"/>
      <w:r w:rsidRPr="00E81E79">
        <w:rPr>
          <w:spacing w:val="-3"/>
          <w:sz w:val="24"/>
          <w:szCs w:val="24"/>
        </w:rPr>
        <w:t>)</w:t>
      </w:r>
    </w:p>
    <w:bookmarkEnd w:id="1"/>
    <w:p w14:paraId="4FAF8243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>Vand, renset</w:t>
      </w:r>
    </w:p>
    <w:p w14:paraId="1B2513FE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 xml:space="preserve">Natriumhydroxidopløsning 32 % </w:t>
      </w:r>
      <w:r w:rsidRPr="00E81E79">
        <w:rPr>
          <w:color w:val="000000"/>
          <w:sz w:val="24"/>
          <w:szCs w:val="24"/>
        </w:rPr>
        <w:t>(til pH-justering)</w:t>
      </w:r>
    </w:p>
    <w:p w14:paraId="787CADF8" w14:textId="77777777" w:rsidR="002A6324" w:rsidRPr="00E81E79" w:rsidRDefault="002A6324" w:rsidP="0016459B">
      <w:pPr>
        <w:ind w:left="851"/>
        <w:rPr>
          <w:spacing w:val="-3"/>
          <w:sz w:val="24"/>
          <w:szCs w:val="24"/>
        </w:rPr>
      </w:pPr>
      <w:r w:rsidRPr="00E81E79">
        <w:rPr>
          <w:spacing w:val="-3"/>
          <w:sz w:val="24"/>
          <w:szCs w:val="24"/>
        </w:rPr>
        <w:t xml:space="preserve">Saltsyre </w:t>
      </w:r>
      <w:r w:rsidRPr="00E81E79">
        <w:rPr>
          <w:color w:val="000000"/>
          <w:sz w:val="24"/>
          <w:szCs w:val="24"/>
        </w:rPr>
        <w:t>(til pH-justering)</w:t>
      </w:r>
    </w:p>
    <w:p w14:paraId="31D74777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DD77E6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lastRenderedPageBreak/>
        <w:t>6.2</w:t>
      </w:r>
      <w:r w:rsidRPr="00E81E79">
        <w:rPr>
          <w:b/>
          <w:sz w:val="24"/>
          <w:szCs w:val="24"/>
        </w:rPr>
        <w:tab/>
        <w:t>Uforligeligheder</w:t>
      </w:r>
    </w:p>
    <w:p w14:paraId="13F66082" w14:textId="77777777" w:rsidR="002A6324" w:rsidRPr="00E81E79" w:rsidRDefault="002A6324" w:rsidP="0016459B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>Ikke relevant.</w:t>
      </w:r>
    </w:p>
    <w:p w14:paraId="704CB02D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0F9812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6.3</w:t>
      </w:r>
      <w:r w:rsidRPr="00E81E79">
        <w:rPr>
          <w:b/>
          <w:sz w:val="24"/>
          <w:szCs w:val="24"/>
        </w:rPr>
        <w:tab/>
        <w:t>Opbevaringstid</w:t>
      </w:r>
    </w:p>
    <w:p w14:paraId="0589A1C2" w14:textId="32FF4A39" w:rsidR="002A6324" w:rsidRPr="00E81E79" w:rsidRDefault="00FD2B0E" w:rsidP="0016459B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3</w:t>
      </w:r>
      <w:r w:rsidR="002A6324" w:rsidRPr="00E81E79">
        <w:rPr>
          <w:sz w:val="24"/>
          <w:szCs w:val="24"/>
        </w:rPr>
        <w:t xml:space="preserve"> år.</w:t>
      </w:r>
    </w:p>
    <w:p w14:paraId="08B47B42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E93991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6.4</w:t>
      </w:r>
      <w:r w:rsidRPr="00E81E79">
        <w:rPr>
          <w:b/>
          <w:sz w:val="24"/>
          <w:szCs w:val="24"/>
        </w:rPr>
        <w:tab/>
        <w:t>Særlige opbevaringsforhold</w:t>
      </w:r>
    </w:p>
    <w:p w14:paraId="51054F4B" w14:textId="77777777" w:rsidR="002A6324" w:rsidRPr="00E81E79" w:rsidRDefault="002A6324" w:rsidP="0016459B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>Dette lægemiddel kræver ingen særlige forholdsregler vedrørende opbevaringen.</w:t>
      </w:r>
    </w:p>
    <w:p w14:paraId="013D5CC3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1C58FE" w14:textId="19A6CF7E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6.5</w:t>
      </w:r>
      <w:r w:rsidRPr="00E81E79">
        <w:rPr>
          <w:b/>
          <w:sz w:val="24"/>
          <w:szCs w:val="24"/>
        </w:rPr>
        <w:tab/>
        <w:t>Emballagetype og pakningsstørrelser</w:t>
      </w:r>
    </w:p>
    <w:p w14:paraId="1C7FFC69" w14:textId="77777777" w:rsidR="002A6324" w:rsidRPr="00E81E79" w:rsidRDefault="002A6324" w:rsidP="0016459B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>Ravgul glasflaske med børnesikret skruelåg (PP/PE): 500 ml. Et målebæger (PP) med gradinddelinger (2,5 ml til 30 ml) medfølger.</w:t>
      </w:r>
    </w:p>
    <w:p w14:paraId="2D3275FE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E54B29" w14:textId="3FA4358A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6.6</w:t>
      </w:r>
      <w:r w:rsidRPr="00E81E79">
        <w:rPr>
          <w:b/>
          <w:sz w:val="24"/>
          <w:szCs w:val="24"/>
        </w:rPr>
        <w:tab/>
        <w:t xml:space="preserve">Regler for </w:t>
      </w:r>
      <w:r w:rsidR="004842A7">
        <w:rPr>
          <w:b/>
          <w:sz w:val="24"/>
          <w:szCs w:val="24"/>
        </w:rPr>
        <w:t>bortskaffelse</w:t>
      </w:r>
      <w:r w:rsidRPr="00E81E79">
        <w:rPr>
          <w:b/>
          <w:sz w:val="24"/>
          <w:szCs w:val="24"/>
        </w:rPr>
        <w:t xml:space="preserve"> og anden håndtering</w:t>
      </w:r>
    </w:p>
    <w:p w14:paraId="2FF284E3" w14:textId="77777777" w:rsidR="002A6324" w:rsidRPr="00E81E79" w:rsidRDefault="002A6324" w:rsidP="0016459B">
      <w:pPr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>Ingen særlige forholdsregler.</w:t>
      </w:r>
    </w:p>
    <w:p w14:paraId="05E0CAD1" w14:textId="77777777" w:rsidR="002A6324" w:rsidRPr="00E81E79" w:rsidRDefault="002A6324" w:rsidP="0016459B">
      <w:pPr>
        <w:ind w:left="851"/>
        <w:rPr>
          <w:sz w:val="24"/>
          <w:szCs w:val="24"/>
        </w:rPr>
      </w:pPr>
    </w:p>
    <w:p w14:paraId="1BD158F1" w14:textId="77777777" w:rsidR="002A6324" w:rsidRPr="00E81E79" w:rsidRDefault="002A6324" w:rsidP="0016459B">
      <w:pPr>
        <w:ind w:left="851"/>
        <w:rPr>
          <w:sz w:val="24"/>
          <w:szCs w:val="24"/>
        </w:rPr>
      </w:pPr>
      <w:r w:rsidRPr="00E81E79">
        <w:rPr>
          <w:sz w:val="24"/>
          <w:szCs w:val="24"/>
        </w:rPr>
        <w:t>Ikke anvendt lægemiddel samt affald heraf skal bortskaffes i henhold til lokale retningslinjer.</w:t>
      </w:r>
    </w:p>
    <w:p w14:paraId="085DA547" w14:textId="77777777" w:rsidR="009260DE" w:rsidRPr="00E81E79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B9A5CB1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7.</w:t>
      </w:r>
      <w:r w:rsidRPr="00E81E79">
        <w:rPr>
          <w:b/>
          <w:sz w:val="24"/>
          <w:szCs w:val="24"/>
        </w:rPr>
        <w:tab/>
        <w:t>INDEHAVER AF MARKEDSFØRINGSTILLADELSEN</w:t>
      </w:r>
    </w:p>
    <w:p w14:paraId="031F5EE7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81E79">
        <w:rPr>
          <w:sz w:val="24"/>
          <w:szCs w:val="24"/>
        </w:rPr>
        <w:t xml:space="preserve">Orifarm Healthcare A/S </w:t>
      </w:r>
    </w:p>
    <w:p w14:paraId="65886C01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Energivej 15</w:t>
      </w:r>
    </w:p>
    <w:p w14:paraId="3DA44306" w14:textId="77777777" w:rsidR="002A6324" w:rsidRPr="00E81E79" w:rsidRDefault="002A6324" w:rsidP="002A6324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5260 Odense S</w:t>
      </w:r>
    </w:p>
    <w:p w14:paraId="7FC0F340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40EC2A" w14:textId="31BDFE4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8.</w:t>
      </w:r>
      <w:r w:rsidRPr="00E81E79">
        <w:rPr>
          <w:b/>
          <w:sz w:val="24"/>
          <w:szCs w:val="24"/>
        </w:rPr>
        <w:tab/>
        <w:t>MARKEDSFØRINGSTILLADELSESNUMMER (</w:t>
      </w:r>
      <w:r w:rsidR="004842A7">
        <w:rPr>
          <w:b/>
          <w:sz w:val="24"/>
          <w:szCs w:val="24"/>
        </w:rPr>
        <w:t>-</w:t>
      </w:r>
      <w:r w:rsidRPr="00E81E79">
        <w:rPr>
          <w:b/>
          <w:sz w:val="24"/>
          <w:szCs w:val="24"/>
        </w:rPr>
        <w:t>NUMRE)</w:t>
      </w:r>
    </w:p>
    <w:p w14:paraId="5DB0E24B" w14:textId="4D721117" w:rsidR="009260DE" w:rsidRPr="00E81E79" w:rsidRDefault="002A6324" w:rsidP="009260DE">
      <w:pPr>
        <w:tabs>
          <w:tab w:val="left" w:pos="851"/>
        </w:tabs>
        <w:ind w:left="851"/>
        <w:rPr>
          <w:sz w:val="24"/>
          <w:szCs w:val="24"/>
        </w:rPr>
      </w:pPr>
      <w:r w:rsidRPr="00E81E79">
        <w:rPr>
          <w:sz w:val="24"/>
          <w:szCs w:val="24"/>
        </w:rPr>
        <w:t>66107</w:t>
      </w:r>
    </w:p>
    <w:p w14:paraId="65E64BAF" w14:textId="77777777" w:rsidR="009260DE" w:rsidRPr="00E81E79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EF25CC1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9.</w:t>
      </w:r>
      <w:r w:rsidRPr="00E81E79">
        <w:rPr>
          <w:b/>
          <w:sz w:val="24"/>
          <w:szCs w:val="24"/>
        </w:rPr>
        <w:tab/>
        <w:t>DATO FOR FØRSTE MARKEDSFØRINGSTILLADELSE</w:t>
      </w:r>
    </w:p>
    <w:p w14:paraId="42DD2C55" w14:textId="16A6139A" w:rsidR="009260DE" w:rsidRPr="00E81E79" w:rsidRDefault="004525A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2. august 2022</w:t>
      </w:r>
    </w:p>
    <w:p w14:paraId="39FA9903" w14:textId="77777777" w:rsidR="009260DE" w:rsidRPr="00E81E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CCE3A7" w14:textId="77777777" w:rsidR="009260DE" w:rsidRPr="00E81E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81E79">
        <w:rPr>
          <w:b/>
          <w:sz w:val="24"/>
          <w:szCs w:val="24"/>
        </w:rPr>
        <w:t>10.</w:t>
      </w:r>
      <w:r w:rsidRPr="00E81E79">
        <w:rPr>
          <w:b/>
          <w:sz w:val="24"/>
          <w:szCs w:val="24"/>
        </w:rPr>
        <w:tab/>
        <w:t>DATO FOR ÆNDRING AF TEKSTEN</w:t>
      </w:r>
    </w:p>
    <w:p w14:paraId="18465629" w14:textId="1987231B" w:rsidR="009260DE" w:rsidRPr="00E81E79" w:rsidRDefault="00FD2B0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maj  2024</w:t>
      </w:r>
      <w:proofErr w:type="gramEnd"/>
    </w:p>
    <w:sectPr w:rsidR="009260DE" w:rsidRPr="00E81E79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9929" w14:textId="77777777" w:rsidR="00105858" w:rsidRDefault="00105858">
      <w:r>
        <w:separator/>
      </w:r>
    </w:p>
  </w:endnote>
  <w:endnote w:type="continuationSeparator" w:id="0">
    <w:p w14:paraId="4CFFD5DA" w14:textId="77777777" w:rsidR="00105858" w:rsidRDefault="0010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919F" w14:textId="77777777" w:rsidR="000259B9" w:rsidRDefault="000259B9">
    <w:pPr>
      <w:pStyle w:val="Sidefod"/>
      <w:pBdr>
        <w:bottom w:val="single" w:sz="6" w:space="1" w:color="auto"/>
      </w:pBdr>
    </w:pPr>
  </w:p>
  <w:p w14:paraId="18858DB4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699FF7E" w14:textId="3B1BB399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525AA">
      <w:rPr>
        <w:i/>
        <w:noProof/>
        <w:sz w:val="18"/>
        <w:szCs w:val="18"/>
      </w:rPr>
      <w:t>Kaliumchlorid Orifarm, oral opløsning 75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754D1" w14:textId="77777777" w:rsidR="00105858" w:rsidRDefault="00105858">
      <w:r>
        <w:separator/>
      </w:r>
    </w:p>
  </w:footnote>
  <w:footnote w:type="continuationSeparator" w:id="0">
    <w:p w14:paraId="3821530C" w14:textId="77777777" w:rsidR="00105858" w:rsidRDefault="0010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948620A"/>
    <w:multiLevelType w:val="hybridMultilevel"/>
    <w:tmpl w:val="AE929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1776096"/>
    <w:multiLevelType w:val="hybridMultilevel"/>
    <w:tmpl w:val="3620D59A"/>
    <w:lvl w:ilvl="0" w:tplc="040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76C53B2A"/>
    <w:multiLevelType w:val="hybridMultilevel"/>
    <w:tmpl w:val="0D46904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8"/>
    <w:rsid w:val="000259B9"/>
    <w:rsid w:val="00041491"/>
    <w:rsid w:val="00050D16"/>
    <w:rsid w:val="000730CA"/>
    <w:rsid w:val="00074F2A"/>
    <w:rsid w:val="00081C28"/>
    <w:rsid w:val="000A1CA8"/>
    <w:rsid w:val="000A466B"/>
    <w:rsid w:val="000B058C"/>
    <w:rsid w:val="000E4EE6"/>
    <w:rsid w:val="00105858"/>
    <w:rsid w:val="001454E2"/>
    <w:rsid w:val="0016459B"/>
    <w:rsid w:val="001E20C7"/>
    <w:rsid w:val="00206CE8"/>
    <w:rsid w:val="0021526C"/>
    <w:rsid w:val="00283A2B"/>
    <w:rsid w:val="002A35EE"/>
    <w:rsid w:val="002A6324"/>
    <w:rsid w:val="002B30AD"/>
    <w:rsid w:val="002C2C01"/>
    <w:rsid w:val="003626F6"/>
    <w:rsid w:val="003A29AE"/>
    <w:rsid w:val="003A32D7"/>
    <w:rsid w:val="003B02C3"/>
    <w:rsid w:val="003B4074"/>
    <w:rsid w:val="003C769A"/>
    <w:rsid w:val="003F1838"/>
    <w:rsid w:val="004525AA"/>
    <w:rsid w:val="0045746C"/>
    <w:rsid w:val="004842A7"/>
    <w:rsid w:val="0049104B"/>
    <w:rsid w:val="00491E53"/>
    <w:rsid w:val="004E3B12"/>
    <w:rsid w:val="00532310"/>
    <w:rsid w:val="00565F0F"/>
    <w:rsid w:val="00594A86"/>
    <w:rsid w:val="00596D86"/>
    <w:rsid w:val="00637F5A"/>
    <w:rsid w:val="006560B1"/>
    <w:rsid w:val="006756DD"/>
    <w:rsid w:val="00737275"/>
    <w:rsid w:val="00740EEC"/>
    <w:rsid w:val="00752EAA"/>
    <w:rsid w:val="00754EBD"/>
    <w:rsid w:val="00766F83"/>
    <w:rsid w:val="0078011A"/>
    <w:rsid w:val="00782AF4"/>
    <w:rsid w:val="00790EE7"/>
    <w:rsid w:val="007B6649"/>
    <w:rsid w:val="0082576E"/>
    <w:rsid w:val="00871F05"/>
    <w:rsid w:val="008E7C7D"/>
    <w:rsid w:val="00907F75"/>
    <w:rsid w:val="009260DE"/>
    <w:rsid w:val="0093258A"/>
    <w:rsid w:val="009752CE"/>
    <w:rsid w:val="009C7BA3"/>
    <w:rsid w:val="009D1F5A"/>
    <w:rsid w:val="00A10294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749A"/>
    <w:rsid w:val="00E7437F"/>
    <w:rsid w:val="00E81E79"/>
    <w:rsid w:val="00E865B8"/>
    <w:rsid w:val="00EC0B9B"/>
    <w:rsid w:val="00ED5E9F"/>
    <w:rsid w:val="00F66D4F"/>
    <w:rsid w:val="00FB6D01"/>
    <w:rsid w:val="00FC2E68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7E303"/>
  <w15:chartTrackingRefBased/>
  <w15:docId w15:val="{1E2AF554-D484-4956-89B0-127E3CD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A35EE"/>
    <w:pPr>
      <w:ind w:left="720"/>
      <w:contextualSpacing/>
    </w:pPr>
    <w:rPr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7856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2023034817 pkt. 6.3.</dc:description>
  <cp:lastModifiedBy>Linda Holm</cp:lastModifiedBy>
  <cp:revision>2</cp:revision>
  <cp:lastPrinted>2012-08-22T08:53:00Z</cp:lastPrinted>
  <dcterms:created xsi:type="dcterms:W3CDTF">2024-05-03T14:19:00Z</dcterms:created>
  <dcterms:modified xsi:type="dcterms:W3CDTF">2024-05-03T14:19:00Z</dcterms:modified>
</cp:coreProperties>
</file>