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E01B5" w14:textId="77777777" w:rsidR="009260DE" w:rsidRPr="00305E53" w:rsidRDefault="0021526C" w:rsidP="009260DE">
      <w:pPr>
        <w:rPr>
          <w:sz w:val="24"/>
          <w:szCs w:val="24"/>
        </w:rPr>
      </w:pPr>
      <w:bookmarkStart w:id="0" w:name="_GoBack"/>
      <w:bookmarkEnd w:id="0"/>
      <w:r w:rsidRPr="00305E5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DDE720E" wp14:editId="29CA398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05E53">
        <w:rPr>
          <w:sz w:val="24"/>
          <w:szCs w:val="24"/>
        </w:rPr>
        <w:br w:type="textWrapping" w:clear="all"/>
      </w:r>
    </w:p>
    <w:p w14:paraId="3B2B84EE" w14:textId="729AF6F1" w:rsidR="009260DE" w:rsidRPr="00305E5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05E53">
        <w:rPr>
          <w:b w:val="0"/>
          <w:szCs w:val="24"/>
          <w:lang w:eastAsia="en-US"/>
        </w:rPr>
        <w:tab/>
      </w:r>
      <w:r w:rsidR="0060242A">
        <w:rPr>
          <w:szCs w:val="24"/>
        </w:rPr>
        <w:t xml:space="preserve">9. august </w:t>
      </w:r>
      <w:r w:rsidR="00F713B5">
        <w:rPr>
          <w:szCs w:val="24"/>
        </w:rPr>
        <w:t>202</w:t>
      </w:r>
      <w:r w:rsidR="00916E9F">
        <w:rPr>
          <w:szCs w:val="24"/>
        </w:rPr>
        <w:t>3</w:t>
      </w:r>
    </w:p>
    <w:p w14:paraId="0F978125" w14:textId="77777777" w:rsidR="009260DE" w:rsidRPr="00305E5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2422462" w14:textId="181DF038" w:rsidR="009260DE" w:rsidRPr="00305E53" w:rsidRDefault="009260DE" w:rsidP="009260DE">
      <w:pPr>
        <w:pStyle w:val="Titel"/>
        <w:jc w:val="left"/>
        <w:rPr>
          <w:b w:val="0"/>
          <w:szCs w:val="24"/>
        </w:rPr>
      </w:pPr>
    </w:p>
    <w:p w14:paraId="7E7AA96D" w14:textId="77777777" w:rsidR="009260DE" w:rsidRPr="00305E53" w:rsidRDefault="009260DE" w:rsidP="009260DE">
      <w:pPr>
        <w:pStyle w:val="Titel"/>
        <w:jc w:val="left"/>
        <w:rPr>
          <w:b w:val="0"/>
          <w:szCs w:val="24"/>
        </w:rPr>
      </w:pPr>
    </w:p>
    <w:p w14:paraId="42C2B508" w14:textId="77777777" w:rsidR="009260DE" w:rsidRPr="00305E53" w:rsidRDefault="009260DE" w:rsidP="009260DE">
      <w:pPr>
        <w:jc w:val="center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PRODUKTRESUMÉ</w:t>
      </w:r>
    </w:p>
    <w:p w14:paraId="42A7C641" w14:textId="77777777" w:rsidR="009260DE" w:rsidRPr="00305E53" w:rsidRDefault="009260DE" w:rsidP="009260DE">
      <w:pPr>
        <w:jc w:val="center"/>
        <w:rPr>
          <w:b/>
          <w:sz w:val="24"/>
          <w:szCs w:val="24"/>
        </w:rPr>
      </w:pPr>
    </w:p>
    <w:p w14:paraId="396D76FE" w14:textId="77777777" w:rsidR="009260DE" w:rsidRPr="00305E53" w:rsidRDefault="009260DE" w:rsidP="009260DE">
      <w:pPr>
        <w:jc w:val="center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for</w:t>
      </w:r>
    </w:p>
    <w:p w14:paraId="377ABDC6" w14:textId="77777777" w:rsidR="000B058C" w:rsidRPr="00305E53" w:rsidRDefault="000B058C" w:rsidP="009260DE">
      <w:pPr>
        <w:jc w:val="center"/>
        <w:rPr>
          <w:b/>
          <w:sz w:val="24"/>
          <w:szCs w:val="24"/>
        </w:rPr>
      </w:pPr>
    </w:p>
    <w:p w14:paraId="7ACF240D" w14:textId="1995CB8B" w:rsidR="009260DE" w:rsidRPr="00305E53" w:rsidRDefault="00FA3EAD" w:rsidP="009260DE">
      <w:pPr>
        <w:jc w:val="center"/>
        <w:rPr>
          <w:b/>
          <w:sz w:val="24"/>
          <w:szCs w:val="24"/>
        </w:rPr>
      </w:pPr>
      <w:proofErr w:type="spellStart"/>
      <w:r w:rsidRPr="00305E53">
        <w:rPr>
          <w:b/>
          <w:sz w:val="24"/>
          <w:szCs w:val="24"/>
        </w:rPr>
        <w:t>Kaliumiodid</w:t>
      </w:r>
      <w:proofErr w:type="spellEnd"/>
      <w:r w:rsidRPr="00305E53">
        <w:rPr>
          <w:b/>
          <w:sz w:val="24"/>
          <w:szCs w:val="24"/>
        </w:rPr>
        <w:t xml:space="preserve"> "SERB", tabletter</w:t>
      </w:r>
    </w:p>
    <w:p w14:paraId="77A6FFBB" w14:textId="77777777" w:rsidR="009260DE" w:rsidRPr="00305E53" w:rsidRDefault="009260DE" w:rsidP="009260DE">
      <w:pPr>
        <w:jc w:val="both"/>
        <w:rPr>
          <w:sz w:val="24"/>
          <w:szCs w:val="24"/>
        </w:rPr>
      </w:pPr>
    </w:p>
    <w:p w14:paraId="5CAD9042" w14:textId="77777777" w:rsidR="009260DE" w:rsidRPr="00305E53" w:rsidRDefault="009260DE" w:rsidP="009260DE">
      <w:pPr>
        <w:jc w:val="both"/>
        <w:rPr>
          <w:sz w:val="24"/>
          <w:szCs w:val="24"/>
        </w:rPr>
      </w:pPr>
    </w:p>
    <w:p w14:paraId="09842067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0.</w:t>
      </w:r>
      <w:r w:rsidRPr="00305E53">
        <w:rPr>
          <w:b/>
          <w:sz w:val="24"/>
          <w:szCs w:val="24"/>
        </w:rPr>
        <w:tab/>
        <w:t>D.SP.NR.</w:t>
      </w:r>
    </w:p>
    <w:p w14:paraId="2CDBBC87" w14:textId="33BE8AC1" w:rsidR="009260DE" w:rsidRPr="00305E53" w:rsidRDefault="00FA3EAD" w:rsidP="009260DE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33033</w:t>
      </w:r>
    </w:p>
    <w:p w14:paraId="04DC47DC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BD7AF9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1.</w:t>
      </w:r>
      <w:r w:rsidRPr="00305E53">
        <w:rPr>
          <w:b/>
          <w:sz w:val="24"/>
          <w:szCs w:val="24"/>
        </w:rPr>
        <w:tab/>
        <w:t>LÆGEMIDLETS NAVN</w:t>
      </w:r>
    </w:p>
    <w:p w14:paraId="2D2350D7" w14:textId="1B378B04" w:rsidR="009260DE" w:rsidRPr="00305E53" w:rsidRDefault="00FA3EA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"SERB"</w:t>
      </w:r>
    </w:p>
    <w:p w14:paraId="3EE10C4A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A157F6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2.</w:t>
      </w:r>
      <w:r w:rsidRPr="00305E53">
        <w:rPr>
          <w:b/>
          <w:sz w:val="24"/>
          <w:szCs w:val="24"/>
        </w:rPr>
        <w:tab/>
        <w:t>KVALITATIV OG KVANTITATIV SAMMENSÆTNING</w:t>
      </w:r>
    </w:p>
    <w:p w14:paraId="0CD9870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 xml:space="preserve">Hver tablet indeholder 65 mg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(svarende til 50 mg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>).</w:t>
      </w:r>
    </w:p>
    <w:p w14:paraId="101CEBBC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408C51E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Hjælpestof(fer), som behandleren skal være opmærksom på: </w:t>
      </w:r>
      <w:proofErr w:type="spellStart"/>
      <w:r w:rsidRPr="00305E53">
        <w:rPr>
          <w:sz w:val="24"/>
          <w:szCs w:val="24"/>
        </w:rPr>
        <w:t>Lactose</w:t>
      </w:r>
      <w:proofErr w:type="spellEnd"/>
      <w:r w:rsidRPr="00305E53">
        <w:rPr>
          <w:sz w:val="24"/>
          <w:szCs w:val="24"/>
        </w:rPr>
        <w:t xml:space="preserve"> 176 mg. </w:t>
      </w:r>
    </w:p>
    <w:p w14:paraId="2034CBB4" w14:textId="77777777" w:rsidR="00305E53" w:rsidRPr="00305E53" w:rsidRDefault="00305E53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622E029F" w14:textId="6FD6D84C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Alle hjælpestoffer er anført under pkt. 6.1.</w:t>
      </w:r>
    </w:p>
    <w:p w14:paraId="0C676ABB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7641B3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3.</w:t>
      </w:r>
      <w:r w:rsidRPr="00305E53">
        <w:rPr>
          <w:b/>
          <w:sz w:val="24"/>
          <w:szCs w:val="24"/>
        </w:rPr>
        <w:tab/>
        <w:t>LÆGEMIDDELFORM</w:t>
      </w:r>
    </w:p>
    <w:p w14:paraId="3F91CAF4" w14:textId="17C07682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Tablet</w:t>
      </w:r>
      <w:r w:rsidR="00BE1C0D" w:rsidRPr="00305E53">
        <w:rPr>
          <w:sz w:val="24"/>
          <w:szCs w:val="24"/>
        </w:rPr>
        <w:t>ter</w:t>
      </w:r>
    </w:p>
    <w:p w14:paraId="5723C510" w14:textId="69E1011D" w:rsidR="00BC1722" w:rsidRPr="00305E53" w:rsidRDefault="0060242A" w:rsidP="00BC172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Hvid til råhvid, rund, flad, tablet med skrå kanter og en delekærv på den ene side, diameter</w:t>
      </w:r>
      <w:r>
        <w:rPr>
          <w:sz w:val="24"/>
          <w:szCs w:val="24"/>
        </w:rPr>
        <w:t xml:space="preserve"> </w:t>
      </w:r>
      <w:r w:rsidR="00BC1722" w:rsidRPr="00305E53">
        <w:rPr>
          <w:sz w:val="24"/>
          <w:szCs w:val="24"/>
        </w:rPr>
        <w:t>9 mm.</w:t>
      </w:r>
    </w:p>
    <w:p w14:paraId="124BC929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0070F547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Tabletten kan deles i to eller fire lige store doser.</w:t>
      </w:r>
    </w:p>
    <w:p w14:paraId="31F77648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817D6C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B58D32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</w:t>
      </w:r>
      <w:r w:rsidRPr="00305E53">
        <w:rPr>
          <w:b/>
          <w:sz w:val="24"/>
          <w:szCs w:val="24"/>
        </w:rPr>
        <w:tab/>
        <w:t>KLINISKE OPLYSNINGER</w:t>
      </w:r>
    </w:p>
    <w:p w14:paraId="2EF6A5D6" w14:textId="77777777" w:rsidR="009260DE" w:rsidRPr="00305E5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744C128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05E53">
        <w:rPr>
          <w:b/>
          <w:sz w:val="24"/>
          <w:szCs w:val="24"/>
        </w:rPr>
        <w:t>4.1</w:t>
      </w:r>
      <w:r w:rsidRPr="00305E53">
        <w:rPr>
          <w:b/>
          <w:sz w:val="24"/>
          <w:szCs w:val="24"/>
        </w:rPr>
        <w:tab/>
        <w:t>Terapeutiske indikationer</w:t>
      </w:r>
    </w:p>
    <w:p w14:paraId="713E8A88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Forebyggelse af optagelse af radioaktivt </w:t>
      </w:r>
      <w:proofErr w:type="spellStart"/>
      <w:r>
        <w:rPr>
          <w:sz w:val="24"/>
          <w:szCs w:val="24"/>
        </w:rPr>
        <w:t>iodid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 i tilfælde af en atomulykke.</w:t>
      </w:r>
    </w:p>
    <w:p w14:paraId="07557C32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14:paraId="758A3625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Dette </w:t>
      </w:r>
      <w:proofErr w:type="spellStart"/>
      <w:r>
        <w:rPr>
          <w:sz w:val="24"/>
          <w:szCs w:val="24"/>
          <w:lang w:eastAsia="da-DK"/>
        </w:rPr>
        <w:t>antidot</w:t>
      </w:r>
      <w:proofErr w:type="spellEnd"/>
      <w:r>
        <w:rPr>
          <w:sz w:val="24"/>
          <w:szCs w:val="24"/>
          <w:lang w:eastAsia="da-DK"/>
        </w:rPr>
        <w:t xml:space="preserve"> skal anvendes i overensstemmelse med de kompetente myndigheders nationale retningslinjer.</w:t>
      </w:r>
    </w:p>
    <w:p w14:paraId="753F5AE0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8E484D" w14:textId="19685E12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4.2</w:t>
      </w:r>
      <w:r w:rsidRPr="00305E53">
        <w:rPr>
          <w:b/>
          <w:sz w:val="24"/>
          <w:szCs w:val="24"/>
        </w:rPr>
        <w:tab/>
        <w:t xml:space="preserve">Dosering og </w:t>
      </w:r>
      <w:r w:rsidR="00BE1C0D" w:rsidRPr="00305E53">
        <w:rPr>
          <w:b/>
          <w:sz w:val="24"/>
          <w:szCs w:val="24"/>
        </w:rPr>
        <w:t>administration</w:t>
      </w:r>
    </w:p>
    <w:p w14:paraId="39E484F6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Dette lægemiddel bør kun indtages efter udtrykkelige instruktioner fra de nationale kompetente myndigheder.</w:t>
      </w:r>
    </w:p>
    <w:p w14:paraId="0ECDB21A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</w:p>
    <w:p w14:paraId="04365608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Administrationsprotokollen er i overensstemmelse med de seneste WHO-anbefalinger for </w:t>
      </w:r>
      <w:proofErr w:type="spellStart"/>
      <w:r>
        <w:rPr>
          <w:sz w:val="24"/>
          <w:szCs w:val="24"/>
        </w:rPr>
        <w:t>iodidprofylakse</w:t>
      </w:r>
      <w:proofErr w:type="spellEnd"/>
      <w:r>
        <w:rPr>
          <w:sz w:val="24"/>
          <w:szCs w:val="24"/>
        </w:rPr>
        <w:t xml:space="preserve"> efter nukleare ulykker (2017).</w:t>
      </w:r>
    </w:p>
    <w:p w14:paraId="032C4F79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62FEFF0E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>Dosering</w:t>
      </w:r>
    </w:p>
    <w:p w14:paraId="6B8BA38F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70E9F3B" w14:textId="407F9823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Personer, der er bosat i områder med </w:t>
      </w:r>
      <w:proofErr w:type="spellStart"/>
      <w:r w:rsidRPr="00305E53">
        <w:rPr>
          <w:sz w:val="24"/>
          <w:szCs w:val="24"/>
        </w:rPr>
        <w:t>iodmangel</w:t>
      </w:r>
      <w:proofErr w:type="spellEnd"/>
      <w:r w:rsidRPr="00305E53">
        <w:rPr>
          <w:sz w:val="24"/>
          <w:szCs w:val="24"/>
        </w:rPr>
        <w:t xml:space="preserve">, er mere tilbøjelige til at blive påvirket af eksponering for radioaktivt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. På sådanne steder bør overvejes nationale eller regionale programmer, der er målrettet </w:t>
      </w:r>
      <w:proofErr w:type="spellStart"/>
      <w:r w:rsidR="00916E9F">
        <w:rPr>
          <w:sz w:val="24"/>
          <w:szCs w:val="24"/>
        </w:rPr>
        <w:t>i</w:t>
      </w:r>
      <w:r w:rsidR="00916E9F" w:rsidRPr="00305E53">
        <w:rPr>
          <w:sz w:val="24"/>
          <w:szCs w:val="24"/>
        </w:rPr>
        <w:t>odmangel</w:t>
      </w:r>
      <w:proofErr w:type="spellEnd"/>
      <w:r w:rsidRPr="00305E53">
        <w:rPr>
          <w:sz w:val="24"/>
          <w:szCs w:val="24"/>
        </w:rPr>
        <w:t>.</w:t>
      </w:r>
    </w:p>
    <w:p w14:paraId="36FF850F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3A05623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  <w:r w:rsidRPr="00305E53">
        <w:rPr>
          <w:i/>
          <w:sz w:val="24"/>
          <w:szCs w:val="24"/>
        </w:rPr>
        <w:t>Tidspunkt for administration</w:t>
      </w:r>
    </w:p>
    <w:p w14:paraId="39152D58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305E53">
        <w:rPr>
          <w:sz w:val="24"/>
          <w:szCs w:val="24"/>
        </w:rPr>
        <w:t xml:space="preserve">Det optimale tidsrum for administration af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er mindre end 24 timer før og op til 2 timer efter den forventede eksponeringsindtræden. Det ville stadig være inden for rimelig tid at administrere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op til 8 timer efter den estimerede eksponeringsindtræden. Se også pkt. 4.4.</w:t>
      </w:r>
    </w:p>
    <w:p w14:paraId="7C795E62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proofErr w:type="spellStart"/>
      <w:r w:rsidRPr="00305E53">
        <w:rPr>
          <w:sz w:val="24"/>
          <w:szCs w:val="24"/>
          <w:u w:val="single"/>
        </w:rPr>
        <w:t>Kaliumiodid</w:t>
      </w:r>
      <w:proofErr w:type="spellEnd"/>
      <w:r w:rsidRPr="00305E53">
        <w:rPr>
          <w:sz w:val="24"/>
          <w:szCs w:val="24"/>
          <w:u w:val="single"/>
        </w:rPr>
        <w:t xml:space="preserve"> bør ikke administreres senere end 24 timer efter eksponering</w:t>
      </w:r>
      <w:r w:rsidRPr="00305E53">
        <w:rPr>
          <w:sz w:val="24"/>
          <w:szCs w:val="24"/>
        </w:rPr>
        <w:t xml:space="preserve">. </w:t>
      </w:r>
    </w:p>
    <w:p w14:paraId="5726D880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084C8CEE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  <w:r w:rsidRPr="00305E53">
        <w:rPr>
          <w:i/>
          <w:sz w:val="24"/>
          <w:szCs w:val="24"/>
        </w:rPr>
        <w:t>Anbefalet enkeltdosis i henhold til alder</w:t>
      </w:r>
    </w:p>
    <w:p w14:paraId="7BC7458C" w14:textId="77777777" w:rsidR="00BC1722" w:rsidRPr="00305E53" w:rsidRDefault="00BC1722" w:rsidP="00BC1722">
      <w:pPr>
        <w:numPr>
          <w:ilvl w:val="0"/>
          <w:numId w:val="7"/>
        </w:numPr>
        <w:tabs>
          <w:tab w:val="left" w:pos="851"/>
        </w:tabs>
        <w:ind w:left="1276" w:hanging="425"/>
        <w:rPr>
          <w:i/>
          <w:sz w:val="24"/>
          <w:szCs w:val="24"/>
          <w:u w:val="single"/>
        </w:rPr>
      </w:pPr>
      <w:r w:rsidRPr="00305E53">
        <w:rPr>
          <w:i/>
          <w:sz w:val="24"/>
          <w:szCs w:val="24"/>
          <w:u w:val="single"/>
        </w:rPr>
        <w:t>Voksne heriblandt gravide og ammende kvinder.</w:t>
      </w:r>
    </w:p>
    <w:p w14:paraId="26C409D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49B95770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Standarddosis er specificeret nedenfor: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923"/>
        <w:gridCol w:w="2585"/>
      </w:tblGrid>
      <w:tr w:rsidR="00BC1722" w:rsidRPr="00305E53" w14:paraId="073BE026" w14:textId="77777777" w:rsidTr="00BC1722">
        <w:trPr>
          <w:trHeight w:val="209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4C96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FBB8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Kaliumiodiddosis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AAE4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Kaliumiodid</w:t>
            </w:r>
            <w:proofErr w:type="spellEnd"/>
            <w:r w:rsidRPr="00305E53">
              <w:rPr>
                <w:sz w:val="24"/>
                <w:szCs w:val="24"/>
              </w:rPr>
              <w:t xml:space="preserve"> 65 mg tablet</w:t>
            </w:r>
          </w:p>
        </w:tc>
      </w:tr>
      <w:tr w:rsidR="00BC1722" w:rsidRPr="00305E53" w14:paraId="18DAA6F8" w14:textId="77777777" w:rsidTr="00BC1722">
        <w:trPr>
          <w:trHeight w:val="22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B3E6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Voksne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4AD5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130 mg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A3C6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 xml:space="preserve">2 </w:t>
            </w:r>
          </w:p>
        </w:tc>
      </w:tr>
    </w:tbl>
    <w:p w14:paraId="174428E0" w14:textId="77777777" w:rsidR="00BC1722" w:rsidRPr="00305E53" w:rsidRDefault="00BC1722" w:rsidP="00BC1722">
      <w:pPr>
        <w:tabs>
          <w:tab w:val="left" w:pos="851"/>
        </w:tabs>
        <w:rPr>
          <w:iCs/>
          <w:sz w:val="24"/>
          <w:szCs w:val="24"/>
          <w:u w:val="single"/>
          <w:lang w:eastAsia="da-DK"/>
        </w:rPr>
      </w:pPr>
    </w:p>
    <w:p w14:paraId="2CE0D65E" w14:textId="77777777" w:rsidR="00BC1722" w:rsidRPr="00305E53" w:rsidRDefault="00BC1722" w:rsidP="00BC1722">
      <w:pPr>
        <w:numPr>
          <w:ilvl w:val="0"/>
          <w:numId w:val="7"/>
        </w:numPr>
        <w:tabs>
          <w:tab w:val="left" w:pos="851"/>
        </w:tabs>
        <w:ind w:left="1276" w:hanging="425"/>
        <w:rPr>
          <w:i/>
          <w:sz w:val="24"/>
          <w:szCs w:val="24"/>
          <w:u w:val="single"/>
        </w:rPr>
      </w:pPr>
      <w:r w:rsidRPr="00305E53">
        <w:rPr>
          <w:i/>
          <w:sz w:val="24"/>
          <w:szCs w:val="24"/>
          <w:u w:val="single"/>
        </w:rPr>
        <w:t>Pædiatrisk population</w:t>
      </w:r>
    </w:p>
    <w:p w14:paraId="488CA87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Standarddosis er defineret i henhold til patientens alder: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923"/>
        <w:gridCol w:w="2585"/>
      </w:tblGrid>
      <w:tr w:rsidR="00BC1722" w:rsidRPr="00305E53" w14:paraId="00D0E3F2" w14:textId="77777777" w:rsidTr="00BC1722">
        <w:trPr>
          <w:trHeight w:val="34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E27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559D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Kaliumiodiddosis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1A89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Kaliumiodid</w:t>
            </w:r>
            <w:proofErr w:type="spellEnd"/>
            <w:r w:rsidRPr="00305E53">
              <w:rPr>
                <w:sz w:val="24"/>
                <w:szCs w:val="24"/>
              </w:rPr>
              <w:t xml:space="preserve"> 65 mg tablet</w:t>
            </w:r>
          </w:p>
        </w:tc>
      </w:tr>
      <w:tr w:rsidR="00BC1722" w:rsidRPr="00305E53" w14:paraId="5B7057EA" w14:textId="77777777" w:rsidTr="00BC1722">
        <w:trPr>
          <w:trHeight w:val="28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7D39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Unge (over 12 år)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EA64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130 mg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FF34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 xml:space="preserve">2 </w:t>
            </w:r>
          </w:p>
        </w:tc>
      </w:tr>
      <w:tr w:rsidR="00BC1722" w:rsidRPr="00305E53" w14:paraId="6BC2E303" w14:textId="77777777" w:rsidTr="00BC1722">
        <w:trPr>
          <w:trHeight w:val="263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6BE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Børn (fra 3 til 12 år)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25F4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65 mg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016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</w:t>
            </w:r>
          </w:p>
        </w:tc>
      </w:tr>
      <w:tr w:rsidR="00BC1722" w:rsidRPr="00305E53" w14:paraId="204DCA65" w14:textId="77777777" w:rsidTr="00BC172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D038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Spædbørn (fra 1 måned til 3 år)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BE00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32 mg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CEAF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1/2</w:t>
            </w:r>
          </w:p>
        </w:tc>
      </w:tr>
      <w:tr w:rsidR="00BC1722" w:rsidRPr="00305E53" w14:paraId="72FD3978" w14:textId="77777777" w:rsidTr="00BC1722">
        <w:trPr>
          <w:trHeight w:val="1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4EB8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Nyfødte (&lt; 1 måned)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45E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16 mg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E6B9" w14:textId="77777777" w:rsidR="00BC1722" w:rsidRPr="00305E53" w:rsidRDefault="00BC172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1/4</w:t>
            </w:r>
          </w:p>
        </w:tc>
      </w:tr>
    </w:tbl>
    <w:p w14:paraId="7D4C4C98" w14:textId="77777777" w:rsidR="0060242A" w:rsidRP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</w:p>
    <w:p w14:paraId="73235E40" w14:textId="77777777" w:rsidR="0060242A" w:rsidRDefault="0060242A" w:rsidP="0060242A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Gentagne doser ved længere tids eksponering </w:t>
      </w:r>
    </w:p>
    <w:p w14:paraId="2EE3A0FB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enkelt administration af stabilt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er sædvanligvis tilstrækkelig. I tilfælde af langvarig eksponering kan der administreres yderligere doser efter udtrykkelige instruktioner fra de kompetente myndigheder.</w:t>
      </w:r>
    </w:p>
    <w:p w14:paraId="6DA38E07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Nyfødte (&lt; 1 måned), gravide og ammende kvinder samt ældre voksne (over 60 år) bør ikke få gentagne doser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. </w:t>
      </w:r>
    </w:p>
    <w:p w14:paraId="747DA3B0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12FD91F9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  <w:r w:rsidRPr="00305E53">
        <w:rPr>
          <w:i/>
          <w:sz w:val="24"/>
          <w:szCs w:val="24"/>
        </w:rPr>
        <w:t>Nedsat nyrefunktion</w:t>
      </w:r>
    </w:p>
    <w:p w14:paraId="24D5BAD3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Der er ingen tilgængelige oplysninger, der tyder på, at en dosisreduktion er nødvendig.</w:t>
      </w:r>
    </w:p>
    <w:p w14:paraId="366D016D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Som følge af nedsat </w:t>
      </w:r>
      <w:proofErr w:type="spellStart"/>
      <w:r w:rsidRPr="00305E53">
        <w:rPr>
          <w:sz w:val="24"/>
          <w:szCs w:val="24"/>
        </w:rPr>
        <w:t>renal</w:t>
      </w:r>
      <w:proofErr w:type="spellEnd"/>
      <w:r w:rsidRPr="00305E53">
        <w:rPr>
          <w:sz w:val="24"/>
          <w:szCs w:val="24"/>
        </w:rPr>
        <w:t xml:space="preserve"> udskillelse er der dog en risiko for ophobning af lægemiddel i kroppen.</w:t>
      </w:r>
    </w:p>
    <w:p w14:paraId="0EDC8519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3CEAC309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  <w:r w:rsidRPr="00305E53">
        <w:rPr>
          <w:i/>
          <w:sz w:val="24"/>
          <w:szCs w:val="24"/>
        </w:rPr>
        <w:t>Nedsat leverfunktion</w:t>
      </w:r>
    </w:p>
    <w:p w14:paraId="1548F787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Der er ingen tilgængelige oplysninger, der tyder på, at en dosisreduktion er nødvendig.</w:t>
      </w:r>
    </w:p>
    <w:p w14:paraId="2B4CC5EB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Som følge af nedsat leverafgiftning er der dog en risiko for ophobning af lægemiddel i kroppen.</w:t>
      </w:r>
    </w:p>
    <w:p w14:paraId="3B5193F9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43A69BDC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  <w:r w:rsidRPr="00305E53">
        <w:rPr>
          <w:i/>
          <w:sz w:val="24"/>
          <w:szCs w:val="24"/>
        </w:rPr>
        <w:t>Ældre</w:t>
      </w:r>
    </w:p>
    <w:p w14:paraId="69B6300B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Der er ingen tilgængelige oplysninger, der tyder på, at en dosisreduktion er nødvendig.</w:t>
      </w:r>
    </w:p>
    <w:p w14:paraId="0D5E1022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lastRenderedPageBreak/>
        <w:t>Da denne population har en højere risiko for nedsat lever- og/eller nyrefunktion, er der dog en risiko for ophobning af lægemiddel i kroppen.</w:t>
      </w:r>
    </w:p>
    <w:p w14:paraId="6C9D9EAC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Som følge af en øget risiko for allerede eksisterende sygdom i skjoldbruskkirtlen hos den ældre population bør gentagne doser ikke gives.</w:t>
      </w:r>
    </w:p>
    <w:p w14:paraId="75DD20C5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3F3F222C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 xml:space="preserve">Administration </w:t>
      </w:r>
    </w:p>
    <w:p w14:paraId="740ECE85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Tabletterne er forsynet med delekærv for at lette doseringen til børn. </w:t>
      </w:r>
    </w:p>
    <w:p w14:paraId="7715AAAA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Tabletten kan tygges, synkes eller knuses og blandes med frugtjuice, syltetøj, mælk eller lignende substans. </w:t>
      </w:r>
    </w:p>
    <w:p w14:paraId="154140C2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I tilfælde af opløsning skal blandingen indtages umiddelbart herefter.  </w:t>
      </w:r>
    </w:p>
    <w:p w14:paraId="035E15D7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Mad i maven kan forsinke absorptionen. Det er derfor at foretrække, at tabletten indtages uden samtidig indtagelse af mad.</w:t>
      </w:r>
    </w:p>
    <w:p w14:paraId="2A31AEEF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10BE0C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4.3</w:t>
      </w:r>
      <w:r w:rsidRPr="00305E53">
        <w:rPr>
          <w:b/>
          <w:sz w:val="24"/>
          <w:szCs w:val="24"/>
        </w:rPr>
        <w:tab/>
        <w:t>Kontraindikationer</w:t>
      </w:r>
    </w:p>
    <w:p w14:paraId="3FFB1DE5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Overfølsomhed over for det aktive stof eller over for et eller flere af hjælpestofferne anført i pkt. 6.1.</w:t>
      </w:r>
    </w:p>
    <w:p w14:paraId="1FB6A4F9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proofErr w:type="spellStart"/>
      <w:r w:rsidRPr="00305E53">
        <w:rPr>
          <w:sz w:val="24"/>
          <w:szCs w:val="24"/>
        </w:rPr>
        <w:t>Dermatitis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herpetiformis</w:t>
      </w:r>
      <w:proofErr w:type="spellEnd"/>
      <w:r w:rsidRPr="00305E53">
        <w:rPr>
          <w:sz w:val="24"/>
          <w:szCs w:val="24"/>
        </w:rPr>
        <w:t xml:space="preserve"> (</w:t>
      </w:r>
      <w:proofErr w:type="spellStart"/>
      <w:r w:rsidRPr="00305E53">
        <w:rPr>
          <w:sz w:val="24"/>
          <w:szCs w:val="24"/>
        </w:rPr>
        <w:t>Duhring-Brocq</w:t>
      </w:r>
      <w:proofErr w:type="spellEnd"/>
      <w:r w:rsidRPr="00305E53">
        <w:rPr>
          <w:sz w:val="24"/>
          <w:szCs w:val="24"/>
        </w:rPr>
        <w:t xml:space="preserve"> sygdom)</w:t>
      </w:r>
    </w:p>
    <w:p w14:paraId="3CE3A293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proofErr w:type="spellStart"/>
      <w:r w:rsidRPr="00305E53">
        <w:rPr>
          <w:sz w:val="24"/>
          <w:szCs w:val="24"/>
        </w:rPr>
        <w:t>Hypokomplementæmisk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urticarial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vaskulitis</w:t>
      </w:r>
      <w:proofErr w:type="spellEnd"/>
      <w:r w:rsidRPr="00305E53">
        <w:rPr>
          <w:sz w:val="24"/>
          <w:szCs w:val="24"/>
        </w:rPr>
        <w:t xml:space="preserve"> (Mac </w:t>
      </w:r>
      <w:proofErr w:type="spellStart"/>
      <w:r w:rsidRPr="00305E53">
        <w:rPr>
          <w:sz w:val="24"/>
          <w:szCs w:val="24"/>
        </w:rPr>
        <w:t>Duffie</w:t>
      </w:r>
      <w:proofErr w:type="spellEnd"/>
      <w:r w:rsidRPr="00305E53">
        <w:rPr>
          <w:sz w:val="24"/>
          <w:szCs w:val="24"/>
        </w:rPr>
        <w:t xml:space="preserve"> syndrom)</w:t>
      </w:r>
    </w:p>
    <w:p w14:paraId="4DB55ADD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6BB13E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4.4</w:t>
      </w:r>
      <w:r w:rsidRPr="00305E53">
        <w:rPr>
          <w:b/>
          <w:sz w:val="24"/>
          <w:szCs w:val="24"/>
        </w:rPr>
        <w:tab/>
        <w:t>Særlige advarsler og forsigtighedsregler vedrørende brugen</w:t>
      </w:r>
    </w:p>
    <w:p w14:paraId="6D0415AE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Dette lægemiddel bør tages umiddelbart efter udtrykkelige instruktioner fra de kompetente myndigheder (se pkt. 4.2).</w:t>
      </w:r>
    </w:p>
    <w:p w14:paraId="50C0ACB2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0AAE058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Sen indtagelse af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-tabletter (24 timer efter eksponering) kan være skadeligt, da det vil forlænge halveringstiden for radioaktivt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, der har ophobet sig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. Det fører til mulig </w:t>
      </w:r>
      <w:proofErr w:type="spellStart"/>
      <w:r w:rsidRPr="00305E53">
        <w:rPr>
          <w:sz w:val="24"/>
          <w:szCs w:val="24"/>
        </w:rPr>
        <w:t>hypotyreose</w:t>
      </w:r>
      <w:proofErr w:type="spellEnd"/>
      <w:r w:rsidRPr="00305E53">
        <w:rPr>
          <w:sz w:val="24"/>
          <w:szCs w:val="24"/>
        </w:rPr>
        <w:t xml:space="preserve"> ved destruktion af </w:t>
      </w:r>
      <w:proofErr w:type="spellStart"/>
      <w:r w:rsidRPr="00305E53">
        <w:rPr>
          <w:sz w:val="24"/>
          <w:szCs w:val="24"/>
        </w:rPr>
        <w:t>thyroideaceller</w:t>
      </w:r>
      <w:proofErr w:type="spellEnd"/>
      <w:r w:rsidRPr="00305E53">
        <w:rPr>
          <w:sz w:val="24"/>
          <w:szCs w:val="24"/>
        </w:rPr>
        <w:t xml:space="preserve"> og til </w:t>
      </w:r>
      <w:proofErr w:type="spellStart"/>
      <w:r w:rsidRPr="00305E53">
        <w:rPr>
          <w:sz w:val="24"/>
          <w:szCs w:val="24"/>
        </w:rPr>
        <w:t>thyroideacancer</w:t>
      </w:r>
      <w:proofErr w:type="spellEnd"/>
      <w:r w:rsidRPr="00305E53">
        <w:rPr>
          <w:sz w:val="24"/>
          <w:szCs w:val="24"/>
        </w:rPr>
        <w:t>.</w:t>
      </w:r>
    </w:p>
    <w:p w14:paraId="5115DB5D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080156FA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Forholdsregler ved brug</w:t>
      </w:r>
    </w:p>
    <w:p w14:paraId="367277CF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De grupper, der sandsynligvis får størst gavn af behandling med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-tabletter efter eksponering for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, er børn, unge, gravide og ammende kvinder, samt personer, der bor i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-fattige områder (som er mere tilbøjelige til at blive påvirket af eksponering for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). Hvis forsyningen af stabilt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er begrænset, bør børn og unge prioriteres.</w:t>
      </w:r>
    </w:p>
    <w:p w14:paraId="606B0282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Voksne over 40 år får sandsynligvis mindre gavn af behandling med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-tabletter efter eksponering for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. Personer, der er i risiko for at blive eksponeret for høje doser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(f.eks. personer, der er involveret i rednings- eller oprydningsarbejde), er dog mere tilbøjelige til at få gavn af behandlingen uanset alder, og bør prioriteres.</w:t>
      </w:r>
    </w:p>
    <w:p w14:paraId="044C2BEB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Profylakse med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beskytter mod indåndet eller indtaget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, men har ingen effekt på andre </w:t>
      </w:r>
      <w:proofErr w:type="spellStart"/>
      <w:r>
        <w:rPr>
          <w:sz w:val="24"/>
          <w:szCs w:val="24"/>
        </w:rPr>
        <w:t>radionuklider</w:t>
      </w:r>
      <w:proofErr w:type="spellEnd"/>
      <w:r>
        <w:rPr>
          <w:sz w:val="24"/>
          <w:szCs w:val="24"/>
        </w:rPr>
        <w:t>.</w:t>
      </w:r>
    </w:p>
    <w:p w14:paraId="793D7F0E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Der kan ses en forstørrelse af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, dvs. struma, efter 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(se pkt. 4.8). Det kan efterfølgende føre til åndedrætsbesvær eller synkebesvær på grund af tryk på det omkringliggende væv.</w:t>
      </w:r>
    </w:p>
    <w:p w14:paraId="47402E20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skal administreres med forsigtighed til personer med </w:t>
      </w:r>
      <w:proofErr w:type="spellStart"/>
      <w:r>
        <w:rPr>
          <w:sz w:val="24"/>
          <w:szCs w:val="24"/>
        </w:rPr>
        <w:t>thyroidealidelser</w:t>
      </w:r>
      <w:proofErr w:type="spellEnd"/>
      <w:r>
        <w:rPr>
          <w:sz w:val="24"/>
          <w:szCs w:val="24"/>
        </w:rPr>
        <w:t xml:space="preserve">, da de har højere risiko for at udvikle </w:t>
      </w:r>
      <w:proofErr w:type="spellStart"/>
      <w:r>
        <w:rPr>
          <w:sz w:val="24"/>
          <w:szCs w:val="24"/>
        </w:rPr>
        <w:t>thyreoidea</w:t>
      </w:r>
      <w:proofErr w:type="spellEnd"/>
      <w:r>
        <w:rPr>
          <w:sz w:val="24"/>
          <w:szCs w:val="24"/>
        </w:rPr>
        <w:t xml:space="preserve">-relaterede bivirkninger (f.eks. </w:t>
      </w:r>
      <w:proofErr w:type="spellStart"/>
      <w:r>
        <w:rPr>
          <w:sz w:val="24"/>
          <w:szCs w:val="24"/>
        </w:rPr>
        <w:t>hyperthyroidisme</w:t>
      </w:r>
      <w:proofErr w:type="spellEnd"/>
      <w:r>
        <w:rPr>
          <w:sz w:val="24"/>
          <w:szCs w:val="24"/>
        </w:rPr>
        <w:t xml:space="preserve">), især ved gentagen administration. Patienterne bør fortsætte deres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>-behandling og få foretaget medicinske undersøgelser og biologiske prøver regelmæssigt med korte intervaller.</w:t>
      </w:r>
    </w:p>
    <w:p w14:paraId="04366D27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Administration af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interfererer med behandling med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>-diagnostik.</w:t>
      </w:r>
    </w:p>
    <w:p w14:paraId="37061762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Iod</w:t>
      </w:r>
      <w:proofErr w:type="spellEnd"/>
      <w:r>
        <w:rPr>
          <w:sz w:val="24"/>
          <w:szCs w:val="24"/>
        </w:rPr>
        <w:t xml:space="preserve"> bør generelt ikke administreres ved tilstedeværelse af kendt eller formodet </w:t>
      </w:r>
      <w:proofErr w:type="spellStart"/>
      <w:r>
        <w:rPr>
          <w:sz w:val="24"/>
          <w:szCs w:val="24"/>
        </w:rPr>
        <w:t>thyroideacancer</w:t>
      </w:r>
      <w:proofErr w:type="spellEnd"/>
      <w:r>
        <w:rPr>
          <w:sz w:val="24"/>
          <w:szCs w:val="24"/>
        </w:rPr>
        <w:t>.</w:t>
      </w:r>
    </w:p>
    <w:p w14:paraId="7FBBD680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</w:p>
    <w:p w14:paraId="6420ECC6" w14:textId="77777777" w:rsidR="0060242A" w:rsidRDefault="0060242A" w:rsidP="0060242A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14:paraId="5E2866EE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Risikoen for </w:t>
      </w:r>
      <w:proofErr w:type="spellStart"/>
      <w:r>
        <w:rPr>
          <w:sz w:val="24"/>
          <w:szCs w:val="24"/>
        </w:rPr>
        <w:t>thyroideakarcinom</w:t>
      </w:r>
      <w:proofErr w:type="spellEnd"/>
      <w:r>
        <w:rPr>
          <w:sz w:val="24"/>
          <w:szCs w:val="24"/>
        </w:rPr>
        <w:t xml:space="preserve"> efter eksponering for stråling er højere hos yngre børn på eksponeringstidspunktet. Da deres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 stadigvæk vokser, er nyfødte og børn mere modtagelige over for de farlige virkninger af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end voksne, og de bør prioriteres og behandles med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først.</w:t>
      </w:r>
    </w:p>
    <w:p w14:paraId="4F01B418" w14:textId="77777777" w:rsidR="0060242A" w:rsidRDefault="0060242A" w:rsidP="0060242A">
      <w:pPr>
        <w:pStyle w:val="Listeafsnit"/>
        <w:numPr>
          <w:ilvl w:val="0"/>
          <w:numId w:val="8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Der kan ses </w:t>
      </w:r>
      <w:proofErr w:type="spellStart"/>
      <w:r>
        <w:rPr>
          <w:sz w:val="24"/>
          <w:szCs w:val="24"/>
        </w:rPr>
        <w:t>hypothyroidisme</w:t>
      </w:r>
      <w:proofErr w:type="spellEnd"/>
      <w:r>
        <w:rPr>
          <w:sz w:val="24"/>
          <w:szCs w:val="24"/>
        </w:rPr>
        <w:t xml:space="preserve"> efter 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(se pkt. 4.8).</w:t>
      </w:r>
      <w:r>
        <w:t xml:space="preserve"> </w:t>
      </w:r>
      <w:r>
        <w:rPr>
          <w:sz w:val="24"/>
          <w:szCs w:val="24"/>
        </w:rPr>
        <w:t xml:space="preserve">Da forbigående </w:t>
      </w:r>
      <w:proofErr w:type="spellStart"/>
      <w:r>
        <w:rPr>
          <w:sz w:val="24"/>
          <w:szCs w:val="24"/>
        </w:rPr>
        <w:t>hypothyroidisme</w:t>
      </w:r>
      <w:proofErr w:type="spellEnd"/>
      <w:r>
        <w:rPr>
          <w:sz w:val="24"/>
          <w:szCs w:val="24"/>
        </w:rPr>
        <w:t xml:space="preserve"> under hjernens udvikling i denne tidlige periode kan resultere i nedsatte intellektuelle evner, bør nyfødte (fra fødslen til 1 måned), der får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, overvåges for potentiel udvikling af </w:t>
      </w:r>
      <w:proofErr w:type="spellStart"/>
      <w:r>
        <w:rPr>
          <w:sz w:val="24"/>
          <w:szCs w:val="24"/>
        </w:rPr>
        <w:t>hypothyroidisme</w:t>
      </w:r>
      <w:proofErr w:type="spellEnd"/>
      <w:r>
        <w:rPr>
          <w:sz w:val="24"/>
          <w:szCs w:val="24"/>
        </w:rPr>
        <w:t xml:space="preserve"> ved måling af </w:t>
      </w:r>
      <w:proofErr w:type="spellStart"/>
      <w:r>
        <w:rPr>
          <w:sz w:val="24"/>
          <w:szCs w:val="24"/>
        </w:rPr>
        <w:t>thyrotropin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thyroideastimulerende</w:t>
      </w:r>
      <w:proofErr w:type="spellEnd"/>
      <w:r>
        <w:rPr>
          <w:sz w:val="24"/>
          <w:szCs w:val="24"/>
        </w:rPr>
        <w:t xml:space="preserve"> hormon, TSH) og, hvis det er indiceret, bør frit </w:t>
      </w:r>
      <w:proofErr w:type="spellStart"/>
      <w:r>
        <w:rPr>
          <w:sz w:val="24"/>
          <w:szCs w:val="24"/>
        </w:rPr>
        <w:t>thyroxin</w:t>
      </w:r>
      <w:proofErr w:type="spellEnd"/>
      <w:r>
        <w:rPr>
          <w:sz w:val="24"/>
          <w:szCs w:val="24"/>
        </w:rPr>
        <w:t xml:space="preserve"> (frit T4) og </w:t>
      </w:r>
      <w:proofErr w:type="spellStart"/>
      <w:r>
        <w:rPr>
          <w:sz w:val="24"/>
          <w:szCs w:val="24"/>
        </w:rPr>
        <w:t>thyroid</w:t>
      </w:r>
      <w:proofErr w:type="spellEnd"/>
      <w:r>
        <w:rPr>
          <w:sz w:val="24"/>
          <w:szCs w:val="24"/>
        </w:rPr>
        <w:t xml:space="preserve"> substitutionsbehandling påbegyndes, hvis der opstår </w:t>
      </w:r>
      <w:proofErr w:type="spellStart"/>
      <w:r>
        <w:rPr>
          <w:sz w:val="24"/>
          <w:szCs w:val="24"/>
        </w:rPr>
        <w:t>hypothyroidisme</w:t>
      </w:r>
      <w:proofErr w:type="spellEnd"/>
      <w:r>
        <w:rPr>
          <w:sz w:val="24"/>
          <w:szCs w:val="24"/>
        </w:rPr>
        <w:t xml:space="preserve">. Derudover bør gentagen 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til nyfødte undgås for at minimere risikoen for </w:t>
      </w:r>
      <w:proofErr w:type="spellStart"/>
      <w:r>
        <w:rPr>
          <w:sz w:val="24"/>
          <w:szCs w:val="24"/>
        </w:rPr>
        <w:t>hypothyroidisme</w:t>
      </w:r>
      <w:proofErr w:type="spellEnd"/>
      <w:r>
        <w:rPr>
          <w:sz w:val="24"/>
          <w:szCs w:val="24"/>
        </w:rPr>
        <w:t xml:space="preserve"> i en periode med kritisk udvikling af hjernen.</w:t>
      </w:r>
    </w:p>
    <w:p w14:paraId="43F41777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063518AF" w14:textId="77777777" w:rsidR="00BC1722" w:rsidRPr="00305E53" w:rsidRDefault="00BC1722" w:rsidP="00BC1722">
      <w:pPr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305E53">
        <w:rPr>
          <w:b/>
          <w:sz w:val="24"/>
          <w:szCs w:val="24"/>
        </w:rPr>
        <w:t>Lactose</w:t>
      </w:r>
      <w:proofErr w:type="spellEnd"/>
    </w:p>
    <w:p w14:paraId="5B7B7302" w14:textId="3E00ACFE" w:rsidR="009260DE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Bør ikke anvendes til patienter med hereditær </w:t>
      </w:r>
      <w:proofErr w:type="spellStart"/>
      <w:r w:rsidRPr="00305E53">
        <w:rPr>
          <w:sz w:val="24"/>
          <w:szCs w:val="24"/>
        </w:rPr>
        <w:t>galactoseintolerans</w:t>
      </w:r>
      <w:proofErr w:type="spellEnd"/>
      <w:r w:rsidRPr="00305E53">
        <w:rPr>
          <w:sz w:val="24"/>
          <w:szCs w:val="24"/>
        </w:rPr>
        <w:t xml:space="preserve">, total </w:t>
      </w:r>
      <w:proofErr w:type="spellStart"/>
      <w:r w:rsidRPr="00305E53">
        <w:rPr>
          <w:sz w:val="24"/>
          <w:szCs w:val="24"/>
        </w:rPr>
        <w:t>lactasemangel</w:t>
      </w:r>
      <w:proofErr w:type="spellEnd"/>
      <w:r w:rsidRPr="00305E53">
        <w:rPr>
          <w:sz w:val="24"/>
          <w:szCs w:val="24"/>
        </w:rPr>
        <w:t xml:space="preserve"> eller </w:t>
      </w:r>
      <w:proofErr w:type="spellStart"/>
      <w:r w:rsidRPr="00305E53">
        <w:rPr>
          <w:sz w:val="24"/>
          <w:szCs w:val="24"/>
        </w:rPr>
        <w:t>glucose</w:t>
      </w:r>
      <w:proofErr w:type="spellEnd"/>
      <w:r w:rsidRPr="00305E53">
        <w:rPr>
          <w:sz w:val="24"/>
          <w:szCs w:val="24"/>
        </w:rPr>
        <w:t>/</w:t>
      </w:r>
      <w:proofErr w:type="spellStart"/>
      <w:r w:rsidRPr="00305E53">
        <w:rPr>
          <w:sz w:val="24"/>
          <w:szCs w:val="24"/>
        </w:rPr>
        <w:t>galactosemalabsorption</w:t>
      </w:r>
      <w:proofErr w:type="spellEnd"/>
    </w:p>
    <w:p w14:paraId="29F80B9D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E2517D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4.5</w:t>
      </w:r>
      <w:r w:rsidRPr="00305E53">
        <w:rPr>
          <w:b/>
          <w:sz w:val="24"/>
          <w:szCs w:val="24"/>
        </w:rPr>
        <w:tab/>
        <w:t>Interaktion med andre lægemidler og andre former for interaktion</w:t>
      </w:r>
    </w:p>
    <w:p w14:paraId="130A53BB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Risikoen for interaktioner er lav, når lægemidlet anvendes i overensstemmelse med den anbefalede dosering.</w:t>
      </w:r>
    </w:p>
    <w:p w14:paraId="5B664405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05525BB7" w14:textId="77777777" w:rsidR="00BC1722" w:rsidRPr="00F713B5" w:rsidRDefault="00BC1722" w:rsidP="00BC1722">
      <w:pPr>
        <w:tabs>
          <w:tab w:val="left" w:pos="851"/>
        </w:tabs>
        <w:ind w:left="851"/>
        <w:rPr>
          <w:b/>
          <w:sz w:val="24"/>
          <w:szCs w:val="24"/>
          <w:lang w:val="en-US"/>
        </w:rPr>
      </w:pPr>
      <w:r w:rsidRPr="00F713B5">
        <w:rPr>
          <w:b/>
          <w:sz w:val="24"/>
          <w:szCs w:val="24"/>
          <w:lang w:val="en-US"/>
        </w:rPr>
        <w:t>ACE-</w:t>
      </w:r>
      <w:proofErr w:type="spellStart"/>
      <w:r w:rsidRPr="00F713B5">
        <w:rPr>
          <w:b/>
          <w:sz w:val="24"/>
          <w:szCs w:val="24"/>
          <w:lang w:val="en-US"/>
        </w:rPr>
        <w:t>hæmmere</w:t>
      </w:r>
      <w:proofErr w:type="spellEnd"/>
      <w:r w:rsidRPr="00F713B5">
        <w:rPr>
          <w:b/>
          <w:sz w:val="24"/>
          <w:szCs w:val="24"/>
          <w:lang w:val="en-US"/>
        </w:rPr>
        <w:t xml:space="preserve"> (angiotensin-converting enzyme) </w:t>
      </w:r>
    </w:p>
    <w:p w14:paraId="43952D02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Brug af ACE-</w:t>
      </w:r>
      <w:proofErr w:type="spellStart"/>
      <w:r w:rsidRPr="00305E53">
        <w:rPr>
          <w:sz w:val="24"/>
          <w:szCs w:val="24"/>
        </w:rPr>
        <w:t>hæmmere</w:t>
      </w:r>
      <w:proofErr w:type="spellEnd"/>
      <w:r w:rsidRPr="00305E53">
        <w:rPr>
          <w:sz w:val="24"/>
          <w:szCs w:val="24"/>
        </w:rPr>
        <w:t xml:space="preserve"> sammen med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kan medføre </w:t>
      </w:r>
      <w:proofErr w:type="spellStart"/>
      <w:r w:rsidRPr="00305E53">
        <w:rPr>
          <w:sz w:val="24"/>
          <w:szCs w:val="24"/>
        </w:rPr>
        <w:t>hyperkaliæmi</w:t>
      </w:r>
      <w:proofErr w:type="spellEnd"/>
      <w:r w:rsidRPr="00305E53">
        <w:rPr>
          <w:sz w:val="24"/>
          <w:szCs w:val="24"/>
        </w:rPr>
        <w:t xml:space="preserve"> og </w:t>
      </w:r>
      <w:proofErr w:type="spellStart"/>
      <w:r w:rsidRPr="00305E53">
        <w:rPr>
          <w:sz w:val="24"/>
          <w:szCs w:val="24"/>
        </w:rPr>
        <w:t>hjertearytmier</w:t>
      </w:r>
      <w:proofErr w:type="spellEnd"/>
      <w:r w:rsidRPr="00305E53">
        <w:rPr>
          <w:sz w:val="24"/>
          <w:szCs w:val="24"/>
        </w:rPr>
        <w:t xml:space="preserve"> eller hjertestop. Serumkaliumkoncentrationer skal overvåges for at undgå kaliumtoksicitet.</w:t>
      </w:r>
    </w:p>
    <w:p w14:paraId="4CEC820A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28458B15" w14:textId="2477880B" w:rsidR="00BC1722" w:rsidRPr="00305E53" w:rsidRDefault="00BC1722" w:rsidP="00BC1722">
      <w:pPr>
        <w:tabs>
          <w:tab w:val="left" w:pos="851"/>
        </w:tabs>
        <w:ind w:left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 xml:space="preserve">Kaliumbesparende </w:t>
      </w:r>
      <w:proofErr w:type="spellStart"/>
      <w:r w:rsidRPr="00305E53">
        <w:rPr>
          <w:b/>
          <w:sz w:val="24"/>
          <w:szCs w:val="24"/>
        </w:rPr>
        <w:t>diuretika</w:t>
      </w:r>
      <w:proofErr w:type="spellEnd"/>
      <w:r w:rsidRPr="00305E53">
        <w:rPr>
          <w:b/>
          <w:sz w:val="24"/>
          <w:szCs w:val="24"/>
        </w:rPr>
        <w:t xml:space="preserve"> (såsom </w:t>
      </w:r>
      <w:proofErr w:type="spellStart"/>
      <w:r w:rsidRPr="00305E53">
        <w:rPr>
          <w:b/>
          <w:sz w:val="24"/>
          <w:szCs w:val="24"/>
        </w:rPr>
        <w:t>amilorid</w:t>
      </w:r>
      <w:proofErr w:type="spellEnd"/>
      <w:r w:rsidRPr="00305E53">
        <w:rPr>
          <w:b/>
          <w:sz w:val="24"/>
          <w:szCs w:val="24"/>
        </w:rPr>
        <w:t xml:space="preserve">, </w:t>
      </w:r>
      <w:proofErr w:type="spellStart"/>
      <w:r w:rsidRPr="00305E53">
        <w:rPr>
          <w:b/>
          <w:sz w:val="24"/>
          <w:szCs w:val="24"/>
        </w:rPr>
        <w:t>triamteren</w:t>
      </w:r>
      <w:proofErr w:type="spellEnd"/>
      <w:r w:rsidRPr="00305E53">
        <w:rPr>
          <w:b/>
          <w:sz w:val="24"/>
          <w:szCs w:val="24"/>
        </w:rPr>
        <w:t xml:space="preserve"> eller </w:t>
      </w:r>
      <w:proofErr w:type="spellStart"/>
      <w:r w:rsidRPr="00305E53">
        <w:rPr>
          <w:b/>
          <w:sz w:val="24"/>
          <w:szCs w:val="24"/>
        </w:rPr>
        <w:t>aldosteron</w:t>
      </w:r>
      <w:r w:rsidR="00305E53">
        <w:rPr>
          <w:b/>
          <w:sz w:val="24"/>
          <w:szCs w:val="24"/>
        </w:rPr>
        <w:softHyphen/>
      </w:r>
      <w:r w:rsidRPr="00305E53">
        <w:rPr>
          <w:b/>
          <w:sz w:val="24"/>
          <w:szCs w:val="24"/>
        </w:rPr>
        <w:t>antagonister</w:t>
      </w:r>
      <w:proofErr w:type="spellEnd"/>
      <w:r w:rsidRPr="00305E53">
        <w:rPr>
          <w:b/>
          <w:sz w:val="24"/>
          <w:szCs w:val="24"/>
        </w:rPr>
        <w:t>)</w:t>
      </w:r>
    </w:p>
    <w:p w14:paraId="0EF5691E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Brug af kaliumbesparende </w:t>
      </w:r>
      <w:proofErr w:type="spellStart"/>
      <w:r w:rsidRPr="00305E53">
        <w:rPr>
          <w:sz w:val="24"/>
          <w:szCs w:val="24"/>
        </w:rPr>
        <w:t>diuretika</w:t>
      </w:r>
      <w:proofErr w:type="spellEnd"/>
      <w:r w:rsidRPr="00305E53">
        <w:rPr>
          <w:sz w:val="24"/>
          <w:szCs w:val="24"/>
        </w:rPr>
        <w:t xml:space="preserve"> sammen med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kan medføre </w:t>
      </w:r>
      <w:proofErr w:type="spellStart"/>
      <w:r w:rsidRPr="00305E53">
        <w:rPr>
          <w:sz w:val="24"/>
          <w:szCs w:val="24"/>
        </w:rPr>
        <w:t>hyperkaliæmi</w:t>
      </w:r>
      <w:proofErr w:type="spellEnd"/>
      <w:r w:rsidRPr="00305E53">
        <w:rPr>
          <w:sz w:val="24"/>
          <w:szCs w:val="24"/>
        </w:rPr>
        <w:t xml:space="preserve"> og </w:t>
      </w:r>
      <w:proofErr w:type="spellStart"/>
      <w:r w:rsidRPr="00305E53">
        <w:rPr>
          <w:sz w:val="24"/>
          <w:szCs w:val="24"/>
        </w:rPr>
        <w:t>hjertearytmier</w:t>
      </w:r>
      <w:proofErr w:type="spellEnd"/>
      <w:r w:rsidRPr="00305E53">
        <w:rPr>
          <w:sz w:val="24"/>
          <w:szCs w:val="24"/>
        </w:rPr>
        <w:t xml:space="preserve"> eller hjertestop. Serumkaliumkoncentrationer skal overvåges for at undgå kaliumtoksicitet.</w:t>
      </w:r>
    </w:p>
    <w:p w14:paraId="77CE581F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42178E41" w14:textId="77777777" w:rsidR="00BC1722" w:rsidRPr="00305E53" w:rsidRDefault="00BC1722" w:rsidP="00BC1722">
      <w:pPr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305E53">
        <w:rPr>
          <w:b/>
          <w:sz w:val="24"/>
          <w:szCs w:val="24"/>
        </w:rPr>
        <w:t>Lithium</w:t>
      </w:r>
      <w:proofErr w:type="spellEnd"/>
    </w:p>
    <w:p w14:paraId="1CB92A28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Brug af </w:t>
      </w:r>
      <w:proofErr w:type="spellStart"/>
      <w:r w:rsidRPr="00305E53">
        <w:rPr>
          <w:sz w:val="24"/>
          <w:szCs w:val="24"/>
        </w:rPr>
        <w:t>lithium</w:t>
      </w:r>
      <w:proofErr w:type="spellEnd"/>
      <w:r w:rsidRPr="00305E53">
        <w:rPr>
          <w:sz w:val="24"/>
          <w:szCs w:val="24"/>
        </w:rPr>
        <w:t xml:space="preserve"> sammen med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kan forstærke begge lægemidlers </w:t>
      </w:r>
      <w:proofErr w:type="spellStart"/>
      <w:r w:rsidRPr="00305E53">
        <w:rPr>
          <w:sz w:val="24"/>
          <w:szCs w:val="24"/>
        </w:rPr>
        <w:t>hypothyreoide</w:t>
      </w:r>
      <w:proofErr w:type="spellEnd"/>
      <w:r w:rsidRPr="00305E53">
        <w:rPr>
          <w:sz w:val="24"/>
          <w:szCs w:val="24"/>
        </w:rPr>
        <w:t xml:space="preserve"> og </w:t>
      </w:r>
      <w:proofErr w:type="spellStart"/>
      <w:r w:rsidRPr="00305E53">
        <w:rPr>
          <w:sz w:val="24"/>
          <w:szCs w:val="24"/>
        </w:rPr>
        <w:t>goitrogene</w:t>
      </w:r>
      <w:proofErr w:type="spellEnd"/>
      <w:r w:rsidRPr="00305E53">
        <w:rPr>
          <w:sz w:val="24"/>
          <w:szCs w:val="24"/>
        </w:rPr>
        <w:t xml:space="preserve"> virkninger. </w:t>
      </w:r>
      <w:r w:rsidRPr="00305E53">
        <w:rPr>
          <w:i/>
          <w:iCs/>
          <w:sz w:val="24"/>
          <w:szCs w:val="24"/>
        </w:rPr>
        <w:t>Baseline</w:t>
      </w:r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thyreoideastatus</w:t>
      </w:r>
      <w:proofErr w:type="spellEnd"/>
      <w:r w:rsidRPr="00305E53">
        <w:rPr>
          <w:sz w:val="24"/>
          <w:szCs w:val="24"/>
        </w:rPr>
        <w:t xml:space="preserve"> skal fastlægges med periodiske intervaller for at påvise ændringer i </w:t>
      </w:r>
      <w:proofErr w:type="spellStart"/>
      <w:r w:rsidRPr="00305E53">
        <w:rPr>
          <w:sz w:val="24"/>
          <w:szCs w:val="24"/>
        </w:rPr>
        <w:t>thyreoidea</w:t>
      </w:r>
      <w:proofErr w:type="spellEnd"/>
      <w:r w:rsidRPr="00305E53">
        <w:rPr>
          <w:sz w:val="24"/>
          <w:szCs w:val="24"/>
        </w:rPr>
        <w:t xml:space="preserve">-hypofyse-responset. </w:t>
      </w:r>
    </w:p>
    <w:p w14:paraId="06931282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5339ADC3" w14:textId="77777777" w:rsidR="00BC1722" w:rsidRPr="00305E53" w:rsidRDefault="00BC1722" w:rsidP="00BC1722">
      <w:pPr>
        <w:tabs>
          <w:tab w:val="left" w:pos="851"/>
        </w:tabs>
        <w:ind w:left="851"/>
        <w:rPr>
          <w:b/>
          <w:sz w:val="24"/>
          <w:szCs w:val="24"/>
        </w:rPr>
      </w:pPr>
      <w:bookmarkStart w:id="1" w:name="_Hlk11422631"/>
      <w:proofErr w:type="spellStart"/>
      <w:r w:rsidRPr="00305E53">
        <w:rPr>
          <w:b/>
          <w:sz w:val="24"/>
          <w:szCs w:val="24"/>
        </w:rPr>
        <w:t>Antithyroide</w:t>
      </w:r>
      <w:proofErr w:type="spellEnd"/>
      <w:r w:rsidRPr="00305E53">
        <w:rPr>
          <w:b/>
          <w:sz w:val="24"/>
          <w:szCs w:val="24"/>
        </w:rPr>
        <w:t xml:space="preserve"> </w:t>
      </w:r>
      <w:r w:rsidRPr="00305E53">
        <w:rPr>
          <w:b/>
          <w:bCs/>
          <w:sz w:val="24"/>
          <w:szCs w:val="24"/>
        </w:rPr>
        <w:t>stoffer</w:t>
      </w:r>
      <w:bookmarkEnd w:id="1"/>
    </w:p>
    <w:p w14:paraId="66CBF5F1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Brug af </w:t>
      </w:r>
      <w:proofErr w:type="spellStart"/>
      <w:r w:rsidRPr="00305E53">
        <w:rPr>
          <w:sz w:val="24"/>
          <w:szCs w:val="24"/>
        </w:rPr>
        <w:t>antithyroide</w:t>
      </w:r>
      <w:proofErr w:type="spellEnd"/>
      <w:r w:rsidRPr="00305E53">
        <w:rPr>
          <w:sz w:val="24"/>
          <w:szCs w:val="24"/>
        </w:rPr>
        <w:t xml:space="preserve"> stoffer sammen med </w:t>
      </w: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kan forstærke begge lægemidlers </w:t>
      </w:r>
      <w:proofErr w:type="spellStart"/>
      <w:r w:rsidRPr="00305E53">
        <w:rPr>
          <w:sz w:val="24"/>
          <w:szCs w:val="24"/>
        </w:rPr>
        <w:t>hypothyreoide</w:t>
      </w:r>
      <w:proofErr w:type="spellEnd"/>
      <w:r w:rsidRPr="00305E53">
        <w:rPr>
          <w:sz w:val="24"/>
          <w:szCs w:val="24"/>
        </w:rPr>
        <w:t xml:space="preserve"> og </w:t>
      </w:r>
      <w:proofErr w:type="spellStart"/>
      <w:r w:rsidRPr="00305E53">
        <w:rPr>
          <w:sz w:val="24"/>
          <w:szCs w:val="24"/>
        </w:rPr>
        <w:t>goitrogene</w:t>
      </w:r>
      <w:proofErr w:type="spellEnd"/>
      <w:r w:rsidRPr="00305E53">
        <w:rPr>
          <w:sz w:val="24"/>
          <w:szCs w:val="24"/>
        </w:rPr>
        <w:t xml:space="preserve"> virkninger. </w:t>
      </w:r>
      <w:r w:rsidRPr="00305E53">
        <w:rPr>
          <w:i/>
          <w:iCs/>
          <w:sz w:val="24"/>
          <w:szCs w:val="24"/>
        </w:rPr>
        <w:t>Baseline</w:t>
      </w:r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thyreoideastatus</w:t>
      </w:r>
      <w:proofErr w:type="spellEnd"/>
      <w:r w:rsidRPr="00305E53">
        <w:rPr>
          <w:sz w:val="24"/>
          <w:szCs w:val="24"/>
        </w:rPr>
        <w:t xml:space="preserve"> skal fastlægges med periodiske intervaller for at påvise ændringer i </w:t>
      </w:r>
      <w:proofErr w:type="spellStart"/>
      <w:r w:rsidRPr="00305E53">
        <w:rPr>
          <w:sz w:val="24"/>
          <w:szCs w:val="24"/>
        </w:rPr>
        <w:t>thyreoidea</w:t>
      </w:r>
      <w:proofErr w:type="spellEnd"/>
      <w:r w:rsidRPr="00305E53">
        <w:rPr>
          <w:sz w:val="24"/>
          <w:szCs w:val="24"/>
        </w:rPr>
        <w:t>-hypofyse-responsen.</w:t>
      </w:r>
    </w:p>
    <w:p w14:paraId="39A7122A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5970B983" w14:textId="77777777" w:rsidR="00BC1722" w:rsidRPr="00305E53" w:rsidRDefault="00BC1722" w:rsidP="00BC1722">
      <w:pPr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305E53">
        <w:rPr>
          <w:b/>
          <w:sz w:val="24"/>
          <w:szCs w:val="24"/>
        </w:rPr>
        <w:t>Iodholdige</w:t>
      </w:r>
      <w:proofErr w:type="spellEnd"/>
      <w:r w:rsidRPr="00305E53">
        <w:rPr>
          <w:b/>
          <w:sz w:val="24"/>
          <w:szCs w:val="24"/>
        </w:rPr>
        <w:t xml:space="preserve"> lægemidler</w:t>
      </w:r>
    </w:p>
    <w:p w14:paraId="5489B1C7" w14:textId="56B744E6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Brug af </w:t>
      </w:r>
      <w:proofErr w:type="spellStart"/>
      <w:r w:rsidR="00916E9F">
        <w:rPr>
          <w:sz w:val="24"/>
          <w:szCs w:val="24"/>
        </w:rPr>
        <w:t>i</w:t>
      </w:r>
      <w:r w:rsidRPr="00305E53">
        <w:rPr>
          <w:sz w:val="24"/>
          <w:szCs w:val="24"/>
        </w:rPr>
        <w:t>odholdige</w:t>
      </w:r>
      <w:proofErr w:type="spellEnd"/>
      <w:r w:rsidRPr="00305E53">
        <w:rPr>
          <w:sz w:val="24"/>
          <w:szCs w:val="24"/>
        </w:rPr>
        <w:t xml:space="preserve"> lægemidler (fx </w:t>
      </w:r>
      <w:proofErr w:type="spellStart"/>
      <w:r w:rsidRPr="00305E53">
        <w:rPr>
          <w:sz w:val="24"/>
          <w:szCs w:val="24"/>
        </w:rPr>
        <w:t>amiodaron</w:t>
      </w:r>
      <w:proofErr w:type="spellEnd"/>
      <w:r w:rsidRPr="00305E53">
        <w:rPr>
          <w:sz w:val="24"/>
          <w:szCs w:val="24"/>
        </w:rPr>
        <w:t xml:space="preserve">) øger den samlede </w:t>
      </w:r>
      <w:proofErr w:type="spellStart"/>
      <w:r w:rsidRPr="00305E53">
        <w:rPr>
          <w:sz w:val="24"/>
          <w:szCs w:val="24"/>
        </w:rPr>
        <w:t>ioddosis</w:t>
      </w:r>
      <w:proofErr w:type="spellEnd"/>
      <w:r w:rsidRPr="00305E53">
        <w:rPr>
          <w:sz w:val="24"/>
          <w:szCs w:val="24"/>
        </w:rPr>
        <w:t xml:space="preserve"> og dermed risikoen for toksiske bivirkninger.</w:t>
      </w:r>
    </w:p>
    <w:p w14:paraId="1EAAC8BE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E3F40C" w14:textId="2A39EA2F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lastRenderedPageBreak/>
        <w:t>4.6</w:t>
      </w:r>
      <w:r w:rsidRPr="00305E53">
        <w:rPr>
          <w:b/>
          <w:sz w:val="24"/>
          <w:szCs w:val="24"/>
        </w:rPr>
        <w:tab/>
      </w:r>
      <w:r w:rsidR="00BE1C0D" w:rsidRPr="00305E53">
        <w:rPr>
          <w:b/>
          <w:sz w:val="24"/>
          <w:szCs w:val="24"/>
        </w:rPr>
        <w:t>Fertilitet, g</w:t>
      </w:r>
      <w:r w:rsidRPr="00305E53">
        <w:rPr>
          <w:b/>
          <w:sz w:val="24"/>
          <w:szCs w:val="24"/>
        </w:rPr>
        <w:t>raviditet og amning</w:t>
      </w:r>
    </w:p>
    <w:p w14:paraId="69681F9F" w14:textId="77777777" w:rsidR="00BC1722" w:rsidRPr="00305E53" w:rsidRDefault="00BC1722" w:rsidP="00BC1722">
      <w:pPr>
        <w:ind w:left="851"/>
        <w:rPr>
          <w:sz w:val="24"/>
          <w:szCs w:val="24"/>
          <w:u w:val="single"/>
        </w:rPr>
      </w:pPr>
    </w:p>
    <w:p w14:paraId="58064237" w14:textId="77777777" w:rsidR="0060242A" w:rsidRDefault="0060242A" w:rsidP="0060242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u w:val="single"/>
        </w:rPr>
        <w:t>Graviditet</w:t>
      </w:r>
    </w:p>
    <w:p w14:paraId="03271ABD" w14:textId="77777777" w:rsidR="0060242A" w:rsidRDefault="0060242A" w:rsidP="0060242A">
      <w:pPr>
        <w:pStyle w:val="Listeafsnit"/>
        <w:numPr>
          <w:ilvl w:val="0"/>
          <w:numId w:val="9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Dosisjustering er ikke nødvendig under graviditet.</w:t>
      </w:r>
    </w:p>
    <w:p w14:paraId="0E398793" w14:textId="77777777" w:rsidR="0060242A" w:rsidRDefault="0060242A" w:rsidP="0060242A">
      <w:pPr>
        <w:pStyle w:val="Listeafsnit"/>
        <w:numPr>
          <w:ilvl w:val="0"/>
          <w:numId w:val="9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Gravide kvinder bør gives kaliumiodid for at beskytte dem og fosteret, da iod (uanset om det er stabilt eller radioaktivt) let passerer placenta. </w:t>
      </w:r>
    </w:p>
    <w:p w14:paraId="5012CDBF" w14:textId="77777777" w:rsidR="0060242A" w:rsidRDefault="0060242A" w:rsidP="0060242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Indtagelse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under graviditet kan medføre unormal </w:t>
      </w:r>
      <w:proofErr w:type="spellStart"/>
      <w:r>
        <w:rPr>
          <w:sz w:val="24"/>
          <w:szCs w:val="24"/>
        </w:rPr>
        <w:t>thyroideafunktion</w:t>
      </w:r>
      <w:proofErr w:type="spellEnd"/>
      <w:r>
        <w:rPr>
          <w:sz w:val="24"/>
          <w:szCs w:val="24"/>
        </w:rPr>
        <w:t xml:space="preserve"> og/eller struma hos nyfødte. Hvis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anvendes under graviditet, eller hvis patienten bliver gravid, mens hun får lægemidlet, skal patienten oplyses om de potentielle risici for fosteret.</w:t>
      </w:r>
    </w:p>
    <w:p w14:paraId="7C6C03D5" w14:textId="77777777" w:rsidR="0060242A" w:rsidRDefault="0060242A" w:rsidP="0060242A">
      <w:pPr>
        <w:pStyle w:val="Listeafsni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Gravide kvinder bør ikke få gentagen 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. </w:t>
      </w:r>
    </w:p>
    <w:p w14:paraId="56DBEE59" w14:textId="77777777" w:rsidR="0060242A" w:rsidRDefault="0060242A" w:rsidP="0060242A">
      <w:pPr>
        <w:ind w:left="851"/>
        <w:rPr>
          <w:sz w:val="24"/>
          <w:szCs w:val="24"/>
        </w:rPr>
      </w:pPr>
    </w:p>
    <w:p w14:paraId="4E53C2CB" w14:textId="77777777" w:rsidR="0060242A" w:rsidRDefault="0060242A" w:rsidP="0060242A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Amning</w:t>
      </w:r>
    </w:p>
    <w:p w14:paraId="7E64C640" w14:textId="77777777" w:rsidR="0060242A" w:rsidRDefault="0060242A" w:rsidP="0060242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Dosisjustering er ikke nødvendig til ammende kvinder. </w:t>
      </w:r>
    </w:p>
    <w:p w14:paraId="7B1683A7" w14:textId="77777777" w:rsidR="0060242A" w:rsidRDefault="0060242A" w:rsidP="0060242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Ammende kvinder bør administreres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for deres egen beskyttelse og for potentielt at reducere indholdet af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i modermælken.</w:t>
      </w:r>
    </w:p>
    <w:p w14:paraId="29C587FE" w14:textId="77777777" w:rsidR="0060242A" w:rsidRDefault="0060242A" w:rsidP="0060242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Ammende kvinder bør ikke få gentagen 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>.</w:t>
      </w:r>
    </w:p>
    <w:p w14:paraId="19FEEB86" w14:textId="77777777" w:rsidR="0060242A" w:rsidRDefault="0060242A" w:rsidP="0060242A">
      <w:pPr>
        <w:ind w:left="851"/>
        <w:rPr>
          <w:sz w:val="24"/>
          <w:szCs w:val="24"/>
        </w:rPr>
      </w:pPr>
    </w:p>
    <w:p w14:paraId="639E3BC2" w14:textId="77777777" w:rsidR="0060242A" w:rsidRDefault="0060242A" w:rsidP="0060242A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14:paraId="486777A3" w14:textId="77777777" w:rsidR="0060242A" w:rsidRDefault="0060242A" w:rsidP="0060242A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om virkningen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på fertilitet hos mennesker.</w:t>
      </w:r>
    </w:p>
    <w:p w14:paraId="79E50957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A4479D" w14:textId="39EBC4C1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4.7</w:t>
      </w:r>
      <w:r w:rsidRPr="00305E53">
        <w:rPr>
          <w:b/>
          <w:sz w:val="24"/>
          <w:szCs w:val="24"/>
        </w:rPr>
        <w:tab/>
        <w:t xml:space="preserve">Virkning på evnen til at føre motorkøretøj </w:t>
      </w:r>
      <w:r w:rsidR="00BE1C0D" w:rsidRPr="00305E53">
        <w:rPr>
          <w:b/>
          <w:sz w:val="24"/>
          <w:szCs w:val="24"/>
        </w:rPr>
        <w:t>og</w:t>
      </w:r>
      <w:r w:rsidRPr="00305E53">
        <w:rPr>
          <w:b/>
          <w:sz w:val="24"/>
          <w:szCs w:val="24"/>
        </w:rPr>
        <w:t xml:space="preserve"> betjene maskiner</w:t>
      </w:r>
    </w:p>
    <w:p w14:paraId="35D46D99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Ikke relevant.</w:t>
      </w:r>
    </w:p>
    <w:p w14:paraId="535C395C" w14:textId="7DFEE50B" w:rsidR="009260DE" w:rsidRPr="00305E53" w:rsidRDefault="00C87B58" w:rsidP="009260DE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Ikke mærkning.</w:t>
      </w:r>
    </w:p>
    <w:p w14:paraId="60F8B928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39D411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4.8</w:t>
      </w:r>
      <w:r w:rsidRPr="00305E53">
        <w:rPr>
          <w:b/>
          <w:sz w:val="24"/>
          <w:szCs w:val="24"/>
        </w:rPr>
        <w:tab/>
        <w:t>Bivirkninger</w:t>
      </w:r>
    </w:p>
    <w:p w14:paraId="06078F7C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 xml:space="preserve">Bivirkninger er angivet efter systemorganklasser i henhold til </w:t>
      </w:r>
      <w:proofErr w:type="spellStart"/>
      <w:r w:rsidRPr="00305E53">
        <w:rPr>
          <w:szCs w:val="24"/>
        </w:rPr>
        <w:t>MedDRA</w:t>
      </w:r>
      <w:proofErr w:type="spellEnd"/>
      <w:r w:rsidRPr="00305E53">
        <w:rPr>
          <w:szCs w:val="24"/>
        </w:rPr>
        <w:t xml:space="preserve">-databasen, og anvender følgende hyppigheder i henhold til </w:t>
      </w:r>
      <w:proofErr w:type="spellStart"/>
      <w:r w:rsidRPr="00305E53">
        <w:rPr>
          <w:szCs w:val="24"/>
        </w:rPr>
        <w:t>MedDRA</w:t>
      </w:r>
      <w:proofErr w:type="spellEnd"/>
      <w:r w:rsidRPr="00305E53">
        <w:rPr>
          <w:szCs w:val="24"/>
        </w:rPr>
        <w:t>-konventionen:</w:t>
      </w:r>
    </w:p>
    <w:p w14:paraId="6B184722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Meget almindelig: ≥ 1/10</w:t>
      </w:r>
    </w:p>
    <w:p w14:paraId="1D6DE14F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Almindelig: ≥ 1/100 til &lt; 1/10</w:t>
      </w:r>
    </w:p>
    <w:p w14:paraId="1B695437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Ikke almindelig: ≥ 1/1.000 til &lt; 1/100</w:t>
      </w:r>
    </w:p>
    <w:p w14:paraId="32D08485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Sjælden: ≥ 1/10.000 til &lt; 1/1.000</w:t>
      </w:r>
    </w:p>
    <w:p w14:paraId="0478A12F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Meget sjælden: &lt; 1/10.000</w:t>
      </w:r>
    </w:p>
    <w:p w14:paraId="22CC4AC3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Ikke kendt (kan ikke estimeres ud fra forhåndenværende data).</w:t>
      </w:r>
    </w:p>
    <w:p w14:paraId="125CE7A5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56"/>
        <w:gridCol w:w="1892"/>
      </w:tblGrid>
      <w:tr w:rsidR="00BC1722" w:rsidRPr="00305E53" w14:paraId="4017B08C" w14:textId="77777777" w:rsidTr="00C87B5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5F63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2684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b/>
                <w:sz w:val="24"/>
                <w:szCs w:val="24"/>
              </w:rPr>
              <w:t>Bivirkning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6FB7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b/>
                <w:sz w:val="24"/>
                <w:szCs w:val="24"/>
              </w:rPr>
              <w:t>Hyppighed</w:t>
            </w:r>
          </w:p>
        </w:tc>
      </w:tr>
      <w:tr w:rsidR="00BC1722" w:rsidRPr="00305E53" w14:paraId="7C4D4507" w14:textId="77777777" w:rsidTr="00C87B5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C85E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i/>
                <w:sz w:val="24"/>
                <w:szCs w:val="24"/>
              </w:rPr>
              <w:t>Immunsystemet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B25D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Overfølsomhedsreaktioner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90F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b/>
                <w:noProof/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Ikke kendt*</w:t>
            </w:r>
          </w:p>
        </w:tc>
      </w:tr>
      <w:tr w:rsidR="00BC1722" w:rsidRPr="00305E53" w14:paraId="2BB7CB60" w14:textId="77777777" w:rsidTr="00C87B58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22EA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i/>
                <w:sz w:val="24"/>
                <w:szCs w:val="24"/>
              </w:rPr>
            </w:pPr>
            <w:r w:rsidRPr="00305E53">
              <w:rPr>
                <w:i/>
                <w:sz w:val="24"/>
                <w:szCs w:val="24"/>
              </w:rPr>
              <w:t>Det endokrine system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123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Hypertyreose</w:t>
            </w:r>
            <w:proofErr w:type="spellEnd"/>
            <w:r w:rsidRPr="00305E53">
              <w:rPr>
                <w:sz w:val="24"/>
                <w:szCs w:val="24"/>
              </w:rPr>
              <w:t xml:space="preserve"> </w:t>
            </w:r>
          </w:p>
          <w:p w14:paraId="142B754C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 xml:space="preserve">Struma </w:t>
            </w:r>
          </w:p>
          <w:p w14:paraId="623FA652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 w:val="24"/>
                <w:szCs w:val="24"/>
              </w:rPr>
            </w:pPr>
            <w:proofErr w:type="spellStart"/>
            <w:r w:rsidRPr="00305E53">
              <w:rPr>
                <w:sz w:val="24"/>
                <w:szCs w:val="24"/>
              </w:rPr>
              <w:t>Hypotyreose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7D18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Ikke kendt</w:t>
            </w:r>
          </w:p>
        </w:tc>
      </w:tr>
      <w:tr w:rsidR="00BC1722" w:rsidRPr="00305E53" w14:paraId="546F5FBD" w14:textId="77777777" w:rsidTr="00C87B58">
        <w:trPr>
          <w:trHeight w:val="86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EA8E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i/>
                <w:noProof/>
                <w:sz w:val="24"/>
                <w:szCs w:val="24"/>
              </w:rPr>
            </w:pPr>
            <w:r w:rsidRPr="00305E53">
              <w:rPr>
                <w:i/>
                <w:sz w:val="24"/>
                <w:szCs w:val="24"/>
              </w:rPr>
              <w:t xml:space="preserve">Mave-tarm-kanalen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2AC4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noProof/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Opkastning</w:t>
            </w:r>
            <w:r w:rsidRPr="00305E53">
              <w:rPr>
                <w:sz w:val="24"/>
                <w:szCs w:val="24"/>
              </w:rPr>
              <w:br/>
              <w:t>Diarré</w:t>
            </w:r>
            <w:r w:rsidRPr="00305E53">
              <w:rPr>
                <w:sz w:val="24"/>
                <w:szCs w:val="24"/>
              </w:rPr>
              <w:br/>
              <w:t>Mavesmerter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9199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Almindelig</w:t>
            </w:r>
          </w:p>
        </w:tc>
      </w:tr>
      <w:tr w:rsidR="00BC1722" w:rsidRPr="00305E53" w14:paraId="411B9F7D" w14:textId="77777777" w:rsidTr="00C87B58">
        <w:trPr>
          <w:trHeight w:val="10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C899" w14:textId="77777777" w:rsidR="00BC1722" w:rsidRPr="00305E53" w:rsidRDefault="00BC1722">
            <w:pPr>
              <w:rPr>
                <w:i/>
                <w:noProof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87D8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Metallisk smag</w:t>
            </w:r>
          </w:p>
          <w:p w14:paraId="060C69C0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Tørst</w:t>
            </w:r>
          </w:p>
          <w:p w14:paraId="25419D07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Mavesmerter</w:t>
            </w:r>
          </w:p>
          <w:p w14:paraId="6131EACF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Blodig diarré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FC29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Ikke kendt</w:t>
            </w:r>
          </w:p>
        </w:tc>
      </w:tr>
      <w:tr w:rsidR="00BC1722" w:rsidRPr="00305E53" w14:paraId="5E2B3F64" w14:textId="77777777" w:rsidTr="00C87B58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5C25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i/>
                <w:noProof/>
                <w:sz w:val="24"/>
                <w:szCs w:val="24"/>
              </w:rPr>
            </w:pPr>
            <w:r w:rsidRPr="00305E53">
              <w:rPr>
                <w:i/>
                <w:sz w:val="24"/>
                <w:szCs w:val="24"/>
              </w:rPr>
              <w:t>Hud og subkutane væv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DA32" w14:textId="77777777" w:rsidR="00BC1722" w:rsidRPr="00305E53" w:rsidRDefault="00BC1722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Hududslæt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9970" w14:textId="77777777" w:rsidR="00BC1722" w:rsidRPr="00305E53" w:rsidRDefault="00BC1722">
            <w:pPr>
              <w:tabs>
                <w:tab w:val="left" w:pos="567"/>
              </w:tabs>
              <w:spacing w:line="260" w:lineRule="exact"/>
              <w:rPr>
                <w:sz w:val="24"/>
                <w:szCs w:val="24"/>
              </w:rPr>
            </w:pPr>
            <w:r w:rsidRPr="00305E53">
              <w:rPr>
                <w:sz w:val="24"/>
                <w:szCs w:val="24"/>
              </w:rPr>
              <w:t>Almindelig</w:t>
            </w:r>
          </w:p>
        </w:tc>
      </w:tr>
    </w:tbl>
    <w:p w14:paraId="3C2BDA23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</w:p>
    <w:p w14:paraId="795C3F63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lastRenderedPageBreak/>
        <w:t xml:space="preserve">*Overfølsomhedsreaktioner over for </w:t>
      </w:r>
      <w:proofErr w:type="spellStart"/>
      <w:r w:rsidRPr="00305E53">
        <w:rPr>
          <w:szCs w:val="24"/>
        </w:rPr>
        <w:t>iodider</w:t>
      </w:r>
      <w:proofErr w:type="spellEnd"/>
      <w:r w:rsidRPr="00305E53">
        <w:rPr>
          <w:szCs w:val="24"/>
        </w:rPr>
        <w:t xml:space="preserve"> er usædvanlige. Disse kan omfatte </w:t>
      </w:r>
      <w:proofErr w:type="spellStart"/>
      <w:r w:rsidRPr="00305E53">
        <w:rPr>
          <w:szCs w:val="24"/>
        </w:rPr>
        <w:t>bronkospasme</w:t>
      </w:r>
      <w:proofErr w:type="spellEnd"/>
      <w:r w:rsidRPr="00305E53">
        <w:rPr>
          <w:szCs w:val="24"/>
        </w:rPr>
        <w:t xml:space="preserve">, nældefeber, </w:t>
      </w:r>
      <w:proofErr w:type="spellStart"/>
      <w:r w:rsidRPr="00305E53">
        <w:rPr>
          <w:szCs w:val="24"/>
        </w:rPr>
        <w:t>angioødem</w:t>
      </w:r>
      <w:proofErr w:type="spellEnd"/>
      <w:r w:rsidRPr="00305E53">
        <w:rPr>
          <w:szCs w:val="24"/>
        </w:rPr>
        <w:t xml:space="preserve">, </w:t>
      </w:r>
      <w:proofErr w:type="spellStart"/>
      <w:r w:rsidRPr="00305E53">
        <w:rPr>
          <w:szCs w:val="24"/>
        </w:rPr>
        <w:t>kutan</w:t>
      </w:r>
      <w:proofErr w:type="spellEnd"/>
      <w:r w:rsidRPr="00305E53">
        <w:rPr>
          <w:szCs w:val="24"/>
        </w:rPr>
        <w:t xml:space="preserve"> blødning eller </w:t>
      </w:r>
      <w:proofErr w:type="spellStart"/>
      <w:r w:rsidRPr="00305E53">
        <w:rPr>
          <w:szCs w:val="24"/>
        </w:rPr>
        <w:t>purpura</w:t>
      </w:r>
      <w:proofErr w:type="spellEnd"/>
      <w:r w:rsidRPr="00305E53">
        <w:rPr>
          <w:szCs w:val="24"/>
        </w:rPr>
        <w:t xml:space="preserve">, feber, </w:t>
      </w:r>
      <w:proofErr w:type="spellStart"/>
      <w:r w:rsidRPr="00305E53">
        <w:rPr>
          <w:szCs w:val="24"/>
        </w:rPr>
        <w:t>artralgi</w:t>
      </w:r>
      <w:proofErr w:type="spellEnd"/>
      <w:r w:rsidRPr="00305E53">
        <w:rPr>
          <w:szCs w:val="24"/>
        </w:rPr>
        <w:t xml:space="preserve">, </w:t>
      </w:r>
      <w:proofErr w:type="spellStart"/>
      <w:r w:rsidRPr="00305E53">
        <w:rPr>
          <w:szCs w:val="24"/>
        </w:rPr>
        <w:t>lymfadenopati</w:t>
      </w:r>
      <w:proofErr w:type="spellEnd"/>
      <w:r w:rsidRPr="00305E53">
        <w:rPr>
          <w:szCs w:val="24"/>
        </w:rPr>
        <w:t xml:space="preserve"> og </w:t>
      </w:r>
      <w:proofErr w:type="spellStart"/>
      <w:r w:rsidRPr="00305E53">
        <w:rPr>
          <w:szCs w:val="24"/>
        </w:rPr>
        <w:t>eosinofili</w:t>
      </w:r>
      <w:proofErr w:type="spellEnd"/>
      <w:r w:rsidRPr="00305E53">
        <w:rPr>
          <w:szCs w:val="24"/>
        </w:rPr>
        <w:t>.</w:t>
      </w:r>
    </w:p>
    <w:p w14:paraId="62F8AE87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</w:p>
    <w:p w14:paraId="794C4ABB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  <w:u w:val="single"/>
        </w:rPr>
        <w:t>Pædiatrisk population</w:t>
      </w:r>
    </w:p>
    <w:p w14:paraId="7EDBD207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i/>
          <w:iCs/>
          <w:szCs w:val="24"/>
        </w:rPr>
        <w:t>Det endokrine system</w:t>
      </w:r>
      <w:r w:rsidRPr="00305E53">
        <w:rPr>
          <w:szCs w:val="24"/>
        </w:rPr>
        <w:t>: Der er observeret en forbigående stigning i serum-TSH og nedsat frit serum-</w:t>
      </w:r>
      <w:proofErr w:type="spellStart"/>
      <w:r w:rsidRPr="00305E53">
        <w:rPr>
          <w:szCs w:val="24"/>
        </w:rPr>
        <w:t>thyroxin</w:t>
      </w:r>
      <w:proofErr w:type="spellEnd"/>
      <w:r w:rsidRPr="00305E53">
        <w:rPr>
          <w:szCs w:val="24"/>
        </w:rPr>
        <w:t xml:space="preserve"> hos 0,37 % af nyfødte, som fik </w:t>
      </w:r>
      <w:proofErr w:type="spellStart"/>
      <w:r w:rsidRPr="00305E53">
        <w:rPr>
          <w:szCs w:val="24"/>
        </w:rPr>
        <w:t>kaliumiodidprofylakse</w:t>
      </w:r>
      <w:proofErr w:type="spellEnd"/>
      <w:r w:rsidRPr="00305E53">
        <w:rPr>
          <w:szCs w:val="24"/>
        </w:rPr>
        <w:t xml:space="preserve"> på deres anden </w:t>
      </w:r>
      <w:proofErr w:type="spellStart"/>
      <w:r w:rsidRPr="00305E53">
        <w:rPr>
          <w:szCs w:val="24"/>
        </w:rPr>
        <w:t>levedag</w:t>
      </w:r>
      <w:proofErr w:type="spellEnd"/>
      <w:r w:rsidRPr="00305E53">
        <w:rPr>
          <w:szCs w:val="24"/>
        </w:rPr>
        <w:t xml:space="preserve"> (ikke almindelig). </w:t>
      </w:r>
    </w:p>
    <w:p w14:paraId="52155E89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b/>
          <w:i/>
          <w:szCs w:val="24"/>
        </w:rPr>
      </w:pPr>
    </w:p>
    <w:p w14:paraId="18D8A1B0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305E53">
        <w:rPr>
          <w:szCs w:val="24"/>
          <w:u w:val="single"/>
        </w:rPr>
        <w:t>Indberetning af formodede bivirkninger</w:t>
      </w:r>
    </w:p>
    <w:p w14:paraId="49BF9057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305E53">
        <w:rPr>
          <w:szCs w:val="24"/>
        </w:rPr>
        <w:t>risk</w:t>
      </w:r>
      <w:proofErr w:type="spellEnd"/>
      <w:r w:rsidRPr="00305E53">
        <w:rPr>
          <w:szCs w:val="24"/>
        </w:rPr>
        <w:t>-forholdet for lægemidlet. Sundhedspersoner anmodes om at indberette alle formodede bivirkninger via:</w:t>
      </w:r>
    </w:p>
    <w:p w14:paraId="5511244F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</w:p>
    <w:p w14:paraId="0DAAC837" w14:textId="77777777" w:rsidR="00BC1722" w:rsidRPr="00305E53" w:rsidRDefault="00BC1722" w:rsidP="00BC1722">
      <w:pPr>
        <w:pStyle w:val="Sidehoved"/>
        <w:tabs>
          <w:tab w:val="left" w:pos="851"/>
        </w:tabs>
        <w:ind w:left="851"/>
        <w:rPr>
          <w:szCs w:val="24"/>
        </w:rPr>
      </w:pPr>
      <w:r w:rsidRPr="00305E53">
        <w:rPr>
          <w:szCs w:val="24"/>
        </w:rPr>
        <w:t>Lægemiddelstyrelsen</w:t>
      </w:r>
      <w:r w:rsidRPr="00305E53">
        <w:rPr>
          <w:szCs w:val="24"/>
        </w:rPr>
        <w:br/>
        <w:t>Axel Heides Gade 1</w:t>
      </w:r>
      <w:r w:rsidRPr="00305E53">
        <w:rPr>
          <w:szCs w:val="24"/>
        </w:rPr>
        <w:br/>
        <w:t>DK-2300 København S</w:t>
      </w:r>
      <w:r w:rsidRPr="00305E53">
        <w:rPr>
          <w:szCs w:val="24"/>
        </w:rPr>
        <w:br/>
        <w:t>Websted: </w:t>
      </w:r>
      <w:hyperlink r:id="rId8" w:history="1">
        <w:r w:rsidRPr="00305E53">
          <w:rPr>
            <w:rStyle w:val="Hyperlink"/>
            <w:szCs w:val="24"/>
          </w:rPr>
          <w:t>www.meldenbivirkning.dk</w:t>
        </w:r>
      </w:hyperlink>
    </w:p>
    <w:p w14:paraId="5952AEFE" w14:textId="77777777" w:rsidR="009260DE" w:rsidRPr="00305E53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4101E9D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4.9</w:t>
      </w:r>
      <w:r w:rsidRPr="00305E53">
        <w:rPr>
          <w:b/>
          <w:sz w:val="24"/>
          <w:szCs w:val="24"/>
        </w:rPr>
        <w:tab/>
        <w:t>Overdosering</w:t>
      </w:r>
    </w:p>
    <w:p w14:paraId="5EE7B52F" w14:textId="77777777" w:rsidR="00C87B58" w:rsidRPr="00305E53" w:rsidRDefault="00C87B58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F43BF10" w14:textId="387796FA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305E53">
        <w:rPr>
          <w:sz w:val="24"/>
          <w:szCs w:val="24"/>
          <w:u w:val="single"/>
        </w:rPr>
        <w:t>Symptomer</w:t>
      </w:r>
    </w:p>
    <w:p w14:paraId="6505D347" w14:textId="7320F271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Store doser af </w:t>
      </w:r>
      <w:proofErr w:type="spellStart"/>
      <w:r w:rsidRPr="00305E53">
        <w:rPr>
          <w:sz w:val="24"/>
          <w:szCs w:val="24"/>
        </w:rPr>
        <w:t>iodider</w:t>
      </w:r>
      <w:proofErr w:type="spellEnd"/>
      <w:r w:rsidRPr="00305E53">
        <w:rPr>
          <w:sz w:val="24"/>
          <w:szCs w:val="24"/>
        </w:rPr>
        <w:t xml:space="preserve"> kan medføre en række bivirkninger, ofte kaldet "</w:t>
      </w:r>
      <w:proofErr w:type="spellStart"/>
      <w:r w:rsidR="00916E9F">
        <w:rPr>
          <w:sz w:val="24"/>
          <w:szCs w:val="24"/>
        </w:rPr>
        <w:t>i</w:t>
      </w:r>
      <w:r w:rsidRPr="00305E53">
        <w:rPr>
          <w:sz w:val="24"/>
          <w:szCs w:val="24"/>
        </w:rPr>
        <w:t>odisme</w:t>
      </w:r>
      <w:proofErr w:type="spellEnd"/>
      <w:r w:rsidRPr="00305E53">
        <w:rPr>
          <w:sz w:val="24"/>
          <w:szCs w:val="24"/>
        </w:rPr>
        <w:t>", hvoraf nogle ligner overfølsomhedsreaktioner, heriblandt:</w:t>
      </w:r>
    </w:p>
    <w:p w14:paraId="2B873E69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305E53">
        <w:rPr>
          <w:sz w:val="24"/>
          <w:szCs w:val="24"/>
        </w:rPr>
        <w:t>Metallisk smag, øget spytudskillelse, brændende eller smertefuld mund.</w:t>
      </w:r>
    </w:p>
    <w:p w14:paraId="7E720008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305E53">
        <w:rPr>
          <w:sz w:val="24"/>
          <w:szCs w:val="24"/>
        </w:rPr>
        <w:t xml:space="preserve">Forkølelseslignende symptomer: hævelse og betændelse i svælget og spytkirtlerne. Øjnene kan være irriterede og hævede, og der kan være øget tåredannelse. </w:t>
      </w:r>
    </w:p>
    <w:p w14:paraId="76783474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305E53">
        <w:rPr>
          <w:sz w:val="24"/>
          <w:szCs w:val="24"/>
        </w:rPr>
        <w:t xml:space="preserve">Der kan udvikles lungeødem, dyspnø og </w:t>
      </w:r>
      <w:proofErr w:type="spellStart"/>
      <w:r w:rsidRPr="00305E53">
        <w:rPr>
          <w:sz w:val="24"/>
          <w:szCs w:val="24"/>
        </w:rPr>
        <w:t>bronkospasme</w:t>
      </w:r>
      <w:proofErr w:type="spellEnd"/>
      <w:r w:rsidRPr="00305E53">
        <w:rPr>
          <w:sz w:val="24"/>
          <w:szCs w:val="24"/>
        </w:rPr>
        <w:t xml:space="preserve">. </w:t>
      </w:r>
    </w:p>
    <w:p w14:paraId="7C814896" w14:textId="77777777" w:rsidR="00BC1722" w:rsidRPr="00305E53" w:rsidRDefault="00BC1722" w:rsidP="00BC1722">
      <w:pPr>
        <w:numPr>
          <w:ilvl w:val="0"/>
          <w:numId w:val="6"/>
        </w:numPr>
        <w:tabs>
          <w:tab w:val="left" w:pos="851"/>
        </w:tabs>
        <w:rPr>
          <w:sz w:val="24"/>
          <w:szCs w:val="24"/>
        </w:rPr>
      </w:pPr>
      <w:r w:rsidRPr="00305E53">
        <w:rPr>
          <w:sz w:val="24"/>
          <w:szCs w:val="24"/>
        </w:rPr>
        <w:t xml:space="preserve">Hudreaktioner omfatter milde </w:t>
      </w:r>
      <w:proofErr w:type="spellStart"/>
      <w:r w:rsidRPr="00305E53">
        <w:rPr>
          <w:sz w:val="24"/>
          <w:szCs w:val="24"/>
        </w:rPr>
        <w:t>akneiforme</w:t>
      </w:r>
      <w:proofErr w:type="spellEnd"/>
      <w:r w:rsidRPr="00305E53">
        <w:rPr>
          <w:sz w:val="24"/>
          <w:szCs w:val="24"/>
        </w:rPr>
        <w:t xml:space="preserve"> udslæt eller, mere sjældent, alvorlige udslæt (</w:t>
      </w:r>
      <w:proofErr w:type="spellStart"/>
      <w:r w:rsidRPr="00305E53">
        <w:rPr>
          <w:sz w:val="24"/>
          <w:szCs w:val="24"/>
        </w:rPr>
        <w:t>iododerma</w:t>
      </w:r>
      <w:proofErr w:type="spellEnd"/>
      <w:r w:rsidRPr="00305E53">
        <w:rPr>
          <w:sz w:val="24"/>
          <w:szCs w:val="24"/>
        </w:rPr>
        <w:t xml:space="preserve">). </w:t>
      </w:r>
    </w:p>
    <w:p w14:paraId="06CAABD7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282F08A3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>Håndtering af overdosis</w:t>
      </w:r>
    </w:p>
    <w:p w14:paraId="2F6B0B2A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I tilfælde af overdosering tilrådes det at kontakte nærliggende skadestue.</w:t>
      </w:r>
    </w:p>
    <w:p w14:paraId="38981BB5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Hæmodialyse kan udføres. Behandlingen kan også omfatte behandling af symptomer, aktivt kul og udpumpning i henhold til lægens beslutning. </w:t>
      </w:r>
    </w:p>
    <w:p w14:paraId="2755E6D5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85401D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4.10</w:t>
      </w:r>
      <w:r w:rsidRPr="00305E53">
        <w:rPr>
          <w:b/>
          <w:sz w:val="24"/>
          <w:szCs w:val="24"/>
        </w:rPr>
        <w:tab/>
        <w:t>Udlevering</w:t>
      </w:r>
    </w:p>
    <w:p w14:paraId="4F3B06CA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HA</w:t>
      </w:r>
    </w:p>
    <w:p w14:paraId="1097C1BA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EFB7FD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724053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5.</w:t>
      </w:r>
      <w:r w:rsidRPr="00305E53">
        <w:rPr>
          <w:b/>
          <w:sz w:val="24"/>
          <w:szCs w:val="24"/>
        </w:rPr>
        <w:tab/>
        <w:t>FARMAKOLOGISKE EGENSKABER</w:t>
      </w:r>
    </w:p>
    <w:p w14:paraId="2D1A7AB5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1B69A9" w14:textId="77777777" w:rsidR="009260DE" w:rsidRPr="00305E5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5.1</w:t>
      </w:r>
      <w:r w:rsidRPr="00305E53">
        <w:rPr>
          <w:b/>
          <w:sz w:val="24"/>
          <w:szCs w:val="24"/>
        </w:rPr>
        <w:tab/>
      </w:r>
      <w:proofErr w:type="spellStart"/>
      <w:r w:rsidRPr="00305E53">
        <w:rPr>
          <w:b/>
          <w:sz w:val="24"/>
          <w:szCs w:val="24"/>
        </w:rPr>
        <w:t>Farmakodynamiske</w:t>
      </w:r>
      <w:proofErr w:type="spellEnd"/>
      <w:r w:rsidRPr="00305E53">
        <w:rPr>
          <w:b/>
          <w:sz w:val="24"/>
          <w:szCs w:val="24"/>
        </w:rPr>
        <w:t xml:space="preserve"> egenskaber</w:t>
      </w:r>
    </w:p>
    <w:p w14:paraId="0BFFF807" w14:textId="3A4A3742" w:rsidR="00BC1722" w:rsidRPr="00305E53" w:rsidRDefault="00F713B5" w:rsidP="00BC1722">
      <w:pPr>
        <w:tabs>
          <w:tab w:val="left" w:pos="851"/>
        </w:tabs>
        <w:ind w:left="851"/>
        <w:rPr>
          <w:bCs/>
          <w:sz w:val="24"/>
          <w:szCs w:val="24"/>
          <w:lang w:eastAsia="da-DK"/>
        </w:rPr>
      </w:pPr>
      <w:proofErr w:type="spellStart"/>
      <w:r w:rsidRPr="00E673F9">
        <w:rPr>
          <w:sz w:val="24"/>
          <w:szCs w:val="24"/>
        </w:rPr>
        <w:t>Farmakoterapeutisk</w:t>
      </w:r>
      <w:proofErr w:type="spellEnd"/>
      <w:r w:rsidRPr="00E673F9">
        <w:rPr>
          <w:sz w:val="24"/>
          <w:szCs w:val="24"/>
        </w:rPr>
        <w:t xml:space="preserve"> klassifikation: </w:t>
      </w:r>
      <w:proofErr w:type="spellStart"/>
      <w:r w:rsidR="00BC1722" w:rsidRPr="00305E53">
        <w:rPr>
          <w:bCs/>
          <w:sz w:val="24"/>
          <w:szCs w:val="24"/>
        </w:rPr>
        <w:t>Antidot</w:t>
      </w:r>
      <w:proofErr w:type="spellEnd"/>
      <w:r w:rsidR="00BC1722" w:rsidRPr="00305E53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305E53">
        <w:rPr>
          <w:bCs/>
          <w:sz w:val="24"/>
          <w:szCs w:val="24"/>
        </w:rPr>
        <w:t>ATC-kode: V 03 AB 21.</w:t>
      </w:r>
    </w:p>
    <w:p w14:paraId="21B15622" w14:textId="001DA2EC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C14735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  <w:u w:val="single"/>
        </w:rPr>
        <w:t>Virkningsmekanisme</w:t>
      </w:r>
    </w:p>
    <w:p w14:paraId="72D5AF7E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 xml:space="preserve">I tilfælde af en atomulykke kan der frigives en stor mængde radioaktivt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 i miljøet. På grund af dets høje </w:t>
      </w:r>
      <w:proofErr w:type="spellStart"/>
      <w:r w:rsidRPr="00305E53">
        <w:rPr>
          <w:sz w:val="24"/>
          <w:szCs w:val="24"/>
        </w:rPr>
        <w:t>volatilitet</w:t>
      </w:r>
      <w:proofErr w:type="spellEnd"/>
      <w:r w:rsidRPr="00305E53">
        <w:rPr>
          <w:sz w:val="24"/>
          <w:szCs w:val="24"/>
        </w:rPr>
        <w:t xml:space="preserve"> kan det let inhaleres og resorberes i lungerne. Det radioaktive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 ophobes i store mængder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, når man bliver udsat for meget kraftige lokale strålinger. Dette er årsagen til forekomsten af </w:t>
      </w:r>
      <w:proofErr w:type="spellStart"/>
      <w:r w:rsidRPr="00305E53">
        <w:rPr>
          <w:sz w:val="24"/>
          <w:szCs w:val="24"/>
        </w:rPr>
        <w:t>thyroidealæsioner</w:t>
      </w:r>
      <w:proofErr w:type="spellEnd"/>
      <w:r w:rsidRPr="00305E53">
        <w:rPr>
          <w:sz w:val="24"/>
          <w:szCs w:val="24"/>
        </w:rPr>
        <w:t xml:space="preserve">, der kan inducere sene lidelser såsom </w:t>
      </w:r>
      <w:proofErr w:type="spellStart"/>
      <w:r w:rsidRPr="00305E53">
        <w:rPr>
          <w:sz w:val="24"/>
          <w:szCs w:val="24"/>
        </w:rPr>
        <w:t>thyroideacancer</w:t>
      </w:r>
      <w:proofErr w:type="spellEnd"/>
      <w:r w:rsidRPr="00305E53">
        <w:rPr>
          <w:sz w:val="24"/>
          <w:szCs w:val="24"/>
        </w:rPr>
        <w:t>.</w:t>
      </w:r>
    </w:p>
    <w:p w14:paraId="0ABA5C8D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</w:p>
    <w:p w14:paraId="148468E1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Optagelse af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 kan effektivt blokeres ved en enkelt, høj og rettidig passende dosisadministration af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. En passende dosis </w:t>
      </w:r>
      <w:proofErr w:type="spellStart"/>
      <w:r>
        <w:rPr>
          <w:sz w:val="24"/>
          <w:szCs w:val="24"/>
        </w:rPr>
        <w:t>kaliumiodid</w:t>
      </w:r>
      <w:proofErr w:type="spellEnd"/>
      <w:r>
        <w:rPr>
          <w:sz w:val="24"/>
          <w:szCs w:val="24"/>
        </w:rPr>
        <w:t xml:space="preserve"> (i henhold til anbefalingerne fra de lokale sundhedsmyndigheder), administreret mindre end 24 timer før den forventede eksponering og op til 2 timer efter eksponeringen, medfører en næsten fuldstændig mætning af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, hvilket blokerer for, at der trænger radioaktivt </w:t>
      </w:r>
      <w:proofErr w:type="spellStart"/>
      <w:r>
        <w:rPr>
          <w:sz w:val="24"/>
          <w:szCs w:val="24"/>
        </w:rPr>
        <w:t>iod</w:t>
      </w:r>
      <w:proofErr w:type="spellEnd"/>
      <w:r>
        <w:rPr>
          <w:sz w:val="24"/>
          <w:szCs w:val="24"/>
        </w:rPr>
        <w:t xml:space="preserve"> ind i </w:t>
      </w:r>
      <w:proofErr w:type="spellStart"/>
      <w:r>
        <w:rPr>
          <w:sz w:val="24"/>
          <w:szCs w:val="24"/>
        </w:rPr>
        <w:t>thyroidea</w:t>
      </w:r>
      <w:proofErr w:type="spellEnd"/>
      <w:r>
        <w:rPr>
          <w:sz w:val="24"/>
          <w:szCs w:val="24"/>
        </w:rPr>
        <w:t xml:space="preserve"> i løbet af de næste 24 timer.</w:t>
      </w:r>
    </w:p>
    <w:p w14:paraId="2B4212BF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D5EC4D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5.2</w:t>
      </w:r>
      <w:r w:rsidRPr="00305E53">
        <w:rPr>
          <w:b/>
          <w:sz w:val="24"/>
          <w:szCs w:val="24"/>
        </w:rPr>
        <w:tab/>
      </w:r>
      <w:proofErr w:type="spellStart"/>
      <w:r w:rsidRPr="00305E53">
        <w:rPr>
          <w:b/>
          <w:sz w:val="24"/>
          <w:szCs w:val="24"/>
        </w:rPr>
        <w:t>Farmakokinetiske</w:t>
      </w:r>
      <w:proofErr w:type="spellEnd"/>
      <w:r w:rsidRPr="00305E53">
        <w:rPr>
          <w:b/>
          <w:sz w:val="24"/>
          <w:szCs w:val="24"/>
        </w:rPr>
        <w:t xml:space="preserve"> egenskaber</w:t>
      </w:r>
    </w:p>
    <w:p w14:paraId="5E7E24BC" w14:textId="77777777" w:rsidR="00BE1C0D" w:rsidRPr="00305E53" w:rsidRDefault="00BE1C0D" w:rsidP="00BC172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4E9107B" w14:textId="195B4BF8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  <w:lang w:eastAsia="da-DK"/>
        </w:rPr>
      </w:pPr>
      <w:r w:rsidRPr="00305E53">
        <w:rPr>
          <w:sz w:val="24"/>
          <w:szCs w:val="24"/>
          <w:u w:val="single"/>
        </w:rPr>
        <w:t>Absorption</w:t>
      </w:r>
    </w:p>
    <w:p w14:paraId="7C2A0197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Kaliumiodid</w:t>
      </w:r>
      <w:proofErr w:type="spellEnd"/>
      <w:r w:rsidRPr="00305E53">
        <w:rPr>
          <w:sz w:val="24"/>
          <w:szCs w:val="24"/>
        </w:rPr>
        <w:t xml:space="preserve"> administreret oralt absorberes hurtigt i mave-tarm-kanalen. </w:t>
      </w:r>
    </w:p>
    <w:p w14:paraId="728C05EC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>Absorption er fuldstændig inden for 2 timer efter administration.</w:t>
      </w:r>
    </w:p>
    <w:p w14:paraId="00CC298C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>Mad forårsager en absorptionsforsinkelse på 10 ‒ 15 minutter.</w:t>
      </w:r>
    </w:p>
    <w:p w14:paraId="3362883F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6611AF0E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>Fordeling</w:t>
      </w:r>
    </w:p>
    <w:p w14:paraId="4F758D14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Efter absorption kommer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ind i det systemiske kredsløb og udveksles hurtigt mellem erytrocytter og ekstracellulær væske.</w:t>
      </w:r>
    </w:p>
    <w:p w14:paraId="6BB22A74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Derefter følger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to primære og konkurrerende distributionsveje: absorption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 eller </w:t>
      </w:r>
      <w:proofErr w:type="spellStart"/>
      <w:r w:rsidRPr="00305E53">
        <w:rPr>
          <w:sz w:val="24"/>
          <w:szCs w:val="24"/>
        </w:rPr>
        <w:t>renal</w:t>
      </w:r>
      <w:proofErr w:type="spellEnd"/>
      <w:r w:rsidRPr="00305E53">
        <w:rPr>
          <w:sz w:val="24"/>
          <w:szCs w:val="24"/>
        </w:rPr>
        <w:t xml:space="preserve"> udskillelse.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fordeles også i et mindre omfang i andre væv end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>.</w:t>
      </w:r>
    </w:p>
    <w:p w14:paraId="2D139D73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648C219D" w14:textId="77777777" w:rsidR="00BC1722" w:rsidRPr="00305E53" w:rsidRDefault="00BC1722" w:rsidP="00BC1722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305E53">
        <w:rPr>
          <w:i/>
          <w:sz w:val="24"/>
          <w:szCs w:val="24"/>
        </w:rPr>
        <w:t>Thyroidea</w:t>
      </w:r>
      <w:proofErr w:type="spellEnd"/>
    </w:p>
    <w:p w14:paraId="6EF25FE5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Optagelsen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 begynder hurtigt og når derefter hos </w:t>
      </w:r>
      <w:proofErr w:type="spellStart"/>
      <w:r w:rsidRPr="00305E53">
        <w:rPr>
          <w:sz w:val="24"/>
          <w:szCs w:val="24"/>
        </w:rPr>
        <w:t>euthyroidpatienter</w:t>
      </w:r>
      <w:proofErr w:type="spellEnd"/>
      <w:r w:rsidRPr="00305E53">
        <w:rPr>
          <w:sz w:val="24"/>
          <w:szCs w:val="24"/>
        </w:rPr>
        <w:t xml:space="preserve"> et plateau på 10 % til 40 % af dosis på 24 til 48 timer. Den tid, der kræves for at nå halvdelen af den samlede </w:t>
      </w:r>
      <w:proofErr w:type="spellStart"/>
      <w:r w:rsidRPr="00305E53">
        <w:rPr>
          <w:sz w:val="24"/>
          <w:szCs w:val="24"/>
        </w:rPr>
        <w:t>thyreoideaabsorption</w:t>
      </w:r>
      <w:proofErr w:type="spellEnd"/>
      <w:r w:rsidRPr="00305E53">
        <w:rPr>
          <w:sz w:val="24"/>
          <w:szCs w:val="24"/>
        </w:rPr>
        <w:t xml:space="preserve">, varierer fra 3 til 6,5 timer med betydelig </w:t>
      </w:r>
      <w:proofErr w:type="spellStart"/>
      <w:r w:rsidRPr="00305E53">
        <w:rPr>
          <w:sz w:val="24"/>
          <w:szCs w:val="24"/>
        </w:rPr>
        <w:t>interindividuel</w:t>
      </w:r>
      <w:proofErr w:type="spellEnd"/>
      <w:r w:rsidRPr="00305E53">
        <w:rPr>
          <w:sz w:val="24"/>
          <w:szCs w:val="24"/>
        </w:rPr>
        <w:t xml:space="preserve"> variation.</w:t>
      </w:r>
    </w:p>
    <w:p w14:paraId="6355C88E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Thyroideaclearance</w:t>
      </w:r>
      <w:proofErr w:type="spellEnd"/>
      <w:r w:rsidRPr="00305E53">
        <w:rPr>
          <w:sz w:val="24"/>
          <w:szCs w:val="24"/>
        </w:rPr>
        <w:t xml:space="preserve"> afhænger af kirtlens volumen og aktivitet. Det er adaptivt og afhænger af plasmakoncentration og indtagelse af mad. Som følge heraf øges optagelse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, når </w:t>
      </w:r>
      <w:proofErr w:type="spellStart"/>
      <w:r w:rsidRPr="00305E53">
        <w:rPr>
          <w:sz w:val="24"/>
          <w:szCs w:val="24"/>
        </w:rPr>
        <w:t>iodindtag</w:t>
      </w:r>
      <w:proofErr w:type="spellEnd"/>
      <w:r w:rsidRPr="00305E53">
        <w:rPr>
          <w:sz w:val="24"/>
          <w:szCs w:val="24"/>
        </w:rPr>
        <w:t xml:space="preserve"> via kost er lavt.</w:t>
      </w:r>
    </w:p>
    <w:p w14:paraId="6CFBCCDF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Thyroideaabsorption</w:t>
      </w:r>
      <w:proofErr w:type="spellEnd"/>
      <w:r w:rsidRPr="00305E53">
        <w:rPr>
          <w:sz w:val="24"/>
          <w:szCs w:val="24"/>
        </w:rPr>
        <w:t xml:space="preserve"> afhænger også af den fysiologiske alder. Den er højere hos unge end hos voksne og falder gradvist med alderen.</w:t>
      </w:r>
    </w:p>
    <w:p w14:paraId="12EF6653" w14:textId="77777777" w:rsidR="00BC1722" w:rsidRPr="00305E53" w:rsidRDefault="00BC1722" w:rsidP="00BC1722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0535336E" w14:textId="77777777" w:rsidR="00BC1722" w:rsidRPr="00305E53" w:rsidRDefault="00BC1722" w:rsidP="00BC1722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305E53">
        <w:rPr>
          <w:i/>
          <w:sz w:val="24"/>
          <w:szCs w:val="24"/>
        </w:rPr>
        <w:t>Ekstrathyroidale</w:t>
      </w:r>
      <w:proofErr w:type="spellEnd"/>
      <w:r w:rsidRPr="00305E53">
        <w:rPr>
          <w:i/>
          <w:sz w:val="24"/>
          <w:szCs w:val="24"/>
        </w:rPr>
        <w:t xml:space="preserve"> væv</w:t>
      </w:r>
    </w:p>
    <w:p w14:paraId="6502BC0E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Udover 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, sker aktiv </w:t>
      </w:r>
      <w:proofErr w:type="spellStart"/>
      <w:r w:rsidRPr="00305E53">
        <w:rPr>
          <w:sz w:val="24"/>
          <w:szCs w:val="24"/>
        </w:rPr>
        <w:t>iodtransport</w:t>
      </w:r>
      <w:proofErr w:type="spellEnd"/>
      <w:r w:rsidRPr="00305E53">
        <w:rPr>
          <w:sz w:val="24"/>
          <w:szCs w:val="24"/>
        </w:rPr>
        <w:t xml:space="preserve"> i mindre omfang også i </w:t>
      </w:r>
      <w:proofErr w:type="spellStart"/>
      <w:r w:rsidRPr="00305E53">
        <w:rPr>
          <w:sz w:val="24"/>
          <w:szCs w:val="24"/>
        </w:rPr>
        <w:t>ekstrathyroidale</w:t>
      </w:r>
      <w:proofErr w:type="spellEnd"/>
      <w:r w:rsidRPr="00305E53">
        <w:rPr>
          <w:sz w:val="24"/>
          <w:szCs w:val="24"/>
        </w:rPr>
        <w:t xml:space="preserve"> væv som spytkirtler, maveslimhinde, plexus </w:t>
      </w:r>
      <w:proofErr w:type="spellStart"/>
      <w:r w:rsidRPr="00305E53">
        <w:rPr>
          <w:sz w:val="24"/>
          <w:szCs w:val="24"/>
        </w:rPr>
        <w:t>choroidea</w:t>
      </w:r>
      <w:proofErr w:type="spellEnd"/>
      <w:r w:rsidRPr="00305E53">
        <w:rPr>
          <w:sz w:val="24"/>
          <w:szCs w:val="24"/>
        </w:rPr>
        <w:t xml:space="preserve"> og i mælkekirtlerne under amning.</w:t>
      </w:r>
    </w:p>
    <w:p w14:paraId="34F54EA9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 passerer også placentabarrieren og absorberes af den </w:t>
      </w:r>
      <w:proofErr w:type="spellStart"/>
      <w:r w:rsidRPr="00305E53">
        <w:rPr>
          <w:sz w:val="24"/>
          <w:szCs w:val="24"/>
        </w:rPr>
        <w:t>føtale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, som begynder at koncentrere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 og syntetisere </w:t>
      </w:r>
      <w:proofErr w:type="spellStart"/>
      <w:r w:rsidRPr="00305E53">
        <w:rPr>
          <w:sz w:val="24"/>
          <w:szCs w:val="24"/>
        </w:rPr>
        <w:t>thyroideahormoner</w:t>
      </w:r>
      <w:proofErr w:type="spellEnd"/>
      <w:r w:rsidRPr="00305E53">
        <w:rPr>
          <w:sz w:val="24"/>
          <w:szCs w:val="24"/>
        </w:rPr>
        <w:t xml:space="preserve"> efter 12 ugers graviditet.</w:t>
      </w:r>
    </w:p>
    <w:p w14:paraId="41D7809C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036DCB00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>Biotransformation</w:t>
      </w:r>
    </w:p>
    <w:p w14:paraId="261168D0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I </w:t>
      </w:r>
      <w:proofErr w:type="spellStart"/>
      <w:r w:rsidRPr="00305E53">
        <w:rPr>
          <w:sz w:val="24"/>
          <w:szCs w:val="24"/>
        </w:rPr>
        <w:t>thyroidea</w:t>
      </w:r>
      <w:proofErr w:type="spellEnd"/>
      <w:r w:rsidRPr="00305E53">
        <w:rPr>
          <w:sz w:val="24"/>
          <w:szCs w:val="24"/>
        </w:rPr>
        <w:t xml:space="preserve"> er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inkorporeret og oxideret til </w:t>
      </w:r>
      <w:proofErr w:type="spellStart"/>
      <w:r w:rsidRPr="00305E53">
        <w:rPr>
          <w:sz w:val="24"/>
          <w:szCs w:val="24"/>
        </w:rPr>
        <w:t>iod</w:t>
      </w:r>
      <w:proofErr w:type="spellEnd"/>
      <w:r w:rsidRPr="00305E53">
        <w:rPr>
          <w:sz w:val="24"/>
          <w:szCs w:val="24"/>
        </w:rPr>
        <w:t xml:space="preserve"> og derefter bundet til </w:t>
      </w:r>
      <w:proofErr w:type="spellStart"/>
      <w:r w:rsidRPr="00305E53">
        <w:rPr>
          <w:sz w:val="24"/>
          <w:szCs w:val="24"/>
        </w:rPr>
        <w:t>tyreoglobulin</w:t>
      </w:r>
      <w:proofErr w:type="spellEnd"/>
      <w:r w:rsidRPr="00305E53">
        <w:rPr>
          <w:sz w:val="24"/>
          <w:szCs w:val="24"/>
        </w:rPr>
        <w:t xml:space="preserve"> (</w:t>
      </w:r>
      <w:proofErr w:type="spellStart"/>
      <w:r w:rsidRPr="00305E53">
        <w:rPr>
          <w:sz w:val="24"/>
          <w:szCs w:val="24"/>
        </w:rPr>
        <w:t>organificering</w:t>
      </w:r>
      <w:proofErr w:type="spellEnd"/>
      <w:r w:rsidRPr="00305E53">
        <w:rPr>
          <w:sz w:val="24"/>
          <w:szCs w:val="24"/>
        </w:rPr>
        <w:t>).</w:t>
      </w:r>
    </w:p>
    <w:p w14:paraId="04EEB4AE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Thyroideahormoner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thyroxin</w:t>
      </w:r>
      <w:proofErr w:type="spellEnd"/>
      <w:r w:rsidRPr="00305E53">
        <w:rPr>
          <w:sz w:val="24"/>
          <w:szCs w:val="24"/>
        </w:rPr>
        <w:t xml:space="preserve"> (T4) og </w:t>
      </w:r>
      <w:proofErr w:type="spellStart"/>
      <w:r w:rsidRPr="00305E53">
        <w:rPr>
          <w:sz w:val="24"/>
          <w:szCs w:val="24"/>
        </w:rPr>
        <w:t>triiodthyronin</w:t>
      </w:r>
      <w:proofErr w:type="spellEnd"/>
      <w:r w:rsidRPr="00305E53">
        <w:rPr>
          <w:sz w:val="24"/>
          <w:szCs w:val="24"/>
        </w:rPr>
        <w:t xml:space="preserve"> (T3) syntetiseres derefter ved </w:t>
      </w:r>
      <w:proofErr w:type="spellStart"/>
      <w:r w:rsidRPr="00305E53">
        <w:rPr>
          <w:sz w:val="24"/>
          <w:szCs w:val="24"/>
        </w:rPr>
        <w:t>oxidativ</w:t>
      </w:r>
      <w:proofErr w:type="spellEnd"/>
      <w:r w:rsidRPr="00305E53">
        <w:rPr>
          <w:sz w:val="24"/>
          <w:szCs w:val="24"/>
        </w:rPr>
        <w:t xml:space="preserve"> kondensation af </w:t>
      </w:r>
      <w:proofErr w:type="spellStart"/>
      <w:r w:rsidRPr="00305E53">
        <w:rPr>
          <w:sz w:val="24"/>
          <w:szCs w:val="24"/>
        </w:rPr>
        <w:t>ioderede</w:t>
      </w:r>
      <w:proofErr w:type="spellEnd"/>
      <w:r w:rsidRPr="00305E53">
        <w:rPr>
          <w:sz w:val="24"/>
          <w:szCs w:val="24"/>
        </w:rPr>
        <w:t xml:space="preserve"> </w:t>
      </w:r>
      <w:proofErr w:type="spellStart"/>
      <w:r w:rsidRPr="00305E53">
        <w:rPr>
          <w:sz w:val="24"/>
          <w:szCs w:val="24"/>
        </w:rPr>
        <w:t>intermediater</w:t>
      </w:r>
      <w:proofErr w:type="spellEnd"/>
      <w:r w:rsidRPr="00305E53">
        <w:rPr>
          <w:sz w:val="24"/>
          <w:szCs w:val="24"/>
        </w:rPr>
        <w:t xml:space="preserve"> (</w:t>
      </w:r>
      <w:proofErr w:type="spellStart"/>
      <w:r w:rsidRPr="00305E53">
        <w:rPr>
          <w:sz w:val="24"/>
          <w:szCs w:val="24"/>
        </w:rPr>
        <w:t>monoiodotyrosin</w:t>
      </w:r>
      <w:proofErr w:type="spellEnd"/>
      <w:r w:rsidRPr="00305E53">
        <w:rPr>
          <w:sz w:val="24"/>
          <w:szCs w:val="24"/>
        </w:rPr>
        <w:t xml:space="preserve"> (MIT) og </w:t>
      </w:r>
      <w:proofErr w:type="spellStart"/>
      <w:r w:rsidRPr="00305E53">
        <w:rPr>
          <w:sz w:val="24"/>
          <w:szCs w:val="24"/>
        </w:rPr>
        <w:t>diiodotyrosin</w:t>
      </w:r>
      <w:proofErr w:type="spellEnd"/>
      <w:r w:rsidRPr="00305E53">
        <w:rPr>
          <w:sz w:val="24"/>
          <w:szCs w:val="24"/>
        </w:rPr>
        <w:t xml:space="preserve"> (DIT)).</w:t>
      </w:r>
    </w:p>
    <w:p w14:paraId="549624C4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1F0D5DD4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05E53">
        <w:rPr>
          <w:sz w:val="24"/>
          <w:szCs w:val="24"/>
          <w:u w:val="single"/>
        </w:rPr>
        <w:t>Elimination</w:t>
      </w:r>
    </w:p>
    <w:p w14:paraId="5ED553B3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elimineres hovedsageligt af nyrerne (&gt; 95 %) ved hurtig filtrering og delvis </w:t>
      </w:r>
      <w:proofErr w:type="spellStart"/>
      <w:r w:rsidRPr="00305E53">
        <w:rPr>
          <w:sz w:val="24"/>
          <w:szCs w:val="24"/>
        </w:rPr>
        <w:t>reabsorption</w:t>
      </w:r>
      <w:proofErr w:type="spellEnd"/>
      <w:r w:rsidRPr="00305E53">
        <w:rPr>
          <w:sz w:val="24"/>
          <w:szCs w:val="24"/>
        </w:rPr>
        <w:t xml:space="preserve"> med en </w:t>
      </w:r>
      <w:proofErr w:type="spellStart"/>
      <w:r w:rsidRPr="00305E53">
        <w:rPr>
          <w:sz w:val="24"/>
          <w:szCs w:val="24"/>
        </w:rPr>
        <w:t>clearance</w:t>
      </w:r>
      <w:proofErr w:type="spellEnd"/>
      <w:r w:rsidRPr="00305E53">
        <w:rPr>
          <w:sz w:val="24"/>
          <w:szCs w:val="24"/>
        </w:rPr>
        <w:t xml:space="preserve"> på 30 til 36 ml/min. Halveringstiden for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i det systemiske kredsløb er omkring 6 timer.</w:t>
      </w:r>
    </w:p>
    <w:p w14:paraId="38F8D105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Den </w:t>
      </w:r>
      <w:proofErr w:type="spellStart"/>
      <w:r w:rsidRPr="00305E53">
        <w:rPr>
          <w:sz w:val="24"/>
          <w:szCs w:val="24"/>
        </w:rPr>
        <w:t>renale</w:t>
      </w:r>
      <w:proofErr w:type="spellEnd"/>
      <w:r w:rsidRPr="00305E53">
        <w:rPr>
          <w:sz w:val="24"/>
          <w:szCs w:val="24"/>
        </w:rPr>
        <w:t xml:space="preserve"> eliminationshastighed påvirkes ikke af </w:t>
      </w:r>
      <w:proofErr w:type="spellStart"/>
      <w:r w:rsidRPr="00305E53">
        <w:rPr>
          <w:sz w:val="24"/>
          <w:szCs w:val="24"/>
        </w:rPr>
        <w:t>iodindtagelse</w:t>
      </w:r>
      <w:proofErr w:type="spellEnd"/>
      <w:r w:rsidRPr="00305E53">
        <w:rPr>
          <w:sz w:val="24"/>
          <w:szCs w:val="24"/>
        </w:rPr>
        <w:t xml:space="preserve"> eller </w:t>
      </w:r>
      <w:proofErr w:type="spellStart"/>
      <w:r w:rsidRPr="00305E53">
        <w:rPr>
          <w:sz w:val="24"/>
          <w:szCs w:val="24"/>
        </w:rPr>
        <w:t>serumiodniveau</w:t>
      </w:r>
      <w:proofErr w:type="spellEnd"/>
      <w:r w:rsidRPr="00305E53">
        <w:rPr>
          <w:sz w:val="24"/>
          <w:szCs w:val="24"/>
        </w:rPr>
        <w:t>.</w:t>
      </w:r>
    </w:p>
    <w:p w14:paraId="3C77823C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t xml:space="preserve">Der udskilles kun små mængder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 xml:space="preserve"> i fæces (ca. 1 %), spyt og sved.</w:t>
      </w:r>
    </w:p>
    <w:p w14:paraId="4FCC1455" w14:textId="77777777" w:rsidR="00BC1722" w:rsidRPr="00305E53" w:rsidRDefault="00BC1722" w:rsidP="00BC1722">
      <w:pPr>
        <w:tabs>
          <w:tab w:val="left" w:pos="851"/>
        </w:tabs>
        <w:ind w:left="851"/>
        <w:rPr>
          <w:iCs/>
          <w:sz w:val="24"/>
          <w:szCs w:val="24"/>
        </w:rPr>
      </w:pPr>
      <w:r w:rsidRPr="00305E53">
        <w:rPr>
          <w:sz w:val="24"/>
          <w:szCs w:val="24"/>
        </w:rPr>
        <w:lastRenderedPageBreak/>
        <w:t xml:space="preserve">Hos ammende kvinder er der en øget elimination af </w:t>
      </w:r>
      <w:proofErr w:type="spellStart"/>
      <w:r w:rsidRPr="00305E53">
        <w:rPr>
          <w:sz w:val="24"/>
          <w:szCs w:val="24"/>
        </w:rPr>
        <w:t>iodid</w:t>
      </w:r>
      <w:proofErr w:type="spellEnd"/>
      <w:r w:rsidRPr="00305E53">
        <w:rPr>
          <w:sz w:val="24"/>
          <w:szCs w:val="24"/>
        </w:rPr>
        <w:t>, som udskilles i store mængder i modermælken, hvilket gradvist aftager i løbet af de første 6 måneder af amningen.</w:t>
      </w:r>
    </w:p>
    <w:p w14:paraId="585A54DE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76BDB0" w14:textId="277E003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5.3</w:t>
      </w:r>
      <w:r w:rsidRPr="00305E53">
        <w:rPr>
          <w:b/>
          <w:sz w:val="24"/>
          <w:szCs w:val="24"/>
        </w:rPr>
        <w:tab/>
      </w:r>
      <w:r w:rsidR="00BE1C0D" w:rsidRPr="00305E53">
        <w:rPr>
          <w:b/>
          <w:sz w:val="24"/>
          <w:szCs w:val="24"/>
        </w:rPr>
        <w:t>Non-</w:t>
      </w:r>
      <w:r w:rsidRPr="00305E53">
        <w:rPr>
          <w:b/>
          <w:sz w:val="24"/>
          <w:szCs w:val="24"/>
        </w:rPr>
        <w:t>kliniske sikkerhedsdata</w:t>
      </w:r>
    </w:p>
    <w:p w14:paraId="4819A7E6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 xml:space="preserve">Der blev observeret effekter i non-klinisk akut toksicitet og toksicitet ved gentagne orale doser, </w:t>
      </w:r>
      <w:proofErr w:type="spellStart"/>
      <w:r w:rsidRPr="00305E53">
        <w:rPr>
          <w:sz w:val="24"/>
          <w:szCs w:val="24"/>
        </w:rPr>
        <w:t>carcinogen</w:t>
      </w:r>
      <w:proofErr w:type="spellEnd"/>
      <w:r w:rsidRPr="00305E53">
        <w:rPr>
          <w:sz w:val="24"/>
          <w:szCs w:val="24"/>
        </w:rPr>
        <w:t xml:space="preserve"> toksicitet og reproduktions- og udviklingsstudier, men kun ved eksponeringer, der anses for tilstrækkeligt over den maksimale humane dosis, hvilket indikerer ringe relevans for klinisk brug af denne enkeltdosisbehandling. </w:t>
      </w:r>
    </w:p>
    <w:p w14:paraId="4F0B9054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ACC9A6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C0A4B2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</w:t>
      </w:r>
      <w:r w:rsidRPr="00305E53">
        <w:rPr>
          <w:b/>
          <w:sz w:val="24"/>
          <w:szCs w:val="24"/>
        </w:rPr>
        <w:tab/>
        <w:t>FARMACEUTISKE OPLYSNINGER</w:t>
      </w:r>
    </w:p>
    <w:p w14:paraId="2D7B0DC4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CBEE85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6.1</w:t>
      </w:r>
      <w:r w:rsidRPr="00305E53">
        <w:rPr>
          <w:b/>
          <w:sz w:val="24"/>
          <w:szCs w:val="24"/>
        </w:rPr>
        <w:tab/>
        <w:t>Hjælpestoffer</w:t>
      </w:r>
    </w:p>
    <w:p w14:paraId="1847271A" w14:textId="36B82A39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305E53">
        <w:rPr>
          <w:sz w:val="24"/>
          <w:szCs w:val="24"/>
        </w:rPr>
        <w:t>Lactose</w:t>
      </w:r>
      <w:proofErr w:type="spellEnd"/>
      <w:r w:rsidRPr="00305E53">
        <w:rPr>
          <w:sz w:val="24"/>
          <w:szCs w:val="24"/>
        </w:rPr>
        <w:t xml:space="preserve"> </w:t>
      </w:r>
    </w:p>
    <w:p w14:paraId="7CB3CBB6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Cellulose, mikrokrystallinsk</w:t>
      </w:r>
    </w:p>
    <w:p w14:paraId="189AF8F6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05E53">
        <w:rPr>
          <w:sz w:val="24"/>
          <w:szCs w:val="24"/>
        </w:rPr>
        <w:t>Magnesiumstearat</w:t>
      </w:r>
      <w:proofErr w:type="spellEnd"/>
      <w:r w:rsidRPr="00305E53">
        <w:rPr>
          <w:sz w:val="24"/>
          <w:szCs w:val="24"/>
        </w:rPr>
        <w:t xml:space="preserve"> (E 572)</w:t>
      </w:r>
    </w:p>
    <w:p w14:paraId="19EF45A7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4FD470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6.2</w:t>
      </w:r>
      <w:r w:rsidRPr="00305E53">
        <w:rPr>
          <w:b/>
          <w:sz w:val="24"/>
          <w:szCs w:val="24"/>
        </w:rPr>
        <w:tab/>
        <w:t>Uforligeligheder</w:t>
      </w:r>
    </w:p>
    <w:p w14:paraId="155AF722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Ikke relevant.</w:t>
      </w:r>
    </w:p>
    <w:p w14:paraId="542BA85E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E6F478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6.3</w:t>
      </w:r>
      <w:r w:rsidRPr="00305E53">
        <w:rPr>
          <w:b/>
          <w:sz w:val="24"/>
          <w:szCs w:val="24"/>
        </w:rPr>
        <w:tab/>
        <w:t>Opbevaringstid</w:t>
      </w:r>
    </w:p>
    <w:p w14:paraId="2DAB0E56" w14:textId="7A1EA709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 xml:space="preserve">10 år. </w:t>
      </w:r>
    </w:p>
    <w:p w14:paraId="1651D4A8" w14:textId="6A070AE2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Under opbevaring kan tabletterne blive</w:t>
      </w:r>
      <w:r w:rsidR="0060242A">
        <w:rPr>
          <w:sz w:val="24"/>
          <w:szCs w:val="24"/>
        </w:rPr>
        <w:t xml:space="preserve"> råhvide. </w:t>
      </w:r>
      <w:r w:rsidRPr="00305E53">
        <w:rPr>
          <w:sz w:val="24"/>
          <w:szCs w:val="24"/>
        </w:rPr>
        <w:t>Denne misfarvning vil ikke påvirke den forebyggende virkning.</w:t>
      </w:r>
    </w:p>
    <w:p w14:paraId="79189AA7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F20203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6.4</w:t>
      </w:r>
      <w:r w:rsidRPr="00305E53">
        <w:rPr>
          <w:b/>
          <w:sz w:val="24"/>
          <w:szCs w:val="24"/>
        </w:rPr>
        <w:tab/>
        <w:t>Særlige opbevaringsforhold</w:t>
      </w:r>
    </w:p>
    <w:p w14:paraId="046B2325" w14:textId="77777777" w:rsidR="0060242A" w:rsidRDefault="0060242A" w:rsidP="006024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er ingen særlige krav vedrørende opbevaringstemperaturer for dette lægemiddel.</w:t>
      </w:r>
    </w:p>
    <w:p w14:paraId="7E932883" w14:textId="1D2FED74" w:rsidR="00BC1722" w:rsidRPr="00305E53" w:rsidRDefault="0060242A" w:rsidP="0060242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Opbevares i den originale yderpakning for at beskytte mod lys.</w:t>
      </w:r>
    </w:p>
    <w:p w14:paraId="467FED7F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C6F296" w14:textId="7F96EE1E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6.5</w:t>
      </w:r>
      <w:r w:rsidRPr="00305E53">
        <w:rPr>
          <w:b/>
          <w:sz w:val="24"/>
          <w:szCs w:val="24"/>
        </w:rPr>
        <w:tab/>
        <w:t>Emballagetype og pakningsstørrelser</w:t>
      </w:r>
    </w:p>
    <w:p w14:paraId="4CEC92C4" w14:textId="7364460F" w:rsidR="00916E9F" w:rsidRPr="00305E53" w:rsidRDefault="0060242A" w:rsidP="00916E9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Blister (OPA/Al/PVC/Al) hver </w:t>
      </w:r>
      <w:r w:rsidR="00916E9F" w:rsidRPr="007E66BF">
        <w:rPr>
          <w:sz w:val="24"/>
          <w:szCs w:val="24"/>
        </w:rPr>
        <w:t>indeholdende</w:t>
      </w:r>
      <w:r w:rsidR="00916E9F" w:rsidRPr="00305E53">
        <w:rPr>
          <w:sz w:val="24"/>
          <w:szCs w:val="24"/>
        </w:rPr>
        <w:t xml:space="preserve"> 10 tabletter.</w:t>
      </w:r>
    </w:p>
    <w:p w14:paraId="2AC73628" w14:textId="77777777" w:rsidR="00916E9F" w:rsidRPr="007E66BF" w:rsidRDefault="00916E9F" w:rsidP="00916E9F">
      <w:pPr>
        <w:tabs>
          <w:tab w:val="left" w:pos="851"/>
        </w:tabs>
        <w:ind w:left="851"/>
        <w:rPr>
          <w:sz w:val="24"/>
          <w:szCs w:val="24"/>
        </w:rPr>
      </w:pPr>
      <w:r w:rsidRPr="007E66BF">
        <w:rPr>
          <w:sz w:val="24"/>
          <w:szCs w:val="24"/>
        </w:rPr>
        <w:t>Pakningsstørrelser: 10 og 20 tabletter.</w:t>
      </w:r>
    </w:p>
    <w:p w14:paraId="377564EA" w14:textId="77777777" w:rsidR="00916E9F" w:rsidRDefault="00916E9F" w:rsidP="00916E9F">
      <w:pPr>
        <w:tabs>
          <w:tab w:val="left" w:pos="851"/>
        </w:tabs>
        <w:ind w:left="851"/>
        <w:rPr>
          <w:sz w:val="24"/>
          <w:szCs w:val="24"/>
        </w:rPr>
      </w:pPr>
      <w:r w:rsidRPr="007E66BF">
        <w:rPr>
          <w:sz w:val="24"/>
          <w:szCs w:val="24"/>
        </w:rPr>
        <w:t>Ikke alle pakningsstørrelser er nødvendigvis markedsført.</w:t>
      </w:r>
    </w:p>
    <w:p w14:paraId="1111D969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CE5BC5" w14:textId="7B9F7D31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6.6</w:t>
      </w:r>
      <w:r w:rsidRPr="00305E53">
        <w:rPr>
          <w:b/>
          <w:sz w:val="24"/>
          <w:szCs w:val="24"/>
        </w:rPr>
        <w:tab/>
        <w:t xml:space="preserve">Regler for </w:t>
      </w:r>
      <w:r w:rsidR="00BE1C0D" w:rsidRPr="00305E53">
        <w:rPr>
          <w:b/>
          <w:sz w:val="24"/>
          <w:szCs w:val="24"/>
        </w:rPr>
        <w:t>bortskaffelse</w:t>
      </w:r>
      <w:r w:rsidRPr="00305E53">
        <w:rPr>
          <w:b/>
          <w:sz w:val="24"/>
          <w:szCs w:val="24"/>
        </w:rPr>
        <w:t xml:space="preserve"> og anden håndtering</w:t>
      </w:r>
    </w:p>
    <w:p w14:paraId="39649A50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05E53">
        <w:rPr>
          <w:sz w:val="24"/>
          <w:szCs w:val="24"/>
        </w:rPr>
        <w:t>Ingen særlige forholdsregler.</w:t>
      </w:r>
    </w:p>
    <w:p w14:paraId="3D10A101" w14:textId="77777777" w:rsidR="009260DE" w:rsidRPr="00305E5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1FD793B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7.</w:t>
      </w:r>
      <w:r w:rsidRPr="00305E53">
        <w:rPr>
          <w:b/>
          <w:sz w:val="24"/>
          <w:szCs w:val="24"/>
        </w:rPr>
        <w:tab/>
        <w:t>INDEHAVER AF MARKEDSFØRINGSTILLADELSEN</w:t>
      </w:r>
    </w:p>
    <w:p w14:paraId="013DCD75" w14:textId="64E38448" w:rsidR="00BC1722" w:rsidRPr="00F713B5" w:rsidRDefault="00BC1722" w:rsidP="00BC1722">
      <w:pPr>
        <w:tabs>
          <w:tab w:val="left" w:pos="851"/>
        </w:tabs>
        <w:ind w:left="851"/>
        <w:rPr>
          <w:sz w:val="24"/>
          <w:szCs w:val="24"/>
          <w:lang w:val="en-US" w:eastAsia="da-DK"/>
        </w:rPr>
      </w:pPr>
      <w:r w:rsidRPr="00F713B5">
        <w:rPr>
          <w:sz w:val="24"/>
          <w:szCs w:val="24"/>
          <w:lang w:val="en-US"/>
        </w:rPr>
        <w:t>SERB S</w:t>
      </w:r>
      <w:r w:rsidR="009819BB" w:rsidRPr="00F713B5">
        <w:rPr>
          <w:sz w:val="24"/>
          <w:szCs w:val="24"/>
          <w:lang w:val="en-US"/>
        </w:rPr>
        <w:t>.</w:t>
      </w:r>
      <w:r w:rsidRPr="00F713B5">
        <w:rPr>
          <w:sz w:val="24"/>
          <w:szCs w:val="24"/>
          <w:lang w:val="en-US"/>
        </w:rPr>
        <w:t>A</w:t>
      </w:r>
      <w:r w:rsidR="009819BB" w:rsidRPr="00F713B5">
        <w:rPr>
          <w:sz w:val="24"/>
          <w:szCs w:val="24"/>
          <w:lang w:val="en-US"/>
        </w:rPr>
        <w:t>.</w:t>
      </w:r>
    </w:p>
    <w:p w14:paraId="3AFFAE76" w14:textId="43DCBBDE" w:rsidR="00BC1722" w:rsidRPr="00F713B5" w:rsidRDefault="00BC1722" w:rsidP="00BC1722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F713B5">
        <w:rPr>
          <w:sz w:val="24"/>
          <w:szCs w:val="24"/>
          <w:lang w:val="en-US"/>
        </w:rPr>
        <w:t>Avenue Louise 480</w:t>
      </w:r>
    </w:p>
    <w:p w14:paraId="7DD4BE1B" w14:textId="435F84FC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1050 Bru</w:t>
      </w:r>
      <w:r w:rsidR="009819BB" w:rsidRPr="00305E53">
        <w:rPr>
          <w:sz w:val="24"/>
          <w:szCs w:val="24"/>
        </w:rPr>
        <w:t>xelles</w:t>
      </w:r>
    </w:p>
    <w:p w14:paraId="658E03EC" w14:textId="77777777" w:rsidR="00BC1722" w:rsidRPr="00305E53" w:rsidRDefault="00BC1722" w:rsidP="00BC1722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Belgien</w:t>
      </w:r>
    </w:p>
    <w:p w14:paraId="6483527F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00B2DF" w14:textId="5C39F21A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8.</w:t>
      </w:r>
      <w:r w:rsidRPr="00305E53">
        <w:rPr>
          <w:b/>
          <w:sz w:val="24"/>
          <w:szCs w:val="24"/>
        </w:rPr>
        <w:tab/>
        <w:t>MARKEDSFØRINGSTILLADELSESNUMMER (</w:t>
      </w:r>
      <w:r w:rsidR="00916E9F">
        <w:rPr>
          <w:b/>
          <w:sz w:val="24"/>
          <w:szCs w:val="24"/>
        </w:rPr>
        <w:t>-</w:t>
      </w:r>
      <w:r w:rsidRPr="00305E53">
        <w:rPr>
          <w:b/>
          <w:sz w:val="24"/>
          <w:szCs w:val="24"/>
        </w:rPr>
        <w:t>NUMRE)</w:t>
      </w:r>
    </w:p>
    <w:p w14:paraId="3EDADB98" w14:textId="1853CA4D" w:rsidR="009260DE" w:rsidRPr="00305E53" w:rsidRDefault="00BC1722" w:rsidP="009260DE">
      <w:pPr>
        <w:tabs>
          <w:tab w:val="left" w:pos="851"/>
        </w:tabs>
        <w:ind w:left="851"/>
        <w:rPr>
          <w:sz w:val="24"/>
          <w:szCs w:val="24"/>
        </w:rPr>
      </w:pPr>
      <w:r w:rsidRPr="00305E53">
        <w:rPr>
          <w:sz w:val="24"/>
          <w:szCs w:val="24"/>
        </w:rPr>
        <w:t>67933</w:t>
      </w:r>
    </w:p>
    <w:p w14:paraId="6D27341A" w14:textId="77777777" w:rsidR="009260DE" w:rsidRPr="00305E5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406BA24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9.</w:t>
      </w:r>
      <w:r w:rsidRPr="00305E53">
        <w:rPr>
          <w:b/>
          <w:sz w:val="24"/>
          <w:szCs w:val="24"/>
        </w:rPr>
        <w:tab/>
        <w:t>DATO FOR FØRSTE MARKEDSFØRINGSTILLADELSE</w:t>
      </w:r>
    </w:p>
    <w:p w14:paraId="611FB1BF" w14:textId="14803D12" w:rsidR="009260DE" w:rsidRPr="00305E53" w:rsidRDefault="00F713B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oktober 2022</w:t>
      </w:r>
    </w:p>
    <w:p w14:paraId="17F2CED8" w14:textId="77777777" w:rsidR="009260DE" w:rsidRPr="00305E5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F601DE" w14:textId="77777777" w:rsidR="009260DE" w:rsidRPr="00305E5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05E53">
        <w:rPr>
          <w:b/>
          <w:sz w:val="24"/>
          <w:szCs w:val="24"/>
        </w:rPr>
        <w:t>10.</w:t>
      </w:r>
      <w:r w:rsidRPr="00305E53">
        <w:rPr>
          <w:b/>
          <w:sz w:val="24"/>
          <w:szCs w:val="24"/>
        </w:rPr>
        <w:tab/>
        <w:t>DATO FOR ÆNDRING AF TEKSTEN</w:t>
      </w:r>
    </w:p>
    <w:p w14:paraId="70B293D6" w14:textId="2EE1BB80" w:rsidR="009260DE" w:rsidRPr="00305E53" w:rsidRDefault="0060242A" w:rsidP="009260DE">
      <w:pPr>
        <w:tabs>
          <w:tab w:val="left" w:pos="851"/>
        </w:tabs>
        <w:ind w:left="851"/>
        <w:rPr>
          <w:sz w:val="24"/>
          <w:szCs w:val="24"/>
        </w:rPr>
      </w:pPr>
      <w:r w:rsidRPr="0060242A">
        <w:rPr>
          <w:sz w:val="24"/>
          <w:szCs w:val="24"/>
        </w:rPr>
        <w:t>9. august 2023</w:t>
      </w:r>
    </w:p>
    <w:sectPr w:rsidR="009260DE" w:rsidRPr="00305E5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44425" w14:textId="77777777" w:rsidR="002464BB" w:rsidRDefault="002464BB">
      <w:r>
        <w:separator/>
      </w:r>
    </w:p>
  </w:endnote>
  <w:endnote w:type="continuationSeparator" w:id="0">
    <w:p w14:paraId="006E0E1E" w14:textId="77777777" w:rsidR="002464BB" w:rsidRDefault="0024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8E45" w14:textId="77777777" w:rsidR="000259B9" w:rsidRDefault="000259B9">
    <w:pPr>
      <w:pStyle w:val="Sidefod"/>
      <w:pBdr>
        <w:bottom w:val="single" w:sz="6" w:space="1" w:color="auto"/>
      </w:pBdr>
    </w:pPr>
  </w:p>
  <w:p w14:paraId="418DA0BB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15BF5D8" w14:textId="0C0262B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713B5">
      <w:rPr>
        <w:i/>
        <w:noProof/>
        <w:sz w:val="18"/>
        <w:szCs w:val="18"/>
      </w:rPr>
      <w:t>Kaliumiodid SERB, tabletter 65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627C" w14:textId="77777777" w:rsidR="002464BB" w:rsidRDefault="002464BB">
      <w:r>
        <w:separator/>
      </w:r>
    </w:p>
  </w:footnote>
  <w:footnote w:type="continuationSeparator" w:id="0">
    <w:p w14:paraId="0AD47CE7" w14:textId="77777777" w:rsidR="002464BB" w:rsidRDefault="0024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6E254C6"/>
    <w:multiLevelType w:val="hybridMultilevel"/>
    <w:tmpl w:val="F0A23EE6"/>
    <w:lvl w:ilvl="0" w:tplc="A2F053FA">
      <w:start w:val="4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7E35197"/>
    <w:multiLevelType w:val="hybridMultilevel"/>
    <w:tmpl w:val="BC489BA4"/>
    <w:lvl w:ilvl="0" w:tplc="3B883790">
      <w:start w:val="1"/>
      <w:numFmt w:val="bullet"/>
      <w:lvlText w:val="-"/>
      <w:lvlJc w:val="left"/>
      <w:pPr>
        <w:ind w:left="1211" w:hanging="360"/>
      </w:p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4DF272B"/>
    <w:multiLevelType w:val="hybridMultilevel"/>
    <w:tmpl w:val="23B8A7DE"/>
    <w:lvl w:ilvl="0" w:tplc="04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0364BD2"/>
    <w:multiLevelType w:val="hybridMultilevel"/>
    <w:tmpl w:val="02D6381A"/>
    <w:lvl w:ilvl="0" w:tplc="F2E6E3D6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D7B2313"/>
    <w:multiLevelType w:val="hybridMultilevel"/>
    <w:tmpl w:val="0ACC84B0"/>
    <w:lvl w:ilvl="0" w:tplc="A2F053FA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BB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454E2"/>
    <w:rsid w:val="00156480"/>
    <w:rsid w:val="00206CE8"/>
    <w:rsid w:val="0021526C"/>
    <w:rsid w:val="002464BB"/>
    <w:rsid w:val="00283A2B"/>
    <w:rsid w:val="002B30AD"/>
    <w:rsid w:val="002C2C01"/>
    <w:rsid w:val="00305E53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54B7C"/>
    <w:rsid w:val="00565F0F"/>
    <w:rsid w:val="00594A86"/>
    <w:rsid w:val="00596D86"/>
    <w:rsid w:val="0060242A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2576E"/>
    <w:rsid w:val="00891A83"/>
    <w:rsid w:val="00907F75"/>
    <w:rsid w:val="00916E9F"/>
    <w:rsid w:val="009260DE"/>
    <w:rsid w:val="0093258A"/>
    <w:rsid w:val="009819BB"/>
    <w:rsid w:val="009C7BA3"/>
    <w:rsid w:val="009D1F5A"/>
    <w:rsid w:val="00A10294"/>
    <w:rsid w:val="00A9147F"/>
    <w:rsid w:val="00AE4749"/>
    <w:rsid w:val="00B003BF"/>
    <w:rsid w:val="00B373D7"/>
    <w:rsid w:val="00BC1722"/>
    <w:rsid w:val="00BE1C0D"/>
    <w:rsid w:val="00C36276"/>
    <w:rsid w:val="00C42586"/>
    <w:rsid w:val="00C60CCD"/>
    <w:rsid w:val="00C84483"/>
    <w:rsid w:val="00C87B58"/>
    <w:rsid w:val="00C95551"/>
    <w:rsid w:val="00CB20D7"/>
    <w:rsid w:val="00D020B0"/>
    <w:rsid w:val="00D11748"/>
    <w:rsid w:val="00D366CF"/>
    <w:rsid w:val="00E108AA"/>
    <w:rsid w:val="00E3749A"/>
    <w:rsid w:val="00E7437F"/>
    <w:rsid w:val="00E865B8"/>
    <w:rsid w:val="00EC0B9B"/>
    <w:rsid w:val="00ED5E9F"/>
    <w:rsid w:val="00F01D4F"/>
    <w:rsid w:val="00F66D4F"/>
    <w:rsid w:val="00F713B5"/>
    <w:rsid w:val="00FA3EAD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258EC"/>
  <w15:chartTrackingRefBased/>
  <w15:docId w15:val="{E27F3B3E-3E55-44DF-8F2F-CF7EDEAE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BC172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02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egemiddelstyrelsen.dk/da/bivirkninger/bivirkninger-ved-medicin/meld-en-bivirkn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2264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2023011709_x000d_
SPC pkt. 3, 4.1, 4.2, 4.4, 4.6, 5.1, 6.1, 6.3, 6.4, 6.5.</dc:description>
  <cp:lastModifiedBy>Betty Winther Andersen</cp:lastModifiedBy>
  <cp:revision>5</cp:revision>
  <cp:lastPrinted>2012-08-22T08:53:00Z</cp:lastPrinted>
  <dcterms:created xsi:type="dcterms:W3CDTF">2023-08-07T12:18:00Z</dcterms:created>
  <dcterms:modified xsi:type="dcterms:W3CDTF">2023-08-07T12:29:00Z</dcterms:modified>
</cp:coreProperties>
</file>