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7D5" w:rsidRPr="00CD3229" w:rsidRDefault="00AC57D5" w:rsidP="00AC57D5">
      <w:pPr>
        <w:rPr>
          <w:b/>
          <w:szCs w:val="24"/>
        </w:rPr>
      </w:pPr>
      <w:r w:rsidRPr="00CD3229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2A08586" wp14:editId="532F3195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D3229">
        <w:rPr>
          <w:sz w:val="24"/>
          <w:szCs w:val="24"/>
        </w:rPr>
        <w:br w:type="textWrapping" w:clear="all"/>
      </w:r>
    </w:p>
    <w:p w:rsidR="00AC57D5" w:rsidRPr="00AD3F82" w:rsidRDefault="00AC57D5" w:rsidP="00AC57D5">
      <w:pPr>
        <w:pStyle w:val="Titel"/>
        <w:tabs>
          <w:tab w:val="right" w:pos="9356"/>
        </w:tabs>
        <w:jc w:val="left"/>
        <w:rPr>
          <w:szCs w:val="24"/>
        </w:rPr>
      </w:pPr>
      <w:r w:rsidRPr="00CD3229">
        <w:rPr>
          <w:b w:val="0"/>
          <w:szCs w:val="24"/>
          <w:lang w:eastAsia="en-US"/>
        </w:rPr>
        <w:tab/>
      </w:r>
      <w:r w:rsidR="00A44EE7">
        <w:rPr>
          <w:szCs w:val="24"/>
        </w:rPr>
        <w:t>18. juni 2020</w:t>
      </w:r>
    </w:p>
    <w:p w:rsidR="00AC57D5" w:rsidRPr="00CD3229" w:rsidRDefault="00AC57D5" w:rsidP="00AC57D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AC57D5" w:rsidRDefault="00AC57D5" w:rsidP="00AC57D5">
      <w:pPr>
        <w:pStyle w:val="Titel"/>
        <w:jc w:val="left"/>
        <w:rPr>
          <w:b w:val="0"/>
          <w:szCs w:val="24"/>
        </w:rPr>
      </w:pPr>
    </w:p>
    <w:p w:rsidR="00AC57D5" w:rsidRPr="00CD3229" w:rsidRDefault="00AC57D5" w:rsidP="00AC57D5">
      <w:pPr>
        <w:pStyle w:val="Titel"/>
        <w:jc w:val="left"/>
        <w:rPr>
          <w:b w:val="0"/>
          <w:szCs w:val="24"/>
        </w:rPr>
      </w:pPr>
    </w:p>
    <w:p w:rsidR="00AC57D5" w:rsidRPr="00CD3229" w:rsidRDefault="00AC57D5" w:rsidP="00AC57D5">
      <w:pPr>
        <w:jc w:val="center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PRODUKTRESUMÉ</w:t>
      </w:r>
    </w:p>
    <w:p w:rsidR="00AC57D5" w:rsidRPr="00CD3229" w:rsidRDefault="00E14768" w:rsidP="00E14768">
      <w:pPr>
        <w:tabs>
          <w:tab w:val="left" w:pos="4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AC57D5" w:rsidRPr="00CD3229" w:rsidRDefault="00AC57D5" w:rsidP="00AC57D5">
      <w:pPr>
        <w:jc w:val="center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for</w:t>
      </w:r>
    </w:p>
    <w:p w:rsidR="00AC57D5" w:rsidRPr="00CD3229" w:rsidRDefault="00AC57D5" w:rsidP="00AC57D5">
      <w:pPr>
        <w:jc w:val="center"/>
        <w:rPr>
          <w:b/>
          <w:sz w:val="24"/>
          <w:szCs w:val="24"/>
        </w:rPr>
      </w:pPr>
    </w:p>
    <w:p w:rsidR="00AC57D5" w:rsidRPr="00CD3229" w:rsidRDefault="00AC57D5" w:rsidP="00AC57D5">
      <w:pPr>
        <w:jc w:val="center"/>
        <w:rPr>
          <w:b/>
          <w:sz w:val="24"/>
          <w:szCs w:val="24"/>
        </w:rPr>
      </w:pPr>
      <w:proofErr w:type="spellStart"/>
      <w:r w:rsidRPr="00CD3229">
        <w:rPr>
          <w:b/>
          <w:sz w:val="24"/>
          <w:szCs w:val="24"/>
        </w:rPr>
        <w:t>Ketamin</w:t>
      </w:r>
      <w:proofErr w:type="spellEnd"/>
      <w:r w:rsidRPr="00CD3229">
        <w:rPr>
          <w:b/>
          <w:sz w:val="24"/>
          <w:szCs w:val="24"/>
        </w:rPr>
        <w:t xml:space="preserve"> "</w:t>
      </w:r>
      <w:proofErr w:type="spellStart"/>
      <w:r w:rsidRPr="00CD3229">
        <w:rPr>
          <w:b/>
          <w:sz w:val="24"/>
          <w:szCs w:val="24"/>
        </w:rPr>
        <w:t>Abcur</w:t>
      </w:r>
      <w:proofErr w:type="spellEnd"/>
      <w:r w:rsidRPr="00CD3229">
        <w:rPr>
          <w:b/>
          <w:sz w:val="24"/>
          <w:szCs w:val="24"/>
        </w:rPr>
        <w:t>", injektionsvæske, opløsning</w:t>
      </w:r>
    </w:p>
    <w:p w:rsidR="00AC57D5" w:rsidRPr="00CD3229" w:rsidRDefault="00AC57D5" w:rsidP="00AC57D5">
      <w:pPr>
        <w:jc w:val="both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jc w:val="both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0.</w:t>
      </w:r>
      <w:r w:rsidRPr="00CD3229">
        <w:rPr>
          <w:b/>
          <w:sz w:val="24"/>
          <w:szCs w:val="24"/>
        </w:rPr>
        <w:tab/>
        <w:t>D.SP.NR.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  <w:r w:rsidRPr="00CD3229">
        <w:rPr>
          <w:sz w:val="24"/>
          <w:szCs w:val="24"/>
        </w:rPr>
        <w:tab/>
        <w:t>29495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1.</w:t>
      </w:r>
      <w:r w:rsidRPr="00CD3229">
        <w:rPr>
          <w:b/>
          <w:sz w:val="24"/>
          <w:szCs w:val="24"/>
        </w:rPr>
        <w:tab/>
        <w:t>LÆGEMIDLETS NAVN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  <w:r w:rsidRPr="00CD3229">
        <w:rPr>
          <w:sz w:val="24"/>
          <w:szCs w:val="24"/>
        </w:rPr>
        <w:tab/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"</w:t>
      </w: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>"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2.</w:t>
      </w:r>
      <w:r w:rsidRPr="00CD3229">
        <w:rPr>
          <w:b/>
          <w:sz w:val="24"/>
          <w:szCs w:val="24"/>
        </w:rPr>
        <w:tab/>
        <w:t>KVALITATIV OG KVANTITATIV SAMMENSÆTNING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Hver ml injektionsvæske indeholder </w:t>
      </w:r>
      <w:proofErr w:type="spellStart"/>
      <w:r>
        <w:rPr>
          <w:sz w:val="24"/>
          <w:szCs w:val="24"/>
        </w:rPr>
        <w:t>ketaminhydrochlorid</w:t>
      </w:r>
      <w:proofErr w:type="spellEnd"/>
      <w:r>
        <w:rPr>
          <w:sz w:val="24"/>
          <w:szCs w:val="24"/>
        </w:rPr>
        <w:t xml:space="preserve"> svarende til 10 mg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>.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En 5 ml ampul indeholder </w:t>
      </w:r>
      <w:proofErr w:type="spellStart"/>
      <w:r>
        <w:rPr>
          <w:sz w:val="24"/>
          <w:szCs w:val="24"/>
        </w:rPr>
        <w:t>ketaminhydrochlorid</w:t>
      </w:r>
      <w:proofErr w:type="spellEnd"/>
      <w:r>
        <w:rPr>
          <w:sz w:val="24"/>
          <w:szCs w:val="24"/>
        </w:rPr>
        <w:t xml:space="preserve"> svarende til 50 mg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>.</w:t>
      </w:r>
    </w:p>
    <w:p w:rsidR="00AC57D5" w:rsidRDefault="00AC57D5" w:rsidP="00AC57D5">
      <w:pPr>
        <w:ind w:left="851" w:hanging="851"/>
        <w:rPr>
          <w:sz w:val="24"/>
          <w:szCs w:val="24"/>
        </w:rPr>
      </w:pPr>
    </w:p>
    <w:p w:rsidR="00AC57D5" w:rsidRPr="00C67502" w:rsidRDefault="00AC57D5" w:rsidP="00AC57D5">
      <w:pPr>
        <w:ind w:left="851"/>
        <w:rPr>
          <w:sz w:val="24"/>
          <w:szCs w:val="24"/>
        </w:rPr>
      </w:pPr>
      <w:r w:rsidRPr="00C67502">
        <w:rPr>
          <w:sz w:val="24"/>
          <w:szCs w:val="24"/>
        </w:rPr>
        <w:t xml:space="preserve">Hver ml injektionsvæske indeholder </w:t>
      </w:r>
      <w:proofErr w:type="spellStart"/>
      <w:r w:rsidRPr="00C67502">
        <w:rPr>
          <w:sz w:val="24"/>
          <w:szCs w:val="24"/>
        </w:rPr>
        <w:t>ketaminhydrochlorid</w:t>
      </w:r>
      <w:proofErr w:type="spellEnd"/>
      <w:r w:rsidRPr="00C67502">
        <w:rPr>
          <w:sz w:val="24"/>
          <w:szCs w:val="24"/>
        </w:rPr>
        <w:t xml:space="preserve"> svarende til 50 mg </w:t>
      </w:r>
      <w:proofErr w:type="spellStart"/>
      <w:r w:rsidRPr="00C67502">
        <w:rPr>
          <w:sz w:val="24"/>
          <w:szCs w:val="24"/>
        </w:rPr>
        <w:t>ketamin</w:t>
      </w:r>
      <w:proofErr w:type="spellEnd"/>
      <w:r w:rsidRPr="00C67502">
        <w:rPr>
          <w:sz w:val="24"/>
          <w:szCs w:val="24"/>
        </w:rPr>
        <w:t>.</w:t>
      </w:r>
    </w:p>
    <w:p w:rsidR="00AC57D5" w:rsidRPr="00C67502" w:rsidRDefault="00AC57D5" w:rsidP="00AC57D5">
      <w:pPr>
        <w:ind w:left="851"/>
        <w:rPr>
          <w:sz w:val="24"/>
          <w:szCs w:val="24"/>
        </w:rPr>
      </w:pPr>
      <w:r w:rsidRPr="00C67502">
        <w:rPr>
          <w:sz w:val="24"/>
          <w:szCs w:val="24"/>
        </w:rPr>
        <w:t xml:space="preserve">En 5 ml ampul indeholder </w:t>
      </w:r>
      <w:proofErr w:type="spellStart"/>
      <w:r w:rsidRPr="00C67502">
        <w:rPr>
          <w:sz w:val="24"/>
          <w:szCs w:val="24"/>
        </w:rPr>
        <w:t>ketaminhydrochlorid</w:t>
      </w:r>
      <w:proofErr w:type="spellEnd"/>
      <w:r w:rsidRPr="00C67502">
        <w:rPr>
          <w:sz w:val="24"/>
          <w:szCs w:val="24"/>
        </w:rPr>
        <w:t xml:space="preserve"> svarende til 250 mg </w:t>
      </w:r>
      <w:proofErr w:type="spellStart"/>
      <w:r w:rsidRPr="00C67502">
        <w:rPr>
          <w:sz w:val="24"/>
          <w:szCs w:val="24"/>
        </w:rPr>
        <w:t>ketamin</w:t>
      </w:r>
      <w:proofErr w:type="spellEnd"/>
      <w:r w:rsidRPr="00C67502">
        <w:rPr>
          <w:sz w:val="24"/>
          <w:szCs w:val="24"/>
        </w:rPr>
        <w:t>.</w:t>
      </w:r>
    </w:p>
    <w:p w:rsidR="00AC57D5" w:rsidRDefault="00AC57D5" w:rsidP="00AC57D5">
      <w:pPr>
        <w:ind w:left="851"/>
        <w:rPr>
          <w:sz w:val="24"/>
          <w:szCs w:val="24"/>
        </w:rPr>
      </w:pPr>
      <w:r w:rsidRPr="00C67502">
        <w:rPr>
          <w:sz w:val="24"/>
          <w:szCs w:val="24"/>
        </w:rPr>
        <w:t xml:space="preserve">En 10 ml ampul indeholder </w:t>
      </w:r>
      <w:proofErr w:type="spellStart"/>
      <w:r w:rsidRPr="00C67502">
        <w:rPr>
          <w:sz w:val="24"/>
          <w:szCs w:val="24"/>
        </w:rPr>
        <w:t>ketaminhydrochlorid</w:t>
      </w:r>
      <w:proofErr w:type="spellEnd"/>
      <w:r w:rsidRPr="00C67502">
        <w:rPr>
          <w:sz w:val="24"/>
          <w:szCs w:val="24"/>
        </w:rPr>
        <w:t xml:space="preserve"> svarende til 500 mg </w:t>
      </w:r>
      <w:proofErr w:type="spellStart"/>
      <w:r w:rsidRPr="00C67502">
        <w:rPr>
          <w:sz w:val="24"/>
          <w:szCs w:val="24"/>
        </w:rPr>
        <w:t>ketamin</w:t>
      </w:r>
      <w:proofErr w:type="spellEnd"/>
      <w:r w:rsidRPr="00C67502">
        <w:rPr>
          <w:sz w:val="24"/>
          <w:szCs w:val="24"/>
        </w:rPr>
        <w:t>.</w:t>
      </w:r>
    </w:p>
    <w:p w:rsidR="00AC57D5" w:rsidRDefault="00AC57D5" w:rsidP="00AC57D5">
      <w:pPr>
        <w:ind w:left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3.</w:t>
      </w:r>
      <w:r w:rsidRPr="00CD3229">
        <w:rPr>
          <w:b/>
          <w:sz w:val="24"/>
          <w:szCs w:val="24"/>
        </w:rPr>
        <w:tab/>
        <w:t>LÆGEMIDDELFORM</w:t>
      </w:r>
    </w:p>
    <w:p w:rsidR="00AC57D5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Injektionsvæske, opløsning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Klar, farveløs opløsning.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4.</w:t>
      </w:r>
      <w:r w:rsidRPr="00CD3229">
        <w:rPr>
          <w:b/>
          <w:sz w:val="24"/>
          <w:szCs w:val="24"/>
        </w:rPr>
        <w:tab/>
        <w:t>KLINISKE OPLYSNINGER</w:t>
      </w: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  <w:u w:val="single"/>
        </w:rPr>
      </w:pPr>
      <w:r w:rsidRPr="00CD3229">
        <w:rPr>
          <w:b/>
          <w:sz w:val="24"/>
          <w:szCs w:val="24"/>
        </w:rPr>
        <w:t>4.1</w:t>
      </w:r>
      <w:r w:rsidRPr="00CD3229">
        <w:rPr>
          <w:b/>
          <w:sz w:val="24"/>
          <w:szCs w:val="24"/>
        </w:rPr>
        <w:tab/>
        <w:t>Terapeutiske indikationer</w:t>
      </w:r>
    </w:p>
    <w:p w:rsidR="00AC57D5" w:rsidRDefault="00AC57D5" w:rsidP="00AC57D5">
      <w:pPr>
        <w:autoSpaceDE w:val="0"/>
        <w:autoSpaceDN w:val="0"/>
        <w:ind w:left="851"/>
        <w:rPr>
          <w:sz w:val="24"/>
          <w:szCs w:val="24"/>
        </w:rPr>
      </w:pPr>
      <w:r w:rsidRPr="00CD3229">
        <w:rPr>
          <w:sz w:val="24"/>
          <w:szCs w:val="24"/>
        </w:rPr>
        <w:t>Induktion og opretholdelse af anæstesi ved diagnostiske og kirurgiske procedurer, enten som eneste anæstesimiddel eller kombineret med andre anæstesimidler. Som præmedicinering eller supplement til regional anæstesi.</w:t>
      </w:r>
    </w:p>
    <w:p w:rsidR="00AC57D5" w:rsidRDefault="00AC57D5" w:rsidP="00AC57D5">
      <w:pPr>
        <w:autoSpaceDE w:val="0"/>
        <w:autoSpaceDN w:val="0"/>
        <w:ind w:left="851"/>
        <w:rPr>
          <w:sz w:val="24"/>
          <w:szCs w:val="24"/>
        </w:rPr>
      </w:pPr>
    </w:p>
    <w:p w:rsidR="00AC57D5" w:rsidRDefault="00AC57D5" w:rsidP="00AC57D5">
      <w:pPr>
        <w:autoSpaceDE w:val="0"/>
        <w:autoSpaceDN w:val="0"/>
        <w:ind w:left="851"/>
        <w:rPr>
          <w:rFonts w:eastAsia="Calibri"/>
          <w:szCs w:val="22"/>
          <w:lang w:eastAsia="sv-SE"/>
        </w:rPr>
      </w:pPr>
      <w:proofErr w:type="spellStart"/>
      <w:r>
        <w:t>Ketamin</w:t>
      </w:r>
      <w:proofErr w:type="spellEnd"/>
      <w:r>
        <w:t xml:space="preserve"> </w:t>
      </w:r>
      <w:proofErr w:type="spellStart"/>
      <w:r>
        <w:t>Abcur</w:t>
      </w:r>
      <w:proofErr w:type="spellEnd"/>
      <w:r>
        <w:t xml:space="preserve"> er indiceret hos </w:t>
      </w:r>
      <w:r>
        <w:rPr>
          <w:sz w:val="24"/>
          <w:szCs w:val="24"/>
        </w:rPr>
        <w:t>børn</w:t>
      </w:r>
      <w:r>
        <w:t xml:space="preserve"> og voksne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4.2</w:t>
      </w:r>
      <w:r w:rsidRPr="00CD3229">
        <w:rPr>
          <w:b/>
          <w:sz w:val="24"/>
          <w:szCs w:val="24"/>
        </w:rPr>
        <w:tab/>
        <w:t>Dosering og indgivelsesmåde</w:t>
      </w:r>
    </w:p>
    <w:p w:rsidR="00AC57D5" w:rsidRDefault="00AC57D5" w:rsidP="00AC57D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Abcur</w:t>
      </w:r>
      <w:proofErr w:type="spellEnd"/>
      <w:r>
        <w:rPr>
          <w:sz w:val="24"/>
          <w:szCs w:val="24"/>
        </w:rPr>
        <w:t>" bør kun administreres af eller under opsyn af en erfaren anæstesilæge. Udstyr til opretholdelse af vitale funktioner skal være til rådighed.</w:t>
      </w:r>
    </w:p>
    <w:p w:rsidR="00AC57D5" w:rsidRDefault="00AC57D5" w:rsidP="00AC57D5">
      <w:pPr>
        <w:ind w:left="851"/>
        <w:rPr>
          <w:sz w:val="24"/>
          <w:szCs w:val="24"/>
        </w:rPr>
      </w:pPr>
    </w:p>
    <w:p w:rsidR="00AC57D5" w:rsidRDefault="00AC57D5" w:rsidP="00AC57D5">
      <w:pPr>
        <w:ind w:left="851"/>
      </w:pPr>
      <w:r>
        <w:lastRenderedPageBreak/>
        <w:t>Voksne, ældre (over 65 år) og børn:</w:t>
      </w:r>
    </w:p>
    <w:p w:rsidR="00AC57D5" w:rsidRDefault="00AC57D5" w:rsidP="00AC57D5">
      <w:pPr>
        <w:ind w:left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i/>
          <w:sz w:val="24"/>
          <w:szCs w:val="24"/>
        </w:rPr>
        <w:t xml:space="preserve">Præmedicinering: </w:t>
      </w:r>
      <w:r>
        <w:rPr>
          <w:sz w:val="24"/>
          <w:szCs w:val="24"/>
        </w:rPr>
        <w:t xml:space="preserve">Præoperativt gives atropin eller </w:t>
      </w:r>
      <w:proofErr w:type="spellStart"/>
      <w:r>
        <w:rPr>
          <w:sz w:val="24"/>
          <w:szCs w:val="24"/>
        </w:rPr>
        <w:t>glycopyrrolat</w:t>
      </w:r>
      <w:proofErr w:type="spellEnd"/>
      <w:r>
        <w:rPr>
          <w:sz w:val="24"/>
          <w:szCs w:val="24"/>
        </w:rPr>
        <w:t xml:space="preserve"> for at hæmme slimafsondringen.  </w:t>
      </w:r>
      <w:proofErr w:type="spellStart"/>
      <w:r>
        <w:rPr>
          <w:sz w:val="24"/>
          <w:szCs w:val="24"/>
        </w:rPr>
        <w:t>Benzodiazepinderivater</w:t>
      </w:r>
      <w:proofErr w:type="spellEnd"/>
      <w:r>
        <w:rPr>
          <w:sz w:val="24"/>
          <w:szCs w:val="24"/>
        </w:rPr>
        <w:t xml:space="preserve"> såsom </w:t>
      </w:r>
      <w:proofErr w:type="spellStart"/>
      <w:r>
        <w:rPr>
          <w:sz w:val="24"/>
          <w:szCs w:val="24"/>
        </w:rPr>
        <w:t>midazolam</w:t>
      </w:r>
      <w:proofErr w:type="spellEnd"/>
      <w:r>
        <w:rPr>
          <w:sz w:val="24"/>
          <w:szCs w:val="24"/>
        </w:rPr>
        <w:t xml:space="preserve"> kan gives præoperativt (intravenøst eller </w:t>
      </w:r>
      <w:proofErr w:type="spellStart"/>
      <w:r>
        <w:rPr>
          <w:sz w:val="24"/>
          <w:szCs w:val="24"/>
        </w:rPr>
        <w:t>rektalt</w:t>
      </w:r>
      <w:proofErr w:type="spellEnd"/>
      <w:r>
        <w:rPr>
          <w:sz w:val="24"/>
          <w:szCs w:val="24"/>
        </w:rPr>
        <w:t xml:space="preserve">) til at undertrykke det initiale </w:t>
      </w:r>
      <w:proofErr w:type="spellStart"/>
      <w:r>
        <w:rPr>
          <w:sz w:val="24"/>
          <w:szCs w:val="24"/>
        </w:rPr>
        <w:t>hyperkinetiske</w:t>
      </w:r>
      <w:proofErr w:type="spellEnd"/>
      <w:r>
        <w:rPr>
          <w:sz w:val="24"/>
          <w:szCs w:val="24"/>
        </w:rPr>
        <w:t xml:space="preserve"> kredsløb og nedsætte af forekomsten af angst ved opvågning.</w:t>
      </w:r>
    </w:p>
    <w:p w:rsidR="00AC57D5" w:rsidRDefault="00AC57D5" w:rsidP="00AC57D5">
      <w:pPr>
        <w:ind w:left="851" w:hanging="851"/>
        <w:rPr>
          <w:sz w:val="24"/>
          <w:szCs w:val="24"/>
          <w:u w:val="single"/>
        </w:rPr>
      </w:pPr>
    </w:p>
    <w:p w:rsidR="00AC57D5" w:rsidRDefault="00AC57D5" w:rsidP="00AC57D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</w:t>
      </w:r>
    </w:p>
    <w:p w:rsidR="00AC57D5" w:rsidRDefault="00AC57D5" w:rsidP="00AC57D5">
      <w:pPr>
        <w:ind w:left="851" w:hanging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i/>
          <w:color w:val="222222"/>
          <w:sz w:val="24"/>
          <w:szCs w:val="24"/>
        </w:rPr>
        <w:t>Intramuskulært:</w:t>
      </w:r>
      <w:r>
        <w:rPr>
          <w:color w:val="222222"/>
          <w:sz w:val="24"/>
          <w:szCs w:val="24"/>
        </w:rPr>
        <w:t xml:space="preserve"> Til intramuskulær administration bør den høje styrke, </w:t>
      </w:r>
      <w:proofErr w:type="spellStart"/>
      <w:r>
        <w:rPr>
          <w:color w:val="222222"/>
          <w:sz w:val="24"/>
          <w:szCs w:val="24"/>
        </w:rPr>
        <w:t>Ketamin</w:t>
      </w:r>
      <w:proofErr w:type="spellEnd"/>
      <w:r>
        <w:rPr>
          <w:color w:val="222222"/>
          <w:sz w:val="24"/>
          <w:szCs w:val="24"/>
        </w:rPr>
        <w:t xml:space="preserve"> "</w:t>
      </w:r>
      <w:proofErr w:type="spellStart"/>
      <w:r>
        <w:rPr>
          <w:color w:val="222222"/>
          <w:sz w:val="24"/>
          <w:szCs w:val="24"/>
        </w:rPr>
        <w:t>Abcur</w:t>
      </w:r>
      <w:proofErr w:type="spellEnd"/>
      <w:r>
        <w:rPr>
          <w:color w:val="222222"/>
          <w:sz w:val="24"/>
          <w:szCs w:val="24"/>
        </w:rPr>
        <w:t>", 50 mg/ml, vælges for at minimere volumenet.</w:t>
      </w:r>
      <w:r>
        <w:rPr>
          <w:color w:val="222222"/>
          <w:sz w:val="24"/>
          <w:szCs w:val="24"/>
        </w:rPr>
        <w:br/>
      </w:r>
    </w:p>
    <w:tbl>
      <w:tblPr>
        <w:tblW w:w="4564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61"/>
        <w:gridCol w:w="2760"/>
        <w:gridCol w:w="2571"/>
        <w:gridCol w:w="1396"/>
      </w:tblGrid>
      <w:tr w:rsidR="00AC57D5" w:rsidTr="003B4BCE"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i.m</w:t>
            </w:r>
            <w:proofErr w:type="spellEnd"/>
            <w:r>
              <w:rPr>
                <w:i/>
                <w:sz w:val="24"/>
                <w:szCs w:val="24"/>
              </w:rPr>
              <w:t xml:space="preserve">. injektion 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Dosis (mg/kg legemsvægt)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Tid til virkning indsætter (min.)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Varighed (min.)</w:t>
            </w:r>
          </w:p>
        </w:tc>
      </w:tr>
      <w:tr w:rsidR="00AC57D5" w:rsidTr="003B4BCE">
        <w:tc>
          <w:tcPr>
            <w:tcW w:w="117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Induktion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10,0 (6,5-13,5)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3-5</w:t>
            </w: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12-25</w:t>
            </w:r>
          </w:p>
        </w:tc>
      </w:tr>
      <w:tr w:rsidR="00AC57D5" w:rsidTr="003B4BCE">
        <w:tc>
          <w:tcPr>
            <w:tcW w:w="117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Vedligeholdelse</w:t>
            </w:r>
          </w:p>
        </w:tc>
        <w:tc>
          <w:tcPr>
            <w:tcW w:w="157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induktionsdosis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</w:p>
        </w:tc>
        <w:tc>
          <w:tcPr>
            <w:tcW w:w="7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</w:p>
        </w:tc>
      </w:tr>
    </w:tbl>
    <w:p w:rsidR="00AC57D5" w:rsidRDefault="00AC57D5" w:rsidP="00AC57D5">
      <w:pPr>
        <w:ind w:left="851" w:hanging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i/>
          <w:sz w:val="24"/>
          <w:szCs w:val="24"/>
        </w:rPr>
        <w:t xml:space="preserve">Intravenøst: </w:t>
      </w:r>
      <w:r>
        <w:rPr>
          <w:sz w:val="24"/>
          <w:szCs w:val="24"/>
        </w:rPr>
        <w:t xml:space="preserve">Administration af den intravenøse </w:t>
      </w:r>
      <w:proofErr w:type="spellStart"/>
      <w:r>
        <w:rPr>
          <w:sz w:val="24"/>
          <w:szCs w:val="24"/>
        </w:rPr>
        <w:t>bolusdosis</w:t>
      </w:r>
      <w:proofErr w:type="spellEnd"/>
      <w:r>
        <w:rPr>
          <w:sz w:val="24"/>
          <w:szCs w:val="24"/>
        </w:rPr>
        <w:t xml:space="preserve"> bør ske langsomt (mindst 60 sekunder). Hurtigere administration kan medføre forbigående respirationsdepression.  </w:t>
      </w:r>
    </w:p>
    <w:p w:rsidR="00AC57D5" w:rsidRDefault="00AC57D5" w:rsidP="00AC57D5">
      <w:pPr>
        <w:ind w:left="851" w:hanging="851"/>
        <w:rPr>
          <w:sz w:val="24"/>
          <w:szCs w:val="24"/>
        </w:rPr>
      </w:pPr>
    </w:p>
    <w:tbl>
      <w:tblPr>
        <w:tblW w:w="4567" w:type="pct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3055"/>
        <w:gridCol w:w="2552"/>
        <w:gridCol w:w="1417"/>
      </w:tblGrid>
      <w:tr w:rsidR="00AC57D5" w:rsidTr="003B4BCE"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i.v</w:t>
            </w:r>
            <w:proofErr w:type="spellEnd"/>
            <w:r>
              <w:rPr>
                <w:i/>
                <w:sz w:val="24"/>
                <w:szCs w:val="24"/>
              </w:rPr>
              <w:t>. injektion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Dosis (mg/kg legemsvægt)</w:t>
            </w:r>
          </w:p>
        </w:tc>
        <w:tc>
          <w:tcPr>
            <w:tcW w:w="1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Tid til virkning indsætter (min.)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Varighed (min.)</w:t>
            </w:r>
          </w:p>
        </w:tc>
      </w:tr>
      <w:tr w:rsidR="00AC57D5" w:rsidTr="003B4BCE"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Induktion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2,0 (1,0-4,5)</w:t>
            </w:r>
          </w:p>
        </w:tc>
        <w:tc>
          <w:tcPr>
            <w:tcW w:w="1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1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5-15</w:t>
            </w:r>
          </w:p>
        </w:tc>
      </w:tr>
      <w:tr w:rsidR="00AC57D5" w:rsidTr="003B4BCE">
        <w:tc>
          <w:tcPr>
            <w:tcW w:w="1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Vedligeholdelse</w:t>
            </w:r>
          </w:p>
        </w:tc>
        <w:tc>
          <w:tcPr>
            <w:tcW w:w="1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 induktionsdosis eller overgang til infusion. Se nedenfor.</w:t>
            </w:r>
          </w:p>
        </w:tc>
        <w:tc>
          <w:tcPr>
            <w:tcW w:w="1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</w:p>
        </w:tc>
        <w:tc>
          <w:tcPr>
            <w:tcW w:w="8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</w:p>
        </w:tc>
      </w:tr>
    </w:tbl>
    <w:p w:rsidR="00AC57D5" w:rsidRDefault="00AC57D5" w:rsidP="00AC57D5">
      <w:pPr>
        <w:ind w:left="851" w:hanging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>Omregningstabel: Dosis i mg/kg legemsvægt til dosis i ml/kg legemsvægt</w:t>
      </w:r>
    </w:p>
    <w:p w:rsidR="00AC57D5" w:rsidRDefault="00AC57D5" w:rsidP="00AC57D5">
      <w:pPr>
        <w:ind w:left="851" w:hanging="851"/>
        <w:rPr>
          <w:sz w:val="24"/>
          <w:szCs w:val="24"/>
          <w:lang w:eastAsia="sv-SE"/>
        </w:rPr>
      </w:pPr>
    </w:p>
    <w:tbl>
      <w:tblPr>
        <w:tblW w:w="4539" w:type="pct"/>
        <w:tblInd w:w="8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1"/>
        <w:gridCol w:w="3118"/>
        <w:gridCol w:w="3206"/>
      </w:tblGrid>
      <w:tr w:rsidR="00AC57D5" w:rsidTr="003B4BCE"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Dosis</w:t>
            </w:r>
          </w:p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mg/kg legemsvægt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Dosis </w:t>
            </w:r>
          </w:p>
          <w:p w:rsidR="00AC57D5" w:rsidRDefault="00AC57D5" w:rsidP="003B4B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ml/kg legemsvægt</w:t>
            </w:r>
          </w:p>
          <w:p w:rsidR="00AC57D5" w:rsidRDefault="00AC57D5" w:rsidP="003B4BCE">
            <w:pPr>
              <w:rPr>
                <w:i/>
                <w:sz w:val="24"/>
                <w:szCs w:val="24"/>
                <w:lang w:eastAsia="sv-SE"/>
              </w:rPr>
            </w:pPr>
          </w:p>
          <w:p w:rsidR="00AC57D5" w:rsidRDefault="00AC57D5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Ketamin</w:t>
            </w:r>
            <w:proofErr w:type="spellEnd"/>
            <w:r>
              <w:rPr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i/>
                <w:sz w:val="24"/>
                <w:szCs w:val="24"/>
              </w:rPr>
              <w:t>Abcur</w:t>
            </w:r>
            <w:proofErr w:type="spellEnd"/>
            <w:r>
              <w:rPr>
                <w:i/>
                <w:sz w:val="24"/>
                <w:szCs w:val="24"/>
              </w:rPr>
              <w:t xml:space="preserve">" 10 mg/ml 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Dosis </w:t>
            </w:r>
          </w:p>
          <w:p w:rsidR="00AC57D5" w:rsidRDefault="00AC57D5" w:rsidP="003B4B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ml/kg legemsvægt</w:t>
            </w:r>
          </w:p>
          <w:p w:rsidR="00AC57D5" w:rsidRDefault="00AC57D5" w:rsidP="003B4BCE">
            <w:pPr>
              <w:rPr>
                <w:i/>
                <w:sz w:val="24"/>
                <w:szCs w:val="24"/>
                <w:lang w:eastAsia="sv-SE"/>
              </w:rPr>
            </w:pPr>
          </w:p>
          <w:p w:rsidR="00AC57D5" w:rsidRDefault="00AC57D5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Ketamin</w:t>
            </w:r>
            <w:proofErr w:type="spellEnd"/>
            <w:r>
              <w:rPr>
                <w:i/>
                <w:sz w:val="24"/>
                <w:szCs w:val="24"/>
              </w:rPr>
              <w:t xml:space="preserve"> "</w:t>
            </w:r>
            <w:proofErr w:type="spellStart"/>
            <w:r>
              <w:rPr>
                <w:i/>
                <w:sz w:val="24"/>
                <w:szCs w:val="24"/>
              </w:rPr>
              <w:t>Abcur</w:t>
            </w:r>
            <w:proofErr w:type="spellEnd"/>
            <w:r>
              <w:rPr>
                <w:i/>
                <w:sz w:val="24"/>
                <w:szCs w:val="24"/>
              </w:rPr>
              <w:t>" 50 mg/ml</w:t>
            </w:r>
          </w:p>
        </w:tc>
      </w:tr>
      <w:tr w:rsidR="00AC57D5" w:rsidTr="003B4BCE"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1,0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0,10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0,02</w:t>
            </w:r>
          </w:p>
        </w:tc>
      </w:tr>
      <w:tr w:rsidR="00AC57D5" w:rsidTr="003B4BCE"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2,0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0,20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0,04</w:t>
            </w:r>
          </w:p>
        </w:tc>
      </w:tr>
      <w:tr w:rsidR="00AC57D5" w:rsidTr="003B4BCE"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4,5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0,45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0,09</w:t>
            </w:r>
          </w:p>
        </w:tc>
      </w:tr>
      <w:tr w:rsidR="00AC57D5" w:rsidTr="003B4BCE"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6,5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0,65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0,13</w:t>
            </w:r>
          </w:p>
        </w:tc>
      </w:tr>
      <w:tr w:rsidR="00AC57D5" w:rsidTr="003B4BCE"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10,0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1,00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0,20</w:t>
            </w:r>
          </w:p>
        </w:tc>
      </w:tr>
      <w:tr w:rsidR="00AC57D5" w:rsidTr="003B4BCE">
        <w:tc>
          <w:tcPr>
            <w:tcW w:w="13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13,5</w:t>
            </w:r>
          </w:p>
        </w:tc>
        <w:tc>
          <w:tcPr>
            <w:tcW w:w="1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1,35</w:t>
            </w:r>
          </w:p>
        </w:tc>
        <w:tc>
          <w:tcPr>
            <w:tcW w:w="18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  <w:lang w:eastAsia="sv-SE"/>
              </w:rPr>
            </w:pPr>
            <w:r>
              <w:rPr>
                <w:sz w:val="24"/>
                <w:szCs w:val="24"/>
                <w:lang w:eastAsia="sv-SE"/>
              </w:rPr>
              <w:t>0,27</w:t>
            </w:r>
          </w:p>
        </w:tc>
      </w:tr>
    </w:tbl>
    <w:p w:rsidR="00AC57D5" w:rsidRDefault="00AC57D5" w:rsidP="00AC57D5">
      <w:pPr>
        <w:ind w:left="851" w:hanging="851"/>
        <w:rPr>
          <w:sz w:val="24"/>
          <w:szCs w:val="24"/>
        </w:rPr>
      </w:pPr>
    </w:p>
    <w:p w:rsidR="00AC57D5" w:rsidRDefault="00AC57D5" w:rsidP="00AC57D5">
      <w:pPr>
        <w:ind w:left="851" w:hanging="851"/>
        <w:rPr>
          <w:sz w:val="24"/>
          <w:szCs w:val="24"/>
        </w:rPr>
      </w:pPr>
      <w:r>
        <w:rPr>
          <w:i/>
          <w:sz w:val="24"/>
          <w:szCs w:val="24"/>
        </w:rPr>
        <w:tab/>
        <w:t>Infusion</w:t>
      </w:r>
      <w:r>
        <w:rPr>
          <w:sz w:val="24"/>
          <w:szCs w:val="24"/>
        </w:rPr>
        <w:t xml:space="preserve">: Ved infusion fås en jævnere forløbende anæstesi. Den totale dosis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er ofte lavere end med intermitterende injektioner, og opvågning er hurtigere. Under ventilation med oxygen/</w:t>
      </w:r>
      <w:proofErr w:type="spellStart"/>
      <w:r>
        <w:rPr>
          <w:sz w:val="24"/>
          <w:szCs w:val="24"/>
        </w:rPr>
        <w:t>dinitrogenoxid</w:t>
      </w:r>
      <w:proofErr w:type="spellEnd"/>
      <w:r>
        <w:rPr>
          <w:sz w:val="24"/>
          <w:szCs w:val="24"/>
        </w:rPr>
        <w:t xml:space="preserve"> kan dosering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i den lave del af intervallet være tilstrækkelig.</w:t>
      </w:r>
    </w:p>
    <w:p w:rsidR="00AC57D5" w:rsidRDefault="00AC57D5" w:rsidP="00AC57D5">
      <w:pPr>
        <w:ind w:left="851" w:hanging="851"/>
        <w:rPr>
          <w:sz w:val="24"/>
          <w:szCs w:val="24"/>
          <w:lang w:eastAsia="sv-SE"/>
        </w:rPr>
      </w:pPr>
    </w:p>
    <w:tbl>
      <w:tblPr>
        <w:tblW w:w="4491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73"/>
        <w:gridCol w:w="5675"/>
      </w:tblGrid>
      <w:tr w:rsidR="00AC57D5" w:rsidTr="003B4BCE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ind w:left="6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Infusion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ind w:left="68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Dosis</w:t>
            </w:r>
          </w:p>
        </w:tc>
      </w:tr>
      <w:tr w:rsidR="00AC57D5" w:rsidTr="003B4BCE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Induktion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2,0-6,0 mg/kg legemsvægt</w:t>
            </w:r>
          </w:p>
        </w:tc>
      </w:tr>
      <w:tr w:rsidR="00AC57D5" w:rsidTr="003B4BCE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Vedligeholdelse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ind w:lef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2,0-6,0 mg/kg legemsvægt pr. time</w:t>
            </w:r>
          </w:p>
        </w:tc>
      </w:tr>
    </w:tbl>
    <w:p w:rsidR="00AC57D5" w:rsidRDefault="00AC57D5" w:rsidP="00AC57D5">
      <w:pPr>
        <w:ind w:left="851" w:hanging="851"/>
        <w:rPr>
          <w:color w:val="222222"/>
          <w:sz w:val="24"/>
          <w:szCs w:val="24"/>
        </w:rPr>
      </w:pPr>
    </w:p>
    <w:p w:rsidR="00AC57D5" w:rsidRDefault="00AC57D5" w:rsidP="00AC57D5">
      <w:pPr>
        <w:ind w:left="85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 xml:space="preserve">Ovennævnte dosis svarer til ca. én dråbe/kg legemsvægt pr. minut af </w:t>
      </w:r>
      <w:proofErr w:type="spellStart"/>
      <w:r>
        <w:rPr>
          <w:color w:val="222222"/>
          <w:sz w:val="24"/>
          <w:szCs w:val="24"/>
        </w:rPr>
        <w:t>ketamin</w:t>
      </w:r>
      <w:proofErr w:type="spellEnd"/>
      <w:r>
        <w:rPr>
          <w:color w:val="222222"/>
          <w:sz w:val="24"/>
          <w:szCs w:val="24"/>
        </w:rPr>
        <w:t>, infusionsvæske, 1 mg/ml.</w:t>
      </w:r>
    </w:p>
    <w:p w:rsidR="00AC57D5" w:rsidRDefault="00AC57D5" w:rsidP="00AC57D5">
      <w:pPr>
        <w:rPr>
          <w:color w:val="222222"/>
          <w:sz w:val="24"/>
          <w:szCs w:val="24"/>
        </w:rPr>
      </w:pPr>
    </w:p>
    <w:p w:rsidR="00AC57D5" w:rsidRDefault="00AC57D5" w:rsidP="00AC57D5">
      <w:pPr>
        <w:ind w:left="851"/>
        <w:rPr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Dosering ved obstetrik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color w:val="222222"/>
          <w:sz w:val="24"/>
          <w:szCs w:val="24"/>
        </w:rPr>
        <w:t>Ved anvendelse i obstetrik, herunder vaginal forløsning eller kejsersnit, anbefales en intravenøs dosis i området 0,2-1,0 mg/kg, se pkt. 4.6.</w:t>
      </w:r>
    </w:p>
    <w:p w:rsidR="00AC57D5" w:rsidRDefault="00AC57D5" w:rsidP="00AC57D5">
      <w:pPr>
        <w:ind w:left="851" w:hanging="851"/>
        <w:rPr>
          <w:color w:val="222222"/>
          <w:sz w:val="24"/>
          <w:szCs w:val="24"/>
        </w:rPr>
      </w:pPr>
    </w:p>
    <w:p w:rsidR="00AC57D5" w:rsidRDefault="00AC57D5" w:rsidP="00AC57D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>Dosering ved nedsat leverfunktion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Dosisreduktion bør overvejes for patienter med </w:t>
      </w:r>
      <w:proofErr w:type="spellStart"/>
      <w:r>
        <w:rPr>
          <w:sz w:val="24"/>
          <w:szCs w:val="24"/>
        </w:rPr>
        <w:t>cirrhose</w:t>
      </w:r>
      <w:proofErr w:type="spellEnd"/>
      <w:r>
        <w:rPr>
          <w:sz w:val="24"/>
          <w:szCs w:val="24"/>
        </w:rPr>
        <w:t xml:space="preserve"> eller nedsat leverfunktion af anden årsag (se pkt. 4.4). </w:t>
      </w:r>
    </w:p>
    <w:p w:rsidR="00AC57D5" w:rsidRDefault="00AC57D5" w:rsidP="00AC57D5">
      <w:pPr>
        <w:ind w:left="851" w:hanging="851"/>
        <w:rPr>
          <w:sz w:val="24"/>
          <w:szCs w:val="24"/>
          <w:lang w:eastAsia="sv-SE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i/>
          <w:sz w:val="24"/>
          <w:szCs w:val="24"/>
        </w:rPr>
        <w:t>Dosering ved nedsat nyrefunktion</w:t>
      </w:r>
      <w:r>
        <w:rPr>
          <w:sz w:val="24"/>
          <w:szCs w:val="24"/>
        </w:rPr>
        <w:br/>
        <w:t>Der behøves normalt ikke dosisreduktion.</w:t>
      </w:r>
    </w:p>
    <w:p w:rsidR="00AC57D5" w:rsidRDefault="00AC57D5" w:rsidP="00AC57D5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57D5" w:rsidRDefault="00AC57D5" w:rsidP="00AC57D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Kombination med andre </w:t>
      </w:r>
      <w:proofErr w:type="spellStart"/>
      <w:r>
        <w:rPr>
          <w:i/>
          <w:sz w:val="24"/>
          <w:szCs w:val="24"/>
        </w:rPr>
        <w:t>anæstetika</w:t>
      </w:r>
      <w:proofErr w:type="spellEnd"/>
    </w:p>
    <w:p w:rsidR="00AC57D5" w:rsidRDefault="00AC57D5" w:rsidP="00AC57D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kan med fordel kombineres med benzodiazepin-derivater, såsom </w:t>
      </w:r>
      <w:proofErr w:type="spellStart"/>
      <w:r>
        <w:rPr>
          <w:sz w:val="24"/>
          <w:szCs w:val="24"/>
        </w:rPr>
        <w:t>midazolam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midazolam</w:t>
      </w:r>
      <w:proofErr w:type="spellEnd"/>
      <w:r>
        <w:rPr>
          <w:sz w:val="24"/>
          <w:szCs w:val="24"/>
        </w:rPr>
        <w:t xml:space="preserve"> kan blandes i den samme infusion (10 ml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Abcur</w:t>
      </w:r>
      <w:proofErr w:type="spellEnd"/>
      <w:r>
        <w:rPr>
          <w:sz w:val="24"/>
          <w:szCs w:val="24"/>
        </w:rPr>
        <w:t xml:space="preserve">" 50 mg/ml + 7,5 ml </w:t>
      </w:r>
      <w:proofErr w:type="spellStart"/>
      <w:r>
        <w:rPr>
          <w:sz w:val="24"/>
          <w:szCs w:val="24"/>
        </w:rPr>
        <w:t>midazolam</w:t>
      </w:r>
      <w:proofErr w:type="spellEnd"/>
      <w:r>
        <w:rPr>
          <w:sz w:val="24"/>
          <w:szCs w:val="24"/>
        </w:rPr>
        <w:t xml:space="preserve"> 5 mg/ml per 500 mg infusionsvæske, opløsning).</w:t>
      </w:r>
    </w:p>
    <w:p w:rsidR="00AC57D5" w:rsidRDefault="00AC57D5" w:rsidP="00AC57D5">
      <w:pPr>
        <w:ind w:left="851" w:hanging="851"/>
        <w:rPr>
          <w:sz w:val="24"/>
          <w:szCs w:val="24"/>
        </w:rPr>
      </w:pPr>
    </w:p>
    <w:tbl>
      <w:tblPr>
        <w:tblStyle w:val="Tabel-Gitter"/>
        <w:tblW w:w="8785" w:type="dxa"/>
        <w:tblInd w:w="846" w:type="dxa"/>
        <w:tblLook w:val="04A0" w:firstRow="1" w:lastRow="0" w:firstColumn="1" w:lastColumn="0" w:noHBand="0" w:noVBand="1"/>
      </w:tblPr>
      <w:tblGrid>
        <w:gridCol w:w="3969"/>
        <w:gridCol w:w="4816"/>
      </w:tblGrid>
      <w:tr w:rsidR="00AC57D5" w:rsidTr="003B4B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Induktion (</w:t>
            </w:r>
            <w:proofErr w:type="spellStart"/>
            <w:r>
              <w:rPr>
                <w:i/>
                <w:sz w:val="24"/>
                <w:szCs w:val="24"/>
              </w:rPr>
              <w:t>i.v</w:t>
            </w:r>
            <w:proofErr w:type="spellEnd"/>
            <w:r>
              <w:rPr>
                <w:i/>
                <w:sz w:val="24"/>
                <w:szCs w:val="24"/>
              </w:rPr>
              <w:t>. injektion)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5" w:rsidRDefault="00AC57D5" w:rsidP="003B4BCE">
            <w:pPr>
              <w:rPr>
                <w:sz w:val="24"/>
                <w:szCs w:val="24"/>
              </w:rPr>
            </w:pPr>
          </w:p>
        </w:tc>
      </w:tr>
      <w:tr w:rsidR="00AC57D5" w:rsidTr="003B4B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ketamin</w:t>
            </w:r>
            <w:proofErr w:type="spell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mg/kg legemsvægt</w:t>
            </w:r>
          </w:p>
        </w:tc>
      </w:tr>
      <w:tr w:rsidR="00AC57D5" w:rsidTr="003B4BC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midazolam</w:t>
            </w:r>
            <w:proofErr w:type="spellEnd"/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 mg/kg legemsvægt</w:t>
            </w:r>
          </w:p>
        </w:tc>
      </w:tr>
    </w:tbl>
    <w:p w:rsidR="00AC57D5" w:rsidRDefault="00AC57D5" w:rsidP="00AC57D5">
      <w:pPr>
        <w:ind w:left="851" w:hanging="851"/>
        <w:rPr>
          <w:sz w:val="24"/>
          <w:szCs w:val="24"/>
        </w:rPr>
      </w:pPr>
    </w:p>
    <w:tbl>
      <w:tblPr>
        <w:tblStyle w:val="Tabel-Gitter"/>
        <w:tblW w:w="8788" w:type="dxa"/>
        <w:tblInd w:w="846" w:type="dxa"/>
        <w:tblLook w:val="04A0" w:firstRow="1" w:lastRow="0" w:firstColumn="1" w:lastColumn="0" w:noHBand="0" w:noVBand="1"/>
      </w:tblPr>
      <w:tblGrid>
        <w:gridCol w:w="4111"/>
        <w:gridCol w:w="4677"/>
      </w:tblGrid>
      <w:tr w:rsidR="00AC57D5" w:rsidTr="003B4B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Vedligeholdelse (kontinuerlig infusion)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7D5" w:rsidRDefault="00AC57D5" w:rsidP="003B4BC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AC57D5" w:rsidTr="003B4B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ketamin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 mg/kg legemsvægt og time</w:t>
            </w:r>
          </w:p>
        </w:tc>
      </w:tr>
      <w:tr w:rsidR="00AC57D5" w:rsidTr="003B4BC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midazolam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7D5" w:rsidRDefault="00AC57D5" w:rsidP="003B4BCE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0,075 mg/kg legemsvægt og time</w:t>
            </w:r>
          </w:p>
        </w:tc>
      </w:tr>
    </w:tbl>
    <w:p w:rsidR="00AC57D5" w:rsidRDefault="00AC57D5" w:rsidP="00AC57D5">
      <w:pPr>
        <w:autoSpaceDE w:val="0"/>
        <w:autoSpaceDN w:val="0"/>
        <w:adjustRightInd w:val="0"/>
        <w:ind w:left="851" w:hanging="851"/>
        <w:jc w:val="both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Administration </w:t>
      </w:r>
    </w:p>
    <w:p w:rsidR="00AC57D5" w:rsidRDefault="00AC57D5" w:rsidP="00AC57D5">
      <w:pPr>
        <w:ind w:left="851"/>
        <w:rPr>
          <w:i/>
          <w:noProof/>
          <w:sz w:val="24"/>
          <w:szCs w:val="24"/>
        </w:rPr>
      </w:pPr>
      <w:r>
        <w:rPr>
          <w:sz w:val="24"/>
          <w:szCs w:val="24"/>
        </w:rPr>
        <w:t>Anvisninger for fortynding af produktet før administration findes i pkt. 6.6.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4.3</w:t>
      </w:r>
      <w:r w:rsidRPr="00CD3229">
        <w:rPr>
          <w:b/>
          <w:sz w:val="24"/>
          <w:szCs w:val="24"/>
        </w:rPr>
        <w:tab/>
        <w:t>Kontraindikationer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Overfølsomhed for det aktive stof eller for et eller flere af hjælpestofferne anført i pkt. 6.1.</w:t>
      </w:r>
    </w:p>
    <w:p w:rsidR="00AC57D5" w:rsidRPr="00CD3229" w:rsidRDefault="00AC57D5" w:rsidP="00AC57D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D3229">
        <w:rPr>
          <w:sz w:val="24"/>
          <w:szCs w:val="24"/>
        </w:rPr>
        <w:t>Patienter, hos hvem blodtryksforhøjelse vil udgøre en alvorlig fare.</w:t>
      </w:r>
    </w:p>
    <w:p w:rsidR="00AC57D5" w:rsidRPr="00CD3229" w:rsidRDefault="00AC57D5" w:rsidP="00AC57D5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Eklampsi</w:t>
      </w:r>
      <w:proofErr w:type="spellEnd"/>
      <w:r w:rsidRPr="00CD3229">
        <w:rPr>
          <w:sz w:val="24"/>
          <w:szCs w:val="24"/>
        </w:rPr>
        <w:t xml:space="preserve"> eller </w:t>
      </w:r>
      <w:proofErr w:type="spellStart"/>
      <w:r w:rsidRPr="00CD3229">
        <w:rPr>
          <w:sz w:val="24"/>
          <w:szCs w:val="24"/>
        </w:rPr>
        <w:t>præeklampsi</w:t>
      </w:r>
      <w:proofErr w:type="spellEnd"/>
      <w:r w:rsidRPr="00CD3229">
        <w:rPr>
          <w:sz w:val="24"/>
          <w:szCs w:val="24"/>
        </w:rPr>
        <w:t>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4.4</w:t>
      </w:r>
      <w:r w:rsidRPr="00CD3229">
        <w:rPr>
          <w:b/>
          <w:sz w:val="24"/>
          <w:szCs w:val="24"/>
        </w:rPr>
        <w:tab/>
        <w:t>Særlige advarsler og forsigtighedsregler vedrørende brugen</w:t>
      </w:r>
    </w:p>
    <w:p w:rsidR="003A77A2" w:rsidRPr="00CD3229" w:rsidRDefault="003A77A2" w:rsidP="003A77A2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 xml:space="preserve">Forsigtighed med anvendelse af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"</w:t>
      </w: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>" bør udvises for patienter med:</w:t>
      </w:r>
    </w:p>
    <w:p w:rsidR="003A77A2" w:rsidRPr="00CD3229" w:rsidRDefault="003A77A2" w:rsidP="003A77A2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hypovolæmi</w:t>
      </w:r>
      <w:proofErr w:type="spellEnd"/>
      <w:r w:rsidRPr="00CD3229">
        <w:rPr>
          <w:sz w:val="24"/>
          <w:szCs w:val="24"/>
        </w:rPr>
        <w:t xml:space="preserve">, dehydrering eller hjertesygdom, navnlig koronararteriesygdom (f.eks. </w:t>
      </w:r>
      <w:proofErr w:type="spellStart"/>
      <w:r w:rsidRPr="00CD3229">
        <w:rPr>
          <w:sz w:val="24"/>
          <w:szCs w:val="24"/>
        </w:rPr>
        <w:t>kongestivt</w:t>
      </w:r>
      <w:proofErr w:type="spellEnd"/>
      <w:r w:rsidRPr="00CD3229">
        <w:rPr>
          <w:sz w:val="24"/>
          <w:szCs w:val="24"/>
        </w:rPr>
        <w:t xml:space="preserve"> hjertesvigt, </w:t>
      </w:r>
      <w:proofErr w:type="spellStart"/>
      <w:r w:rsidRPr="00CD3229">
        <w:rPr>
          <w:sz w:val="24"/>
          <w:szCs w:val="24"/>
        </w:rPr>
        <w:t>myokardieiskæmi</w:t>
      </w:r>
      <w:proofErr w:type="spellEnd"/>
      <w:r w:rsidRPr="00CD3229">
        <w:rPr>
          <w:sz w:val="24"/>
          <w:szCs w:val="24"/>
        </w:rPr>
        <w:t xml:space="preserve"> og myokardieinfarkt) på grund af hjertets betydeligt øgede oxygenforbrug</w:t>
      </w:r>
    </w:p>
    <w:p w:rsidR="003A77A2" w:rsidRPr="00CD3229" w:rsidRDefault="003A77A2" w:rsidP="003A77A2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D3229">
        <w:rPr>
          <w:sz w:val="24"/>
          <w:szCs w:val="24"/>
        </w:rPr>
        <w:t xml:space="preserve">let til moderat hypertension og </w:t>
      </w:r>
      <w:proofErr w:type="spellStart"/>
      <w:r w:rsidRPr="00CD3229">
        <w:rPr>
          <w:sz w:val="24"/>
          <w:szCs w:val="24"/>
        </w:rPr>
        <w:t>takyarytmier</w:t>
      </w:r>
      <w:proofErr w:type="spellEnd"/>
    </w:p>
    <w:p w:rsidR="003A77A2" w:rsidRPr="00CD3229" w:rsidRDefault="003A77A2" w:rsidP="003A77A2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D3229">
        <w:rPr>
          <w:sz w:val="24"/>
          <w:szCs w:val="24"/>
        </w:rPr>
        <w:t xml:space="preserve">forhøjet </w:t>
      </w:r>
      <w:proofErr w:type="spellStart"/>
      <w:r w:rsidRPr="00CD3229">
        <w:rPr>
          <w:sz w:val="24"/>
          <w:szCs w:val="24"/>
        </w:rPr>
        <w:t>cerebrospinalt</w:t>
      </w:r>
      <w:proofErr w:type="spellEnd"/>
      <w:r w:rsidRPr="00CD3229">
        <w:rPr>
          <w:sz w:val="24"/>
          <w:szCs w:val="24"/>
        </w:rPr>
        <w:t xml:space="preserve"> væsketryk samt CNS-traumer og -sygdomme, da øget </w:t>
      </w:r>
      <w:proofErr w:type="spellStart"/>
      <w:r w:rsidRPr="00CD3229">
        <w:rPr>
          <w:sz w:val="24"/>
          <w:szCs w:val="24"/>
        </w:rPr>
        <w:t>cerebrospinalt</w:t>
      </w:r>
      <w:proofErr w:type="spellEnd"/>
      <w:r w:rsidRPr="00CD3229">
        <w:rPr>
          <w:sz w:val="24"/>
          <w:szCs w:val="24"/>
        </w:rPr>
        <w:t xml:space="preserve"> væsketryk er beskrevet ved anæstesi med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</w:t>
      </w:r>
    </w:p>
    <w:p w:rsidR="003A77A2" w:rsidRPr="00CD3229" w:rsidRDefault="003A77A2" w:rsidP="003A77A2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D3229">
        <w:rPr>
          <w:sz w:val="24"/>
          <w:szCs w:val="24"/>
        </w:rPr>
        <w:t xml:space="preserve">forhøjet </w:t>
      </w:r>
      <w:proofErr w:type="spellStart"/>
      <w:r w:rsidRPr="00CD3229">
        <w:rPr>
          <w:sz w:val="24"/>
          <w:szCs w:val="24"/>
        </w:rPr>
        <w:t>intraokulært</w:t>
      </w:r>
      <w:proofErr w:type="spellEnd"/>
      <w:r w:rsidRPr="00CD3229">
        <w:rPr>
          <w:sz w:val="24"/>
          <w:szCs w:val="24"/>
        </w:rPr>
        <w:t xml:space="preserve"> tryk (f.eks., </w:t>
      </w:r>
      <w:proofErr w:type="spellStart"/>
      <w:r w:rsidRPr="00CD3229">
        <w:rPr>
          <w:sz w:val="24"/>
          <w:szCs w:val="24"/>
        </w:rPr>
        <w:t>glaukom</w:t>
      </w:r>
      <w:proofErr w:type="spellEnd"/>
      <w:r w:rsidRPr="00CD3229">
        <w:rPr>
          <w:sz w:val="24"/>
          <w:szCs w:val="24"/>
        </w:rPr>
        <w:t xml:space="preserve">) samt øjenundersøgelse eller øjenkirurgi, hvor en forøgelse af det </w:t>
      </w:r>
      <w:proofErr w:type="spellStart"/>
      <w:r w:rsidRPr="00CD3229">
        <w:rPr>
          <w:sz w:val="24"/>
          <w:szCs w:val="24"/>
        </w:rPr>
        <w:t>intraokulære</w:t>
      </w:r>
      <w:proofErr w:type="spellEnd"/>
      <w:r w:rsidRPr="00CD3229">
        <w:rPr>
          <w:sz w:val="24"/>
          <w:szCs w:val="24"/>
        </w:rPr>
        <w:t xml:space="preserve"> tryk er uønsket </w:t>
      </w:r>
    </w:p>
    <w:p w:rsidR="003A77A2" w:rsidRPr="00CD3229" w:rsidRDefault="003A77A2" w:rsidP="003A77A2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D3229">
        <w:rPr>
          <w:sz w:val="24"/>
          <w:szCs w:val="24"/>
        </w:rPr>
        <w:t xml:space="preserve">kronisk eller akut </w:t>
      </w:r>
      <w:proofErr w:type="spellStart"/>
      <w:r w:rsidRPr="00CD3229">
        <w:rPr>
          <w:sz w:val="24"/>
          <w:szCs w:val="24"/>
        </w:rPr>
        <w:t>alkoholintoksikation</w:t>
      </w:r>
      <w:proofErr w:type="spellEnd"/>
      <w:r w:rsidRPr="00CD3229">
        <w:rPr>
          <w:sz w:val="24"/>
          <w:szCs w:val="24"/>
        </w:rPr>
        <w:t xml:space="preserve"> </w:t>
      </w:r>
    </w:p>
    <w:p w:rsidR="003A77A2" w:rsidRPr="00CD3229" w:rsidRDefault="003A77A2" w:rsidP="003A77A2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D3229">
        <w:rPr>
          <w:sz w:val="24"/>
          <w:szCs w:val="24"/>
        </w:rPr>
        <w:t>neurotiske træk eller psykisk sygdom i anamnesen (f.eks. skizofreni og akut psykose)</w:t>
      </w:r>
    </w:p>
    <w:p w:rsidR="003A77A2" w:rsidRPr="00CD3229" w:rsidRDefault="003A77A2" w:rsidP="003A77A2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D3229">
        <w:rPr>
          <w:sz w:val="24"/>
          <w:szCs w:val="24"/>
        </w:rPr>
        <w:t xml:space="preserve">akut intermitterende </w:t>
      </w:r>
      <w:proofErr w:type="spellStart"/>
      <w:r w:rsidRPr="00CD3229">
        <w:rPr>
          <w:sz w:val="24"/>
          <w:szCs w:val="24"/>
        </w:rPr>
        <w:t>porfyri</w:t>
      </w:r>
      <w:proofErr w:type="spellEnd"/>
    </w:p>
    <w:p w:rsidR="003A77A2" w:rsidRPr="00CD3229" w:rsidRDefault="003A77A2" w:rsidP="003A77A2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hyperthyroidisme</w:t>
      </w:r>
      <w:proofErr w:type="spellEnd"/>
      <w:r w:rsidRPr="00CD3229">
        <w:rPr>
          <w:sz w:val="24"/>
          <w:szCs w:val="24"/>
        </w:rPr>
        <w:t xml:space="preserve"> eller erstatningsterapi for </w:t>
      </w:r>
      <w:proofErr w:type="spellStart"/>
      <w:r w:rsidRPr="00CD3229">
        <w:rPr>
          <w:sz w:val="24"/>
          <w:szCs w:val="24"/>
        </w:rPr>
        <w:t>tyroideahormon</w:t>
      </w:r>
      <w:proofErr w:type="spellEnd"/>
      <w:r w:rsidRPr="00CD3229">
        <w:rPr>
          <w:sz w:val="24"/>
          <w:szCs w:val="24"/>
        </w:rPr>
        <w:t xml:space="preserve"> (øget risiko for hypertension og </w:t>
      </w:r>
      <w:proofErr w:type="spellStart"/>
      <w:r w:rsidRPr="00CD3229">
        <w:rPr>
          <w:sz w:val="24"/>
          <w:szCs w:val="24"/>
        </w:rPr>
        <w:t>takykardi</w:t>
      </w:r>
      <w:proofErr w:type="spellEnd"/>
      <w:r w:rsidRPr="00CD3229">
        <w:rPr>
          <w:sz w:val="24"/>
          <w:szCs w:val="24"/>
        </w:rPr>
        <w:t>)</w:t>
      </w:r>
    </w:p>
    <w:p w:rsidR="003A77A2" w:rsidRPr="00CD3229" w:rsidRDefault="003A77A2" w:rsidP="003A77A2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CD3229">
        <w:rPr>
          <w:sz w:val="24"/>
          <w:szCs w:val="24"/>
        </w:rPr>
        <w:lastRenderedPageBreak/>
        <w:t>lungeinfektion eller øvre luftvejsinfektion (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forstærker opkastningsrefleksen med potentiel </w:t>
      </w:r>
      <w:proofErr w:type="spellStart"/>
      <w:r w:rsidRPr="00CD3229">
        <w:rPr>
          <w:sz w:val="24"/>
          <w:szCs w:val="24"/>
        </w:rPr>
        <w:t>laryngospasme</w:t>
      </w:r>
      <w:proofErr w:type="spellEnd"/>
      <w:r w:rsidRPr="00CD3229">
        <w:rPr>
          <w:sz w:val="24"/>
          <w:szCs w:val="24"/>
        </w:rPr>
        <w:t>)</w:t>
      </w:r>
    </w:p>
    <w:p w:rsidR="003A77A2" w:rsidRPr="00CD3229" w:rsidRDefault="003A77A2" w:rsidP="003A77A2">
      <w:pPr>
        <w:numPr>
          <w:ilvl w:val="0"/>
          <w:numId w:val="7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intrakranielle</w:t>
      </w:r>
      <w:proofErr w:type="spellEnd"/>
      <w:r w:rsidRPr="00CD3229">
        <w:rPr>
          <w:sz w:val="24"/>
          <w:szCs w:val="24"/>
        </w:rPr>
        <w:t xml:space="preserve"> læsioner, hovedtraumer, beskadigelse af øjeæblet eller </w:t>
      </w:r>
      <w:proofErr w:type="spellStart"/>
      <w:r w:rsidRPr="00CD3229">
        <w:rPr>
          <w:sz w:val="24"/>
          <w:szCs w:val="24"/>
        </w:rPr>
        <w:t>hydrocephalus</w:t>
      </w:r>
      <w:proofErr w:type="spellEnd"/>
    </w:p>
    <w:p w:rsidR="003A77A2" w:rsidRPr="00CD3229" w:rsidRDefault="003A77A2" w:rsidP="003A77A2">
      <w:pPr>
        <w:ind w:left="851" w:hanging="851"/>
        <w:rPr>
          <w:rStyle w:val="hps"/>
          <w:color w:val="222222"/>
          <w:sz w:val="24"/>
          <w:szCs w:val="24"/>
        </w:rPr>
      </w:pPr>
    </w:p>
    <w:p w:rsidR="003A77A2" w:rsidRPr="00CD3229" w:rsidRDefault="003A77A2" w:rsidP="003A77A2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 xml:space="preserve">Induktion af anæstesi er lejlighedsvis ledsaget af </w:t>
      </w:r>
      <w:proofErr w:type="spellStart"/>
      <w:r w:rsidRPr="00CD3229">
        <w:rPr>
          <w:sz w:val="24"/>
          <w:szCs w:val="24"/>
        </w:rPr>
        <w:t>takykardi</w:t>
      </w:r>
      <w:proofErr w:type="spellEnd"/>
      <w:r w:rsidRPr="00CD3229">
        <w:rPr>
          <w:sz w:val="24"/>
          <w:szCs w:val="24"/>
        </w:rPr>
        <w:t xml:space="preserve"> og forhøjelse af blodtryk og hjertevolumen, som returnerer til baseline inden for 15 minutter efter injektionen. Den </w:t>
      </w:r>
      <w:proofErr w:type="spellStart"/>
      <w:r w:rsidRPr="00CD3229">
        <w:rPr>
          <w:sz w:val="24"/>
          <w:szCs w:val="24"/>
        </w:rPr>
        <w:t>mediane</w:t>
      </w:r>
      <w:proofErr w:type="spellEnd"/>
      <w:r w:rsidRPr="00CD3229">
        <w:rPr>
          <w:sz w:val="24"/>
          <w:szCs w:val="24"/>
        </w:rPr>
        <w:t xml:space="preserve"> blodtryksstigning i kliniske undersøgelser har været mellem 20 og 25 % af initialværdien. Afhængigt af patientens tilstand kan denne blodtryksstigning enten betragtes som en uønsket reaktion eller en gavnlig virkning af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. </w:t>
      </w:r>
    </w:p>
    <w:p w:rsidR="003A77A2" w:rsidRPr="00CD3229" w:rsidRDefault="003A77A2" w:rsidP="003A77A2">
      <w:pPr>
        <w:ind w:left="851" w:hanging="851"/>
        <w:rPr>
          <w:rStyle w:val="hps"/>
          <w:color w:val="222222"/>
          <w:sz w:val="24"/>
          <w:szCs w:val="24"/>
        </w:rPr>
      </w:pPr>
    </w:p>
    <w:p w:rsidR="003A77A2" w:rsidRPr="00CD3229" w:rsidRDefault="003A77A2" w:rsidP="003A77A2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Efter ambulant bedøvelse skal patienten ledsages hjem og må ikke indtage alkohol de efterfølgende 24 timer.</w:t>
      </w:r>
    </w:p>
    <w:p w:rsidR="003A77A2" w:rsidRPr="00CD3229" w:rsidRDefault="003A77A2" w:rsidP="003A77A2">
      <w:pPr>
        <w:ind w:left="851" w:hanging="851"/>
        <w:rPr>
          <w:rStyle w:val="hps"/>
          <w:color w:val="222222"/>
          <w:sz w:val="24"/>
          <w:szCs w:val="24"/>
        </w:rPr>
      </w:pPr>
    </w:p>
    <w:p w:rsidR="003A77A2" w:rsidRPr="00CD3229" w:rsidRDefault="003A77A2" w:rsidP="003A77A2">
      <w:pPr>
        <w:ind w:left="851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</w:t>
      </w:r>
      <w:proofErr w:type="spellStart"/>
      <w:r w:rsidRPr="00CD3229">
        <w:rPr>
          <w:sz w:val="24"/>
          <w:szCs w:val="24"/>
        </w:rPr>
        <w:t>metaboliseres</w:t>
      </w:r>
      <w:proofErr w:type="spellEnd"/>
      <w:r w:rsidRPr="00CD3229">
        <w:rPr>
          <w:sz w:val="24"/>
          <w:szCs w:val="24"/>
        </w:rPr>
        <w:t xml:space="preserve"> i leveren, og </w:t>
      </w:r>
      <w:proofErr w:type="spellStart"/>
      <w:r w:rsidRPr="00CD3229">
        <w:rPr>
          <w:sz w:val="24"/>
          <w:szCs w:val="24"/>
        </w:rPr>
        <w:t>hepatisk</w:t>
      </w:r>
      <w:proofErr w:type="spellEnd"/>
      <w:r w:rsidRPr="00CD3229">
        <w:rPr>
          <w:sz w:val="24"/>
          <w:szCs w:val="24"/>
        </w:rPr>
        <w:t xml:space="preserve"> </w:t>
      </w:r>
      <w:proofErr w:type="spellStart"/>
      <w:r w:rsidRPr="00CD3229">
        <w:rPr>
          <w:sz w:val="24"/>
          <w:szCs w:val="24"/>
        </w:rPr>
        <w:t>clearance</w:t>
      </w:r>
      <w:proofErr w:type="spellEnd"/>
      <w:r w:rsidRPr="00CD3229">
        <w:rPr>
          <w:sz w:val="24"/>
          <w:szCs w:val="24"/>
        </w:rPr>
        <w:t xml:space="preserve"> er nødvendig for at de kliniske virkninger skal ophøre. Hos patienter med cirrose eller andre former for nedsat leverfunktion kan længere virkningsvarighed forekomme. Hos sådanne patienter bør dosisreduktion overvejes.  </w:t>
      </w:r>
    </w:p>
    <w:p w:rsidR="003A77A2" w:rsidRPr="00CD3229" w:rsidRDefault="003A77A2" w:rsidP="003A77A2">
      <w:pPr>
        <w:ind w:left="851" w:hanging="851"/>
        <w:rPr>
          <w:sz w:val="24"/>
          <w:szCs w:val="24"/>
        </w:rPr>
      </w:pPr>
    </w:p>
    <w:p w:rsidR="003A77A2" w:rsidRPr="00CD3229" w:rsidRDefault="003A77A2" w:rsidP="003A77A2">
      <w:pPr>
        <w:ind w:left="851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er blevet givet som monoterapi med god sikkerhed, uden at ventriklen er blevet tømt. Da behovet for supplerende </w:t>
      </w:r>
      <w:proofErr w:type="spellStart"/>
      <w:r w:rsidRPr="00CD3229">
        <w:rPr>
          <w:sz w:val="24"/>
          <w:szCs w:val="24"/>
        </w:rPr>
        <w:t>anæstetika</w:t>
      </w:r>
      <w:proofErr w:type="spellEnd"/>
      <w:r w:rsidRPr="00CD3229">
        <w:rPr>
          <w:sz w:val="24"/>
          <w:szCs w:val="24"/>
        </w:rPr>
        <w:t xml:space="preserve"> eller </w:t>
      </w:r>
      <w:proofErr w:type="spellStart"/>
      <w:r w:rsidRPr="00CD3229">
        <w:rPr>
          <w:sz w:val="24"/>
          <w:szCs w:val="24"/>
        </w:rPr>
        <w:t>muskelrelaksantia</w:t>
      </w:r>
      <w:proofErr w:type="spellEnd"/>
      <w:r w:rsidRPr="00CD3229">
        <w:rPr>
          <w:sz w:val="24"/>
          <w:szCs w:val="24"/>
        </w:rPr>
        <w:t xml:space="preserve"> ikke altid kan forudsiges, anbefales det, at patienten faster i 4-6 timer før operative indgreb for at undgå aspiration. Da svælgreflekser normalt forbliver aktive, skal mekanisk stimulation af </w:t>
      </w:r>
      <w:proofErr w:type="spellStart"/>
      <w:r w:rsidRPr="00CD3229">
        <w:rPr>
          <w:sz w:val="24"/>
          <w:szCs w:val="24"/>
        </w:rPr>
        <w:t>pharynx</w:t>
      </w:r>
      <w:proofErr w:type="spellEnd"/>
      <w:r w:rsidRPr="00CD3229">
        <w:rPr>
          <w:sz w:val="24"/>
          <w:szCs w:val="24"/>
        </w:rPr>
        <w:t xml:space="preserve"> undgås, medmindre der anvendes </w:t>
      </w:r>
      <w:proofErr w:type="spellStart"/>
      <w:r w:rsidRPr="00CD3229">
        <w:rPr>
          <w:sz w:val="24"/>
          <w:szCs w:val="24"/>
        </w:rPr>
        <w:t>muskelrelaksantia</w:t>
      </w:r>
      <w:proofErr w:type="spellEnd"/>
      <w:r w:rsidRPr="00CD3229">
        <w:rPr>
          <w:sz w:val="24"/>
          <w:szCs w:val="24"/>
        </w:rPr>
        <w:t xml:space="preserve"> med behørig overvågning.</w:t>
      </w:r>
    </w:p>
    <w:p w:rsidR="003A77A2" w:rsidRPr="00CD3229" w:rsidRDefault="003A77A2" w:rsidP="003A77A2">
      <w:pPr>
        <w:ind w:left="851" w:hanging="851"/>
        <w:rPr>
          <w:sz w:val="24"/>
          <w:szCs w:val="24"/>
        </w:rPr>
      </w:pPr>
    </w:p>
    <w:p w:rsidR="003A77A2" w:rsidRDefault="003A77A2" w:rsidP="003A77A2">
      <w:pPr>
        <w:ind w:left="851"/>
        <w:rPr>
          <w:sz w:val="24"/>
          <w:szCs w:val="24"/>
        </w:rPr>
      </w:pPr>
      <w:r>
        <w:t>Langsigtet brug</w:t>
      </w:r>
    </w:p>
    <w:p w:rsidR="003A77A2" w:rsidRDefault="003A77A2" w:rsidP="003A77A2">
      <w:pPr>
        <w:ind w:left="851"/>
        <w:rPr>
          <w:sz w:val="24"/>
          <w:szCs w:val="24"/>
        </w:rPr>
      </w:pPr>
      <w:r>
        <w:t xml:space="preserve">Tilfælde af blærebetændelse, herunder </w:t>
      </w:r>
      <w:proofErr w:type="spellStart"/>
      <w:r>
        <w:t>hæmoragisk</w:t>
      </w:r>
      <w:proofErr w:type="spellEnd"/>
      <w:r>
        <w:t xml:space="preserve"> blærebetændelse, akut nyreskade, </w:t>
      </w:r>
      <w:proofErr w:type="spellStart"/>
      <w:r>
        <w:t>hydronefrose</w:t>
      </w:r>
      <w:proofErr w:type="spellEnd"/>
      <w:r>
        <w:t xml:space="preserve"> og </w:t>
      </w:r>
      <w:proofErr w:type="spellStart"/>
      <w:r>
        <w:t>ureterale</w:t>
      </w:r>
      <w:proofErr w:type="spellEnd"/>
      <w:r>
        <w:t xml:space="preserve"> lidelser er blevet rapporteret hos patienter, der benytter </w:t>
      </w:r>
      <w:proofErr w:type="spellStart"/>
      <w:r>
        <w:t>ketamin</w:t>
      </w:r>
      <w:proofErr w:type="spellEnd"/>
      <w:r>
        <w:t xml:space="preserve"> på langt sigt, </w:t>
      </w:r>
      <w:r w:rsidRPr="00830BC5">
        <w:t xml:space="preserve">især i forbindelse med </w:t>
      </w:r>
      <w:proofErr w:type="spellStart"/>
      <w:r w:rsidRPr="00830BC5">
        <w:t>ketaminmisbrug</w:t>
      </w:r>
      <w:proofErr w:type="spellEnd"/>
      <w:r>
        <w:t xml:space="preserve">. (Disse bivirkninger opstår hos patienter, som får langvarig </w:t>
      </w:r>
      <w:proofErr w:type="spellStart"/>
      <w:r>
        <w:t>ketaminbehandling</w:t>
      </w:r>
      <w:proofErr w:type="spellEnd"/>
      <w:r>
        <w:t xml:space="preserve"> i en periode på mellem 1 måned og flere år). </w:t>
      </w:r>
    </w:p>
    <w:p w:rsidR="003A77A2" w:rsidRPr="00CD3229" w:rsidRDefault="003A77A2" w:rsidP="003A77A2">
      <w:pPr>
        <w:ind w:left="851"/>
        <w:rPr>
          <w:sz w:val="24"/>
          <w:szCs w:val="24"/>
        </w:rPr>
      </w:pPr>
      <w:proofErr w:type="spellStart"/>
      <w:r>
        <w:t>Hepatotoksicitet</w:t>
      </w:r>
      <w:proofErr w:type="spellEnd"/>
      <w:r>
        <w:t xml:space="preserve"> er også blevet rapporteret hos patienter med langvarig brug (&gt; 3 dage).</w:t>
      </w:r>
    </w:p>
    <w:p w:rsidR="003A77A2" w:rsidRPr="00CD3229" w:rsidRDefault="003A77A2" w:rsidP="003A77A2">
      <w:pPr>
        <w:ind w:left="851" w:hanging="851"/>
        <w:rPr>
          <w:sz w:val="24"/>
          <w:szCs w:val="24"/>
          <w:lang w:eastAsia="sv-SE"/>
        </w:rPr>
      </w:pPr>
    </w:p>
    <w:p w:rsidR="003A77A2" w:rsidRPr="00CD3229" w:rsidRDefault="003A77A2" w:rsidP="003A77A2">
      <w:pPr>
        <w:ind w:left="851"/>
        <w:rPr>
          <w:sz w:val="24"/>
          <w:szCs w:val="24"/>
        </w:rPr>
      </w:pPr>
      <w:r>
        <w:t xml:space="preserve">Narkotikamisbrug og </w:t>
      </w:r>
      <w:proofErr w:type="spellStart"/>
      <w:r>
        <w:t>afhængighedKetamin</w:t>
      </w:r>
      <w:proofErr w:type="spellEnd"/>
      <w:r>
        <w:t xml:space="preserve"> er rapporteret som brugt som misbrugsstof,</w:t>
      </w:r>
      <w:r w:rsidRPr="00CD3229">
        <w:rPr>
          <w:sz w:val="24"/>
          <w:szCs w:val="24"/>
        </w:rPr>
        <w:t xml:space="preserve"> </w:t>
      </w:r>
      <w:r>
        <w:t xml:space="preserve">Rapporter tyder på, at </w:t>
      </w:r>
      <w:proofErr w:type="spellStart"/>
      <w:r>
        <w:t>ketamin</w:t>
      </w:r>
      <w:proofErr w:type="spellEnd"/>
      <w:r>
        <w:t xml:space="preserve"> giver en række forskellige symptomer, herunder, men ikke begrænset til, flashbacks, hallucinationer, </w:t>
      </w:r>
      <w:proofErr w:type="spellStart"/>
      <w:r>
        <w:t>dysfori</w:t>
      </w:r>
      <w:proofErr w:type="spellEnd"/>
      <w:r>
        <w:t>, angst, søvnløshed eller desorientering</w:t>
      </w:r>
      <w:proofErr w:type="gramStart"/>
      <w:r>
        <w:t xml:space="preserve">. </w:t>
      </w:r>
      <w:r w:rsidRPr="00CD3229">
        <w:rPr>
          <w:sz w:val="24"/>
          <w:szCs w:val="24"/>
        </w:rPr>
        <w:t>.</w:t>
      </w:r>
      <w:proofErr w:type="gramEnd"/>
      <w:r w:rsidRPr="00CD3229">
        <w:rPr>
          <w:sz w:val="24"/>
          <w:szCs w:val="24"/>
        </w:rPr>
        <w:t xml:space="preserve"> </w:t>
      </w:r>
      <w:r>
        <w:t>Der er også rapporteret uønskede bivirkninger: se "Langsigtet brug"</w:t>
      </w:r>
      <w:r>
        <w:rPr>
          <w:sz w:val="24"/>
          <w:szCs w:val="24"/>
        </w:rPr>
        <w:t>.</w:t>
      </w:r>
      <w:r w:rsidRPr="00CD3229">
        <w:rPr>
          <w:sz w:val="24"/>
          <w:szCs w:val="24"/>
        </w:rPr>
        <w:t xml:space="preserve"> </w:t>
      </w:r>
      <w:r>
        <w:t xml:space="preserve">Personer med tidligere stofmisbrug eller afhængighed kan udvikle </w:t>
      </w:r>
      <w:proofErr w:type="spellStart"/>
      <w:r>
        <w:t>ketaminafhængighed</w:t>
      </w:r>
      <w:proofErr w:type="spellEnd"/>
      <w:r>
        <w:t xml:space="preserve"> og -tolerance. Derfor bør </w:t>
      </w:r>
      <w:proofErr w:type="spellStart"/>
      <w:r>
        <w:t>ketamin</w:t>
      </w:r>
      <w:proofErr w:type="spellEnd"/>
      <w:r>
        <w:t xml:space="preserve"> ordineres og indgives med forsigtighed.</w:t>
      </w:r>
      <w:r w:rsidRPr="00CD3229">
        <w:rPr>
          <w:sz w:val="24"/>
          <w:szCs w:val="24"/>
        </w:rPr>
        <w:t xml:space="preserve"> </w:t>
      </w:r>
    </w:p>
    <w:p w:rsidR="003A77A2" w:rsidRPr="00CD3229" w:rsidRDefault="003A77A2" w:rsidP="003A77A2">
      <w:pPr>
        <w:ind w:left="851" w:hanging="851"/>
        <w:rPr>
          <w:sz w:val="24"/>
          <w:szCs w:val="24"/>
        </w:rPr>
      </w:pPr>
    </w:p>
    <w:p w:rsidR="003A77A2" w:rsidRPr="00627688" w:rsidRDefault="003A77A2" w:rsidP="003A77A2">
      <w:pPr>
        <w:ind w:left="851"/>
        <w:rPr>
          <w:b/>
          <w:sz w:val="24"/>
          <w:szCs w:val="24"/>
        </w:rPr>
      </w:pPr>
      <w:proofErr w:type="spellStart"/>
      <w:r w:rsidRPr="00627688">
        <w:rPr>
          <w:b/>
          <w:sz w:val="24"/>
          <w:szCs w:val="24"/>
        </w:rPr>
        <w:t>Ketamin</w:t>
      </w:r>
      <w:proofErr w:type="spellEnd"/>
      <w:r w:rsidRPr="00627688">
        <w:rPr>
          <w:b/>
          <w:sz w:val="24"/>
          <w:szCs w:val="24"/>
        </w:rPr>
        <w:t xml:space="preserve"> "</w:t>
      </w:r>
      <w:proofErr w:type="spellStart"/>
      <w:r w:rsidRPr="00627688">
        <w:rPr>
          <w:b/>
          <w:sz w:val="24"/>
          <w:szCs w:val="24"/>
        </w:rPr>
        <w:t>Abcur</w:t>
      </w:r>
      <w:proofErr w:type="spellEnd"/>
      <w:r w:rsidRPr="00627688">
        <w:rPr>
          <w:b/>
          <w:sz w:val="24"/>
          <w:szCs w:val="24"/>
        </w:rPr>
        <w:t>" indeholder natrium</w:t>
      </w:r>
    </w:p>
    <w:p w:rsidR="003A77A2" w:rsidRPr="00CD3229" w:rsidRDefault="003A77A2" w:rsidP="003A77A2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 xml:space="preserve">En ampul </w:t>
      </w:r>
      <w:r>
        <w:rPr>
          <w:sz w:val="24"/>
          <w:szCs w:val="24"/>
        </w:rPr>
        <w:t xml:space="preserve">med </w:t>
      </w:r>
      <w:r w:rsidRPr="00C34271">
        <w:rPr>
          <w:sz w:val="24"/>
          <w:szCs w:val="24"/>
        </w:rPr>
        <w:t xml:space="preserve">10 mg/ml </w:t>
      </w:r>
      <w:r w:rsidRPr="00CD3229">
        <w:rPr>
          <w:sz w:val="24"/>
          <w:szCs w:val="24"/>
        </w:rPr>
        <w:t xml:space="preserve">indeholder mindre end 1 mmol natrium (23 mg) per dosis og er således stort set natriumfri. 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4.5</w:t>
      </w:r>
      <w:r w:rsidRPr="00CD3229">
        <w:rPr>
          <w:b/>
          <w:sz w:val="24"/>
          <w:szCs w:val="24"/>
        </w:rPr>
        <w:tab/>
        <w:t>Interaktion med andre lægemidler og andre former for interaktion</w:t>
      </w:r>
    </w:p>
    <w:p w:rsidR="00AC57D5" w:rsidRDefault="00AC57D5" w:rsidP="00AC57D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kan forstærke virkningen af samtidigt administrerede opioider, med øget CNS- og respirationsdepression til følge.</w:t>
      </w:r>
    </w:p>
    <w:p w:rsidR="00AC57D5" w:rsidRDefault="00AC57D5" w:rsidP="00AC57D5">
      <w:pPr>
        <w:ind w:left="851" w:hanging="851"/>
        <w:rPr>
          <w:sz w:val="24"/>
          <w:szCs w:val="24"/>
        </w:rPr>
      </w:pPr>
    </w:p>
    <w:p w:rsidR="00AC57D5" w:rsidRDefault="00AC57D5" w:rsidP="00AC57D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Teofyllin</w:t>
      </w:r>
      <w:proofErr w:type="spellEnd"/>
    </w:p>
    <w:p w:rsidR="00AC57D5" w:rsidRDefault="00AC57D5" w:rsidP="00AC57D5">
      <w:pPr>
        <w:ind w:left="851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Da der er klinisk og eksperimentel evidens for sænket krampetærskel, bør kombination af </w:t>
      </w:r>
      <w:proofErr w:type="spellStart"/>
      <w:r>
        <w:rPr>
          <w:color w:val="222222"/>
          <w:sz w:val="24"/>
          <w:szCs w:val="24"/>
        </w:rPr>
        <w:t>teofyllin</w:t>
      </w:r>
      <w:proofErr w:type="spellEnd"/>
      <w:r>
        <w:rPr>
          <w:color w:val="222222"/>
          <w:sz w:val="24"/>
          <w:szCs w:val="24"/>
        </w:rPr>
        <w:t xml:space="preserve"> og </w:t>
      </w:r>
      <w:proofErr w:type="spellStart"/>
      <w:r>
        <w:rPr>
          <w:color w:val="222222"/>
          <w:sz w:val="24"/>
          <w:szCs w:val="24"/>
        </w:rPr>
        <w:t>ketamin</w:t>
      </w:r>
      <w:proofErr w:type="spellEnd"/>
      <w:r>
        <w:rPr>
          <w:color w:val="222222"/>
          <w:sz w:val="24"/>
          <w:szCs w:val="24"/>
        </w:rPr>
        <w:t xml:space="preserve"> undgås. Ved samtidig administration af disse stoffer er indberettet uforudsigelige krampetilfælde af </w:t>
      </w:r>
      <w:proofErr w:type="spellStart"/>
      <w:r>
        <w:rPr>
          <w:color w:val="222222"/>
          <w:sz w:val="24"/>
          <w:szCs w:val="24"/>
        </w:rPr>
        <w:t>ekstensortypen</w:t>
      </w:r>
      <w:proofErr w:type="spellEnd"/>
      <w:r>
        <w:rPr>
          <w:color w:val="222222"/>
          <w:sz w:val="24"/>
          <w:szCs w:val="24"/>
        </w:rPr>
        <w:t xml:space="preserve">. </w:t>
      </w:r>
    </w:p>
    <w:p w:rsidR="00AC57D5" w:rsidRDefault="00AC57D5" w:rsidP="00AC57D5">
      <w:pPr>
        <w:ind w:left="851"/>
        <w:rPr>
          <w:color w:val="222222"/>
          <w:sz w:val="24"/>
          <w:szCs w:val="24"/>
        </w:rPr>
      </w:pPr>
    </w:p>
    <w:p w:rsidR="00AC57D5" w:rsidRDefault="00AC57D5" w:rsidP="00AC57D5">
      <w:pPr>
        <w:keepNext/>
        <w:ind w:left="851"/>
        <w:rPr>
          <w:color w:val="222222"/>
          <w:sz w:val="24"/>
          <w:szCs w:val="24"/>
        </w:rPr>
      </w:pPr>
      <w:proofErr w:type="spellStart"/>
      <w:r>
        <w:rPr>
          <w:i/>
          <w:sz w:val="24"/>
          <w:szCs w:val="24"/>
        </w:rPr>
        <w:lastRenderedPageBreak/>
        <w:t>Suxametonium</w:t>
      </w:r>
      <w:proofErr w:type="spellEnd"/>
    </w:p>
    <w:p w:rsidR="00AC57D5" w:rsidRDefault="00AC57D5" w:rsidP="00AC57D5">
      <w:pPr>
        <w:ind w:left="851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Ketamin</w:t>
      </w:r>
      <w:proofErr w:type="spellEnd"/>
      <w:r>
        <w:rPr>
          <w:color w:val="222222"/>
          <w:sz w:val="24"/>
          <w:szCs w:val="24"/>
        </w:rPr>
        <w:t xml:space="preserve"> kan forlænge den muskelafslappende virkning af </w:t>
      </w:r>
      <w:proofErr w:type="spellStart"/>
      <w:r>
        <w:rPr>
          <w:color w:val="222222"/>
          <w:sz w:val="24"/>
          <w:szCs w:val="24"/>
        </w:rPr>
        <w:t>suxametonium</w:t>
      </w:r>
      <w:proofErr w:type="spellEnd"/>
      <w:r>
        <w:rPr>
          <w:color w:val="222222"/>
          <w:sz w:val="24"/>
          <w:szCs w:val="24"/>
        </w:rPr>
        <w:t>. Kombinationen kan kræve dosisjustering.</w:t>
      </w:r>
    </w:p>
    <w:p w:rsidR="00AC57D5" w:rsidRDefault="00AC57D5" w:rsidP="00AC57D5">
      <w:pPr>
        <w:ind w:left="851"/>
        <w:rPr>
          <w:color w:val="222222"/>
          <w:sz w:val="24"/>
          <w:szCs w:val="24"/>
        </w:rPr>
      </w:pPr>
    </w:p>
    <w:p w:rsidR="00AC57D5" w:rsidRDefault="00AC57D5" w:rsidP="00AC57D5">
      <w:pPr>
        <w:ind w:left="851"/>
        <w:rPr>
          <w:color w:val="222222"/>
          <w:sz w:val="24"/>
          <w:szCs w:val="24"/>
        </w:rPr>
      </w:pPr>
      <w:proofErr w:type="spellStart"/>
      <w:r>
        <w:rPr>
          <w:i/>
          <w:sz w:val="24"/>
          <w:szCs w:val="24"/>
        </w:rPr>
        <w:t>Atracurium</w:t>
      </w:r>
      <w:proofErr w:type="spellEnd"/>
    </w:p>
    <w:p w:rsidR="00AC57D5" w:rsidRDefault="00AC57D5" w:rsidP="00AC57D5">
      <w:pPr>
        <w:ind w:left="851"/>
        <w:rPr>
          <w:color w:val="222222"/>
          <w:sz w:val="24"/>
          <w:szCs w:val="24"/>
        </w:rPr>
      </w:pPr>
      <w:proofErr w:type="spellStart"/>
      <w:r>
        <w:rPr>
          <w:color w:val="222222"/>
          <w:sz w:val="24"/>
          <w:szCs w:val="24"/>
        </w:rPr>
        <w:t>Ketamin</w:t>
      </w:r>
      <w:proofErr w:type="spellEnd"/>
      <w:r>
        <w:rPr>
          <w:color w:val="222222"/>
          <w:sz w:val="24"/>
          <w:szCs w:val="24"/>
        </w:rPr>
        <w:t xml:space="preserve"> kan potensere den </w:t>
      </w:r>
      <w:proofErr w:type="spellStart"/>
      <w:r>
        <w:rPr>
          <w:color w:val="222222"/>
          <w:sz w:val="24"/>
          <w:szCs w:val="24"/>
        </w:rPr>
        <w:t>neuromuskulære</w:t>
      </w:r>
      <w:proofErr w:type="spellEnd"/>
      <w:r>
        <w:rPr>
          <w:color w:val="222222"/>
          <w:sz w:val="24"/>
          <w:szCs w:val="24"/>
        </w:rPr>
        <w:t xml:space="preserve"> blokerende virkning af </w:t>
      </w:r>
      <w:proofErr w:type="spellStart"/>
      <w:r>
        <w:rPr>
          <w:color w:val="222222"/>
          <w:sz w:val="24"/>
          <w:szCs w:val="24"/>
        </w:rPr>
        <w:t>atracurium</w:t>
      </w:r>
      <w:proofErr w:type="spellEnd"/>
      <w:r>
        <w:rPr>
          <w:color w:val="222222"/>
          <w:sz w:val="24"/>
          <w:szCs w:val="24"/>
        </w:rPr>
        <w:t>, herunder respirationsdepression med apnø.</w:t>
      </w:r>
    </w:p>
    <w:p w:rsidR="00AC57D5" w:rsidRDefault="00AC57D5" w:rsidP="00AC57D5">
      <w:pPr>
        <w:ind w:left="851"/>
        <w:rPr>
          <w:color w:val="222222"/>
          <w:sz w:val="24"/>
          <w:szCs w:val="24"/>
        </w:rPr>
      </w:pPr>
    </w:p>
    <w:p w:rsidR="00AC57D5" w:rsidRDefault="00AC57D5" w:rsidP="00AC57D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Diazepam</w:t>
      </w:r>
      <w:proofErr w:type="spellEnd"/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Præmedicinering med </w:t>
      </w:r>
      <w:proofErr w:type="spellStart"/>
      <w:r>
        <w:rPr>
          <w:sz w:val="24"/>
          <w:szCs w:val="24"/>
        </w:rPr>
        <w:t>diazepam</w:t>
      </w:r>
      <w:proofErr w:type="spellEnd"/>
      <w:r>
        <w:rPr>
          <w:sz w:val="24"/>
          <w:szCs w:val="24"/>
        </w:rPr>
        <w:t xml:space="preserve"> forlænger halveringstiden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resulterende i øget virkning. Kombinationen kan kræve dosisjustering.</w:t>
      </w:r>
    </w:p>
    <w:p w:rsidR="00AC57D5" w:rsidRDefault="00AC57D5" w:rsidP="00AC57D5">
      <w:pPr>
        <w:ind w:left="851" w:hanging="851"/>
        <w:rPr>
          <w:sz w:val="24"/>
          <w:szCs w:val="24"/>
          <w:lang w:eastAsia="sv-SE"/>
        </w:rPr>
      </w:pPr>
    </w:p>
    <w:p w:rsidR="00AC57D5" w:rsidRDefault="00AC57D5" w:rsidP="00AC57D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Vasopressin</w:t>
      </w:r>
      <w:proofErr w:type="spellEnd"/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samtidig administration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vasopressin</w:t>
      </w:r>
      <w:proofErr w:type="spellEnd"/>
      <w:r>
        <w:rPr>
          <w:sz w:val="24"/>
          <w:szCs w:val="24"/>
        </w:rPr>
        <w:t xml:space="preserve"> er iagttaget </w:t>
      </w:r>
      <w:proofErr w:type="spellStart"/>
      <w:r>
        <w:rPr>
          <w:sz w:val="24"/>
          <w:szCs w:val="24"/>
        </w:rPr>
        <w:t>synergisk</w:t>
      </w:r>
      <w:proofErr w:type="spellEnd"/>
      <w:r>
        <w:rPr>
          <w:sz w:val="24"/>
          <w:szCs w:val="24"/>
        </w:rPr>
        <w:t xml:space="preserve"> blodtryksstigning.</w:t>
      </w:r>
    </w:p>
    <w:p w:rsidR="00AC57D5" w:rsidRDefault="00AC57D5" w:rsidP="00AC57D5">
      <w:pPr>
        <w:ind w:left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Sympatomimetika</w:t>
      </w:r>
      <w:proofErr w:type="spellEnd"/>
      <w:r>
        <w:rPr>
          <w:sz w:val="24"/>
          <w:szCs w:val="24"/>
        </w:rPr>
        <w:t xml:space="preserve"> (direkte eller indirekte) og </w:t>
      </w:r>
      <w:proofErr w:type="spellStart"/>
      <w:r>
        <w:rPr>
          <w:sz w:val="24"/>
          <w:szCs w:val="24"/>
        </w:rPr>
        <w:t>vasopressin</w:t>
      </w:r>
      <w:proofErr w:type="spellEnd"/>
      <w:r>
        <w:rPr>
          <w:sz w:val="24"/>
          <w:szCs w:val="24"/>
        </w:rPr>
        <w:t xml:space="preserve"> kan forstærke </w:t>
      </w:r>
      <w:proofErr w:type="spellStart"/>
      <w:r>
        <w:rPr>
          <w:sz w:val="24"/>
          <w:szCs w:val="24"/>
        </w:rPr>
        <w:t>ketamins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sympatomimetiske</w:t>
      </w:r>
      <w:proofErr w:type="spellEnd"/>
      <w:r>
        <w:rPr>
          <w:sz w:val="24"/>
          <w:szCs w:val="24"/>
        </w:rPr>
        <w:t xml:space="preserve"> virkninger.</w:t>
      </w:r>
    </w:p>
    <w:p w:rsidR="00AC57D5" w:rsidRDefault="00AC57D5" w:rsidP="00AC57D5">
      <w:pPr>
        <w:ind w:left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brug af </w:t>
      </w:r>
      <w:proofErr w:type="spellStart"/>
      <w:r>
        <w:rPr>
          <w:sz w:val="24"/>
          <w:szCs w:val="24"/>
        </w:rPr>
        <w:t>ergometrin</w:t>
      </w:r>
      <w:proofErr w:type="spellEnd"/>
      <w:r>
        <w:rPr>
          <w:sz w:val="24"/>
          <w:szCs w:val="24"/>
        </w:rPr>
        <w:t xml:space="preserve"> kan føre til blodtryksforhøjelse.</w:t>
      </w:r>
    </w:p>
    <w:p w:rsidR="00AC57D5" w:rsidRDefault="00AC57D5" w:rsidP="00AC57D5">
      <w:pPr>
        <w:ind w:left="851" w:hanging="851"/>
        <w:rPr>
          <w:sz w:val="24"/>
          <w:szCs w:val="24"/>
          <w:lang w:eastAsia="sv-SE"/>
        </w:rPr>
      </w:pPr>
    </w:p>
    <w:p w:rsidR="00AC57D5" w:rsidRDefault="00AC57D5" w:rsidP="00AC57D5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Barbiturater, narkotika, </w:t>
      </w:r>
      <w:proofErr w:type="spellStart"/>
      <w:r>
        <w:rPr>
          <w:i/>
          <w:sz w:val="24"/>
          <w:szCs w:val="24"/>
        </w:rPr>
        <w:t>inhalationsanæstetika</w:t>
      </w:r>
      <w:proofErr w:type="spellEnd"/>
      <w:r>
        <w:rPr>
          <w:i/>
          <w:sz w:val="24"/>
          <w:szCs w:val="24"/>
        </w:rPr>
        <w:t xml:space="preserve">, alkohol, </w:t>
      </w:r>
      <w:proofErr w:type="spellStart"/>
      <w:r>
        <w:rPr>
          <w:i/>
          <w:sz w:val="24"/>
          <w:szCs w:val="24"/>
        </w:rPr>
        <w:t>muskelrelaksantia</w:t>
      </w:r>
      <w:proofErr w:type="spellEnd"/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Opvågningsfasen kan blive forlænget, hvis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anvendes sammen med barbiturater, narkotiske midler og </w:t>
      </w:r>
      <w:proofErr w:type="spellStart"/>
      <w:r>
        <w:rPr>
          <w:sz w:val="24"/>
          <w:szCs w:val="24"/>
        </w:rPr>
        <w:t>inhalationsanæstetika</w:t>
      </w:r>
      <w:proofErr w:type="spellEnd"/>
      <w:r>
        <w:rPr>
          <w:sz w:val="24"/>
          <w:szCs w:val="24"/>
        </w:rPr>
        <w:t xml:space="preserve">. Anvendelse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(specielt i høje doser eller ved hurtig administration) samtidig med </w:t>
      </w:r>
      <w:proofErr w:type="spellStart"/>
      <w:r>
        <w:rPr>
          <w:sz w:val="24"/>
          <w:szCs w:val="24"/>
        </w:rPr>
        <w:t>halogenerede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anæstetika</w:t>
      </w:r>
      <w:proofErr w:type="spellEnd"/>
      <w:r>
        <w:rPr>
          <w:sz w:val="24"/>
          <w:szCs w:val="24"/>
        </w:rPr>
        <w:t xml:space="preserve"> kan øge risikoen for bradykardi, hypotension eller nedsat hjertevolumen.  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Administration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sammen med andre </w:t>
      </w:r>
      <w:proofErr w:type="spellStart"/>
      <w:r>
        <w:rPr>
          <w:sz w:val="24"/>
          <w:szCs w:val="24"/>
        </w:rPr>
        <w:t>sedativa</w:t>
      </w:r>
      <w:proofErr w:type="spellEnd"/>
      <w:r>
        <w:rPr>
          <w:sz w:val="24"/>
          <w:szCs w:val="24"/>
        </w:rPr>
        <w:t xml:space="preserve"> (f.eks. </w:t>
      </w:r>
      <w:proofErr w:type="spellStart"/>
      <w:r>
        <w:rPr>
          <w:i/>
          <w:sz w:val="24"/>
          <w:szCs w:val="24"/>
        </w:rPr>
        <w:t>ethanol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fentiaziner</w:t>
      </w:r>
      <w:proofErr w:type="spellEnd"/>
      <w:r>
        <w:rPr>
          <w:i/>
          <w:sz w:val="24"/>
          <w:szCs w:val="24"/>
        </w:rPr>
        <w:t>, sederende H</w:t>
      </w:r>
      <w:r>
        <w:rPr>
          <w:i/>
          <w:sz w:val="24"/>
          <w:szCs w:val="24"/>
          <w:vertAlign w:val="subscript"/>
        </w:rPr>
        <w:t>1</w:t>
      </w:r>
      <w:r>
        <w:rPr>
          <w:i/>
          <w:sz w:val="24"/>
          <w:szCs w:val="24"/>
        </w:rPr>
        <w:t xml:space="preserve">-antagonister og </w:t>
      </w:r>
      <w:proofErr w:type="spellStart"/>
      <w:r>
        <w:rPr>
          <w:i/>
          <w:sz w:val="24"/>
          <w:szCs w:val="24"/>
        </w:rPr>
        <w:t>muskelrelaksantia</w:t>
      </w:r>
      <w:proofErr w:type="spellEnd"/>
      <w:r>
        <w:rPr>
          <w:sz w:val="24"/>
          <w:szCs w:val="24"/>
        </w:rPr>
        <w:t xml:space="preserve">) kan potensere CNS-depression og/eller øge risikoen for respirationsdepression. Dosisreduktion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kan være nødvendig ved samtidig administration af andre </w:t>
      </w:r>
      <w:proofErr w:type="spellStart"/>
      <w:r>
        <w:rPr>
          <w:sz w:val="24"/>
          <w:szCs w:val="24"/>
        </w:rPr>
        <w:t>anxiolytika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sedativa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hypnotika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er beskrevet at modvirke den hypnotiske virkning af </w:t>
      </w:r>
      <w:proofErr w:type="spellStart"/>
      <w:r>
        <w:rPr>
          <w:sz w:val="24"/>
          <w:szCs w:val="24"/>
        </w:rPr>
        <w:t>thiopental</w:t>
      </w:r>
      <w:proofErr w:type="spellEnd"/>
      <w:r>
        <w:rPr>
          <w:sz w:val="24"/>
          <w:szCs w:val="24"/>
        </w:rPr>
        <w:t>.</w:t>
      </w:r>
    </w:p>
    <w:p w:rsidR="00AC57D5" w:rsidRDefault="00AC57D5" w:rsidP="00AC57D5">
      <w:pPr>
        <w:ind w:left="851" w:hanging="851"/>
        <w:rPr>
          <w:sz w:val="24"/>
          <w:szCs w:val="24"/>
          <w:lang w:eastAsia="sv-SE"/>
        </w:rPr>
      </w:pPr>
    </w:p>
    <w:p w:rsidR="00AC57D5" w:rsidRDefault="00AC57D5" w:rsidP="00AC57D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Thyroideahormoner</w:t>
      </w:r>
      <w:proofErr w:type="spellEnd"/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Patienter i behandling med </w:t>
      </w:r>
      <w:proofErr w:type="spellStart"/>
      <w:r>
        <w:rPr>
          <w:sz w:val="24"/>
          <w:szCs w:val="24"/>
        </w:rPr>
        <w:t>thyroideahormoner</w:t>
      </w:r>
      <w:proofErr w:type="spellEnd"/>
      <w:r>
        <w:rPr>
          <w:sz w:val="24"/>
          <w:szCs w:val="24"/>
        </w:rPr>
        <w:t xml:space="preserve"> har øget risiko for hypertension og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, når de får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>.</w:t>
      </w:r>
    </w:p>
    <w:p w:rsidR="00AC57D5" w:rsidRDefault="00AC57D5" w:rsidP="00AC57D5">
      <w:pPr>
        <w:ind w:left="851" w:hanging="851"/>
        <w:rPr>
          <w:sz w:val="24"/>
          <w:szCs w:val="24"/>
          <w:lang w:eastAsia="sv-SE"/>
        </w:rPr>
      </w:pPr>
    </w:p>
    <w:p w:rsidR="00AC57D5" w:rsidRDefault="00AC57D5" w:rsidP="00AC57D5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Antihypertensiva</w:t>
      </w:r>
      <w:proofErr w:type="spellEnd"/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Samtidig administration af </w:t>
      </w:r>
      <w:proofErr w:type="spellStart"/>
      <w:r>
        <w:rPr>
          <w:sz w:val="24"/>
          <w:szCs w:val="24"/>
        </w:rPr>
        <w:t>antihypertensiva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øger risikoen for hypotension.</w:t>
      </w:r>
    </w:p>
    <w:p w:rsidR="00AC57D5" w:rsidRDefault="00AC57D5" w:rsidP="00AC57D5">
      <w:pPr>
        <w:ind w:left="851" w:hanging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Lægemidler, der hæmmer aktiviteten er CYP3A4, nedsætter sædvanligvis den </w:t>
      </w:r>
      <w:proofErr w:type="spellStart"/>
      <w:r>
        <w:rPr>
          <w:sz w:val="24"/>
          <w:szCs w:val="24"/>
        </w:rPr>
        <w:t>hepatiske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, hvilket kan medføre øget plasmakoncentration af substrater for CYP3A4 såsom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. Dosisreduktion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kan være nødvendig ved samtidig administration af CYP3A4-hæmmere (f.eks. </w:t>
      </w:r>
      <w:proofErr w:type="spellStart"/>
      <w:r>
        <w:rPr>
          <w:sz w:val="24"/>
          <w:szCs w:val="24"/>
        </w:rPr>
        <w:t>itraconazol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fluconazol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clarithromycin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erythromycin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verapamil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diltiazem</w:t>
      </w:r>
      <w:proofErr w:type="spellEnd"/>
      <w:r>
        <w:rPr>
          <w:sz w:val="24"/>
          <w:szCs w:val="24"/>
        </w:rPr>
        <w:t>) for at opnå det ønskede kliniske udfald.</w:t>
      </w:r>
    </w:p>
    <w:p w:rsidR="00AC57D5" w:rsidRDefault="00AC57D5" w:rsidP="00AC57D5">
      <w:pPr>
        <w:ind w:left="851" w:hanging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Lægemidler, der inducerer CYP3A4, øger sædvanligvis den </w:t>
      </w:r>
      <w:proofErr w:type="spellStart"/>
      <w:r>
        <w:rPr>
          <w:sz w:val="24"/>
          <w:szCs w:val="24"/>
        </w:rPr>
        <w:t>hepatiske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, hvilket kan medføre nedsat plasmakoncentration af substrater for CYP3A4 såsom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. Dosisforøgelse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kan være nødvendig ved samtidig administration af CYP3A4-induktorer (f.eks. </w:t>
      </w:r>
      <w:proofErr w:type="spellStart"/>
      <w:r>
        <w:rPr>
          <w:sz w:val="24"/>
          <w:szCs w:val="24"/>
        </w:rPr>
        <w:t>phenytoin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karbamazepin</w:t>
      </w:r>
      <w:proofErr w:type="spellEnd"/>
      <w:r>
        <w:rPr>
          <w:sz w:val="24"/>
          <w:szCs w:val="24"/>
        </w:rPr>
        <w:t>, prikbladet perikum) for at opnå det ønskede kliniske udfald.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lastRenderedPageBreak/>
        <w:t>4.6</w:t>
      </w:r>
      <w:r w:rsidRPr="00CD3229">
        <w:rPr>
          <w:b/>
          <w:sz w:val="24"/>
          <w:szCs w:val="24"/>
        </w:rPr>
        <w:tab/>
        <w:t>Graviditet og amning</w:t>
      </w:r>
    </w:p>
    <w:p w:rsidR="00AC57D5" w:rsidRPr="00CD3229" w:rsidRDefault="00AC57D5" w:rsidP="00AC57D5">
      <w:pPr>
        <w:ind w:left="851" w:hanging="851"/>
        <w:rPr>
          <w:sz w:val="24"/>
          <w:szCs w:val="24"/>
          <w:u w:val="single"/>
        </w:rPr>
      </w:pPr>
    </w:p>
    <w:p w:rsidR="00AC57D5" w:rsidRPr="00CD3229" w:rsidRDefault="00AC57D5" w:rsidP="00AC57D5">
      <w:pPr>
        <w:ind w:left="851"/>
        <w:rPr>
          <w:noProof/>
          <w:sz w:val="24"/>
          <w:szCs w:val="24"/>
          <w:u w:val="single"/>
        </w:rPr>
      </w:pPr>
      <w:r w:rsidRPr="00CD3229">
        <w:rPr>
          <w:sz w:val="24"/>
          <w:szCs w:val="24"/>
          <w:u w:val="single"/>
        </w:rPr>
        <w:t>Graviditet</w:t>
      </w:r>
      <w:r w:rsidRPr="00CD3229">
        <w:rPr>
          <w:sz w:val="24"/>
          <w:szCs w:val="24"/>
          <w:u w:val="single"/>
          <w:vertAlign w:val="superscript"/>
        </w:rPr>
        <w:t xml:space="preserve"> </w:t>
      </w:r>
    </w:p>
    <w:p w:rsidR="00AC57D5" w:rsidRPr="00CD3229" w:rsidRDefault="00AC57D5" w:rsidP="00AC57D5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Dyreforsøg har vist reproduktionstoksicitet (jf. pkt. 5.3). Der</w:t>
      </w:r>
      <w:r w:rsidR="00BB5903">
        <w:rPr>
          <w:sz w:val="24"/>
          <w:szCs w:val="24"/>
        </w:rPr>
        <w:t xml:space="preserve"> </w:t>
      </w:r>
      <w:bookmarkStart w:id="0" w:name="_GoBack"/>
      <w:bookmarkEnd w:id="0"/>
      <w:r w:rsidRPr="00CD3229">
        <w:rPr>
          <w:sz w:val="24"/>
          <w:szCs w:val="24"/>
        </w:rPr>
        <w:t>er ikke udført kontrollerede kliniske undersøgelser ved graviditet.</w:t>
      </w:r>
      <w:r w:rsidRPr="00CD3229">
        <w:rPr>
          <w:noProof/>
          <w:sz w:val="24"/>
          <w:szCs w:val="24"/>
        </w:rPr>
        <w:t xml:space="preserve"> </w:t>
      </w:r>
      <w:r w:rsidRPr="00CD3229">
        <w:rPr>
          <w:sz w:val="24"/>
          <w:szCs w:val="24"/>
        </w:rPr>
        <w:t xml:space="preserve">Sikkerheden ved graviditet er ikke fastlagt, og sådan anvendelse frarådes bortset fra administration under operation med henblik på </w:t>
      </w:r>
      <w:proofErr w:type="spellStart"/>
      <w:r w:rsidRPr="00CD3229">
        <w:rPr>
          <w:sz w:val="24"/>
          <w:szCs w:val="24"/>
        </w:rPr>
        <w:t>abdominal</w:t>
      </w:r>
      <w:proofErr w:type="spellEnd"/>
      <w:r w:rsidRPr="00CD3229">
        <w:rPr>
          <w:sz w:val="24"/>
          <w:szCs w:val="24"/>
        </w:rPr>
        <w:t xml:space="preserve"> eller vaginal forløsning.</w:t>
      </w:r>
      <w:r w:rsidRPr="00CD3229">
        <w:rPr>
          <w:noProof/>
          <w:sz w:val="24"/>
          <w:szCs w:val="24"/>
        </w:rPr>
        <w:t xml:space="preserve"> K</w:t>
      </w:r>
      <w:proofErr w:type="spellStart"/>
      <w:r w:rsidRPr="00CD3229">
        <w:rPr>
          <w:sz w:val="24"/>
          <w:szCs w:val="24"/>
        </w:rPr>
        <w:t>etamin</w:t>
      </w:r>
      <w:proofErr w:type="spellEnd"/>
      <w:r w:rsidRPr="00CD3229">
        <w:rPr>
          <w:sz w:val="24"/>
          <w:szCs w:val="24"/>
        </w:rPr>
        <w:t xml:space="preserve"> krydser let placenta. Nogle nyfødte, der har været udsat for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ved en </w:t>
      </w:r>
      <w:proofErr w:type="spellStart"/>
      <w:r w:rsidRPr="00CD3229">
        <w:rPr>
          <w:sz w:val="24"/>
          <w:szCs w:val="24"/>
        </w:rPr>
        <w:t>maternel</w:t>
      </w:r>
      <w:proofErr w:type="spellEnd"/>
      <w:r w:rsidRPr="00CD3229">
        <w:rPr>
          <w:sz w:val="24"/>
          <w:szCs w:val="24"/>
        </w:rPr>
        <w:t xml:space="preserve"> intravenøse dosis på over 1,5 mg/kg under fødslen, har fået respirationsdepression med lav </w:t>
      </w:r>
      <w:proofErr w:type="spellStart"/>
      <w:r w:rsidRPr="00CD3229">
        <w:rPr>
          <w:sz w:val="24"/>
          <w:szCs w:val="24"/>
        </w:rPr>
        <w:t>Apgar</w:t>
      </w:r>
      <w:proofErr w:type="spellEnd"/>
      <w:r w:rsidRPr="00CD3229">
        <w:rPr>
          <w:sz w:val="24"/>
          <w:szCs w:val="24"/>
        </w:rPr>
        <w:t xml:space="preserve">-score, som har krævet genoplivning. En markant stigning i </w:t>
      </w:r>
      <w:proofErr w:type="spellStart"/>
      <w:r w:rsidRPr="00CD3229">
        <w:rPr>
          <w:sz w:val="24"/>
          <w:szCs w:val="24"/>
        </w:rPr>
        <w:t>maternelt</w:t>
      </w:r>
      <w:proofErr w:type="spellEnd"/>
      <w:r w:rsidRPr="00CD3229">
        <w:rPr>
          <w:sz w:val="24"/>
          <w:szCs w:val="24"/>
        </w:rPr>
        <w:t xml:space="preserve"> blodtryk og </w:t>
      </w:r>
      <w:proofErr w:type="spellStart"/>
      <w:r w:rsidRPr="00CD3229">
        <w:rPr>
          <w:sz w:val="24"/>
          <w:szCs w:val="24"/>
        </w:rPr>
        <w:t>uterin</w:t>
      </w:r>
      <w:proofErr w:type="spellEnd"/>
      <w:r w:rsidRPr="00CD3229">
        <w:rPr>
          <w:sz w:val="24"/>
          <w:szCs w:val="24"/>
        </w:rPr>
        <w:t xml:space="preserve"> </w:t>
      </w:r>
      <w:proofErr w:type="spellStart"/>
      <w:r w:rsidRPr="00CD3229">
        <w:rPr>
          <w:sz w:val="24"/>
          <w:szCs w:val="24"/>
        </w:rPr>
        <w:t>tonus</w:t>
      </w:r>
      <w:proofErr w:type="spellEnd"/>
      <w:r w:rsidRPr="00CD3229">
        <w:rPr>
          <w:sz w:val="24"/>
          <w:szCs w:val="24"/>
        </w:rPr>
        <w:t xml:space="preserve"> er iagttaget ved intravenøse doser over 2 mg/kg. </w:t>
      </w:r>
    </w:p>
    <w:p w:rsidR="00AC57D5" w:rsidRPr="00CD3229" w:rsidRDefault="00AC57D5" w:rsidP="00AC57D5">
      <w:pPr>
        <w:ind w:left="851" w:hanging="851"/>
        <w:rPr>
          <w:noProof/>
          <w:sz w:val="24"/>
          <w:szCs w:val="24"/>
          <w:u w:val="single"/>
        </w:rPr>
      </w:pPr>
    </w:p>
    <w:p w:rsidR="00AC57D5" w:rsidRPr="00CD3229" w:rsidRDefault="00AC57D5" w:rsidP="00AC57D5">
      <w:pPr>
        <w:ind w:left="851"/>
        <w:rPr>
          <w:noProof/>
          <w:sz w:val="24"/>
          <w:szCs w:val="24"/>
          <w:u w:val="single"/>
        </w:rPr>
      </w:pPr>
      <w:r w:rsidRPr="00CD3229">
        <w:rPr>
          <w:sz w:val="24"/>
          <w:szCs w:val="24"/>
          <w:u w:val="single"/>
        </w:rPr>
        <w:t>Amning</w:t>
      </w:r>
    </w:p>
    <w:p w:rsidR="00AC57D5" w:rsidRPr="00CD3229" w:rsidRDefault="00AC57D5" w:rsidP="00AC57D5">
      <w:pPr>
        <w:ind w:left="851"/>
        <w:rPr>
          <w:noProof/>
          <w:sz w:val="24"/>
          <w:szCs w:val="24"/>
        </w:rPr>
      </w:pP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udskilles i brystmælk, antagelig dog uden risiko for brystbarnet ved terapeutiske doser. I mangel af de nødvendige data frarådes sådan anvendelse.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4.7</w:t>
      </w:r>
      <w:r w:rsidRPr="00CD3229">
        <w:rPr>
          <w:b/>
          <w:sz w:val="24"/>
          <w:szCs w:val="24"/>
        </w:rPr>
        <w:tab/>
        <w:t>Virkninger på evnen til at føre motorkøretøj eller betjene maskiner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>Mærkning.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 xml:space="preserve">Efter behandling med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kan reaktionsevnen være nedsat. Dette bør haves for øje ved behov for øget opmærksomhed, f.eks. når der skal føres motorkøretøj. </w:t>
      </w:r>
    </w:p>
    <w:p w:rsidR="00AC57D5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 xml:space="preserve">Patienten bør ikke føre motorkøretøj eller betjene maskiner mindst 24 timer efter anæstesi med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. </w:t>
      </w:r>
      <w:r>
        <w:rPr>
          <w:sz w:val="24"/>
          <w:szCs w:val="24"/>
        </w:rPr>
        <w:t>Efter ambulant anæstesi skal patienten ledsages hjem og bør ikke drikke alkohol de næste 24 timer.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4.8</w:t>
      </w:r>
      <w:r w:rsidRPr="00CD3229">
        <w:rPr>
          <w:b/>
          <w:sz w:val="24"/>
          <w:szCs w:val="24"/>
        </w:rPr>
        <w:tab/>
        <w:t>Bivirkninger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 xml:space="preserve">Bivirkningerne er hovedsagelig relateret til dosis og injektionshastighed og er reversible. CNS-bivirkninger er mere almindelige, hvis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anvendes som eneste </w:t>
      </w:r>
      <w:proofErr w:type="spellStart"/>
      <w:r w:rsidRPr="00CD3229">
        <w:rPr>
          <w:sz w:val="24"/>
          <w:szCs w:val="24"/>
        </w:rPr>
        <w:t>anæstetikum</w:t>
      </w:r>
      <w:proofErr w:type="spellEnd"/>
      <w:r w:rsidRPr="00CD3229">
        <w:rPr>
          <w:sz w:val="24"/>
          <w:szCs w:val="24"/>
        </w:rPr>
        <w:t xml:space="preserve">. 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Følgende bivirkninger er iagttaget og indberettet ved behandling med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med angivelse af hyppighed: meget almindelig (≥1/10), almindelig (≥1/100 til &lt;1/10), ikke almindelig (≥1/1 000 til &lt;1/100), sjælden (≥1/10 000 til &lt;1/1 000), meget sjælden (&lt;1/10 000), ikke kendt (kan ikke beregnes af foreliggende data).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1712"/>
        <w:gridCol w:w="1984"/>
        <w:gridCol w:w="1645"/>
        <w:gridCol w:w="2172"/>
      </w:tblGrid>
      <w:tr w:rsidR="00AC57D5" w:rsidRPr="00CD3229" w:rsidTr="003B4BCE">
        <w:trPr>
          <w:tblHeader/>
        </w:trPr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b/>
                <w:sz w:val="22"/>
                <w:szCs w:val="22"/>
              </w:rPr>
            </w:pPr>
            <w:r w:rsidRPr="00CD3229">
              <w:rPr>
                <w:b/>
                <w:sz w:val="22"/>
                <w:szCs w:val="22"/>
              </w:rPr>
              <w:t xml:space="preserve">Systemorganklasse i henhold til </w:t>
            </w:r>
            <w:proofErr w:type="spellStart"/>
            <w:r w:rsidRPr="00CD3229">
              <w:rPr>
                <w:b/>
                <w:sz w:val="22"/>
                <w:szCs w:val="22"/>
              </w:rPr>
              <w:t>MedDRA</w:t>
            </w:r>
            <w:proofErr w:type="spellEnd"/>
            <w:r w:rsidRPr="00CD3229">
              <w:rPr>
                <w:b/>
                <w:sz w:val="22"/>
                <w:szCs w:val="22"/>
              </w:rPr>
              <w:t>-databasen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b/>
                <w:noProof/>
                <w:sz w:val="22"/>
                <w:szCs w:val="22"/>
              </w:rPr>
            </w:pPr>
            <w:r w:rsidRPr="00CD3229">
              <w:rPr>
                <w:b/>
                <w:sz w:val="22"/>
                <w:szCs w:val="22"/>
              </w:rPr>
              <w:t>Almindelig</w:t>
            </w:r>
          </w:p>
          <w:p w:rsidR="00AC57D5" w:rsidRPr="00CD3229" w:rsidRDefault="00AC57D5" w:rsidP="003B4BCE">
            <w:pPr>
              <w:suppressAutoHyphens/>
              <w:ind w:left="29"/>
              <w:rPr>
                <w:b/>
                <w:sz w:val="22"/>
                <w:szCs w:val="22"/>
              </w:rPr>
            </w:pPr>
            <w:r w:rsidRPr="00CD3229">
              <w:rPr>
                <w:b/>
                <w:noProof/>
                <w:sz w:val="22"/>
                <w:szCs w:val="22"/>
              </w:rPr>
              <w:t>(</w:t>
            </w:r>
            <w:r w:rsidRPr="00CD3229">
              <w:rPr>
                <w:b/>
                <w:noProof/>
                <w:sz w:val="22"/>
                <w:szCs w:val="22"/>
              </w:rPr>
              <w:sym w:font="Symbol" w:char="F0B3"/>
            </w:r>
            <w:r w:rsidRPr="00CD3229">
              <w:rPr>
                <w:b/>
                <w:noProof/>
                <w:sz w:val="22"/>
                <w:szCs w:val="22"/>
              </w:rPr>
              <w:t>1/100, &lt;1/10)</w:t>
            </w: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b/>
                <w:sz w:val="22"/>
                <w:szCs w:val="22"/>
              </w:rPr>
              <w:t>Ikke-almindelig (</w:t>
            </w:r>
            <w:r w:rsidRPr="00CD3229">
              <w:rPr>
                <w:b/>
                <w:sz w:val="22"/>
                <w:szCs w:val="22"/>
              </w:rPr>
              <w:sym w:font="Symbol" w:char="F0B3"/>
            </w:r>
            <w:r w:rsidRPr="00CD3229">
              <w:rPr>
                <w:b/>
                <w:sz w:val="22"/>
                <w:szCs w:val="22"/>
              </w:rPr>
              <w:t>1/1 000, &lt;1/100)</w:t>
            </w: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b/>
                <w:noProof/>
                <w:sz w:val="22"/>
                <w:szCs w:val="22"/>
              </w:rPr>
            </w:pPr>
            <w:r w:rsidRPr="00CD3229">
              <w:rPr>
                <w:b/>
                <w:sz w:val="22"/>
                <w:szCs w:val="22"/>
              </w:rPr>
              <w:t>Sjælden</w:t>
            </w:r>
          </w:p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b/>
                <w:noProof/>
                <w:sz w:val="22"/>
                <w:szCs w:val="22"/>
              </w:rPr>
              <w:t>(</w:t>
            </w:r>
            <w:r w:rsidRPr="00CD3229">
              <w:rPr>
                <w:b/>
                <w:noProof/>
                <w:sz w:val="22"/>
                <w:szCs w:val="22"/>
              </w:rPr>
              <w:sym w:font="Symbol" w:char="F0B3"/>
            </w:r>
            <w:r w:rsidRPr="00CD3229">
              <w:rPr>
                <w:b/>
                <w:noProof/>
                <w:sz w:val="22"/>
                <w:szCs w:val="22"/>
              </w:rPr>
              <w:t>1/10 000, &lt;1/1 000)</w:t>
            </w: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  <w:r w:rsidRPr="00CD3229">
              <w:rPr>
                <w:b/>
                <w:sz w:val="22"/>
                <w:szCs w:val="22"/>
              </w:rPr>
              <w:t>Ikke kendt (kan ikke beregnes ud fra foreliggende data)</w:t>
            </w: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Immunsystemet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proofErr w:type="spellStart"/>
            <w:r w:rsidRPr="00CD3229">
              <w:rPr>
                <w:color w:val="000000"/>
                <w:sz w:val="22"/>
                <w:szCs w:val="22"/>
              </w:rPr>
              <w:t>Anafylaktisk</w:t>
            </w:r>
            <w:proofErr w:type="spellEnd"/>
            <w:r w:rsidRPr="00CD3229">
              <w:rPr>
                <w:color w:val="000000"/>
                <w:sz w:val="22"/>
                <w:szCs w:val="22"/>
              </w:rPr>
              <w:t xml:space="preserve"> reaktion*</w:t>
            </w: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color w:val="000000"/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i/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Metabolisme og ernæring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Anoreksi</w:t>
            </w: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  <w:highlight w:val="yellow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Psykiske lidelser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 xml:space="preserve">Hallucinationer, abnorme drømme, mareridt, konfusion, agitation, abnorm adfærd </w:t>
            </w: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Angst</w:t>
            </w: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 xml:space="preserve">Delirium*, flashback*, </w:t>
            </w:r>
            <w:proofErr w:type="spellStart"/>
            <w:r w:rsidRPr="00CD3229">
              <w:rPr>
                <w:sz w:val="22"/>
                <w:szCs w:val="22"/>
              </w:rPr>
              <w:t>dysfori</w:t>
            </w:r>
            <w:proofErr w:type="spellEnd"/>
            <w:r w:rsidRPr="00CD3229">
              <w:rPr>
                <w:sz w:val="22"/>
                <w:szCs w:val="22"/>
              </w:rPr>
              <w:t xml:space="preserve">*, </w:t>
            </w:r>
            <w:proofErr w:type="spellStart"/>
            <w:r w:rsidRPr="00CD3229">
              <w:rPr>
                <w:sz w:val="22"/>
                <w:szCs w:val="22"/>
              </w:rPr>
              <w:t>insomni</w:t>
            </w:r>
            <w:proofErr w:type="spellEnd"/>
            <w:r w:rsidRPr="00CD3229">
              <w:rPr>
                <w:sz w:val="22"/>
                <w:szCs w:val="22"/>
              </w:rPr>
              <w:t xml:space="preserve">, desorientering </w:t>
            </w: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Nervesystemet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Nystagmus, tonisk-kloniske bevægelser</w:t>
            </w: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Øjne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proofErr w:type="spellStart"/>
            <w:r w:rsidRPr="00CD3229">
              <w:rPr>
                <w:sz w:val="22"/>
                <w:szCs w:val="22"/>
              </w:rPr>
              <w:t>Diplopi</w:t>
            </w:r>
            <w:proofErr w:type="spellEnd"/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 xml:space="preserve">Øget </w:t>
            </w:r>
            <w:proofErr w:type="spellStart"/>
            <w:r w:rsidRPr="00CD3229">
              <w:rPr>
                <w:sz w:val="22"/>
                <w:szCs w:val="22"/>
              </w:rPr>
              <w:t>intraokulært</w:t>
            </w:r>
            <w:proofErr w:type="spellEnd"/>
            <w:r w:rsidRPr="00CD3229">
              <w:rPr>
                <w:sz w:val="22"/>
                <w:szCs w:val="22"/>
              </w:rPr>
              <w:t xml:space="preserve"> tryk</w:t>
            </w: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lastRenderedPageBreak/>
              <w:t>Hjerte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Øget blodtryk, øget hjertefrekvens</w:t>
            </w: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 xml:space="preserve">Bradykardi, </w:t>
            </w:r>
            <w:proofErr w:type="spellStart"/>
            <w:r w:rsidRPr="00CD3229">
              <w:rPr>
                <w:sz w:val="22"/>
                <w:szCs w:val="22"/>
              </w:rPr>
              <w:t>arytmi</w:t>
            </w:r>
            <w:proofErr w:type="spellEnd"/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proofErr w:type="spellStart"/>
            <w:r w:rsidRPr="00CD3229">
              <w:rPr>
                <w:sz w:val="22"/>
                <w:szCs w:val="22"/>
              </w:rPr>
              <w:t>Vaskulære</w:t>
            </w:r>
            <w:proofErr w:type="spellEnd"/>
            <w:r w:rsidRPr="00CD3229">
              <w:rPr>
                <w:sz w:val="22"/>
                <w:szCs w:val="22"/>
              </w:rPr>
              <w:t xml:space="preserve"> sygdomme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Hypotension</w:t>
            </w: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 xml:space="preserve">Luftveje, thorax og </w:t>
            </w:r>
            <w:proofErr w:type="spellStart"/>
            <w:r w:rsidRPr="00CD3229">
              <w:rPr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Øget respirations</w:t>
            </w:r>
            <w:r w:rsidRPr="00CD3229">
              <w:rPr>
                <w:sz w:val="22"/>
                <w:szCs w:val="22"/>
              </w:rPr>
              <w:softHyphen/>
              <w:t>frekvens</w:t>
            </w: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Respirations</w:t>
            </w:r>
            <w:r w:rsidRPr="00CD3229">
              <w:rPr>
                <w:sz w:val="22"/>
                <w:szCs w:val="22"/>
              </w:rPr>
              <w:softHyphen/>
              <w:t xml:space="preserve">depression, </w:t>
            </w:r>
            <w:proofErr w:type="spellStart"/>
            <w:r w:rsidRPr="00CD3229">
              <w:rPr>
                <w:sz w:val="22"/>
                <w:szCs w:val="22"/>
              </w:rPr>
              <w:t>laryngospasme</w:t>
            </w:r>
            <w:proofErr w:type="spellEnd"/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Obstruktiv luftvejslidelse*, apnø*</w:t>
            </w: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Mave-tarm</w:t>
            </w:r>
            <w:r>
              <w:rPr>
                <w:sz w:val="22"/>
                <w:szCs w:val="22"/>
              </w:rPr>
              <w:t>-</w:t>
            </w:r>
            <w:r w:rsidRPr="00CD3229">
              <w:rPr>
                <w:sz w:val="22"/>
                <w:szCs w:val="22"/>
              </w:rPr>
              <w:t>kanalen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 xml:space="preserve">Kvalme, opkastning, </w:t>
            </w:r>
            <w:proofErr w:type="spellStart"/>
            <w:r w:rsidRPr="00CD3229">
              <w:rPr>
                <w:sz w:val="22"/>
                <w:szCs w:val="22"/>
              </w:rPr>
              <w:t>hypersalivation</w:t>
            </w:r>
            <w:proofErr w:type="spellEnd"/>
            <w:r w:rsidRPr="00CD3229">
              <w:rPr>
                <w:sz w:val="22"/>
                <w:szCs w:val="22"/>
              </w:rPr>
              <w:t>*</w:t>
            </w: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proofErr w:type="spellStart"/>
            <w:r w:rsidRPr="00CD3229">
              <w:rPr>
                <w:sz w:val="22"/>
                <w:szCs w:val="22"/>
              </w:rPr>
              <w:t>Hepatobiliære</w:t>
            </w:r>
            <w:proofErr w:type="spellEnd"/>
            <w:r w:rsidRPr="00CD3229">
              <w:rPr>
                <w:sz w:val="22"/>
                <w:szCs w:val="22"/>
              </w:rPr>
              <w:t xml:space="preserve"> sygdomme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Abnorm leverfunktionstest</w:t>
            </w:r>
          </w:p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Lægemiddelinduceret leverskade**</w:t>
            </w: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Hud og subkutane væv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proofErr w:type="spellStart"/>
            <w:r w:rsidRPr="00CD3229">
              <w:rPr>
                <w:sz w:val="22"/>
                <w:szCs w:val="22"/>
              </w:rPr>
              <w:t>Erytem</w:t>
            </w:r>
            <w:proofErr w:type="spellEnd"/>
            <w:r w:rsidRPr="00CD3229">
              <w:rPr>
                <w:sz w:val="22"/>
                <w:szCs w:val="22"/>
              </w:rPr>
              <w:t xml:space="preserve">, </w:t>
            </w:r>
            <w:proofErr w:type="spellStart"/>
            <w:r w:rsidRPr="00CD3229">
              <w:rPr>
                <w:sz w:val="22"/>
                <w:szCs w:val="22"/>
              </w:rPr>
              <w:t>morbilliformt</w:t>
            </w:r>
            <w:proofErr w:type="spellEnd"/>
            <w:r w:rsidRPr="00CD3229">
              <w:rPr>
                <w:sz w:val="22"/>
                <w:szCs w:val="22"/>
              </w:rPr>
              <w:t xml:space="preserve"> udslæt</w:t>
            </w: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proofErr w:type="spellStart"/>
            <w:r w:rsidRPr="00CD3229">
              <w:rPr>
                <w:sz w:val="22"/>
                <w:szCs w:val="22"/>
              </w:rPr>
              <w:t>Eksantem</w:t>
            </w:r>
            <w:proofErr w:type="spellEnd"/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Muskler, knogler og bindevæv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 xml:space="preserve">Øget </w:t>
            </w:r>
            <w:proofErr w:type="spellStart"/>
            <w:r w:rsidRPr="00CD3229">
              <w:rPr>
                <w:sz w:val="22"/>
                <w:szCs w:val="22"/>
              </w:rPr>
              <w:t>muskeltonus</w:t>
            </w:r>
            <w:proofErr w:type="spellEnd"/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  <w:tr w:rsidR="00AC57D5" w:rsidRPr="00CD3229" w:rsidTr="003B4BCE">
        <w:tc>
          <w:tcPr>
            <w:tcW w:w="1027" w:type="pct"/>
          </w:tcPr>
          <w:p w:rsidR="00AC57D5" w:rsidRPr="00CD3229" w:rsidRDefault="00AC57D5" w:rsidP="003B4BCE">
            <w:pPr>
              <w:suppressAutoHyphens/>
              <w:ind w:left="29"/>
              <w:rPr>
                <w:noProof/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985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138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  <w:r w:rsidRPr="00CD3229">
              <w:rPr>
                <w:sz w:val="22"/>
                <w:szCs w:val="22"/>
              </w:rPr>
              <w:t>Smerter på injektionsstedet, udslæt på injektionsstedet</w:t>
            </w:r>
          </w:p>
        </w:tc>
        <w:tc>
          <w:tcPr>
            <w:tcW w:w="796" w:type="pct"/>
          </w:tcPr>
          <w:p w:rsidR="00AC57D5" w:rsidRPr="00CD3229" w:rsidRDefault="00AC57D5" w:rsidP="003B4BCE">
            <w:pPr>
              <w:suppressAutoHyphens/>
              <w:ind w:left="29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:rsidR="00AC57D5" w:rsidRPr="00CD3229" w:rsidRDefault="00AC57D5" w:rsidP="003B4BCE">
            <w:pPr>
              <w:suppressAutoHyphens/>
              <w:ind w:left="37"/>
              <w:rPr>
                <w:sz w:val="22"/>
                <w:szCs w:val="22"/>
              </w:rPr>
            </w:pPr>
          </w:p>
        </w:tc>
      </w:tr>
    </w:tbl>
    <w:p w:rsidR="00AC57D5" w:rsidRPr="00CD3229" w:rsidRDefault="00AC57D5" w:rsidP="00AC57D5">
      <w:pPr>
        <w:ind w:left="851" w:hanging="851"/>
        <w:rPr>
          <w:sz w:val="24"/>
          <w:szCs w:val="24"/>
        </w:rPr>
      </w:pPr>
      <w:r w:rsidRPr="00CD3229">
        <w:rPr>
          <w:sz w:val="24"/>
          <w:szCs w:val="24"/>
        </w:rPr>
        <w:t>* Bivirkningsfrekvens beregnet af sikkerhedsdatabase efter markedsføring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  <w:r w:rsidRPr="00CD3229">
        <w:rPr>
          <w:sz w:val="24"/>
          <w:szCs w:val="24"/>
        </w:rPr>
        <w:t>** Efter langvarig brug (&gt;3 dage) eller lægemiddelmisbrug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 xml:space="preserve">Opvågningen fra anæstesi er ofte ledsaget af livlige drømme med eller uden </w:t>
      </w:r>
      <w:proofErr w:type="spellStart"/>
      <w:r w:rsidRPr="00CD3229">
        <w:rPr>
          <w:sz w:val="24"/>
          <w:szCs w:val="24"/>
        </w:rPr>
        <w:t>psykomotorisk</w:t>
      </w:r>
      <w:proofErr w:type="spellEnd"/>
      <w:r w:rsidRPr="00CD3229">
        <w:rPr>
          <w:sz w:val="24"/>
          <w:szCs w:val="24"/>
        </w:rPr>
        <w:t xml:space="preserve"> aktivitet, manifesteret som mareridt eller hallucinationer, konfusion, opvågningsdelirium (ofte med dissocieret eller flydende fornemmelse) og irrationel adfærd. Forekomsten af sådanne reaktioner reduceres ved kombination af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"</w:t>
      </w: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 xml:space="preserve">" med </w:t>
      </w:r>
      <w:proofErr w:type="spellStart"/>
      <w:r w:rsidRPr="00CD3229">
        <w:rPr>
          <w:sz w:val="24"/>
          <w:szCs w:val="24"/>
        </w:rPr>
        <w:t>benzodiazepinderivater</w:t>
      </w:r>
      <w:proofErr w:type="spellEnd"/>
      <w:r w:rsidRPr="00CD3229">
        <w:rPr>
          <w:sz w:val="24"/>
          <w:szCs w:val="24"/>
        </w:rPr>
        <w:t>. Forbigående respirationsdepression som følge af CNS-forstyrrelser ses ved intravenøs fremkaldelse af anæstesi og afhænger af dosis og injektionshastighed.</w:t>
      </w:r>
    </w:p>
    <w:p w:rsidR="00AC57D5" w:rsidRPr="00CD3229" w:rsidRDefault="00AC57D5" w:rsidP="00AC57D5">
      <w:pPr>
        <w:autoSpaceDE w:val="0"/>
        <w:autoSpaceDN w:val="0"/>
        <w:ind w:left="851"/>
        <w:rPr>
          <w:sz w:val="24"/>
          <w:szCs w:val="24"/>
          <w:u w:val="single"/>
        </w:rPr>
      </w:pPr>
    </w:p>
    <w:p w:rsidR="00AC57D5" w:rsidRPr="00CD3229" w:rsidRDefault="00AC57D5" w:rsidP="00AC57D5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CD3229">
        <w:rPr>
          <w:sz w:val="24"/>
          <w:szCs w:val="24"/>
          <w:u w:val="single"/>
        </w:rPr>
        <w:t>Indberetning af formodede bivirkninger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CD3229">
        <w:rPr>
          <w:sz w:val="24"/>
          <w:szCs w:val="24"/>
        </w:rPr>
        <w:t>risk</w:t>
      </w:r>
      <w:proofErr w:type="spellEnd"/>
      <w:r w:rsidRPr="00CD3229">
        <w:rPr>
          <w:sz w:val="24"/>
          <w:szCs w:val="24"/>
        </w:rPr>
        <w:t>-forholdet for lægemidlet. Læger og sundhedspersonale anmodes om at indberette alle formodede bivirkninger via:</w:t>
      </w:r>
    </w:p>
    <w:p w:rsidR="00AC57D5" w:rsidRPr="00CD3229" w:rsidRDefault="00AC57D5" w:rsidP="00AC57D5">
      <w:pPr>
        <w:tabs>
          <w:tab w:val="left" w:pos="2440"/>
        </w:tabs>
        <w:ind w:left="851"/>
        <w:rPr>
          <w:sz w:val="24"/>
          <w:szCs w:val="24"/>
        </w:rPr>
      </w:pP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Lægemiddelstyrelsen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Axel Heides Gade 1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DK-2300 København S</w:t>
      </w:r>
    </w:p>
    <w:p w:rsidR="00AC57D5" w:rsidRDefault="00AC57D5" w:rsidP="00AC57D5">
      <w:pPr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Websted</w:t>
      </w:r>
      <w:proofErr w:type="spellEnd"/>
      <w:r>
        <w:rPr>
          <w:sz w:val="24"/>
          <w:szCs w:val="24"/>
          <w:lang w:val="en-US"/>
        </w:rPr>
        <w:t xml:space="preserve">: </w:t>
      </w:r>
      <w:hyperlink r:id="rId8" w:history="1">
        <w:r>
          <w:rPr>
            <w:rStyle w:val="Hyperlink"/>
            <w:sz w:val="24"/>
            <w:szCs w:val="24"/>
            <w:lang w:val="en-US"/>
          </w:rPr>
          <w:t>www.meldenbivirkning.dk</w:t>
        </w:r>
      </w:hyperlink>
    </w:p>
    <w:p w:rsidR="00AC57D5" w:rsidRPr="00AD3F82" w:rsidRDefault="00AC57D5" w:rsidP="00AC57D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:rsidR="00AC57D5" w:rsidRPr="00BB5903" w:rsidRDefault="00AC57D5" w:rsidP="00AC57D5">
      <w:pPr>
        <w:ind w:left="851" w:hanging="851"/>
        <w:rPr>
          <w:b/>
          <w:sz w:val="24"/>
          <w:szCs w:val="24"/>
          <w:lang w:val="en-US"/>
        </w:rPr>
      </w:pPr>
      <w:r w:rsidRPr="00BB5903">
        <w:rPr>
          <w:b/>
          <w:sz w:val="24"/>
          <w:szCs w:val="24"/>
          <w:lang w:val="en-US"/>
        </w:rPr>
        <w:t>4.9</w:t>
      </w:r>
      <w:r w:rsidRPr="00BB5903">
        <w:rPr>
          <w:b/>
          <w:sz w:val="24"/>
          <w:szCs w:val="24"/>
          <w:lang w:val="en-US"/>
        </w:rPr>
        <w:tab/>
      </w:r>
      <w:proofErr w:type="spellStart"/>
      <w:r w:rsidRPr="00BB5903">
        <w:rPr>
          <w:b/>
          <w:sz w:val="24"/>
          <w:szCs w:val="24"/>
          <w:lang w:val="en-US"/>
        </w:rPr>
        <w:t>Overdosering</w:t>
      </w:r>
      <w:proofErr w:type="spellEnd"/>
    </w:p>
    <w:p w:rsidR="00AC57D5" w:rsidRPr="00BB5903" w:rsidRDefault="00AC57D5" w:rsidP="00AC57D5">
      <w:pPr>
        <w:ind w:left="851"/>
        <w:rPr>
          <w:sz w:val="24"/>
          <w:szCs w:val="24"/>
          <w:lang w:val="en-US"/>
        </w:rPr>
      </w:pPr>
      <w:proofErr w:type="spellStart"/>
      <w:r w:rsidRPr="00BB5903">
        <w:rPr>
          <w:sz w:val="24"/>
          <w:szCs w:val="24"/>
          <w:lang w:val="en-US"/>
        </w:rPr>
        <w:t>Symptomer</w:t>
      </w:r>
      <w:proofErr w:type="spellEnd"/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>Kliniske tegn på overdosering er kramper, hjertestop og respirationsdepression</w:t>
      </w:r>
    </w:p>
    <w:p w:rsidR="00AC57D5" w:rsidRDefault="00AC57D5" w:rsidP="00AC57D5">
      <w:pPr>
        <w:ind w:left="851" w:hanging="851"/>
        <w:rPr>
          <w:sz w:val="24"/>
          <w:szCs w:val="24"/>
          <w:lang w:eastAsia="sv-SE"/>
        </w:rPr>
      </w:pPr>
    </w:p>
    <w:p w:rsidR="00AC57D5" w:rsidRDefault="00AC57D5" w:rsidP="00AC57D5">
      <w:pPr>
        <w:ind w:left="851"/>
        <w:rPr>
          <w:szCs w:val="22"/>
          <w:lang w:eastAsia="sv-SE"/>
        </w:rPr>
      </w:pPr>
      <w:r>
        <w:rPr>
          <w:szCs w:val="22"/>
          <w:lang w:eastAsia="sv-SE"/>
        </w:rPr>
        <w:lastRenderedPageBreak/>
        <w:t xml:space="preserve">Behandling 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Respirationsdepression behandles med assisteret eller kontrolleret ventilation indtil adækvat spontan respiration er genetableret. 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Kramper bør behandles med intravenøst </w:t>
      </w:r>
      <w:proofErr w:type="spellStart"/>
      <w:r>
        <w:rPr>
          <w:sz w:val="24"/>
          <w:szCs w:val="24"/>
        </w:rPr>
        <w:t>diazepam</w:t>
      </w:r>
      <w:proofErr w:type="spellEnd"/>
      <w:r>
        <w:rPr>
          <w:sz w:val="24"/>
          <w:szCs w:val="24"/>
        </w:rPr>
        <w:t xml:space="preserve">. Hvis denne behandling ikke giver det ønskede resultat, anbefales intravenøs administration af </w:t>
      </w:r>
      <w:proofErr w:type="spellStart"/>
      <w:r>
        <w:rPr>
          <w:sz w:val="24"/>
          <w:szCs w:val="24"/>
        </w:rPr>
        <w:t>phenytoin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thiopental</w:t>
      </w:r>
      <w:proofErr w:type="spellEnd"/>
      <w:r>
        <w:rPr>
          <w:sz w:val="24"/>
          <w:szCs w:val="24"/>
        </w:rPr>
        <w:t>.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findes ingen specifik </w:t>
      </w:r>
      <w:proofErr w:type="spellStart"/>
      <w:r>
        <w:rPr>
          <w:sz w:val="24"/>
          <w:szCs w:val="24"/>
        </w:rPr>
        <w:t>antidot</w:t>
      </w:r>
      <w:proofErr w:type="spellEnd"/>
      <w:r>
        <w:rPr>
          <w:sz w:val="24"/>
          <w:szCs w:val="24"/>
        </w:rPr>
        <w:t>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4.10</w:t>
      </w:r>
      <w:r w:rsidRPr="00CD3229">
        <w:rPr>
          <w:b/>
          <w:sz w:val="24"/>
          <w:szCs w:val="24"/>
        </w:rPr>
        <w:tab/>
        <w:t>Udlevering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>A§4</w:t>
      </w:r>
      <w:r w:rsidRPr="00CD3229">
        <w:rPr>
          <w:sz w:val="24"/>
          <w:szCs w:val="24"/>
        </w:rPr>
        <w:t>NBS</w:t>
      </w:r>
      <w:r>
        <w:rPr>
          <w:sz w:val="24"/>
          <w:szCs w:val="24"/>
        </w:rPr>
        <w:t xml:space="preserve"> (kopieringspligtigt samt kun til sygehuse og speciallæger i anæstesi).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5.</w:t>
      </w:r>
      <w:r w:rsidRPr="00CD3229">
        <w:rPr>
          <w:b/>
          <w:sz w:val="24"/>
          <w:szCs w:val="24"/>
        </w:rPr>
        <w:tab/>
        <w:t>FARMAKOLOGISKE EGENSKABER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5.0</w:t>
      </w:r>
      <w:r w:rsidRPr="00CD3229">
        <w:rPr>
          <w:b/>
          <w:sz w:val="24"/>
          <w:szCs w:val="24"/>
        </w:rPr>
        <w:tab/>
        <w:t>Terapeutisk klassifikation</w:t>
      </w:r>
    </w:p>
    <w:p w:rsidR="00AC57D5" w:rsidRDefault="00AC57D5" w:rsidP="00AC57D5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Universelle </w:t>
      </w:r>
      <w:proofErr w:type="spellStart"/>
      <w:r>
        <w:rPr>
          <w:sz w:val="24"/>
          <w:szCs w:val="24"/>
        </w:rPr>
        <w:t>anæstetika</w:t>
      </w:r>
      <w:proofErr w:type="spellEnd"/>
      <w:r>
        <w:rPr>
          <w:sz w:val="24"/>
          <w:szCs w:val="24"/>
        </w:rPr>
        <w:t>, ATC-kode: N01AX03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5.1</w:t>
      </w:r>
      <w:r w:rsidRPr="00CD3229">
        <w:rPr>
          <w:b/>
          <w:sz w:val="24"/>
          <w:szCs w:val="24"/>
        </w:rPr>
        <w:tab/>
      </w:r>
      <w:proofErr w:type="spellStart"/>
      <w:r w:rsidRPr="00CD3229">
        <w:rPr>
          <w:b/>
          <w:sz w:val="24"/>
          <w:szCs w:val="24"/>
        </w:rPr>
        <w:t>Farmakodynamiske</w:t>
      </w:r>
      <w:proofErr w:type="spellEnd"/>
      <w:r w:rsidRPr="00CD3229">
        <w:rPr>
          <w:b/>
          <w:sz w:val="24"/>
          <w:szCs w:val="24"/>
        </w:rPr>
        <w:t xml:space="preserve"> egenskaber</w:t>
      </w:r>
    </w:p>
    <w:p w:rsidR="00AC57D5" w:rsidRPr="00CD3229" w:rsidRDefault="00AC57D5" w:rsidP="00AC57D5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"</w:t>
      </w: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 xml:space="preserve">" indeholder det aktive stof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i </w:t>
      </w:r>
      <w:proofErr w:type="spellStart"/>
      <w:r w:rsidRPr="00CD3229">
        <w:rPr>
          <w:sz w:val="24"/>
          <w:szCs w:val="24"/>
        </w:rPr>
        <w:t>racemisk</w:t>
      </w:r>
      <w:proofErr w:type="spellEnd"/>
      <w:r w:rsidRPr="00CD3229">
        <w:rPr>
          <w:sz w:val="24"/>
          <w:szCs w:val="24"/>
        </w:rPr>
        <w:t xml:space="preserve"> form.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fremkalder en </w:t>
      </w:r>
      <w:proofErr w:type="spellStart"/>
      <w:r w:rsidRPr="00CD3229">
        <w:rPr>
          <w:sz w:val="24"/>
          <w:szCs w:val="24"/>
        </w:rPr>
        <w:t>dissociativ</w:t>
      </w:r>
      <w:proofErr w:type="spellEnd"/>
      <w:r w:rsidRPr="00CD3229">
        <w:rPr>
          <w:sz w:val="24"/>
          <w:szCs w:val="24"/>
        </w:rPr>
        <w:t xml:space="preserve"> anæstesi ved selektiv afbrydelse af associative baner i hjernen. Den analgetiske virkning af subanæstetiske doser skyldes formentlig interaktion med biogene aminsystemer og endogene opioidsystemer.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har normalt ingen indflydelse på </w:t>
      </w:r>
      <w:proofErr w:type="spellStart"/>
      <w:r w:rsidRPr="00CD3229">
        <w:rPr>
          <w:sz w:val="24"/>
          <w:szCs w:val="24"/>
        </w:rPr>
        <w:t>pharynx</w:t>
      </w:r>
      <w:proofErr w:type="spellEnd"/>
      <w:r w:rsidRPr="00CD3229">
        <w:rPr>
          <w:sz w:val="24"/>
          <w:szCs w:val="24"/>
        </w:rPr>
        <w:t xml:space="preserve">- og </w:t>
      </w:r>
      <w:proofErr w:type="spellStart"/>
      <w:r w:rsidRPr="00CD3229">
        <w:rPr>
          <w:sz w:val="24"/>
          <w:szCs w:val="24"/>
        </w:rPr>
        <w:t>larynxrefleksen</w:t>
      </w:r>
      <w:proofErr w:type="spellEnd"/>
      <w:r w:rsidRPr="00CD3229">
        <w:rPr>
          <w:sz w:val="24"/>
          <w:szCs w:val="24"/>
        </w:rPr>
        <w:t xml:space="preserve">, og </w:t>
      </w:r>
      <w:proofErr w:type="spellStart"/>
      <w:r w:rsidRPr="00CD3229">
        <w:rPr>
          <w:sz w:val="24"/>
          <w:szCs w:val="24"/>
        </w:rPr>
        <w:t>muskeltonus</w:t>
      </w:r>
      <w:proofErr w:type="spellEnd"/>
      <w:r w:rsidRPr="00CD3229">
        <w:rPr>
          <w:sz w:val="24"/>
          <w:szCs w:val="24"/>
        </w:rPr>
        <w:t xml:space="preserve"> forbliver normal eller er let forhøjet. Den </w:t>
      </w:r>
      <w:proofErr w:type="spellStart"/>
      <w:r w:rsidRPr="00CD3229">
        <w:rPr>
          <w:sz w:val="24"/>
          <w:szCs w:val="24"/>
        </w:rPr>
        <w:t>kardiovaskulære</w:t>
      </w:r>
      <w:proofErr w:type="spellEnd"/>
      <w:r w:rsidRPr="00CD3229">
        <w:rPr>
          <w:sz w:val="24"/>
          <w:szCs w:val="24"/>
        </w:rPr>
        <w:t xml:space="preserve"> og respiratorisk stimulerende virkning tillader, at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administreres til højrisikopatienter i </w:t>
      </w:r>
      <w:proofErr w:type="spellStart"/>
      <w:r w:rsidRPr="00CD3229">
        <w:rPr>
          <w:sz w:val="24"/>
          <w:szCs w:val="24"/>
        </w:rPr>
        <w:t>hypovolæmisk</w:t>
      </w:r>
      <w:proofErr w:type="spellEnd"/>
      <w:r w:rsidRPr="00CD3229">
        <w:rPr>
          <w:sz w:val="24"/>
          <w:szCs w:val="24"/>
        </w:rPr>
        <w:t xml:space="preserve"> </w:t>
      </w:r>
      <w:proofErr w:type="spellStart"/>
      <w:r w:rsidRPr="00CD3229">
        <w:rPr>
          <w:sz w:val="24"/>
          <w:szCs w:val="24"/>
        </w:rPr>
        <w:t>shock</w:t>
      </w:r>
      <w:proofErr w:type="spellEnd"/>
      <w:r w:rsidRPr="00CD3229">
        <w:rPr>
          <w:sz w:val="24"/>
          <w:szCs w:val="24"/>
        </w:rPr>
        <w:t xml:space="preserve">. Den </w:t>
      </w:r>
      <w:proofErr w:type="spellStart"/>
      <w:r w:rsidRPr="00CD3229">
        <w:rPr>
          <w:sz w:val="24"/>
          <w:szCs w:val="24"/>
        </w:rPr>
        <w:t>bronkodilaterende</w:t>
      </w:r>
      <w:proofErr w:type="spellEnd"/>
      <w:r w:rsidRPr="00CD3229">
        <w:rPr>
          <w:sz w:val="24"/>
          <w:szCs w:val="24"/>
        </w:rPr>
        <w:t xml:space="preserve"> virkning af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tillader anvendelse hos patienter med </w:t>
      </w:r>
      <w:proofErr w:type="spellStart"/>
      <w:r w:rsidRPr="00CD3229">
        <w:rPr>
          <w:sz w:val="24"/>
          <w:szCs w:val="24"/>
        </w:rPr>
        <w:t>asthma</w:t>
      </w:r>
      <w:proofErr w:type="spellEnd"/>
      <w:r w:rsidRPr="00CD3229">
        <w:rPr>
          <w:sz w:val="24"/>
          <w:szCs w:val="24"/>
        </w:rPr>
        <w:t xml:space="preserve"> </w:t>
      </w:r>
      <w:proofErr w:type="spellStart"/>
      <w:r w:rsidRPr="00CD3229">
        <w:rPr>
          <w:sz w:val="24"/>
          <w:szCs w:val="24"/>
        </w:rPr>
        <w:t>bronchiale</w:t>
      </w:r>
      <w:proofErr w:type="spellEnd"/>
      <w:r w:rsidRPr="00CD3229">
        <w:rPr>
          <w:sz w:val="24"/>
          <w:szCs w:val="24"/>
        </w:rPr>
        <w:t xml:space="preserve"> og respiratorisk behandling af status </w:t>
      </w:r>
      <w:proofErr w:type="spellStart"/>
      <w:r w:rsidRPr="00CD3229">
        <w:rPr>
          <w:sz w:val="24"/>
          <w:szCs w:val="24"/>
        </w:rPr>
        <w:t>astmaticus</w:t>
      </w:r>
      <w:proofErr w:type="spellEnd"/>
      <w:r w:rsidRPr="00CD3229">
        <w:rPr>
          <w:sz w:val="24"/>
          <w:szCs w:val="24"/>
        </w:rPr>
        <w:t xml:space="preserve">. Virkningen på sekretionen og </w:t>
      </w:r>
      <w:proofErr w:type="spellStart"/>
      <w:r w:rsidRPr="00CD3229">
        <w:rPr>
          <w:sz w:val="24"/>
          <w:szCs w:val="24"/>
        </w:rPr>
        <w:t>mave-tarmkanalen</w:t>
      </w:r>
      <w:proofErr w:type="spellEnd"/>
      <w:r w:rsidRPr="00CD3229">
        <w:rPr>
          <w:sz w:val="24"/>
          <w:szCs w:val="24"/>
        </w:rPr>
        <w:t xml:space="preserve"> dæmpes ved præmedicinering med </w:t>
      </w:r>
      <w:proofErr w:type="spellStart"/>
      <w:r w:rsidRPr="00CD3229">
        <w:rPr>
          <w:sz w:val="24"/>
          <w:szCs w:val="24"/>
        </w:rPr>
        <w:t>antikolinergika</w:t>
      </w:r>
      <w:proofErr w:type="spellEnd"/>
      <w:r w:rsidRPr="00CD3229">
        <w:rPr>
          <w:sz w:val="24"/>
          <w:szCs w:val="24"/>
        </w:rPr>
        <w:t xml:space="preserve">. Den analgetiske virkning kan anvendes som supplement til regional anæstesi eller ved større ulykker/katastrofer.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er klinisk forligeligt med de almindeligt anvendte </w:t>
      </w:r>
      <w:proofErr w:type="spellStart"/>
      <w:r w:rsidRPr="00CD3229">
        <w:rPr>
          <w:sz w:val="24"/>
          <w:szCs w:val="24"/>
        </w:rPr>
        <w:t>anæstetika</w:t>
      </w:r>
      <w:proofErr w:type="spellEnd"/>
      <w:r w:rsidRPr="00CD3229">
        <w:rPr>
          <w:sz w:val="24"/>
          <w:szCs w:val="24"/>
        </w:rPr>
        <w:t xml:space="preserve"> og </w:t>
      </w:r>
      <w:proofErr w:type="spellStart"/>
      <w:r w:rsidRPr="00CD3229">
        <w:rPr>
          <w:sz w:val="24"/>
          <w:szCs w:val="24"/>
        </w:rPr>
        <w:t>muskelrelaksantia</w:t>
      </w:r>
      <w:proofErr w:type="spellEnd"/>
      <w:r w:rsidRPr="00CD3229">
        <w:rPr>
          <w:sz w:val="24"/>
          <w:szCs w:val="24"/>
        </w:rPr>
        <w:t>, forudsat at respirationen opretholdes.</w:t>
      </w:r>
    </w:p>
    <w:p w:rsidR="00AC57D5" w:rsidRPr="00CD3229" w:rsidRDefault="00AC57D5" w:rsidP="00AC57D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D3229">
        <w:rPr>
          <w:sz w:val="24"/>
          <w:szCs w:val="24"/>
        </w:rPr>
        <w:t xml:space="preserve">En intravenøs dosis på 2,0 mg/kg legemsvægt fremkalder kirurgisk anæstesi inden for 30 sekunder efter injektion, og den anæstetiske virkning varer 5-10 minutter. Intramuskulær dosering af 10,0 mg/kg legemsvægt giver kirurgisk anæstesi 3-5 minutter efter injektionen og en varighed på 12-25 minutter. Til opnåelse af langvarig anæstesi eller analgesi kan </w:t>
      </w: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"</w:t>
      </w: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 xml:space="preserve">" gives ved dråbeinfusion eller sprøjtepumpe for at opnå en jævn administration. Intravenøs eller intramuskulær administration kan gentages. 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5.2</w:t>
      </w:r>
      <w:r w:rsidRPr="00CD3229">
        <w:rPr>
          <w:b/>
          <w:sz w:val="24"/>
          <w:szCs w:val="24"/>
        </w:rPr>
        <w:tab/>
      </w:r>
      <w:proofErr w:type="spellStart"/>
      <w:r w:rsidRPr="00CD3229">
        <w:rPr>
          <w:b/>
          <w:sz w:val="24"/>
          <w:szCs w:val="24"/>
        </w:rPr>
        <w:t>Farmakokinetiske</w:t>
      </w:r>
      <w:proofErr w:type="spellEnd"/>
      <w:r w:rsidRPr="00CD3229">
        <w:rPr>
          <w:b/>
          <w:sz w:val="24"/>
          <w:szCs w:val="24"/>
        </w:rPr>
        <w:t xml:space="preserve"> egenskaber</w:t>
      </w:r>
    </w:p>
    <w:p w:rsidR="00AC57D5" w:rsidRPr="00CD3229" w:rsidRDefault="00AC57D5" w:rsidP="00AC57D5">
      <w:pPr>
        <w:numPr>
          <w:ilvl w:val="12"/>
          <w:numId w:val="0"/>
        </w:numPr>
        <w:ind w:left="851" w:right="-2" w:hanging="851"/>
        <w:rPr>
          <w:i/>
          <w:sz w:val="24"/>
          <w:szCs w:val="24"/>
          <w:u w:val="single"/>
        </w:rPr>
      </w:pPr>
    </w:p>
    <w:p w:rsidR="00AC57D5" w:rsidRDefault="00AC57D5" w:rsidP="00AC57D5">
      <w:pPr>
        <w:numPr>
          <w:ilvl w:val="12"/>
          <w:numId w:val="0"/>
        </w:numPr>
        <w:ind w:left="851" w:right="-2"/>
        <w:rPr>
          <w:noProof/>
          <w:sz w:val="24"/>
          <w:szCs w:val="24"/>
          <w:u w:val="single"/>
        </w:rPr>
      </w:pPr>
      <w:r>
        <w:rPr>
          <w:sz w:val="24"/>
          <w:szCs w:val="24"/>
          <w:u w:val="single"/>
        </w:rPr>
        <w:t>Absorption</w:t>
      </w:r>
    </w:p>
    <w:p w:rsidR="00AC57D5" w:rsidRDefault="00AC57D5" w:rsidP="00AC57D5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absorberes hurtigt efter parenteral administration. Biotilgængeligheden efter intramuskulær administration er 90 %.</w:t>
      </w:r>
      <w:r>
        <w:rPr>
          <w:noProof/>
          <w:sz w:val="24"/>
          <w:szCs w:val="24"/>
        </w:rPr>
        <w:t xml:space="preserve"> </w:t>
      </w:r>
    </w:p>
    <w:p w:rsidR="00AC57D5" w:rsidRDefault="00AC57D5" w:rsidP="00AC57D5">
      <w:pPr>
        <w:numPr>
          <w:ilvl w:val="12"/>
          <w:numId w:val="0"/>
        </w:numPr>
        <w:ind w:left="851" w:right="-2" w:hanging="851"/>
        <w:rPr>
          <w:iCs/>
          <w:noProof/>
          <w:sz w:val="24"/>
          <w:szCs w:val="24"/>
        </w:rPr>
      </w:pPr>
    </w:p>
    <w:p w:rsidR="00AC57D5" w:rsidRDefault="00AC57D5" w:rsidP="00AC57D5">
      <w:pPr>
        <w:numPr>
          <w:ilvl w:val="12"/>
          <w:numId w:val="0"/>
        </w:numPr>
        <w:ind w:left="851" w:right="-2"/>
        <w:rPr>
          <w:noProof/>
          <w:sz w:val="24"/>
          <w:szCs w:val="24"/>
          <w:u w:val="single"/>
        </w:rPr>
      </w:pPr>
      <w:r>
        <w:rPr>
          <w:sz w:val="24"/>
          <w:szCs w:val="24"/>
          <w:u w:val="single"/>
        </w:rPr>
        <w:t>Fordeling</w:t>
      </w:r>
    </w:p>
    <w:p w:rsidR="00AC57D5" w:rsidRDefault="00AC57D5" w:rsidP="00AC57D5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r>
        <w:rPr>
          <w:sz w:val="24"/>
          <w:szCs w:val="24"/>
        </w:rPr>
        <w:t>Plasmaproteinbindingen er ca. 50 %.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Lipidopløseligheden er høj.</w:t>
      </w:r>
      <w:r>
        <w:rPr>
          <w:noProof/>
          <w:sz w:val="24"/>
          <w:szCs w:val="24"/>
        </w:rPr>
        <w:t xml:space="preserve"> K</w:t>
      </w:r>
      <w:proofErr w:type="spellStart"/>
      <w:r>
        <w:rPr>
          <w:sz w:val="24"/>
          <w:szCs w:val="24"/>
        </w:rPr>
        <w:t>etamin</w:t>
      </w:r>
      <w:proofErr w:type="spellEnd"/>
      <w:r>
        <w:rPr>
          <w:sz w:val="24"/>
          <w:szCs w:val="24"/>
        </w:rPr>
        <w:t xml:space="preserve"> passerer let placenta og fordeles hurtigt i højt perfunderede væv (f.eks. hjerte, lunger og hjerne) efterfulgt af muskelvæv og perifert væv og derefter fedt.</w:t>
      </w:r>
      <w:r>
        <w:rPr>
          <w:noProof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har en </w:t>
      </w:r>
      <w:proofErr w:type="spellStart"/>
      <w:r>
        <w:rPr>
          <w:sz w:val="24"/>
          <w:szCs w:val="24"/>
        </w:rPr>
        <w:t>bifasisk</w:t>
      </w:r>
      <w:proofErr w:type="spellEnd"/>
      <w:r>
        <w:rPr>
          <w:sz w:val="24"/>
          <w:szCs w:val="24"/>
        </w:rPr>
        <w:t xml:space="preserve"> plasmaprofil med en fordelingsfase, der varer 45 minutter, og en fordelingshalveringstid på 10-15 minutter, klinisk svarende til den anæstetiske virkning.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Maksimale plasmakoncentrationer på ca. 1,8-2,0 </w:t>
      </w:r>
      <w:proofErr w:type="spellStart"/>
      <w:r>
        <w:rPr>
          <w:sz w:val="24"/>
          <w:szCs w:val="24"/>
        </w:rPr>
        <w:t>μg</w:t>
      </w:r>
      <w:proofErr w:type="spellEnd"/>
      <w:r>
        <w:rPr>
          <w:sz w:val="24"/>
          <w:szCs w:val="24"/>
        </w:rPr>
        <w:t xml:space="preserve">/ml indtræder 5 minutter efter en intravenøs </w:t>
      </w:r>
      <w:proofErr w:type="spellStart"/>
      <w:r>
        <w:rPr>
          <w:sz w:val="24"/>
          <w:szCs w:val="24"/>
        </w:rPr>
        <w:lastRenderedPageBreak/>
        <w:t>bolusinjektion</w:t>
      </w:r>
      <w:proofErr w:type="spellEnd"/>
      <w:r>
        <w:rPr>
          <w:sz w:val="24"/>
          <w:szCs w:val="24"/>
        </w:rPr>
        <w:t xml:space="preserve"> på 2 mg/kg og på ca. 1,7-2,2 </w:t>
      </w:r>
      <w:proofErr w:type="spellStart"/>
      <w:r>
        <w:rPr>
          <w:sz w:val="24"/>
          <w:szCs w:val="24"/>
        </w:rPr>
        <w:t>μg</w:t>
      </w:r>
      <w:proofErr w:type="spellEnd"/>
      <w:r>
        <w:rPr>
          <w:sz w:val="24"/>
          <w:szCs w:val="24"/>
        </w:rPr>
        <w:t xml:space="preserve">/ml 15 minutter efter en intramuskulær dosis på 6 mg/kg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til voksne og børn.</w:t>
      </w:r>
    </w:p>
    <w:p w:rsidR="00AC57D5" w:rsidRDefault="00AC57D5" w:rsidP="00AC57D5">
      <w:pPr>
        <w:numPr>
          <w:ilvl w:val="12"/>
          <w:numId w:val="0"/>
        </w:numPr>
        <w:ind w:left="851" w:right="-2" w:hanging="851"/>
        <w:rPr>
          <w:iCs/>
          <w:noProof/>
          <w:sz w:val="24"/>
          <w:szCs w:val="24"/>
        </w:rPr>
      </w:pPr>
    </w:p>
    <w:p w:rsidR="00AC57D5" w:rsidRDefault="00AC57D5" w:rsidP="00AC57D5">
      <w:pPr>
        <w:numPr>
          <w:ilvl w:val="12"/>
          <w:numId w:val="0"/>
        </w:numPr>
        <w:ind w:left="851" w:right="-2"/>
        <w:rPr>
          <w:noProof/>
          <w:sz w:val="24"/>
          <w:szCs w:val="24"/>
          <w:u w:val="single"/>
        </w:rPr>
      </w:pPr>
      <w:r>
        <w:rPr>
          <w:sz w:val="24"/>
          <w:szCs w:val="24"/>
          <w:u w:val="single"/>
        </w:rPr>
        <w:t>Biotransformation</w:t>
      </w:r>
    </w:p>
    <w:p w:rsidR="00AC57D5" w:rsidRDefault="00AC57D5" w:rsidP="00AC57D5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nedbrydes i leveren.</w:t>
      </w:r>
      <w:r>
        <w:rPr>
          <w:noProof/>
          <w:sz w:val="24"/>
          <w:szCs w:val="24"/>
        </w:rPr>
        <w:t xml:space="preserve"> Den terminale eliminationshalveringstid i plasma </w:t>
      </w:r>
      <w:r>
        <w:rPr>
          <w:sz w:val="24"/>
          <w:szCs w:val="24"/>
        </w:rPr>
        <w:t>er ca. 80 minutter hos voksne, lidt kortere for børn.</w:t>
      </w:r>
      <w:r>
        <w:rPr>
          <w:noProof/>
          <w:sz w:val="24"/>
          <w:szCs w:val="24"/>
        </w:rPr>
        <w:t xml:space="preserve"> </w:t>
      </w:r>
    </w:p>
    <w:p w:rsidR="00AC57D5" w:rsidRDefault="00AC57D5" w:rsidP="00AC57D5">
      <w:pPr>
        <w:numPr>
          <w:ilvl w:val="12"/>
          <w:numId w:val="0"/>
        </w:numPr>
        <w:ind w:left="851" w:right="-2"/>
        <w:rPr>
          <w:noProof/>
          <w:sz w:val="24"/>
          <w:szCs w:val="24"/>
        </w:rPr>
      </w:pP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N-demethyleres i leveren (via </w:t>
      </w:r>
      <w:proofErr w:type="spellStart"/>
      <w:r>
        <w:rPr>
          <w:sz w:val="24"/>
          <w:szCs w:val="24"/>
        </w:rPr>
        <w:t>cytokrom</w:t>
      </w:r>
      <w:proofErr w:type="spellEnd"/>
      <w:r>
        <w:rPr>
          <w:sz w:val="24"/>
          <w:szCs w:val="24"/>
        </w:rPr>
        <w:t xml:space="preserve"> P450-systemet) og </w:t>
      </w:r>
      <w:proofErr w:type="spellStart"/>
      <w:r>
        <w:rPr>
          <w:sz w:val="24"/>
          <w:szCs w:val="24"/>
        </w:rPr>
        <w:t>hydroxyleres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cylohexanringen</w:t>
      </w:r>
      <w:proofErr w:type="spellEnd"/>
      <w:r>
        <w:rPr>
          <w:sz w:val="24"/>
          <w:szCs w:val="24"/>
        </w:rPr>
        <w:t xml:space="preserve">, resulterende i vandopløselige </w:t>
      </w:r>
      <w:proofErr w:type="spellStart"/>
      <w:r>
        <w:rPr>
          <w:sz w:val="24"/>
          <w:szCs w:val="24"/>
        </w:rPr>
        <w:t>konjugater</w:t>
      </w:r>
      <w:proofErr w:type="spellEnd"/>
      <w:r>
        <w:rPr>
          <w:sz w:val="24"/>
          <w:szCs w:val="24"/>
        </w:rPr>
        <w:t>, der udskilles i urinen.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>CYP3A4 er det primære enzym, der er ansvarligt for N-</w:t>
      </w:r>
      <w:proofErr w:type="spellStart"/>
      <w:r>
        <w:rPr>
          <w:sz w:val="24"/>
          <w:szCs w:val="24"/>
        </w:rPr>
        <w:t>demetylering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 xml:space="preserve"> til </w:t>
      </w:r>
      <w:proofErr w:type="spellStart"/>
      <w:r>
        <w:rPr>
          <w:sz w:val="24"/>
          <w:szCs w:val="24"/>
        </w:rPr>
        <w:t>norketamin</w:t>
      </w:r>
      <w:proofErr w:type="spellEnd"/>
      <w:r>
        <w:rPr>
          <w:sz w:val="24"/>
          <w:szCs w:val="24"/>
        </w:rPr>
        <w:t xml:space="preserve"> i humane </w:t>
      </w:r>
      <w:proofErr w:type="spellStart"/>
      <w:r>
        <w:rPr>
          <w:sz w:val="24"/>
          <w:szCs w:val="24"/>
        </w:rPr>
        <w:t>levermikrosomer</w:t>
      </w:r>
      <w:proofErr w:type="spellEnd"/>
      <w:r>
        <w:rPr>
          <w:sz w:val="24"/>
          <w:szCs w:val="24"/>
        </w:rPr>
        <w:t>, og enzymerne CYP2B6 og CYP2C9 bidrager i ringe omfang.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Yderligere oxidation finder sted ved dannelse af </w:t>
      </w:r>
      <w:proofErr w:type="spellStart"/>
      <w:r>
        <w:rPr>
          <w:sz w:val="24"/>
          <w:szCs w:val="24"/>
        </w:rPr>
        <w:t>cyclohexanonderivater</w:t>
      </w:r>
      <w:proofErr w:type="spellEnd"/>
      <w:r>
        <w:rPr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Den </w:t>
      </w:r>
      <w:proofErr w:type="spellStart"/>
      <w:r>
        <w:rPr>
          <w:sz w:val="24"/>
          <w:szCs w:val="24"/>
        </w:rPr>
        <w:t>ukonjugerede</w:t>
      </w:r>
      <w:proofErr w:type="spellEnd"/>
      <w:r>
        <w:rPr>
          <w:sz w:val="24"/>
          <w:szCs w:val="24"/>
        </w:rPr>
        <w:t xml:space="preserve"> N-</w:t>
      </w:r>
      <w:proofErr w:type="spellStart"/>
      <w:r>
        <w:rPr>
          <w:sz w:val="24"/>
          <w:szCs w:val="24"/>
        </w:rPr>
        <w:t>demetylerede</w:t>
      </w:r>
      <w:proofErr w:type="spellEnd"/>
      <w:r>
        <w:rPr>
          <w:sz w:val="24"/>
          <w:szCs w:val="24"/>
        </w:rPr>
        <w:t xml:space="preserve"> metabolit er påvist at have mindre end en sjettedel af potensen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>.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</w:rPr>
        <w:t xml:space="preserve">Det </w:t>
      </w:r>
      <w:proofErr w:type="spellStart"/>
      <w:r>
        <w:rPr>
          <w:sz w:val="24"/>
          <w:szCs w:val="24"/>
        </w:rPr>
        <w:t>ukonjugerede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demethylcyclohexanon</w:t>
      </w:r>
      <w:proofErr w:type="spellEnd"/>
      <w:r>
        <w:rPr>
          <w:sz w:val="24"/>
          <w:szCs w:val="24"/>
        </w:rPr>
        <w:t xml:space="preserve">-derivat er påvist at have mindre end en tiendedel af potensen af </w:t>
      </w:r>
      <w:proofErr w:type="spellStart"/>
      <w:r>
        <w:rPr>
          <w:sz w:val="24"/>
          <w:szCs w:val="24"/>
        </w:rPr>
        <w:t>ketamin</w:t>
      </w:r>
      <w:proofErr w:type="spellEnd"/>
      <w:r>
        <w:rPr>
          <w:sz w:val="24"/>
          <w:szCs w:val="24"/>
        </w:rPr>
        <w:t>.</w:t>
      </w:r>
    </w:p>
    <w:p w:rsidR="00AC57D5" w:rsidRDefault="00AC57D5" w:rsidP="00AC57D5">
      <w:pPr>
        <w:numPr>
          <w:ilvl w:val="12"/>
          <w:numId w:val="0"/>
        </w:numPr>
        <w:ind w:left="851" w:right="-2" w:hanging="851"/>
        <w:rPr>
          <w:iCs/>
          <w:noProof/>
          <w:sz w:val="24"/>
          <w:szCs w:val="24"/>
        </w:rPr>
      </w:pPr>
    </w:p>
    <w:p w:rsidR="00AC57D5" w:rsidRDefault="00AC57D5" w:rsidP="00AC57D5">
      <w:pPr>
        <w:numPr>
          <w:ilvl w:val="12"/>
          <w:numId w:val="0"/>
        </w:numPr>
        <w:ind w:left="851" w:right="-2"/>
        <w:rPr>
          <w:noProof/>
          <w:sz w:val="24"/>
          <w:szCs w:val="24"/>
          <w:u w:val="single"/>
        </w:rPr>
      </w:pPr>
      <w:r>
        <w:rPr>
          <w:sz w:val="24"/>
          <w:szCs w:val="24"/>
          <w:u w:val="single"/>
        </w:rPr>
        <w:t>Elimination</w:t>
      </w:r>
    </w:p>
    <w:p w:rsidR="00AC57D5" w:rsidRDefault="00AC57D5" w:rsidP="00AC57D5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Resultater fra voksne viser, at ca. 91 % af dosis genfindes i urinen og 3% i fæces.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5.3</w:t>
      </w:r>
      <w:r w:rsidRPr="00CD3229">
        <w:rPr>
          <w:b/>
          <w:sz w:val="24"/>
          <w:szCs w:val="24"/>
        </w:rPr>
        <w:tab/>
        <w:t>Prækliniske sikkerhedsdata</w:t>
      </w:r>
    </w:p>
    <w:p w:rsidR="00AC57D5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Publicerede studier i dyr (herunder primater) ved doser, der giver let til moderat anæstesi, viser, at anvendelse af </w:t>
      </w:r>
      <w:proofErr w:type="spellStart"/>
      <w:r>
        <w:rPr>
          <w:sz w:val="24"/>
          <w:szCs w:val="24"/>
        </w:rPr>
        <w:t>anæstetitika</w:t>
      </w:r>
      <w:proofErr w:type="spellEnd"/>
      <w:r>
        <w:rPr>
          <w:sz w:val="24"/>
          <w:szCs w:val="24"/>
        </w:rPr>
        <w:t xml:space="preserve"> i perioden med hurtig hjernevækst eller </w:t>
      </w:r>
      <w:proofErr w:type="spellStart"/>
      <w:r>
        <w:rPr>
          <w:sz w:val="24"/>
          <w:szCs w:val="24"/>
        </w:rPr>
        <w:t>synaptogenese</w:t>
      </w:r>
      <w:proofErr w:type="spellEnd"/>
      <w:r>
        <w:rPr>
          <w:sz w:val="24"/>
          <w:szCs w:val="24"/>
        </w:rPr>
        <w:t xml:space="preserve"> medfører celletab i hjernen under dennes udvikling. Dette kan være forbundet med kroniske kognitive defekter. Den kliniske relevans af disse prækliniske resultater kendes ikke.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6.</w:t>
      </w:r>
      <w:r w:rsidRPr="00CD3229">
        <w:rPr>
          <w:b/>
          <w:sz w:val="24"/>
          <w:szCs w:val="24"/>
        </w:rPr>
        <w:tab/>
        <w:t>FARMACEUTISKE OPLYSNINGER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6.1</w:t>
      </w:r>
      <w:r w:rsidRPr="00CD3229">
        <w:rPr>
          <w:b/>
          <w:sz w:val="24"/>
          <w:szCs w:val="24"/>
        </w:rPr>
        <w:tab/>
        <w:t>Hjælpestoffer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10 mg/ml:</w:t>
      </w:r>
    </w:p>
    <w:p w:rsidR="00AC57D5" w:rsidRPr="00CD3229" w:rsidRDefault="00AC57D5" w:rsidP="00AC57D5">
      <w:pPr>
        <w:ind w:left="851"/>
        <w:rPr>
          <w:noProof/>
          <w:sz w:val="24"/>
          <w:szCs w:val="24"/>
        </w:rPr>
      </w:pPr>
      <w:proofErr w:type="spellStart"/>
      <w:r w:rsidRPr="00CD3229">
        <w:rPr>
          <w:sz w:val="24"/>
          <w:szCs w:val="24"/>
        </w:rPr>
        <w:t>Natriumchlorid</w:t>
      </w:r>
      <w:proofErr w:type="spellEnd"/>
    </w:p>
    <w:p w:rsidR="00AC57D5" w:rsidRPr="00CD3229" w:rsidRDefault="00AC57D5" w:rsidP="00AC57D5">
      <w:pPr>
        <w:ind w:left="851"/>
        <w:rPr>
          <w:noProof/>
          <w:sz w:val="24"/>
          <w:szCs w:val="24"/>
        </w:rPr>
      </w:pPr>
      <w:r w:rsidRPr="00CD3229">
        <w:rPr>
          <w:sz w:val="24"/>
          <w:szCs w:val="24"/>
        </w:rPr>
        <w:t>Vand til injektionsvæsker</w:t>
      </w:r>
    </w:p>
    <w:p w:rsidR="00AC57D5" w:rsidRPr="00CD3229" w:rsidRDefault="00AC57D5" w:rsidP="00AC57D5">
      <w:pPr>
        <w:ind w:left="851" w:hanging="851"/>
        <w:rPr>
          <w:noProof/>
          <w:sz w:val="24"/>
          <w:szCs w:val="24"/>
        </w:rPr>
      </w:pPr>
    </w:p>
    <w:p w:rsidR="00AC57D5" w:rsidRPr="00CD3229" w:rsidRDefault="00AC57D5" w:rsidP="00AC57D5">
      <w:pPr>
        <w:ind w:left="851"/>
        <w:rPr>
          <w:noProof/>
          <w:sz w:val="24"/>
          <w:szCs w:val="24"/>
        </w:rPr>
      </w:pPr>
      <w:r w:rsidRPr="00CD3229">
        <w:rPr>
          <w:sz w:val="24"/>
          <w:szCs w:val="24"/>
        </w:rPr>
        <w:t>50 mg/ml:</w:t>
      </w:r>
    </w:p>
    <w:p w:rsidR="00AC57D5" w:rsidRPr="00CD3229" w:rsidRDefault="00AC57D5" w:rsidP="00AC57D5">
      <w:pPr>
        <w:ind w:left="851"/>
        <w:rPr>
          <w:noProof/>
          <w:sz w:val="24"/>
          <w:szCs w:val="24"/>
        </w:rPr>
      </w:pPr>
      <w:r w:rsidRPr="00CD3229">
        <w:rPr>
          <w:sz w:val="24"/>
          <w:szCs w:val="24"/>
        </w:rPr>
        <w:t>Vand til injektionsvæsker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6.2</w:t>
      </w:r>
      <w:r w:rsidRPr="00CD3229">
        <w:rPr>
          <w:b/>
          <w:sz w:val="24"/>
          <w:szCs w:val="24"/>
        </w:rPr>
        <w:tab/>
        <w:t>Uforligeligheder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"</w:t>
      </w: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 xml:space="preserve">" er kemisk inkompatibelt med barbiturater og </w:t>
      </w:r>
      <w:proofErr w:type="spellStart"/>
      <w:r w:rsidRPr="00CD3229">
        <w:rPr>
          <w:sz w:val="24"/>
          <w:szCs w:val="24"/>
        </w:rPr>
        <w:t>diazepam</w:t>
      </w:r>
      <w:proofErr w:type="spellEnd"/>
      <w:r w:rsidRPr="00CD3229">
        <w:rPr>
          <w:sz w:val="24"/>
          <w:szCs w:val="24"/>
        </w:rPr>
        <w:t xml:space="preserve"> på grund af dannelse af bundfald. Disse stoffer må derfor ikke blandes i samme sprøjte eller infusionsvæske.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Dette lægemiddel må ikke blandes med andre lægemidler end dem, der er anført under pkt. 6.6.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6.3</w:t>
      </w:r>
      <w:r w:rsidRPr="00CD3229">
        <w:rPr>
          <w:b/>
          <w:sz w:val="24"/>
          <w:szCs w:val="24"/>
        </w:rPr>
        <w:tab/>
        <w:t>Opbevaringstid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  <w:r w:rsidRPr="00CD3229">
        <w:rPr>
          <w:sz w:val="24"/>
          <w:szCs w:val="24"/>
        </w:rPr>
        <w:tab/>
        <w:t>Før første åbning: 3 år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 xml:space="preserve">Efter åbning: Der er påvist kemisk og fysisk stabilitet i brug i 48 timer og 25 °C. Fra et mikrobiologisk synspunkt bør produktet anvendes straks. Hvis produktet ikke anvendes straks, er opbevaringstid og -forhold inden brug på personalets ansvar og bør normalt ikke overstige 24 timer ved 2 °C til 8 °C, medmindre </w:t>
      </w:r>
      <w:proofErr w:type="spellStart"/>
      <w:r w:rsidRPr="00CD3229">
        <w:rPr>
          <w:sz w:val="24"/>
          <w:szCs w:val="24"/>
        </w:rPr>
        <w:t>rekonstituering</w:t>
      </w:r>
      <w:proofErr w:type="spellEnd"/>
      <w:r w:rsidRPr="00CD3229">
        <w:rPr>
          <w:sz w:val="24"/>
          <w:szCs w:val="24"/>
        </w:rPr>
        <w:t>/fortynding har fundet sted under kontrollerede og validerede aseptiske forhold.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6.4</w:t>
      </w:r>
      <w:r w:rsidRPr="00CD3229">
        <w:rPr>
          <w:b/>
          <w:sz w:val="24"/>
          <w:szCs w:val="24"/>
        </w:rPr>
        <w:tab/>
        <w:t>Særlige opbevaringsforhold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>Dette lægemiddel kræver ingen særlige forholdsregler vedrørende opbevaringen.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6.5</w:t>
      </w:r>
      <w:r w:rsidRPr="00CD3229">
        <w:rPr>
          <w:b/>
          <w:sz w:val="24"/>
          <w:szCs w:val="24"/>
        </w:rPr>
        <w:tab/>
        <w:t>Emballagetyper og pakningsstørrelser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"</w:t>
      </w: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>" 10 mg/ml:</w:t>
      </w:r>
      <w:r w:rsidRPr="00CD3229">
        <w:rPr>
          <w:sz w:val="24"/>
          <w:szCs w:val="24"/>
        </w:rPr>
        <w:tab/>
        <w:t>5 ml glasampul (type I) i karton med 5, 10, 20, 50 eller 100 ampuller.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"</w:t>
      </w: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>" 50 mg/ml:</w:t>
      </w:r>
      <w:r w:rsidRPr="00CD3229">
        <w:rPr>
          <w:sz w:val="24"/>
          <w:szCs w:val="24"/>
        </w:rPr>
        <w:tab/>
        <w:t>5 ml glasampul (type I) i karton med 5, 10, 20, 50 eller 100 ampuller.</w:t>
      </w:r>
    </w:p>
    <w:p w:rsidR="00AC57D5" w:rsidRPr="00CD3229" w:rsidRDefault="00AC57D5" w:rsidP="00AC57D5">
      <w:pPr>
        <w:ind w:left="3912" w:firstLine="3"/>
        <w:rPr>
          <w:sz w:val="24"/>
          <w:szCs w:val="24"/>
        </w:rPr>
      </w:pPr>
      <w:r w:rsidRPr="00CD3229">
        <w:rPr>
          <w:sz w:val="24"/>
          <w:szCs w:val="24"/>
        </w:rPr>
        <w:t>10 ml glasampul (type I) i karton med 5, 10, 20, 50 eller 100 ampuller.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Ikke alle pakningsstørrelser er nødvendigvis markedsført.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6.6</w:t>
      </w:r>
      <w:r w:rsidRPr="00CD3229">
        <w:rPr>
          <w:b/>
          <w:sz w:val="24"/>
          <w:szCs w:val="24"/>
        </w:rPr>
        <w:tab/>
        <w:t>Regler for destruktion og anden håndtering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Ketamin</w:t>
      </w:r>
      <w:proofErr w:type="spellEnd"/>
      <w:r w:rsidRPr="00CD3229">
        <w:rPr>
          <w:sz w:val="24"/>
          <w:szCs w:val="24"/>
        </w:rPr>
        <w:t xml:space="preserve"> "</w:t>
      </w: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 xml:space="preserve">" kan fortyndes med 50 mg/ml (5 %) glukoseopløsning og 9 mg/ml (0,9 %) </w:t>
      </w:r>
      <w:proofErr w:type="spellStart"/>
      <w:r w:rsidRPr="00CD3229">
        <w:rPr>
          <w:sz w:val="24"/>
          <w:szCs w:val="24"/>
        </w:rPr>
        <w:t>natriumchlorid</w:t>
      </w:r>
      <w:proofErr w:type="spellEnd"/>
      <w:r w:rsidRPr="00CD3229">
        <w:rPr>
          <w:sz w:val="24"/>
          <w:szCs w:val="24"/>
        </w:rPr>
        <w:t>.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Ikke anvendt lægemiddel samt affald heraf skal bortskaffes i henhold til lokale retningslinjer.</w:t>
      </w:r>
    </w:p>
    <w:p w:rsidR="00AC57D5" w:rsidRPr="00CD3229" w:rsidRDefault="00AC57D5" w:rsidP="00AC57D5">
      <w:pPr>
        <w:ind w:left="851" w:hanging="851"/>
        <w:jc w:val="both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7.</w:t>
      </w:r>
      <w:r w:rsidRPr="00CD3229">
        <w:rPr>
          <w:b/>
          <w:sz w:val="24"/>
          <w:szCs w:val="24"/>
        </w:rPr>
        <w:tab/>
        <w:t>INDEHAVER AF MARKEDSFØRINGSTILLADELSEN</w:t>
      </w:r>
    </w:p>
    <w:p w:rsidR="00AC57D5" w:rsidRPr="000C0686" w:rsidRDefault="00AC57D5" w:rsidP="00AC57D5">
      <w:pPr>
        <w:autoSpaceDE w:val="0"/>
        <w:autoSpaceDN w:val="0"/>
        <w:adjustRightInd w:val="0"/>
        <w:ind w:left="851"/>
        <w:rPr>
          <w:bCs/>
          <w:sz w:val="24"/>
          <w:szCs w:val="24"/>
          <w:lang w:eastAsia="da-DK"/>
        </w:rPr>
      </w:pPr>
      <w:proofErr w:type="spellStart"/>
      <w:r w:rsidRPr="000C0686">
        <w:rPr>
          <w:bCs/>
          <w:sz w:val="24"/>
          <w:szCs w:val="24"/>
          <w:lang w:eastAsia="da-DK"/>
        </w:rPr>
        <w:t>Abcur</w:t>
      </w:r>
      <w:proofErr w:type="spellEnd"/>
      <w:r w:rsidRPr="000C0686">
        <w:rPr>
          <w:bCs/>
          <w:sz w:val="24"/>
          <w:szCs w:val="24"/>
          <w:lang w:eastAsia="da-DK"/>
        </w:rPr>
        <w:t xml:space="preserve"> AB</w:t>
      </w:r>
    </w:p>
    <w:p w:rsidR="00AC57D5" w:rsidRPr="000C0686" w:rsidRDefault="00AC57D5" w:rsidP="00AC57D5">
      <w:pPr>
        <w:autoSpaceDE w:val="0"/>
        <w:autoSpaceDN w:val="0"/>
        <w:adjustRightInd w:val="0"/>
        <w:ind w:left="851"/>
        <w:rPr>
          <w:bCs/>
          <w:sz w:val="24"/>
          <w:szCs w:val="24"/>
          <w:lang w:eastAsia="da-DK"/>
        </w:rPr>
      </w:pPr>
      <w:proofErr w:type="spellStart"/>
      <w:r w:rsidRPr="000C0686">
        <w:rPr>
          <w:bCs/>
          <w:sz w:val="24"/>
          <w:szCs w:val="24"/>
          <w:lang w:eastAsia="da-DK"/>
        </w:rPr>
        <w:t>Bergaliden</w:t>
      </w:r>
      <w:proofErr w:type="spellEnd"/>
      <w:r w:rsidRPr="000C0686">
        <w:rPr>
          <w:bCs/>
          <w:sz w:val="24"/>
          <w:szCs w:val="24"/>
          <w:lang w:eastAsia="da-DK"/>
        </w:rPr>
        <w:t xml:space="preserve"> 11</w:t>
      </w:r>
    </w:p>
    <w:p w:rsidR="00AC57D5" w:rsidRPr="000C0686" w:rsidRDefault="00AC57D5" w:rsidP="00AC57D5">
      <w:pPr>
        <w:autoSpaceDE w:val="0"/>
        <w:autoSpaceDN w:val="0"/>
        <w:adjustRightInd w:val="0"/>
        <w:ind w:left="851"/>
        <w:rPr>
          <w:bCs/>
          <w:sz w:val="24"/>
          <w:szCs w:val="24"/>
          <w:lang w:eastAsia="da-DK"/>
        </w:rPr>
      </w:pPr>
      <w:r w:rsidRPr="000C0686">
        <w:rPr>
          <w:bCs/>
          <w:sz w:val="24"/>
          <w:szCs w:val="24"/>
          <w:lang w:eastAsia="da-DK"/>
        </w:rPr>
        <w:t>252 23 Helsingborg</w:t>
      </w:r>
    </w:p>
    <w:p w:rsidR="00AC57D5" w:rsidRPr="001A5B17" w:rsidRDefault="00AC57D5" w:rsidP="00AC57D5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  <w:lang w:eastAsia="da-DK"/>
        </w:rPr>
        <w:t>Sverige</w:t>
      </w:r>
    </w:p>
    <w:p w:rsidR="00AC57D5" w:rsidRDefault="00AC57D5" w:rsidP="00AC57D5">
      <w:pPr>
        <w:suppressAutoHyphens/>
        <w:ind w:left="851"/>
        <w:rPr>
          <w:sz w:val="24"/>
          <w:szCs w:val="24"/>
        </w:rPr>
      </w:pPr>
    </w:p>
    <w:p w:rsidR="00AC57D5" w:rsidRPr="001A5B17" w:rsidRDefault="00AC57D5" w:rsidP="00AC57D5">
      <w:pPr>
        <w:suppressAutoHyphens/>
        <w:ind w:left="851"/>
        <w:rPr>
          <w:b/>
          <w:sz w:val="24"/>
          <w:szCs w:val="24"/>
        </w:rPr>
      </w:pPr>
      <w:r w:rsidRPr="001A5B17">
        <w:rPr>
          <w:b/>
          <w:sz w:val="24"/>
          <w:szCs w:val="24"/>
        </w:rPr>
        <w:t>Repræsentant</w:t>
      </w:r>
    </w:p>
    <w:p w:rsidR="00AC57D5" w:rsidRPr="00CD3229" w:rsidRDefault="00AC57D5" w:rsidP="00AC57D5">
      <w:pPr>
        <w:suppressAutoHyphens/>
        <w:ind w:left="851"/>
        <w:rPr>
          <w:sz w:val="24"/>
          <w:szCs w:val="24"/>
        </w:rPr>
      </w:pPr>
      <w:proofErr w:type="spellStart"/>
      <w:r w:rsidRPr="00CD3229">
        <w:rPr>
          <w:sz w:val="24"/>
          <w:szCs w:val="24"/>
        </w:rPr>
        <w:t>Abcur</w:t>
      </w:r>
      <w:proofErr w:type="spellEnd"/>
      <w:r w:rsidRPr="00CD3229">
        <w:rPr>
          <w:sz w:val="24"/>
          <w:szCs w:val="24"/>
        </w:rPr>
        <w:t xml:space="preserve"> AB</w:t>
      </w:r>
      <w:r w:rsidRPr="00CD3229">
        <w:rPr>
          <w:sz w:val="24"/>
          <w:szCs w:val="24"/>
        </w:rPr>
        <w:br/>
        <w:t>Box 1452</w:t>
      </w:r>
    </w:p>
    <w:p w:rsidR="00AC57D5" w:rsidRPr="00CD3229" w:rsidRDefault="00AC57D5" w:rsidP="00AC57D5">
      <w:pPr>
        <w:suppressAutoHyphens/>
        <w:ind w:left="851"/>
        <w:rPr>
          <w:sz w:val="24"/>
          <w:szCs w:val="24"/>
        </w:rPr>
      </w:pPr>
      <w:r w:rsidRPr="00CD3229">
        <w:rPr>
          <w:sz w:val="24"/>
          <w:szCs w:val="24"/>
        </w:rPr>
        <w:t>251 14 Helsingborg</w:t>
      </w:r>
    </w:p>
    <w:p w:rsidR="00AC57D5" w:rsidRPr="00CD3229" w:rsidRDefault="00AC57D5" w:rsidP="00AC57D5">
      <w:pPr>
        <w:suppressAutoHyphens/>
        <w:ind w:left="851"/>
        <w:rPr>
          <w:sz w:val="24"/>
          <w:szCs w:val="24"/>
        </w:rPr>
      </w:pPr>
      <w:r w:rsidRPr="00CD3229">
        <w:rPr>
          <w:sz w:val="24"/>
          <w:szCs w:val="24"/>
        </w:rPr>
        <w:t>Sverige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8.</w:t>
      </w:r>
      <w:r w:rsidRPr="00CD3229">
        <w:rPr>
          <w:b/>
          <w:sz w:val="24"/>
          <w:szCs w:val="24"/>
        </w:rPr>
        <w:tab/>
        <w:t>MARKEDSFØRINGSTILLADELSESNUMMER (NUMRE)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10 mg/ml: 54932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 w:rsidRPr="00CD3229">
        <w:rPr>
          <w:sz w:val="24"/>
          <w:szCs w:val="24"/>
        </w:rPr>
        <w:t>50 mg/ml: 54933</w:t>
      </w:r>
    </w:p>
    <w:p w:rsidR="00AC57D5" w:rsidRPr="00CD3229" w:rsidRDefault="00AC57D5" w:rsidP="00AC57D5">
      <w:pPr>
        <w:ind w:left="851" w:hanging="851"/>
        <w:jc w:val="both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9.</w:t>
      </w:r>
      <w:r w:rsidRPr="00CD3229">
        <w:rPr>
          <w:b/>
          <w:sz w:val="24"/>
          <w:szCs w:val="24"/>
        </w:rPr>
        <w:tab/>
        <w:t>DATO FOR FØRSTE MARKEDSFØRINGSTILLADELSE</w:t>
      </w:r>
    </w:p>
    <w:p w:rsidR="00AC57D5" w:rsidRPr="00CD3229" w:rsidRDefault="00AC57D5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>15. februar 2016</w:t>
      </w:r>
    </w:p>
    <w:p w:rsidR="00AC57D5" w:rsidRPr="00CD3229" w:rsidRDefault="00AC57D5" w:rsidP="00AC57D5">
      <w:pPr>
        <w:ind w:left="851" w:hanging="851"/>
        <w:rPr>
          <w:sz w:val="24"/>
          <w:szCs w:val="24"/>
        </w:rPr>
      </w:pPr>
    </w:p>
    <w:p w:rsidR="00AC57D5" w:rsidRPr="00CD3229" w:rsidRDefault="00AC57D5" w:rsidP="00AC57D5">
      <w:pPr>
        <w:ind w:left="851" w:hanging="851"/>
        <w:rPr>
          <w:b/>
          <w:sz w:val="24"/>
          <w:szCs w:val="24"/>
        </w:rPr>
      </w:pPr>
      <w:r w:rsidRPr="00CD3229">
        <w:rPr>
          <w:b/>
          <w:sz w:val="24"/>
          <w:szCs w:val="24"/>
        </w:rPr>
        <w:t>10.</w:t>
      </w:r>
      <w:r w:rsidRPr="00CD3229">
        <w:rPr>
          <w:b/>
          <w:sz w:val="24"/>
          <w:szCs w:val="24"/>
        </w:rPr>
        <w:tab/>
        <w:t>DATO FOR ÆNDRING AF TEKSTEN</w:t>
      </w:r>
    </w:p>
    <w:p w:rsidR="00AC57D5" w:rsidRPr="00F54A30" w:rsidRDefault="00A44EE7" w:rsidP="00AC57D5">
      <w:pPr>
        <w:ind w:left="851"/>
        <w:rPr>
          <w:sz w:val="24"/>
          <w:szCs w:val="24"/>
        </w:rPr>
      </w:pPr>
      <w:r>
        <w:rPr>
          <w:sz w:val="24"/>
          <w:szCs w:val="24"/>
        </w:rPr>
        <w:t>18. juni 2020</w:t>
      </w:r>
    </w:p>
    <w:p w:rsidR="00AC57D5" w:rsidRPr="00EA0B83" w:rsidRDefault="00AC57D5" w:rsidP="00AC57D5"/>
    <w:p w:rsidR="00AC57D5" w:rsidRPr="00DA1DCF" w:rsidRDefault="00AC57D5" w:rsidP="00AC57D5"/>
    <w:p w:rsidR="009260DE" w:rsidRPr="00AC57D5" w:rsidRDefault="009260DE" w:rsidP="00AC57D5"/>
    <w:sectPr w:rsidR="009260DE" w:rsidRPr="00AC57D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7D5" w:rsidRDefault="00AC57D5">
      <w:r>
        <w:separator/>
      </w:r>
    </w:p>
  </w:endnote>
  <w:endnote w:type="continuationSeparator" w:id="0">
    <w:p w:rsidR="00AC57D5" w:rsidRDefault="00AC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C57D5">
      <w:rPr>
        <w:i/>
        <w:noProof/>
        <w:sz w:val="18"/>
        <w:szCs w:val="18"/>
      </w:rPr>
      <w:t>Dokument2707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7D5" w:rsidRDefault="00AC57D5">
      <w:r>
        <w:separator/>
      </w:r>
    </w:p>
  </w:footnote>
  <w:footnote w:type="continuationSeparator" w:id="0">
    <w:p w:rsidR="00AC57D5" w:rsidRDefault="00AC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9E03A9"/>
    <w:multiLevelType w:val="singleLevel"/>
    <w:tmpl w:val="CCA2E2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21894425"/>
    <w:multiLevelType w:val="hybridMultilevel"/>
    <w:tmpl w:val="92403070"/>
    <w:lvl w:ilvl="0" w:tplc="FFFFFFFF">
      <w:start w:val="1"/>
      <w:numFmt w:val="bullet"/>
      <w:lvlText w:val="-"/>
      <w:legacy w:legacy="1" w:legacySpace="0" w:legacyIndent="360"/>
      <w:lvlJc w:val="left"/>
      <w:pPr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7D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A77A2"/>
    <w:rsid w:val="003B4074"/>
    <w:rsid w:val="003C769A"/>
    <w:rsid w:val="003F1838"/>
    <w:rsid w:val="00414C71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1035"/>
    <w:rsid w:val="007B6649"/>
    <w:rsid w:val="0081546F"/>
    <w:rsid w:val="0082576E"/>
    <w:rsid w:val="008440D7"/>
    <w:rsid w:val="00907F75"/>
    <w:rsid w:val="009260DE"/>
    <w:rsid w:val="0093258A"/>
    <w:rsid w:val="009C7BA3"/>
    <w:rsid w:val="009D1F5A"/>
    <w:rsid w:val="00A44EE7"/>
    <w:rsid w:val="00AC57D5"/>
    <w:rsid w:val="00B003BF"/>
    <w:rsid w:val="00B06DE5"/>
    <w:rsid w:val="00B373D7"/>
    <w:rsid w:val="00BB5903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14768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5B66F"/>
  <w15:chartTrackingRefBased/>
  <w15:docId w15:val="{015AA1B1-57FE-4A87-AC09-7E2E730E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table" w:styleId="Tabel-Gitter">
    <w:name w:val="Table Grid"/>
    <w:basedOn w:val="Tabel-Normal"/>
    <w:rsid w:val="00AC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AC57D5"/>
  </w:style>
  <w:style w:type="character" w:styleId="Hyperlink">
    <w:name w:val="Hyperlink"/>
    <w:basedOn w:val="Standardskrifttypeiafsnit"/>
    <w:uiPriority w:val="99"/>
    <w:unhideWhenUsed/>
    <w:rsid w:val="00AC5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2</TotalTime>
  <Pages>10</Pages>
  <Words>2670</Words>
  <Characters>18183</Characters>
  <Application>Microsoft Office Word</Application>
  <DocSecurity>0</DocSecurity>
  <Lines>151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2019111760 - pkt. 4.4, 4.8</dc:description>
  <cp:lastModifiedBy>Marianne Ott Jensen</cp:lastModifiedBy>
  <cp:revision>7</cp:revision>
  <cp:lastPrinted>2012-08-22T08:53:00Z</cp:lastPrinted>
  <dcterms:created xsi:type="dcterms:W3CDTF">2020-06-16T21:39:00Z</dcterms:created>
  <dcterms:modified xsi:type="dcterms:W3CDTF">2020-06-18T06:25:00Z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