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03EB2" w14:textId="60F0A708" w:rsidR="009260DE" w:rsidRPr="00B13947" w:rsidRDefault="0021526C" w:rsidP="009260DE">
      <w:pPr>
        <w:rPr>
          <w:sz w:val="24"/>
          <w:szCs w:val="24"/>
        </w:rPr>
      </w:pPr>
      <w:r w:rsidRPr="00B13947">
        <w:rPr>
          <w:noProof/>
          <w:sz w:val="24"/>
          <w:szCs w:val="24"/>
          <w:lang w:eastAsia="da-DK"/>
        </w:rPr>
        <w:drawing>
          <wp:anchor distT="0" distB="0" distL="114300" distR="114300" simplePos="0" relativeHeight="251658240" behindDoc="0" locked="0" layoutInCell="1" allowOverlap="1" wp14:anchorId="17AEC866" wp14:editId="274AB7DD">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B13947">
        <w:rPr>
          <w:sz w:val="24"/>
          <w:szCs w:val="24"/>
        </w:rPr>
        <w:br w:type="textWrapping" w:clear="all"/>
      </w:r>
    </w:p>
    <w:p w14:paraId="2E437728" w14:textId="533398B5" w:rsidR="009260DE" w:rsidRPr="00B13947" w:rsidRDefault="009260DE" w:rsidP="009260DE">
      <w:pPr>
        <w:pStyle w:val="Titel"/>
        <w:tabs>
          <w:tab w:val="right" w:pos="9356"/>
        </w:tabs>
        <w:jc w:val="left"/>
        <w:rPr>
          <w:b w:val="0"/>
          <w:szCs w:val="24"/>
          <w:lang w:eastAsia="en-US"/>
        </w:rPr>
      </w:pPr>
      <w:r w:rsidRPr="00B13947">
        <w:rPr>
          <w:b w:val="0"/>
          <w:szCs w:val="24"/>
          <w:lang w:eastAsia="en-US"/>
        </w:rPr>
        <w:tab/>
      </w:r>
      <w:r w:rsidR="00E93043">
        <w:rPr>
          <w:szCs w:val="24"/>
        </w:rPr>
        <w:t>2</w:t>
      </w:r>
      <w:r w:rsidR="00230A18">
        <w:rPr>
          <w:szCs w:val="24"/>
        </w:rPr>
        <w:t>4</w:t>
      </w:r>
      <w:r w:rsidR="00E93043">
        <w:rPr>
          <w:szCs w:val="24"/>
        </w:rPr>
        <w:t>. marts 2026</w:t>
      </w:r>
    </w:p>
    <w:p w14:paraId="6D3F0189" w14:textId="077AAEA4" w:rsidR="009260DE" w:rsidRPr="00B13947" w:rsidRDefault="009260DE" w:rsidP="009260DE">
      <w:pPr>
        <w:pStyle w:val="Titel"/>
        <w:tabs>
          <w:tab w:val="left" w:pos="8222"/>
        </w:tabs>
        <w:jc w:val="left"/>
        <w:rPr>
          <w:b w:val="0"/>
          <w:szCs w:val="24"/>
        </w:rPr>
      </w:pPr>
    </w:p>
    <w:p w14:paraId="252AD3F7" w14:textId="2CCEFF54" w:rsidR="009260DE" w:rsidRPr="00B13947" w:rsidRDefault="009260DE" w:rsidP="009260DE">
      <w:pPr>
        <w:pStyle w:val="Titel"/>
        <w:jc w:val="left"/>
        <w:rPr>
          <w:b w:val="0"/>
          <w:szCs w:val="24"/>
        </w:rPr>
      </w:pPr>
    </w:p>
    <w:p w14:paraId="7712737C" w14:textId="77777777" w:rsidR="009260DE" w:rsidRPr="00B13947" w:rsidRDefault="009260DE" w:rsidP="009260DE">
      <w:pPr>
        <w:pStyle w:val="Titel"/>
        <w:jc w:val="left"/>
        <w:rPr>
          <w:b w:val="0"/>
          <w:szCs w:val="24"/>
        </w:rPr>
      </w:pPr>
    </w:p>
    <w:p w14:paraId="19E54433" w14:textId="77777777" w:rsidR="009260DE" w:rsidRPr="00B13947" w:rsidRDefault="009260DE" w:rsidP="009260DE">
      <w:pPr>
        <w:jc w:val="center"/>
        <w:rPr>
          <w:b/>
          <w:sz w:val="24"/>
          <w:szCs w:val="24"/>
        </w:rPr>
      </w:pPr>
      <w:r w:rsidRPr="00B13947">
        <w:rPr>
          <w:b/>
          <w:sz w:val="24"/>
          <w:szCs w:val="24"/>
        </w:rPr>
        <w:t>PRODUKTRESUMÉ</w:t>
      </w:r>
    </w:p>
    <w:p w14:paraId="0B761E97" w14:textId="77777777" w:rsidR="009260DE" w:rsidRPr="00B13947" w:rsidRDefault="009260DE" w:rsidP="009260DE">
      <w:pPr>
        <w:jc w:val="center"/>
        <w:rPr>
          <w:b/>
          <w:sz w:val="24"/>
          <w:szCs w:val="24"/>
        </w:rPr>
      </w:pPr>
    </w:p>
    <w:p w14:paraId="4D8033F6" w14:textId="77777777" w:rsidR="009260DE" w:rsidRPr="00B13947" w:rsidRDefault="009260DE" w:rsidP="009260DE">
      <w:pPr>
        <w:jc w:val="center"/>
        <w:rPr>
          <w:b/>
          <w:sz w:val="24"/>
          <w:szCs w:val="24"/>
        </w:rPr>
      </w:pPr>
      <w:r w:rsidRPr="00B13947">
        <w:rPr>
          <w:b/>
          <w:sz w:val="24"/>
          <w:szCs w:val="24"/>
        </w:rPr>
        <w:t>for</w:t>
      </w:r>
    </w:p>
    <w:p w14:paraId="4A564B8B" w14:textId="77777777" w:rsidR="000B058C" w:rsidRPr="00B13947" w:rsidRDefault="000B058C" w:rsidP="009260DE">
      <w:pPr>
        <w:jc w:val="center"/>
        <w:rPr>
          <w:b/>
          <w:sz w:val="24"/>
          <w:szCs w:val="24"/>
        </w:rPr>
      </w:pPr>
    </w:p>
    <w:p w14:paraId="6B9CF1E7" w14:textId="046A0A10" w:rsidR="009260DE" w:rsidRPr="00B13947" w:rsidRDefault="00CC72BF" w:rsidP="009260DE">
      <w:pPr>
        <w:jc w:val="center"/>
        <w:rPr>
          <w:b/>
          <w:sz w:val="24"/>
          <w:szCs w:val="24"/>
        </w:rPr>
      </w:pPr>
      <w:r w:rsidRPr="00B13947">
        <w:rPr>
          <w:b/>
          <w:sz w:val="24"/>
          <w:szCs w:val="24"/>
        </w:rPr>
        <w:t>Ketazed, øjendråber, opløsning</w:t>
      </w:r>
      <w:r w:rsidR="00E93043">
        <w:rPr>
          <w:b/>
          <w:sz w:val="24"/>
          <w:szCs w:val="24"/>
        </w:rPr>
        <w:t xml:space="preserve"> (Epione)</w:t>
      </w:r>
    </w:p>
    <w:p w14:paraId="7EF92606" w14:textId="77777777" w:rsidR="009260DE" w:rsidRPr="00B13947" w:rsidRDefault="009260DE" w:rsidP="009260DE">
      <w:pPr>
        <w:jc w:val="both"/>
        <w:rPr>
          <w:sz w:val="24"/>
          <w:szCs w:val="24"/>
        </w:rPr>
      </w:pPr>
    </w:p>
    <w:p w14:paraId="37349ECE" w14:textId="77777777" w:rsidR="009260DE" w:rsidRPr="00B13947" w:rsidRDefault="009260DE" w:rsidP="009260DE">
      <w:pPr>
        <w:jc w:val="both"/>
        <w:rPr>
          <w:sz w:val="24"/>
          <w:szCs w:val="24"/>
        </w:rPr>
      </w:pPr>
    </w:p>
    <w:p w14:paraId="78BD0A97" w14:textId="77777777" w:rsidR="009260DE" w:rsidRPr="00B13947" w:rsidRDefault="009260DE" w:rsidP="009260DE">
      <w:pPr>
        <w:tabs>
          <w:tab w:val="left" w:pos="851"/>
        </w:tabs>
        <w:ind w:left="851" w:hanging="851"/>
        <w:rPr>
          <w:b/>
          <w:sz w:val="24"/>
          <w:szCs w:val="24"/>
        </w:rPr>
      </w:pPr>
      <w:r w:rsidRPr="00B13947">
        <w:rPr>
          <w:b/>
          <w:sz w:val="24"/>
          <w:szCs w:val="24"/>
        </w:rPr>
        <w:t>0.</w:t>
      </w:r>
      <w:r w:rsidRPr="00B13947">
        <w:rPr>
          <w:b/>
          <w:sz w:val="24"/>
          <w:szCs w:val="24"/>
        </w:rPr>
        <w:tab/>
        <w:t>D.SP.NR.</w:t>
      </w:r>
    </w:p>
    <w:p w14:paraId="074C472F" w14:textId="47146F01" w:rsidR="009260DE" w:rsidRPr="00B13947" w:rsidRDefault="007C3DAC" w:rsidP="009260DE">
      <w:pPr>
        <w:tabs>
          <w:tab w:val="left" w:pos="851"/>
        </w:tabs>
        <w:ind w:left="851"/>
        <w:rPr>
          <w:sz w:val="24"/>
          <w:szCs w:val="24"/>
        </w:rPr>
      </w:pPr>
      <w:r w:rsidRPr="00B13947">
        <w:rPr>
          <w:sz w:val="24"/>
          <w:szCs w:val="24"/>
        </w:rPr>
        <w:t>32841</w:t>
      </w:r>
    </w:p>
    <w:p w14:paraId="14538129" w14:textId="77777777" w:rsidR="009260DE" w:rsidRPr="00B13947" w:rsidRDefault="009260DE" w:rsidP="009260DE">
      <w:pPr>
        <w:tabs>
          <w:tab w:val="left" w:pos="851"/>
        </w:tabs>
        <w:ind w:left="851"/>
        <w:rPr>
          <w:sz w:val="24"/>
          <w:szCs w:val="24"/>
        </w:rPr>
      </w:pPr>
    </w:p>
    <w:p w14:paraId="628EC661" w14:textId="77777777" w:rsidR="009260DE" w:rsidRPr="00B13947" w:rsidRDefault="009260DE" w:rsidP="009260DE">
      <w:pPr>
        <w:tabs>
          <w:tab w:val="left" w:pos="851"/>
        </w:tabs>
        <w:ind w:left="851" w:hanging="851"/>
        <w:rPr>
          <w:b/>
          <w:sz w:val="24"/>
          <w:szCs w:val="24"/>
        </w:rPr>
      </w:pPr>
      <w:r w:rsidRPr="00B13947">
        <w:rPr>
          <w:b/>
          <w:sz w:val="24"/>
          <w:szCs w:val="24"/>
        </w:rPr>
        <w:t>1.</w:t>
      </w:r>
      <w:r w:rsidRPr="00B13947">
        <w:rPr>
          <w:b/>
          <w:sz w:val="24"/>
          <w:szCs w:val="24"/>
        </w:rPr>
        <w:tab/>
        <w:t>LÆGEMIDLETS NAVN</w:t>
      </w:r>
    </w:p>
    <w:p w14:paraId="1A5D51D4" w14:textId="46FC862E" w:rsidR="009260DE" w:rsidRPr="00B13947" w:rsidRDefault="007C3DAC" w:rsidP="009260DE">
      <w:pPr>
        <w:tabs>
          <w:tab w:val="left" w:pos="851"/>
        </w:tabs>
        <w:ind w:left="851"/>
        <w:rPr>
          <w:sz w:val="24"/>
          <w:szCs w:val="24"/>
        </w:rPr>
      </w:pPr>
      <w:r w:rsidRPr="00B13947">
        <w:rPr>
          <w:sz w:val="24"/>
          <w:szCs w:val="24"/>
        </w:rPr>
        <w:t>Ketazed</w:t>
      </w:r>
    </w:p>
    <w:p w14:paraId="0918FCA6" w14:textId="77777777" w:rsidR="009260DE" w:rsidRPr="00B13947" w:rsidRDefault="009260DE" w:rsidP="009260DE">
      <w:pPr>
        <w:tabs>
          <w:tab w:val="left" w:pos="851"/>
        </w:tabs>
        <w:ind w:left="851"/>
        <w:rPr>
          <w:sz w:val="24"/>
          <w:szCs w:val="24"/>
        </w:rPr>
      </w:pPr>
    </w:p>
    <w:p w14:paraId="1EA11C7C" w14:textId="77777777" w:rsidR="009260DE" w:rsidRPr="00B13947" w:rsidRDefault="009260DE" w:rsidP="009260DE">
      <w:pPr>
        <w:tabs>
          <w:tab w:val="left" w:pos="851"/>
        </w:tabs>
        <w:ind w:left="851" w:hanging="851"/>
        <w:rPr>
          <w:b/>
          <w:sz w:val="24"/>
          <w:szCs w:val="24"/>
        </w:rPr>
      </w:pPr>
      <w:r w:rsidRPr="00B13947">
        <w:rPr>
          <w:b/>
          <w:sz w:val="24"/>
          <w:szCs w:val="24"/>
        </w:rPr>
        <w:t>2.</w:t>
      </w:r>
      <w:r w:rsidRPr="00B13947">
        <w:rPr>
          <w:b/>
          <w:sz w:val="24"/>
          <w:szCs w:val="24"/>
        </w:rPr>
        <w:tab/>
        <w:t>KVALITATIV OG KVANTITATIV SAMMENSÆTNING</w:t>
      </w:r>
    </w:p>
    <w:p w14:paraId="2616B1DD" w14:textId="77777777" w:rsidR="00AE6CF7" w:rsidRPr="00B13947" w:rsidRDefault="00AE6CF7" w:rsidP="007C572C">
      <w:pPr>
        <w:ind w:left="851"/>
        <w:rPr>
          <w:sz w:val="24"/>
          <w:szCs w:val="24"/>
          <w:lang w:eastAsia="da-DK"/>
        </w:rPr>
      </w:pPr>
      <w:r w:rsidRPr="00B13947">
        <w:rPr>
          <w:sz w:val="24"/>
          <w:szCs w:val="24"/>
        </w:rPr>
        <w:t>1 ml indeholder 0,345 mg ketotifenhydrogenfumarat svarende til 0,25 mg ketotifen.</w:t>
      </w:r>
    </w:p>
    <w:p w14:paraId="4FB229B3" w14:textId="77777777" w:rsidR="00AE6CF7" w:rsidRPr="00B13947" w:rsidRDefault="00AE6CF7" w:rsidP="007C572C">
      <w:pPr>
        <w:ind w:left="851"/>
        <w:rPr>
          <w:sz w:val="24"/>
          <w:szCs w:val="24"/>
        </w:rPr>
      </w:pPr>
    </w:p>
    <w:p w14:paraId="00F69DA2" w14:textId="77777777" w:rsidR="00AE6CF7" w:rsidRPr="00B13947" w:rsidRDefault="00AE6CF7" w:rsidP="007C572C">
      <w:pPr>
        <w:ind w:left="851"/>
        <w:rPr>
          <w:sz w:val="24"/>
          <w:szCs w:val="24"/>
        </w:rPr>
      </w:pPr>
      <w:r w:rsidRPr="00B13947">
        <w:rPr>
          <w:sz w:val="24"/>
          <w:szCs w:val="24"/>
        </w:rPr>
        <w:t>1 dråbe indeholder 9,5 mikrogram ketotifenfumarat.</w:t>
      </w:r>
    </w:p>
    <w:p w14:paraId="100A0F05" w14:textId="77777777" w:rsidR="00AE6CF7" w:rsidRPr="00B13947" w:rsidRDefault="00AE6CF7" w:rsidP="007C572C">
      <w:pPr>
        <w:ind w:left="851"/>
        <w:rPr>
          <w:sz w:val="24"/>
          <w:szCs w:val="24"/>
        </w:rPr>
      </w:pPr>
    </w:p>
    <w:p w14:paraId="6CEEEB03" w14:textId="77777777" w:rsidR="00AE6CF7" w:rsidRPr="00B13947" w:rsidRDefault="00AE6CF7" w:rsidP="007C572C">
      <w:pPr>
        <w:ind w:left="851"/>
        <w:rPr>
          <w:sz w:val="24"/>
          <w:szCs w:val="24"/>
        </w:rPr>
      </w:pPr>
      <w:r w:rsidRPr="00B13947">
        <w:rPr>
          <w:sz w:val="24"/>
          <w:szCs w:val="24"/>
        </w:rPr>
        <w:t>Alle hjælpestoffer er anført under pkt. 6.1.</w:t>
      </w:r>
    </w:p>
    <w:p w14:paraId="00EAF5B8" w14:textId="77777777" w:rsidR="009260DE" w:rsidRPr="00B13947" w:rsidRDefault="009260DE" w:rsidP="009260DE">
      <w:pPr>
        <w:tabs>
          <w:tab w:val="left" w:pos="851"/>
        </w:tabs>
        <w:ind w:left="851"/>
        <w:rPr>
          <w:sz w:val="24"/>
          <w:szCs w:val="24"/>
        </w:rPr>
      </w:pPr>
    </w:p>
    <w:p w14:paraId="50E15195" w14:textId="77777777" w:rsidR="009260DE" w:rsidRPr="00B13947" w:rsidRDefault="009260DE" w:rsidP="009260DE">
      <w:pPr>
        <w:tabs>
          <w:tab w:val="left" w:pos="851"/>
        </w:tabs>
        <w:ind w:left="851" w:hanging="851"/>
        <w:rPr>
          <w:b/>
          <w:sz w:val="24"/>
          <w:szCs w:val="24"/>
        </w:rPr>
      </w:pPr>
      <w:r w:rsidRPr="00B13947">
        <w:rPr>
          <w:b/>
          <w:sz w:val="24"/>
          <w:szCs w:val="24"/>
        </w:rPr>
        <w:t>3.</w:t>
      </w:r>
      <w:r w:rsidRPr="00B13947">
        <w:rPr>
          <w:b/>
          <w:sz w:val="24"/>
          <w:szCs w:val="24"/>
        </w:rPr>
        <w:tab/>
        <w:t>LÆGEMIDDELFORM</w:t>
      </w:r>
    </w:p>
    <w:p w14:paraId="5E755155" w14:textId="6A329327" w:rsidR="00AE6CF7" w:rsidRPr="00B13947" w:rsidRDefault="00AE6CF7" w:rsidP="007C572C">
      <w:pPr>
        <w:ind w:left="851"/>
        <w:rPr>
          <w:sz w:val="24"/>
          <w:szCs w:val="24"/>
          <w:lang w:eastAsia="da-DK"/>
        </w:rPr>
      </w:pPr>
      <w:r w:rsidRPr="00B13947">
        <w:rPr>
          <w:sz w:val="24"/>
          <w:szCs w:val="24"/>
        </w:rPr>
        <w:t>Øjendråber, opløsning</w:t>
      </w:r>
      <w:r w:rsidR="00E93043">
        <w:rPr>
          <w:sz w:val="24"/>
          <w:szCs w:val="24"/>
        </w:rPr>
        <w:t xml:space="preserve"> (Epione)</w:t>
      </w:r>
    </w:p>
    <w:p w14:paraId="7C39CCBD" w14:textId="77777777" w:rsidR="009260DE" w:rsidRPr="00B13947" w:rsidRDefault="009260DE" w:rsidP="009260DE">
      <w:pPr>
        <w:tabs>
          <w:tab w:val="left" w:pos="851"/>
        </w:tabs>
        <w:ind w:left="851"/>
        <w:rPr>
          <w:sz w:val="24"/>
          <w:szCs w:val="24"/>
        </w:rPr>
      </w:pPr>
    </w:p>
    <w:p w14:paraId="50706845" w14:textId="77777777" w:rsidR="009260DE" w:rsidRPr="00B13947" w:rsidRDefault="009260DE" w:rsidP="009260DE">
      <w:pPr>
        <w:tabs>
          <w:tab w:val="left" w:pos="851"/>
        </w:tabs>
        <w:ind w:left="851"/>
        <w:rPr>
          <w:sz w:val="24"/>
          <w:szCs w:val="24"/>
        </w:rPr>
      </w:pPr>
    </w:p>
    <w:p w14:paraId="035CF16B" w14:textId="77777777" w:rsidR="009260DE" w:rsidRPr="00B13947" w:rsidRDefault="009260DE" w:rsidP="009260DE">
      <w:pPr>
        <w:tabs>
          <w:tab w:val="left" w:pos="851"/>
        </w:tabs>
        <w:ind w:left="851" w:hanging="851"/>
        <w:rPr>
          <w:b/>
          <w:sz w:val="24"/>
          <w:szCs w:val="24"/>
        </w:rPr>
      </w:pPr>
      <w:r w:rsidRPr="00B13947">
        <w:rPr>
          <w:b/>
          <w:sz w:val="24"/>
          <w:szCs w:val="24"/>
        </w:rPr>
        <w:t>4.</w:t>
      </w:r>
      <w:r w:rsidRPr="00B13947">
        <w:rPr>
          <w:b/>
          <w:sz w:val="24"/>
          <w:szCs w:val="24"/>
        </w:rPr>
        <w:tab/>
        <w:t>KLINISKE OPLYSNINGER</w:t>
      </w:r>
    </w:p>
    <w:p w14:paraId="1FA63AE3" w14:textId="77777777" w:rsidR="009260DE" w:rsidRPr="00B13947" w:rsidRDefault="009260DE" w:rsidP="009260DE">
      <w:pPr>
        <w:tabs>
          <w:tab w:val="left" w:pos="851"/>
        </w:tabs>
        <w:ind w:left="851"/>
        <w:rPr>
          <w:b/>
          <w:sz w:val="24"/>
          <w:szCs w:val="24"/>
        </w:rPr>
      </w:pPr>
    </w:p>
    <w:p w14:paraId="472DE5F7" w14:textId="77777777" w:rsidR="009260DE" w:rsidRPr="00B13947" w:rsidRDefault="009260DE" w:rsidP="009260DE">
      <w:pPr>
        <w:tabs>
          <w:tab w:val="left" w:pos="851"/>
        </w:tabs>
        <w:ind w:left="851" w:hanging="851"/>
        <w:rPr>
          <w:b/>
          <w:sz w:val="24"/>
          <w:szCs w:val="24"/>
          <w:u w:val="single"/>
        </w:rPr>
      </w:pPr>
      <w:r w:rsidRPr="00B13947">
        <w:rPr>
          <w:b/>
          <w:sz w:val="24"/>
          <w:szCs w:val="24"/>
        </w:rPr>
        <w:t>4.1</w:t>
      </w:r>
      <w:r w:rsidRPr="00B13947">
        <w:rPr>
          <w:b/>
          <w:sz w:val="24"/>
          <w:szCs w:val="24"/>
        </w:rPr>
        <w:tab/>
        <w:t>Terapeutiske indikationer</w:t>
      </w:r>
    </w:p>
    <w:p w14:paraId="40C9100C" w14:textId="77777777" w:rsidR="00AE6CF7" w:rsidRPr="00B13947" w:rsidRDefault="00AE6CF7" w:rsidP="007C572C">
      <w:pPr>
        <w:ind w:left="851"/>
        <w:rPr>
          <w:sz w:val="24"/>
          <w:szCs w:val="24"/>
          <w:lang w:eastAsia="da-DK"/>
        </w:rPr>
      </w:pPr>
      <w:r w:rsidRPr="00B13947">
        <w:rPr>
          <w:sz w:val="24"/>
          <w:szCs w:val="24"/>
        </w:rPr>
        <w:t>Symptomatisk behandling af sæsonbetinget allergisk konjunktivit.</w:t>
      </w:r>
    </w:p>
    <w:p w14:paraId="018CBB35" w14:textId="77777777" w:rsidR="009260DE" w:rsidRPr="00B13947" w:rsidRDefault="009260DE" w:rsidP="009260DE">
      <w:pPr>
        <w:tabs>
          <w:tab w:val="left" w:pos="851"/>
        </w:tabs>
        <w:ind w:left="851"/>
        <w:rPr>
          <w:sz w:val="24"/>
          <w:szCs w:val="24"/>
        </w:rPr>
      </w:pPr>
    </w:p>
    <w:p w14:paraId="0EF6A125" w14:textId="3A0240EC" w:rsidR="009260DE" w:rsidRPr="00B13947" w:rsidRDefault="009260DE" w:rsidP="009260DE">
      <w:pPr>
        <w:tabs>
          <w:tab w:val="left" w:pos="851"/>
        </w:tabs>
        <w:ind w:left="851" w:hanging="851"/>
        <w:rPr>
          <w:b/>
          <w:sz w:val="24"/>
          <w:szCs w:val="24"/>
        </w:rPr>
      </w:pPr>
      <w:r w:rsidRPr="00B13947">
        <w:rPr>
          <w:b/>
          <w:sz w:val="24"/>
          <w:szCs w:val="24"/>
        </w:rPr>
        <w:t>4.2</w:t>
      </w:r>
      <w:r w:rsidRPr="00B13947">
        <w:rPr>
          <w:b/>
          <w:sz w:val="24"/>
          <w:szCs w:val="24"/>
        </w:rPr>
        <w:tab/>
        <w:t xml:space="preserve">Dosering og </w:t>
      </w:r>
      <w:r w:rsidR="00E763FA">
        <w:rPr>
          <w:b/>
          <w:sz w:val="24"/>
          <w:szCs w:val="24"/>
        </w:rPr>
        <w:t>administration</w:t>
      </w:r>
    </w:p>
    <w:p w14:paraId="4FFD4080" w14:textId="77777777" w:rsidR="005C6943" w:rsidRDefault="005C6943" w:rsidP="007C572C">
      <w:pPr>
        <w:ind w:left="851"/>
        <w:rPr>
          <w:sz w:val="24"/>
          <w:szCs w:val="24"/>
        </w:rPr>
      </w:pPr>
    </w:p>
    <w:p w14:paraId="3E8E1E73" w14:textId="28513F7C" w:rsidR="00AE6CF7" w:rsidRPr="005C6943" w:rsidRDefault="00AE6CF7" w:rsidP="007C572C">
      <w:pPr>
        <w:ind w:left="851"/>
        <w:rPr>
          <w:sz w:val="24"/>
          <w:szCs w:val="24"/>
          <w:u w:val="single"/>
          <w:lang w:eastAsia="da-DK"/>
        </w:rPr>
      </w:pPr>
      <w:r w:rsidRPr="005C6943">
        <w:rPr>
          <w:sz w:val="24"/>
          <w:szCs w:val="24"/>
          <w:u w:val="single"/>
        </w:rPr>
        <w:t>Dosering</w:t>
      </w:r>
    </w:p>
    <w:p w14:paraId="6D32ED3A" w14:textId="77777777" w:rsidR="00AE6CF7" w:rsidRPr="00B13947" w:rsidRDefault="00AE6CF7" w:rsidP="007C572C">
      <w:pPr>
        <w:ind w:left="851"/>
        <w:rPr>
          <w:sz w:val="24"/>
          <w:szCs w:val="24"/>
        </w:rPr>
      </w:pPr>
      <w:r w:rsidRPr="00B13947">
        <w:rPr>
          <w:sz w:val="24"/>
          <w:szCs w:val="24"/>
        </w:rPr>
        <w:t>Voksne, ældre og børn (fra 3 år og op): 1 dråbe Ketazed i konjunktivalsækken 2 gange daglig.</w:t>
      </w:r>
    </w:p>
    <w:p w14:paraId="55C3C6E6" w14:textId="77777777" w:rsidR="00AE6CF7" w:rsidRPr="00B13947" w:rsidRDefault="00AE6CF7" w:rsidP="007C572C">
      <w:pPr>
        <w:ind w:left="851"/>
        <w:rPr>
          <w:sz w:val="24"/>
          <w:szCs w:val="24"/>
        </w:rPr>
      </w:pPr>
    </w:p>
    <w:p w14:paraId="52B25712" w14:textId="77777777" w:rsidR="00AE6CF7" w:rsidRPr="00B13947" w:rsidRDefault="00AE6CF7" w:rsidP="007C572C">
      <w:pPr>
        <w:ind w:left="851"/>
        <w:rPr>
          <w:i/>
          <w:sz w:val="24"/>
          <w:szCs w:val="24"/>
        </w:rPr>
      </w:pPr>
      <w:r w:rsidRPr="00B13947">
        <w:rPr>
          <w:i/>
          <w:sz w:val="24"/>
          <w:szCs w:val="24"/>
        </w:rPr>
        <w:t>Pædiatrisk population</w:t>
      </w:r>
    </w:p>
    <w:p w14:paraId="1EC32E80" w14:textId="77777777" w:rsidR="00AE6CF7" w:rsidRPr="00B13947" w:rsidRDefault="00AE6CF7" w:rsidP="007C572C">
      <w:pPr>
        <w:ind w:left="851"/>
        <w:rPr>
          <w:sz w:val="24"/>
          <w:szCs w:val="24"/>
        </w:rPr>
      </w:pPr>
      <w:r w:rsidRPr="00B13947">
        <w:rPr>
          <w:sz w:val="24"/>
          <w:szCs w:val="24"/>
        </w:rPr>
        <w:t>Ketazeds sikkerhed og virkning hos børn i alderen 0-3 år er endnu ikke klarlagt.</w:t>
      </w:r>
    </w:p>
    <w:p w14:paraId="40DB99A0" w14:textId="77777777" w:rsidR="00AE6CF7" w:rsidRPr="00B13947" w:rsidRDefault="00AE6CF7" w:rsidP="007C572C">
      <w:pPr>
        <w:ind w:left="851"/>
        <w:rPr>
          <w:sz w:val="24"/>
          <w:szCs w:val="24"/>
        </w:rPr>
      </w:pPr>
    </w:p>
    <w:p w14:paraId="43A160A6" w14:textId="77777777" w:rsidR="00AE6CF7" w:rsidRPr="005C6943" w:rsidRDefault="00AE6CF7" w:rsidP="007C572C">
      <w:pPr>
        <w:ind w:left="851"/>
        <w:rPr>
          <w:sz w:val="24"/>
          <w:szCs w:val="24"/>
          <w:u w:val="single"/>
        </w:rPr>
      </w:pPr>
      <w:r w:rsidRPr="005C6943">
        <w:rPr>
          <w:sz w:val="24"/>
          <w:szCs w:val="24"/>
          <w:u w:val="single"/>
        </w:rPr>
        <w:t>Administration</w:t>
      </w:r>
    </w:p>
    <w:p w14:paraId="21058BC2" w14:textId="77777777" w:rsidR="00AE6CF7" w:rsidRPr="00B13947" w:rsidRDefault="00AE6CF7" w:rsidP="007C572C">
      <w:pPr>
        <w:ind w:left="851"/>
        <w:rPr>
          <w:sz w:val="24"/>
          <w:szCs w:val="24"/>
        </w:rPr>
      </w:pPr>
      <w:r w:rsidRPr="00B13947">
        <w:rPr>
          <w:sz w:val="24"/>
          <w:szCs w:val="24"/>
        </w:rPr>
        <w:t>For at undgå kontaminering må beholderens spids ikke berøres.</w:t>
      </w:r>
    </w:p>
    <w:p w14:paraId="1B40AFA1" w14:textId="77777777" w:rsidR="009260DE" w:rsidRPr="00B13947" w:rsidRDefault="009260DE" w:rsidP="009260DE">
      <w:pPr>
        <w:tabs>
          <w:tab w:val="left" w:pos="851"/>
        </w:tabs>
        <w:ind w:left="851"/>
        <w:rPr>
          <w:sz w:val="24"/>
          <w:szCs w:val="24"/>
        </w:rPr>
      </w:pPr>
    </w:p>
    <w:p w14:paraId="1B9E86B3" w14:textId="77777777" w:rsidR="009260DE" w:rsidRPr="00B13947" w:rsidRDefault="009260DE" w:rsidP="009260DE">
      <w:pPr>
        <w:tabs>
          <w:tab w:val="left" w:pos="851"/>
        </w:tabs>
        <w:ind w:left="851" w:hanging="851"/>
        <w:rPr>
          <w:b/>
          <w:sz w:val="24"/>
          <w:szCs w:val="24"/>
        </w:rPr>
      </w:pPr>
      <w:r w:rsidRPr="00B13947">
        <w:rPr>
          <w:b/>
          <w:sz w:val="24"/>
          <w:szCs w:val="24"/>
        </w:rPr>
        <w:t>4.3</w:t>
      </w:r>
      <w:r w:rsidRPr="00B13947">
        <w:rPr>
          <w:b/>
          <w:sz w:val="24"/>
          <w:szCs w:val="24"/>
        </w:rPr>
        <w:tab/>
        <w:t>Kontraindikationer</w:t>
      </w:r>
    </w:p>
    <w:p w14:paraId="07A2B3C8" w14:textId="77777777" w:rsidR="00AE6CF7" w:rsidRPr="00B13947" w:rsidRDefault="00AE6CF7" w:rsidP="007C572C">
      <w:pPr>
        <w:ind w:left="851"/>
        <w:rPr>
          <w:sz w:val="24"/>
          <w:szCs w:val="24"/>
          <w:lang w:eastAsia="da-DK"/>
        </w:rPr>
      </w:pPr>
      <w:r w:rsidRPr="00B13947">
        <w:rPr>
          <w:sz w:val="24"/>
          <w:szCs w:val="24"/>
        </w:rPr>
        <w:lastRenderedPageBreak/>
        <w:t>Overfølsomhed over for det aktive stof eller over for et eller flere af hjælpestofferne anført i pkt. 6.1.</w:t>
      </w:r>
    </w:p>
    <w:p w14:paraId="09FCEC82" w14:textId="77777777" w:rsidR="009260DE" w:rsidRPr="00B13947" w:rsidRDefault="009260DE" w:rsidP="009260DE">
      <w:pPr>
        <w:tabs>
          <w:tab w:val="left" w:pos="851"/>
        </w:tabs>
        <w:ind w:left="851"/>
        <w:rPr>
          <w:sz w:val="24"/>
          <w:szCs w:val="24"/>
        </w:rPr>
      </w:pPr>
    </w:p>
    <w:p w14:paraId="4709E44C" w14:textId="77777777" w:rsidR="009260DE" w:rsidRPr="00B13947" w:rsidRDefault="009260DE" w:rsidP="009260DE">
      <w:pPr>
        <w:tabs>
          <w:tab w:val="left" w:pos="851"/>
        </w:tabs>
        <w:ind w:left="851" w:hanging="851"/>
        <w:rPr>
          <w:b/>
          <w:sz w:val="24"/>
          <w:szCs w:val="24"/>
        </w:rPr>
      </w:pPr>
      <w:r w:rsidRPr="00B13947">
        <w:rPr>
          <w:b/>
          <w:sz w:val="24"/>
          <w:szCs w:val="24"/>
        </w:rPr>
        <w:t>4.4</w:t>
      </w:r>
      <w:r w:rsidRPr="00B13947">
        <w:rPr>
          <w:b/>
          <w:sz w:val="24"/>
          <w:szCs w:val="24"/>
        </w:rPr>
        <w:tab/>
        <w:t>Særlige advarsler og forsigtighedsregler vedrørende brugen</w:t>
      </w:r>
    </w:p>
    <w:p w14:paraId="7AB7ADA0" w14:textId="77777777" w:rsidR="00AE6CF7" w:rsidRPr="00B13947" w:rsidRDefault="00AE6CF7" w:rsidP="007C572C">
      <w:pPr>
        <w:ind w:left="851"/>
        <w:rPr>
          <w:sz w:val="24"/>
          <w:szCs w:val="24"/>
          <w:lang w:eastAsia="da-DK"/>
        </w:rPr>
      </w:pPr>
      <w:r w:rsidRPr="00B13947">
        <w:rPr>
          <w:sz w:val="24"/>
          <w:szCs w:val="24"/>
        </w:rPr>
        <w:t>Ingen særlige advarsler eller forholdsregler ved brug.</w:t>
      </w:r>
    </w:p>
    <w:p w14:paraId="3AAC5A97" w14:textId="77777777" w:rsidR="009260DE" w:rsidRPr="00B13947" w:rsidRDefault="009260DE" w:rsidP="009260DE">
      <w:pPr>
        <w:tabs>
          <w:tab w:val="left" w:pos="851"/>
        </w:tabs>
        <w:ind w:left="851"/>
        <w:rPr>
          <w:sz w:val="24"/>
          <w:szCs w:val="24"/>
        </w:rPr>
      </w:pPr>
    </w:p>
    <w:p w14:paraId="011C17B8" w14:textId="77777777" w:rsidR="009260DE" w:rsidRPr="00B13947" w:rsidRDefault="009260DE" w:rsidP="009260DE">
      <w:pPr>
        <w:tabs>
          <w:tab w:val="left" w:pos="851"/>
        </w:tabs>
        <w:ind w:left="851" w:hanging="851"/>
        <w:rPr>
          <w:b/>
          <w:sz w:val="24"/>
          <w:szCs w:val="24"/>
        </w:rPr>
      </w:pPr>
      <w:r w:rsidRPr="00B13947">
        <w:rPr>
          <w:b/>
          <w:sz w:val="24"/>
          <w:szCs w:val="24"/>
        </w:rPr>
        <w:t>4.5</w:t>
      </w:r>
      <w:r w:rsidRPr="00B13947">
        <w:rPr>
          <w:b/>
          <w:sz w:val="24"/>
          <w:szCs w:val="24"/>
        </w:rPr>
        <w:tab/>
        <w:t>Interaktion med andre lægemidler og andre former for interaktion</w:t>
      </w:r>
    </w:p>
    <w:p w14:paraId="6E412EB1" w14:textId="77777777" w:rsidR="00AE6CF7" w:rsidRPr="00B13947" w:rsidRDefault="00AE6CF7" w:rsidP="007C572C">
      <w:pPr>
        <w:ind w:left="851"/>
        <w:rPr>
          <w:sz w:val="24"/>
          <w:szCs w:val="24"/>
          <w:lang w:eastAsia="da-DK"/>
        </w:rPr>
      </w:pPr>
      <w:r w:rsidRPr="00B13947">
        <w:rPr>
          <w:sz w:val="24"/>
          <w:szCs w:val="24"/>
        </w:rPr>
        <w:t>Hvis Ketazed anvendes samtidig med andre lægemidler til øjet, bør der gå mindst 5 min. mellem behandlingerne.</w:t>
      </w:r>
    </w:p>
    <w:p w14:paraId="55A93E27" w14:textId="77777777" w:rsidR="00AE6CF7" w:rsidRPr="00B13947" w:rsidRDefault="00AE6CF7" w:rsidP="007C572C">
      <w:pPr>
        <w:ind w:left="851"/>
        <w:rPr>
          <w:sz w:val="24"/>
          <w:szCs w:val="24"/>
        </w:rPr>
      </w:pPr>
    </w:p>
    <w:p w14:paraId="58C22FC4" w14:textId="5B49AD20" w:rsidR="00AE6CF7" w:rsidRPr="00B13947" w:rsidRDefault="00AE6CF7" w:rsidP="007C572C">
      <w:pPr>
        <w:ind w:left="851"/>
        <w:rPr>
          <w:sz w:val="24"/>
          <w:szCs w:val="24"/>
        </w:rPr>
      </w:pPr>
      <w:r w:rsidRPr="00B13947">
        <w:rPr>
          <w:sz w:val="24"/>
          <w:szCs w:val="24"/>
        </w:rPr>
        <w:t>Brugen af oral ketotifen kan forstærke effekten af CNS depressive stoffer, antihistaminer og alkohol. Skønt dette ikke er set ved brug af ketotifenfumarat øjendråber, kan muligheden for en sådan effekt ikke udelukkes.</w:t>
      </w:r>
    </w:p>
    <w:p w14:paraId="37BD3D3F" w14:textId="77777777" w:rsidR="009260DE" w:rsidRPr="00B13947" w:rsidRDefault="009260DE" w:rsidP="009260DE">
      <w:pPr>
        <w:tabs>
          <w:tab w:val="left" w:pos="851"/>
        </w:tabs>
        <w:ind w:left="851"/>
        <w:rPr>
          <w:sz w:val="24"/>
          <w:szCs w:val="24"/>
        </w:rPr>
      </w:pPr>
    </w:p>
    <w:p w14:paraId="71E37DCD" w14:textId="2E117C66" w:rsidR="009260DE" w:rsidRPr="00B13947" w:rsidRDefault="009260DE" w:rsidP="009260DE">
      <w:pPr>
        <w:tabs>
          <w:tab w:val="left" w:pos="851"/>
        </w:tabs>
        <w:ind w:left="851" w:hanging="851"/>
        <w:rPr>
          <w:b/>
          <w:sz w:val="24"/>
          <w:szCs w:val="24"/>
        </w:rPr>
      </w:pPr>
      <w:r w:rsidRPr="00B13947">
        <w:rPr>
          <w:b/>
          <w:sz w:val="24"/>
          <w:szCs w:val="24"/>
        </w:rPr>
        <w:t>4.6</w:t>
      </w:r>
      <w:r w:rsidRPr="00B13947">
        <w:rPr>
          <w:b/>
          <w:sz w:val="24"/>
          <w:szCs w:val="24"/>
        </w:rPr>
        <w:tab/>
      </w:r>
      <w:r w:rsidR="00E763FA">
        <w:rPr>
          <w:b/>
          <w:sz w:val="24"/>
          <w:szCs w:val="24"/>
        </w:rPr>
        <w:t>Fertilitet, g</w:t>
      </w:r>
      <w:r w:rsidRPr="00B13947">
        <w:rPr>
          <w:b/>
          <w:sz w:val="24"/>
          <w:szCs w:val="24"/>
        </w:rPr>
        <w:t>raviditet og amning</w:t>
      </w:r>
    </w:p>
    <w:p w14:paraId="40BB7879" w14:textId="77777777" w:rsidR="005C6943" w:rsidRDefault="005C6943" w:rsidP="007C572C">
      <w:pPr>
        <w:ind w:left="851"/>
        <w:rPr>
          <w:sz w:val="24"/>
          <w:szCs w:val="24"/>
        </w:rPr>
      </w:pPr>
    </w:p>
    <w:p w14:paraId="5882EDC8" w14:textId="41A06124" w:rsidR="00AE6CF7" w:rsidRPr="005C6943" w:rsidRDefault="00AE6CF7" w:rsidP="007C572C">
      <w:pPr>
        <w:ind w:left="851"/>
        <w:rPr>
          <w:sz w:val="24"/>
          <w:szCs w:val="24"/>
          <w:u w:val="single"/>
          <w:lang w:eastAsia="da-DK"/>
        </w:rPr>
      </w:pPr>
      <w:r w:rsidRPr="005C6943">
        <w:rPr>
          <w:sz w:val="24"/>
          <w:szCs w:val="24"/>
          <w:u w:val="single"/>
        </w:rPr>
        <w:t>Graviditet</w:t>
      </w:r>
    </w:p>
    <w:p w14:paraId="31E8F157" w14:textId="77777777" w:rsidR="00AE6CF7" w:rsidRPr="00B13947" w:rsidRDefault="00AE6CF7" w:rsidP="007C572C">
      <w:pPr>
        <w:ind w:left="851"/>
        <w:rPr>
          <w:sz w:val="24"/>
          <w:szCs w:val="24"/>
        </w:rPr>
      </w:pPr>
      <w:r w:rsidRPr="00B13947">
        <w:rPr>
          <w:sz w:val="24"/>
          <w:szCs w:val="24"/>
        </w:rPr>
        <w:t>Der foreligger utilstrækkelige data vedrørende brug af ketotifen øjendråber hos gravide kvinder. Dyreforsøg med oral administration af doser, der var toksiske for moderdyrene viste øget præ- og postnatal dødelighed men ingen teratogenicitet. Den systemiske koncentration, der opnås efter okulært brug, er meget lavere end efter oralt brug. Forsigtighed tilrådes ved ordination til gravide.</w:t>
      </w:r>
    </w:p>
    <w:p w14:paraId="507F6EB8" w14:textId="77777777" w:rsidR="00AE6CF7" w:rsidRPr="00B13947" w:rsidRDefault="00AE6CF7" w:rsidP="007C572C">
      <w:pPr>
        <w:ind w:left="851"/>
        <w:rPr>
          <w:sz w:val="24"/>
          <w:szCs w:val="24"/>
        </w:rPr>
      </w:pPr>
    </w:p>
    <w:p w14:paraId="43C77A0F" w14:textId="77777777" w:rsidR="00AE6CF7" w:rsidRPr="005C6943" w:rsidRDefault="00AE6CF7" w:rsidP="007C572C">
      <w:pPr>
        <w:ind w:left="851"/>
        <w:rPr>
          <w:sz w:val="24"/>
          <w:szCs w:val="24"/>
          <w:u w:val="single"/>
        </w:rPr>
      </w:pPr>
      <w:r w:rsidRPr="005C6943">
        <w:rPr>
          <w:sz w:val="24"/>
          <w:szCs w:val="24"/>
          <w:u w:val="single"/>
        </w:rPr>
        <w:t>Amning</w:t>
      </w:r>
    </w:p>
    <w:p w14:paraId="56A27CE5" w14:textId="77777777" w:rsidR="00AE6CF7" w:rsidRPr="00B13947" w:rsidRDefault="00AE6CF7" w:rsidP="007C572C">
      <w:pPr>
        <w:ind w:left="851"/>
        <w:rPr>
          <w:sz w:val="24"/>
          <w:szCs w:val="24"/>
        </w:rPr>
      </w:pPr>
      <w:r w:rsidRPr="00B13947">
        <w:rPr>
          <w:sz w:val="24"/>
          <w:szCs w:val="24"/>
        </w:rPr>
        <w:t>Selvom data fra dyr efter oral administration viser, at ketotifen udskilles i modermælk, er det ikke sandsynligt, at topikal administration til mennesker kan føre til målbare koncentrationer i modermælk. Ketazed kan anvendes ved amning.</w:t>
      </w:r>
    </w:p>
    <w:p w14:paraId="329E492A" w14:textId="77777777" w:rsidR="00AE6CF7" w:rsidRPr="00B13947" w:rsidRDefault="00AE6CF7" w:rsidP="007C572C">
      <w:pPr>
        <w:ind w:left="851"/>
        <w:rPr>
          <w:sz w:val="24"/>
          <w:szCs w:val="24"/>
        </w:rPr>
      </w:pPr>
    </w:p>
    <w:p w14:paraId="7D69A047" w14:textId="77777777" w:rsidR="00AE6CF7" w:rsidRPr="005C6943" w:rsidRDefault="00AE6CF7" w:rsidP="007C572C">
      <w:pPr>
        <w:ind w:left="851"/>
        <w:rPr>
          <w:sz w:val="24"/>
          <w:szCs w:val="24"/>
          <w:u w:val="single"/>
        </w:rPr>
      </w:pPr>
      <w:r w:rsidRPr="005C6943">
        <w:rPr>
          <w:sz w:val="24"/>
          <w:szCs w:val="24"/>
          <w:u w:val="single"/>
        </w:rPr>
        <w:t>Fertilitet</w:t>
      </w:r>
    </w:p>
    <w:p w14:paraId="5836C3B2" w14:textId="6031384C" w:rsidR="00AE6CF7" w:rsidRPr="00B13947" w:rsidRDefault="00AE6CF7" w:rsidP="007C572C">
      <w:pPr>
        <w:ind w:left="851"/>
        <w:rPr>
          <w:sz w:val="24"/>
          <w:szCs w:val="24"/>
        </w:rPr>
      </w:pPr>
      <w:r w:rsidRPr="00B13947">
        <w:rPr>
          <w:sz w:val="24"/>
          <w:szCs w:val="24"/>
        </w:rPr>
        <w:t>Der er ingen tilgængelige data vedrørende virkningen af ketotifenfumarat på fertiliteten hos mennesker.</w:t>
      </w:r>
    </w:p>
    <w:p w14:paraId="179DEE6D" w14:textId="77777777" w:rsidR="009260DE" w:rsidRPr="00B13947" w:rsidRDefault="009260DE" w:rsidP="009260DE">
      <w:pPr>
        <w:tabs>
          <w:tab w:val="left" w:pos="851"/>
        </w:tabs>
        <w:ind w:left="851"/>
        <w:rPr>
          <w:sz w:val="24"/>
          <w:szCs w:val="24"/>
        </w:rPr>
      </w:pPr>
    </w:p>
    <w:p w14:paraId="20D07C4E" w14:textId="040067E9" w:rsidR="009260DE" w:rsidRPr="00B13947" w:rsidRDefault="009260DE" w:rsidP="009260DE">
      <w:pPr>
        <w:tabs>
          <w:tab w:val="left" w:pos="851"/>
        </w:tabs>
        <w:ind w:left="851" w:hanging="851"/>
        <w:rPr>
          <w:b/>
          <w:sz w:val="24"/>
          <w:szCs w:val="24"/>
        </w:rPr>
      </w:pPr>
      <w:r w:rsidRPr="00B13947">
        <w:rPr>
          <w:b/>
          <w:sz w:val="24"/>
          <w:szCs w:val="24"/>
        </w:rPr>
        <w:t>4.7</w:t>
      </w:r>
      <w:r w:rsidRPr="00B13947">
        <w:rPr>
          <w:b/>
          <w:sz w:val="24"/>
          <w:szCs w:val="24"/>
        </w:rPr>
        <w:tab/>
        <w:t xml:space="preserve">Virkning på evnen til at føre motorkøretøj </w:t>
      </w:r>
      <w:r w:rsidR="005C5F6F">
        <w:rPr>
          <w:b/>
          <w:sz w:val="24"/>
          <w:szCs w:val="24"/>
        </w:rPr>
        <w:t>og</w:t>
      </w:r>
      <w:r w:rsidRPr="00B13947">
        <w:rPr>
          <w:b/>
          <w:sz w:val="24"/>
          <w:szCs w:val="24"/>
        </w:rPr>
        <w:t xml:space="preserve"> betjene maskiner</w:t>
      </w:r>
    </w:p>
    <w:p w14:paraId="7A64AF6A" w14:textId="77777777" w:rsidR="00AE6CF7" w:rsidRPr="00B13947" w:rsidRDefault="00AE6CF7" w:rsidP="007C572C">
      <w:pPr>
        <w:ind w:left="851"/>
        <w:rPr>
          <w:sz w:val="24"/>
          <w:szCs w:val="24"/>
          <w:lang w:eastAsia="da-DK"/>
        </w:rPr>
      </w:pPr>
      <w:r w:rsidRPr="00B13947">
        <w:rPr>
          <w:sz w:val="24"/>
          <w:szCs w:val="24"/>
        </w:rPr>
        <w:t>Ikke mærkning.</w:t>
      </w:r>
    </w:p>
    <w:p w14:paraId="03AA744A" w14:textId="77777777" w:rsidR="00AE6CF7" w:rsidRPr="00B13947" w:rsidRDefault="00AE6CF7" w:rsidP="007C572C">
      <w:pPr>
        <w:ind w:left="851"/>
        <w:rPr>
          <w:sz w:val="24"/>
          <w:szCs w:val="24"/>
        </w:rPr>
      </w:pPr>
      <w:r w:rsidRPr="00B13947">
        <w:rPr>
          <w:sz w:val="24"/>
          <w:szCs w:val="24"/>
        </w:rPr>
        <w:t>Patienter, som oplever sløret syn eller døsighed, bør ikke køre bil eller betjene maskiner.</w:t>
      </w:r>
    </w:p>
    <w:p w14:paraId="45590BD6" w14:textId="77777777" w:rsidR="009260DE" w:rsidRPr="00B13947" w:rsidRDefault="009260DE" w:rsidP="009260DE">
      <w:pPr>
        <w:tabs>
          <w:tab w:val="left" w:pos="851"/>
        </w:tabs>
        <w:ind w:left="851"/>
        <w:rPr>
          <w:sz w:val="24"/>
          <w:szCs w:val="24"/>
        </w:rPr>
      </w:pPr>
    </w:p>
    <w:p w14:paraId="0427F779" w14:textId="77777777" w:rsidR="009260DE" w:rsidRPr="00B13947" w:rsidRDefault="009260DE" w:rsidP="009260DE">
      <w:pPr>
        <w:tabs>
          <w:tab w:val="left" w:pos="851"/>
        </w:tabs>
        <w:ind w:left="851" w:hanging="851"/>
        <w:rPr>
          <w:b/>
          <w:sz w:val="24"/>
          <w:szCs w:val="24"/>
        </w:rPr>
      </w:pPr>
      <w:r w:rsidRPr="00B13947">
        <w:rPr>
          <w:b/>
          <w:sz w:val="24"/>
          <w:szCs w:val="24"/>
        </w:rPr>
        <w:t>4.8</w:t>
      </w:r>
      <w:r w:rsidRPr="00B13947">
        <w:rPr>
          <w:b/>
          <w:sz w:val="24"/>
          <w:szCs w:val="24"/>
        </w:rPr>
        <w:tab/>
        <w:t>Bivirkninger</w:t>
      </w:r>
    </w:p>
    <w:p w14:paraId="07FB032A" w14:textId="77777777" w:rsidR="00AE6CF7" w:rsidRPr="00B13947" w:rsidRDefault="00AE6CF7" w:rsidP="007C572C">
      <w:pPr>
        <w:ind w:left="851"/>
        <w:rPr>
          <w:sz w:val="24"/>
          <w:szCs w:val="24"/>
          <w:lang w:eastAsia="da-DK"/>
        </w:rPr>
      </w:pPr>
      <w:r w:rsidRPr="00B13947">
        <w:rPr>
          <w:sz w:val="24"/>
          <w:szCs w:val="24"/>
        </w:rPr>
        <w:t>Bivirkninger rangeres i forhold til frekvens, ved anvendelse af følgende konvention: Meget almindelig (≥1/10); almindelig (≥1/100 til &lt;1/10); ikke almindelig (≥1/1.000 til &lt;1/100); sjælden (≥1/10.000 til &lt;1/1.000); meget sjælden (&lt;1/10.000); ikke kendt (kan ikke estimeres ud fra forhåndenværende data).</w:t>
      </w:r>
    </w:p>
    <w:p w14:paraId="43B511D6" w14:textId="77777777" w:rsidR="00AE6CF7" w:rsidRPr="00C76E13" w:rsidRDefault="00AE6CF7" w:rsidP="007C572C">
      <w:pPr>
        <w:ind w:left="851"/>
        <w:rPr>
          <w:sz w:val="24"/>
          <w:szCs w:val="24"/>
        </w:rPr>
      </w:pPr>
    </w:p>
    <w:tbl>
      <w:tblPr>
        <w:tblW w:w="0" w:type="auto"/>
        <w:tblInd w:w="855" w:type="dxa"/>
        <w:tblLook w:val="04A0" w:firstRow="1" w:lastRow="0" w:firstColumn="1" w:lastColumn="0" w:noHBand="0" w:noVBand="1"/>
      </w:tblPr>
      <w:tblGrid>
        <w:gridCol w:w="2755"/>
        <w:gridCol w:w="6028"/>
      </w:tblGrid>
      <w:tr w:rsidR="00AE6CF7" w:rsidRPr="00B13947" w14:paraId="30253DBB" w14:textId="77777777" w:rsidTr="00AE6CF7">
        <w:trPr>
          <w:trHeight w:val="283"/>
        </w:trPr>
        <w:tc>
          <w:tcPr>
            <w:tcW w:w="2797" w:type="dxa"/>
            <w:hideMark/>
          </w:tcPr>
          <w:p w14:paraId="147A25B2" w14:textId="77777777" w:rsidR="00AE6CF7" w:rsidRPr="00C76E13" w:rsidRDefault="00AE6CF7" w:rsidP="007C572C">
            <w:pPr>
              <w:rPr>
                <w:b/>
                <w:sz w:val="24"/>
                <w:szCs w:val="24"/>
                <w:u w:val="single"/>
              </w:rPr>
            </w:pPr>
            <w:r w:rsidRPr="00C76E13">
              <w:rPr>
                <w:sz w:val="24"/>
                <w:szCs w:val="24"/>
                <w:u w:val="single"/>
              </w:rPr>
              <w:t>Immunsystemet</w:t>
            </w:r>
          </w:p>
        </w:tc>
        <w:tc>
          <w:tcPr>
            <w:tcW w:w="6202" w:type="dxa"/>
          </w:tcPr>
          <w:p w14:paraId="2D04E72C" w14:textId="77777777" w:rsidR="00AE6CF7" w:rsidRPr="00B13947" w:rsidRDefault="00AE6CF7" w:rsidP="007C572C">
            <w:pPr>
              <w:rPr>
                <w:b/>
                <w:sz w:val="24"/>
                <w:szCs w:val="24"/>
              </w:rPr>
            </w:pPr>
          </w:p>
        </w:tc>
      </w:tr>
      <w:tr w:rsidR="00AE6CF7" w:rsidRPr="00B13947" w14:paraId="0450D9D5" w14:textId="77777777" w:rsidTr="00AE6CF7">
        <w:trPr>
          <w:trHeight w:val="283"/>
        </w:trPr>
        <w:tc>
          <w:tcPr>
            <w:tcW w:w="2797" w:type="dxa"/>
            <w:hideMark/>
          </w:tcPr>
          <w:p w14:paraId="1FBDF1FF" w14:textId="77777777" w:rsidR="00AE6CF7" w:rsidRPr="00B13947" w:rsidRDefault="00AE6CF7" w:rsidP="007C572C">
            <w:pPr>
              <w:rPr>
                <w:b/>
                <w:sz w:val="24"/>
                <w:szCs w:val="24"/>
              </w:rPr>
            </w:pPr>
            <w:r w:rsidRPr="00B13947">
              <w:rPr>
                <w:sz w:val="24"/>
                <w:szCs w:val="24"/>
              </w:rPr>
              <w:t>Ikke almindelig:</w:t>
            </w:r>
          </w:p>
        </w:tc>
        <w:tc>
          <w:tcPr>
            <w:tcW w:w="6202" w:type="dxa"/>
          </w:tcPr>
          <w:p w14:paraId="54F98CEA" w14:textId="77777777" w:rsidR="00AE6CF7" w:rsidRPr="00B13947" w:rsidRDefault="00AE6CF7" w:rsidP="007C572C">
            <w:pPr>
              <w:rPr>
                <w:sz w:val="24"/>
                <w:szCs w:val="24"/>
              </w:rPr>
            </w:pPr>
            <w:r w:rsidRPr="00B13947">
              <w:rPr>
                <w:sz w:val="24"/>
                <w:szCs w:val="24"/>
              </w:rPr>
              <w:t>Hypersensitivitet</w:t>
            </w:r>
          </w:p>
          <w:p w14:paraId="049FDF94" w14:textId="77777777" w:rsidR="00AE6CF7" w:rsidRPr="00B13947" w:rsidRDefault="00AE6CF7" w:rsidP="007C572C">
            <w:pPr>
              <w:rPr>
                <w:b/>
                <w:sz w:val="24"/>
                <w:szCs w:val="24"/>
              </w:rPr>
            </w:pPr>
          </w:p>
        </w:tc>
      </w:tr>
      <w:tr w:rsidR="00AE6CF7" w:rsidRPr="00B13947" w14:paraId="5ABC94A0" w14:textId="77777777" w:rsidTr="00AE6CF7">
        <w:trPr>
          <w:trHeight w:val="283"/>
        </w:trPr>
        <w:tc>
          <w:tcPr>
            <w:tcW w:w="2797" w:type="dxa"/>
            <w:hideMark/>
          </w:tcPr>
          <w:p w14:paraId="2CC1622C" w14:textId="77777777" w:rsidR="00AE6CF7" w:rsidRPr="00C76E13" w:rsidRDefault="00AE6CF7" w:rsidP="007C572C">
            <w:pPr>
              <w:rPr>
                <w:b/>
                <w:sz w:val="24"/>
                <w:szCs w:val="24"/>
                <w:u w:val="single"/>
              </w:rPr>
            </w:pPr>
            <w:r w:rsidRPr="00C76E13">
              <w:rPr>
                <w:sz w:val="24"/>
                <w:szCs w:val="24"/>
                <w:u w:val="single"/>
              </w:rPr>
              <w:t>Nervesystemet</w:t>
            </w:r>
          </w:p>
        </w:tc>
        <w:tc>
          <w:tcPr>
            <w:tcW w:w="6202" w:type="dxa"/>
          </w:tcPr>
          <w:p w14:paraId="11E008C1" w14:textId="77777777" w:rsidR="00AE6CF7" w:rsidRPr="00B13947" w:rsidRDefault="00AE6CF7" w:rsidP="007C572C">
            <w:pPr>
              <w:rPr>
                <w:b/>
                <w:sz w:val="24"/>
                <w:szCs w:val="24"/>
              </w:rPr>
            </w:pPr>
          </w:p>
        </w:tc>
      </w:tr>
      <w:tr w:rsidR="00AE6CF7" w:rsidRPr="00B13947" w14:paraId="767F242D" w14:textId="77777777" w:rsidTr="00AE6CF7">
        <w:trPr>
          <w:trHeight w:val="283"/>
        </w:trPr>
        <w:tc>
          <w:tcPr>
            <w:tcW w:w="2797" w:type="dxa"/>
            <w:hideMark/>
          </w:tcPr>
          <w:p w14:paraId="0F9EA707" w14:textId="77777777" w:rsidR="00AE6CF7" w:rsidRPr="00B13947" w:rsidRDefault="00AE6CF7" w:rsidP="007C572C">
            <w:pPr>
              <w:rPr>
                <w:b/>
                <w:sz w:val="24"/>
                <w:szCs w:val="24"/>
              </w:rPr>
            </w:pPr>
            <w:r w:rsidRPr="00B13947">
              <w:rPr>
                <w:sz w:val="24"/>
                <w:szCs w:val="24"/>
              </w:rPr>
              <w:t>Ikke almindelig:</w:t>
            </w:r>
          </w:p>
        </w:tc>
        <w:tc>
          <w:tcPr>
            <w:tcW w:w="6202" w:type="dxa"/>
          </w:tcPr>
          <w:p w14:paraId="547A7668" w14:textId="77777777" w:rsidR="00AE6CF7" w:rsidRPr="00B13947" w:rsidRDefault="00AE6CF7" w:rsidP="007C572C">
            <w:pPr>
              <w:rPr>
                <w:sz w:val="24"/>
                <w:szCs w:val="24"/>
              </w:rPr>
            </w:pPr>
            <w:r w:rsidRPr="00B13947">
              <w:rPr>
                <w:sz w:val="24"/>
                <w:szCs w:val="24"/>
              </w:rPr>
              <w:t>Hovedpine</w:t>
            </w:r>
          </w:p>
          <w:p w14:paraId="791D5CD4" w14:textId="77777777" w:rsidR="00AE6CF7" w:rsidRPr="00B13947" w:rsidRDefault="00AE6CF7" w:rsidP="007C572C">
            <w:pPr>
              <w:rPr>
                <w:b/>
                <w:sz w:val="24"/>
                <w:szCs w:val="24"/>
              </w:rPr>
            </w:pPr>
          </w:p>
        </w:tc>
      </w:tr>
      <w:tr w:rsidR="00AE6CF7" w:rsidRPr="00B13947" w14:paraId="66AFB82C" w14:textId="77777777" w:rsidTr="00AE6CF7">
        <w:trPr>
          <w:trHeight w:val="283"/>
        </w:trPr>
        <w:tc>
          <w:tcPr>
            <w:tcW w:w="2797" w:type="dxa"/>
            <w:hideMark/>
          </w:tcPr>
          <w:p w14:paraId="069BD999" w14:textId="77777777" w:rsidR="00AE6CF7" w:rsidRPr="00C76E13" w:rsidRDefault="00AE6CF7" w:rsidP="007C572C">
            <w:pPr>
              <w:rPr>
                <w:sz w:val="24"/>
                <w:szCs w:val="24"/>
                <w:u w:val="single"/>
              </w:rPr>
            </w:pPr>
            <w:r w:rsidRPr="00C76E13">
              <w:rPr>
                <w:sz w:val="24"/>
                <w:szCs w:val="24"/>
                <w:u w:val="single"/>
              </w:rPr>
              <w:t>Øjne</w:t>
            </w:r>
          </w:p>
        </w:tc>
        <w:tc>
          <w:tcPr>
            <w:tcW w:w="6202" w:type="dxa"/>
          </w:tcPr>
          <w:p w14:paraId="23F770D1" w14:textId="77777777" w:rsidR="00AE6CF7" w:rsidRPr="00B13947" w:rsidRDefault="00AE6CF7" w:rsidP="007C572C">
            <w:pPr>
              <w:rPr>
                <w:sz w:val="24"/>
                <w:szCs w:val="24"/>
              </w:rPr>
            </w:pPr>
          </w:p>
        </w:tc>
      </w:tr>
      <w:tr w:rsidR="00AE6CF7" w:rsidRPr="00B13947" w14:paraId="6F40D643" w14:textId="77777777" w:rsidTr="00AE6CF7">
        <w:trPr>
          <w:trHeight w:val="283"/>
        </w:trPr>
        <w:tc>
          <w:tcPr>
            <w:tcW w:w="2797" w:type="dxa"/>
            <w:hideMark/>
          </w:tcPr>
          <w:p w14:paraId="7E395D4D" w14:textId="77777777" w:rsidR="00AE6CF7" w:rsidRPr="00B13947" w:rsidRDefault="00AE6CF7" w:rsidP="007C572C">
            <w:pPr>
              <w:rPr>
                <w:sz w:val="24"/>
                <w:szCs w:val="24"/>
              </w:rPr>
            </w:pPr>
            <w:r w:rsidRPr="00B13947">
              <w:rPr>
                <w:sz w:val="24"/>
                <w:szCs w:val="24"/>
              </w:rPr>
              <w:t>Almindelig:</w:t>
            </w:r>
          </w:p>
        </w:tc>
        <w:tc>
          <w:tcPr>
            <w:tcW w:w="6202" w:type="dxa"/>
            <w:hideMark/>
          </w:tcPr>
          <w:p w14:paraId="79BD53B2" w14:textId="77777777" w:rsidR="00AE6CF7" w:rsidRPr="00B13947" w:rsidRDefault="00AE6CF7" w:rsidP="007C572C">
            <w:pPr>
              <w:rPr>
                <w:sz w:val="24"/>
                <w:szCs w:val="24"/>
              </w:rPr>
            </w:pPr>
            <w:r w:rsidRPr="00B13947">
              <w:rPr>
                <w:sz w:val="24"/>
                <w:szCs w:val="24"/>
              </w:rPr>
              <w:t>Øjenirritation, øjensmerte, punktformig keratitis, punktformige epitele korneaerosioner</w:t>
            </w:r>
          </w:p>
        </w:tc>
      </w:tr>
      <w:tr w:rsidR="00AE6CF7" w:rsidRPr="00B13947" w14:paraId="09ED3ED8" w14:textId="77777777" w:rsidTr="00AE6CF7">
        <w:trPr>
          <w:trHeight w:val="283"/>
        </w:trPr>
        <w:tc>
          <w:tcPr>
            <w:tcW w:w="2797" w:type="dxa"/>
            <w:hideMark/>
          </w:tcPr>
          <w:p w14:paraId="2568B942" w14:textId="77777777" w:rsidR="00AE6CF7" w:rsidRPr="00B13947" w:rsidRDefault="00AE6CF7" w:rsidP="007C572C">
            <w:pPr>
              <w:rPr>
                <w:sz w:val="24"/>
                <w:szCs w:val="24"/>
              </w:rPr>
            </w:pPr>
            <w:r w:rsidRPr="00B13947">
              <w:rPr>
                <w:sz w:val="24"/>
                <w:szCs w:val="24"/>
              </w:rPr>
              <w:lastRenderedPageBreak/>
              <w:t>Ikke almindelig:</w:t>
            </w:r>
          </w:p>
        </w:tc>
        <w:tc>
          <w:tcPr>
            <w:tcW w:w="6202" w:type="dxa"/>
          </w:tcPr>
          <w:p w14:paraId="3D97E8A0" w14:textId="77777777" w:rsidR="00AE6CF7" w:rsidRPr="00B13947" w:rsidRDefault="00AE6CF7" w:rsidP="007C572C">
            <w:pPr>
              <w:rPr>
                <w:sz w:val="24"/>
                <w:szCs w:val="24"/>
              </w:rPr>
            </w:pPr>
            <w:r w:rsidRPr="00B13947">
              <w:rPr>
                <w:sz w:val="24"/>
                <w:szCs w:val="24"/>
              </w:rPr>
              <w:t>Sløret syn (efter inddrypning), tørre øjne, påvirkning af øjenlåget, konjunktivitis, lysfølsomhed, konjunktival blødning</w:t>
            </w:r>
          </w:p>
          <w:p w14:paraId="07C41F31" w14:textId="77777777" w:rsidR="00AE6CF7" w:rsidRPr="00B13947" w:rsidRDefault="00AE6CF7" w:rsidP="007C572C">
            <w:pPr>
              <w:rPr>
                <w:sz w:val="24"/>
                <w:szCs w:val="24"/>
              </w:rPr>
            </w:pPr>
          </w:p>
        </w:tc>
      </w:tr>
      <w:tr w:rsidR="00AE6CF7" w:rsidRPr="00B13947" w14:paraId="1E13B14B" w14:textId="77777777" w:rsidTr="00AE6CF7">
        <w:trPr>
          <w:trHeight w:val="283"/>
        </w:trPr>
        <w:tc>
          <w:tcPr>
            <w:tcW w:w="2797" w:type="dxa"/>
            <w:hideMark/>
          </w:tcPr>
          <w:p w14:paraId="6D90A61A" w14:textId="77777777" w:rsidR="00AE6CF7" w:rsidRPr="00C76E13" w:rsidRDefault="00AE6CF7" w:rsidP="007C572C">
            <w:pPr>
              <w:rPr>
                <w:sz w:val="24"/>
                <w:szCs w:val="24"/>
                <w:u w:val="single"/>
              </w:rPr>
            </w:pPr>
            <w:r w:rsidRPr="00C76E13">
              <w:rPr>
                <w:sz w:val="24"/>
                <w:szCs w:val="24"/>
                <w:u w:val="single"/>
              </w:rPr>
              <w:t>Mave-tarm-kanalen</w:t>
            </w:r>
          </w:p>
        </w:tc>
        <w:tc>
          <w:tcPr>
            <w:tcW w:w="6202" w:type="dxa"/>
          </w:tcPr>
          <w:p w14:paraId="61413824" w14:textId="77777777" w:rsidR="00AE6CF7" w:rsidRPr="00B13947" w:rsidRDefault="00AE6CF7" w:rsidP="007C572C">
            <w:pPr>
              <w:rPr>
                <w:sz w:val="24"/>
                <w:szCs w:val="24"/>
              </w:rPr>
            </w:pPr>
          </w:p>
        </w:tc>
      </w:tr>
      <w:tr w:rsidR="00AE6CF7" w:rsidRPr="00B13947" w14:paraId="08161350" w14:textId="77777777" w:rsidTr="00AE6CF7">
        <w:trPr>
          <w:trHeight w:val="283"/>
        </w:trPr>
        <w:tc>
          <w:tcPr>
            <w:tcW w:w="2797" w:type="dxa"/>
            <w:hideMark/>
          </w:tcPr>
          <w:p w14:paraId="74855984" w14:textId="77777777" w:rsidR="00AE6CF7" w:rsidRPr="00B13947" w:rsidRDefault="00AE6CF7" w:rsidP="007C572C">
            <w:pPr>
              <w:rPr>
                <w:sz w:val="24"/>
                <w:szCs w:val="24"/>
              </w:rPr>
            </w:pPr>
            <w:r w:rsidRPr="00B13947">
              <w:rPr>
                <w:sz w:val="24"/>
                <w:szCs w:val="24"/>
              </w:rPr>
              <w:t>Ikke almindelig:</w:t>
            </w:r>
          </w:p>
        </w:tc>
        <w:tc>
          <w:tcPr>
            <w:tcW w:w="6202" w:type="dxa"/>
          </w:tcPr>
          <w:p w14:paraId="3AC823E6" w14:textId="77777777" w:rsidR="00AE6CF7" w:rsidRPr="00B13947" w:rsidRDefault="00AE6CF7" w:rsidP="007C572C">
            <w:pPr>
              <w:rPr>
                <w:sz w:val="24"/>
                <w:szCs w:val="24"/>
              </w:rPr>
            </w:pPr>
            <w:r w:rsidRPr="00B13947">
              <w:rPr>
                <w:sz w:val="24"/>
                <w:szCs w:val="24"/>
              </w:rPr>
              <w:t>Mundtørhed</w:t>
            </w:r>
          </w:p>
          <w:p w14:paraId="2B160DA4" w14:textId="77777777" w:rsidR="00AE6CF7" w:rsidRPr="00B13947" w:rsidRDefault="00AE6CF7" w:rsidP="007C572C">
            <w:pPr>
              <w:rPr>
                <w:sz w:val="24"/>
                <w:szCs w:val="24"/>
              </w:rPr>
            </w:pPr>
          </w:p>
        </w:tc>
      </w:tr>
      <w:tr w:rsidR="00AE6CF7" w:rsidRPr="00B13947" w14:paraId="31CCAFFC" w14:textId="77777777" w:rsidTr="00AE6CF7">
        <w:trPr>
          <w:trHeight w:val="283"/>
        </w:trPr>
        <w:tc>
          <w:tcPr>
            <w:tcW w:w="2797" w:type="dxa"/>
            <w:hideMark/>
          </w:tcPr>
          <w:p w14:paraId="51EFA985" w14:textId="77777777" w:rsidR="00AE6CF7" w:rsidRPr="00C76E13" w:rsidRDefault="00AE6CF7" w:rsidP="007C572C">
            <w:pPr>
              <w:rPr>
                <w:sz w:val="24"/>
                <w:szCs w:val="24"/>
                <w:u w:val="single"/>
              </w:rPr>
            </w:pPr>
            <w:r w:rsidRPr="00C76E13">
              <w:rPr>
                <w:sz w:val="24"/>
                <w:szCs w:val="24"/>
                <w:u w:val="single"/>
              </w:rPr>
              <w:t>Hud og subkutane væv</w:t>
            </w:r>
          </w:p>
        </w:tc>
        <w:tc>
          <w:tcPr>
            <w:tcW w:w="6202" w:type="dxa"/>
          </w:tcPr>
          <w:p w14:paraId="72473BC4" w14:textId="77777777" w:rsidR="00AE6CF7" w:rsidRPr="00B13947" w:rsidRDefault="00AE6CF7" w:rsidP="007C572C">
            <w:pPr>
              <w:rPr>
                <w:sz w:val="24"/>
                <w:szCs w:val="24"/>
              </w:rPr>
            </w:pPr>
          </w:p>
        </w:tc>
      </w:tr>
      <w:tr w:rsidR="00AE6CF7" w:rsidRPr="00B13947" w14:paraId="70CB69FE" w14:textId="77777777" w:rsidTr="00AE6CF7">
        <w:trPr>
          <w:trHeight w:val="283"/>
        </w:trPr>
        <w:tc>
          <w:tcPr>
            <w:tcW w:w="2797" w:type="dxa"/>
            <w:hideMark/>
          </w:tcPr>
          <w:p w14:paraId="1488320A" w14:textId="77777777" w:rsidR="00AE6CF7" w:rsidRPr="00B13947" w:rsidRDefault="00AE6CF7" w:rsidP="007C572C">
            <w:pPr>
              <w:rPr>
                <w:sz w:val="24"/>
                <w:szCs w:val="24"/>
              </w:rPr>
            </w:pPr>
            <w:r w:rsidRPr="00B13947">
              <w:rPr>
                <w:sz w:val="24"/>
                <w:szCs w:val="24"/>
              </w:rPr>
              <w:t>Ikke almindelig:</w:t>
            </w:r>
          </w:p>
        </w:tc>
        <w:tc>
          <w:tcPr>
            <w:tcW w:w="6202" w:type="dxa"/>
          </w:tcPr>
          <w:p w14:paraId="47F454CB" w14:textId="77777777" w:rsidR="00AE6CF7" w:rsidRPr="00B13947" w:rsidRDefault="00AE6CF7" w:rsidP="007C572C">
            <w:pPr>
              <w:rPr>
                <w:sz w:val="24"/>
                <w:szCs w:val="24"/>
              </w:rPr>
            </w:pPr>
            <w:r w:rsidRPr="00B13947">
              <w:rPr>
                <w:sz w:val="24"/>
                <w:szCs w:val="24"/>
              </w:rPr>
              <w:t>Udslæt, eksem, urticaria</w:t>
            </w:r>
          </w:p>
          <w:p w14:paraId="0365BB34" w14:textId="77777777" w:rsidR="00AE6CF7" w:rsidRPr="00B13947" w:rsidRDefault="00AE6CF7" w:rsidP="007C572C">
            <w:pPr>
              <w:rPr>
                <w:sz w:val="24"/>
                <w:szCs w:val="24"/>
              </w:rPr>
            </w:pPr>
          </w:p>
        </w:tc>
      </w:tr>
      <w:tr w:rsidR="00AE6CF7" w:rsidRPr="00B13947" w14:paraId="220D34AD" w14:textId="77777777" w:rsidTr="00AE6CF7">
        <w:trPr>
          <w:trHeight w:val="283"/>
        </w:trPr>
        <w:tc>
          <w:tcPr>
            <w:tcW w:w="8999" w:type="dxa"/>
            <w:gridSpan w:val="2"/>
            <w:hideMark/>
          </w:tcPr>
          <w:p w14:paraId="46AE26A4" w14:textId="77777777" w:rsidR="00AE6CF7" w:rsidRPr="00C76E13" w:rsidRDefault="00AE6CF7" w:rsidP="007C572C">
            <w:pPr>
              <w:rPr>
                <w:sz w:val="24"/>
                <w:szCs w:val="24"/>
                <w:u w:val="single"/>
              </w:rPr>
            </w:pPr>
            <w:r w:rsidRPr="00C76E13">
              <w:rPr>
                <w:sz w:val="24"/>
                <w:szCs w:val="24"/>
                <w:u w:val="single"/>
              </w:rPr>
              <w:t>Almene symptomer og reaktioner på administrationsstedet</w:t>
            </w:r>
          </w:p>
        </w:tc>
      </w:tr>
      <w:tr w:rsidR="00AE6CF7" w:rsidRPr="00B13947" w14:paraId="2B37CA84" w14:textId="77777777" w:rsidTr="00AE6CF7">
        <w:trPr>
          <w:trHeight w:val="283"/>
        </w:trPr>
        <w:tc>
          <w:tcPr>
            <w:tcW w:w="2797" w:type="dxa"/>
            <w:hideMark/>
          </w:tcPr>
          <w:p w14:paraId="6FAA952E" w14:textId="77777777" w:rsidR="00AE6CF7" w:rsidRPr="00B13947" w:rsidRDefault="00AE6CF7" w:rsidP="007C572C">
            <w:pPr>
              <w:rPr>
                <w:sz w:val="24"/>
                <w:szCs w:val="24"/>
              </w:rPr>
            </w:pPr>
            <w:r w:rsidRPr="00B13947">
              <w:rPr>
                <w:sz w:val="24"/>
                <w:szCs w:val="24"/>
              </w:rPr>
              <w:t>Ikke almindelig:</w:t>
            </w:r>
          </w:p>
        </w:tc>
        <w:tc>
          <w:tcPr>
            <w:tcW w:w="6202" w:type="dxa"/>
            <w:hideMark/>
          </w:tcPr>
          <w:p w14:paraId="7E29F8B9" w14:textId="77777777" w:rsidR="00AE6CF7" w:rsidRPr="00B13947" w:rsidRDefault="00AE6CF7" w:rsidP="007C572C">
            <w:pPr>
              <w:rPr>
                <w:sz w:val="24"/>
                <w:szCs w:val="24"/>
              </w:rPr>
            </w:pPr>
            <w:r w:rsidRPr="00B13947">
              <w:rPr>
                <w:sz w:val="24"/>
                <w:szCs w:val="24"/>
              </w:rPr>
              <w:t>Døsighed</w:t>
            </w:r>
          </w:p>
        </w:tc>
      </w:tr>
    </w:tbl>
    <w:p w14:paraId="166106CB" w14:textId="77777777" w:rsidR="00AE6CF7" w:rsidRPr="00B13947" w:rsidRDefault="00AE6CF7" w:rsidP="00AE6CF7">
      <w:pPr>
        <w:tabs>
          <w:tab w:val="left" w:pos="2694"/>
        </w:tabs>
        <w:ind w:left="2694" w:hanging="1843"/>
        <w:rPr>
          <w:sz w:val="24"/>
          <w:szCs w:val="24"/>
        </w:rPr>
      </w:pPr>
    </w:p>
    <w:p w14:paraId="234E4F3F" w14:textId="77777777" w:rsidR="00AE6CF7" w:rsidRPr="00C76E13" w:rsidRDefault="00AE6CF7" w:rsidP="007C572C">
      <w:pPr>
        <w:ind w:left="851"/>
        <w:rPr>
          <w:sz w:val="24"/>
          <w:szCs w:val="24"/>
          <w:u w:val="single"/>
        </w:rPr>
      </w:pPr>
      <w:r w:rsidRPr="00C76E13">
        <w:rPr>
          <w:sz w:val="24"/>
          <w:szCs w:val="24"/>
          <w:u w:val="single"/>
        </w:rPr>
        <w:t xml:space="preserve">Bivirkninger rapporteret efter markedsføringen (frekvensen er ikke kendt): </w:t>
      </w:r>
    </w:p>
    <w:p w14:paraId="0E42F1E4" w14:textId="196FBA7C" w:rsidR="00AE6CF7" w:rsidRPr="00B13947" w:rsidRDefault="00AE6CF7" w:rsidP="007C572C">
      <w:pPr>
        <w:ind w:left="851"/>
        <w:rPr>
          <w:sz w:val="24"/>
          <w:szCs w:val="24"/>
        </w:rPr>
      </w:pPr>
      <w:r w:rsidRPr="00B13947">
        <w:rPr>
          <w:sz w:val="24"/>
          <w:szCs w:val="24"/>
        </w:rPr>
        <w:t>Følgende hændelser er også blevet observeret i perioden efter markedsføring: Hypersensitivitetsreaktioner inklusive lokale allergiske reaktioner (oftest kontakt</w:t>
      </w:r>
      <w:r w:rsidR="00F524A5">
        <w:rPr>
          <w:sz w:val="24"/>
          <w:szCs w:val="24"/>
        </w:rPr>
        <w:softHyphen/>
      </w:r>
      <w:r w:rsidRPr="00B13947">
        <w:rPr>
          <w:sz w:val="24"/>
          <w:szCs w:val="24"/>
        </w:rPr>
        <w:t>dermatitis, øjenhævelse, øjenlågspruritus og ødem), systemiske allergiske reaktioner inklusiv</w:t>
      </w:r>
      <w:r w:rsidR="00C76E13">
        <w:rPr>
          <w:sz w:val="24"/>
          <w:szCs w:val="24"/>
        </w:rPr>
        <w:t>e</w:t>
      </w:r>
      <w:r w:rsidRPr="00B13947">
        <w:rPr>
          <w:sz w:val="24"/>
          <w:szCs w:val="24"/>
        </w:rPr>
        <w:t xml:space="preserve"> ansigtshævelse/ødem (i nogle tilfælde associeret med kontaktdermatitis) og eksacerbation af præ-eksisterende allergiske tilstande som astma og eksem.</w:t>
      </w:r>
    </w:p>
    <w:p w14:paraId="39466EAD" w14:textId="77777777" w:rsidR="00AE6CF7" w:rsidRPr="00B13947" w:rsidRDefault="00AE6CF7" w:rsidP="007C572C">
      <w:pPr>
        <w:ind w:left="851"/>
        <w:rPr>
          <w:sz w:val="24"/>
          <w:szCs w:val="24"/>
        </w:rPr>
      </w:pPr>
    </w:p>
    <w:p w14:paraId="5E10BB30" w14:textId="77777777" w:rsidR="00AE6CF7" w:rsidRPr="00C76E13" w:rsidRDefault="00AE6CF7" w:rsidP="007C572C">
      <w:pPr>
        <w:ind w:left="851"/>
        <w:rPr>
          <w:sz w:val="24"/>
          <w:szCs w:val="24"/>
          <w:u w:val="single"/>
        </w:rPr>
      </w:pPr>
      <w:r w:rsidRPr="00C76E13">
        <w:rPr>
          <w:noProof/>
          <w:sz w:val="24"/>
          <w:szCs w:val="24"/>
          <w:u w:val="single"/>
        </w:rPr>
        <w:t>Indberetning af formodede bivirkninger</w:t>
      </w:r>
    </w:p>
    <w:p w14:paraId="42EA0032" w14:textId="4CA36FA4" w:rsidR="00AE6CF7" w:rsidRPr="00B13947" w:rsidRDefault="00AE6CF7" w:rsidP="007C572C">
      <w:pPr>
        <w:ind w:left="851"/>
        <w:rPr>
          <w:noProof/>
          <w:sz w:val="24"/>
          <w:szCs w:val="24"/>
        </w:rPr>
      </w:pPr>
      <w:r w:rsidRPr="00B13947">
        <w:rPr>
          <w:sz w:val="24"/>
          <w:szCs w:val="24"/>
        </w:rPr>
        <w:t>Når lægemidlet er godkendt, er indberetning af formodede bivirkninger vigtig. Det</w:t>
      </w:r>
      <w:r w:rsidRPr="00B13947">
        <w:rPr>
          <w:noProof/>
          <w:sz w:val="24"/>
          <w:szCs w:val="24"/>
        </w:rPr>
        <w:t xml:space="preserve"> muliggør løbende overvågning af benefit/risk-forholdet for lægemidlet.</w:t>
      </w:r>
      <w:r w:rsidRPr="00B13947">
        <w:rPr>
          <w:sz w:val="24"/>
          <w:szCs w:val="24"/>
        </w:rPr>
        <w:t xml:space="preserve"> </w:t>
      </w:r>
      <w:r w:rsidRPr="00B13947">
        <w:rPr>
          <w:noProof/>
          <w:sz w:val="24"/>
          <w:szCs w:val="24"/>
        </w:rPr>
        <w:t>Sundhedspersoner anmodes om at indberette alle formodede bivirkninger via:</w:t>
      </w:r>
    </w:p>
    <w:p w14:paraId="26165D40" w14:textId="77777777" w:rsidR="00AE6CF7" w:rsidRPr="00B13947" w:rsidRDefault="00AE6CF7" w:rsidP="007C572C">
      <w:pPr>
        <w:ind w:left="851"/>
        <w:rPr>
          <w:sz w:val="24"/>
          <w:szCs w:val="24"/>
        </w:rPr>
      </w:pPr>
    </w:p>
    <w:p w14:paraId="430426FC" w14:textId="77777777" w:rsidR="00AE6CF7" w:rsidRPr="00B13947" w:rsidRDefault="00AE6CF7" w:rsidP="007C572C">
      <w:pPr>
        <w:ind w:left="851"/>
        <w:rPr>
          <w:sz w:val="24"/>
          <w:szCs w:val="24"/>
        </w:rPr>
      </w:pPr>
      <w:r w:rsidRPr="00B13947">
        <w:rPr>
          <w:sz w:val="24"/>
          <w:szCs w:val="24"/>
        </w:rPr>
        <w:t>Lægemiddelstyrelsen</w:t>
      </w:r>
    </w:p>
    <w:p w14:paraId="11585702" w14:textId="77777777" w:rsidR="00AE6CF7" w:rsidRPr="00B13947" w:rsidRDefault="00AE6CF7" w:rsidP="007C572C">
      <w:pPr>
        <w:ind w:left="851"/>
        <w:rPr>
          <w:sz w:val="24"/>
          <w:szCs w:val="24"/>
        </w:rPr>
      </w:pPr>
      <w:r w:rsidRPr="00B13947">
        <w:rPr>
          <w:sz w:val="24"/>
          <w:szCs w:val="24"/>
        </w:rPr>
        <w:t>Axel Heides Gade 1</w:t>
      </w:r>
    </w:p>
    <w:p w14:paraId="050EA9D1" w14:textId="77777777" w:rsidR="00AE6CF7" w:rsidRPr="00B13947" w:rsidRDefault="00AE6CF7" w:rsidP="007C572C">
      <w:pPr>
        <w:ind w:left="851"/>
        <w:rPr>
          <w:sz w:val="24"/>
          <w:szCs w:val="24"/>
        </w:rPr>
      </w:pPr>
      <w:r w:rsidRPr="00B13947">
        <w:rPr>
          <w:sz w:val="24"/>
          <w:szCs w:val="24"/>
        </w:rPr>
        <w:t>DK-2300 København S</w:t>
      </w:r>
    </w:p>
    <w:p w14:paraId="1E957259" w14:textId="77777777" w:rsidR="00AE6CF7" w:rsidRPr="00B13947" w:rsidRDefault="00AE6CF7" w:rsidP="007C572C">
      <w:pPr>
        <w:ind w:left="851"/>
        <w:rPr>
          <w:sz w:val="24"/>
          <w:szCs w:val="24"/>
        </w:rPr>
      </w:pPr>
      <w:r w:rsidRPr="00B13947">
        <w:rPr>
          <w:sz w:val="24"/>
          <w:szCs w:val="24"/>
        </w:rPr>
        <w:t xml:space="preserve">Websted: </w:t>
      </w:r>
      <w:hyperlink r:id="rId8" w:tooltip="http://www.meldenbivirkning.dk/" w:history="1">
        <w:r w:rsidRPr="00B13947">
          <w:rPr>
            <w:rStyle w:val="Hyperlink"/>
            <w:sz w:val="24"/>
            <w:szCs w:val="24"/>
          </w:rPr>
          <w:t>www.meldenbivirkning.dk</w:t>
        </w:r>
      </w:hyperlink>
    </w:p>
    <w:p w14:paraId="16D5E20F" w14:textId="77777777" w:rsidR="009260DE" w:rsidRPr="00B13947" w:rsidRDefault="009260DE" w:rsidP="00A10294">
      <w:pPr>
        <w:tabs>
          <w:tab w:val="left" w:pos="851"/>
        </w:tabs>
        <w:ind w:left="851"/>
        <w:rPr>
          <w:sz w:val="24"/>
          <w:szCs w:val="24"/>
        </w:rPr>
      </w:pPr>
    </w:p>
    <w:p w14:paraId="264E1B63" w14:textId="77777777" w:rsidR="009260DE" w:rsidRPr="00B13947" w:rsidRDefault="009260DE" w:rsidP="009260DE">
      <w:pPr>
        <w:tabs>
          <w:tab w:val="left" w:pos="851"/>
        </w:tabs>
        <w:ind w:left="851" w:hanging="851"/>
        <w:rPr>
          <w:b/>
          <w:sz w:val="24"/>
          <w:szCs w:val="24"/>
        </w:rPr>
      </w:pPr>
      <w:r w:rsidRPr="00B13947">
        <w:rPr>
          <w:b/>
          <w:sz w:val="24"/>
          <w:szCs w:val="24"/>
        </w:rPr>
        <w:t>4.9</w:t>
      </w:r>
      <w:r w:rsidRPr="00B13947">
        <w:rPr>
          <w:b/>
          <w:sz w:val="24"/>
          <w:szCs w:val="24"/>
        </w:rPr>
        <w:tab/>
        <w:t>Overdosering</w:t>
      </w:r>
    </w:p>
    <w:p w14:paraId="45568EBC" w14:textId="77777777" w:rsidR="00AE6CF7" w:rsidRPr="00B13947" w:rsidRDefault="00AE6CF7" w:rsidP="007C572C">
      <w:pPr>
        <w:ind w:left="851"/>
        <w:rPr>
          <w:sz w:val="24"/>
          <w:szCs w:val="24"/>
          <w:lang w:eastAsia="da-DK"/>
        </w:rPr>
      </w:pPr>
      <w:r w:rsidRPr="00B13947">
        <w:rPr>
          <w:sz w:val="24"/>
          <w:szCs w:val="24"/>
        </w:rPr>
        <w:t>Der er ikke indberettet nogen tilfælde af overdosering.</w:t>
      </w:r>
    </w:p>
    <w:p w14:paraId="24AE94F2" w14:textId="77777777" w:rsidR="00AE6CF7" w:rsidRPr="00B13947" w:rsidRDefault="00AE6CF7" w:rsidP="007C572C">
      <w:pPr>
        <w:ind w:left="851"/>
        <w:rPr>
          <w:sz w:val="24"/>
          <w:szCs w:val="24"/>
        </w:rPr>
      </w:pPr>
    </w:p>
    <w:p w14:paraId="5894C8CD" w14:textId="77777777" w:rsidR="00AE6CF7" w:rsidRPr="00B13947" w:rsidRDefault="00AE6CF7" w:rsidP="007C572C">
      <w:pPr>
        <w:ind w:left="851"/>
        <w:rPr>
          <w:sz w:val="24"/>
          <w:szCs w:val="24"/>
        </w:rPr>
      </w:pPr>
      <w:r w:rsidRPr="00B13947">
        <w:rPr>
          <w:sz w:val="24"/>
          <w:szCs w:val="24"/>
        </w:rPr>
        <w:t>Oral indtagelse af indholdet i en 10 ml flaske svarer til 2,5 mg ketotifen, hvilket er 125 % af den rekommanderede orale daglige dosis for et 3-årigt barn. Kliniske resultater har ikke vist nogen alvorlige symptomer efter oral indtagelse af op til 20 mg ketotifen.</w:t>
      </w:r>
    </w:p>
    <w:p w14:paraId="719080DA" w14:textId="77777777" w:rsidR="009260DE" w:rsidRPr="00B13947" w:rsidRDefault="009260DE" w:rsidP="009260DE">
      <w:pPr>
        <w:tabs>
          <w:tab w:val="left" w:pos="851"/>
        </w:tabs>
        <w:ind w:left="851"/>
        <w:rPr>
          <w:sz w:val="24"/>
          <w:szCs w:val="24"/>
        </w:rPr>
      </w:pPr>
    </w:p>
    <w:p w14:paraId="4FAC1B5D" w14:textId="77777777" w:rsidR="009260DE" w:rsidRPr="00B13947" w:rsidRDefault="009260DE" w:rsidP="009260DE">
      <w:pPr>
        <w:tabs>
          <w:tab w:val="left" w:pos="851"/>
        </w:tabs>
        <w:ind w:left="851" w:hanging="851"/>
        <w:rPr>
          <w:b/>
          <w:sz w:val="24"/>
          <w:szCs w:val="24"/>
        </w:rPr>
      </w:pPr>
      <w:r w:rsidRPr="00B13947">
        <w:rPr>
          <w:b/>
          <w:sz w:val="24"/>
          <w:szCs w:val="24"/>
        </w:rPr>
        <w:t>4.10</w:t>
      </w:r>
      <w:r w:rsidRPr="00B13947">
        <w:rPr>
          <w:b/>
          <w:sz w:val="24"/>
          <w:szCs w:val="24"/>
        </w:rPr>
        <w:tab/>
        <w:t>Udlevering</w:t>
      </w:r>
    </w:p>
    <w:p w14:paraId="00ECFB03" w14:textId="77777777" w:rsidR="00B93E48" w:rsidRDefault="00B93E48" w:rsidP="00B93E48">
      <w:pPr>
        <w:tabs>
          <w:tab w:val="left" w:pos="851"/>
        </w:tabs>
        <w:ind w:left="851"/>
        <w:rPr>
          <w:sz w:val="24"/>
          <w:szCs w:val="24"/>
        </w:rPr>
      </w:pPr>
      <w:r>
        <w:rPr>
          <w:sz w:val="24"/>
          <w:szCs w:val="24"/>
        </w:rPr>
        <w:t>HA</w:t>
      </w:r>
    </w:p>
    <w:p w14:paraId="304D493B" w14:textId="77777777" w:rsidR="009260DE" w:rsidRPr="00B13947" w:rsidRDefault="009260DE" w:rsidP="009260DE">
      <w:pPr>
        <w:tabs>
          <w:tab w:val="left" w:pos="851"/>
        </w:tabs>
        <w:ind w:left="851"/>
        <w:rPr>
          <w:sz w:val="24"/>
          <w:szCs w:val="24"/>
        </w:rPr>
      </w:pPr>
    </w:p>
    <w:p w14:paraId="1FFF2318" w14:textId="77777777" w:rsidR="009260DE" w:rsidRPr="00B13947" w:rsidRDefault="009260DE" w:rsidP="009260DE">
      <w:pPr>
        <w:tabs>
          <w:tab w:val="left" w:pos="851"/>
        </w:tabs>
        <w:ind w:left="851"/>
        <w:rPr>
          <w:sz w:val="24"/>
          <w:szCs w:val="24"/>
        </w:rPr>
      </w:pPr>
    </w:p>
    <w:p w14:paraId="19F20E36" w14:textId="77777777" w:rsidR="009260DE" w:rsidRPr="00B13947" w:rsidRDefault="009260DE" w:rsidP="009260DE">
      <w:pPr>
        <w:tabs>
          <w:tab w:val="left" w:pos="851"/>
        </w:tabs>
        <w:ind w:left="851" w:hanging="851"/>
        <w:rPr>
          <w:b/>
          <w:sz w:val="24"/>
          <w:szCs w:val="24"/>
        </w:rPr>
      </w:pPr>
      <w:r w:rsidRPr="00B13947">
        <w:rPr>
          <w:b/>
          <w:sz w:val="24"/>
          <w:szCs w:val="24"/>
        </w:rPr>
        <w:t>5.</w:t>
      </w:r>
      <w:r w:rsidRPr="00B13947">
        <w:rPr>
          <w:b/>
          <w:sz w:val="24"/>
          <w:szCs w:val="24"/>
        </w:rPr>
        <w:tab/>
        <w:t>FARMAKOLOGISKE EGENSKABER</w:t>
      </w:r>
    </w:p>
    <w:p w14:paraId="7617F3D2" w14:textId="77777777" w:rsidR="009260DE" w:rsidRPr="00B13947" w:rsidRDefault="009260DE" w:rsidP="009260DE">
      <w:pPr>
        <w:tabs>
          <w:tab w:val="left" w:pos="851"/>
        </w:tabs>
        <w:ind w:left="851"/>
        <w:rPr>
          <w:sz w:val="24"/>
          <w:szCs w:val="24"/>
        </w:rPr>
      </w:pPr>
    </w:p>
    <w:p w14:paraId="0D760D8B" w14:textId="77777777" w:rsidR="009260DE" w:rsidRPr="00B13947" w:rsidRDefault="009260DE" w:rsidP="009260DE">
      <w:pPr>
        <w:tabs>
          <w:tab w:val="num" w:pos="851"/>
        </w:tabs>
        <w:ind w:left="851" w:hanging="851"/>
        <w:rPr>
          <w:b/>
          <w:sz w:val="24"/>
          <w:szCs w:val="24"/>
        </w:rPr>
      </w:pPr>
      <w:r w:rsidRPr="00B13947">
        <w:rPr>
          <w:b/>
          <w:sz w:val="24"/>
          <w:szCs w:val="24"/>
        </w:rPr>
        <w:t>5.1</w:t>
      </w:r>
      <w:r w:rsidRPr="00B13947">
        <w:rPr>
          <w:b/>
          <w:sz w:val="24"/>
          <w:szCs w:val="24"/>
        </w:rPr>
        <w:tab/>
        <w:t>Farmakodynamiske egenskaber</w:t>
      </w:r>
    </w:p>
    <w:p w14:paraId="49415AA4" w14:textId="2FC031B0" w:rsidR="00E763FA" w:rsidRDefault="00E763FA" w:rsidP="00E763FA">
      <w:pPr>
        <w:tabs>
          <w:tab w:val="left" w:pos="851"/>
        </w:tabs>
        <w:ind w:left="851" w:hanging="851"/>
        <w:rPr>
          <w:sz w:val="24"/>
          <w:szCs w:val="24"/>
        </w:rPr>
      </w:pPr>
      <w:r w:rsidRPr="00E763FA">
        <w:rPr>
          <w:sz w:val="24"/>
          <w:szCs w:val="24"/>
        </w:rPr>
        <w:tab/>
        <w:t>Farmakoterapeutisk klassifikation</w:t>
      </w:r>
      <w:r>
        <w:rPr>
          <w:sz w:val="24"/>
          <w:szCs w:val="24"/>
        </w:rPr>
        <w:t xml:space="preserve">: </w:t>
      </w:r>
      <w:r w:rsidRPr="00B13947">
        <w:rPr>
          <w:sz w:val="24"/>
          <w:szCs w:val="24"/>
        </w:rPr>
        <w:t>Øjenlægemidler, andre antihistaminer.</w:t>
      </w:r>
      <w:r>
        <w:rPr>
          <w:sz w:val="24"/>
          <w:szCs w:val="24"/>
        </w:rPr>
        <w:t xml:space="preserve"> </w:t>
      </w:r>
      <w:r w:rsidRPr="00B13947">
        <w:rPr>
          <w:sz w:val="24"/>
          <w:szCs w:val="24"/>
          <w:lang w:val="pl-PL"/>
        </w:rPr>
        <w:t>ATC-kode: S</w:t>
      </w:r>
      <w:r>
        <w:rPr>
          <w:sz w:val="24"/>
          <w:szCs w:val="24"/>
          <w:lang w:val="pl-PL"/>
        </w:rPr>
        <w:t> </w:t>
      </w:r>
      <w:r w:rsidRPr="00B13947">
        <w:rPr>
          <w:sz w:val="24"/>
          <w:szCs w:val="24"/>
          <w:lang w:val="pl-PL"/>
        </w:rPr>
        <w:t>01</w:t>
      </w:r>
      <w:r>
        <w:rPr>
          <w:sz w:val="24"/>
          <w:szCs w:val="24"/>
          <w:lang w:val="pl-PL"/>
        </w:rPr>
        <w:t> </w:t>
      </w:r>
      <w:r w:rsidRPr="00B13947">
        <w:rPr>
          <w:sz w:val="24"/>
          <w:szCs w:val="24"/>
          <w:lang w:val="pl-PL"/>
        </w:rPr>
        <w:t>G X 08.</w:t>
      </w:r>
    </w:p>
    <w:p w14:paraId="6E186F63" w14:textId="77777777" w:rsidR="00E763FA" w:rsidRDefault="00E763FA" w:rsidP="007C572C">
      <w:pPr>
        <w:ind w:left="851"/>
        <w:rPr>
          <w:sz w:val="24"/>
          <w:szCs w:val="24"/>
        </w:rPr>
      </w:pPr>
    </w:p>
    <w:p w14:paraId="2290772F" w14:textId="6B3F1513" w:rsidR="001413E8" w:rsidRPr="00B13947" w:rsidRDefault="001413E8" w:rsidP="007C572C">
      <w:pPr>
        <w:ind w:left="851"/>
        <w:rPr>
          <w:sz w:val="24"/>
          <w:szCs w:val="24"/>
          <w:lang w:eastAsia="da-DK"/>
        </w:rPr>
      </w:pPr>
      <w:r w:rsidRPr="00B13947">
        <w:rPr>
          <w:sz w:val="24"/>
          <w:szCs w:val="24"/>
        </w:rPr>
        <w:t>Ketotifen er en histamin H</w:t>
      </w:r>
      <w:r w:rsidRPr="00B13947">
        <w:rPr>
          <w:sz w:val="24"/>
          <w:szCs w:val="24"/>
          <w:vertAlign w:val="subscript"/>
        </w:rPr>
        <w:t>1</w:t>
      </w:r>
      <w:r w:rsidRPr="00B13947">
        <w:rPr>
          <w:sz w:val="24"/>
          <w:szCs w:val="24"/>
        </w:rPr>
        <w:t xml:space="preserve">-receptor antagonist. </w:t>
      </w:r>
      <w:r w:rsidRPr="00B13947">
        <w:rPr>
          <w:i/>
          <w:sz w:val="24"/>
          <w:szCs w:val="24"/>
        </w:rPr>
        <w:t>In vivo</w:t>
      </w:r>
      <w:r w:rsidRPr="00B13947">
        <w:rPr>
          <w:sz w:val="24"/>
          <w:szCs w:val="24"/>
        </w:rPr>
        <w:t xml:space="preserve"> dyrestudier og</w:t>
      </w:r>
      <w:r w:rsidRPr="00B13947">
        <w:rPr>
          <w:i/>
          <w:sz w:val="24"/>
          <w:szCs w:val="24"/>
        </w:rPr>
        <w:t xml:space="preserve"> in vitro </w:t>
      </w:r>
      <w:r w:rsidRPr="00B13947">
        <w:rPr>
          <w:sz w:val="24"/>
          <w:szCs w:val="24"/>
        </w:rPr>
        <w:t>studier har vist at ketotifen stabiliserer mastceller og hæmmer infiltrering, aktivering og degranulering af eosinofiler.</w:t>
      </w:r>
    </w:p>
    <w:p w14:paraId="5EC72A34" w14:textId="77777777" w:rsidR="009260DE" w:rsidRPr="00B13947" w:rsidRDefault="009260DE" w:rsidP="009260DE">
      <w:pPr>
        <w:tabs>
          <w:tab w:val="left" w:pos="851"/>
        </w:tabs>
        <w:ind w:left="851"/>
        <w:rPr>
          <w:sz w:val="24"/>
          <w:szCs w:val="24"/>
        </w:rPr>
      </w:pPr>
    </w:p>
    <w:p w14:paraId="19AAEB27" w14:textId="77777777" w:rsidR="009260DE" w:rsidRPr="00B13947" w:rsidRDefault="009260DE" w:rsidP="009260DE">
      <w:pPr>
        <w:tabs>
          <w:tab w:val="left" w:pos="851"/>
        </w:tabs>
        <w:ind w:left="851" w:hanging="851"/>
        <w:rPr>
          <w:b/>
          <w:sz w:val="24"/>
          <w:szCs w:val="24"/>
        </w:rPr>
      </w:pPr>
      <w:r w:rsidRPr="00B13947">
        <w:rPr>
          <w:b/>
          <w:sz w:val="24"/>
          <w:szCs w:val="24"/>
        </w:rPr>
        <w:lastRenderedPageBreak/>
        <w:t>5.2</w:t>
      </w:r>
      <w:r w:rsidRPr="00B13947">
        <w:rPr>
          <w:b/>
          <w:sz w:val="24"/>
          <w:szCs w:val="24"/>
        </w:rPr>
        <w:tab/>
        <w:t>Farmakokinetiske egenskaber</w:t>
      </w:r>
    </w:p>
    <w:p w14:paraId="1778D7C8" w14:textId="77777777" w:rsidR="001413E8" w:rsidRPr="00B13947" w:rsidRDefault="001413E8" w:rsidP="007C572C">
      <w:pPr>
        <w:ind w:left="851"/>
        <w:rPr>
          <w:sz w:val="24"/>
          <w:szCs w:val="24"/>
          <w:lang w:eastAsia="da-DK"/>
        </w:rPr>
      </w:pPr>
      <w:r w:rsidRPr="00B13947">
        <w:rPr>
          <w:sz w:val="24"/>
          <w:szCs w:val="24"/>
        </w:rPr>
        <w:t xml:space="preserve">I et farmakokinetisk studie udført med </w:t>
      </w:r>
      <w:bookmarkStart w:id="0" w:name="_Hlk100660641"/>
      <w:r w:rsidRPr="00B13947">
        <w:rPr>
          <w:sz w:val="24"/>
          <w:szCs w:val="24"/>
        </w:rPr>
        <w:t xml:space="preserve">ketotifen </w:t>
      </w:r>
      <w:bookmarkEnd w:id="0"/>
      <w:r w:rsidRPr="00B13947">
        <w:rPr>
          <w:sz w:val="24"/>
          <w:szCs w:val="24"/>
        </w:rPr>
        <w:t>øjendråber på 18 raske frivillige forsøgspersoner var plasmakoncentrationen efter gentagen okulær indgift i 14 dage i de fleste tilfælde under bestemmelsesgrænsen (20 pg/ml).</w:t>
      </w:r>
    </w:p>
    <w:p w14:paraId="11FAC44A" w14:textId="77777777" w:rsidR="001413E8" w:rsidRPr="00B13947" w:rsidRDefault="001413E8" w:rsidP="007C572C">
      <w:pPr>
        <w:ind w:left="851"/>
        <w:rPr>
          <w:sz w:val="24"/>
          <w:szCs w:val="24"/>
        </w:rPr>
      </w:pPr>
    </w:p>
    <w:p w14:paraId="5C48F9F0" w14:textId="77777777" w:rsidR="001413E8" w:rsidRPr="00B13947" w:rsidRDefault="001413E8" w:rsidP="007C572C">
      <w:pPr>
        <w:ind w:left="851"/>
        <w:rPr>
          <w:sz w:val="24"/>
          <w:szCs w:val="24"/>
        </w:rPr>
      </w:pPr>
      <w:r w:rsidRPr="00B13947">
        <w:rPr>
          <w:sz w:val="24"/>
          <w:szCs w:val="24"/>
        </w:rPr>
        <w:t>Efter oral administration elimineres ketotifen bifasisk med en initial halveringstid på 3</w:t>
      </w:r>
      <w:r w:rsidRPr="00B13947">
        <w:rPr>
          <w:sz w:val="24"/>
          <w:szCs w:val="24"/>
        </w:rPr>
        <w:noBreakHyphen/>
        <w:t>5 timer og en terminal halveringstid på 21 timer. Ca. 1 % af stoffet udskilles uomdannet i urinen indenfor 48 timer og 60-70 % som metabolitter. Hovedmetabolitten er en praktisk taget inaktiv ketotifen-N-glucuronid.</w:t>
      </w:r>
    </w:p>
    <w:p w14:paraId="601B2C3F" w14:textId="77777777" w:rsidR="009260DE" w:rsidRPr="00B13947" w:rsidRDefault="009260DE" w:rsidP="009260DE">
      <w:pPr>
        <w:tabs>
          <w:tab w:val="left" w:pos="851"/>
        </w:tabs>
        <w:ind w:left="851"/>
        <w:rPr>
          <w:sz w:val="24"/>
          <w:szCs w:val="24"/>
        </w:rPr>
      </w:pPr>
    </w:p>
    <w:p w14:paraId="0D7D5138" w14:textId="1FE1A888" w:rsidR="009260DE" w:rsidRPr="00B13947" w:rsidRDefault="009260DE" w:rsidP="009260DE">
      <w:pPr>
        <w:tabs>
          <w:tab w:val="left" w:pos="851"/>
        </w:tabs>
        <w:ind w:left="851" w:hanging="851"/>
        <w:rPr>
          <w:b/>
          <w:sz w:val="24"/>
          <w:szCs w:val="24"/>
        </w:rPr>
      </w:pPr>
      <w:r w:rsidRPr="00B13947">
        <w:rPr>
          <w:b/>
          <w:sz w:val="24"/>
          <w:szCs w:val="24"/>
        </w:rPr>
        <w:t>5.3</w:t>
      </w:r>
      <w:r w:rsidRPr="00B13947">
        <w:rPr>
          <w:b/>
          <w:sz w:val="24"/>
          <w:szCs w:val="24"/>
        </w:rPr>
        <w:tab/>
      </w:r>
      <w:r w:rsidR="00E763FA">
        <w:rPr>
          <w:b/>
          <w:sz w:val="24"/>
          <w:szCs w:val="24"/>
        </w:rPr>
        <w:t>Non-</w:t>
      </w:r>
      <w:r w:rsidRPr="00B13947">
        <w:rPr>
          <w:b/>
          <w:sz w:val="24"/>
          <w:szCs w:val="24"/>
        </w:rPr>
        <w:t>kliniske sikkerhedsdata</w:t>
      </w:r>
    </w:p>
    <w:p w14:paraId="13EFEC07" w14:textId="02337A9B" w:rsidR="001413E8" w:rsidRPr="00B13947" w:rsidRDefault="005C5F6F" w:rsidP="007C572C">
      <w:pPr>
        <w:ind w:left="851"/>
        <w:rPr>
          <w:sz w:val="24"/>
          <w:szCs w:val="24"/>
          <w:lang w:eastAsia="da-DK"/>
        </w:rPr>
      </w:pPr>
      <w:r>
        <w:rPr>
          <w:sz w:val="24"/>
          <w:szCs w:val="24"/>
        </w:rPr>
        <w:t>Non-</w:t>
      </w:r>
      <w:r w:rsidR="001413E8" w:rsidRPr="00B13947">
        <w:rPr>
          <w:sz w:val="24"/>
          <w:szCs w:val="24"/>
        </w:rPr>
        <w:t>kliniske data fra konventionelle studier af sikkerhedsfarmakologi, toksicitet efter gentagne doser, genotoksicitet og karcinogent potentiale samt reproduktionstoksicitet viser ingen speciel risiko for mennesker.</w:t>
      </w:r>
    </w:p>
    <w:p w14:paraId="1FB04F9C" w14:textId="77777777" w:rsidR="009260DE" w:rsidRPr="00B13947" w:rsidRDefault="009260DE" w:rsidP="009260DE">
      <w:pPr>
        <w:tabs>
          <w:tab w:val="left" w:pos="851"/>
        </w:tabs>
        <w:ind w:left="851"/>
        <w:rPr>
          <w:sz w:val="24"/>
          <w:szCs w:val="24"/>
        </w:rPr>
      </w:pPr>
    </w:p>
    <w:p w14:paraId="49EAC99F" w14:textId="77777777" w:rsidR="009260DE" w:rsidRPr="00B13947" w:rsidRDefault="009260DE" w:rsidP="009260DE">
      <w:pPr>
        <w:tabs>
          <w:tab w:val="left" w:pos="851"/>
        </w:tabs>
        <w:ind w:left="851"/>
        <w:rPr>
          <w:sz w:val="24"/>
          <w:szCs w:val="24"/>
        </w:rPr>
      </w:pPr>
    </w:p>
    <w:p w14:paraId="4F45AA35" w14:textId="77777777" w:rsidR="009260DE" w:rsidRPr="00B13947" w:rsidRDefault="009260DE" w:rsidP="009260DE">
      <w:pPr>
        <w:tabs>
          <w:tab w:val="left" w:pos="851"/>
        </w:tabs>
        <w:ind w:left="851" w:hanging="851"/>
        <w:rPr>
          <w:b/>
          <w:sz w:val="24"/>
          <w:szCs w:val="24"/>
        </w:rPr>
      </w:pPr>
      <w:r w:rsidRPr="00B13947">
        <w:rPr>
          <w:b/>
          <w:sz w:val="24"/>
          <w:szCs w:val="24"/>
        </w:rPr>
        <w:t>6.</w:t>
      </w:r>
      <w:r w:rsidRPr="00B13947">
        <w:rPr>
          <w:b/>
          <w:sz w:val="24"/>
          <w:szCs w:val="24"/>
        </w:rPr>
        <w:tab/>
        <w:t>FARMACEUTISKE OPLYSNINGER</w:t>
      </w:r>
    </w:p>
    <w:p w14:paraId="3E9F9E1A" w14:textId="77777777" w:rsidR="009260DE" w:rsidRPr="00B13947" w:rsidRDefault="009260DE" w:rsidP="009260DE">
      <w:pPr>
        <w:tabs>
          <w:tab w:val="left" w:pos="851"/>
        </w:tabs>
        <w:ind w:left="851"/>
        <w:rPr>
          <w:sz w:val="24"/>
          <w:szCs w:val="24"/>
        </w:rPr>
      </w:pPr>
    </w:p>
    <w:p w14:paraId="0C812609" w14:textId="77777777" w:rsidR="009260DE" w:rsidRPr="00B13947" w:rsidRDefault="009260DE" w:rsidP="009260DE">
      <w:pPr>
        <w:tabs>
          <w:tab w:val="left" w:pos="851"/>
        </w:tabs>
        <w:ind w:left="851" w:hanging="851"/>
        <w:rPr>
          <w:b/>
          <w:sz w:val="24"/>
          <w:szCs w:val="24"/>
        </w:rPr>
      </w:pPr>
      <w:r w:rsidRPr="00B13947">
        <w:rPr>
          <w:b/>
          <w:sz w:val="24"/>
          <w:szCs w:val="24"/>
        </w:rPr>
        <w:t>6.1</w:t>
      </w:r>
      <w:r w:rsidRPr="00B13947">
        <w:rPr>
          <w:b/>
          <w:sz w:val="24"/>
          <w:szCs w:val="24"/>
        </w:rPr>
        <w:tab/>
        <w:t>Hjælpestoffer</w:t>
      </w:r>
    </w:p>
    <w:p w14:paraId="57331BB8" w14:textId="77777777" w:rsidR="001413E8" w:rsidRPr="00B13947" w:rsidRDefault="001413E8" w:rsidP="007C572C">
      <w:pPr>
        <w:ind w:left="851"/>
        <w:rPr>
          <w:sz w:val="24"/>
          <w:szCs w:val="24"/>
          <w:lang w:eastAsia="da-DK"/>
        </w:rPr>
      </w:pPr>
      <w:r w:rsidRPr="00B13947">
        <w:rPr>
          <w:sz w:val="24"/>
          <w:szCs w:val="24"/>
        </w:rPr>
        <w:t>Natriumhyaluronat</w:t>
      </w:r>
    </w:p>
    <w:p w14:paraId="5EBB58D4" w14:textId="77777777" w:rsidR="001413E8" w:rsidRPr="00B13947" w:rsidRDefault="001413E8" w:rsidP="007C572C">
      <w:pPr>
        <w:ind w:left="851"/>
        <w:rPr>
          <w:sz w:val="24"/>
          <w:szCs w:val="24"/>
        </w:rPr>
      </w:pPr>
      <w:r w:rsidRPr="00B13947">
        <w:rPr>
          <w:sz w:val="24"/>
          <w:szCs w:val="24"/>
        </w:rPr>
        <w:t>Glycerol (E422)</w:t>
      </w:r>
    </w:p>
    <w:p w14:paraId="544BA7F0" w14:textId="77777777" w:rsidR="001413E8" w:rsidRPr="00B13947" w:rsidRDefault="001413E8" w:rsidP="007C572C">
      <w:pPr>
        <w:ind w:left="851"/>
        <w:rPr>
          <w:sz w:val="24"/>
          <w:szCs w:val="24"/>
        </w:rPr>
      </w:pPr>
      <w:r w:rsidRPr="00B13947">
        <w:rPr>
          <w:sz w:val="24"/>
          <w:szCs w:val="24"/>
        </w:rPr>
        <w:t>Natriumhydroxid (E524)</w:t>
      </w:r>
    </w:p>
    <w:p w14:paraId="757683BE" w14:textId="77777777" w:rsidR="001413E8" w:rsidRPr="00B13947" w:rsidRDefault="001413E8" w:rsidP="007C572C">
      <w:pPr>
        <w:ind w:left="851"/>
        <w:rPr>
          <w:sz w:val="24"/>
          <w:szCs w:val="24"/>
        </w:rPr>
      </w:pPr>
      <w:r w:rsidRPr="00B13947">
        <w:rPr>
          <w:sz w:val="24"/>
          <w:szCs w:val="24"/>
        </w:rPr>
        <w:t xml:space="preserve">Renset vand </w:t>
      </w:r>
    </w:p>
    <w:p w14:paraId="0CF8DB1A" w14:textId="77777777" w:rsidR="009260DE" w:rsidRPr="00B13947" w:rsidRDefault="009260DE" w:rsidP="009260DE">
      <w:pPr>
        <w:tabs>
          <w:tab w:val="left" w:pos="851"/>
        </w:tabs>
        <w:ind w:left="851"/>
        <w:rPr>
          <w:sz w:val="24"/>
          <w:szCs w:val="24"/>
        </w:rPr>
      </w:pPr>
    </w:p>
    <w:p w14:paraId="41FA200E" w14:textId="77777777" w:rsidR="009260DE" w:rsidRPr="00B13947" w:rsidRDefault="009260DE" w:rsidP="009260DE">
      <w:pPr>
        <w:tabs>
          <w:tab w:val="left" w:pos="851"/>
        </w:tabs>
        <w:ind w:left="851" w:hanging="851"/>
        <w:rPr>
          <w:b/>
          <w:sz w:val="24"/>
          <w:szCs w:val="24"/>
        </w:rPr>
      </w:pPr>
      <w:r w:rsidRPr="00B13947">
        <w:rPr>
          <w:b/>
          <w:sz w:val="24"/>
          <w:szCs w:val="24"/>
        </w:rPr>
        <w:t>6.2</w:t>
      </w:r>
      <w:r w:rsidRPr="00B13947">
        <w:rPr>
          <w:b/>
          <w:sz w:val="24"/>
          <w:szCs w:val="24"/>
        </w:rPr>
        <w:tab/>
        <w:t>Uforligeligheder</w:t>
      </w:r>
    </w:p>
    <w:p w14:paraId="62A5B616" w14:textId="77777777" w:rsidR="001413E8" w:rsidRPr="00B13947" w:rsidRDefault="001413E8" w:rsidP="00B13947">
      <w:pPr>
        <w:ind w:left="851"/>
        <w:rPr>
          <w:sz w:val="24"/>
          <w:szCs w:val="24"/>
          <w:lang w:eastAsia="da-DK"/>
        </w:rPr>
      </w:pPr>
      <w:r w:rsidRPr="00B13947">
        <w:rPr>
          <w:sz w:val="24"/>
          <w:szCs w:val="24"/>
        </w:rPr>
        <w:t>Ikke relevant.</w:t>
      </w:r>
    </w:p>
    <w:p w14:paraId="7CE9B2A6" w14:textId="77777777" w:rsidR="009260DE" w:rsidRPr="00B13947" w:rsidRDefault="009260DE" w:rsidP="009260DE">
      <w:pPr>
        <w:tabs>
          <w:tab w:val="left" w:pos="851"/>
        </w:tabs>
        <w:ind w:left="851"/>
        <w:rPr>
          <w:sz w:val="24"/>
          <w:szCs w:val="24"/>
        </w:rPr>
      </w:pPr>
    </w:p>
    <w:p w14:paraId="2C777DEC" w14:textId="77777777" w:rsidR="009260DE" w:rsidRPr="00B13947" w:rsidRDefault="009260DE" w:rsidP="009260DE">
      <w:pPr>
        <w:tabs>
          <w:tab w:val="left" w:pos="851"/>
        </w:tabs>
        <w:ind w:left="851" w:hanging="851"/>
        <w:rPr>
          <w:b/>
          <w:sz w:val="24"/>
          <w:szCs w:val="24"/>
        </w:rPr>
      </w:pPr>
      <w:r w:rsidRPr="00B13947">
        <w:rPr>
          <w:b/>
          <w:sz w:val="24"/>
          <w:szCs w:val="24"/>
        </w:rPr>
        <w:t>6.3</w:t>
      </w:r>
      <w:r w:rsidRPr="00B13947">
        <w:rPr>
          <w:b/>
          <w:sz w:val="24"/>
          <w:szCs w:val="24"/>
        </w:rPr>
        <w:tab/>
        <w:t>Opbevaringstid</w:t>
      </w:r>
    </w:p>
    <w:p w14:paraId="2501E118" w14:textId="58254222" w:rsidR="001413E8" w:rsidRPr="00B13947" w:rsidRDefault="001413E8" w:rsidP="00B13947">
      <w:pPr>
        <w:ind w:left="851"/>
        <w:rPr>
          <w:sz w:val="24"/>
          <w:szCs w:val="24"/>
          <w:lang w:eastAsia="da-DK"/>
        </w:rPr>
      </w:pPr>
      <w:r w:rsidRPr="00B13947">
        <w:rPr>
          <w:sz w:val="24"/>
          <w:szCs w:val="24"/>
        </w:rPr>
        <w:t xml:space="preserve">I uåbnet flaske: </w:t>
      </w:r>
      <w:r w:rsidRPr="00B13947">
        <w:rPr>
          <w:sz w:val="24"/>
          <w:szCs w:val="24"/>
        </w:rPr>
        <w:tab/>
      </w:r>
      <w:r w:rsidR="00817A95">
        <w:rPr>
          <w:sz w:val="24"/>
          <w:szCs w:val="24"/>
        </w:rPr>
        <w:t>2</w:t>
      </w:r>
      <w:r w:rsidRPr="00B13947">
        <w:rPr>
          <w:sz w:val="24"/>
          <w:szCs w:val="24"/>
        </w:rPr>
        <w:t> år.</w:t>
      </w:r>
    </w:p>
    <w:p w14:paraId="54250FCA" w14:textId="77777777" w:rsidR="001413E8" w:rsidRPr="00B13947" w:rsidRDefault="001413E8" w:rsidP="00B13947">
      <w:pPr>
        <w:ind w:left="851"/>
        <w:rPr>
          <w:sz w:val="24"/>
          <w:szCs w:val="24"/>
        </w:rPr>
      </w:pPr>
      <w:r w:rsidRPr="00B13947">
        <w:rPr>
          <w:sz w:val="24"/>
          <w:szCs w:val="24"/>
        </w:rPr>
        <w:t xml:space="preserve">Efter åbning: </w:t>
      </w:r>
      <w:r w:rsidRPr="00B13947">
        <w:rPr>
          <w:sz w:val="24"/>
          <w:szCs w:val="24"/>
        </w:rPr>
        <w:tab/>
        <w:t>3 måneder.</w:t>
      </w:r>
    </w:p>
    <w:p w14:paraId="03BDA930" w14:textId="77777777" w:rsidR="009260DE" w:rsidRPr="00B13947" w:rsidRDefault="009260DE" w:rsidP="009260DE">
      <w:pPr>
        <w:tabs>
          <w:tab w:val="left" w:pos="851"/>
        </w:tabs>
        <w:ind w:left="851"/>
        <w:rPr>
          <w:sz w:val="24"/>
          <w:szCs w:val="24"/>
        </w:rPr>
      </w:pPr>
    </w:p>
    <w:p w14:paraId="1E10481E" w14:textId="77777777" w:rsidR="009260DE" w:rsidRPr="00B13947" w:rsidRDefault="009260DE" w:rsidP="009260DE">
      <w:pPr>
        <w:tabs>
          <w:tab w:val="left" w:pos="851"/>
        </w:tabs>
        <w:ind w:left="851" w:hanging="851"/>
        <w:rPr>
          <w:b/>
          <w:sz w:val="24"/>
          <w:szCs w:val="24"/>
        </w:rPr>
      </w:pPr>
      <w:r w:rsidRPr="00B13947">
        <w:rPr>
          <w:b/>
          <w:sz w:val="24"/>
          <w:szCs w:val="24"/>
        </w:rPr>
        <w:t>6.4</w:t>
      </w:r>
      <w:r w:rsidRPr="00B13947">
        <w:rPr>
          <w:b/>
          <w:sz w:val="24"/>
          <w:szCs w:val="24"/>
        </w:rPr>
        <w:tab/>
        <w:t>Særlige opbevaringsforhold</w:t>
      </w:r>
    </w:p>
    <w:p w14:paraId="057D1781" w14:textId="77777777" w:rsidR="001413E8" w:rsidRPr="00B13947" w:rsidRDefault="001413E8" w:rsidP="00B13947">
      <w:pPr>
        <w:ind w:left="851"/>
        <w:rPr>
          <w:sz w:val="24"/>
          <w:szCs w:val="24"/>
          <w:lang w:eastAsia="da-DK"/>
        </w:rPr>
      </w:pPr>
      <w:r w:rsidRPr="00B13947">
        <w:rPr>
          <w:sz w:val="24"/>
          <w:szCs w:val="24"/>
        </w:rPr>
        <w:t>Må ikke opbevares ved temperaturer over 25 °C.</w:t>
      </w:r>
    </w:p>
    <w:p w14:paraId="582C6A39" w14:textId="77777777" w:rsidR="009260DE" w:rsidRPr="00B13947" w:rsidRDefault="009260DE" w:rsidP="009260DE">
      <w:pPr>
        <w:tabs>
          <w:tab w:val="left" w:pos="851"/>
        </w:tabs>
        <w:ind w:left="851"/>
        <w:rPr>
          <w:sz w:val="24"/>
          <w:szCs w:val="24"/>
        </w:rPr>
      </w:pPr>
    </w:p>
    <w:p w14:paraId="3AF3F861" w14:textId="2F0B372F" w:rsidR="009260DE" w:rsidRPr="00B13947" w:rsidRDefault="009260DE" w:rsidP="009260DE">
      <w:pPr>
        <w:tabs>
          <w:tab w:val="left" w:pos="851"/>
        </w:tabs>
        <w:ind w:left="851" w:hanging="851"/>
        <w:rPr>
          <w:b/>
          <w:sz w:val="24"/>
          <w:szCs w:val="24"/>
        </w:rPr>
      </w:pPr>
      <w:r w:rsidRPr="00B13947">
        <w:rPr>
          <w:b/>
          <w:sz w:val="24"/>
          <w:szCs w:val="24"/>
        </w:rPr>
        <w:t>6.5</w:t>
      </w:r>
      <w:r w:rsidRPr="00B13947">
        <w:rPr>
          <w:b/>
          <w:sz w:val="24"/>
          <w:szCs w:val="24"/>
        </w:rPr>
        <w:tab/>
        <w:t>Emballagetype og pakningsstørrelser</w:t>
      </w:r>
    </w:p>
    <w:p w14:paraId="5749F03D" w14:textId="5BB4614A" w:rsidR="001413E8" w:rsidRPr="00B13947" w:rsidRDefault="00E763FA" w:rsidP="00B13947">
      <w:pPr>
        <w:ind w:left="851"/>
        <w:rPr>
          <w:sz w:val="24"/>
          <w:szCs w:val="24"/>
          <w:lang w:eastAsia="da-DK"/>
        </w:rPr>
      </w:pPr>
      <w:r>
        <w:rPr>
          <w:sz w:val="24"/>
          <w:szCs w:val="24"/>
        </w:rPr>
        <w:t>Beholder</w:t>
      </w:r>
      <w:r w:rsidR="00E93043">
        <w:rPr>
          <w:sz w:val="24"/>
          <w:szCs w:val="24"/>
        </w:rPr>
        <w:t xml:space="preserve">. </w:t>
      </w:r>
    </w:p>
    <w:p w14:paraId="74745EC5" w14:textId="77777777" w:rsidR="009260DE" w:rsidRPr="00B13947" w:rsidRDefault="009260DE" w:rsidP="009260DE">
      <w:pPr>
        <w:tabs>
          <w:tab w:val="left" w:pos="851"/>
        </w:tabs>
        <w:ind w:left="851"/>
        <w:rPr>
          <w:sz w:val="24"/>
          <w:szCs w:val="24"/>
        </w:rPr>
      </w:pPr>
    </w:p>
    <w:p w14:paraId="2F64AC98" w14:textId="6F4EA81B" w:rsidR="009260DE" w:rsidRPr="00B13947" w:rsidRDefault="009260DE" w:rsidP="009260DE">
      <w:pPr>
        <w:tabs>
          <w:tab w:val="left" w:pos="851"/>
        </w:tabs>
        <w:ind w:left="851" w:hanging="851"/>
        <w:rPr>
          <w:b/>
          <w:sz w:val="24"/>
          <w:szCs w:val="24"/>
        </w:rPr>
      </w:pPr>
      <w:r w:rsidRPr="00B13947">
        <w:rPr>
          <w:b/>
          <w:sz w:val="24"/>
          <w:szCs w:val="24"/>
        </w:rPr>
        <w:t>6.6</w:t>
      </w:r>
      <w:r w:rsidRPr="00B13947">
        <w:rPr>
          <w:b/>
          <w:sz w:val="24"/>
          <w:szCs w:val="24"/>
        </w:rPr>
        <w:tab/>
        <w:t xml:space="preserve">Regler for </w:t>
      </w:r>
      <w:r w:rsidR="00E763FA">
        <w:rPr>
          <w:b/>
          <w:sz w:val="24"/>
          <w:szCs w:val="24"/>
        </w:rPr>
        <w:t>bortskaffelse</w:t>
      </w:r>
      <w:r w:rsidRPr="00B13947">
        <w:rPr>
          <w:b/>
          <w:sz w:val="24"/>
          <w:szCs w:val="24"/>
        </w:rPr>
        <w:t xml:space="preserve"> og anden håndtering</w:t>
      </w:r>
    </w:p>
    <w:p w14:paraId="5325EE7E" w14:textId="235F0C44" w:rsidR="001413E8" w:rsidRDefault="001413E8" w:rsidP="00B13947">
      <w:pPr>
        <w:ind w:left="851"/>
        <w:rPr>
          <w:sz w:val="24"/>
          <w:szCs w:val="24"/>
        </w:rPr>
      </w:pPr>
      <w:r w:rsidRPr="00B13947">
        <w:rPr>
          <w:sz w:val="24"/>
          <w:szCs w:val="24"/>
        </w:rPr>
        <w:t>Ingen særlige forholdsregler.</w:t>
      </w:r>
    </w:p>
    <w:p w14:paraId="1CB72817" w14:textId="0C1C7F5B" w:rsidR="00C62258" w:rsidRDefault="00E763FA" w:rsidP="00E93043">
      <w:pPr>
        <w:ind w:left="851"/>
        <w:rPr>
          <w:sz w:val="24"/>
          <w:szCs w:val="24"/>
        </w:rPr>
      </w:pPr>
      <w:r>
        <w:rPr>
          <w:sz w:val="24"/>
          <w:szCs w:val="24"/>
          <w:lang w:eastAsia="da-DK"/>
        </w:rPr>
        <w:t>Ikke anvendt lægemiddel samt affald heraf skal bortskaffes i henhold til lokale retningslinjer.</w:t>
      </w:r>
    </w:p>
    <w:p w14:paraId="07BE4122" w14:textId="77777777" w:rsidR="009260DE" w:rsidRPr="00B13947" w:rsidRDefault="009260DE" w:rsidP="000730CA">
      <w:pPr>
        <w:tabs>
          <w:tab w:val="left" w:pos="851"/>
        </w:tabs>
        <w:ind w:left="851"/>
        <w:rPr>
          <w:sz w:val="24"/>
          <w:szCs w:val="24"/>
        </w:rPr>
      </w:pPr>
    </w:p>
    <w:p w14:paraId="3989C476" w14:textId="77777777" w:rsidR="009260DE" w:rsidRPr="00B13947" w:rsidRDefault="009260DE" w:rsidP="009260DE">
      <w:pPr>
        <w:tabs>
          <w:tab w:val="left" w:pos="851"/>
        </w:tabs>
        <w:ind w:left="851" w:hanging="851"/>
        <w:rPr>
          <w:b/>
          <w:sz w:val="24"/>
          <w:szCs w:val="24"/>
        </w:rPr>
      </w:pPr>
      <w:r w:rsidRPr="00B13947">
        <w:rPr>
          <w:b/>
          <w:sz w:val="24"/>
          <w:szCs w:val="24"/>
        </w:rPr>
        <w:t>7.</w:t>
      </w:r>
      <w:r w:rsidRPr="00B13947">
        <w:rPr>
          <w:b/>
          <w:sz w:val="24"/>
          <w:szCs w:val="24"/>
        </w:rPr>
        <w:tab/>
        <w:t>INDEHAVER AF MARKEDSFØRINGSTILLADELSEN</w:t>
      </w:r>
    </w:p>
    <w:p w14:paraId="078B74A7" w14:textId="77777777" w:rsidR="00E93043" w:rsidRPr="00AD4E58" w:rsidRDefault="00E93043" w:rsidP="00E93043">
      <w:pPr>
        <w:ind w:left="851"/>
        <w:rPr>
          <w:sz w:val="24"/>
          <w:szCs w:val="24"/>
          <w:lang w:eastAsia="da-DK"/>
        </w:rPr>
      </w:pPr>
      <w:r w:rsidRPr="00AD4E58">
        <w:rPr>
          <w:sz w:val="24"/>
          <w:szCs w:val="24"/>
          <w:lang w:eastAsia="da-DK"/>
        </w:rPr>
        <w:t>Epione Medicine ApS</w:t>
      </w:r>
    </w:p>
    <w:p w14:paraId="0C06D1EF" w14:textId="77777777" w:rsidR="00E93043" w:rsidRPr="00AD4E58" w:rsidRDefault="00E93043" w:rsidP="00E93043">
      <w:pPr>
        <w:ind w:left="851"/>
        <w:rPr>
          <w:sz w:val="24"/>
          <w:szCs w:val="24"/>
          <w:lang w:eastAsia="da-DK"/>
        </w:rPr>
      </w:pPr>
      <w:r w:rsidRPr="00AD4E58">
        <w:rPr>
          <w:sz w:val="24"/>
          <w:szCs w:val="24"/>
          <w:lang w:eastAsia="da-DK"/>
        </w:rPr>
        <w:t>Kanalholmen 14L</w:t>
      </w:r>
    </w:p>
    <w:p w14:paraId="7CB07831" w14:textId="77777777" w:rsidR="00E93043" w:rsidRPr="00AD4E58" w:rsidRDefault="00E93043" w:rsidP="00E93043">
      <w:pPr>
        <w:ind w:left="851"/>
        <w:rPr>
          <w:sz w:val="24"/>
          <w:szCs w:val="24"/>
          <w:lang w:eastAsia="da-DK"/>
        </w:rPr>
      </w:pPr>
      <w:r w:rsidRPr="00AD4E58">
        <w:rPr>
          <w:sz w:val="24"/>
          <w:szCs w:val="24"/>
          <w:lang w:eastAsia="da-DK"/>
        </w:rPr>
        <w:t xml:space="preserve">2650 Hvidovre </w:t>
      </w:r>
    </w:p>
    <w:p w14:paraId="18FFDCC0" w14:textId="77777777" w:rsidR="00E93043" w:rsidRPr="00AD4E58" w:rsidRDefault="00E93043" w:rsidP="00E93043">
      <w:pPr>
        <w:ind w:left="851"/>
        <w:rPr>
          <w:sz w:val="24"/>
          <w:szCs w:val="24"/>
          <w:lang w:eastAsia="da-DK"/>
        </w:rPr>
      </w:pPr>
      <w:r w:rsidRPr="00AD4E58">
        <w:rPr>
          <w:sz w:val="24"/>
          <w:szCs w:val="24"/>
          <w:lang w:eastAsia="da-DK"/>
        </w:rPr>
        <w:t xml:space="preserve">Danmark </w:t>
      </w:r>
    </w:p>
    <w:p w14:paraId="2AC4696C" w14:textId="77777777" w:rsidR="00E93043" w:rsidRDefault="00E93043"/>
    <w:p w14:paraId="1A403518" w14:textId="77777777" w:rsidR="009260DE" w:rsidRPr="00B13947" w:rsidRDefault="009260DE" w:rsidP="009260DE">
      <w:pPr>
        <w:tabs>
          <w:tab w:val="left" w:pos="851"/>
        </w:tabs>
        <w:ind w:left="851"/>
        <w:rPr>
          <w:sz w:val="24"/>
          <w:szCs w:val="24"/>
        </w:rPr>
      </w:pPr>
    </w:p>
    <w:p w14:paraId="2C41A612" w14:textId="3794101E" w:rsidR="009260DE" w:rsidRPr="00B13947" w:rsidRDefault="009260DE" w:rsidP="009260DE">
      <w:pPr>
        <w:tabs>
          <w:tab w:val="left" w:pos="851"/>
        </w:tabs>
        <w:ind w:left="851" w:hanging="851"/>
        <w:rPr>
          <w:b/>
          <w:sz w:val="24"/>
          <w:szCs w:val="24"/>
        </w:rPr>
      </w:pPr>
      <w:r w:rsidRPr="00B13947">
        <w:rPr>
          <w:b/>
          <w:sz w:val="24"/>
          <w:szCs w:val="24"/>
        </w:rPr>
        <w:t>8.</w:t>
      </w:r>
      <w:r w:rsidRPr="00B13947">
        <w:rPr>
          <w:b/>
          <w:sz w:val="24"/>
          <w:szCs w:val="24"/>
        </w:rPr>
        <w:tab/>
        <w:t>MARKEDSFØRINGSTILLADELSESNUMMER (</w:t>
      </w:r>
      <w:r w:rsidR="00E763FA">
        <w:rPr>
          <w:b/>
          <w:sz w:val="24"/>
          <w:szCs w:val="24"/>
        </w:rPr>
        <w:t>-</w:t>
      </w:r>
      <w:r w:rsidRPr="00B13947">
        <w:rPr>
          <w:b/>
          <w:sz w:val="24"/>
          <w:szCs w:val="24"/>
        </w:rPr>
        <w:t>NUMRE)</w:t>
      </w:r>
    </w:p>
    <w:p w14:paraId="6D8CDDE6" w14:textId="0726C691" w:rsidR="009260DE" w:rsidRPr="00B13947" w:rsidRDefault="00E93043" w:rsidP="009260DE">
      <w:pPr>
        <w:tabs>
          <w:tab w:val="left" w:pos="851"/>
        </w:tabs>
        <w:ind w:left="851"/>
        <w:rPr>
          <w:sz w:val="24"/>
          <w:szCs w:val="24"/>
        </w:rPr>
      </w:pPr>
      <w:r>
        <w:rPr>
          <w:sz w:val="24"/>
          <w:szCs w:val="24"/>
        </w:rPr>
        <w:t>75457</w:t>
      </w:r>
    </w:p>
    <w:p w14:paraId="5029A6D5" w14:textId="77777777" w:rsidR="009260DE" w:rsidRPr="00B13947" w:rsidRDefault="009260DE" w:rsidP="009260DE">
      <w:pPr>
        <w:tabs>
          <w:tab w:val="left" w:pos="851"/>
        </w:tabs>
        <w:ind w:left="851"/>
        <w:jc w:val="both"/>
        <w:rPr>
          <w:sz w:val="24"/>
          <w:szCs w:val="24"/>
        </w:rPr>
      </w:pPr>
    </w:p>
    <w:p w14:paraId="68F210F8" w14:textId="77777777" w:rsidR="009260DE" w:rsidRPr="00B13947" w:rsidRDefault="009260DE" w:rsidP="009260DE">
      <w:pPr>
        <w:tabs>
          <w:tab w:val="left" w:pos="851"/>
        </w:tabs>
        <w:ind w:left="851" w:hanging="851"/>
        <w:rPr>
          <w:b/>
          <w:sz w:val="24"/>
          <w:szCs w:val="24"/>
        </w:rPr>
      </w:pPr>
      <w:r w:rsidRPr="00B13947">
        <w:rPr>
          <w:b/>
          <w:sz w:val="24"/>
          <w:szCs w:val="24"/>
        </w:rPr>
        <w:t>9.</w:t>
      </w:r>
      <w:r w:rsidRPr="00B13947">
        <w:rPr>
          <w:b/>
          <w:sz w:val="24"/>
          <w:szCs w:val="24"/>
        </w:rPr>
        <w:tab/>
        <w:t>DATO FOR FØRSTE MARKEDSFØRINGSTILLADELSE</w:t>
      </w:r>
    </w:p>
    <w:p w14:paraId="2981E0E6" w14:textId="3E615777" w:rsidR="009260DE" w:rsidRPr="00B13947" w:rsidRDefault="00E93043" w:rsidP="009260DE">
      <w:pPr>
        <w:tabs>
          <w:tab w:val="left" w:pos="851"/>
        </w:tabs>
        <w:ind w:left="851"/>
        <w:rPr>
          <w:sz w:val="24"/>
          <w:szCs w:val="24"/>
        </w:rPr>
      </w:pPr>
      <w:r>
        <w:rPr>
          <w:sz w:val="24"/>
          <w:szCs w:val="24"/>
        </w:rPr>
        <w:t>2</w:t>
      </w:r>
      <w:r w:rsidR="00230A18">
        <w:rPr>
          <w:sz w:val="24"/>
          <w:szCs w:val="24"/>
        </w:rPr>
        <w:t>4</w:t>
      </w:r>
      <w:r>
        <w:rPr>
          <w:sz w:val="24"/>
          <w:szCs w:val="24"/>
        </w:rPr>
        <w:t>. marts 2026</w:t>
      </w:r>
    </w:p>
    <w:p w14:paraId="769D931F" w14:textId="77777777" w:rsidR="009260DE" w:rsidRPr="00B13947" w:rsidRDefault="009260DE" w:rsidP="009260DE">
      <w:pPr>
        <w:tabs>
          <w:tab w:val="left" w:pos="851"/>
        </w:tabs>
        <w:ind w:left="851"/>
        <w:rPr>
          <w:sz w:val="24"/>
          <w:szCs w:val="24"/>
        </w:rPr>
      </w:pPr>
    </w:p>
    <w:p w14:paraId="1621F59D" w14:textId="77777777" w:rsidR="009260DE" w:rsidRPr="00B13947" w:rsidRDefault="009260DE" w:rsidP="009260DE">
      <w:pPr>
        <w:tabs>
          <w:tab w:val="left" w:pos="851"/>
        </w:tabs>
        <w:ind w:left="851" w:hanging="851"/>
        <w:rPr>
          <w:b/>
          <w:sz w:val="24"/>
          <w:szCs w:val="24"/>
        </w:rPr>
      </w:pPr>
      <w:r w:rsidRPr="00B13947">
        <w:rPr>
          <w:b/>
          <w:sz w:val="24"/>
          <w:szCs w:val="24"/>
        </w:rPr>
        <w:t>10.</w:t>
      </w:r>
      <w:r w:rsidRPr="00B13947">
        <w:rPr>
          <w:b/>
          <w:sz w:val="24"/>
          <w:szCs w:val="24"/>
        </w:rPr>
        <w:tab/>
        <w:t>DATO FOR ÆNDRING AF TEKSTEN</w:t>
      </w:r>
    </w:p>
    <w:p w14:paraId="2FD84A7F" w14:textId="27704876" w:rsidR="009260DE" w:rsidRPr="00B13947" w:rsidRDefault="00E93043" w:rsidP="009260DE">
      <w:pPr>
        <w:tabs>
          <w:tab w:val="left" w:pos="851"/>
        </w:tabs>
        <w:ind w:left="851"/>
        <w:rPr>
          <w:sz w:val="24"/>
          <w:szCs w:val="24"/>
        </w:rPr>
      </w:pPr>
      <w:r>
        <w:rPr>
          <w:sz w:val="24"/>
          <w:szCs w:val="24"/>
        </w:rPr>
        <w:t>-</w:t>
      </w:r>
    </w:p>
    <w:sectPr w:rsidR="009260DE" w:rsidRPr="00B13947"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E167F" w14:textId="77777777" w:rsidR="00F37AC7" w:rsidRDefault="00F37AC7">
      <w:r>
        <w:separator/>
      </w:r>
    </w:p>
  </w:endnote>
  <w:endnote w:type="continuationSeparator" w:id="0">
    <w:p w14:paraId="5B14C7D0" w14:textId="77777777" w:rsidR="00F37AC7" w:rsidRDefault="00F3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4F13" w14:textId="77777777" w:rsidR="000259B9" w:rsidRDefault="000259B9">
    <w:pPr>
      <w:pStyle w:val="Sidefod"/>
      <w:pBdr>
        <w:bottom w:val="single" w:sz="6" w:space="1" w:color="auto"/>
      </w:pBdr>
    </w:pPr>
  </w:p>
  <w:p w14:paraId="087181FE" w14:textId="77777777" w:rsidR="000259B9" w:rsidRDefault="000259B9" w:rsidP="00C42586">
    <w:pPr>
      <w:pStyle w:val="Sidefod"/>
      <w:tabs>
        <w:tab w:val="clear" w:pos="4819"/>
        <w:tab w:val="left" w:pos="8505"/>
      </w:tabs>
      <w:rPr>
        <w:i/>
        <w:sz w:val="18"/>
        <w:szCs w:val="18"/>
      </w:rPr>
    </w:pPr>
  </w:p>
  <w:p w14:paraId="0594AAF1" w14:textId="0899AC16"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E93043">
      <w:rPr>
        <w:i/>
        <w:noProof/>
        <w:sz w:val="18"/>
        <w:szCs w:val="18"/>
      </w:rPr>
      <w:t>Ketazed (Epione), øjendråber, opløsning 0,25 mg-ml</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991A8" w14:textId="77777777" w:rsidR="00F37AC7" w:rsidRDefault="00F37AC7">
      <w:r>
        <w:separator/>
      </w:r>
    </w:p>
  </w:footnote>
  <w:footnote w:type="continuationSeparator" w:id="0">
    <w:p w14:paraId="0E634299" w14:textId="77777777" w:rsidR="00F37AC7" w:rsidRDefault="00F37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17048797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584724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3393796">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4415526">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4631169">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AC7"/>
    <w:rsid w:val="000039D5"/>
    <w:rsid w:val="000259B9"/>
    <w:rsid w:val="00041491"/>
    <w:rsid w:val="00050D16"/>
    <w:rsid w:val="000730CA"/>
    <w:rsid w:val="00074F2A"/>
    <w:rsid w:val="000A1CA8"/>
    <w:rsid w:val="000A466B"/>
    <w:rsid w:val="000B058C"/>
    <w:rsid w:val="000E4EE6"/>
    <w:rsid w:val="00124451"/>
    <w:rsid w:val="001413E8"/>
    <w:rsid w:val="001454E2"/>
    <w:rsid w:val="00206CE8"/>
    <w:rsid w:val="0021526C"/>
    <w:rsid w:val="00230A18"/>
    <w:rsid w:val="00250DFE"/>
    <w:rsid w:val="0027228D"/>
    <w:rsid w:val="00283A2B"/>
    <w:rsid w:val="002B30AD"/>
    <w:rsid w:val="002C2C01"/>
    <w:rsid w:val="003A29AE"/>
    <w:rsid w:val="003A32D7"/>
    <w:rsid w:val="003A6C13"/>
    <w:rsid w:val="003B4074"/>
    <w:rsid w:val="003C769A"/>
    <w:rsid w:val="003E43D9"/>
    <w:rsid w:val="003F1838"/>
    <w:rsid w:val="0045746C"/>
    <w:rsid w:val="0049104B"/>
    <w:rsid w:val="004A75D8"/>
    <w:rsid w:val="004E3B12"/>
    <w:rsid w:val="00532310"/>
    <w:rsid w:val="005437F9"/>
    <w:rsid w:val="00565F0F"/>
    <w:rsid w:val="00594A86"/>
    <w:rsid w:val="00596D86"/>
    <w:rsid w:val="005C5F6F"/>
    <w:rsid w:val="005C6943"/>
    <w:rsid w:val="00637F5A"/>
    <w:rsid w:val="006560B1"/>
    <w:rsid w:val="006756DD"/>
    <w:rsid w:val="00737275"/>
    <w:rsid w:val="00740EEC"/>
    <w:rsid w:val="0078011A"/>
    <w:rsid w:val="00782AF4"/>
    <w:rsid w:val="00790EE7"/>
    <w:rsid w:val="007B6649"/>
    <w:rsid w:val="007C3DAC"/>
    <w:rsid w:val="007C572C"/>
    <w:rsid w:val="007D6832"/>
    <w:rsid w:val="00817A95"/>
    <w:rsid w:val="0082576E"/>
    <w:rsid w:val="008D0670"/>
    <w:rsid w:val="00907F75"/>
    <w:rsid w:val="009260DE"/>
    <w:rsid w:val="0093258A"/>
    <w:rsid w:val="009C018C"/>
    <w:rsid w:val="009C7BA3"/>
    <w:rsid w:val="009D1F5A"/>
    <w:rsid w:val="009F0225"/>
    <w:rsid w:val="00A10294"/>
    <w:rsid w:val="00A2405E"/>
    <w:rsid w:val="00AB2BDC"/>
    <w:rsid w:val="00AE5E85"/>
    <w:rsid w:val="00AE6CF7"/>
    <w:rsid w:val="00B003BF"/>
    <w:rsid w:val="00B13947"/>
    <w:rsid w:val="00B373D7"/>
    <w:rsid w:val="00B93E48"/>
    <w:rsid w:val="00C10B46"/>
    <w:rsid w:val="00C36276"/>
    <w:rsid w:val="00C42586"/>
    <w:rsid w:val="00C60CCD"/>
    <w:rsid w:val="00C62258"/>
    <w:rsid w:val="00C76E13"/>
    <w:rsid w:val="00C84483"/>
    <w:rsid w:val="00C95551"/>
    <w:rsid w:val="00CB20D7"/>
    <w:rsid w:val="00CC72BF"/>
    <w:rsid w:val="00CD0840"/>
    <w:rsid w:val="00D020B0"/>
    <w:rsid w:val="00D11748"/>
    <w:rsid w:val="00D21886"/>
    <w:rsid w:val="00D366CF"/>
    <w:rsid w:val="00DC300A"/>
    <w:rsid w:val="00E108AA"/>
    <w:rsid w:val="00E10A7F"/>
    <w:rsid w:val="00E3749A"/>
    <w:rsid w:val="00E73478"/>
    <w:rsid w:val="00E7437F"/>
    <w:rsid w:val="00E763FA"/>
    <w:rsid w:val="00E865B8"/>
    <w:rsid w:val="00E93043"/>
    <w:rsid w:val="00EC0B9B"/>
    <w:rsid w:val="00ED5E9F"/>
    <w:rsid w:val="00F37AC7"/>
    <w:rsid w:val="00F524A5"/>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B35A1"/>
  <w15:chartTrackingRefBased/>
  <w15:docId w15:val="{A62476E3-8001-43EB-A462-52089E2B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uiPriority w:val="99"/>
    <w:semiHidden/>
    <w:unhideWhenUsed/>
    <w:rsid w:val="00AE6C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437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3949279">
      <w:bodyDiv w:val="1"/>
      <w:marLeft w:val="0"/>
      <w:marRight w:val="0"/>
      <w:marTop w:val="0"/>
      <w:marBottom w:val="0"/>
      <w:divBdr>
        <w:top w:val="none" w:sz="0" w:space="0" w:color="auto"/>
        <w:left w:val="none" w:sz="0" w:space="0" w:color="auto"/>
        <w:bottom w:val="none" w:sz="0" w:space="0" w:color="auto"/>
        <w:right w:val="none" w:sz="0" w:space="0" w:color="auto"/>
      </w:divBdr>
    </w:div>
    <w:div w:id="216166341">
      <w:bodyDiv w:val="1"/>
      <w:marLeft w:val="0"/>
      <w:marRight w:val="0"/>
      <w:marTop w:val="0"/>
      <w:marBottom w:val="0"/>
      <w:divBdr>
        <w:top w:val="none" w:sz="0" w:space="0" w:color="auto"/>
        <w:left w:val="none" w:sz="0" w:space="0" w:color="auto"/>
        <w:bottom w:val="none" w:sz="0" w:space="0" w:color="auto"/>
        <w:right w:val="none" w:sz="0" w:space="0" w:color="auto"/>
      </w:divBdr>
    </w:div>
    <w:div w:id="246816025">
      <w:bodyDiv w:val="1"/>
      <w:marLeft w:val="0"/>
      <w:marRight w:val="0"/>
      <w:marTop w:val="0"/>
      <w:marBottom w:val="0"/>
      <w:divBdr>
        <w:top w:val="none" w:sz="0" w:space="0" w:color="auto"/>
        <w:left w:val="none" w:sz="0" w:space="0" w:color="auto"/>
        <w:bottom w:val="none" w:sz="0" w:space="0" w:color="auto"/>
        <w:right w:val="none" w:sz="0" w:space="0" w:color="auto"/>
      </w:divBdr>
    </w:div>
    <w:div w:id="293684309">
      <w:bodyDiv w:val="1"/>
      <w:marLeft w:val="0"/>
      <w:marRight w:val="0"/>
      <w:marTop w:val="0"/>
      <w:marBottom w:val="0"/>
      <w:divBdr>
        <w:top w:val="none" w:sz="0" w:space="0" w:color="auto"/>
        <w:left w:val="none" w:sz="0" w:space="0" w:color="auto"/>
        <w:bottom w:val="none" w:sz="0" w:space="0" w:color="auto"/>
        <w:right w:val="none" w:sz="0" w:space="0" w:color="auto"/>
      </w:divBdr>
    </w:div>
    <w:div w:id="299532050">
      <w:bodyDiv w:val="1"/>
      <w:marLeft w:val="0"/>
      <w:marRight w:val="0"/>
      <w:marTop w:val="0"/>
      <w:marBottom w:val="0"/>
      <w:divBdr>
        <w:top w:val="none" w:sz="0" w:space="0" w:color="auto"/>
        <w:left w:val="none" w:sz="0" w:space="0" w:color="auto"/>
        <w:bottom w:val="none" w:sz="0" w:space="0" w:color="auto"/>
        <w:right w:val="none" w:sz="0" w:space="0" w:color="auto"/>
      </w:divBdr>
    </w:div>
    <w:div w:id="397172376">
      <w:bodyDiv w:val="1"/>
      <w:marLeft w:val="0"/>
      <w:marRight w:val="0"/>
      <w:marTop w:val="0"/>
      <w:marBottom w:val="0"/>
      <w:divBdr>
        <w:top w:val="none" w:sz="0" w:space="0" w:color="auto"/>
        <w:left w:val="none" w:sz="0" w:space="0" w:color="auto"/>
        <w:bottom w:val="none" w:sz="0" w:space="0" w:color="auto"/>
        <w:right w:val="none" w:sz="0" w:space="0" w:color="auto"/>
      </w:divBdr>
    </w:div>
    <w:div w:id="613749649">
      <w:bodyDiv w:val="1"/>
      <w:marLeft w:val="0"/>
      <w:marRight w:val="0"/>
      <w:marTop w:val="0"/>
      <w:marBottom w:val="0"/>
      <w:divBdr>
        <w:top w:val="none" w:sz="0" w:space="0" w:color="auto"/>
        <w:left w:val="none" w:sz="0" w:space="0" w:color="auto"/>
        <w:bottom w:val="none" w:sz="0" w:space="0" w:color="auto"/>
        <w:right w:val="none" w:sz="0" w:space="0" w:color="auto"/>
      </w:divBdr>
    </w:div>
    <w:div w:id="720907630">
      <w:bodyDiv w:val="1"/>
      <w:marLeft w:val="0"/>
      <w:marRight w:val="0"/>
      <w:marTop w:val="0"/>
      <w:marBottom w:val="0"/>
      <w:divBdr>
        <w:top w:val="none" w:sz="0" w:space="0" w:color="auto"/>
        <w:left w:val="none" w:sz="0" w:space="0" w:color="auto"/>
        <w:bottom w:val="none" w:sz="0" w:space="0" w:color="auto"/>
        <w:right w:val="none" w:sz="0" w:space="0" w:color="auto"/>
      </w:divBdr>
    </w:div>
    <w:div w:id="949976590">
      <w:bodyDiv w:val="1"/>
      <w:marLeft w:val="0"/>
      <w:marRight w:val="0"/>
      <w:marTop w:val="0"/>
      <w:marBottom w:val="0"/>
      <w:divBdr>
        <w:top w:val="none" w:sz="0" w:space="0" w:color="auto"/>
        <w:left w:val="none" w:sz="0" w:space="0" w:color="auto"/>
        <w:bottom w:val="none" w:sz="0" w:space="0" w:color="auto"/>
        <w:right w:val="none" w:sz="0" w:space="0" w:color="auto"/>
      </w:divBdr>
    </w:div>
    <w:div w:id="996301277">
      <w:bodyDiv w:val="1"/>
      <w:marLeft w:val="0"/>
      <w:marRight w:val="0"/>
      <w:marTop w:val="0"/>
      <w:marBottom w:val="0"/>
      <w:divBdr>
        <w:top w:val="none" w:sz="0" w:space="0" w:color="auto"/>
        <w:left w:val="none" w:sz="0" w:space="0" w:color="auto"/>
        <w:bottom w:val="none" w:sz="0" w:space="0" w:color="auto"/>
        <w:right w:val="none" w:sz="0" w:space="0" w:color="auto"/>
      </w:divBdr>
    </w:div>
    <w:div w:id="1091391082">
      <w:bodyDiv w:val="1"/>
      <w:marLeft w:val="0"/>
      <w:marRight w:val="0"/>
      <w:marTop w:val="0"/>
      <w:marBottom w:val="0"/>
      <w:divBdr>
        <w:top w:val="none" w:sz="0" w:space="0" w:color="auto"/>
        <w:left w:val="none" w:sz="0" w:space="0" w:color="auto"/>
        <w:bottom w:val="none" w:sz="0" w:space="0" w:color="auto"/>
        <w:right w:val="none" w:sz="0" w:space="0" w:color="auto"/>
      </w:divBdr>
    </w:div>
    <w:div w:id="1142036567">
      <w:bodyDiv w:val="1"/>
      <w:marLeft w:val="0"/>
      <w:marRight w:val="0"/>
      <w:marTop w:val="0"/>
      <w:marBottom w:val="0"/>
      <w:divBdr>
        <w:top w:val="none" w:sz="0" w:space="0" w:color="auto"/>
        <w:left w:val="none" w:sz="0" w:space="0" w:color="auto"/>
        <w:bottom w:val="none" w:sz="0" w:space="0" w:color="auto"/>
        <w:right w:val="none" w:sz="0" w:space="0" w:color="auto"/>
      </w:divBdr>
    </w:div>
    <w:div w:id="1177767436">
      <w:bodyDiv w:val="1"/>
      <w:marLeft w:val="0"/>
      <w:marRight w:val="0"/>
      <w:marTop w:val="0"/>
      <w:marBottom w:val="0"/>
      <w:divBdr>
        <w:top w:val="none" w:sz="0" w:space="0" w:color="auto"/>
        <w:left w:val="none" w:sz="0" w:space="0" w:color="auto"/>
        <w:bottom w:val="none" w:sz="0" w:space="0" w:color="auto"/>
        <w:right w:val="none" w:sz="0" w:space="0" w:color="auto"/>
      </w:divBdr>
    </w:div>
    <w:div w:id="1265072022">
      <w:bodyDiv w:val="1"/>
      <w:marLeft w:val="0"/>
      <w:marRight w:val="0"/>
      <w:marTop w:val="0"/>
      <w:marBottom w:val="0"/>
      <w:divBdr>
        <w:top w:val="none" w:sz="0" w:space="0" w:color="auto"/>
        <w:left w:val="none" w:sz="0" w:space="0" w:color="auto"/>
        <w:bottom w:val="none" w:sz="0" w:space="0" w:color="auto"/>
        <w:right w:val="none" w:sz="0" w:space="0" w:color="auto"/>
      </w:divBdr>
    </w:div>
    <w:div w:id="1346906733">
      <w:bodyDiv w:val="1"/>
      <w:marLeft w:val="0"/>
      <w:marRight w:val="0"/>
      <w:marTop w:val="0"/>
      <w:marBottom w:val="0"/>
      <w:divBdr>
        <w:top w:val="none" w:sz="0" w:space="0" w:color="auto"/>
        <w:left w:val="none" w:sz="0" w:space="0" w:color="auto"/>
        <w:bottom w:val="none" w:sz="0" w:space="0" w:color="auto"/>
        <w:right w:val="none" w:sz="0" w:space="0" w:color="auto"/>
      </w:divBdr>
    </w:div>
    <w:div w:id="1569614007">
      <w:bodyDiv w:val="1"/>
      <w:marLeft w:val="0"/>
      <w:marRight w:val="0"/>
      <w:marTop w:val="0"/>
      <w:marBottom w:val="0"/>
      <w:divBdr>
        <w:top w:val="none" w:sz="0" w:space="0" w:color="auto"/>
        <w:left w:val="none" w:sz="0" w:space="0" w:color="auto"/>
        <w:bottom w:val="none" w:sz="0" w:space="0" w:color="auto"/>
        <w:right w:val="none" w:sz="0" w:space="0" w:color="auto"/>
      </w:divBdr>
    </w:div>
    <w:div w:id="1570186791">
      <w:bodyDiv w:val="1"/>
      <w:marLeft w:val="0"/>
      <w:marRight w:val="0"/>
      <w:marTop w:val="0"/>
      <w:marBottom w:val="0"/>
      <w:divBdr>
        <w:top w:val="none" w:sz="0" w:space="0" w:color="auto"/>
        <w:left w:val="none" w:sz="0" w:space="0" w:color="auto"/>
        <w:bottom w:val="none" w:sz="0" w:space="0" w:color="auto"/>
        <w:right w:val="none" w:sz="0" w:space="0" w:color="auto"/>
      </w:divBdr>
    </w:div>
    <w:div w:id="1700082134">
      <w:bodyDiv w:val="1"/>
      <w:marLeft w:val="0"/>
      <w:marRight w:val="0"/>
      <w:marTop w:val="0"/>
      <w:marBottom w:val="0"/>
      <w:divBdr>
        <w:top w:val="none" w:sz="0" w:space="0" w:color="auto"/>
        <w:left w:val="none" w:sz="0" w:space="0" w:color="auto"/>
        <w:bottom w:val="none" w:sz="0" w:space="0" w:color="auto"/>
        <w:right w:val="none" w:sz="0" w:space="0" w:color="auto"/>
      </w:divBdr>
    </w:div>
    <w:div w:id="1780251171">
      <w:bodyDiv w:val="1"/>
      <w:marLeft w:val="0"/>
      <w:marRight w:val="0"/>
      <w:marTop w:val="0"/>
      <w:marBottom w:val="0"/>
      <w:divBdr>
        <w:top w:val="none" w:sz="0" w:space="0" w:color="auto"/>
        <w:left w:val="none" w:sz="0" w:space="0" w:color="auto"/>
        <w:bottom w:val="none" w:sz="0" w:space="0" w:color="auto"/>
        <w:right w:val="none" w:sz="0" w:space="0" w:color="auto"/>
      </w:divBdr>
    </w:div>
    <w:div w:id="1937858466">
      <w:bodyDiv w:val="1"/>
      <w:marLeft w:val="0"/>
      <w:marRight w:val="0"/>
      <w:marTop w:val="0"/>
      <w:marBottom w:val="0"/>
      <w:divBdr>
        <w:top w:val="none" w:sz="0" w:space="0" w:color="auto"/>
        <w:left w:val="none" w:sz="0" w:space="0" w:color="auto"/>
        <w:bottom w:val="none" w:sz="0" w:space="0" w:color="auto"/>
        <w:right w:val="none" w:sz="0" w:space="0" w:color="auto"/>
      </w:divBdr>
    </w:div>
    <w:div w:id="2001885013">
      <w:bodyDiv w:val="1"/>
      <w:marLeft w:val="0"/>
      <w:marRight w:val="0"/>
      <w:marTop w:val="0"/>
      <w:marBottom w:val="0"/>
      <w:divBdr>
        <w:top w:val="none" w:sz="0" w:space="0" w:color="auto"/>
        <w:left w:val="none" w:sz="0" w:space="0" w:color="auto"/>
        <w:bottom w:val="none" w:sz="0" w:space="0" w:color="auto"/>
        <w:right w:val="none" w:sz="0" w:space="0" w:color="auto"/>
      </w:divBdr>
    </w:div>
    <w:div w:id="2022076366">
      <w:bodyDiv w:val="1"/>
      <w:marLeft w:val="0"/>
      <w:marRight w:val="0"/>
      <w:marTop w:val="0"/>
      <w:marBottom w:val="0"/>
      <w:divBdr>
        <w:top w:val="none" w:sz="0" w:space="0" w:color="auto"/>
        <w:left w:val="none" w:sz="0" w:space="0" w:color="auto"/>
        <w:bottom w:val="none" w:sz="0" w:space="0" w:color="auto"/>
        <w:right w:val="none" w:sz="0" w:space="0" w:color="auto"/>
      </w:divBdr>
    </w:div>
    <w:div w:id="208575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826</Words>
  <Characters>5762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Camilla Sværke Hansen</dc:creator>
  <cp:keywords/>
  <dc:description>2026012338 - Nyt PI SPC</dc:description>
  <cp:lastModifiedBy>Camilla Sværke Hansen</cp:lastModifiedBy>
  <cp:revision>4</cp:revision>
  <cp:lastPrinted>2012-08-22T08:53:00Z</cp:lastPrinted>
  <dcterms:created xsi:type="dcterms:W3CDTF">2025-08-12T07:15:00Z</dcterms:created>
  <dcterms:modified xsi:type="dcterms:W3CDTF">2026-03-24T08:45:00Z</dcterms:modified>
</cp:coreProperties>
</file>