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694" w:rsidRPr="00C84483" w:rsidRDefault="006D2694" w:rsidP="006D2694">
      <w:pPr>
        <w:rPr>
          <w:b/>
          <w:szCs w:val="24"/>
        </w:rPr>
      </w:pPr>
      <w:r w:rsidRPr="009260DE">
        <w:rPr>
          <w:noProof/>
          <w:sz w:val="24"/>
          <w:szCs w:val="24"/>
          <w:lang w:eastAsia="da-DK"/>
        </w:rPr>
        <w:drawing>
          <wp:anchor distT="0" distB="0" distL="114300" distR="114300" simplePos="0" relativeHeight="251659264" behindDoc="0" locked="0" layoutInCell="1" allowOverlap="1" wp14:anchorId="6B5D89B9" wp14:editId="7E79636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D2694" w:rsidRPr="00C84483" w:rsidRDefault="006D2694" w:rsidP="006D2694">
      <w:pPr>
        <w:pStyle w:val="Titel"/>
        <w:tabs>
          <w:tab w:val="right" w:pos="9356"/>
        </w:tabs>
        <w:jc w:val="left"/>
        <w:rPr>
          <w:b w:val="0"/>
          <w:szCs w:val="24"/>
          <w:lang w:eastAsia="en-US"/>
        </w:rPr>
      </w:pPr>
      <w:r w:rsidRPr="00C84483">
        <w:rPr>
          <w:b w:val="0"/>
          <w:szCs w:val="24"/>
          <w:lang w:eastAsia="en-US"/>
        </w:rPr>
        <w:tab/>
      </w:r>
      <w:r w:rsidR="008A4D09">
        <w:rPr>
          <w:szCs w:val="24"/>
        </w:rPr>
        <w:t>4. juni</w:t>
      </w:r>
      <w:r w:rsidR="003066B4">
        <w:rPr>
          <w:szCs w:val="24"/>
        </w:rPr>
        <w:t xml:space="preserve"> 202</w:t>
      </w:r>
      <w:r w:rsidR="00D601D8">
        <w:rPr>
          <w:szCs w:val="24"/>
        </w:rPr>
        <w:t>4</w:t>
      </w:r>
    </w:p>
    <w:p w:rsidR="006D2694" w:rsidRPr="00C84483" w:rsidRDefault="006D2694" w:rsidP="006D2694">
      <w:pPr>
        <w:pStyle w:val="Titel"/>
        <w:tabs>
          <w:tab w:val="left" w:pos="8222"/>
        </w:tabs>
        <w:jc w:val="left"/>
        <w:rPr>
          <w:b w:val="0"/>
          <w:szCs w:val="24"/>
        </w:rPr>
      </w:pPr>
    </w:p>
    <w:p w:rsidR="006D2694" w:rsidRPr="00C84483" w:rsidRDefault="006D2694" w:rsidP="006D2694">
      <w:pPr>
        <w:pStyle w:val="Titel"/>
        <w:jc w:val="left"/>
        <w:rPr>
          <w:b w:val="0"/>
          <w:szCs w:val="24"/>
        </w:rPr>
      </w:pPr>
    </w:p>
    <w:p w:rsidR="006D2694" w:rsidRPr="00C84483" w:rsidRDefault="006D2694" w:rsidP="006D2694">
      <w:pPr>
        <w:jc w:val="center"/>
        <w:rPr>
          <w:b/>
          <w:sz w:val="24"/>
          <w:szCs w:val="24"/>
        </w:rPr>
      </w:pPr>
      <w:r w:rsidRPr="00C84483">
        <w:rPr>
          <w:b/>
          <w:sz w:val="24"/>
          <w:szCs w:val="24"/>
        </w:rPr>
        <w:t>PRODUKTRESUMÉ</w:t>
      </w:r>
    </w:p>
    <w:p w:rsidR="006D2694" w:rsidRPr="00C84483" w:rsidRDefault="006D2694" w:rsidP="006D2694">
      <w:pPr>
        <w:jc w:val="center"/>
        <w:rPr>
          <w:b/>
          <w:sz w:val="24"/>
          <w:szCs w:val="24"/>
        </w:rPr>
      </w:pPr>
    </w:p>
    <w:p w:rsidR="006D2694" w:rsidRDefault="006D2694" w:rsidP="006D2694">
      <w:pPr>
        <w:jc w:val="center"/>
        <w:rPr>
          <w:b/>
          <w:sz w:val="24"/>
          <w:szCs w:val="24"/>
        </w:rPr>
      </w:pPr>
      <w:r w:rsidRPr="00C84483">
        <w:rPr>
          <w:b/>
          <w:sz w:val="24"/>
          <w:szCs w:val="24"/>
        </w:rPr>
        <w:t>for</w:t>
      </w:r>
    </w:p>
    <w:p w:rsidR="006D2694" w:rsidRPr="00C84483" w:rsidRDefault="006D2694" w:rsidP="006D2694">
      <w:pPr>
        <w:jc w:val="center"/>
        <w:rPr>
          <w:b/>
          <w:sz w:val="24"/>
          <w:szCs w:val="24"/>
        </w:rPr>
      </w:pPr>
    </w:p>
    <w:p w:rsidR="006D2694" w:rsidRPr="00C84483" w:rsidRDefault="006D2694" w:rsidP="006D2694">
      <w:pPr>
        <w:jc w:val="center"/>
        <w:rPr>
          <w:b/>
          <w:sz w:val="24"/>
          <w:szCs w:val="24"/>
        </w:rPr>
      </w:pPr>
      <w:proofErr w:type="spellStart"/>
      <w:r>
        <w:rPr>
          <w:b/>
          <w:sz w:val="24"/>
          <w:szCs w:val="24"/>
        </w:rPr>
        <w:t>Ketorolac</w:t>
      </w:r>
      <w:proofErr w:type="spellEnd"/>
      <w:r>
        <w:rPr>
          <w:b/>
          <w:sz w:val="24"/>
          <w:szCs w:val="24"/>
        </w:rPr>
        <w:t xml:space="preserve"> trometamol "S.A.L.F.", injektionsvæske, opløsning</w:t>
      </w:r>
    </w:p>
    <w:p w:rsidR="006D2694" w:rsidRPr="00C84483" w:rsidRDefault="006D2694" w:rsidP="006D2694">
      <w:pPr>
        <w:jc w:val="both"/>
        <w:rPr>
          <w:sz w:val="24"/>
          <w:szCs w:val="24"/>
        </w:rPr>
      </w:pPr>
    </w:p>
    <w:p w:rsidR="006D2694" w:rsidRPr="00B130FC" w:rsidRDefault="006D2694" w:rsidP="006D2694">
      <w:pPr>
        <w:jc w:val="both"/>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0.</w:t>
      </w:r>
      <w:r w:rsidRPr="00B130FC">
        <w:rPr>
          <w:b/>
          <w:sz w:val="24"/>
          <w:szCs w:val="24"/>
        </w:rPr>
        <w:tab/>
        <w:t>D.SP.NR.</w:t>
      </w:r>
    </w:p>
    <w:p w:rsidR="006D2694" w:rsidRPr="00B130FC" w:rsidRDefault="006D2694" w:rsidP="006D2694">
      <w:pPr>
        <w:tabs>
          <w:tab w:val="left" w:pos="851"/>
        </w:tabs>
        <w:ind w:left="851"/>
        <w:rPr>
          <w:sz w:val="24"/>
          <w:szCs w:val="24"/>
        </w:rPr>
      </w:pPr>
      <w:r w:rsidRPr="00B130FC">
        <w:rPr>
          <w:sz w:val="24"/>
          <w:szCs w:val="24"/>
        </w:rPr>
        <w:t>31193</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1.</w:t>
      </w:r>
      <w:r w:rsidRPr="00B130FC">
        <w:rPr>
          <w:b/>
          <w:sz w:val="24"/>
          <w:szCs w:val="24"/>
        </w:rPr>
        <w:tab/>
        <w:t>LÆGEMIDLETS NAVN</w:t>
      </w:r>
    </w:p>
    <w:p w:rsidR="006D2694" w:rsidRPr="001663E7" w:rsidRDefault="006D2694" w:rsidP="006D2694">
      <w:pPr>
        <w:tabs>
          <w:tab w:val="left" w:pos="851"/>
        </w:tabs>
        <w:ind w:left="851"/>
        <w:rPr>
          <w:sz w:val="24"/>
          <w:szCs w:val="24"/>
        </w:rPr>
      </w:pPr>
      <w:proofErr w:type="spellStart"/>
      <w:r w:rsidRPr="001663E7">
        <w:rPr>
          <w:sz w:val="24"/>
          <w:szCs w:val="24"/>
        </w:rPr>
        <w:t>Ketorolac</w:t>
      </w:r>
      <w:proofErr w:type="spellEnd"/>
      <w:r w:rsidRPr="001663E7">
        <w:rPr>
          <w:sz w:val="24"/>
          <w:szCs w:val="24"/>
        </w:rPr>
        <w:t xml:space="preserve"> trometamol "S.A.L.F."</w:t>
      </w:r>
    </w:p>
    <w:p w:rsidR="006D2694" w:rsidRPr="001663E7"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2.</w:t>
      </w:r>
      <w:r w:rsidRPr="00B130FC">
        <w:rPr>
          <w:b/>
          <w:sz w:val="24"/>
          <w:szCs w:val="24"/>
        </w:rPr>
        <w:tab/>
        <w:t>KVALITATIV OG KVANTITATIV SAMMENSÆTNING</w:t>
      </w:r>
    </w:p>
    <w:p w:rsidR="006D2694" w:rsidRPr="00B130FC" w:rsidRDefault="006D2694" w:rsidP="006D2694">
      <w:pPr>
        <w:ind w:left="851"/>
        <w:rPr>
          <w:sz w:val="24"/>
          <w:szCs w:val="24"/>
          <w:lang w:eastAsia="en-GB"/>
        </w:rPr>
      </w:pPr>
      <w:r w:rsidRPr="00B130FC">
        <w:rPr>
          <w:sz w:val="24"/>
          <w:szCs w:val="24"/>
        </w:rPr>
        <w:t xml:space="preserve">1 ml </w:t>
      </w:r>
      <w:proofErr w:type="spellStart"/>
      <w:r w:rsidRPr="00B130FC">
        <w:rPr>
          <w:sz w:val="24"/>
          <w:szCs w:val="24"/>
        </w:rPr>
        <w:t>Ketorolac</w:t>
      </w:r>
      <w:proofErr w:type="spellEnd"/>
      <w:r w:rsidRPr="00B130FC">
        <w:rPr>
          <w:sz w:val="24"/>
          <w:szCs w:val="24"/>
        </w:rPr>
        <w:t xml:space="preserve"> trometamol </w:t>
      </w:r>
      <w:r>
        <w:rPr>
          <w:sz w:val="24"/>
          <w:szCs w:val="24"/>
        </w:rPr>
        <w:t>"S.A.L.F."</w:t>
      </w:r>
      <w:r w:rsidRPr="00B130FC">
        <w:rPr>
          <w:sz w:val="24"/>
          <w:szCs w:val="24"/>
        </w:rPr>
        <w:t xml:space="preserve"> injektionsvæske, opløsning indeholder 30 mg </w:t>
      </w:r>
      <w:proofErr w:type="spellStart"/>
      <w:r w:rsidRPr="00B130FC">
        <w:rPr>
          <w:sz w:val="24"/>
          <w:szCs w:val="24"/>
        </w:rPr>
        <w:t>ketorolactrometamol</w:t>
      </w:r>
      <w:proofErr w:type="spellEnd"/>
      <w:r w:rsidRPr="00B130FC">
        <w:rPr>
          <w:sz w:val="24"/>
          <w:szCs w:val="24"/>
        </w:rPr>
        <w:t>.</w:t>
      </w:r>
    </w:p>
    <w:p w:rsidR="006D2694" w:rsidRPr="00B130FC" w:rsidRDefault="006D2694" w:rsidP="006D2694">
      <w:pPr>
        <w:ind w:left="851" w:right="-20"/>
        <w:jc w:val="both"/>
        <w:rPr>
          <w:rFonts w:eastAsiaTheme="minorHAnsi"/>
          <w:sz w:val="24"/>
          <w:szCs w:val="24"/>
        </w:rPr>
      </w:pPr>
    </w:p>
    <w:p w:rsidR="006D2694" w:rsidRPr="00B130FC" w:rsidRDefault="006D2694" w:rsidP="006D2694">
      <w:pPr>
        <w:ind w:left="851" w:right="-20"/>
        <w:jc w:val="both"/>
        <w:rPr>
          <w:sz w:val="24"/>
          <w:szCs w:val="24"/>
        </w:rPr>
      </w:pPr>
      <w:r w:rsidRPr="00B130FC">
        <w:rPr>
          <w:sz w:val="24"/>
          <w:szCs w:val="24"/>
        </w:rPr>
        <w:t>Hjælpestoffer</w:t>
      </w:r>
      <w:r>
        <w:rPr>
          <w:sz w:val="24"/>
          <w:szCs w:val="24"/>
        </w:rPr>
        <w:t>, som behandleren skal være opmærksom på: N</w:t>
      </w:r>
      <w:r w:rsidRPr="00B130FC">
        <w:rPr>
          <w:sz w:val="24"/>
          <w:szCs w:val="24"/>
        </w:rPr>
        <w:t>atrium.</w:t>
      </w:r>
    </w:p>
    <w:p w:rsidR="006D2694" w:rsidRPr="00B130FC" w:rsidRDefault="006D2694" w:rsidP="006D2694">
      <w:pPr>
        <w:ind w:left="851" w:right="-20"/>
        <w:jc w:val="both"/>
        <w:rPr>
          <w:sz w:val="24"/>
          <w:szCs w:val="24"/>
        </w:rPr>
      </w:pPr>
    </w:p>
    <w:p w:rsidR="006D2694" w:rsidRPr="00B130FC" w:rsidRDefault="006D2694" w:rsidP="006D2694">
      <w:pPr>
        <w:ind w:left="851" w:right="-20"/>
        <w:jc w:val="both"/>
        <w:rPr>
          <w:sz w:val="24"/>
          <w:szCs w:val="24"/>
        </w:rPr>
      </w:pPr>
      <w:r w:rsidRPr="00B130FC">
        <w:rPr>
          <w:sz w:val="24"/>
          <w:szCs w:val="24"/>
        </w:rPr>
        <w:t>Alle hjælpestoffer er anført under pkt. 6.1.</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3.</w:t>
      </w:r>
      <w:r w:rsidRPr="00B130FC">
        <w:rPr>
          <w:b/>
          <w:sz w:val="24"/>
          <w:szCs w:val="24"/>
        </w:rPr>
        <w:tab/>
        <w:t>LÆGEMIDDELFORM</w:t>
      </w:r>
    </w:p>
    <w:p w:rsidR="006D2694" w:rsidRPr="00B130FC" w:rsidRDefault="006D2694" w:rsidP="006D2694">
      <w:pPr>
        <w:ind w:left="851" w:right="-20"/>
        <w:rPr>
          <w:sz w:val="24"/>
          <w:szCs w:val="24"/>
          <w:lang w:eastAsia="en-GB"/>
        </w:rPr>
      </w:pPr>
      <w:r>
        <w:rPr>
          <w:sz w:val="24"/>
          <w:szCs w:val="24"/>
        </w:rPr>
        <w:t>Injektionsvæske, o</w:t>
      </w:r>
      <w:r w:rsidRPr="00B130FC">
        <w:rPr>
          <w:sz w:val="24"/>
          <w:szCs w:val="24"/>
        </w:rPr>
        <w:t>pløsning</w:t>
      </w:r>
    </w:p>
    <w:p w:rsidR="006D2694" w:rsidRPr="00B130FC" w:rsidRDefault="006D2694" w:rsidP="006D2694">
      <w:pPr>
        <w:ind w:left="851" w:right="-20"/>
        <w:rPr>
          <w:sz w:val="24"/>
          <w:szCs w:val="24"/>
        </w:rPr>
      </w:pPr>
      <w:r w:rsidRPr="00B130FC">
        <w:rPr>
          <w:sz w:val="24"/>
          <w:szCs w:val="24"/>
        </w:rPr>
        <w:t>Klar, farveløs til let gul steril opløsning, pH 6,9-7,9.</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w:t>
      </w:r>
      <w:r w:rsidRPr="00B130FC">
        <w:rPr>
          <w:b/>
          <w:sz w:val="24"/>
          <w:szCs w:val="24"/>
        </w:rPr>
        <w:tab/>
        <w:t>KLINISKE OPLYSNINGER</w:t>
      </w:r>
    </w:p>
    <w:p w:rsidR="006D2694" w:rsidRPr="00B130FC" w:rsidRDefault="006D2694" w:rsidP="006D2694">
      <w:pPr>
        <w:tabs>
          <w:tab w:val="left" w:pos="851"/>
        </w:tabs>
        <w:ind w:left="851"/>
        <w:rPr>
          <w:b/>
          <w:sz w:val="24"/>
          <w:szCs w:val="24"/>
        </w:rPr>
      </w:pPr>
    </w:p>
    <w:p w:rsidR="006D2694" w:rsidRPr="00B130FC" w:rsidRDefault="006D2694" w:rsidP="006D2694">
      <w:pPr>
        <w:tabs>
          <w:tab w:val="left" w:pos="851"/>
        </w:tabs>
        <w:ind w:left="851" w:hanging="851"/>
        <w:rPr>
          <w:b/>
          <w:sz w:val="24"/>
          <w:szCs w:val="24"/>
          <w:u w:val="single"/>
        </w:rPr>
      </w:pPr>
      <w:r w:rsidRPr="00B130FC">
        <w:rPr>
          <w:b/>
          <w:sz w:val="24"/>
          <w:szCs w:val="24"/>
        </w:rPr>
        <w:t>4.1</w:t>
      </w:r>
      <w:r w:rsidRPr="00B130FC">
        <w:rPr>
          <w:b/>
          <w:sz w:val="24"/>
          <w:szCs w:val="24"/>
        </w:rPr>
        <w:tab/>
        <w:t>Terapeutiske indikationer</w:t>
      </w:r>
    </w:p>
    <w:p w:rsidR="006D2694" w:rsidRPr="00B130FC" w:rsidRDefault="006D2694" w:rsidP="006D2694">
      <w:pPr>
        <w:ind w:left="851" w:right="-20"/>
        <w:rPr>
          <w:sz w:val="24"/>
          <w:szCs w:val="24"/>
          <w:lang w:eastAsia="en-GB"/>
        </w:rPr>
      </w:pPr>
      <w:r w:rsidRPr="00B130FC">
        <w:rPr>
          <w:sz w:val="24"/>
          <w:szCs w:val="24"/>
        </w:rPr>
        <w:t xml:space="preserve">Kortvarig behandling af moderate til svære postoperative smerter. Akut </w:t>
      </w:r>
      <w:proofErr w:type="spellStart"/>
      <w:r w:rsidRPr="00B130FC">
        <w:rPr>
          <w:sz w:val="24"/>
          <w:szCs w:val="24"/>
        </w:rPr>
        <w:t>uretral</w:t>
      </w:r>
      <w:proofErr w:type="spellEnd"/>
      <w:r w:rsidRPr="00B130FC">
        <w:rPr>
          <w:sz w:val="24"/>
          <w:szCs w:val="24"/>
        </w:rPr>
        <w:t xml:space="preserve"> smerte.</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4.2</w:t>
      </w:r>
      <w:r w:rsidRPr="00B130FC">
        <w:rPr>
          <w:b/>
          <w:sz w:val="24"/>
          <w:szCs w:val="24"/>
        </w:rPr>
        <w:tab/>
        <w:t xml:space="preserve">Dosering og </w:t>
      </w:r>
      <w:r w:rsidR="003066B4">
        <w:rPr>
          <w:b/>
          <w:sz w:val="24"/>
          <w:szCs w:val="24"/>
        </w:rPr>
        <w:t>administration</w:t>
      </w:r>
    </w:p>
    <w:p w:rsidR="006D2694" w:rsidRPr="00B130FC" w:rsidRDefault="006D2694" w:rsidP="006D2694">
      <w:pPr>
        <w:spacing w:line="244" w:lineRule="auto"/>
        <w:ind w:left="851" w:right="-371"/>
        <w:rPr>
          <w:sz w:val="24"/>
          <w:szCs w:val="24"/>
          <w:lang w:eastAsia="en-GB"/>
        </w:rPr>
      </w:pPr>
      <w:r w:rsidRPr="00B130FC">
        <w:rPr>
          <w:sz w:val="24"/>
          <w:szCs w:val="24"/>
        </w:rPr>
        <w:t>Behandling bør kun ske i hospitalsregi. Behandling bør maksimalt gives i to dage.</w:t>
      </w:r>
    </w:p>
    <w:p w:rsidR="006D2694" w:rsidRPr="00B130FC" w:rsidRDefault="006D2694" w:rsidP="006D2694">
      <w:pPr>
        <w:spacing w:before="4" w:line="280" w:lineRule="exact"/>
        <w:ind w:left="851"/>
        <w:rPr>
          <w:rFonts w:eastAsiaTheme="minorHAnsi"/>
          <w:sz w:val="24"/>
          <w:szCs w:val="24"/>
        </w:rPr>
      </w:pPr>
    </w:p>
    <w:p w:rsidR="006D2694" w:rsidRPr="00B130FC" w:rsidRDefault="006D2694" w:rsidP="006D2694">
      <w:pPr>
        <w:ind w:left="851" w:right="-20"/>
        <w:rPr>
          <w:sz w:val="24"/>
          <w:szCs w:val="24"/>
          <w:highlight w:val="yellow"/>
          <w:u w:val="single" w:color="000000"/>
        </w:rPr>
      </w:pPr>
      <w:r w:rsidRPr="00B130FC">
        <w:rPr>
          <w:sz w:val="24"/>
          <w:szCs w:val="24"/>
          <w:u w:val="single"/>
        </w:rPr>
        <w:t>Moderate til svære postoperative smerter:</w:t>
      </w:r>
    </w:p>
    <w:p w:rsidR="006D2694" w:rsidRPr="00B130FC" w:rsidRDefault="006D2694" w:rsidP="006D2694">
      <w:pPr>
        <w:ind w:left="851" w:right="-20"/>
        <w:rPr>
          <w:sz w:val="24"/>
          <w:szCs w:val="24"/>
          <w:highlight w:val="yellow"/>
        </w:rPr>
      </w:pPr>
    </w:p>
    <w:p w:rsidR="006D2694" w:rsidRPr="00B130FC" w:rsidRDefault="006D2694" w:rsidP="006D2694">
      <w:pPr>
        <w:spacing w:before="7" w:line="244" w:lineRule="auto"/>
        <w:ind w:left="851" w:right="-404"/>
        <w:rPr>
          <w:rFonts w:eastAsiaTheme="minorHAnsi"/>
          <w:sz w:val="24"/>
          <w:szCs w:val="24"/>
        </w:rPr>
      </w:pPr>
      <w:r w:rsidRPr="00B130FC">
        <w:rPr>
          <w:sz w:val="24"/>
          <w:szCs w:val="24"/>
        </w:rPr>
        <w:t>Den lavest mulige dosis bør gives.</w:t>
      </w:r>
    </w:p>
    <w:p w:rsidR="006D2694" w:rsidRPr="00B130FC" w:rsidRDefault="006D2694" w:rsidP="006D2694">
      <w:pPr>
        <w:spacing w:before="7" w:line="244" w:lineRule="auto"/>
        <w:ind w:left="851" w:right="-404"/>
        <w:rPr>
          <w:sz w:val="24"/>
          <w:szCs w:val="24"/>
        </w:rPr>
      </w:pPr>
      <w:r w:rsidRPr="00B130FC">
        <w:rPr>
          <w:sz w:val="24"/>
          <w:szCs w:val="24"/>
        </w:rPr>
        <w:t xml:space="preserve">Doseringen bør justeres efter graden af smerte, og hvordan patienten reagerer på behandlingen. Den almindelige startdosis af </w:t>
      </w:r>
      <w:proofErr w:type="spellStart"/>
      <w:r w:rsidRPr="00B130FC">
        <w:rPr>
          <w:sz w:val="24"/>
          <w:szCs w:val="24"/>
        </w:rPr>
        <w:t>Ketorolac</w:t>
      </w:r>
      <w:proofErr w:type="spellEnd"/>
      <w:r w:rsidRPr="00B130FC">
        <w:rPr>
          <w:sz w:val="24"/>
          <w:szCs w:val="24"/>
        </w:rPr>
        <w:t xml:space="preserve"> trometamol </w:t>
      </w:r>
      <w:r>
        <w:rPr>
          <w:sz w:val="24"/>
          <w:szCs w:val="24"/>
        </w:rPr>
        <w:t>"S.A.L.F."</w:t>
      </w:r>
      <w:r w:rsidRPr="00B130FC">
        <w:rPr>
          <w:sz w:val="24"/>
          <w:szCs w:val="24"/>
        </w:rPr>
        <w:t xml:space="preserve"> er 10 mg indgivet intramuskulært eller intravenøst efterfulgt af 10-30 mg hver fjerde til sjette time efter behov. Den intravenøse injektionstid bør være mindst 15 sekunder. Ved behandlingens start kan lægemidlet gives hver anden time om nødvendigt. Den daglige dosis på 90 mg må ikke overskrides.</w:t>
      </w:r>
    </w:p>
    <w:p w:rsidR="006D2694" w:rsidRPr="00B130FC" w:rsidRDefault="006D2694" w:rsidP="006D2694">
      <w:pPr>
        <w:spacing w:before="7" w:line="244" w:lineRule="auto"/>
        <w:ind w:left="851" w:right="-404"/>
        <w:rPr>
          <w:sz w:val="24"/>
          <w:szCs w:val="24"/>
        </w:rPr>
      </w:pPr>
    </w:p>
    <w:p w:rsidR="006D2694" w:rsidRPr="00B130FC" w:rsidRDefault="006D2694" w:rsidP="006D2694">
      <w:pPr>
        <w:spacing w:before="7" w:line="244" w:lineRule="auto"/>
        <w:ind w:left="851" w:right="-404"/>
        <w:rPr>
          <w:sz w:val="24"/>
          <w:szCs w:val="24"/>
        </w:rPr>
      </w:pPr>
      <w:r w:rsidRPr="00B130FC">
        <w:rPr>
          <w:sz w:val="24"/>
          <w:szCs w:val="24"/>
        </w:rPr>
        <w:t xml:space="preserve">Patienter over 65 år og patienter med nedsat nyrefunktion: 10-15 mg hver 4.-6. time. </w:t>
      </w:r>
    </w:p>
    <w:p w:rsidR="006D2694" w:rsidRPr="00B130FC" w:rsidRDefault="006D2694" w:rsidP="006D2694">
      <w:pPr>
        <w:spacing w:before="7" w:line="244" w:lineRule="auto"/>
        <w:ind w:left="851" w:right="-404"/>
        <w:rPr>
          <w:sz w:val="24"/>
          <w:szCs w:val="24"/>
        </w:rPr>
      </w:pPr>
      <w:r w:rsidRPr="00B130FC">
        <w:rPr>
          <w:sz w:val="24"/>
          <w:szCs w:val="24"/>
        </w:rPr>
        <w:t>Den maksimale daglige dosis til patienter over 65 år, patienter med en vægt på under 50 kg og patienter med nedsat nyrefunktion er 60 mg.</w:t>
      </w:r>
    </w:p>
    <w:p w:rsidR="006D2694" w:rsidRPr="00B130FC" w:rsidRDefault="006D2694" w:rsidP="006D2694">
      <w:pPr>
        <w:spacing w:line="244" w:lineRule="auto"/>
        <w:ind w:left="851" w:right="-371"/>
        <w:rPr>
          <w:sz w:val="24"/>
          <w:szCs w:val="24"/>
        </w:rPr>
      </w:pPr>
      <w:r w:rsidRPr="00B130FC">
        <w:rPr>
          <w:sz w:val="24"/>
          <w:szCs w:val="24"/>
        </w:rPr>
        <w:t>Bivirkninger kan nedbringes ved at bruge den mindste effektive dosis i den korteste tid, som er nødvendig for at kontrollere symptomer (se pkt. 4.4).</w:t>
      </w:r>
    </w:p>
    <w:p w:rsidR="006D2694" w:rsidRPr="00B130FC" w:rsidRDefault="006D2694" w:rsidP="006D2694">
      <w:pPr>
        <w:spacing w:before="7" w:line="244" w:lineRule="auto"/>
        <w:ind w:left="851" w:right="-404"/>
        <w:rPr>
          <w:sz w:val="24"/>
          <w:szCs w:val="24"/>
        </w:rPr>
      </w:pPr>
    </w:p>
    <w:p w:rsidR="006D2694" w:rsidRPr="00B130FC" w:rsidRDefault="006D2694" w:rsidP="006D2694">
      <w:pPr>
        <w:spacing w:before="19"/>
        <w:ind w:left="851" w:right="-404"/>
        <w:rPr>
          <w:i/>
          <w:sz w:val="24"/>
          <w:szCs w:val="24"/>
        </w:rPr>
      </w:pPr>
      <w:proofErr w:type="spellStart"/>
      <w:r w:rsidRPr="00B130FC">
        <w:rPr>
          <w:i/>
          <w:sz w:val="24"/>
          <w:szCs w:val="24"/>
        </w:rPr>
        <w:t>Uretral</w:t>
      </w:r>
      <w:proofErr w:type="spellEnd"/>
      <w:r w:rsidRPr="00B130FC">
        <w:rPr>
          <w:i/>
          <w:sz w:val="24"/>
          <w:szCs w:val="24"/>
        </w:rPr>
        <w:t xml:space="preserve"> smerte:</w:t>
      </w:r>
    </w:p>
    <w:p w:rsidR="006D2694" w:rsidRPr="00B130FC" w:rsidRDefault="006D2694" w:rsidP="006D2694">
      <w:pPr>
        <w:spacing w:before="7"/>
        <w:ind w:left="851" w:right="-20"/>
        <w:rPr>
          <w:sz w:val="24"/>
          <w:szCs w:val="24"/>
        </w:rPr>
      </w:pPr>
      <w:r w:rsidRPr="00B130FC">
        <w:rPr>
          <w:sz w:val="24"/>
          <w:szCs w:val="24"/>
        </w:rPr>
        <w:t>30 mg indgivet intramuskulært eller intravenøst i én dosis.</w:t>
      </w:r>
    </w:p>
    <w:p w:rsidR="006D2694" w:rsidRPr="00B130FC" w:rsidRDefault="006D2694" w:rsidP="006D2694">
      <w:pPr>
        <w:spacing w:before="6" w:line="260" w:lineRule="exact"/>
        <w:ind w:left="851"/>
        <w:rPr>
          <w:rFonts w:eastAsiaTheme="minorHAnsi"/>
          <w:sz w:val="24"/>
          <w:szCs w:val="24"/>
        </w:rPr>
      </w:pPr>
    </w:p>
    <w:p w:rsidR="006D2694" w:rsidRPr="00B130FC" w:rsidRDefault="006D2694" w:rsidP="006D2694">
      <w:pPr>
        <w:ind w:left="851" w:right="-20"/>
        <w:rPr>
          <w:sz w:val="24"/>
          <w:szCs w:val="24"/>
        </w:rPr>
      </w:pPr>
      <w:proofErr w:type="spellStart"/>
      <w:r w:rsidRPr="00B130FC">
        <w:rPr>
          <w:sz w:val="24"/>
          <w:szCs w:val="24"/>
        </w:rPr>
        <w:t>Ketorolac</w:t>
      </w:r>
      <w:proofErr w:type="spellEnd"/>
      <w:r w:rsidRPr="00B130FC">
        <w:rPr>
          <w:sz w:val="24"/>
          <w:szCs w:val="24"/>
        </w:rPr>
        <w:t xml:space="preserve"> bør ikke gives i tilfælde af svært nedsat nyrefunktion (</w:t>
      </w:r>
      <w:proofErr w:type="spellStart"/>
      <w:r w:rsidRPr="00B130FC">
        <w:rPr>
          <w:sz w:val="24"/>
          <w:szCs w:val="24"/>
        </w:rPr>
        <w:t>serumkreatinin</w:t>
      </w:r>
      <w:proofErr w:type="spellEnd"/>
      <w:r w:rsidRPr="00B130FC">
        <w:rPr>
          <w:sz w:val="24"/>
          <w:szCs w:val="24"/>
        </w:rPr>
        <w:t xml:space="preserve"> &gt; 440 µmol/l). </w:t>
      </w:r>
    </w:p>
    <w:p w:rsidR="006D2694" w:rsidRPr="00B130FC" w:rsidRDefault="006D2694" w:rsidP="006D2694">
      <w:pPr>
        <w:ind w:left="851" w:right="-20"/>
        <w:rPr>
          <w:sz w:val="24"/>
          <w:szCs w:val="24"/>
        </w:rPr>
      </w:pPr>
      <w:r w:rsidRPr="00B130FC">
        <w:rPr>
          <w:sz w:val="24"/>
          <w:szCs w:val="24"/>
        </w:rPr>
        <w:t xml:space="preserve">For yderligere at lette smerte, eller hvis den angstdæmpende og bedøvende virkning af smertestillende morfinpræparater er påkrævet, kan </w:t>
      </w:r>
      <w:proofErr w:type="spellStart"/>
      <w:r w:rsidRPr="00B130FC">
        <w:rPr>
          <w:sz w:val="24"/>
          <w:szCs w:val="24"/>
        </w:rPr>
        <w:t>ketorolac</w:t>
      </w:r>
      <w:proofErr w:type="spellEnd"/>
      <w:r w:rsidRPr="00B130FC">
        <w:rPr>
          <w:sz w:val="24"/>
          <w:szCs w:val="24"/>
        </w:rPr>
        <w:t xml:space="preserve"> kombineres med disse. I dette tilfælde bør dosis af det smertestillende morfinpræparat reduceres.</w:t>
      </w:r>
    </w:p>
    <w:p w:rsidR="006D2694" w:rsidRPr="00B130FC" w:rsidRDefault="006D2694" w:rsidP="006D2694">
      <w:pPr>
        <w:spacing w:before="5" w:line="260" w:lineRule="exact"/>
        <w:ind w:left="851"/>
        <w:rPr>
          <w:rFonts w:eastAsiaTheme="minorHAnsi"/>
          <w:sz w:val="24"/>
          <w:szCs w:val="24"/>
        </w:rPr>
      </w:pPr>
    </w:p>
    <w:p w:rsidR="006D2694" w:rsidRPr="00B130FC" w:rsidRDefault="006D2694" w:rsidP="006D2694">
      <w:pPr>
        <w:spacing w:line="244" w:lineRule="auto"/>
        <w:ind w:left="851" w:right="-371"/>
        <w:rPr>
          <w:sz w:val="24"/>
          <w:szCs w:val="24"/>
        </w:rPr>
      </w:pPr>
      <w:r w:rsidRPr="00B130FC">
        <w:rPr>
          <w:sz w:val="24"/>
          <w:szCs w:val="24"/>
        </w:rPr>
        <w:t xml:space="preserve">Nedsat nyrefunktion: </w:t>
      </w:r>
    </w:p>
    <w:p w:rsidR="006D2694" w:rsidRPr="00B130FC" w:rsidRDefault="006D2694" w:rsidP="006D2694">
      <w:pPr>
        <w:spacing w:line="244" w:lineRule="auto"/>
        <w:ind w:left="851" w:right="-371"/>
        <w:rPr>
          <w:sz w:val="24"/>
          <w:szCs w:val="24"/>
        </w:rPr>
      </w:pPr>
      <w:r w:rsidRPr="00B130FC">
        <w:rPr>
          <w:sz w:val="24"/>
          <w:szCs w:val="24"/>
        </w:rPr>
        <w:t xml:space="preserve">Da </w:t>
      </w:r>
      <w:proofErr w:type="spellStart"/>
      <w:r w:rsidRPr="00B130FC">
        <w:rPr>
          <w:sz w:val="24"/>
          <w:szCs w:val="24"/>
        </w:rPr>
        <w:t>ketorolac</w:t>
      </w:r>
      <w:proofErr w:type="spellEnd"/>
      <w:r w:rsidRPr="00B130FC">
        <w:rPr>
          <w:sz w:val="24"/>
          <w:szCs w:val="24"/>
        </w:rPr>
        <w:t xml:space="preserve"> og dets metabolitter udskilles gennem nyrerne, bør patienter med nedsat nyrefunktion overvåges omhyggeligt, og dosis bør justeres i overensstemmelse hermed. Se pkt. 4.3. </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4.3</w:t>
      </w:r>
      <w:r w:rsidRPr="00B130FC">
        <w:rPr>
          <w:b/>
          <w:sz w:val="24"/>
          <w:szCs w:val="24"/>
        </w:rPr>
        <w:tab/>
        <w:t>Kontraindikationer</w:t>
      </w:r>
    </w:p>
    <w:p w:rsidR="006D2694" w:rsidRPr="00B130FC" w:rsidRDefault="006D2694" w:rsidP="006D2694">
      <w:pPr>
        <w:pStyle w:val="Listeafsnit"/>
        <w:numPr>
          <w:ilvl w:val="0"/>
          <w:numId w:val="6"/>
        </w:numPr>
        <w:spacing w:after="0" w:line="240" w:lineRule="auto"/>
        <w:ind w:left="1276" w:right="375" w:hanging="425"/>
        <w:rPr>
          <w:rFonts w:ascii="Times New Roman" w:hAnsi="Times New Roman" w:cs="Times New Roman"/>
          <w:sz w:val="24"/>
          <w:szCs w:val="24"/>
        </w:rPr>
      </w:pPr>
      <w:r w:rsidRPr="00B130FC">
        <w:rPr>
          <w:rFonts w:ascii="Times New Roman" w:hAnsi="Times New Roman" w:cs="Times New Roman"/>
          <w:sz w:val="24"/>
          <w:szCs w:val="24"/>
        </w:rPr>
        <w:t xml:space="preserve">Aktivt mavesår eller </w:t>
      </w:r>
      <w:proofErr w:type="spellStart"/>
      <w:r w:rsidRPr="00B130FC">
        <w:rPr>
          <w:rFonts w:ascii="Times New Roman" w:hAnsi="Times New Roman" w:cs="Times New Roman"/>
          <w:sz w:val="24"/>
          <w:szCs w:val="24"/>
        </w:rPr>
        <w:t>gastrointestinal</w:t>
      </w:r>
      <w:proofErr w:type="spellEnd"/>
      <w:r w:rsidRPr="00B130FC">
        <w:rPr>
          <w:rFonts w:ascii="Times New Roman" w:hAnsi="Times New Roman" w:cs="Times New Roman"/>
          <w:sz w:val="24"/>
          <w:szCs w:val="24"/>
        </w:rPr>
        <w:t xml:space="preserve"> blødning, </w:t>
      </w:r>
      <w:proofErr w:type="spellStart"/>
      <w:r w:rsidRPr="00B130FC">
        <w:rPr>
          <w:rFonts w:ascii="Times New Roman" w:hAnsi="Times New Roman" w:cs="Times New Roman"/>
          <w:sz w:val="24"/>
          <w:szCs w:val="24"/>
        </w:rPr>
        <w:t>ulceration</w:t>
      </w:r>
      <w:proofErr w:type="spellEnd"/>
      <w:r w:rsidRPr="00B130FC">
        <w:rPr>
          <w:rFonts w:ascii="Times New Roman" w:hAnsi="Times New Roman" w:cs="Times New Roman"/>
          <w:sz w:val="24"/>
          <w:szCs w:val="24"/>
        </w:rPr>
        <w:t xml:space="preserve"> eller perforering i anamnesen.</w:t>
      </w:r>
    </w:p>
    <w:p w:rsidR="006D2694" w:rsidRPr="00B130FC" w:rsidRDefault="006D2694" w:rsidP="006D2694">
      <w:pPr>
        <w:pStyle w:val="Listeafsnit"/>
        <w:numPr>
          <w:ilvl w:val="0"/>
          <w:numId w:val="6"/>
        </w:numPr>
        <w:spacing w:after="0" w:line="240" w:lineRule="auto"/>
        <w:ind w:left="1276" w:right="504" w:hanging="425"/>
        <w:rPr>
          <w:rFonts w:ascii="Times New Roman" w:eastAsia="Times New Roman" w:hAnsi="Times New Roman" w:cs="Times New Roman"/>
          <w:sz w:val="24"/>
          <w:szCs w:val="24"/>
        </w:rPr>
      </w:pPr>
      <w:r w:rsidRPr="00B130FC">
        <w:rPr>
          <w:rFonts w:ascii="Times New Roman" w:hAnsi="Times New Roman" w:cs="Times New Roman"/>
          <w:sz w:val="24"/>
          <w:szCs w:val="24"/>
        </w:rPr>
        <w:t xml:space="preserve">Overfølsomhed over for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eller over for et eller flere af hjælpestofferne anført i pkt. 6.1 eller over for andre NSAID-præparater.</w:t>
      </w:r>
    </w:p>
    <w:p w:rsidR="006D2694" w:rsidRPr="00B130FC" w:rsidRDefault="006D2694" w:rsidP="006D2694">
      <w:pPr>
        <w:pStyle w:val="Listeafsnit"/>
        <w:numPr>
          <w:ilvl w:val="0"/>
          <w:numId w:val="6"/>
        </w:numPr>
        <w:spacing w:after="0" w:line="240" w:lineRule="auto"/>
        <w:ind w:left="1276" w:right="-20" w:hanging="425"/>
        <w:rPr>
          <w:rFonts w:ascii="Times New Roman" w:eastAsia="Times New Roman" w:hAnsi="Times New Roman" w:cs="Times New Roman"/>
          <w:sz w:val="24"/>
          <w:szCs w:val="24"/>
        </w:rPr>
      </w:pPr>
      <w:r w:rsidRPr="00B130FC">
        <w:rPr>
          <w:rFonts w:ascii="Times New Roman" w:hAnsi="Times New Roman" w:cs="Times New Roman"/>
          <w:sz w:val="24"/>
          <w:szCs w:val="24"/>
        </w:rPr>
        <w:t>I kombination med andre NSAID-præparater eller acetylsalicylsyre.</w:t>
      </w:r>
    </w:p>
    <w:p w:rsidR="006D2694" w:rsidRPr="00B130FC" w:rsidRDefault="006D2694" w:rsidP="006D2694">
      <w:pPr>
        <w:pStyle w:val="Listeafsnit"/>
        <w:numPr>
          <w:ilvl w:val="0"/>
          <w:numId w:val="6"/>
        </w:numPr>
        <w:spacing w:after="0" w:line="240" w:lineRule="auto"/>
        <w:ind w:left="1276" w:right="70" w:hanging="425"/>
        <w:rPr>
          <w:rFonts w:ascii="Times New Roman" w:eastAsia="Times New Roman" w:hAnsi="Times New Roman" w:cs="Times New Roman"/>
          <w:sz w:val="24"/>
          <w:szCs w:val="24"/>
        </w:rPr>
      </w:pPr>
      <w:r w:rsidRPr="00B130FC">
        <w:rPr>
          <w:rFonts w:ascii="Times New Roman" w:hAnsi="Times New Roman" w:cs="Times New Roman"/>
          <w:sz w:val="24"/>
          <w:szCs w:val="24"/>
        </w:rPr>
        <w:t xml:space="preserve">Må ikke gives til patienter, der har haft </w:t>
      </w:r>
      <w:proofErr w:type="spellStart"/>
      <w:r w:rsidRPr="00B130FC">
        <w:rPr>
          <w:rFonts w:ascii="Times New Roman" w:hAnsi="Times New Roman" w:cs="Times New Roman"/>
          <w:sz w:val="24"/>
          <w:szCs w:val="24"/>
        </w:rPr>
        <w:t>anafylaktiske</w:t>
      </w:r>
      <w:proofErr w:type="spellEnd"/>
      <w:r w:rsidRPr="00B130FC">
        <w:rPr>
          <w:rFonts w:ascii="Times New Roman" w:hAnsi="Times New Roman" w:cs="Times New Roman"/>
          <w:sz w:val="24"/>
          <w:szCs w:val="24"/>
        </w:rPr>
        <w:t xml:space="preserve"> reaktioner, astma, </w:t>
      </w:r>
      <w:proofErr w:type="spellStart"/>
      <w:r w:rsidRPr="00B130FC">
        <w:rPr>
          <w:rFonts w:ascii="Times New Roman" w:hAnsi="Times New Roman" w:cs="Times New Roman"/>
          <w:sz w:val="24"/>
          <w:szCs w:val="24"/>
        </w:rPr>
        <w:t>rhinitis</w:t>
      </w:r>
      <w:proofErr w:type="spellEnd"/>
      <w:r w:rsidRPr="00B130FC">
        <w:rPr>
          <w:rFonts w:ascii="Times New Roman" w:hAnsi="Times New Roman" w:cs="Times New Roman"/>
          <w:sz w:val="24"/>
          <w:szCs w:val="24"/>
        </w:rPr>
        <w:t xml:space="preserve"> eller </w:t>
      </w:r>
      <w:proofErr w:type="spellStart"/>
      <w:r w:rsidRPr="00B130FC">
        <w:rPr>
          <w:rFonts w:ascii="Times New Roman" w:hAnsi="Times New Roman" w:cs="Times New Roman"/>
          <w:sz w:val="24"/>
          <w:szCs w:val="24"/>
        </w:rPr>
        <w:t>urticaria</w:t>
      </w:r>
      <w:proofErr w:type="spellEnd"/>
      <w:r w:rsidRPr="00B130FC">
        <w:rPr>
          <w:rFonts w:ascii="Times New Roman" w:hAnsi="Times New Roman" w:cs="Times New Roman"/>
          <w:sz w:val="24"/>
          <w:szCs w:val="24"/>
        </w:rPr>
        <w:t xml:space="preserve"> efter indtagelse af acetylsalicylsyre eller andre NSAID-præparater. Svære </w:t>
      </w:r>
      <w:proofErr w:type="spellStart"/>
      <w:r w:rsidRPr="00B130FC">
        <w:rPr>
          <w:rFonts w:ascii="Times New Roman" w:hAnsi="Times New Roman" w:cs="Times New Roman"/>
          <w:sz w:val="24"/>
          <w:szCs w:val="24"/>
        </w:rPr>
        <w:t>anafylatisk</w:t>
      </w:r>
      <w:proofErr w:type="spellEnd"/>
      <w:r w:rsidRPr="00B130FC">
        <w:rPr>
          <w:rFonts w:ascii="Times New Roman" w:hAnsi="Times New Roman" w:cs="Times New Roman"/>
          <w:sz w:val="24"/>
          <w:szCs w:val="24"/>
        </w:rPr>
        <w:t>-lignende reaktioner er konstateret hos sådanne patienter.</w:t>
      </w:r>
    </w:p>
    <w:p w:rsidR="006D2694" w:rsidRPr="00B130FC" w:rsidRDefault="006D2694" w:rsidP="006D2694">
      <w:pPr>
        <w:pStyle w:val="Listeafsnit"/>
        <w:numPr>
          <w:ilvl w:val="0"/>
          <w:numId w:val="6"/>
        </w:numPr>
        <w:spacing w:after="0" w:line="240" w:lineRule="auto"/>
        <w:ind w:left="1276" w:right="-20" w:hanging="425"/>
        <w:rPr>
          <w:rFonts w:ascii="Times New Roman" w:eastAsia="Times New Roman" w:hAnsi="Times New Roman" w:cs="Times New Roman"/>
          <w:sz w:val="24"/>
          <w:szCs w:val="24"/>
        </w:rPr>
      </w:pPr>
      <w:proofErr w:type="spellStart"/>
      <w:r w:rsidRPr="00B130FC">
        <w:rPr>
          <w:rFonts w:ascii="Times New Roman" w:hAnsi="Times New Roman" w:cs="Times New Roman"/>
          <w:sz w:val="24"/>
          <w:szCs w:val="24"/>
        </w:rPr>
        <w:t>Hepatisk</w:t>
      </w:r>
      <w:proofErr w:type="spellEnd"/>
      <w:r w:rsidRPr="00B130FC">
        <w:rPr>
          <w:rFonts w:ascii="Times New Roman" w:hAnsi="Times New Roman" w:cs="Times New Roman"/>
          <w:sz w:val="24"/>
          <w:szCs w:val="24"/>
        </w:rPr>
        <w:t xml:space="preserve"> cirrose.</w:t>
      </w:r>
    </w:p>
    <w:p w:rsidR="006D2694" w:rsidRPr="00B130FC" w:rsidRDefault="006D2694" w:rsidP="006D2694">
      <w:pPr>
        <w:pStyle w:val="Listeafsnit"/>
        <w:numPr>
          <w:ilvl w:val="0"/>
          <w:numId w:val="6"/>
        </w:numPr>
        <w:spacing w:after="0" w:line="240" w:lineRule="auto"/>
        <w:ind w:left="1276" w:right="-20" w:hanging="425"/>
        <w:rPr>
          <w:rFonts w:ascii="Times New Roman" w:eastAsia="Times New Roman" w:hAnsi="Times New Roman" w:cs="Times New Roman"/>
          <w:sz w:val="24"/>
          <w:szCs w:val="24"/>
        </w:rPr>
      </w:pPr>
      <w:r w:rsidRPr="00B130FC">
        <w:rPr>
          <w:rFonts w:ascii="Times New Roman" w:hAnsi="Times New Roman" w:cs="Times New Roman"/>
          <w:sz w:val="24"/>
          <w:szCs w:val="24"/>
        </w:rPr>
        <w:t>Alvorligt hjertesvigt.</w:t>
      </w:r>
    </w:p>
    <w:p w:rsidR="006D2694" w:rsidRPr="00B130FC" w:rsidRDefault="006D2694" w:rsidP="006D2694">
      <w:pPr>
        <w:pStyle w:val="Listeafsnit"/>
        <w:numPr>
          <w:ilvl w:val="0"/>
          <w:numId w:val="6"/>
        </w:numPr>
        <w:spacing w:after="0" w:line="240" w:lineRule="auto"/>
        <w:ind w:left="1276" w:right="237" w:hanging="425"/>
        <w:rPr>
          <w:rFonts w:ascii="Times New Roman" w:eastAsia="Times New Roman" w:hAnsi="Times New Roman" w:cs="Times New Roman"/>
          <w:sz w:val="24"/>
          <w:szCs w:val="24"/>
        </w:rPr>
      </w:pPr>
      <w:r w:rsidRPr="00B130FC">
        <w:rPr>
          <w:rFonts w:ascii="Times New Roman" w:hAnsi="Times New Roman" w:cs="Times New Roman"/>
          <w:sz w:val="24"/>
          <w:szCs w:val="24"/>
        </w:rPr>
        <w:t>Moderat til svært nedsat nyrefunktion (</w:t>
      </w:r>
      <w:proofErr w:type="spellStart"/>
      <w:r w:rsidRPr="00B130FC">
        <w:rPr>
          <w:rFonts w:ascii="Times New Roman" w:hAnsi="Times New Roman" w:cs="Times New Roman"/>
          <w:sz w:val="24"/>
          <w:szCs w:val="24"/>
        </w:rPr>
        <w:t>serumkreatinin</w:t>
      </w:r>
      <w:proofErr w:type="spellEnd"/>
      <w:r w:rsidRPr="00B130FC">
        <w:rPr>
          <w:rFonts w:ascii="Times New Roman" w:hAnsi="Times New Roman" w:cs="Times New Roman"/>
          <w:sz w:val="24"/>
          <w:szCs w:val="24"/>
        </w:rPr>
        <w:t xml:space="preserve"> &gt; 442 </w:t>
      </w:r>
      <m:oMath>
        <m:r>
          <w:rPr>
            <w:rFonts w:ascii="Cambria Math" w:eastAsia="Symbol" w:hAnsi="Cambria Math" w:cs="Times New Roman"/>
            <w:sz w:val="24"/>
            <w:szCs w:val="24"/>
          </w:rPr>
          <m:t>µ</m:t>
        </m:r>
      </m:oMath>
      <w:r w:rsidRPr="00B130FC">
        <w:rPr>
          <w:rFonts w:ascii="Times New Roman" w:hAnsi="Times New Roman" w:cs="Times New Roman"/>
          <w:sz w:val="24"/>
          <w:szCs w:val="24"/>
        </w:rPr>
        <w:t>mol/l) eller hos patienter med risiko for nyresvigt på grund af volumendepletering eller dehydrering.</w:t>
      </w:r>
    </w:p>
    <w:p w:rsidR="006D2694" w:rsidRPr="00B130FC" w:rsidRDefault="006D2694" w:rsidP="006D2694">
      <w:pPr>
        <w:pStyle w:val="Listeafsnit"/>
        <w:numPr>
          <w:ilvl w:val="0"/>
          <w:numId w:val="6"/>
        </w:numPr>
        <w:spacing w:after="0" w:line="240" w:lineRule="auto"/>
        <w:ind w:left="1276" w:right="-20" w:hanging="425"/>
        <w:rPr>
          <w:rFonts w:ascii="Times New Roman" w:eastAsia="Times New Roman" w:hAnsi="Times New Roman" w:cs="Times New Roman"/>
          <w:sz w:val="24"/>
          <w:szCs w:val="24"/>
        </w:rPr>
      </w:pPr>
      <w:r w:rsidRPr="00B130FC">
        <w:rPr>
          <w:rFonts w:ascii="Times New Roman" w:hAnsi="Times New Roman" w:cs="Times New Roman"/>
          <w:sz w:val="24"/>
          <w:szCs w:val="24"/>
        </w:rPr>
        <w:t>Tredje trimester af graviditeten, veer, fødsel (se pkt. 4.6).</w:t>
      </w:r>
    </w:p>
    <w:p w:rsidR="006D2694" w:rsidRPr="00B130FC" w:rsidRDefault="006D2694" w:rsidP="006D2694">
      <w:pPr>
        <w:pStyle w:val="Listeafsnit"/>
        <w:numPr>
          <w:ilvl w:val="0"/>
          <w:numId w:val="6"/>
        </w:numPr>
        <w:spacing w:after="0" w:line="240" w:lineRule="auto"/>
        <w:ind w:left="1276" w:right="-20" w:hanging="425"/>
        <w:rPr>
          <w:rFonts w:ascii="Times New Roman" w:eastAsia="Times New Roman" w:hAnsi="Times New Roman" w:cs="Times New Roman"/>
          <w:sz w:val="24"/>
          <w:szCs w:val="24"/>
        </w:rPr>
      </w:pPr>
      <w:r w:rsidRPr="00B130FC">
        <w:rPr>
          <w:rFonts w:ascii="Times New Roman" w:hAnsi="Times New Roman" w:cs="Times New Roman"/>
          <w:sz w:val="24"/>
          <w:szCs w:val="24"/>
        </w:rPr>
        <w:t>Amning (se pkt. 4.6).</w:t>
      </w:r>
    </w:p>
    <w:p w:rsidR="006D2694" w:rsidRPr="00B130FC" w:rsidRDefault="006D2694" w:rsidP="006D2694">
      <w:pPr>
        <w:pStyle w:val="Listeafsnit"/>
        <w:numPr>
          <w:ilvl w:val="0"/>
          <w:numId w:val="6"/>
        </w:numPr>
        <w:spacing w:after="0" w:line="240" w:lineRule="auto"/>
        <w:ind w:left="1276" w:right="164" w:hanging="425"/>
        <w:rPr>
          <w:rFonts w:ascii="Times New Roman" w:eastAsia="Times New Roman" w:hAnsi="Times New Roman" w:cs="Times New Roman"/>
          <w:sz w:val="24"/>
          <w:szCs w:val="24"/>
        </w:rPr>
      </w:pPr>
      <w:r w:rsidRPr="00B130FC">
        <w:rPr>
          <w:rFonts w:ascii="Times New Roman" w:hAnsi="Times New Roman" w:cs="Times New Roman"/>
          <w:sz w:val="24"/>
          <w:szCs w:val="24"/>
        </w:rPr>
        <w:t xml:space="preserve">Som profylaktisk analgesi inden operation på grund af hæmning af </w:t>
      </w:r>
      <w:proofErr w:type="spellStart"/>
      <w:r w:rsidRPr="00B130FC">
        <w:rPr>
          <w:rFonts w:ascii="Times New Roman" w:hAnsi="Times New Roman" w:cs="Times New Roman"/>
          <w:sz w:val="24"/>
          <w:szCs w:val="24"/>
        </w:rPr>
        <w:t>trombocytaggregationen</w:t>
      </w:r>
      <w:proofErr w:type="spellEnd"/>
      <w:r w:rsidRPr="00B130FC">
        <w:rPr>
          <w:rFonts w:ascii="Times New Roman" w:hAnsi="Times New Roman" w:cs="Times New Roman"/>
          <w:sz w:val="24"/>
          <w:szCs w:val="24"/>
        </w:rPr>
        <w:t xml:space="preserve"> og under operation på grund af øget blødningsrisiko.</w:t>
      </w:r>
    </w:p>
    <w:p w:rsidR="006D2694" w:rsidRPr="00B130FC" w:rsidRDefault="006D2694" w:rsidP="006D2694">
      <w:pPr>
        <w:pStyle w:val="Listeafsnit"/>
        <w:numPr>
          <w:ilvl w:val="0"/>
          <w:numId w:val="6"/>
        </w:numPr>
        <w:spacing w:after="0" w:line="240" w:lineRule="auto"/>
        <w:ind w:left="1276" w:right="397" w:hanging="425"/>
        <w:rPr>
          <w:rFonts w:ascii="Times New Roman" w:eastAsia="Times New Roman" w:hAnsi="Times New Roman" w:cs="Times New Roman"/>
          <w:sz w:val="24"/>
          <w:szCs w:val="24"/>
        </w:rPr>
      </w:pPr>
      <w:r w:rsidRPr="00B130FC">
        <w:rPr>
          <w:rFonts w:ascii="Times New Roman" w:hAnsi="Times New Roman" w:cs="Times New Roman"/>
          <w:sz w:val="24"/>
          <w:szCs w:val="24"/>
        </w:rPr>
        <w:t xml:space="preserve">Patienter med kendt eller mistænkt </w:t>
      </w:r>
      <w:proofErr w:type="spellStart"/>
      <w:r w:rsidRPr="00B130FC">
        <w:rPr>
          <w:rFonts w:ascii="Times New Roman" w:hAnsi="Times New Roman" w:cs="Times New Roman"/>
          <w:sz w:val="24"/>
          <w:szCs w:val="24"/>
        </w:rPr>
        <w:t>cerebrovaskulær</w:t>
      </w:r>
      <w:proofErr w:type="spellEnd"/>
      <w:r w:rsidRPr="00B130FC">
        <w:rPr>
          <w:rFonts w:ascii="Times New Roman" w:hAnsi="Times New Roman" w:cs="Times New Roman"/>
          <w:sz w:val="24"/>
          <w:szCs w:val="24"/>
        </w:rPr>
        <w:t xml:space="preserve"> blødning, patienter, som har gennemgået operationer med høj blødningsrisiko eller ufuldstændig </w:t>
      </w:r>
      <w:proofErr w:type="spellStart"/>
      <w:r w:rsidRPr="00B130FC">
        <w:rPr>
          <w:rFonts w:ascii="Times New Roman" w:hAnsi="Times New Roman" w:cs="Times New Roman"/>
          <w:sz w:val="24"/>
          <w:szCs w:val="24"/>
        </w:rPr>
        <w:t>hæmostase</w:t>
      </w:r>
      <w:proofErr w:type="spellEnd"/>
      <w:r w:rsidRPr="00B130FC">
        <w:rPr>
          <w:rFonts w:ascii="Times New Roman" w:hAnsi="Times New Roman" w:cs="Times New Roman"/>
          <w:sz w:val="24"/>
          <w:szCs w:val="24"/>
        </w:rPr>
        <w:t>, og patienter med høj blødningsrisiko.</w:t>
      </w:r>
    </w:p>
    <w:p w:rsidR="006D2694" w:rsidRPr="00B130FC" w:rsidRDefault="006D2694" w:rsidP="006D2694">
      <w:pPr>
        <w:pStyle w:val="Listeafsnit"/>
        <w:numPr>
          <w:ilvl w:val="0"/>
          <w:numId w:val="6"/>
        </w:numPr>
        <w:spacing w:after="0" w:line="240" w:lineRule="auto"/>
        <w:ind w:left="1276" w:right="367" w:hanging="425"/>
        <w:rPr>
          <w:rFonts w:ascii="Times New Roman" w:eastAsia="Times New Roman" w:hAnsi="Times New Roman" w:cs="Times New Roman"/>
          <w:sz w:val="24"/>
          <w:szCs w:val="24"/>
        </w:rPr>
      </w:pPr>
      <w:proofErr w:type="spellStart"/>
      <w:r w:rsidRPr="00B130FC">
        <w:rPr>
          <w:rFonts w:ascii="Times New Roman" w:hAnsi="Times New Roman" w:cs="Times New Roman"/>
          <w:sz w:val="24"/>
          <w:szCs w:val="24"/>
        </w:rPr>
        <w:t>Neuraksial</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epidural</w:t>
      </w:r>
      <w:proofErr w:type="spellEnd"/>
      <w:r w:rsidRPr="00B130FC">
        <w:rPr>
          <w:rFonts w:ascii="Times New Roman" w:hAnsi="Times New Roman" w:cs="Times New Roman"/>
          <w:sz w:val="24"/>
          <w:szCs w:val="24"/>
        </w:rPr>
        <w:t xml:space="preserve"> eller </w:t>
      </w:r>
      <w:proofErr w:type="spellStart"/>
      <w:r w:rsidRPr="00B130FC">
        <w:rPr>
          <w:rFonts w:ascii="Times New Roman" w:hAnsi="Times New Roman" w:cs="Times New Roman"/>
          <w:sz w:val="24"/>
          <w:szCs w:val="24"/>
        </w:rPr>
        <w:t>intratekal</w:t>
      </w:r>
      <w:proofErr w:type="spellEnd"/>
      <w:r w:rsidRPr="00B130FC">
        <w:rPr>
          <w:rFonts w:ascii="Times New Roman" w:hAnsi="Times New Roman" w:cs="Times New Roman"/>
          <w:sz w:val="24"/>
          <w:szCs w:val="24"/>
        </w:rPr>
        <w:t>) anvendelse som følge af dets alkoholindhold.</w:t>
      </w:r>
    </w:p>
    <w:p w:rsidR="006D2694" w:rsidRPr="00B130FC" w:rsidRDefault="006D2694" w:rsidP="006D2694">
      <w:pPr>
        <w:pStyle w:val="Listeafsnit"/>
        <w:numPr>
          <w:ilvl w:val="0"/>
          <w:numId w:val="6"/>
        </w:numPr>
        <w:spacing w:after="0" w:line="240" w:lineRule="auto"/>
        <w:ind w:left="1276" w:right="-20" w:hanging="425"/>
        <w:rPr>
          <w:rFonts w:ascii="Times New Roman" w:eastAsia="Times New Roman" w:hAnsi="Times New Roman" w:cs="Times New Roman"/>
          <w:sz w:val="24"/>
          <w:szCs w:val="24"/>
        </w:rPr>
      </w:pPr>
      <w:r w:rsidRPr="00B130FC">
        <w:rPr>
          <w:rFonts w:ascii="Times New Roman" w:hAnsi="Times New Roman" w:cs="Times New Roman"/>
          <w:sz w:val="24"/>
          <w:szCs w:val="24"/>
        </w:rPr>
        <w:t xml:space="preserve">Kombinationen af </w:t>
      </w:r>
      <w:proofErr w:type="spellStart"/>
      <w:r>
        <w:rPr>
          <w:rFonts w:ascii="Times New Roman" w:hAnsi="Times New Roman" w:cs="Times New Roman"/>
          <w:sz w:val="24"/>
          <w:szCs w:val="24"/>
        </w:rPr>
        <w:t>k</w:t>
      </w:r>
      <w:r w:rsidRPr="00B130FC">
        <w:rPr>
          <w:rFonts w:ascii="Times New Roman" w:hAnsi="Times New Roman" w:cs="Times New Roman"/>
          <w:sz w:val="24"/>
          <w:szCs w:val="24"/>
        </w:rPr>
        <w:t>etorolac</w:t>
      </w:r>
      <w:proofErr w:type="spellEnd"/>
      <w:r w:rsidRPr="00B130FC">
        <w:rPr>
          <w:rFonts w:ascii="Times New Roman" w:hAnsi="Times New Roman" w:cs="Times New Roman"/>
          <w:sz w:val="24"/>
          <w:szCs w:val="24"/>
        </w:rPr>
        <w:t xml:space="preserve"> med </w:t>
      </w:r>
      <w:proofErr w:type="spellStart"/>
      <w:r w:rsidRPr="00B130FC">
        <w:rPr>
          <w:rFonts w:ascii="Times New Roman" w:hAnsi="Times New Roman" w:cs="Times New Roman"/>
          <w:sz w:val="24"/>
          <w:szCs w:val="24"/>
        </w:rPr>
        <w:t>oxpentifyllin</w:t>
      </w:r>
      <w:proofErr w:type="spellEnd"/>
      <w:r w:rsidRPr="00B130FC">
        <w:rPr>
          <w:rFonts w:ascii="Times New Roman" w:hAnsi="Times New Roman" w:cs="Times New Roman"/>
          <w:sz w:val="24"/>
          <w:szCs w:val="24"/>
        </w:rPr>
        <w:t xml:space="preserve"> er kontraindiceret.</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4.4</w:t>
      </w:r>
      <w:r w:rsidRPr="00B130FC">
        <w:rPr>
          <w:b/>
          <w:sz w:val="24"/>
          <w:szCs w:val="24"/>
        </w:rPr>
        <w:tab/>
        <w:t>Særlige advarsler og forsigtighedsregler vedrørende brugen</w:t>
      </w:r>
    </w:p>
    <w:p w:rsidR="006D2694" w:rsidRPr="00B130FC" w:rsidRDefault="006D2694" w:rsidP="006D2694">
      <w:pPr>
        <w:ind w:left="851"/>
        <w:rPr>
          <w:sz w:val="24"/>
          <w:szCs w:val="24"/>
          <w:lang w:eastAsia="en-GB"/>
        </w:rPr>
      </w:pPr>
      <w:r w:rsidRPr="00B130FC">
        <w:rPr>
          <w:sz w:val="24"/>
          <w:szCs w:val="24"/>
        </w:rPr>
        <w:t xml:space="preserve">Der er epidemiologisk dokumentation for, at </w:t>
      </w:r>
      <w:proofErr w:type="spellStart"/>
      <w:r w:rsidRPr="00B130FC">
        <w:rPr>
          <w:sz w:val="24"/>
          <w:szCs w:val="24"/>
        </w:rPr>
        <w:t>ketorolac</w:t>
      </w:r>
      <w:proofErr w:type="spellEnd"/>
      <w:r w:rsidRPr="00B130FC">
        <w:rPr>
          <w:sz w:val="24"/>
          <w:szCs w:val="24"/>
        </w:rPr>
        <w:t xml:space="preserve"> kan være forbundet med en høj risiko for alvorlig </w:t>
      </w:r>
      <w:proofErr w:type="spellStart"/>
      <w:r w:rsidRPr="00B130FC">
        <w:rPr>
          <w:sz w:val="24"/>
          <w:szCs w:val="24"/>
        </w:rPr>
        <w:t>gastrointestinal</w:t>
      </w:r>
      <w:proofErr w:type="spellEnd"/>
      <w:r w:rsidRPr="00B130FC">
        <w:rPr>
          <w:sz w:val="24"/>
          <w:szCs w:val="24"/>
        </w:rPr>
        <w:t xml:space="preserve"> toksicitet i forhold til visse andre NSAID-præparater, især hvis det anvendes uden for de godkendte indikationer og/eller i længere tid (se også pkt. 4.1, 4.2 og 4.3).</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lastRenderedPageBreak/>
        <w:t>Bivirkninger kan nedbringes ved at bruge den mindste effektive dosis i den korteste tid, som er nødvendig for at kontrollere symptomer (se pkt. 4.2).</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 xml:space="preserve">Samtidig administration af </w:t>
      </w:r>
      <w:proofErr w:type="spellStart"/>
      <w:r w:rsidRPr="00B130FC">
        <w:rPr>
          <w:sz w:val="24"/>
          <w:szCs w:val="24"/>
        </w:rPr>
        <w:t>Ketorolac</w:t>
      </w:r>
      <w:proofErr w:type="spellEnd"/>
      <w:r w:rsidRPr="00B130FC">
        <w:rPr>
          <w:sz w:val="24"/>
          <w:szCs w:val="24"/>
        </w:rPr>
        <w:t xml:space="preserve"> trometamol </w:t>
      </w:r>
      <w:r>
        <w:rPr>
          <w:sz w:val="24"/>
          <w:szCs w:val="24"/>
        </w:rPr>
        <w:t>"S.A.L.F."</w:t>
      </w:r>
      <w:r w:rsidRPr="00B130FC">
        <w:rPr>
          <w:sz w:val="24"/>
          <w:szCs w:val="24"/>
        </w:rPr>
        <w:t xml:space="preserve"> og andre NSAID-præparater, herunder selektive </w:t>
      </w:r>
      <w:proofErr w:type="spellStart"/>
      <w:r w:rsidRPr="00B130FC">
        <w:rPr>
          <w:sz w:val="24"/>
          <w:szCs w:val="24"/>
        </w:rPr>
        <w:t>cyclooxygenase</w:t>
      </w:r>
      <w:proofErr w:type="spellEnd"/>
      <w:r w:rsidRPr="00B130FC">
        <w:rPr>
          <w:sz w:val="24"/>
          <w:szCs w:val="24"/>
        </w:rPr>
        <w:t xml:space="preserve"> 2-hæmmere (COX-2), bør undgås.</w:t>
      </w:r>
    </w:p>
    <w:p w:rsidR="006D2694" w:rsidRPr="00B130FC" w:rsidRDefault="006D2694" w:rsidP="006D2694">
      <w:pPr>
        <w:ind w:left="851"/>
        <w:rPr>
          <w:sz w:val="24"/>
          <w:szCs w:val="24"/>
        </w:rPr>
      </w:pPr>
    </w:p>
    <w:p w:rsidR="006D2694" w:rsidRPr="00B130FC" w:rsidRDefault="006D2694" w:rsidP="006D2694">
      <w:pPr>
        <w:ind w:left="851"/>
        <w:rPr>
          <w:i/>
          <w:sz w:val="24"/>
          <w:szCs w:val="24"/>
        </w:rPr>
      </w:pPr>
      <w:proofErr w:type="spellStart"/>
      <w:r w:rsidRPr="00B130FC">
        <w:rPr>
          <w:i/>
          <w:sz w:val="24"/>
          <w:szCs w:val="24"/>
        </w:rPr>
        <w:t>Gastrointestinal</w:t>
      </w:r>
      <w:proofErr w:type="spellEnd"/>
      <w:r w:rsidRPr="00B130FC">
        <w:rPr>
          <w:i/>
          <w:sz w:val="24"/>
          <w:szCs w:val="24"/>
        </w:rPr>
        <w:t xml:space="preserve"> blødning, </w:t>
      </w:r>
      <w:proofErr w:type="spellStart"/>
      <w:r w:rsidRPr="00B130FC">
        <w:rPr>
          <w:i/>
          <w:sz w:val="24"/>
          <w:szCs w:val="24"/>
        </w:rPr>
        <w:t>ulceration</w:t>
      </w:r>
      <w:proofErr w:type="spellEnd"/>
      <w:r w:rsidRPr="00B130FC">
        <w:rPr>
          <w:i/>
          <w:sz w:val="24"/>
          <w:szCs w:val="24"/>
        </w:rPr>
        <w:t xml:space="preserve"> eller perforering: </w:t>
      </w:r>
    </w:p>
    <w:p w:rsidR="006D2694" w:rsidRPr="00B130FC" w:rsidRDefault="006D2694" w:rsidP="006D2694">
      <w:pPr>
        <w:ind w:left="851"/>
        <w:rPr>
          <w:sz w:val="24"/>
          <w:szCs w:val="24"/>
        </w:rPr>
      </w:pPr>
      <w:proofErr w:type="spellStart"/>
      <w:r w:rsidRPr="00B130FC">
        <w:rPr>
          <w:sz w:val="24"/>
          <w:szCs w:val="24"/>
        </w:rPr>
        <w:t>Gastrointestinal</w:t>
      </w:r>
      <w:proofErr w:type="spellEnd"/>
      <w:r w:rsidRPr="00B130FC">
        <w:rPr>
          <w:sz w:val="24"/>
          <w:szCs w:val="24"/>
        </w:rPr>
        <w:t xml:space="preserve"> blødning, </w:t>
      </w:r>
      <w:proofErr w:type="spellStart"/>
      <w:r w:rsidRPr="00B130FC">
        <w:rPr>
          <w:sz w:val="24"/>
          <w:szCs w:val="24"/>
        </w:rPr>
        <w:t>ulceration</w:t>
      </w:r>
      <w:proofErr w:type="spellEnd"/>
      <w:r w:rsidRPr="00B130FC">
        <w:rPr>
          <w:sz w:val="24"/>
          <w:szCs w:val="24"/>
        </w:rPr>
        <w:t xml:space="preserve"> eller perforering, som kan være fatal, er blevet rapporteret med NSAID-præparater på ethvert tidspunkt under behandling med eller uden advarselssymptomer eller alvorlige </w:t>
      </w:r>
      <w:proofErr w:type="spellStart"/>
      <w:r w:rsidRPr="00B130FC">
        <w:rPr>
          <w:sz w:val="24"/>
          <w:szCs w:val="24"/>
        </w:rPr>
        <w:t>gastrointestinale</w:t>
      </w:r>
      <w:proofErr w:type="spellEnd"/>
      <w:r w:rsidRPr="00B130FC">
        <w:rPr>
          <w:sz w:val="24"/>
          <w:szCs w:val="24"/>
        </w:rPr>
        <w:t xml:space="preserve"> hændelser i anamnesen.</w:t>
      </w:r>
    </w:p>
    <w:p w:rsidR="006D2694" w:rsidRPr="00B130FC" w:rsidRDefault="006D2694" w:rsidP="006D2694">
      <w:pPr>
        <w:ind w:left="851"/>
        <w:rPr>
          <w:sz w:val="24"/>
          <w:szCs w:val="24"/>
        </w:rPr>
      </w:pPr>
      <w:r w:rsidRPr="00B130FC">
        <w:rPr>
          <w:sz w:val="24"/>
          <w:szCs w:val="24"/>
        </w:rPr>
        <w:t xml:space="preserve">Risikoen for </w:t>
      </w:r>
      <w:proofErr w:type="spellStart"/>
      <w:r w:rsidRPr="00B130FC">
        <w:rPr>
          <w:sz w:val="24"/>
          <w:szCs w:val="24"/>
        </w:rPr>
        <w:t>gastrointestinal</w:t>
      </w:r>
      <w:proofErr w:type="spellEnd"/>
      <w:r w:rsidRPr="00B130FC">
        <w:rPr>
          <w:sz w:val="24"/>
          <w:szCs w:val="24"/>
        </w:rPr>
        <w:t xml:space="preserve"> blødning, </w:t>
      </w:r>
      <w:proofErr w:type="spellStart"/>
      <w:r w:rsidRPr="00B130FC">
        <w:rPr>
          <w:sz w:val="24"/>
          <w:szCs w:val="24"/>
        </w:rPr>
        <w:t>ulceration</w:t>
      </w:r>
      <w:proofErr w:type="spellEnd"/>
      <w:r w:rsidRPr="00B130FC">
        <w:rPr>
          <w:sz w:val="24"/>
          <w:szCs w:val="24"/>
        </w:rPr>
        <w:t xml:space="preserve"> eller perforering er højere med højere doser af NSAID-præparater hos patienter med ulcus i anamnesen, særligt ved komplikationer i form af blødning eller perforering (se pkt. 4.3), og hos ældre. For disse patienter bør behandlingen indledes med den lavest tilgængelige dosis. Kombinationsbehandling med beskyttende agenser (</w:t>
      </w:r>
      <w:r>
        <w:rPr>
          <w:sz w:val="24"/>
          <w:szCs w:val="24"/>
        </w:rPr>
        <w:t>f.eks.</w:t>
      </w:r>
      <w:r w:rsidRPr="00B130FC">
        <w:rPr>
          <w:sz w:val="24"/>
          <w:szCs w:val="24"/>
        </w:rPr>
        <w:t xml:space="preserve"> </w:t>
      </w:r>
      <w:proofErr w:type="spellStart"/>
      <w:r w:rsidRPr="00B130FC">
        <w:rPr>
          <w:sz w:val="24"/>
          <w:szCs w:val="24"/>
        </w:rPr>
        <w:t>misoprostol</w:t>
      </w:r>
      <w:proofErr w:type="spellEnd"/>
      <w:r w:rsidRPr="00B130FC">
        <w:rPr>
          <w:sz w:val="24"/>
          <w:szCs w:val="24"/>
        </w:rPr>
        <w:t xml:space="preserve"> eller </w:t>
      </w:r>
      <w:proofErr w:type="spellStart"/>
      <w:r w:rsidRPr="00B130FC">
        <w:rPr>
          <w:sz w:val="24"/>
          <w:szCs w:val="24"/>
        </w:rPr>
        <w:t>protonpumpehæmmere</w:t>
      </w:r>
      <w:proofErr w:type="spellEnd"/>
      <w:r w:rsidRPr="00B130FC">
        <w:rPr>
          <w:sz w:val="24"/>
          <w:szCs w:val="24"/>
        </w:rPr>
        <w:t xml:space="preserve">) bør overvejes for disse patienter og også for patienter, der har brug for samtidige lave doser af acetylsalicylsyre eller andre lægemidler, der med sandsynlighed kan øge den </w:t>
      </w:r>
      <w:proofErr w:type="spellStart"/>
      <w:r w:rsidRPr="00B130FC">
        <w:rPr>
          <w:sz w:val="24"/>
          <w:szCs w:val="24"/>
        </w:rPr>
        <w:t>gastrointestinale</w:t>
      </w:r>
      <w:proofErr w:type="spellEnd"/>
      <w:r w:rsidRPr="00B130FC">
        <w:rPr>
          <w:sz w:val="24"/>
          <w:szCs w:val="24"/>
        </w:rPr>
        <w:t xml:space="preserve"> risiko (se nedenfor og pkt. 4.5).</w:t>
      </w:r>
    </w:p>
    <w:p w:rsidR="006D2694" w:rsidRPr="00B130FC" w:rsidRDefault="006D2694" w:rsidP="006D2694">
      <w:pPr>
        <w:ind w:left="851"/>
        <w:rPr>
          <w:sz w:val="24"/>
          <w:szCs w:val="24"/>
        </w:rPr>
      </w:pPr>
      <w:r w:rsidRPr="00B130FC">
        <w:rPr>
          <w:sz w:val="24"/>
          <w:szCs w:val="24"/>
        </w:rPr>
        <w:t xml:space="preserve">Patienter med </w:t>
      </w:r>
      <w:proofErr w:type="spellStart"/>
      <w:r w:rsidRPr="00B130FC">
        <w:rPr>
          <w:sz w:val="24"/>
          <w:szCs w:val="24"/>
        </w:rPr>
        <w:t>gastrointestinal</w:t>
      </w:r>
      <w:proofErr w:type="spellEnd"/>
      <w:r w:rsidRPr="00B130FC">
        <w:rPr>
          <w:sz w:val="24"/>
          <w:szCs w:val="24"/>
        </w:rPr>
        <w:t xml:space="preserve"> toksicitet i anamnesen, særligt ældre, bør rapportere alle usædvanlige </w:t>
      </w:r>
      <w:proofErr w:type="spellStart"/>
      <w:r w:rsidRPr="00B130FC">
        <w:rPr>
          <w:sz w:val="24"/>
          <w:szCs w:val="24"/>
        </w:rPr>
        <w:t>abdominale</w:t>
      </w:r>
      <w:proofErr w:type="spellEnd"/>
      <w:r w:rsidRPr="00B130FC">
        <w:rPr>
          <w:sz w:val="24"/>
          <w:szCs w:val="24"/>
        </w:rPr>
        <w:t xml:space="preserve"> symptomer (særligt </w:t>
      </w:r>
      <w:proofErr w:type="spellStart"/>
      <w:r w:rsidRPr="00B130FC">
        <w:rPr>
          <w:sz w:val="24"/>
          <w:szCs w:val="24"/>
        </w:rPr>
        <w:t>gastrointestinal</w:t>
      </w:r>
      <w:proofErr w:type="spellEnd"/>
      <w:r w:rsidRPr="00B130FC">
        <w:rPr>
          <w:sz w:val="24"/>
          <w:szCs w:val="24"/>
        </w:rPr>
        <w:t xml:space="preserve"> blødning), især i de tidligere faser af behandlingen.</w:t>
      </w:r>
    </w:p>
    <w:p w:rsidR="006D2694" w:rsidRPr="00B130FC" w:rsidRDefault="006D2694" w:rsidP="006D2694">
      <w:pPr>
        <w:ind w:left="851"/>
        <w:rPr>
          <w:sz w:val="24"/>
          <w:szCs w:val="24"/>
        </w:rPr>
      </w:pPr>
      <w:r w:rsidRPr="00B130FC">
        <w:rPr>
          <w:sz w:val="24"/>
          <w:szCs w:val="24"/>
        </w:rPr>
        <w:t xml:space="preserve">Hvis </w:t>
      </w:r>
      <w:proofErr w:type="spellStart"/>
      <w:r w:rsidRPr="00B130FC">
        <w:rPr>
          <w:sz w:val="24"/>
          <w:szCs w:val="24"/>
        </w:rPr>
        <w:t>gastrointestinal</w:t>
      </w:r>
      <w:proofErr w:type="spellEnd"/>
      <w:r w:rsidRPr="00B130FC">
        <w:rPr>
          <w:sz w:val="24"/>
          <w:szCs w:val="24"/>
        </w:rPr>
        <w:t xml:space="preserve"> blødning eller </w:t>
      </w:r>
      <w:proofErr w:type="spellStart"/>
      <w:r w:rsidRPr="00B130FC">
        <w:rPr>
          <w:sz w:val="24"/>
          <w:szCs w:val="24"/>
        </w:rPr>
        <w:t>ulceration</w:t>
      </w:r>
      <w:proofErr w:type="spellEnd"/>
      <w:r w:rsidRPr="00B130FC">
        <w:rPr>
          <w:sz w:val="24"/>
          <w:szCs w:val="24"/>
        </w:rPr>
        <w:t xml:space="preserve"> forekommer hos patienter, der modtager </w:t>
      </w:r>
      <w:proofErr w:type="spellStart"/>
      <w:r w:rsidRPr="00B130FC">
        <w:rPr>
          <w:sz w:val="24"/>
          <w:szCs w:val="24"/>
        </w:rPr>
        <w:t>Ketorolac</w:t>
      </w:r>
      <w:proofErr w:type="spellEnd"/>
      <w:r w:rsidRPr="00B130FC">
        <w:rPr>
          <w:sz w:val="24"/>
          <w:szCs w:val="24"/>
        </w:rPr>
        <w:t xml:space="preserve"> trometamol </w:t>
      </w:r>
      <w:r>
        <w:rPr>
          <w:sz w:val="24"/>
          <w:szCs w:val="24"/>
        </w:rPr>
        <w:t>"S.A.L.F."</w:t>
      </w:r>
      <w:r w:rsidRPr="00B130FC">
        <w:rPr>
          <w:sz w:val="24"/>
          <w:szCs w:val="24"/>
        </w:rPr>
        <w:t>, bør behandlingen</w:t>
      </w:r>
      <w:r>
        <w:rPr>
          <w:sz w:val="24"/>
          <w:szCs w:val="24"/>
        </w:rPr>
        <w:t xml:space="preserve"> </w:t>
      </w:r>
      <w:r w:rsidRPr="00B130FC">
        <w:rPr>
          <w:sz w:val="24"/>
          <w:szCs w:val="24"/>
        </w:rPr>
        <w:t>seponeres.</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 xml:space="preserve">Forsigtighed tilrådes hos patienter, der modtager samtidige lægemidler, som kan øge risikoen for </w:t>
      </w:r>
      <w:proofErr w:type="spellStart"/>
      <w:r w:rsidRPr="00B130FC">
        <w:rPr>
          <w:sz w:val="24"/>
          <w:szCs w:val="24"/>
        </w:rPr>
        <w:t>ulceration</w:t>
      </w:r>
      <w:proofErr w:type="spellEnd"/>
      <w:r w:rsidRPr="00B130FC">
        <w:rPr>
          <w:sz w:val="24"/>
          <w:szCs w:val="24"/>
        </w:rPr>
        <w:t xml:space="preserve"> eller blødning, </w:t>
      </w:r>
      <w:r>
        <w:rPr>
          <w:sz w:val="24"/>
          <w:szCs w:val="24"/>
        </w:rPr>
        <w:t>f.eks.</w:t>
      </w:r>
      <w:r w:rsidRPr="00B130FC">
        <w:rPr>
          <w:sz w:val="24"/>
          <w:szCs w:val="24"/>
        </w:rPr>
        <w:t xml:space="preserve"> </w:t>
      </w:r>
      <w:r>
        <w:rPr>
          <w:sz w:val="24"/>
          <w:szCs w:val="24"/>
        </w:rPr>
        <w:t>oral</w:t>
      </w:r>
      <w:r w:rsidRPr="00B130FC">
        <w:rPr>
          <w:sz w:val="24"/>
          <w:szCs w:val="24"/>
        </w:rPr>
        <w:t xml:space="preserve">e </w:t>
      </w:r>
      <w:proofErr w:type="spellStart"/>
      <w:r w:rsidRPr="00B130FC">
        <w:rPr>
          <w:sz w:val="24"/>
          <w:szCs w:val="24"/>
        </w:rPr>
        <w:t>kortikosteroider</w:t>
      </w:r>
      <w:proofErr w:type="spellEnd"/>
      <w:r w:rsidRPr="00B130FC">
        <w:rPr>
          <w:sz w:val="24"/>
          <w:szCs w:val="24"/>
        </w:rPr>
        <w:t xml:space="preserve">, </w:t>
      </w:r>
      <w:proofErr w:type="spellStart"/>
      <w:r w:rsidRPr="00B130FC">
        <w:rPr>
          <w:sz w:val="24"/>
          <w:szCs w:val="24"/>
        </w:rPr>
        <w:t>antikoagulanter</w:t>
      </w:r>
      <w:proofErr w:type="spellEnd"/>
      <w:r w:rsidRPr="00B130FC">
        <w:rPr>
          <w:sz w:val="24"/>
          <w:szCs w:val="24"/>
        </w:rPr>
        <w:t xml:space="preserve">, </w:t>
      </w:r>
      <w:r>
        <w:rPr>
          <w:sz w:val="24"/>
          <w:szCs w:val="24"/>
        </w:rPr>
        <w:t>f.eks.</w:t>
      </w:r>
      <w:r w:rsidRPr="00B130FC">
        <w:rPr>
          <w:sz w:val="24"/>
          <w:szCs w:val="24"/>
        </w:rPr>
        <w:t xml:space="preserve"> </w:t>
      </w:r>
      <w:proofErr w:type="spellStart"/>
      <w:r w:rsidRPr="00B130FC">
        <w:rPr>
          <w:sz w:val="24"/>
          <w:szCs w:val="24"/>
        </w:rPr>
        <w:t>warfarin</w:t>
      </w:r>
      <w:proofErr w:type="spellEnd"/>
      <w:r w:rsidRPr="00B130FC">
        <w:rPr>
          <w:sz w:val="24"/>
          <w:szCs w:val="24"/>
        </w:rPr>
        <w:t xml:space="preserve">, selektive </w:t>
      </w:r>
      <w:proofErr w:type="spellStart"/>
      <w:r w:rsidRPr="00B130FC">
        <w:rPr>
          <w:sz w:val="24"/>
          <w:szCs w:val="24"/>
        </w:rPr>
        <w:t>serotoningenoptagshæmmere</w:t>
      </w:r>
      <w:proofErr w:type="spellEnd"/>
      <w:r w:rsidRPr="00B130FC">
        <w:rPr>
          <w:sz w:val="24"/>
          <w:szCs w:val="24"/>
        </w:rPr>
        <w:t xml:space="preserve"> (</w:t>
      </w:r>
      <w:proofErr w:type="spellStart"/>
      <w:r w:rsidRPr="00B130FC">
        <w:rPr>
          <w:sz w:val="24"/>
          <w:szCs w:val="24"/>
        </w:rPr>
        <w:t>SSRI'er</w:t>
      </w:r>
      <w:proofErr w:type="spellEnd"/>
      <w:r w:rsidRPr="00B130FC">
        <w:rPr>
          <w:sz w:val="24"/>
          <w:szCs w:val="24"/>
        </w:rPr>
        <w:t xml:space="preserve">) eller midler, som hæmmer </w:t>
      </w:r>
      <w:proofErr w:type="spellStart"/>
      <w:r w:rsidRPr="00B130FC">
        <w:rPr>
          <w:sz w:val="24"/>
          <w:szCs w:val="24"/>
        </w:rPr>
        <w:t>trombosytfunktionen</w:t>
      </w:r>
      <w:proofErr w:type="spellEnd"/>
      <w:r w:rsidRPr="00B130FC">
        <w:rPr>
          <w:sz w:val="24"/>
          <w:szCs w:val="24"/>
        </w:rPr>
        <w:t xml:space="preserve">, </w:t>
      </w:r>
      <w:r>
        <w:rPr>
          <w:sz w:val="24"/>
          <w:szCs w:val="24"/>
        </w:rPr>
        <w:t>f.eks.</w:t>
      </w:r>
      <w:r w:rsidRPr="00B130FC">
        <w:rPr>
          <w:sz w:val="24"/>
          <w:szCs w:val="24"/>
        </w:rPr>
        <w:t xml:space="preserve"> acetylsalicylsyre (se pkt. 4.5). </w:t>
      </w:r>
    </w:p>
    <w:p w:rsidR="006D2694" w:rsidRPr="00B130FC" w:rsidRDefault="006D2694" w:rsidP="006D2694">
      <w:pPr>
        <w:ind w:left="851"/>
        <w:rPr>
          <w:sz w:val="24"/>
          <w:szCs w:val="24"/>
        </w:rPr>
      </w:pPr>
    </w:p>
    <w:p w:rsidR="006D2694" w:rsidRDefault="006D2694" w:rsidP="006D2694">
      <w:pPr>
        <w:ind w:left="851"/>
        <w:rPr>
          <w:sz w:val="24"/>
          <w:szCs w:val="24"/>
        </w:rPr>
      </w:pPr>
      <w:r w:rsidRPr="00B130FC">
        <w:rPr>
          <w:sz w:val="24"/>
          <w:szCs w:val="24"/>
        </w:rPr>
        <w:t xml:space="preserve">NSAID-præparater bør gives med forsigtighed til patienter med </w:t>
      </w:r>
      <w:proofErr w:type="spellStart"/>
      <w:r w:rsidRPr="00B130FC">
        <w:rPr>
          <w:sz w:val="24"/>
          <w:szCs w:val="24"/>
        </w:rPr>
        <w:t>gastrointestinale</w:t>
      </w:r>
      <w:proofErr w:type="spellEnd"/>
      <w:r w:rsidRPr="00B130FC">
        <w:rPr>
          <w:sz w:val="24"/>
          <w:szCs w:val="24"/>
        </w:rPr>
        <w:t xml:space="preserve"> lidelser i anamnesen (colitis </w:t>
      </w:r>
      <w:proofErr w:type="spellStart"/>
      <w:r w:rsidRPr="00B130FC">
        <w:rPr>
          <w:sz w:val="24"/>
          <w:szCs w:val="24"/>
        </w:rPr>
        <w:t>ulcerosa</w:t>
      </w:r>
      <w:proofErr w:type="spellEnd"/>
      <w:r w:rsidRPr="00B130FC">
        <w:rPr>
          <w:sz w:val="24"/>
          <w:szCs w:val="24"/>
        </w:rPr>
        <w:t xml:space="preserve">, </w:t>
      </w:r>
      <w:proofErr w:type="spellStart"/>
      <w:r w:rsidRPr="00B130FC">
        <w:rPr>
          <w:sz w:val="24"/>
          <w:szCs w:val="24"/>
        </w:rPr>
        <w:t>Crohns</w:t>
      </w:r>
      <w:proofErr w:type="spellEnd"/>
      <w:r w:rsidRPr="00B130FC">
        <w:rPr>
          <w:sz w:val="24"/>
          <w:szCs w:val="24"/>
        </w:rPr>
        <w:t xml:space="preserve"> sygdom), da disse sygdomme kan forværres (se pkt. 4.8). </w:t>
      </w:r>
    </w:p>
    <w:p w:rsidR="00D601D8" w:rsidRDefault="00D601D8" w:rsidP="006D2694">
      <w:pPr>
        <w:ind w:left="851"/>
        <w:rPr>
          <w:sz w:val="24"/>
          <w:szCs w:val="24"/>
        </w:rPr>
      </w:pPr>
    </w:p>
    <w:p w:rsidR="00D601D8" w:rsidRPr="00B130FC" w:rsidRDefault="00D601D8" w:rsidP="00D601D8">
      <w:pPr>
        <w:ind w:left="851"/>
        <w:rPr>
          <w:sz w:val="24"/>
          <w:szCs w:val="24"/>
        </w:rPr>
      </w:pPr>
      <w:proofErr w:type="spellStart"/>
      <w:r>
        <w:rPr>
          <w:sz w:val="24"/>
          <w:szCs w:val="24"/>
        </w:rPr>
        <w:t>NSAID'er</w:t>
      </w:r>
      <w:proofErr w:type="spellEnd"/>
      <w:r>
        <w:rPr>
          <w:sz w:val="24"/>
          <w:szCs w:val="24"/>
        </w:rPr>
        <w:t xml:space="preserve">, herunder </w:t>
      </w:r>
      <w:proofErr w:type="spellStart"/>
      <w:r>
        <w:rPr>
          <w:sz w:val="24"/>
          <w:szCs w:val="24"/>
        </w:rPr>
        <w:t>ketorolac</w:t>
      </w:r>
      <w:proofErr w:type="spellEnd"/>
      <w:r>
        <w:rPr>
          <w:sz w:val="24"/>
          <w:szCs w:val="24"/>
        </w:rPr>
        <w:t xml:space="preserve">, kan være forbundet med øget risiko for </w:t>
      </w:r>
      <w:proofErr w:type="spellStart"/>
      <w:r>
        <w:rPr>
          <w:sz w:val="24"/>
          <w:szCs w:val="24"/>
        </w:rPr>
        <w:t>anastomotisk</w:t>
      </w:r>
      <w:proofErr w:type="spellEnd"/>
      <w:r>
        <w:rPr>
          <w:sz w:val="24"/>
          <w:szCs w:val="24"/>
        </w:rPr>
        <w:t xml:space="preserve"> lækage i mave-tarm-kanalen. Tæt medicinsk overvågning og forsigtighed anbefales ved brug af </w:t>
      </w:r>
      <w:proofErr w:type="spellStart"/>
      <w:r>
        <w:rPr>
          <w:sz w:val="24"/>
          <w:szCs w:val="24"/>
        </w:rPr>
        <w:t>ketorolac</w:t>
      </w:r>
      <w:proofErr w:type="spellEnd"/>
      <w:r>
        <w:rPr>
          <w:sz w:val="24"/>
          <w:szCs w:val="24"/>
        </w:rPr>
        <w:t xml:space="preserve"> efter mave-tarm-kirurgi.</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u w:val="single" w:color="000000"/>
        </w:rPr>
        <w:t>Ældre</w:t>
      </w:r>
    </w:p>
    <w:p w:rsidR="006D2694" w:rsidRPr="00B130FC" w:rsidRDefault="006D2694" w:rsidP="006D2694">
      <w:pPr>
        <w:ind w:left="851"/>
        <w:rPr>
          <w:rFonts w:eastAsiaTheme="minorHAnsi"/>
          <w:sz w:val="24"/>
          <w:szCs w:val="24"/>
        </w:rPr>
      </w:pPr>
      <w:r w:rsidRPr="00B130FC">
        <w:rPr>
          <w:sz w:val="24"/>
          <w:szCs w:val="24"/>
        </w:rPr>
        <w:t xml:space="preserve">Hos ældre er der en øget frekvens af bivirkninger i forbindelse med NSAID-præparater, navnlig </w:t>
      </w:r>
      <w:proofErr w:type="spellStart"/>
      <w:r w:rsidRPr="00B130FC">
        <w:rPr>
          <w:sz w:val="24"/>
          <w:szCs w:val="24"/>
        </w:rPr>
        <w:t>gastrointestinal</w:t>
      </w:r>
      <w:proofErr w:type="spellEnd"/>
      <w:r w:rsidRPr="00B130FC">
        <w:rPr>
          <w:sz w:val="24"/>
          <w:szCs w:val="24"/>
        </w:rPr>
        <w:t xml:space="preserve"> blødning og perforering, som kan være fatal.</w:t>
      </w:r>
    </w:p>
    <w:p w:rsidR="006D2694" w:rsidRPr="00B130FC" w:rsidRDefault="006D2694" w:rsidP="006D2694">
      <w:pPr>
        <w:ind w:left="851"/>
        <w:rPr>
          <w:sz w:val="24"/>
          <w:szCs w:val="24"/>
        </w:rPr>
      </w:pPr>
      <w:r w:rsidRPr="00B130FC">
        <w:rPr>
          <w:sz w:val="24"/>
          <w:szCs w:val="24"/>
        </w:rPr>
        <w:t xml:space="preserve">Svækkede patienter kan tilsyneladende i mindre grad modstå </w:t>
      </w:r>
      <w:proofErr w:type="spellStart"/>
      <w:r w:rsidRPr="00B130FC">
        <w:rPr>
          <w:sz w:val="24"/>
          <w:szCs w:val="24"/>
        </w:rPr>
        <w:t>ulceration</w:t>
      </w:r>
      <w:proofErr w:type="spellEnd"/>
      <w:r w:rsidRPr="00B130FC">
        <w:rPr>
          <w:sz w:val="24"/>
          <w:szCs w:val="24"/>
        </w:rPr>
        <w:t xml:space="preserve"> eller blødning end andre personer, og de fleste fatale </w:t>
      </w:r>
      <w:proofErr w:type="spellStart"/>
      <w:r w:rsidRPr="00B130FC">
        <w:rPr>
          <w:sz w:val="24"/>
          <w:szCs w:val="24"/>
        </w:rPr>
        <w:t>gastrointestinale</w:t>
      </w:r>
      <w:proofErr w:type="spellEnd"/>
      <w:r w:rsidRPr="00B130FC">
        <w:rPr>
          <w:sz w:val="24"/>
          <w:szCs w:val="24"/>
        </w:rPr>
        <w:t xml:space="preserve"> hændelser med NSAID-præparater er forekommet hos ældre og/eller svækkede patienter.</w:t>
      </w:r>
    </w:p>
    <w:p w:rsidR="006D2694" w:rsidRPr="00B130FC" w:rsidRDefault="006D2694" w:rsidP="006D2694">
      <w:pPr>
        <w:ind w:left="851"/>
        <w:rPr>
          <w:i/>
          <w:sz w:val="24"/>
          <w:szCs w:val="24"/>
        </w:rPr>
      </w:pPr>
    </w:p>
    <w:p w:rsidR="006D2694" w:rsidRPr="00B130FC" w:rsidRDefault="006D2694" w:rsidP="006D2694">
      <w:pPr>
        <w:ind w:left="851"/>
        <w:rPr>
          <w:sz w:val="24"/>
          <w:szCs w:val="24"/>
        </w:rPr>
      </w:pPr>
      <w:r w:rsidRPr="00B130FC">
        <w:rPr>
          <w:i/>
          <w:sz w:val="24"/>
          <w:szCs w:val="24"/>
        </w:rPr>
        <w:t>Hæmatologiske virkninger</w:t>
      </w:r>
    </w:p>
    <w:p w:rsidR="006D2694" w:rsidRPr="00B130FC" w:rsidRDefault="006D2694" w:rsidP="006D2694">
      <w:pPr>
        <w:ind w:left="851"/>
        <w:rPr>
          <w:sz w:val="24"/>
          <w:szCs w:val="24"/>
        </w:rPr>
      </w:pPr>
      <w:r w:rsidRPr="00B130FC">
        <w:rPr>
          <w:sz w:val="24"/>
          <w:szCs w:val="24"/>
        </w:rPr>
        <w:t xml:space="preserve">Der bør udvises særlig omhu ved behandling af patienter med koagulationslidelser, og sådanne patienter bør overvåges nøje. Selv om studier ikke har påvist en signifikant interaktion mellem </w:t>
      </w:r>
      <w:proofErr w:type="spellStart"/>
      <w:r w:rsidRPr="00B130FC">
        <w:rPr>
          <w:sz w:val="24"/>
          <w:szCs w:val="24"/>
        </w:rPr>
        <w:t>ketorolac</w:t>
      </w:r>
      <w:proofErr w:type="spellEnd"/>
      <w:r w:rsidRPr="00B130FC">
        <w:rPr>
          <w:sz w:val="24"/>
          <w:szCs w:val="24"/>
        </w:rPr>
        <w:t xml:space="preserve"> og </w:t>
      </w:r>
      <w:proofErr w:type="spellStart"/>
      <w:r w:rsidRPr="00B130FC">
        <w:rPr>
          <w:sz w:val="24"/>
          <w:szCs w:val="24"/>
        </w:rPr>
        <w:t>warfarin</w:t>
      </w:r>
      <w:proofErr w:type="spellEnd"/>
      <w:r w:rsidRPr="00B130FC">
        <w:rPr>
          <w:sz w:val="24"/>
          <w:szCs w:val="24"/>
        </w:rPr>
        <w:t xml:space="preserve"> eller </w:t>
      </w:r>
      <w:proofErr w:type="spellStart"/>
      <w:r w:rsidRPr="00B130FC">
        <w:rPr>
          <w:sz w:val="24"/>
          <w:szCs w:val="24"/>
        </w:rPr>
        <w:t>heparin</w:t>
      </w:r>
      <w:proofErr w:type="spellEnd"/>
      <w:r w:rsidRPr="00B130FC">
        <w:rPr>
          <w:sz w:val="24"/>
          <w:szCs w:val="24"/>
        </w:rPr>
        <w:t xml:space="preserve">, kan samtidig behandling med </w:t>
      </w:r>
      <w:proofErr w:type="spellStart"/>
      <w:r w:rsidRPr="00B130FC">
        <w:rPr>
          <w:sz w:val="24"/>
          <w:szCs w:val="24"/>
        </w:rPr>
        <w:t>ketorolac</w:t>
      </w:r>
      <w:proofErr w:type="spellEnd"/>
      <w:r w:rsidRPr="00B130FC">
        <w:rPr>
          <w:sz w:val="24"/>
          <w:szCs w:val="24"/>
        </w:rPr>
        <w:t xml:space="preserve"> og lægemidler, der påvirker </w:t>
      </w:r>
      <w:proofErr w:type="spellStart"/>
      <w:r w:rsidRPr="00B130FC">
        <w:rPr>
          <w:sz w:val="24"/>
          <w:szCs w:val="24"/>
        </w:rPr>
        <w:t>hæmostasen</w:t>
      </w:r>
      <w:proofErr w:type="spellEnd"/>
      <w:r w:rsidRPr="00B130FC">
        <w:rPr>
          <w:sz w:val="24"/>
          <w:szCs w:val="24"/>
        </w:rPr>
        <w:t xml:space="preserve">, </w:t>
      </w:r>
      <w:r>
        <w:rPr>
          <w:sz w:val="24"/>
          <w:szCs w:val="24"/>
        </w:rPr>
        <w:t>f.eks.</w:t>
      </w:r>
      <w:r w:rsidRPr="00B130FC">
        <w:rPr>
          <w:sz w:val="24"/>
          <w:szCs w:val="24"/>
        </w:rPr>
        <w:t xml:space="preserve"> </w:t>
      </w:r>
      <w:proofErr w:type="spellStart"/>
      <w:r w:rsidRPr="00B130FC">
        <w:rPr>
          <w:sz w:val="24"/>
          <w:szCs w:val="24"/>
        </w:rPr>
        <w:t>warfarin</w:t>
      </w:r>
      <w:proofErr w:type="spellEnd"/>
      <w:r w:rsidRPr="00B130FC">
        <w:rPr>
          <w:sz w:val="24"/>
          <w:szCs w:val="24"/>
        </w:rPr>
        <w:t xml:space="preserve">, profylakse med lavmolekylære </w:t>
      </w:r>
      <w:proofErr w:type="spellStart"/>
      <w:r w:rsidRPr="00B130FC">
        <w:rPr>
          <w:sz w:val="24"/>
          <w:szCs w:val="24"/>
        </w:rPr>
        <w:t>hepariner</w:t>
      </w:r>
      <w:proofErr w:type="spellEnd"/>
      <w:r w:rsidRPr="00B130FC">
        <w:rPr>
          <w:sz w:val="24"/>
          <w:szCs w:val="24"/>
        </w:rPr>
        <w:t xml:space="preserve"> (2500-5000 enheder pr. 12 timer) og dextraner, være forbundet </w:t>
      </w:r>
      <w:r w:rsidRPr="00B130FC">
        <w:rPr>
          <w:sz w:val="24"/>
          <w:szCs w:val="24"/>
        </w:rPr>
        <w:lastRenderedPageBreak/>
        <w:t xml:space="preserve">med en øget risiko for blødning. Der bør udvises særlig omhu, når </w:t>
      </w:r>
      <w:proofErr w:type="spellStart"/>
      <w:r w:rsidRPr="00B130FC">
        <w:rPr>
          <w:sz w:val="24"/>
          <w:szCs w:val="24"/>
        </w:rPr>
        <w:t>ketorolac</w:t>
      </w:r>
      <w:proofErr w:type="spellEnd"/>
      <w:r w:rsidRPr="00B130FC">
        <w:rPr>
          <w:sz w:val="24"/>
          <w:szCs w:val="24"/>
        </w:rPr>
        <w:t xml:space="preserve"> gives til disse patienter, og patienterne bør overvåges nøje.</w:t>
      </w:r>
    </w:p>
    <w:p w:rsidR="006D2694" w:rsidRPr="00B130FC" w:rsidRDefault="006D2694" w:rsidP="006D2694">
      <w:pPr>
        <w:ind w:left="851"/>
        <w:rPr>
          <w:sz w:val="24"/>
          <w:szCs w:val="24"/>
        </w:rPr>
      </w:pPr>
      <w:r w:rsidRPr="00B130FC">
        <w:rPr>
          <w:sz w:val="24"/>
          <w:szCs w:val="24"/>
        </w:rPr>
        <w:t xml:space="preserve">Efter markedsføringen er der rapporteret om postoperative </w:t>
      </w:r>
      <w:proofErr w:type="spellStart"/>
      <w:r w:rsidRPr="00B130FC">
        <w:rPr>
          <w:sz w:val="24"/>
          <w:szCs w:val="24"/>
        </w:rPr>
        <w:t>hæmatomer</w:t>
      </w:r>
      <w:proofErr w:type="spellEnd"/>
      <w:r w:rsidRPr="00B130FC">
        <w:rPr>
          <w:sz w:val="24"/>
          <w:szCs w:val="24"/>
        </w:rPr>
        <w:t xml:space="preserve"> og andre tegn på sårblødninger i forbindelse med perioperativ anvendelse af </w:t>
      </w:r>
      <w:proofErr w:type="spellStart"/>
      <w:r w:rsidRPr="00B130FC">
        <w:rPr>
          <w:sz w:val="24"/>
          <w:szCs w:val="24"/>
        </w:rPr>
        <w:t>ketorolac</w:t>
      </w:r>
      <w:proofErr w:type="spellEnd"/>
      <w:r w:rsidRPr="00B130FC">
        <w:rPr>
          <w:sz w:val="24"/>
          <w:szCs w:val="24"/>
        </w:rPr>
        <w:t xml:space="preserve">-opløsning til injektion. Lægen skal være opmærksom på den potentielle risiko for blødning i tilfælde, hvor </w:t>
      </w:r>
      <w:proofErr w:type="spellStart"/>
      <w:r w:rsidRPr="00B130FC">
        <w:rPr>
          <w:sz w:val="24"/>
          <w:szCs w:val="24"/>
        </w:rPr>
        <w:t>hæmostase</w:t>
      </w:r>
      <w:proofErr w:type="spellEnd"/>
      <w:r w:rsidRPr="00B130FC">
        <w:rPr>
          <w:sz w:val="24"/>
          <w:szCs w:val="24"/>
        </w:rPr>
        <w:t xml:space="preserve"> er kritisk omfattende, men ikke begrænset til, fjernelse af prostata, fjernelse af mandlerne samt kosmetisk kirurgi.</w:t>
      </w:r>
    </w:p>
    <w:p w:rsidR="006D2694" w:rsidRPr="00B130FC" w:rsidRDefault="006D2694" w:rsidP="006D2694">
      <w:pPr>
        <w:ind w:left="851"/>
        <w:rPr>
          <w:sz w:val="24"/>
          <w:szCs w:val="24"/>
          <w:highlight w:val="yellow"/>
        </w:rPr>
      </w:pPr>
    </w:p>
    <w:p w:rsidR="006D2694" w:rsidRPr="00B130FC" w:rsidRDefault="006D2694" w:rsidP="006D2694">
      <w:pPr>
        <w:ind w:left="851"/>
        <w:rPr>
          <w:sz w:val="24"/>
          <w:szCs w:val="24"/>
        </w:rPr>
      </w:pPr>
      <w:r w:rsidRPr="00B130FC">
        <w:rPr>
          <w:i/>
          <w:sz w:val="24"/>
          <w:szCs w:val="24"/>
        </w:rPr>
        <w:t>Hudreaktioner</w:t>
      </w:r>
    </w:p>
    <w:p w:rsidR="006D2694" w:rsidRPr="00B130FC" w:rsidRDefault="006D2694" w:rsidP="006D2694">
      <w:pPr>
        <w:ind w:left="851"/>
        <w:rPr>
          <w:sz w:val="24"/>
          <w:szCs w:val="24"/>
        </w:rPr>
      </w:pPr>
      <w:r w:rsidRPr="00B130FC">
        <w:rPr>
          <w:sz w:val="24"/>
          <w:szCs w:val="24"/>
        </w:rPr>
        <w:t xml:space="preserve">Alvorlige hudreaktioner, som kan være fatale, herunder </w:t>
      </w:r>
      <w:proofErr w:type="spellStart"/>
      <w:r w:rsidRPr="00B130FC">
        <w:rPr>
          <w:sz w:val="24"/>
          <w:szCs w:val="24"/>
        </w:rPr>
        <w:t>eksfoliativ</w:t>
      </w:r>
      <w:proofErr w:type="spellEnd"/>
      <w:r w:rsidRPr="00B130FC">
        <w:rPr>
          <w:sz w:val="24"/>
          <w:szCs w:val="24"/>
        </w:rPr>
        <w:t xml:space="preserve"> </w:t>
      </w:r>
      <w:proofErr w:type="spellStart"/>
      <w:r w:rsidRPr="00B130FC">
        <w:rPr>
          <w:sz w:val="24"/>
          <w:szCs w:val="24"/>
        </w:rPr>
        <w:t>dermatitis</w:t>
      </w:r>
      <w:proofErr w:type="spellEnd"/>
      <w:r w:rsidRPr="00B130FC">
        <w:rPr>
          <w:sz w:val="24"/>
          <w:szCs w:val="24"/>
        </w:rPr>
        <w:t xml:space="preserve">, Stevens-Johnsons-syndrom og toksisk </w:t>
      </w:r>
      <w:proofErr w:type="spellStart"/>
      <w:r w:rsidRPr="00B130FC">
        <w:rPr>
          <w:sz w:val="24"/>
          <w:szCs w:val="24"/>
        </w:rPr>
        <w:t>epidermal</w:t>
      </w:r>
      <w:proofErr w:type="spellEnd"/>
      <w:r w:rsidRPr="00B130FC">
        <w:rPr>
          <w:sz w:val="24"/>
          <w:szCs w:val="24"/>
        </w:rPr>
        <w:t xml:space="preserve"> </w:t>
      </w:r>
      <w:proofErr w:type="spellStart"/>
      <w:r w:rsidRPr="00B130FC">
        <w:rPr>
          <w:sz w:val="24"/>
          <w:szCs w:val="24"/>
        </w:rPr>
        <w:t>nekrolysis</w:t>
      </w:r>
      <w:proofErr w:type="spellEnd"/>
      <w:r w:rsidRPr="00B130FC">
        <w:rPr>
          <w:sz w:val="24"/>
          <w:szCs w:val="24"/>
        </w:rPr>
        <w:t xml:space="preserve">, er i meget sjældne tilfælde blevet rapporteret i forbindelse med brugen af NSAID-præparater (se pkt. 4.8). Risikoen for disse reaktioner er øjensynligt størst ved begyndelsen af behandlingen. Behandling med </w:t>
      </w:r>
      <w:proofErr w:type="spellStart"/>
      <w:r w:rsidRPr="00B130FC">
        <w:rPr>
          <w:sz w:val="24"/>
          <w:szCs w:val="24"/>
        </w:rPr>
        <w:t>ketorolac</w:t>
      </w:r>
      <w:proofErr w:type="spellEnd"/>
      <w:r w:rsidRPr="00B130FC">
        <w:rPr>
          <w:sz w:val="24"/>
          <w:szCs w:val="24"/>
        </w:rPr>
        <w:t xml:space="preserve"> bør seponeres ved første forekomst af udslæt, slimhindelæsioner eller andre tegn på hypersensitivitet.</w:t>
      </w:r>
    </w:p>
    <w:p w:rsidR="006D2694" w:rsidRPr="00B130FC" w:rsidRDefault="006D2694" w:rsidP="006D2694">
      <w:pPr>
        <w:ind w:left="851"/>
        <w:rPr>
          <w:sz w:val="24"/>
          <w:szCs w:val="24"/>
        </w:rPr>
      </w:pPr>
      <w:r w:rsidRPr="00B130FC">
        <w:rPr>
          <w:sz w:val="24"/>
          <w:szCs w:val="24"/>
        </w:rPr>
        <w:t xml:space="preserve">I sjældne tilfælde kan alvorlige hud- og bløddelsinfektioner stamme fra skoldkopper. NSAID-præparaters medvirken til forværringen af sådanne infektioner kan indtil videre ikke udelukkes. Det anbefales derfor, at behandling med </w:t>
      </w:r>
      <w:proofErr w:type="spellStart"/>
      <w:r w:rsidRPr="00B130FC">
        <w:rPr>
          <w:sz w:val="24"/>
          <w:szCs w:val="24"/>
        </w:rPr>
        <w:t>ketorolac</w:t>
      </w:r>
      <w:proofErr w:type="spellEnd"/>
      <w:r w:rsidRPr="00B130FC">
        <w:rPr>
          <w:sz w:val="24"/>
          <w:szCs w:val="24"/>
        </w:rPr>
        <w:t xml:space="preserve"> undgås i tilfælde af skoldkopper.</w:t>
      </w:r>
    </w:p>
    <w:p w:rsidR="006D2694" w:rsidRPr="00B130FC" w:rsidRDefault="006D2694" w:rsidP="006D2694">
      <w:pPr>
        <w:ind w:left="851"/>
        <w:rPr>
          <w:sz w:val="24"/>
          <w:szCs w:val="24"/>
          <w:highlight w:val="yellow"/>
        </w:rPr>
      </w:pPr>
    </w:p>
    <w:p w:rsidR="006D2694" w:rsidRPr="00B130FC" w:rsidRDefault="006D2694" w:rsidP="006D2694">
      <w:pPr>
        <w:ind w:left="851"/>
        <w:rPr>
          <w:sz w:val="24"/>
          <w:szCs w:val="24"/>
        </w:rPr>
      </w:pPr>
      <w:r w:rsidRPr="00B130FC">
        <w:rPr>
          <w:i/>
          <w:sz w:val="24"/>
          <w:szCs w:val="24"/>
        </w:rPr>
        <w:t xml:space="preserve">Natrium-/væskeretention ved </w:t>
      </w:r>
      <w:proofErr w:type="spellStart"/>
      <w:r w:rsidRPr="00B130FC">
        <w:rPr>
          <w:i/>
          <w:sz w:val="24"/>
          <w:szCs w:val="24"/>
        </w:rPr>
        <w:t>kardiovaskulære</w:t>
      </w:r>
      <w:proofErr w:type="spellEnd"/>
      <w:r w:rsidRPr="00B130FC">
        <w:rPr>
          <w:i/>
          <w:sz w:val="24"/>
          <w:szCs w:val="24"/>
        </w:rPr>
        <w:t xml:space="preserve"> sygdomme og perifere ødemer</w:t>
      </w:r>
    </w:p>
    <w:p w:rsidR="006D2694" w:rsidRPr="00B130FC" w:rsidRDefault="006D2694" w:rsidP="006D2694">
      <w:pPr>
        <w:ind w:left="851"/>
        <w:rPr>
          <w:sz w:val="24"/>
          <w:szCs w:val="24"/>
        </w:rPr>
      </w:pPr>
      <w:r w:rsidRPr="00B130FC">
        <w:rPr>
          <w:sz w:val="24"/>
          <w:szCs w:val="24"/>
        </w:rPr>
        <w:t>Forsigtighed skal udvises ved patienter med hypertension og/eller hjertesvigt i anamnesen, da væskeretention og ødemer er blevet rapporteret i forbindelse med behandling med NSAID-præparater.</w:t>
      </w:r>
    </w:p>
    <w:p w:rsidR="006D2694" w:rsidRPr="00B130FC" w:rsidRDefault="006D2694" w:rsidP="006D2694">
      <w:pPr>
        <w:ind w:left="851"/>
        <w:rPr>
          <w:sz w:val="24"/>
          <w:szCs w:val="24"/>
        </w:rPr>
      </w:pPr>
      <w:r w:rsidRPr="00B130FC">
        <w:rPr>
          <w:sz w:val="24"/>
          <w:szCs w:val="24"/>
        </w:rPr>
        <w:t xml:space="preserve">Væskeretention, hypertension og perifere ødemer er blevet rapporteret hos visse patienter, der tager NSAID-præparater, herunder </w:t>
      </w:r>
      <w:proofErr w:type="spellStart"/>
      <w:r w:rsidRPr="00B130FC">
        <w:rPr>
          <w:sz w:val="24"/>
          <w:szCs w:val="24"/>
        </w:rPr>
        <w:t>ketorolac</w:t>
      </w:r>
      <w:proofErr w:type="spellEnd"/>
      <w:r w:rsidRPr="00B130FC">
        <w:rPr>
          <w:sz w:val="24"/>
          <w:szCs w:val="24"/>
        </w:rPr>
        <w:t xml:space="preserve">, og </w:t>
      </w:r>
      <w:proofErr w:type="spellStart"/>
      <w:r w:rsidRPr="00B130FC">
        <w:rPr>
          <w:sz w:val="24"/>
          <w:szCs w:val="24"/>
        </w:rPr>
        <w:t>ketorolac</w:t>
      </w:r>
      <w:proofErr w:type="spellEnd"/>
      <w:r w:rsidRPr="00B130FC">
        <w:rPr>
          <w:sz w:val="24"/>
          <w:szCs w:val="24"/>
        </w:rPr>
        <w:t xml:space="preserve"> bør derfor anvendes med forsigtighed hos patienter med hjertesvigt, hypertension eller lignende sygdomme.</w:t>
      </w:r>
    </w:p>
    <w:p w:rsidR="006D2694" w:rsidRPr="00B130FC" w:rsidRDefault="006D2694" w:rsidP="006D2694">
      <w:pPr>
        <w:ind w:left="851"/>
        <w:rPr>
          <w:i/>
          <w:sz w:val="24"/>
          <w:szCs w:val="24"/>
        </w:rPr>
      </w:pPr>
    </w:p>
    <w:p w:rsidR="006D2694" w:rsidRPr="00B130FC" w:rsidRDefault="006D2694" w:rsidP="006D2694">
      <w:pPr>
        <w:ind w:left="851"/>
        <w:rPr>
          <w:sz w:val="24"/>
          <w:szCs w:val="24"/>
        </w:rPr>
      </w:pPr>
      <w:proofErr w:type="spellStart"/>
      <w:r w:rsidRPr="00B130FC">
        <w:rPr>
          <w:i/>
          <w:sz w:val="24"/>
          <w:szCs w:val="24"/>
        </w:rPr>
        <w:t>Kardiovaskulære</w:t>
      </w:r>
      <w:proofErr w:type="spellEnd"/>
      <w:r w:rsidRPr="00B130FC">
        <w:rPr>
          <w:i/>
          <w:sz w:val="24"/>
          <w:szCs w:val="24"/>
        </w:rPr>
        <w:t xml:space="preserve"> og </w:t>
      </w:r>
      <w:proofErr w:type="spellStart"/>
      <w:r w:rsidRPr="00B130FC">
        <w:rPr>
          <w:i/>
          <w:sz w:val="24"/>
          <w:szCs w:val="24"/>
        </w:rPr>
        <w:t>cerebralvaskulære</w:t>
      </w:r>
      <w:proofErr w:type="spellEnd"/>
      <w:r w:rsidRPr="00B130FC">
        <w:rPr>
          <w:i/>
          <w:sz w:val="24"/>
          <w:szCs w:val="24"/>
        </w:rPr>
        <w:t xml:space="preserve"> virkninger</w:t>
      </w:r>
    </w:p>
    <w:p w:rsidR="006D2694" w:rsidRPr="00B130FC" w:rsidRDefault="006D2694" w:rsidP="006D2694">
      <w:pPr>
        <w:ind w:left="851"/>
        <w:rPr>
          <w:sz w:val="24"/>
          <w:szCs w:val="24"/>
        </w:rPr>
      </w:pPr>
      <w:r w:rsidRPr="00B130FC">
        <w:rPr>
          <w:sz w:val="24"/>
          <w:szCs w:val="24"/>
        </w:rPr>
        <w:t>Passende overvågning og rådgivning kræves ved patienter med hypertension og/eller mild til moderat hjertesvigt i anamnesen, da væskeretention og ødemer er blevet rapporteret i forbindelse med behandling med NSAID-præparater.</w:t>
      </w:r>
    </w:p>
    <w:p w:rsidR="006D2694" w:rsidRPr="00B130FC" w:rsidRDefault="006D2694" w:rsidP="006D2694">
      <w:pPr>
        <w:ind w:left="851"/>
        <w:rPr>
          <w:rFonts w:eastAsiaTheme="minorHAnsi"/>
          <w:sz w:val="24"/>
          <w:szCs w:val="24"/>
        </w:rPr>
      </w:pPr>
    </w:p>
    <w:p w:rsidR="006D2694" w:rsidRPr="00B130FC" w:rsidRDefault="006D2694" w:rsidP="006D2694">
      <w:pPr>
        <w:ind w:left="851"/>
        <w:rPr>
          <w:sz w:val="24"/>
          <w:szCs w:val="24"/>
        </w:rPr>
      </w:pPr>
      <w:r w:rsidRPr="00B130FC">
        <w:rPr>
          <w:sz w:val="24"/>
          <w:szCs w:val="24"/>
        </w:rPr>
        <w:t xml:space="preserve">Kliniske forsøg og epidemiologiske data viser, at anvendelsen af visse NSAID-præparater (særligt ved høje doser og ved langtidsbehandling) kan være forbundet med en let forøget risiko for arterielle </w:t>
      </w:r>
      <w:proofErr w:type="spellStart"/>
      <w:r w:rsidRPr="00B130FC">
        <w:rPr>
          <w:sz w:val="24"/>
          <w:szCs w:val="24"/>
        </w:rPr>
        <w:t>tromber</w:t>
      </w:r>
      <w:proofErr w:type="spellEnd"/>
      <w:r w:rsidRPr="00B130FC">
        <w:rPr>
          <w:sz w:val="24"/>
          <w:szCs w:val="24"/>
        </w:rPr>
        <w:t xml:space="preserve"> (</w:t>
      </w:r>
      <w:r>
        <w:rPr>
          <w:sz w:val="24"/>
          <w:szCs w:val="24"/>
        </w:rPr>
        <w:t>f.eks.</w:t>
      </w:r>
      <w:r w:rsidRPr="00B130FC">
        <w:rPr>
          <w:sz w:val="24"/>
          <w:szCs w:val="24"/>
        </w:rPr>
        <w:t xml:space="preserve"> myokardieinfarkter eller apopleksi). Selv om det ikke er påvist, at </w:t>
      </w:r>
      <w:proofErr w:type="spellStart"/>
      <w:r w:rsidRPr="00B130FC">
        <w:rPr>
          <w:sz w:val="24"/>
          <w:szCs w:val="24"/>
        </w:rPr>
        <w:t>ketorolac</w:t>
      </w:r>
      <w:proofErr w:type="spellEnd"/>
      <w:r w:rsidRPr="00B130FC">
        <w:rPr>
          <w:sz w:val="24"/>
          <w:szCs w:val="24"/>
        </w:rPr>
        <w:t xml:space="preserve"> øger risikoen for </w:t>
      </w:r>
      <w:proofErr w:type="spellStart"/>
      <w:r w:rsidRPr="00B130FC">
        <w:rPr>
          <w:sz w:val="24"/>
          <w:szCs w:val="24"/>
        </w:rPr>
        <w:t>tromber</w:t>
      </w:r>
      <w:proofErr w:type="spellEnd"/>
      <w:r w:rsidRPr="00B130FC">
        <w:rPr>
          <w:sz w:val="24"/>
          <w:szCs w:val="24"/>
        </w:rPr>
        <w:t xml:space="preserve">, </w:t>
      </w:r>
      <w:r>
        <w:rPr>
          <w:sz w:val="24"/>
          <w:szCs w:val="24"/>
        </w:rPr>
        <w:t>f.eks.</w:t>
      </w:r>
      <w:r w:rsidRPr="00B130FC">
        <w:rPr>
          <w:sz w:val="24"/>
          <w:szCs w:val="24"/>
        </w:rPr>
        <w:t xml:space="preserve"> myokardieinfarkter, er der ikke tilstrækkelige data til at udelukke en sådan risiko for </w:t>
      </w:r>
      <w:proofErr w:type="spellStart"/>
      <w:r w:rsidRPr="00B130FC">
        <w:rPr>
          <w:sz w:val="24"/>
          <w:szCs w:val="24"/>
        </w:rPr>
        <w:t>ketorolac</w:t>
      </w:r>
      <w:proofErr w:type="spellEnd"/>
      <w:r w:rsidRPr="00B130FC">
        <w:rPr>
          <w:sz w:val="24"/>
          <w:szCs w:val="24"/>
        </w:rPr>
        <w:t>.</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 xml:space="preserve">Patienter med ukontrolleret hypertension, hjertesvigt, konstateret iskæmisk hjertelidelse, lidelse i perifere arterier og/eller </w:t>
      </w:r>
      <w:proofErr w:type="spellStart"/>
      <w:r w:rsidRPr="00B130FC">
        <w:rPr>
          <w:sz w:val="24"/>
          <w:szCs w:val="24"/>
        </w:rPr>
        <w:t>cerebralvaskulær</w:t>
      </w:r>
      <w:proofErr w:type="spellEnd"/>
      <w:r w:rsidRPr="00B130FC">
        <w:rPr>
          <w:sz w:val="24"/>
          <w:szCs w:val="24"/>
        </w:rPr>
        <w:t xml:space="preserve"> lidelse bør kun behandles med </w:t>
      </w:r>
      <w:proofErr w:type="spellStart"/>
      <w:r w:rsidRPr="00B130FC">
        <w:rPr>
          <w:sz w:val="24"/>
          <w:szCs w:val="24"/>
        </w:rPr>
        <w:t>ketorolac</w:t>
      </w:r>
      <w:proofErr w:type="spellEnd"/>
      <w:r w:rsidRPr="00B130FC">
        <w:rPr>
          <w:sz w:val="24"/>
          <w:szCs w:val="24"/>
        </w:rPr>
        <w:t xml:space="preserve"> efter omhyggelige overvejelser. Tilsvarende overvejelser bør gøres, inden langtidsbehandling af patienter med risikofaktorer for </w:t>
      </w:r>
      <w:proofErr w:type="spellStart"/>
      <w:r w:rsidRPr="00B130FC">
        <w:rPr>
          <w:sz w:val="24"/>
          <w:szCs w:val="24"/>
        </w:rPr>
        <w:t>kardiovaskulær</w:t>
      </w:r>
      <w:proofErr w:type="spellEnd"/>
      <w:r w:rsidRPr="00B130FC">
        <w:rPr>
          <w:sz w:val="24"/>
          <w:szCs w:val="24"/>
        </w:rPr>
        <w:t xml:space="preserve"> lidelse påbegyndes (</w:t>
      </w:r>
      <w:r>
        <w:rPr>
          <w:sz w:val="24"/>
          <w:szCs w:val="24"/>
        </w:rPr>
        <w:t>f.eks.</w:t>
      </w:r>
      <w:r w:rsidRPr="00B130FC">
        <w:rPr>
          <w:sz w:val="24"/>
          <w:szCs w:val="24"/>
        </w:rPr>
        <w:t xml:space="preserve"> hypertension, </w:t>
      </w:r>
      <w:proofErr w:type="spellStart"/>
      <w:r w:rsidRPr="00B130FC">
        <w:rPr>
          <w:sz w:val="24"/>
          <w:szCs w:val="24"/>
        </w:rPr>
        <w:t>hyperlipidæmi</w:t>
      </w:r>
      <w:proofErr w:type="spellEnd"/>
      <w:r w:rsidRPr="00B130FC">
        <w:rPr>
          <w:sz w:val="24"/>
          <w:szCs w:val="24"/>
        </w:rPr>
        <w:t>, diabetes mellitus og rygning).</w:t>
      </w:r>
    </w:p>
    <w:p w:rsidR="006D2694" w:rsidRPr="00B130FC" w:rsidRDefault="006D2694" w:rsidP="006D2694">
      <w:pPr>
        <w:ind w:left="851"/>
        <w:rPr>
          <w:rFonts w:eastAsiaTheme="minorHAnsi"/>
          <w:sz w:val="24"/>
          <w:szCs w:val="24"/>
        </w:rPr>
      </w:pPr>
    </w:p>
    <w:p w:rsidR="006D2694" w:rsidRPr="00B130FC" w:rsidRDefault="006D2694" w:rsidP="006D2694">
      <w:pPr>
        <w:ind w:left="851"/>
        <w:rPr>
          <w:sz w:val="24"/>
          <w:szCs w:val="24"/>
        </w:rPr>
      </w:pPr>
      <w:proofErr w:type="spellStart"/>
      <w:r w:rsidRPr="00B130FC">
        <w:rPr>
          <w:i/>
          <w:sz w:val="24"/>
          <w:szCs w:val="24"/>
        </w:rPr>
        <w:t>Anafylaktiske</w:t>
      </w:r>
      <w:proofErr w:type="spellEnd"/>
      <w:r w:rsidRPr="00B130FC">
        <w:rPr>
          <w:i/>
          <w:sz w:val="24"/>
          <w:szCs w:val="24"/>
        </w:rPr>
        <w:t xml:space="preserve"> (</w:t>
      </w:r>
      <w:proofErr w:type="spellStart"/>
      <w:r w:rsidRPr="00B130FC">
        <w:rPr>
          <w:i/>
          <w:sz w:val="24"/>
          <w:szCs w:val="24"/>
        </w:rPr>
        <w:t>anafylaktoide</w:t>
      </w:r>
      <w:proofErr w:type="spellEnd"/>
      <w:r w:rsidRPr="00B130FC">
        <w:rPr>
          <w:i/>
          <w:sz w:val="24"/>
          <w:szCs w:val="24"/>
        </w:rPr>
        <w:t>) reaktioner</w:t>
      </w:r>
    </w:p>
    <w:p w:rsidR="006D2694" w:rsidRPr="00B130FC" w:rsidRDefault="006D2694" w:rsidP="006D2694">
      <w:pPr>
        <w:ind w:left="851"/>
        <w:rPr>
          <w:sz w:val="24"/>
          <w:szCs w:val="24"/>
        </w:rPr>
      </w:pPr>
      <w:proofErr w:type="spellStart"/>
      <w:r w:rsidRPr="00B130FC">
        <w:rPr>
          <w:sz w:val="24"/>
          <w:szCs w:val="24"/>
        </w:rPr>
        <w:t>Anafylaktiske</w:t>
      </w:r>
      <w:proofErr w:type="spellEnd"/>
      <w:r w:rsidRPr="00B130FC">
        <w:rPr>
          <w:sz w:val="24"/>
          <w:szCs w:val="24"/>
        </w:rPr>
        <w:t xml:space="preserve"> og </w:t>
      </w:r>
      <w:proofErr w:type="spellStart"/>
      <w:r w:rsidRPr="00B130FC">
        <w:rPr>
          <w:sz w:val="24"/>
          <w:szCs w:val="24"/>
        </w:rPr>
        <w:t>anafylaktoide</w:t>
      </w:r>
      <w:proofErr w:type="spellEnd"/>
      <w:r w:rsidRPr="00B130FC">
        <w:rPr>
          <w:sz w:val="24"/>
          <w:szCs w:val="24"/>
        </w:rPr>
        <w:t xml:space="preserve"> reaktioner (herunder bl.a. anafylaksi, astma, rødmen, udslæt, hypotension, </w:t>
      </w:r>
      <w:proofErr w:type="gramStart"/>
      <w:r w:rsidRPr="00B130FC">
        <w:rPr>
          <w:sz w:val="24"/>
          <w:szCs w:val="24"/>
        </w:rPr>
        <w:t>laryngal ødem</w:t>
      </w:r>
      <w:proofErr w:type="gramEnd"/>
      <w:r w:rsidRPr="00B130FC">
        <w:rPr>
          <w:sz w:val="24"/>
          <w:szCs w:val="24"/>
        </w:rPr>
        <w:t xml:space="preserve"> og </w:t>
      </w:r>
      <w:proofErr w:type="spellStart"/>
      <w:r w:rsidRPr="00B130FC">
        <w:rPr>
          <w:sz w:val="24"/>
          <w:szCs w:val="24"/>
        </w:rPr>
        <w:t>angioødem</w:t>
      </w:r>
      <w:proofErr w:type="spellEnd"/>
      <w:r w:rsidRPr="00B130FC">
        <w:rPr>
          <w:sz w:val="24"/>
          <w:szCs w:val="24"/>
        </w:rPr>
        <w:t xml:space="preserve">) kan forekomme hos patienter med tidligere hypersensitivitet over for acetylsalicylsyre, andre NSAID-præparater eller </w:t>
      </w:r>
      <w:proofErr w:type="spellStart"/>
      <w:r w:rsidRPr="00B130FC">
        <w:rPr>
          <w:sz w:val="24"/>
          <w:szCs w:val="24"/>
        </w:rPr>
        <w:t>ketorolac</w:t>
      </w:r>
      <w:proofErr w:type="spellEnd"/>
      <w:r w:rsidRPr="00B130FC">
        <w:rPr>
          <w:sz w:val="24"/>
          <w:szCs w:val="24"/>
        </w:rPr>
        <w:t xml:space="preserve">. De kan imidlertid også forekomme hos patienter uden tidligere hypersensitivitet over for disse lægemidler. Reaktionerne kan også forekomme hos personer, der har eller </w:t>
      </w:r>
      <w:r w:rsidRPr="00B130FC">
        <w:rPr>
          <w:sz w:val="24"/>
          <w:szCs w:val="24"/>
        </w:rPr>
        <w:lastRenderedPageBreak/>
        <w:t xml:space="preserve">tidligere har haft </w:t>
      </w:r>
      <w:proofErr w:type="spellStart"/>
      <w:r w:rsidRPr="00B130FC">
        <w:rPr>
          <w:sz w:val="24"/>
          <w:szCs w:val="24"/>
        </w:rPr>
        <w:t>angioødem</w:t>
      </w:r>
      <w:proofErr w:type="spellEnd"/>
      <w:r w:rsidRPr="00B130FC">
        <w:rPr>
          <w:sz w:val="24"/>
          <w:szCs w:val="24"/>
        </w:rPr>
        <w:t xml:space="preserve">, </w:t>
      </w:r>
      <w:proofErr w:type="spellStart"/>
      <w:r w:rsidRPr="00B130FC">
        <w:rPr>
          <w:sz w:val="24"/>
          <w:szCs w:val="24"/>
        </w:rPr>
        <w:t>bronchospastisk</w:t>
      </w:r>
      <w:proofErr w:type="spellEnd"/>
      <w:r w:rsidRPr="00B130FC">
        <w:rPr>
          <w:sz w:val="24"/>
          <w:szCs w:val="24"/>
        </w:rPr>
        <w:t xml:space="preserve"> </w:t>
      </w:r>
      <w:proofErr w:type="spellStart"/>
      <w:r w:rsidRPr="00B130FC">
        <w:rPr>
          <w:sz w:val="24"/>
          <w:szCs w:val="24"/>
        </w:rPr>
        <w:t>reaktivitet</w:t>
      </w:r>
      <w:proofErr w:type="spellEnd"/>
      <w:r w:rsidRPr="00B130FC">
        <w:rPr>
          <w:sz w:val="24"/>
          <w:szCs w:val="24"/>
        </w:rPr>
        <w:t xml:space="preserve"> (</w:t>
      </w:r>
      <w:r>
        <w:rPr>
          <w:sz w:val="24"/>
          <w:szCs w:val="24"/>
        </w:rPr>
        <w:t>f.eks.</w:t>
      </w:r>
      <w:r w:rsidRPr="00B130FC">
        <w:rPr>
          <w:sz w:val="24"/>
          <w:szCs w:val="24"/>
        </w:rPr>
        <w:t xml:space="preserve"> astma) og nasale polypper. Overfølsomhedsreaktioner som </w:t>
      </w:r>
      <w:r>
        <w:rPr>
          <w:sz w:val="24"/>
          <w:szCs w:val="24"/>
        </w:rPr>
        <w:t>f.eks.</w:t>
      </w:r>
      <w:r w:rsidRPr="00B130FC">
        <w:rPr>
          <w:sz w:val="24"/>
          <w:szCs w:val="24"/>
        </w:rPr>
        <w:t xml:space="preserve"> anafylaksi kan være dødelige. </w:t>
      </w:r>
      <w:proofErr w:type="spellStart"/>
      <w:r w:rsidRPr="00B130FC">
        <w:rPr>
          <w:sz w:val="24"/>
          <w:szCs w:val="24"/>
        </w:rPr>
        <w:t>Ketorolac</w:t>
      </w:r>
      <w:proofErr w:type="spellEnd"/>
      <w:r w:rsidRPr="00B130FC">
        <w:rPr>
          <w:sz w:val="24"/>
          <w:szCs w:val="24"/>
        </w:rPr>
        <w:t xml:space="preserve"> skal derfor anvendes med forsigtighed til patienter med astma i anamnesen og patienter med komplet eller partielt syndrom vedrørende nasale polypper, </w:t>
      </w:r>
      <w:proofErr w:type="spellStart"/>
      <w:r w:rsidRPr="00B130FC">
        <w:rPr>
          <w:sz w:val="24"/>
          <w:szCs w:val="24"/>
        </w:rPr>
        <w:t>angioødem</w:t>
      </w:r>
      <w:proofErr w:type="spellEnd"/>
      <w:r w:rsidRPr="00B130FC">
        <w:rPr>
          <w:sz w:val="24"/>
          <w:szCs w:val="24"/>
        </w:rPr>
        <w:t xml:space="preserve"> og </w:t>
      </w:r>
      <w:proofErr w:type="spellStart"/>
      <w:r w:rsidRPr="00B130FC">
        <w:rPr>
          <w:sz w:val="24"/>
          <w:szCs w:val="24"/>
        </w:rPr>
        <w:t>bronchospastisk</w:t>
      </w:r>
      <w:proofErr w:type="spellEnd"/>
      <w:r w:rsidRPr="00B130FC">
        <w:rPr>
          <w:sz w:val="24"/>
          <w:szCs w:val="24"/>
        </w:rPr>
        <w:t xml:space="preserve"> </w:t>
      </w:r>
      <w:proofErr w:type="spellStart"/>
      <w:r w:rsidRPr="00B130FC">
        <w:rPr>
          <w:sz w:val="24"/>
          <w:szCs w:val="24"/>
        </w:rPr>
        <w:t>reaktivitet</w:t>
      </w:r>
      <w:proofErr w:type="spellEnd"/>
      <w:r w:rsidRPr="00B130FC">
        <w:rPr>
          <w:sz w:val="24"/>
          <w:szCs w:val="24"/>
        </w:rPr>
        <w:t>.</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i/>
          <w:sz w:val="24"/>
          <w:szCs w:val="24"/>
        </w:rPr>
        <w:t>Nyrepåvirkninger</w:t>
      </w:r>
    </w:p>
    <w:p w:rsidR="006D2694" w:rsidRPr="00B130FC" w:rsidRDefault="006D2694" w:rsidP="006D2694">
      <w:pPr>
        <w:ind w:left="851"/>
        <w:rPr>
          <w:sz w:val="24"/>
          <w:szCs w:val="24"/>
        </w:rPr>
      </w:pPr>
      <w:r w:rsidRPr="00B130FC">
        <w:rPr>
          <w:sz w:val="24"/>
          <w:szCs w:val="24"/>
        </w:rPr>
        <w:t>Patienter med svækket nyrefunktion (se pkt. 4.2).</w:t>
      </w:r>
    </w:p>
    <w:p w:rsidR="006D2694" w:rsidRPr="00B130FC" w:rsidRDefault="006D2694" w:rsidP="006D2694">
      <w:pPr>
        <w:ind w:left="851"/>
        <w:rPr>
          <w:sz w:val="24"/>
          <w:szCs w:val="24"/>
        </w:rPr>
      </w:pPr>
      <w:r w:rsidRPr="00B130FC">
        <w:rPr>
          <w:sz w:val="24"/>
          <w:szCs w:val="24"/>
        </w:rPr>
        <w:t xml:space="preserve">Som med andre NSAID-præparater bør der udvises forsigtighed, når </w:t>
      </w:r>
      <w:proofErr w:type="spellStart"/>
      <w:r w:rsidRPr="00B130FC">
        <w:rPr>
          <w:sz w:val="24"/>
          <w:szCs w:val="24"/>
        </w:rPr>
        <w:t>ketorolac</w:t>
      </w:r>
      <w:proofErr w:type="spellEnd"/>
      <w:r w:rsidRPr="00B130FC">
        <w:rPr>
          <w:sz w:val="24"/>
          <w:szCs w:val="24"/>
        </w:rPr>
        <w:t xml:space="preserve"> gives til patienter med svækket nyrefunktion eller nyrelidelse i anamnesen, da </w:t>
      </w:r>
      <w:proofErr w:type="spellStart"/>
      <w:r w:rsidRPr="00B130FC">
        <w:rPr>
          <w:sz w:val="24"/>
          <w:szCs w:val="24"/>
        </w:rPr>
        <w:t>ketorolac</w:t>
      </w:r>
      <w:proofErr w:type="spellEnd"/>
      <w:r w:rsidRPr="00B130FC">
        <w:rPr>
          <w:sz w:val="24"/>
          <w:szCs w:val="24"/>
        </w:rPr>
        <w:t xml:space="preserve"> er en potent </w:t>
      </w:r>
      <w:proofErr w:type="spellStart"/>
      <w:r w:rsidRPr="00B130FC">
        <w:rPr>
          <w:sz w:val="24"/>
          <w:szCs w:val="24"/>
        </w:rPr>
        <w:t>prostaglandinsyntesehæmmer</w:t>
      </w:r>
      <w:proofErr w:type="spellEnd"/>
      <w:r w:rsidRPr="00B130FC">
        <w:rPr>
          <w:sz w:val="24"/>
          <w:szCs w:val="24"/>
        </w:rPr>
        <w:t xml:space="preserve">. Der bør udvises forsigtighed, da nyretoksicitet er blevet konstateret ved brug af </w:t>
      </w:r>
      <w:proofErr w:type="spellStart"/>
      <w:r w:rsidRPr="00B130FC">
        <w:rPr>
          <w:sz w:val="24"/>
          <w:szCs w:val="24"/>
        </w:rPr>
        <w:t>ketorolac</w:t>
      </w:r>
      <w:proofErr w:type="spellEnd"/>
      <w:r w:rsidRPr="00B130FC">
        <w:rPr>
          <w:sz w:val="24"/>
          <w:szCs w:val="24"/>
        </w:rPr>
        <w:t xml:space="preserve"> og andre NSAID-præparater hos patienter med lidelser, der medfører nedsat blodvolumen og/eller blodstrøm i nyrerne, da </w:t>
      </w:r>
      <w:proofErr w:type="spellStart"/>
      <w:r w:rsidRPr="00B130FC">
        <w:rPr>
          <w:sz w:val="24"/>
          <w:szCs w:val="24"/>
        </w:rPr>
        <w:t>renal</w:t>
      </w:r>
      <w:proofErr w:type="spellEnd"/>
      <w:r w:rsidRPr="00B130FC">
        <w:rPr>
          <w:sz w:val="24"/>
          <w:szCs w:val="24"/>
        </w:rPr>
        <w:t xml:space="preserve"> </w:t>
      </w:r>
      <w:proofErr w:type="spellStart"/>
      <w:r w:rsidRPr="00B130FC">
        <w:rPr>
          <w:sz w:val="24"/>
          <w:szCs w:val="24"/>
        </w:rPr>
        <w:t>prostaglandinsyntese</w:t>
      </w:r>
      <w:proofErr w:type="spellEnd"/>
      <w:r w:rsidRPr="00B130FC">
        <w:rPr>
          <w:sz w:val="24"/>
          <w:szCs w:val="24"/>
        </w:rPr>
        <w:t xml:space="preserve"> er medvirkende til vedligeholdelsen af den </w:t>
      </w:r>
      <w:proofErr w:type="spellStart"/>
      <w:r w:rsidRPr="00B130FC">
        <w:rPr>
          <w:sz w:val="24"/>
          <w:szCs w:val="24"/>
        </w:rPr>
        <w:t>renale</w:t>
      </w:r>
      <w:proofErr w:type="spellEnd"/>
      <w:r w:rsidRPr="00B130FC">
        <w:rPr>
          <w:sz w:val="24"/>
          <w:szCs w:val="24"/>
        </w:rPr>
        <w:t xml:space="preserve"> perfusion. Hos disse patienter kan anvendelsen af </w:t>
      </w:r>
      <w:proofErr w:type="spellStart"/>
      <w:r w:rsidRPr="00B130FC">
        <w:rPr>
          <w:sz w:val="24"/>
          <w:szCs w:val="24"/>
        </w:rPr>
        <w:t>ketorolac</w:t>
      </w:r>
      <w:proofErr w:type="spellEnd"/>
      <w:r w:rsidRPr="00B130FC">
        <w:rPr>
          <w:sz w:val="24"/>
          <w:szCs w:val="24"/>
        </w:rPr>
        <w:t xml:space="preserve"> eller andre NSAID-præparater forårsage en dosisafhængig hæmning af </w:t>
      </w:r>
      <w:proofErr w:type="spellStart"/>
      <w:r w:rsidRPr="00B130FC">
        <w:rPr>
          <w:sz w:val="24"/>
          <w:szCs w:val="24"/>
        </w:rPr>
        <w:t>prostaglandinsyntesen</w:t>
      </w:r>
      <w:proofErr w:type="spellEnd"/>
      <w:r w:rsidRPr="00B130FC">
        <w:rPr>
          <w:sz w:val="24"/>
          <w:szCs w:val="24"/>
        </w:rPr>
        <w:t>, som fører til svækket nyrefunktion eller nyresvigt.</w:t>
      </w:r>
    </w:p>
    <w:p w:rsidR="006D2694" w:rsidRPr="00B130FC" w:rsidRDefault="006D2694" w:rsidP="006D2694">
      <w:pPr>
        <w:ind w:left="851"/>
        <w:rPr>
          <w:sz w:val="24"/>
          <w:szCs w:val="24"/>
        </w:rPr>
      </w:pPr>
      <w:r w:rsidRPr="00B130FC">
        <w:rPr>
          <w:sz w:val="24"/>
          <w:szCs w:val="24"/>
        </w:rPr>
        <w:t xml:space="preserve">Patienter, som har størst risiko for denne komplikation, er patienter med nedsat nyrefunktion, </w:t>
      </w:r>
      <w:proofErr w:type="spellStart"/>
      <w:r w:rsidRPr="00B130FC">
        <w:rPr>
          <w:sz w:val="24"/>
          <w:szCs w:val="24"/>
        </w:rPr>
        <w:t>hypovolæmi</w:t>
      </w:r>
      <w:proofErr w:type="spellEnd"/>
      <w:r w:rsidRPr="00B130FC">
        <w:rPr>
          <w:sz w:val="24"/>
          <w:szCs w:val="24"/>
        </w:rPr>
        <w:t xml:space="preserve">, hjertesvigt, leverdysfunktion, </w:t>
      </w:r>
      <w:proofErr w:type="spellStart"/>
      <w:r w:rsidRPr="00B130FC">
        <w:rPr>
          <w:sz w:val="24"/>
          <w:szCs w:val="24"/>
        </w:rPr>
        <w:t>diuretika</w:t>
      </w:r>
      <w:proofErr w:type="spellEnd"/>
      <w:r w:rsidRPr="00B130FC">
        <w:rPr>
          <w:sz w:val="24"/>
          <w:szCs w:val="24"/>
        </w:rPr>
        <w:t>-brugere samt ældre patienter. Ved ophør af behandling med lægemidlet vil funktionen sædvanligvis genoprettes til samme niveau som før behandlingens start.</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 xml:space="preserve">Forhøjede niveauer af </w:t>
      </w:r>
      <w:proofErr w:type="spellStart"/>
      <w:r w:rsidRPr="00B130FC">
        <w:rPr>
          <w:sz w:val="24"/>
          <w:szCs w:val="24"/>
        </w:rPr>
        <w:t>urea</w:t>
      </w:r>
      <w:proofErr w:type="spellEnd"/>
      <w:r w:rsidRPr="00B130FC">
        <w:rPr>
          <w:sz w:val="24"/>
          <w:szCs w:val="24"/>
        </w:rPr>
        <w:t xml:space="preserve"> og </w:t>
      </w:r>
      <w:proofErr w:type="spellStart"/>
      <w:r w:rsidRPr="00B130FC">
        <w:rPr>
          <w:sz w:val="24"/>
          <w:szCs w:val="24"/>
        </w:rPr>
        <w:t>serumkreatinin</w:t>
      </w:r>
      <w:proofErr w:type="spellEnd"/>
      <w:r w:rsidRPr="00B130FC">
        <w:rPr>
          <w:sz w:val="24"/>
          <w:szCs w:val="24"/>
        </w:rPr>
        <w:t xml:space="preserve"> er rapporteret. </w:t>
      </w:r>
      <w:proofErr w:type="spellStart"/>
      <w:r w:rsidRPr="00B130FC">
        <w:rPr>
          <w:sz w:val="24"/>
          <w:szCs w:val="24"/>
        </w:rPr>
        <w:t>Clearance</w:t>
      </w:r>
      <w:proofErr w:type="spellEnd"/>
      <w:r w:rsidRPr="00B130FC">
        <w:rPr>
          <w:sz w:val="24"/>
          <w:szCs w:val="24"/>
        </w:rPr>
        <w:t xml:space="preserve"> af </w:t>
      </w:r>
      <w:proofErr w:type="spellStart"/>
      <w:r w:rsidRPr="00B130FC">
        <w:rPr>
          <w:sz w:val="24"/>
          <w:szCs w:val="24"/>
        </w:rPr>
        <w:t>ketorolac</w:t>
      </w:r>
      <w:proofErr w:type="spellEnd"/>
      <w:r w:rsidRPr="00B130FC">
        <w:rPr>
          <w:sz w:val="24"/>
          <w:szCs w:val="24"/>
        </w:rPr>
        <w:t xml:space="preserve"> nedsættes næsten proportionalt med reduktionen i </w:t>
      </w:r>
      <w:proofErr w:type="spellStart"/>
      <w:r w:rsidRPr="00B130FC">
        <w:rPr>
          <w:sz w:val="24"/>
          <w:szCs w:val="24"/>
        </w:rPr>
        <w:t>kreatininclearance</w:t>
      </w:r>
      <w:proofErr w:type="spellEnd"/>
      <w:r w:rsidRPr="00B130FC">
        <w:rPr>
          <w:sz w:val="24"/>
          <w:szCs w:val="24"/>
        </w:rPr>
        <w:t xml:space="preserve">. </w:t>
      </w:r>
      <w:proofErr w:type="spellStart"/>
      <w:r w:rsidRPr="00B130FC">
        <w:rPr>
          <w:sz w:val="24"/>
          <w:szCs w:val="24"/>
        </w:rPr>
        <w:t>Ketorolac</w:t>
      </w:r>
      <w:proofErr w:type="spellEnd"/>
      <w:r w:rsidRPr="00B130FC">
        <w:rPr>
          <w:sz w:val="24"/>
          <w:szCs w:val="24"/>
        </w:rPr>
        <w:t xml:space="preserve"> anbefales ikke til patienter i dialyse. Hos patienter, der oplever ændringer i plasmavolumen, kan </w:t>
      </w:r>
      <w:proofErr w:type="spellStart"/>
      <w:r w:rsidRPr="00B130FC">
        <w:rPr>
          <w:sz w:val="24"/>
          <w:szCs w:val="24"/>
        </w:rPr>
        <w:t>renal</w:t>
      </w:r>
      <w:proofErr w:type="spellEnd"/>
      <w:r w:rsidRPr="00B130FC">
        <w:rPr>
          <w:sz w:val="24"/>
          <w:szCs w:val="24"/>
        </w:rPr>
        <w:t xml:space="preserve"> </w:t>
      </w:r>
      <w:proofErr w:type="spellStart"/>
      <w:r w:rsidRPr="00B130FC">
        <w:rPr>
          <w:sz w:val="24"/>
          <w:szCs w:val="24"/>
        </w:rPr>
        <w:t>prostaglandinsyntese</w:t>
      </w:r>
      <w:proofErr w:type="spellEnd"/>
      <w:r w:rsidRPr="00B130FC">
        <w:rPr>
          <w:sz w:val="24"/>
          <w:szCs w:val="24"/>
        </w:rPr>
        <w:t xml:space="preserve"> føre til en yderligere forringelse af blodstrømmen i nyrerne. </w:t>
      </w:r>
      <w:proofErr w:type="spellStart"/>
      <w:r w:rsidRPr="00B130FC">
        <w:rPr>
          <w:sz w:val="24"/>
          <w:szCs w:val="24"/>
        </w:rPr>
        <w:t>Ketorolac</w:t>
      </w:r>
      <w:proofErr w:type="spellEnd"/>
      <w:r w:rsidRPr="00B130FC">
        <w:rPr>
          <w:sz w:val="24"/>
          <w:szCs w:val="24"/>
        </w:rPr>
        <w:t xml:space="preserve"> kan, som andre antiinflammatoriske lægemidler, øge risikoen for nedsat nyrefunktion i forbindelse med behandling med ACE-</w:t>
      </w:r>
      <w:proofErr w:type="spellStart"/>
      <w:r w:rsidRPr="00B130FC">
        <w:rPr>
          <w:sz w:val="24"/>
          <w:szCs w:val="24"/>
        </w:rPr>
        <w:t>hæmmere</w:t>
      </w:r>
      <w:proofErr w:type="spellEnd"/>
      <w:r w:rsidRPr="00B130FC">
        <w:rPr>
          <w:sz w:val="24"/>
          <w:szCs w:val="24"/>
        </w:rPr>
        <w:t>.</w:t>
      </w:r>
    </w:p>
    <w:p w:rsidR="006D2694" w:rsidRPr="00B130FC" w:rsidRDefault="006D2694" w:rsidP="006D2694">
      <w:pPr>
        <w:ind w:left="851"/>
        <w:rPr>
          <w:sz w:val="24"/>
          <w:szCs w:val="24"/>
        </w:rPr>
      </w:pPr>
      <w:r w:rsidRPr="00B130FC">
        <w:rPr>
          <w:sz w:val="24"/>
          <w:szCs w:val="24"/>
        </w:rPr>
        <w:t xml:space="preserve">Der bør udvises forsigtighed, når disse patienter behandles med </w:t>
      </w:r>
      <w:proofErr w:type="spellStart"/>
      <w:r w:rsidRPr="00B130FC">
        <w:rPr>
          <w:sz w:val="24"/>
          <w:szCs w:val="24"/>
        </w:rPr>
        <w:t>ketorolac</w:t>
      </w:r>
      <w:proofErr w:type="spellEnd"/>
      <w:r w:rsidRPr="00B130FC">
        <w:rPr>
          <w:sz w:val="24"/>
          <w:szCs w:val="24"/>
        </w:rPr>
        <w:t xml:space="preserve">, og det anbefales, at urinudskillelse, urinstof i serum og </w:t>
      </w:r>
      <w:proofErr w:type="spellStart"/>
      <w:r w:rsidRPr="00B130FC">
        <w:rPr>
          <w:sz w:val="24"/>
          <w:szCs w:val="24"/>
        </w:rPr>
        <w:t>kreatinin</w:t>
      </w:r>
      <w:proofErr w:type="spellEnd"/>
      <w:r w:rsidRPr="00B130FC">
        <w:rPr>
          <w:sz w:val="24"/>
          <w:szCs w:val="24"/>
        </w:rPr>
        <w:t xml:space="preserve"> overvåges. Samtidig anvendelse af </w:t>
      </w:r>
      <w:proofErr w:type="spellStart"/>
      <w:r w:rsidRPr="00B130FC">
        <w:rPr>
          <w:sz w:val="24"/>
          <w:szCs w:val="24"/>
        </w:rPr>
        <w:t>ketorolac</w:t>
      </w:r>
      <w:proofErr w:type="spellEnd"/>
      <w:r w:rsidRPr="00B130FC">
        <w:rPr>
          <w:sz w:val="24"/>
          <w:szCs w:val="24"/>
        </w:rPr>
        <w:t xml:space="preserve"> og andre NSAID-præparater anbefales ikke, da det kan medføre bivirkninger.</w:t>
      </w:r>
    </w:p>
    <w:p w:rsidR="006D2694" w:rsidRPr="00B130FC" w:rsidRDefault="006D2694" w:rsidP="006D2694">
      <w:pPr>
        <w:ind w:left="851"/>
        <w:rPr>
          <w:i/>
          <w:sz w:val="24"/>
          <w:szCs w:val="24"/>
          <w:highlight w:val="yellow"/>
        </w:rPr>
      </w:pPr>
    </w:p>
    <w:p w:rsidR="006D2694" w:rsidRPr="00B130FC" w:rsidRDefault="006D2694" w:rsidP="006D2694">
      <w:pPr>
        <w:ind w:left="851"/>
        <w:rPr>
          <w:sz w:val="24"/>
          <w:szCs w:val="24"/>
        </w:rPr>
      </w:pPr>
      <w:r w:rsidRPr="00B130FC">
        <w:rPr>
          <w:i/>
          <w:sz w:val="24"/>
          <w:szCs w:val="24"/>
        </w:rPr>
        <w:t>Fertilitet</w:t>
      </w:r>
    </w:p>
    <w:p w:rsidR="006D2694" w:rsidRPr="00B130FC" w:rsidRDefault="006D2694" w:rsidP="006D2694">
      <w:pPr>
        <w:ind w:left="851"/>
        <w:rPr>
          <w:sz w:val="24"/>
          <w:szCs w:val="24"/>
        </w:rPr>
      </w:pPr>
      <w:r w:rsidRPr="00B130FC">
        <w:rPr>
          <w:sz w:val="24"/>
          <w:szCs w:val="24"/>
        </w:rPr>
        <w:t xml:space="preserve">Som med andre lægemidler, der hæmmer </w:t>
      </w:r>
      <w:proofErr w:type="spellStart"/>
      <w:r w:rsidRPr="00B130FC">
        <w:rPr>
          <w:sz w:val="24"/>
          <w:szCs w:val="24"/>
        </w:rPr>
        <w:t>cyclooxygenase</w:t>
      </w:r>
      <w:proofErr w:type="spellEnd"/>
      <w:r w:rsidRPr="00B130FC">
        <w:rPr>
          <w:sz w:val="24"/>
          <w:szCs w:val="24"/>
        </w:rPr>
        <w:t>/</w:t>
      </w:r>
      <w:proofErr w:type="spellStart"/>
      <w:r w:rsidRPr="00B130FC">
        <w:rPr>
          <w:sz w:val="24"/>
          <w:szCs w:val="24"/>
        </w:rPr>
        <w:t>prostaglandinsyntese</w:t>
      </w:r>
      <w:proofErr w:type="spellEnd"/>
      <w:r w:rsidRPr="00B130FC">
        <w:rPr>
          <w:sz w:val="24"/>
          <w:szCs w:val="24"/>
        </w:rPr>
        <w:t xml:space="preserve">, kan anvendelse af </w:t>
      </w:r>
      <w:proofErr w:type="spellStart"/>
      <w:r w:rsidRPr="00B130FC">
        <w:rPr>
          <w:sz w:val="24"/>
          <w:szCs w:val="24"/>
        </w:rPr>
        <w:t>ketorolac</w:t>
      </w:r>
      <w:proofErr w:type="spellEnd"/>
      <w:r w:rsidRPr="00B130FC">
        <w:rPr>
          <w:sz w:val="24"/>
          <w:szCs w:val="24"/>
        </w:rPr>
        <w:t xml:space="preserve"> sænke fertiliteten og anbefales derfor ikke til kvinder, der forsøger at blive gravide. Hos kvinder, der har vanskeligt ved at blive gravide, eller som testes for </w:t>
      </w:r>
      <w:proofErr w:type="spellStart"/>
      <w:r w:rsidRPr="00B130FC">
        <w:rPr>
          <w:sz w:val="24"/>
          <w:szCs w:val="24"/>
        </w:rPr>
        <w:t>infertilitet</w:t>
      </w:r>
      <w:proofErr w:type="spellEnd"/>
      <w:r w:rsidRPr="00B130FC">
        <w:rPr>
          <w:sz w:val="24"/>
          <w:szCs w:val="24"/>
        </w:rPr>
        <w:t xml:space="preserve">, bør </w:t>
      </w:r>
      <w:proofErr w:type="spellStart"/>
      <w:r w:rsidRPr="00B130FC">
        <w:rPr>
          <w:sz w:val="24"/>
          <w:szCs w:val="24"/>
        </w:rPr>
        <w:t>seponering</w:t>
      </w:r>
      <w:proofErr w:type="spellEnd"/>
      <w:r w:rsidRPr="00B130FC">
        <w:rPr>
          <w:sz w:val="24"/>
          <w:szCs w:val="24"/>
        </w:rPr>
        <w:t xml:space="preserve"> af </w:t>
      </w:r>
      <w:proofErr w:type="spellStart"/>
      <w:r w:rsidRPr="00B130FC">
        <w:rPr>
          <w:sz w:val="24"/>
          <w:szCs w:val="24"/>
        </w:rPr>
        <w:t>ketorolac</w:t>
      </w:r>
      <w:proofErr w:type="spellEnd"/>
      <w:r w:rsidRPr="00B130FC">
        <w:rPr>
          <w:sz w:val="24"/>
          <w:szCs w:val="24"/>
        </w:rPr>
        <w:t xml:space="preserve"> overvejes.</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i/>
          <w:sz w:val="24"/>
          <w:szCs w:val="24"/>
        </w:rPr>
        <w:t>Misbrug og afhængighed</w:t>
      </w:r>
    </w:p>
    <w:p w:rsidR="006D2694" w:rsidRPr="00B130FC" w:rsidRDefault="006D2694" w:rsidP="006D2694">
      <w:pPr>
        <w:ind w:left="851"/>
        <w:rPr>
          <w:sz w:val="24"/>
          <w:szCs w:val="24"/>
        </w:rPr>
      </w:pPr>
      <w:proofErr w:type="spellStart"/>
      <w:r w:rsidRPr="00B130FC">
        <w:rPr>
          <w:sz w:val="24"/>
          <w:szCs w:val="24"/>
        </w:rPr>
        <w:t>Ketorolac</w:t>
      </w:r>
      <w:proofErr w:type="spellEnd"/>
      <w:r w:rsidRPr="00B130FC">
        <w:rPr>
          <w:sz w:val="24"/>
          <w:szCs w:val="24"/>
        </w:rPr>
        <w:t xml:space="preserve"> er ikke vanedannende. Der er ikke observeret abstinenssymptomer efter pludselig </w:t>
      </w:r>
      <w:proofErr w:type="spellStart"/>
      <w:r w:rsidRPr="00B130FC">
        <w:rPr>
          <w:sz w:val="24"/>
          <w:szCs w:val="24"/>
        </w:rPr>
        <w:t>seponering</w:t>
      </w:r>
      <w:proofErr w:type="spellEnd"/>
      <w:r w:rsidRPr="00B130FC">
        <w:rPr>
          <w:sz w:val="24"/>
          <w:szCs w:val="24"/>
        </w:rPr>
        <w:t xml:space="preserve"> af </w:t>
      </w:r>
      <w:proofErr w:type="spellStart"/>
      <w:r w:rsidRPr="00B130FC">
        <w:rPr>
          <w:sz w:val="24"/>
          <w:szCs w:val="24"/>
        </w:rPr>
        <w:t>ketorolac</w:t>
      </w:r>
      <w:proofErr w:type="spellEnd"/>
      <w:r w:rsidRPr="00B130FC">
        <w:rPr>
          <w:sz w:val="24"/>
          <w:szCs w:val="24"/>
        </w:rPr>
        <w:t>.</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 xml:space="preserve">Der bør udvises forsigtighed ved samtidig behandling med </w:t>
      </w:r>
      <w:proofErr w:type="spellStart"/>
      <w:r w:rsidRPr="00B130FC">
        <w:rPr>
          <w:sz w:val="24"/>
          <w:szCs w:val="24"/>
        </w:rPr>
        <w:t>probenecid</w:t>
      </w:r>
      <w:proofErr w:type="spellEnd"/>
      <w:r w:rsidRPr="00B130FC">
        <w:rPr>
          <w:sz w:val="24"/>
          <w:szCs w:val="24"/>
        </w:rPr>
        <w:t xml:space="preserve">, da udsving i </w:t>
      </w:r>
      <w:proofErr w:type="spellStart"/>
      <w:r w:rsidRPr="00B130FC">
        <w:rPr>
          <w:sz w:val="24"/>
          <w:szCs w:val="24"/>
        </w:rPr>
        <w:t>ketorolacs</w:t>
      </w:r>
      <w:proofErr w:type="spellEnd"/>
      <w:r w:rsidRPr="00B130FC">
        <w:rPr>
          <w:sz w:val="24"/>
          <w:szCs w:val="24"/>
        </w:rPr>
        <w:t xml:space="preserve"> farmakokinetik er blevet rapporteret med denne kombination.</w:t>
      </w:r>
    </w:p>
    <w:p w:rsidR="006D2694" w:rsidRDefault="006D2694" w:rsidP="006D2694">
      <w:pPr>
        <w:ind w:left="851"/>
        <w:rPr>
          <w:sz w:val="24"/>
          <w:szCs w:val="24"/>
        </w:rPr>
      </w:pPr>
    </w:p>
    <w:p w:rsidR="006D2694" w:rsidRPr="00B130FC" w:rsidRDefault="006D2694" w:rsidP="006D2694">
      <w:pPr>
        <w:ind w:left="851"/>
        <w:rPr>
          <w:sz w:val="24"/>
          <w:szCs w:val="24"/>
          <w:highlight w:val="yellow"/>
        </w:rPr>
      </w:pPr>
      <w:r w:rsidRPr="00B130FC">
        <w:rPr>
          <w:sz w:val="24"/>
          <w:szCs w:val="24"/>
        </w:rPr>
        <w:t xml:space="preserve">Forsigtighed anbefales, når </w:t>
      </w:r>
      <w:proofErr w:type="spellStart"/>
      <w:r w:rsidRPr="00B130FC">
        <w:rPr>
          <w:sz w:val="24"/>
          <w:szCs w:val="24"/>
        </w:rPr>
        <w:t>ketorolac</w:t>
      </w:r>
      <w:proofErr w:type="spellEnd"/>
      <w:r w:rsidRPr="00B130FC">
        <w:rPr>
          <w:sz w:val="24"/>
          <w:szCs w:val="24"/>
        </w:rPr>
        <w:t xml:space="preserve"> administreres samtidig med </w:t>
      </w:r>
      <w:proofErr w:type="spellStart"/>
      <w:r w:rsidRPr="00B130FC">
        <w:rPr>
          <w:sz w:val="24"/>
          <w:szCs w:val="24"/>
        </w:rPr>
        <w:t>methotrexat</w:t>
      </w:r>
      <w:proofErr w:type="spellEnd"/>
      <w:r w:rsidRPr="00B130FC">
        <w:rPr>
          <w:sz w:val="24"/>
          <w:szCs w:val="24"/>
        </w:rPr>
        <w:t xml:space="preserve">, da det er rapporteret, at visse </w:t>
      </w:r>
      <w:proofErr w:type="spellStart"/>
      <w:r w:rsidRPr="00B130FC">
        <w:rPr>
          <w:sz w:val="24"/>
          <w:szCs w:val="24"/>
        </w:rPr>
        <w:t>prostaglandinsyntesehæmmende</w:t>
      </w:r>
      <w:proofErr w:type="spellEnd"/>
      <w:r w:rsidRPr="00B130FC">
        <w:rPr>
          <w:sz w:val="24"/>
          <w:szCs w:val="24"/>
        </w:rPr>
        <w:t xml:space="preserve"> præparater reducerer </w:t>
      </w:r>
      <w:proofErr w:type="spellStart"/>
      <w:r w:rsidRPr="00B130FC">
        <w:rPr>
          <w:sz w:val="24"/>
          <w:szCs w:val="24"/>
        </w:rPr>
        <w:t>methotrexatclearance</w:t>
      </w:r>
      <w:proofErr w:type="spellEnd"/>
      <w:r w:rsidRPr="00B130FC">
        <w:rPr>
          <w:sz w:val="24"/>
          <w:szCs w:val="24"/>
        </w:rPr>
        <w:t xml:space="preserve"> og dermed muligvis øger </w:t>
      </w:r>
      <w:proofErr w:type="spellStart"/>
      <w:r w:rsidRPr="00B130FC">
        <w:rPr>
          <w:sz w:val="24"/>
          <w:szCs w:val="24"/>
        </w:rPr>
        <w:t>methotrexattoksicitet</w:t>
      </w:r>
      <w:proofErr w:type="spellEnd"/>
      <w:r w:rsidRPr="00B130FC">
        <w:rPr>
          <w:sz w:val="24"/>
          <w:szCs w:val="24"/>
        </w:rPr>
        <w:t>.</w:t>
      </w:r>
    </w:p>
    <w:p w:rsidR="006D2694" w:rsidRDefault="006D2694" w:rsidP="006D2694">
      <w:pPr>
        <w:ind w:left="851"/>
        <w:rPr>
          <w:i/>
          <w:sz w:val="24"/>
          <w:szCs w:val="24"/>
        </w:rPr>
      </w:pPr>
    </w:p>
    <w:p w:rsidR="006D2694" w:rsidRPr="00B130FC" w:rsidRDefault="006D2694" w:rsidP="006D2694">
      <w:pPr>
        <w:ind w:left="851"/>
        <w:rPr>
          <w:sz w:val="24"/>
          <w:szCs w:val="24"/>
        </w:rPr>
      </w:pPr>
      <w:r w:rsidRPr="00B130FC">
        <w:rPr>
          <w:i/>
          <w:sz w:val="24"/>
          <w:szCs w:val="24"/>
        </w:rPr>
        <w:t>Diverse</w:t>
      </w:r>
    </w:p>
    <w:p w:rsidR="006D2694" w:rsidRPr="00B130FC" w:rsidRDefault="006D2694" w:rsidP="006D2694">
      <w:pPr>
        <w:ind w:left="851"/>
        <w:rPr>
          <w:sz w:val="24"/>
          <w:szCs w:val="24"/>
        </w:rPr>
      </w:pPr>
      <w:r w:rsidRPr="00B130FC">
        <w:rPr>
          <w:sz w:val="24"/>
          <w:szCs w:val="24"/>
        </w:rPr>
        <w:lastRenderedPageBreak/>
        <w:t>Patienter med SLE har en større risiko for aseptisk meningitis (og de dermed forbundne neurologiske følgevirkninger), når de får NSAID-præparater.</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Hvis der udvikles kliniske symptomer på leversygdom, eller hvis der forekommer systemiske manifestationer (</w:t>
      </w:r>
      <w:r>
        <w:rPr>
          <w:sz w:val="24"/>
          <w:szCs w:val="24"/>
        </w:rPr>
        <w:t>f.eks.</w:t>
      </w:r>
      <w:r w:rsidRPr="00B130FC">
        <w:rPr>
          <w:sz w:val="24"/>
          <w:szCs w:val="24"/>
        </w:rPr>
        <w:t xml:space="preserve"> </w:t>
      </w:r>
      <w:proofErr w:type="spellStart"/>
      <w:r w:rsidRPr="00B130FC">
        <w:rPr>
          <w:sz w:val="24"/>
          <w:szCs w:val="24"/>
        </w:rPr>
        <w:t>eosinofili</w:t>
      </w:r>
      <w:proofErr w:type="spellEnd"/>
      <w:r w:rsidRPr="00B130FC">
        <w:rPr>
          <w:sz w:val="24"/>
          <w:szCs w:val="24"/>
        </w:rPr>
        <w:t xml:space="preserve"> eller udslæt), bør </w:t>
      </w:r>
      <w:proofErr w:type="spellStart"/>
      <w:r w:rsidRPr="00B130FC">
        <w:rPr>
          <w:sz w:val="24"/>
          <w:szCs w:val="24"/>
        </w:rPr>
        <w:t>ketorolac</w:t>
      </w:r>
      <w:proofErr w:type="spellEnd"/>
      <w:r w:rsidRPr="00B130FC">
        <w:rPr>
          <w:sz w:val="24"/>
          <w:szCs w:val="24"/>
        </w:rPr>
        <w:t xml:space="preserve"> seponeres. Patienter med nedsat leverfunktion bør ikke have udvist kliniske signifikante ændringer i </w:t>
      </w:r>
      <w:proofErr w:type="spellStart"/>
      <w:r w:rsidRPr="00B130FC">
        <w:rPr>
          <w:sz w:val="24"/>
          <w:szCs w:val="24"/>
        </w:rPr>
        <w:t>clearance</w:t>
      </w:r>
      <w:proofErr w:type="spellEnd"/>
      <w:r w:rsidRPr="00B130FC">
        <w:rPr>
          <w:sz w:val="24"/>
          <w:szCs w:val="24"/>
        </w:rPr>
        <w:t xml:space="preserve">. Centralt fremkaldte skadelige virkninger, </w:t>
      </w:r>
      <w:r>
        <w:rPr>
          <w:sz w:val="24"/>
          <w:szCs w:val="24"/>
        </w:rPr>
        <w:t>f.eks.</w:t>
      </w:r>
      <w:r w:rsidRPr="00B130FC">
        <w:rPr>
          <w:sz w:val="24"/>
          <w:szCs w:val="24"/>
        </w:rPr>
        <w:t xml:space="preserve"> døsighed, er sandsynligvis forårsaget af den post-operative tilstand og har med sandsynlighed ikke forbindelse til </w:t>
      </w:r>
      <w:proofErr w:type="spellStart"/>
      <w:r w:rsidRPr="00B130FC">
        <w:rPr>
          <w:sz w:val="24"/>
          <w:szCs w:val="24"/>
        </w:rPr>
        <w:t>ketorolac</w:t>
      </w:r>
      <w:proofErr w:type="spellEnd"/>
      <w:r w:rsidRPr="00B130FC">
        <w:rPr>
          <w:sz w:val="24"/>
          <w:szCs w:val="24"/>
        </w:rPr>
        <w:t>.</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 xml:space="preserve">Dette lægemiddel indeholder små mængder </w:t>
      </w:r>
      <w:proofErr w:type="spellStart"/>
      <w:r w:rsidRPr="00B130FC">
        <w:rPr>
          <w:sz w:val="24"/>
          <w:szCs w:val="24"/>
        </w:rPr>
        <w:t>ethanol</w:t>
      </w:r>
      <w:proofErr w:type="spellEnd"/>
      <w:r w:rsidRPr="00B130FC">
        <w:rPr>
          <w:sz w:val="24"/>
          <w:szCs w:val="24"/>
        </w:rPr>
        <w:t xml:space="preserve"> (alkohol) på under 100 mg pr. dosis.</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Dette lægemiddel indeholder under 1 mmol natrium (23 mg) pr. ampul, dvs. det er i det væsentlige "natriumfrit".</w:t>
      </w:r>
    </w:p>
    <w:p w:rsidR="006D2694" w:rsidRPr="00B130FC" w:rsidRDefault="006D2694" w:rsidP="006D2694">
      <w:pPr>
        <w:ind w:left="851"/>
        <w:rPr>
          <w:sz w:val="24"/>
          <w:szCs w:val="24"/>
          <w:u w:val="single"/>
        </w:rPr>
      </w:pPr>
    </w:p>
    <w:p w:rsidR="006D2694" w:rsidRPr="00B130FC" w:rsidRDefault="006D2694" w:rsidP="006D2694">
      <w:pPr>
        <w:ind w:left="851"/>
        <w:rPr>
          <w:sz w:val="24"/>
          <w:szCs w:val="24"/>
        </w:rPr>
      </w:pPr>
      <w:r w:rsidRPr="00B130FC">
        <w:rPr>
          <w:sz w:val="24"/>
          <w:szCs w:val="24"/>
        </w:rPr>
        <w:t>Pædiatrisk population:</w:t>
      </w:r>
    </w:p>
    <w:p w:rsidR="006D2694" w:rsidRPr="00B130FC" w:rsidRDefault="006D2694" w:rsidP="006D2694">
      <w:pPr>
        <w:ind w:left="851"/>
        <w:rPr>
          <w:sz w:val="24"/>
          <w:szCs w:val="24"/>
        </w:rPr>
      </w:pPr>
      <w:proofErr w:type="spellStart"/>
      <w:r w:rsidRPr="00B130FC">
        <w:rPr>
          <w:sz w:val="24"/>
          <w:szCs w:val="24"/>
        </w:rPr>
        <w:t>Ketorolacs</w:t>
      </w:r>
      <w:proofErr w:type="spellEnd"/>
      <w:r w:rsidRPr="00B130FC">
        <w:rPr>
          <w:sz w:val="24"/>
          <w:szCs w:val="24"/>
        </w:rPr>
        <w:t xml:space="preserve"> sikkerhed og virkning hos børn er ikke vurderet, og </w:t>
      </w:r>
      <w:proofErr w:type="spellStart"/>
      <w:r w:rsidRPr="00B130FC">
        <w:rPr>
          <w:sz w:val="24"/>
          <w:szCs w:val="24"/>
        </w:rPr>
        <w:t>ketorolac</w:t>
      </w:r>
      <w:proofErr w:type="spellEnd"/>
      <w:r w:rsidRPr="00B130FC">
        <w:rPr>
          <w:sz w:val="24"/>
          <w:szCs w:val="24"/>
        </w:rPr>
        <w:t xml:space="preserve"> anbefales ikke til børn under 16 år.</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4.5</w:t>
      </w:r>
      <w:r w:rsidRPr="00B130FC">
        <w:rPr>
          <w:b/>
          <w:sz w:val="24"/>
          <w:szCs w:val="24"/>
        </w:rPr>
        <w:tab/>
        <w:t>Interaktion med andre lægemidler og andre former for interaktion</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Diuretika</w:t>
      </w:r>
      <w:proofErr w:type="spellEnd"/>
      <w:r w:rsidRPr="00B130FC">
        <w:rPr>
          <w:rFonts w:ascii="Times New Roman" w:hAnsi="Times New Roman" w:cs="Times New Roman"/>
          <w:i/>
          <w:sz w:val="24"/>
          <w:szCs w:val="24"/>
        </w:rPr>
        <w:t xml:space="preserve">: </w:t>
      </w:r>
      <w:r w:rsidRPr="00B130FC">
        <w:rPr>
          <w:rFonts w:ascii="Times New Roman" w:hAnsi="Times New Roman" w:cs="Times New Roman"/>
          <w:sz w:val="24"/>
          <w:szCs w:val="24"/>
        </w:rPr>
        <w:t xml:space="preserve">NSAID-præparater kan reducere virkningen af </w:t>
      </w:r>
      <w:proofErr w:type="spellStart"/>
      <w:r w:rsidRPr="00B130FC">
        <w:rPr>
          <w:rFonts w:ascii="Times New Roman" w:hAnsi="Times New Roman" w:cs="Times New Roman"/>
          <w:sz w:val="24"/>
          <w:szCs w:val="24"/>
        </w:rPr>
        <w:t>diuretika</w:t>
      </w:r>
      <w:proofErr w:type="spellEnd"/>
      <w:r w:rsidRPr="00B130FC">
        <w:rPr>
          <w:rFonts w:ascii="Times New Roman" w:hAnsi="Times New Roman" w:cs="Times New Roman"/>
          <w:sz w:val="24"/>
          <w:szCs w:val="24"/>
        </w:rPr>
        <w:t>. Hos raske personer med normalt blodvolumen har det vist sig, at NSAID-præparater (</w:t>
      </w:r>
      <w:proofErr w:type="spellStart"/>
      <w:r w:rsidRPr="00B130FC">
        <w:rPr>
          <w:rFonts w:ascii="Times New Roman" w:hAnsi="Times New Roman" w:cs="Times New Roman"/>
          <w:sz w:val="24"/>
          <w:szCs w:val="24"/>
        </w:rPr>
        <w:t>propionsyrederivater</w:t>
      </w:r>
      <w:proofErr w:type="spellEnd"/>
      <w:r w:rsidRPr="00B130FC">
        <w:rPr>
          <w:rFonts w:ascii="Times New Roman" w:hAnsi="Times New Roman" w:cs="Times New Roman"/>
          <w:sz w:val="24"/>
          <w:szCs w:val="24"/>
        </w:rPr>
        <w:t xml:space="preserve">), herunder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modvirker den diuretiske effekt af </w:t>
      </w:r>
      <w:proofErr w:type="spellStart"/>
      <w:r w:rsidRPr="00B130FC">
        <w:rPr>
          <w:rFonts w:ascii="Times New Roman" w:hAnsi="Times New Roman" w:cs="Times New Roman"/>
          <w:sz w:val="24"/>
          <w:szCs w:val="24"/>
        </w:rPr>
        <w:t>furosemid</w:t>
      </w:r>
      <w:proofErr w:type="spellEnd"/>
      <w:r w:rsidRPr="00B130FC">
        <w:rPr>
          <w:rFonts w:ascii="Times New Roman" w:hAnsi="Times New Roman" w:cs="Times New Roman"/>
          <w:sz w:val="24"/>
          <w:szCs w:val="24"/>
        </w:rPr>
        <w:t xml:space="preserve"> og </w:t>
      </w:r>
      <w:proofErr w:type="spellStart"/>
      <w:r w:rsidRPr="00B130FC">
        <w:rPr>
          <w:rFonts w:ascii="Times New Roman" w:hAnsi="Times New Roman" w:cs="Times New Roman"/>
          <w:sz w:val="24"/>
          <w:szCs w:val="24"/>
        </w:rPr>
        <w:t>bumetanid</w:t>
      </w:r>
      <w:proofErr w:type="spellEnd"/>
      <w:r w:rsidRPr="00B130FC">
        <w:rPr>
          <w:rFonts w:ascii="Times New Roman" w:hAnsi="Times New Roman" w:cs="Times New Roman"/>
          <w:sz w:val="24"/>
          <w:szCs w:val="24"/>
        </w:rPr>
        <w:t xml:space="preserve"> (loop-</w:t>
      </w:r>
      <w:proofErr w:type="spellStart"/>
      <w:r w:rsidRPr="00B130FC">
        <w:rPr>
          <w:rFonts w:ascii="Times New Roman" w:hAnsi="Times New Roman" w:cs="Times New Roman"/>
          <w:sz w:val="24"/>
          <w:szCs w:val="24"/>
        </w:rPr>
        <w:t>diuretika</w:t>
      </w:r>
      <w:proofErr w:type="spellEnd"/>
      <w:r w:rsidRPr="00B130FC">
        <w:rPr>
          <w:rFonts w:ascii="Times New Roman" w:hAnsi="Times New Roman" w:cs="Times New Roman"/>
          <w:sz w:val="24"/>
          <w:szCs w:val="24"/>
        </w:rPr>
        <w:t xml:space="preserve">) med ca. 20 %, muligvis ved at hæmme </w:t>
      </w:r>
      <w:proofErr w:type="spellStart"/>
      <w:r w:rsidRPr="00B130FC">
        <w:rPr>
          <w:rFonts w:ascii="Times New Roman" w:hAnsi="Times New Roman" w:cs="Times New Roman"/>
          <w:sz w:val="24"/>
          <w:szCs w:val="24"/>
        </w:rPr>
        <w:t>prostaglandinsyntesen</w:t>
      </w:r>
      <w:proofErr w:type="spellEnd"/>
      <w:r w:rsidRPr="00B130FC">
        <w:rPr>
          <w:rFonts w:ascii="Times New Roman" w:hAnsi="Times New Roman" w:cs="Times New Roman"/>
          <w:sz w:val="24"/>
          <w:szCs w:val="24"/>
        </w:rPr>
        <w:t xml:space="preserve">. Der bør udvises særlig forsigtighed ved behandling af patienter med hjertesvigt. </w:t>
      </w:r>
    </w:p>
    <w:p w:rsidR="006D2694" w:rsidRPr="00B130FC" w:rsidRDefault="006D2694" w:rsidP="006D2694">
      <w:pPr>
        <w:pStyle w:val="Listeafsnit"/>
        <w:spacing w:after="0" w:line="240" w:lineRule="auto"/>
        <w:ind w:left="1276"/>
        <w:rPr>
          <w:rFonts w:ascii="Times New Roman" w:hAnsi="Times New Roman" w:cs="Times New Roman"/>
          <w:sz w:val="24"/>
          <w:szCs w:val="24"/>
        </w:rPr>
      </w:pPr>
      <w:r w:rsidRPr="00B130FC">
        <w:rPr>
          <w:rFonts w:ascii="Times New Roman" w:hAnsi="Times New Roman" w:cs="Times New Roman"/>
          <w:sz w:val="24"/>
          <w:szCs w:val="24"/>
        </w:rPr>
        <w:t xml:space="preserve">NSAID-præparater kan også modvirke den </w:t>
      </w:r>
      <w:proofErr w:type="spellStart"/>
      <w:r w:rsidRPr="00B130FC">
        <w:rPr>
          <w:rFonts w:ascii="Times New Roman" w:hAnsi="Times New Roman" w:cs="Times New Roman"/>
          <w:sz w:val="24"/>
          <w:szCs w:val="24"/>
        </w:rPr>
        <w:t>antihypertensive</w:t>
      </w:r>
      <w:proofErr w:type="spellEnd"/>
      <w:r w:rsidRPr="00B130FC">
        <w:rPr>
          <w:rFonts w:ascii="Times New Roman" w:hAnsi="Times New Roman" w:cs="Times New Roman"/>
          <w:sz w:val="24"/>
          <w:szCs w:val="24"/>
        </w:rPr>
        <w:t xml:space="preserve"> virkning af </w:t>
      </w:r>
      <w:proofErr w:type="spellStart"/>
      <w:r w:rsidRPr="00B130FC">
        <w:rPr>
          <w:rFonts w:ascii="Times New Roman" w:hAnsi="Times New Roman" w:cs="Times New Roman"/>
          <w:sz w:val="24"/>
          <w:szCs w:val="24"/>
        </w:rPr>
        <w:t>thiazidderivater</w:t>
      </w:r>
      <w:proofErr w:type="spellEnd"/>
      <w:r w:rsidRPr="00B130FC">
        <w:rPr>
          <w:rFonts w:ascii="Times New Roman" w:hAnsi="Times New Roman" w:cs="Times New Roman"/>
          <w:sz w:val="24"/>
          <w:szCs w:val="24"/>
        </w:rPr>
        <w:t>.</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r w:rsidRPr="00B130FC">
        <w:rPr>
          <w:rFonts w:ascii="Times New Roman" w:hAnsi="Times New Roman" w:cs="Times New Roman"/>
          <w:i/>
          <w:sz w:val="24"/>
          <w:szCs w:val="24"/>
        </w:rPr>
        <w:t xml:space="preserve">Betablokkere: </w:t>
      </w:r>
      <w:proofErr w:type="spellStart"/>
      <w:r w:rsidRPr="00B130FC">
        <w:rPr>
          <w:rFonts w:ascii="Times New Roman" w:hAnsi="Times New Roman" w:cs="Times New Roman"/>
          <w:sz w:val="24"/>
          <w:szCs w:val="24"/>
        </w:rPr>
        <w:t>Antiflogistika</w:t>
      </w:r>
      <w:proofErr w:type="spellEnd"/>
      <w:r w:rsidRPr="00B130FC">
        <w:rPr>
          <w:rFonts w:ascii="Times New Roman" w:hAnsi="Times New Roman" w:cs="Times New Roman"/>
          <w:sz w:val="24"/>
          <w:szCs w:val="24"/>
        </w:rPr>
        <w:t xml:space="preserve"> af NSAID-typen modvirker betablokkeres </w:t>
      </w:r>
      <w:proofErr w:type="spellStart"/>
      <w:r w:rsidRPr="00B130FC">
        <w:rPr>
          <w:rFonts w:ascii="Times New Roman" w:hAnsi="Times New Roman" w:cs="Times New Roman"/>
          <w:sz w:val="24"/>
          <w:szCs w:val="24"/>
        </w:rPr>
        <w:t>antihypertensive</w:t>
      </w:r>
      <w:proofErr w:type="spellEnd"/>
      <w:r w:rsidRPr="00B130FC">
        <w:rPr>
          <w:rFonts w:ascii="Times New Roman" w:hAnsi="Times New Roman" w:cs="Times New Roman"/>
          <w:sz w:val="24"/>
          <w:szCs w:val="24"/>
        </w:rPr>
        <w:t xml:space="preserve"> virkning. Studier er primært gennemført med </w:t>
      </w:r>
      <w:proofErr w:type="spellStart"/>
      <w:r w:rsidRPr="00B130FC">
        <w:rPr>
          <w:rFonts w:ascii="Times New Roman" w:hAnsi="Times New Roman" w:cs="Times New Roman"/>
          <w:sz w:val="24"/>
          <w:szCs w:val="24"/>
        </w:rPr>
        <w:t>indomethacin</w:t>
      </w:r>
      <w:proofErr w:type="spellEnd"/>
      <w:r w:rsidRPr="00B130FC">
        <w:rPr>
          <w:rFonts w:ascii="Times New Roman" w:hAnsi="Times New Roman" w:cs="Times New Roman"/>
          <w:sz w:val="24"/>
          <w:szCs w:val="24"/>
        </w:rPr>
        <w:t xml:space="preserve">. Denne interaktion forekommer øjensynligt ikke med </w:t>
      </w:r>
      <w:proofErr w:type="spellStart"/>
      <w:r w:rsidRPr="00B130FC">
        <w:rPr>
          <w:rFonts w:ascii="Times New Roman" w:hAnsi="Times New Roman" w:cs="Times New Roman"/>
          <w:sz w:val="24"/>
          <w:szCs w:val="24"/>
        </w:rPr>
        <w:t>sulindac</w:t>
      </w:r>
      <w:proofErr w:type="spellEnd"/>
      <w:r w:rsidRPr="00B130FC">
        <w:rPr>
          <w:rFonts w:ascii="Times New Roman" w:hAnsi="Times New Roman" w:cs="Times New Roman"/>
          <w:sz w:val="24"/>
          <w:szCs w:val="24"/>
        </w:rPr>
        <w:t xml:space="preserve">. I en undersøgelse med </w:t>
      </w:r>
      <w:proofErr w:type="spellStart"/>
      <w:r w:rsidRPr="00B130FC">
        <w:rPr>
          <w:rFonts w:ascii="Times New Roman" w:hAnsi="Times New Roman" w:cs="Times New Roman"/>
          <w:sz w:val="24"/>
          <w:szCs w:val="24"/>
        </w:rPr>
        <w:t>diclofenac</w:t>
      </w:r>
      <w:proofErr w:type="spellEnd"/>
      <w:r w:rsidRPr="00B130FC">
        <w:rPr>
          <w:rFonts w:ascii="Times New Roman" w:hAnsi="Times New Roman" w:cs="Times New Roman"/>
          <w:sz w:val="24"/>
          <w:szCs w:val="24"/>
        </w:rPr>
        <w:t xml:space="preserve"> kunne en sådan interaktion ikke konstateres.</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Methotrexat</w:t>
      </w:r>
      <w:proofErr w:type="spellEnd"/>
      <w:r w:rsidRPr="00B130FC">
        <w:rPr>
          <w:rFonts w:ascii="Times New Roman" w:hAnsi="Times New Roman" w:cs="Times New Roman"/>
          <w:i/>
          <w:sz w:val="24"/>
          <w:szCs w:val="24"/>
        </w:rPr>
        <w:t xml:space="preserve">: </w:t>
      </w:r>
      <w:r w:rsidRPr="00B130FC">
        <w:rPr>
          <w:rFonts w:ascii="Times New Roman" w:hAnsi="Times New Roman" w:cs="Times New Roman"/>
          <w:sz w:val="24"/>
          <w:szCs w:val="24"/>
        </w:rPr>
        <w:t xml:space="preserve">Det er rapporteret, at visse </w:t>
      </w:r>
      <w:proofErr w:type="spellStart"/>
      <w:r w:rsidRPr="00B130FC">
        <w:rPr>
          <w:rFonts w:ascii="Times New Roman" w:hAnsi="Times New Roman" w:cs="Times New Roman"/>
          <w:sz w:val="24"/>
          <w:szCs w:val="24"/>
        </w:rPr>
        <w:t>prostaglandinsyntesehæmmende</w:t>
      </w:r>
      <w:proofErr w:type="spellEnd"/>
      <w:r w:rsidRPr="00B130FC">
        <w:rPr>
          <w:rFonts w:ascii="Times New Roman" w:hAnsi="Times New Roman" w:cs="Times New Roman"/>
          <w:sz w:val="24"/>
          <w:szCs w:val="24"/>
        </w:rPr>
        <w:t xml:space="preserve"> præparater reducerer </w:t>
      </w:r>
      <w:proofErr w:type="spellStart"/>
      <w:r w:rsidRPr="00B130FC">
        <w:rPr>
          <w:rFonts w:ascii="Times New Roman" w:hAnsi="Times New Roman" w:cs="Times New Roman"/>
          <w:sz w:val="24"/>
          <w:szCs w:val="24"/>
        </w:rPr>
        <w:t>methotrexatclearance</w:t>
      </w:r>
      <w:proofErr w:type="spellEnd"/>
      <w:r w:rsidRPr="00B130FC">
        <w:rPr>
          <w:rFonts w:ascii="Times New Roman" w:hAnsi="Times New Roman" w:cs="Times New Roman"/>
          <w:sz w:val="24"/>
          <w:szCs w:val="24"/>
        </w:rPr>
        <w:t xml:space="preserve"> og dermed muligvis øger </w:t>
      </w:r>
      <w:proofErr w:type="spellStart"/>
      <w:r w:rsidRPr="00B130FC">
        <w:rPr>
          <w:rFonts w:ascii="Times New Roman" w:hAnsi="Times New Roman" w:cs="Times New Roman"/>
          <w:sz w:val="24"/>
          <w:szCs w:val="24"/>
        </w:rPr>
        <w:t>methotrexattoksicitet</w:t>
      </w:r>
      <w:proofErr w:type="spellEnd"/>
      <w:r w:rsidRPr="00B130FC">
        <w:rPr>
          <w:rFonts w:ascii="Times New Roman" w:hAnsi="Times New Roman" w:cs="Times New Roman"/>
          <w:sz w:val="24"/>
          <w:szCs w:val="24"/>
        </w:rPr>
        <w:t xml:space="preserve">. Organiske syrer som </w:t>
      </w:r>
      <w:r>
        <w:rPr>
          <w:rFonts w:ascii="Times New Roman" w:hAnsi="Times New Roman" w:cs="Times New Roman"/>
          <w:sz w:val="24"/>
          <w:szCs w:val="24"/>
        </w:rPr>
        <w:t>f.eks.</w:t>
      </w:r>
      <w:r w:rsidRPr="00B130FC">
        <w:rPr>
          <w:rFonts w:ascii="Times New Roman" w:hAnsi="Times New Roman" w:cs="Times New Roman"/>
          <w:sz w:val="24"/>
          <w:szCs w:val="24"/>
        </w:rPr>
        <w:t xml:space="preserve"> NSAID-præparater (også </w:t>
      </w:r>
      <w:proofErr w:type="spellStart"/>
      <w:r w:rsidRPr="00B130FC">
        <w:rPr>
          <w:rFonts w:ascii="Times New Roman" w:hAnsi="Times New Roman" w:cs="Times New Roman"/>
          <w:sz w:val="24"/>
          <w:szCs w:val="24"/>
        </w:rPr>
        <w:t>salicylater</w:t>
      </w:r>
      <w:proofErr w:type="spellEnd"/>
      <w:r w:rsidRPr="00B130FC">
        <w:rPr>
          <w:rFonts w:ascii="Times New Roman" w:hAnsi="Times New Roman" w:cs="Times New Roman"/>
          <w:sz w:val="24"/>
          <w:szCs w:val="24"/>
        </w:rPr>
        <w:t xml:space="preserve">) har vist sig at hæmme den </w:t>
      </w:r>
      <w:proofErr w:type="spellStart"/>
      <w:r w:rsidRPr="00B130FC">
        <w:rPr>
          <w:rFonts w:ascii="Times New Roman" w:hAnsi="Times New Roman" w:cs="Times New Roman"/>
          <w:sz w:val="24"/>
          <w:szCs w:val="24"/>
        </w:rPr>
        <w:t>tubulære</w:t>
      </w:r>
      <w:proofErr w:type="spellEnd"/>
      <w:r w:rsidRPr="00B130FC">
        <w:rPr>
          <w:rFonts w:ascii="Times New Roman" w:hAnsi="Times New Roman" w:cs="Times New Roman"/>
          <w:sz w:val="24"/>
          <w:szCs w:val="24"/>
        </w:rPr>
        <w:t xml:space="preserve"> sekretion af </w:t>
      </w:r>
      <w:proofErr w:type="spellStart"/>
      <w:r w:rsidRPr="00B130FC">
        <w:rPr>
          <w:rFonts w:ascii="Times New Roman" w:hAnsi="Times New Roman" w:cs="Times New Roman"/>
          <w:sz w:val="24"/>
          <w:szCs w:val="24"/>
        </w:rPr>
        <w:t>methotrexat</w:t>
      </w:r>
      <w:proofErr w:type="spellEnd"/>
      <w:r w:rsidRPr="00B130FC">
        <w:rPr>
          <w:rFonts w:ascii="Times New Roman" w:hAnsi="Times New Roman" w:cs="Times New Roman"/>
          <w:sz w:val="24"/>
          <w:szCs w:val="24"/>
        </w:rPr>
        <w:t xml:space="preserve"> i humanfarmakologiske studier og kliniske realistiske dyrestudier. Den </w:t>
      </w:r>
      <w:proofErr w:type="spellStart"/>
      <w:r w:rsidRPr="00B130FC">
        <w:rPr>
          <w:rFonts w:ascii="Times New Roman" w:hAnsi="Times New Roman" w:cs="Times New Roman"/>
          <w:sz w:val="24"/>
          <w:szCs w:val="24"/>
        </w:rPr>
        <w:t>farmakokinetiske</w:t>
      </w:r>
      <w:proofErr w:type="spellEnd"/>
      <w:r w:rsidRPr="00B130FC">
        <w:rPr>
          <w:rFonts w:ascii="Times New Roman" w:hAnsi="Times New Roman" w:cs="Times New Roman"/>
          <w:sz w:val="24"/>
          <w:szCs w:val="24"/>
        </w:rPr>
        <w:t xml:space="preserve"> interaktion er blevet observeret ved både lave og høje </w:t>
      </w:r>
      <w:proofErr w:type="spellStart"/>
      <w:r w:rsidRPr="00B130FC">
        <w:rPr>
          <w:rFonts w:ascii="Times New Roman" w:hAnsi="Times New Roman" w:cs="Times New Roman"/>
          <w:sz w:val="24"/>
          <w:szCs w:val="24"/>
        </w:rPr>
        <w:t>methotrexatdoser</w:t>
      </w:r>
      <w:proofErr w:type="spellEnd"/>
      <w:r w:rsidRPr="00B130FC">
        <w:rPr>
          <w:rFonts w:ascii="Times New Roman" w:hAnsi="Times New Roman" w:cs="Times New Roman"/>
          <w:sz w:val="24"/>
          <w:szCs w:val="24"/>
        </w:rPr>
        <w:t xml:space="preserve"> hos både voksne og børn.  En specifik metabolisk interaktion med deraf følgende reduceret </w:t>
      </w:r>
      <w:proofErr w:type="spellStart"/>
      <w:r w:rsidRPr="00B130FC">
        <w:rPr>
          <w:rFonts w:ascii="Times New Roman" w:hAnsi="Times New Roman" w:cs="Times New Roman"/>
          <w:sz w:val="24"/>
          <w:szCs w:val="24"/>
        </w:rPr>
        <w:t>methotrexatclearance</w:t>
      </w:r>
      <w:proofErr w:type="spellEnd"/>
      <w:r w:rsidRPr="00B130FC">
        <w:rPr>
          <w:rFonts w:ascii="Times New Roman" w:hAnsi="Times New Roman" w:cs="Times New Roman"/>
          <w:sz w:val="24"/>
          <w:szCs w:val="24"/>
        </w:rPr>
        <w:t xml:space="preserve"> kan også forekomme. Der er en klar risiko for, at virkningen af </w:t>
      </w:r>
      <w:proofErr w:type="spellStart"/>
      <w:r w:rsidRPr="00B130FC">
        <w:rPr>
          <w:rFonts w:ascii="Times New Roman" w:hAnsi="Times New Roman" w:cs="Times New Roman"/>
          <w:sz w:val="24"/>
          <w:szCs w:val="24"/>
        </w:rPr>
        <w:t>methotrexat</w:t>
      </w:r>
      <w:proofErr w:type="spellEnd"/>
      <w:r w:rsidRPr="00B130FC">
        <w:rPr>
          <w:rFonts w:ascii="Times New Roman" w:hAnsi="Times New Roman" w:cs="Times New Roman"/>
          <w:sz w:val="24"/>
          <w:szCs w:val="24"/>
        </w:rPr>
        <w:t xml:space="preserve">, særligt ved høje doser, styrkes ved samtidig anvendelse af et NSAID-præparat. Det bemærkes, at denne interaktion ikke er blevet undersøgt for de fleste NSAID-præparater, men en interaktion kan ikke udelukkes. </w:t>
      </w:r>
    </w:p>
    <w:p w:rsidR="006D2694" w:rsidRPr="00B130FC" w:rsidRDefault="006D2694" w:rsidP="006D2694">
      <w:pPr>
        <w:pStyle w:val="Listeafsnit"/>
        <w:spacing w:after="0" w:line="240" w:lineRule="auto"/>
        <w:ind w:left="1276"/>
        <w:rPr>
          <w:rFonts w:ascii="Times New Roman" w:hAnsi="Times New Roman" w:cs="Times New Roman"/>
          <w:sz w:val="24"/>
          <w:szCs w:val="24"/>
        </w:rPr>
      </w:pPr>
      <w:r w:rsidRPr="00B130FC">
        <w:rPr>
          <w:rFonts w:ascii="Times New Roman" w:hAnsi="Times New Roman" w:cs="Times New Roman"/>
          <w:sz w:val="24"/>
          <w:szCs w:val="24"/>
        </w:rPr>
        <w:t xml:space="preserve">Patienter, der behandles med høje doser af </w:t>
      </w:r>
      <w:proofErr w:type="spellStart"/>
      <w:r w:rsidRPr="00B130FC">
        <w:rPr>
          <w:rFonts w:ascii="Times New Roman" w:hAnsi="Times New Roman" w:cs="Times New Roman"/>
          <w:sz w:val="24"/>
          <w:szCs w:val="24"/>
        </w:rPr>
        <w:t>methotrexat</w:t>
      </w:r>
      <w:proofErr w:type="spellEnd"/>
      <w:r w:rsidRPr="00B130FC">
        <w:rPr>
          <w:rFonts w:ascii="Times New Roman" w:hAnsi="Times New Roman" w:cs="Times New Roman"/>
          <w:sz w:val="24"/>
          <w:szCs w:val="24"/>
        </w:rPr>
        <w:t xml:space="preserve">, bør generelt ikke anvende NSAID-præparater samtidig. I enkelte studier har det ikke været muligt at bekræfte en </w:t>
      </w:r>
      <w:proofErr w:type="spellStart"/>
      <w:r w:rsidRPr="00B130FC">
        <w:rPr>
          <w:rFonts w:ascii="Times New Roman" w:hAnsi="Times New Roman" w:cs="Times New Roman"/>
          <w:sz w:val="24"/>
          <w:szCs w:val="24"/>
        </w:rPr>
        <w:t>farmakokinetisk</w:t>
      </w:r>
      <w:proofErr w:type="spellEnd"/>
      <w:r w:rsidRPr="00B130FC">
        <w:rPr>
          <w:rFonts w:ascii="Times New Roman" w:hAnsi="Times New Roman" w:cs="Times New Roman"/>
          <w:sz w:val="24"/>
          <w:szCs w:val="24"/>
        </w:rPr>
        <w:t xml:space="preserve"> interaktion mellem NSAID-præparater (</w:t>
      </w:r>
      <w:proofErr w:type="spellStart"/>
      <w:r w:rsidRPr="00B130FC">
        <w:rPr>
          <w:rFonts w:ascii="Times New Roman" w:hAnsi="Times New Roman" w:cs="Times New Roman"/>
          <w:sz w:val="24"/>
          <w:szCs w:val="24"/>
        </w:rPr>
        <w:t>naproxen</w:t>
      </w:r>
      <w:proofErr w:type="spellEnd"/>
      <w:r w:rsidRPr="00B130FC">
        <w:rPr>
          <w:rFonts w:ascii="Times New Roman" w:hAnsi="Times New Roman" w:cs="Times New Roman"/>
          <w:sz w:val="24"/>
          <w:szCs w:val="24"/>
        </w:rPr>
        <w:t xml:space="preserve">, ibuprofen, </w:t>
      </w:r>
      <w:proofErr w:type="spellStart"/>
      <w:r w:rsidRPr="00B130FC">
        <w:rPr>
          <w:rFonts w:ascii="Times New Roman" w:hAnsi="Times New Roman" w:cs="Times New Roman"/>
          <w:sz w:val="24"/>
          <w:szCs w:val="24"/>
        </w:rPr>
        <w:t>sulindac</w:t>
      </w:r>
      <w:proofErr w:type="spellEnd"/>
      <w:r w:rsidRPr="00B130FC">
        <w:rPr>
          <w:rFonts w:ascii="Times New Roman" w:hAnsi="Times New Roman" w:cs="Times New Roman"/>
          <w:sz w:val="24"/>
          <w:szCs w:val="24"/>
        </w:rPr>
        <w:t xml:space="preserve">) og </w:t>
      </w:r>
      <w:proofErr w:type="spellStart"/>
      <w:r w:rsidRPr="00B130FC">
        <w:rPr>
          <w:rFonts w:ascii="Times New Roman" w:hAnsi="Times New Roman" w:cs="Times New Roman"/>
          <w:sz w:val="24"/>
          <w:szCs w:val="24"/>
        </w:rPr>
        <w:t>lavdosismethotrexat</w:t>
      </w:r>
      <w:proofErr w:type="spellEnd"/>
      <w:r w:rsidRPr="00B130FC">
        <w:rPr>
          <w:rFonts w:ascii="Times New Roman" w:hAnsi="Times New Roman" w:cs="Times New Roman"/>
          <w:sz w:val="24"/>
          <w:szCs w:val="24"/>
        </w:rPr>
        <w:t xml:space="preserve">. I modsætning dertil findes der to studier, som har bekræftet en interaktion, og enkelte rapporter, som viser </w:t>
      </w:r>
      <w:proofErr w:type="spellStart"/>
      <w:r w:rsidRPr="00B130FC">
        <w:rPr>
          <w:rFonts w:ascii="Times New Roman" w:hAnsi="Times New Roman" w:cs="Times New Roman"/>
          <w:sz w:val="24"/>
          <w:szCs w:val="24"/>
        </w:rPr>
        <w:t>potentierede</w:t>
      </w:r>
      <w:proofErr w:type="spellEnd"/>
      <w:r w:rsidRPr="00B130FC">
        <w:rPr>
          <w:rFonts w:ascii="Times New Roman" w:hAnsi="Times New Roman" w:cs="Times New Roman"/>
          <w:sz w:val="24"/>
          <w:szCs w:val="24"/>
        </w:rPr>
        <w:t xml:space="preserve"> virkninger selv for </w:t>
      </w:r>
      <w:proofErr w:type="spellStart"/>
      <w:r w:rsidRPr="00B130FC">
        <w:rPr>
          <w:rFonts w:ascii="Times New Roman" w:hAnsi="Times New Roman" w:cs="Times New Roman"/>
          <w:sz w:val="24"/>
          <w:szCs w:val="24"/>
        </w:rPr>
        <w:t>lavdosismethotrexat</w:t>
      </w:r>
      <w:proofErr w:type="spellEnd"/>
      <w:r w:rsidRPr="00B130FC">
        <w:rPr>
          <w:rFonts w:ascii="Times New Roman" w:hAnsi="Times New Roman" w:cs="Times New Roman"/>
          <w:sz w:val="24"/>
          <w:szCs w:val="24"/>
        </w:rPr>
        <w:t xml:space="preserve"> til behandling af psoriasis og </w:t>
      </w:r>
      <w:proofErr w:type="spellStart"/>
      <w:r w:rsidRPr="00B130FC">
        <w:rPr>
          <w:rFonts w:ascii="Times New Roman" w:hAnsi="Times New Roman" w:cs="Times New Roman"/>
          <w:sz w:val="24"/>
          <w:szCs w:val="24"/>
        </w:rPr>
        <w:t>rheumatoid</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arthrit</w:t>
      </w:r>
      <w:proofErr w:type="spellEnd"/>
      <w:r w:rsidRPr="00B130FC">
        <w:rPr>
          <w:rFonts w:ascii="Times New Roman" w:hAnsi="Times New Roman" w:cs="Times New Roman"/>
          <w:sz w:val="24"/>
          <w:szCs w:val="24"/>
        </w:rPr>
        <w:t xml:space="preserve"> (se nedenfor). Den </w:t>
      </w:r>
      <w:proofErr w:type="spellStart"/>
      <w:r w:rsidRPr="00B130FC">
        <w:rPr>
          <w:rFonts w:ascii="Times New Roman" w:hAnsi="Times New Roman" w:cs="Times New Roman"/>
          <w:sz w:val="24"/>
          <w:szCs w:val="24"/>
        </w:rPr>
        <w:t>potentierede</w:t>
      </w:r>
      <w:proofErr w:type="spellEnd"/>
      <w:r w:rsidRPr="00B130FC">
        <w:rPr>
          <w:rFonts w:ascii="Times New Roman" w:hAnsi="Times New Roman" w:cs="Times New Roman"/>
          <w:sz w:val="24"/>
          <w:szCs w:val="24"/>
        </w:rPr>
        <w:t xml:space="preserve"> virkning viste sig til dels som knoglemarvstoksicitet, til dels som </w:t>
      </w:r>
      <w:proofErr w:type="spellStart"/>
      <w:r w:rsidRPr="00B130FC">
        <w:rPr>
          <w:rFonts w:ascii="Times New Roman" w:hAnsi="Times New Roman" w:cs="Times New Roman"/>
          <w:sz w:val="24"/>
          <w:szCs w:val="24"/>
        </w:rPr>
        <w:t>hudulceration</w:t>
      </w:r>
      <w:proofErr w:type="spellEnd"/>
      <w:r w:rsidRPr="00B130FC">
        <w:rPr>
          <w:rFonts w:ascii="Times New Roman" w:hAnsi="Times New Roman" w:cs="Times New Roman"/>
          <w:sz w:val="24"/>
          <w:szCs w:val="24"/>
        </w:rPr>
        <w:t xml:space="preserve"> i forbindelse med psoriasis og til dels som </w:t>
      </w:r>
      <w:proofErr w:type="spellStart"/>
      <w:r w:rsidRPr="00B130FC">
        <w:rPr>
          <w:rFonts w:ascii="Times New Roman" w:hAnsi="Times New Roman" w:cs="Times New Roman"/>
          <w:sz w:val="24"/>
          <w:szCs w:val="24"/>
        </w:rPr>
        <w:t>nefrotoksicitet</w:t>
      </w:r>
      <w:proofErr w:type="spellEnd"/>
      <w:r w:rsidRPr="00B130FC">
        <w:rPr>
          <w:rFonts w:ascii="Times New Roman" w:hAnsi="Times New Roman" w:cs="Times New Roman"/>
          <w:sz w:val="24"/>
          <w:szCs w:val="24"/>
        </w:rPr>
        <w:t xml:space="preserve">, muligvis efter </w:t>
      </w:r>
      <w:r w:rsidRPr="00B130FC">
        <w:rPr>
          <w:rFonts w:ascii="Times New Roman" w:hAnsi="Times New Roman" w:cs="Times New Roman"/>
          <w:sz w:val="24"/>
          <w:szCs w:val="24"/>
        </w:rPr>
        <w:lastRenderedPageBreak/>
        <w:t xml:space="preserve">hæmmet </w:t>
      </w:r>
      <w:proofErr w:type="spellStart"/>
      <w:r w:rsidRPr="00B130FC">
        <w:rPr>
          <w:rFonts w:ascii="Times New Roman" w:hAnsi="Times New Roman" w:cs="Times New Roman"/>
          <w:sz w:val="24"/>
          <w:szCs w:val="24"/>
        </w:rPr>
        <w:t>prostaglandinsyntese</w:t>
      </w:r>
      <w:proofErr w:type="spellEnd"/>
      <w:r w:rsidRPr="00B130FC">
        <w:rPr>
          <w:rFonts w:ascii="Times New Roman" w:hAnsi="Times New Roman" w:cs="Times New Roman"/>
          <w:sz w:val="24"/>
          <w:szCs w:val="24"/>
        </w:rPr>
        <w:t xml:space="preserve"> i nyrerne. </w:t>
      </w:r>
      <w:proofErr w:type="spellStart"/>
      <w:r w:rsidRPr="00B130FC">
        <w:rPr>
          <w:rFonts w:ascii="Times New Roman" w:hAnsi="Times New Roman" w:cs="Times New Roman"/>
          <w:sz w:val="24"/>
          <w:szCs w:val="24"/>
        </w:rPr>
        <w:t>Interindividuel</w:t>
      </w:r>
      <w:proofErr w:type="spellEnd"/>
      <w:r w:rsidRPr="00B130FC">
        <w:rPr>
          <w:rFonts w:ascii="Times New Roman" w:hAnsi="Times New Roman" w:cs="Times New Roman"/>
          <w:sz w:val="24"/>
          <w:szCs w:val="24"/>
        </w:rPr>
        <w:t xml:space="preserve"> variabilitet i modtageligheden for interaktion kan med sandsynlighed forklare den noget kontroversielle litteratur. En mulig interaktion mellem NSAID-præparater og </w:t>
      </w:r>
      <w:proofErr w:type="spellStart"/>
      <w:r w:rsidRPr="00B130FC">
        <w:rPr>
          <w:rFonts w:ascii="Times New Roman" w:hAnsi="Times New Roman" w:cs="Times New Roman"/>
          <w:sz w:val="24"/>
          <w:szCs w:val="24"/>
        </w:rPr>
        <w:t>methotrexat</w:t>
      </w:r>
      <w:proofErr w:type="spellEnd"/>
      <w:r w:rsidRPr="00B130FC">
        <w:rPr>
          <w:rFonts w:ascii="Times New Roman" w:hAnsi="Times New Roman" w:cs="Times New Roman"/>
          <w:sz w:val="24"/>
          <w:szCs w:val="24"/>
        </w:rPr>
        <w:t xml:space="preserve"> skal derfor også tages i betragtning ved lavdosisbehandling med </w:t>
      </w:r>
      <w:proofErr w:type="spellStart"/>
      <w:r w:rsidRPr="00B130FC">
        <w:rPr>
          <w:rFonts w:ascii="Times New Roman" w:hAnsi="Times New Roman" w:cs="Times New Roman"/>
          <w:sz w:val="24"/>
          <w:szCs w:val="24"/>
        </w:rPr>
        <w:t>methotrexat</w:t>
      </w:r>
      <w:proofErr w:type="spellEnd"/>
      <w:r w:rsidRPr="00B130FC">
        <w:rPr>
          <w:rFonts w:ascii="Times New Roman" w:hAnsi="Times New Roman" w:cs="Times New Roman"/>
          <w:sz w:val="24"/>
          <w:szCs w:val="24"/>
        </w:rPr>
        <w:t>. Patienter med svækket nyrefunktion udgør muligvis en risikogruppe for denne interaktion. Der er også mulige forskelle med hensyn til interaktionspotentialet mellem forskellige NSAID-præparater, men der er ikke offentliggjort nogen komparative studier. Ved kombinationsbehandling bør nyrefunktionen overvåges.</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Ciclosporin</w:t>
      </w:r>
      <w:proofErr w:type="spellEnd"/>
      <w:r w:rsidRPr="00B130FC">
        <w:rPr>
          <w:rFonts w:ascii="Times New Roman" w:hAnsi="Times New Roman" w:cs="Times New Roman"/>
          <w:i/>
          <w:sz w:val="24"/>
          <w:szCs w:val="24"/>
        </w:rPr>
        <w:t xml:space="preserve">: </w:t>
      </w:r>
      <w:r w:rsidRPr="00B130FC">
        <w:rPr>
          <w:rFonts w:ascii="Times New Roman" w:hAnsi="Times New Roman" w:cs="Times New Roman"/>
          <w:sz w:val="24"/>
          <w:szCs w:val="24"/>
        </w:rPr>
        <w:t xml:space="preserve">NSAID-præparater, der gives samtidig med </w:t>
      </w:r>
      <w:proofErr w:type="spellStart"/>
      <w:r w:rsidRPr="00B130FC">
        <w:rPr>
          <w:rFonts w:ascii="Times New Roman" w:hAnsi="Times New Roman" w:cs="Times New Roman"/>
          <w:sz w:val="24"/>
          <w:szCs w:val="24"/>
        </w:rPr>
        <w:t>ciclosporin</w:t>
      </w:r>
      <w:proofErr w:type="spellEnd"/>
      <w:r w:rsidRPr="00B130FC">
        <w:rPr>
          <w:rFonts w:ascii="Times New Roman" w:hAnsi="Times New Roman" w:cs="Times New Roman"/>
          <w:sz w:val="24"/>
          <w:szCs w:val="24"/>
        </w:rPr>
        <w:t xml:space="preserve">, vurderes at øge risikoen for </w:t>
      </w:r>
      <w:proofErr w:type="spellStart"/>
      <w:r w:rsidRPr="00B130FC">
        <w:rPr>
          <w:rFonts w:ascii="Times New Roman" w:hAnsi="Times New Roman" w:cs="Times New Roman"/>
          <w:sz w:val="24"/>
          <w:szCs w:val="24"/>
        </w:rPr>
        <w:t>nefrotoksicitet</w:t>
      </w:r>
      <w:proofErr w:type="spellEnd"/>
      <w:r w:rsidRPr="00B130FC">
        <w:rPr>
          <w:rFonts w:ascii="Times New Roman" w:hAnsi="Times New Roman" w:cs="Times New Roman"/>
          <w:sz w:val="24"/>
          <w:szCs w:val="24"/>
        </w:rPr>
        <w:t xml:space="preserve"> som følge af den nedsatte </w:t>
      </w:r>
      <w:proofErr w:type="spellStart"/>
      <w:r w:rsidRPr="00B130FC">
        <w:rPr>
          <w:rFonts w:ascii="Times New Roman" w:hAnsi="Times New Roman" w:cs="Times New Roman"/>
          <w:sz w:val="24"/>
          <w:szCs w:val="24"/>
        </w:rPr>
        <w:t>renale</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prostacyclinsyntese</w:t>
      </w:r>
      <w:proofErr w:type="spellEnd"/>
      <w:r w:rsidRPr="00B130FC">
        <w:rPr>
          <w:rFonts w:ascii="Times New Roman" w:hAnsi="Times New Roman" w:cs="Times New Roman"/>
          <w:sz w:val="24"/>
          <w:szCs w:val="24"/>
        </w:rPr>
        <w:t>. Ved kombinationsbehandling bør nyrefunktionen overvåges nøje.</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Lithium</w:t>
      </w:r>
      <w:proofErr w:type="spellEnd"/>
      <w:r w:rsidRPr="00B130FC">
        <w:rPr>
          <w:rFonts w:ascii="Times New Roman" w:hAnsi="Times New Roman" w:cs="Times New Roman"/>
          <w:i/>
          <w:sz w:val="24"/>
          <w:szCs w:val="24"/>
        </w:rPr>
        <w:t xml:space="preserve">: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reducerer den </w:t>
      </w:r>
      <w:proofErr w:type="spellStart"/>
      <w:r w:rsidRPr="00B130FC">
        <w:rPr>
          <w:rFonts w:ascii="Times New Roman" w:hAnsi="Times New Roman" w:cs="Times New Roman"/>
          <w:sz w:val="24"/>
          <w:szCs w:val="24"/>
        </w:rPr>
        <w:t>renale</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lithiumclearance</w:t>
      </w:r>
      <w:proofErr w:type="spellEnd"/>
      <w:r w:rsidRPr="00B130FC">
        <w:rPr>
          <w:rFonts w:ascii="Times New Roman" w:hAnsi="Times New Roman" w:cs="Times New Roman"/>
          <w:sz w:val="24"/>
          <w:szCs w:val="24"/>
        </w:rPr>
        <w:t xml:space="preserve">, og tilfælde med forhøjede </w:t>
      </w:r>
      <w:proofErr w:type="spellStart"/>
      <w:r w:rsidRPr="00B130FC">
        <w:rPr>
          <w:rFonts w:ascii="Times New Roman" w:hAnsi="Times New Roman" w:cs="Times New Roman"/>
          <w:sz w:val="24"/>
          <w:szCs w:val="24"/>
        </w:rPr>
        <w:t>lithiumkoncentrationer</w:t>
      </w:r>
      <w:proofErr w:type="spellEnd"/>
      <w:r w:rsidRPr="00B130FC">
        <w:rPr>
          <w:rFonts w:ascii="Times New Roman" w:hAnsi="Times New Roman" w:cs="Times New Roman"/>
          <w:sz w:val="24"/>
          <w:szCs w:val="24"/>
        </w:rPr>
        <w:t xml:space="preserve"> i plasma er rapporteret i forbindelse med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-behandling. Kombinationen bør undgås, hvis hyppig </w:t>
      </w:r>
      <w:proofErr w:type="spellStart"/>
      <w:r w:rsidRPr="00B130FC">
        <w:rPr>
          <w:rFonts w:ascii="Times New Roman" w:hAnsi="Times New Roman" w:cs="Times New Roman"/>
          <w:sz w:val="24"/>
          <w:szCs w:val="24"/>
        </w:rPr>
        <w:t>serumlithiumovervågning</w:t>
      </w:r>
      <w:proofErr w:type="spellEnd"/>
      <w:r w:rsidRPr="00B130FC">
        <w:rPr>
          <w:rFonts w:ascii="Times New Roman" w:hAnsi="Times New Roman" w:cs="Times New Roman"/>
          <w:sz w:val="24"/>
          <w:szCs w:val="24"/>
        </w:rPr>
        <w:t xml:space="preserve"> ikke er mulig med henblik på at kontrollere dosis.</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r w:rsidRPr="00B130FC">
        <w:rPr>
          <w:rFonts w:ascii="Times New Roman" w:hAnsi="Times New Roman" w:cs="Times New Roman"/>
          <w:i/>
          <w:sz w:val="24"/>
          <w:szCs w:val="24"/>
        </w:rPr>
        <w:t>ACE-</w:t>
      </w:r>
      <w:proofErr w:type="spellStart"/>
      <w:r w:rsidRPr="00B130FC">
        <w:rPr>
          <w:rFonts w:ascii="Times New Roman" w:hAnsi="Times New Roman" w:cs="Times New Roman"/>
          <w:i/>
          <w:sz w:val="24"/>
          <w:szCs w:val="24"/>
        </w:rPr>
        <w:t>hæmmere</w:t>
      </w:r>
      <w:proofErr w:type="spellEnd"/>
      <w:r w:rsidRPr="00B130FC">
        <w:rPr>
          <w:rFonts w:ascii="Times New Roman" w:hAnsi="Times New Roman" w:cs="Times New Roman"/>
          <w:i/>
          <w:sz w:val="24"/>
          <w:szCs w:val="24"/>
        </w:rPr>
        <w:t xml:space="preserve"> og </w:t>
      </w:r>
      <w:proofErr w:type="spellStart"/>
      <w:r w:rsidRPr="00B130FC">
        <w:rPr>
          <w:rFonts w:ascii="Times New Roman" w:hAnsi="Times New Roman" w:cs="Times New Roman"/>
          <w:i/>
          <w:sz w:val="24"/>
          <w:szCs w:val="24"/>
        </w:rPr>
        <w:t>angiotensin</w:t>
      </w:r>
      <w:proofErr w:type="spellEnd"/>
      <w:r w:rsidRPr="00B130FC">
        <w:rPr>
          <w:rFonts w:ascii="Times New Roman" w:hAnsi="Times New Roman" w:cs="Times New Roman"/>
          <w:i/>
          <w:sz w:val="24"/>
          <w:szCs w:val="24"/>
        </w:rPr>
        <w:t xml:space="preserve"> II-</w:t>
      </w:r>
      <w:proofErr w:type="spellStart"/>
      <w:r w:rsidRPr="00B130FC">
        <w:rPr>
          <w:rFonts w:ascii="Times New Roman" w:hAnsi="Times New Roman" w:cs="Times New Roman"/>
          <w:i/>
          <w:sz w:val="24"/>
          <w:szCs w:val="24"/>
        </w:rPr>
        <w:t>receptorhæmmere</w:t>
      </w:r>
      <w:proofErr w:type="spellEnd"/>
      <w:r w:rsidRPr="00B130FC">
        <w:rPr>
          <w:rFonts w:ascii="Times New Roman" w:hAnsi="Times New Roman" w:cs="Times New Roman"/>
          <w:i/>
          <w:sz w:val="24"/>
          <w:szCs w:val="24"/>
        </w:rPr>
        <w:t xml:space="preserve">: </w:t>
      </w:r>
      <w:r w:rsidRPr="00B130FC">
        <w:rPr>
          <w:rFonts w:ascii="Times New Roman" w:hAnsi="Times New Roman" w:cs="Times New Roman"/>
          <w:sz w:val="24"/>
          <w:szCs w:val="24"/>
        </w:rPr>
        <w:t>Samtidig behandling med NSAID-præparater og ACE-</w:t>
      </w:r>
      <w:proofErr w:type="spellStart"/>
      <w:r w:rsidRPr="00B130FC">
        <w:rPr>
          <w:rFonts w:ascii="Times New Roman" w:hAnsi="Times New Roman" w:cs="Times New Roman"/>
          <w:sz w:val="24"/>
          <w:szCs w:val="24"/>
        </w:rPr>
        <w:t>hæmmere</w:t>
      </w:r>
      <w:proofErr w:type="spellEnd"/>
      <w:r w:rsidRPr="00B130FC">
        <w:rPr>
          <w:rFonts w:ascii="Times New Roman" w:hAnsi="Times New Roman" w:cs="Times New Roman"/>
          <w:sz w:val="24"/>
          <w:szCs w:val="24"/>
        </w:rPr>
        <w:t xml:space="preserve"> og/eller </w:t>
      </w:r>
      <w:proofErr w:type="spellStart"/>
      <w:r w:rsidRPr="00B130FC">
        <w:rPr>
          <w:rFonts w:ascii="Times New Roman" w:hAnsi="Times New Roman" w:cs="Times New Roman"/>
          <w:sz w:val="24"/>
          <w:szCs w:val="24"/>
        </w:rPr>
        <w:t>angiotensin</w:t>
      </w:r>
      <w:proofErr w:type="spellEnd"/>
      <w:r w:rsidRPr="00B130FC">
        <w:rPr>
          <w:rFonts w:ascii="Times New Roman" w:hAnsi="Times New Roman" w:cs="Times New Roman"/>
          <w:sz w:val="24"/>
          <w:szCs w:val="24"/>
        </w:rPr>
        <w:t xml:space="preserve"> II-</w:t>
      </w:r>
      <w:proofErr w:type="spellStart"/>
      <w:r w:rsidRPr="00B130FC">
        <w:rPr>
          <w:rFonts w:ascii="Times New Roman" w:hAnsi="Times New Roman" w:cs="Times New Roman"/>
          <w:sz w:val="24"/>
          <w:szCs w:val="24"/>
        </w:rPr>
        <w:t>receptorhæmmere</w:t>
      </w:r>
      <w:proofErr w:type="spellEnd"/>
      <w:r w:rsidRPr="00B130FC">
        <w:rPr>
          <w:rFonts w:ascii="Times New Roman" w:hAnsi="Times New Roman" w:cs="Times New Roman"/>
          <w:sz w:val="24"/>
          <w:szCs w:val="24"/>
        </w:rPr>
        <w:t xml:space="preserve"> kan øge risikoen for akut nyresvigt. Den </w:t>
      </w:r>
      <w:proofErr w:type="spellStart"/>
      <w:r w:rsidRPr="00B130FC">
        <w:rPr>
          <w:rFonts w:ascii="Times New Roman" w:hAnsi="Times New Roman" w:cs="Times New Roman"/>
          <w:sz w:val="24"/>
          <w:szCs w:val="24"/>
        </w:rPr>
        <w:t>antihypertensive</w:t>
      </w:r>
      <w:proofErr w:type="spellEnd"/>
      <w:r w:rsidRPr="00B130FC">
        <w:rPr>
          <w:rFonts w:ascii="Times New Roman" w:hAnsi="Times New Roman" w:cs="Times New Roman"/>
          <w:sz w:val="24"/>
          <w:szCs w:val="24"/>
        </w:rPr>
        <w:t xml:space="preserve"> virkning af ACE-</w:t>
      </w:r>
      <w:proofErr w:type="spellStart"/>
      <w:r w:rsidRPr="00B130FC">
        <w:rPr>
          <w:rFonts w:ascii="Times New Roman" w:hAnsi="Times New Roman" w:cs="Times New Roman"/>
          <w:sz w:val="24"/>
          <w:szCs w:val="24"/>
        </w:rPr>
        <w:t>hæmmere</w:t>
      </w:r>
      <w:proofErr w:type="spellEnd"/>
      <w:r w:rsidRPr="00B130FC">
        <w:rPr>
          <w:rFonts w:ascii="Times New Roman" w:hAnsi="Times New Roman" w:cs="Times New Roman"/>
          <w:sz w:val="24"/>
          <w:szCs w:val="24"/>
        </w:rPr>
        <w:t xml:space="preserve"> og/eller </w:t>
      </w:r>
      <w:proofErr w:type="spellStart"/>
      <w:r w:rsidRPr="00B130FC">
        <w:rPr>
          <w:rFonts w:ascii="Times New Roman" w:hAnsi="Times New Roman" w:cs="Times New Roman"/>
          <w:sz w:val="24"/>
          <w:szCs w:val="24"/>
        </w:rPr>
        <w:t>angiotensin</w:t>
      </w:r>
      <w:proofErr w:type="spellEnd"/>
      <w:r w:rsidRPr="00B130FC">
        <w:rPr>
          <w:rFonts w:ascii="Times New Roman" w:hAnsi="Times New Roman" w:cs="Times New Roman"/>
          <w:sz w:val="24"/>
          <w:szCs w:val="24"/>
        </w:rPr>
        <w:t xml:space="preserve"> II-</w:t>
      </w:r>
      <w:proofErr w:type="spellStart"/>
      <w:r w:rsidRPr="00B130FC">
        <w:rPr>
          <w:rFonts w:ascii="Times New Roman" w:hAnsi="Times New Roman" w:cs="Times New Roman"/>
          <w:sz w:val="24"/>
          <w:szCs w:val="24"/>
        </w:rPr>
        <w:t>receptorhæmmere</w:t>
      </w:r>
      <w:proofErr w:type="spellEnd"/>
      <w:r w:rsidRPr="00B130FC">
        <w:rPr>
          <w:rFonts w:ascii="Times New Roman" w:hAnsi="Times New Roman" w:cs="Times New Roman"/>
          <w:sz w:val="24"/>
          <w:szCs w:val="24"/>
        </w:rPr>
        <w:t xml:space="preserve"> reduceres også i nogle tilfælde. Kombinationen skal anvendes med forsigtighed, specielt hos ældre patienter. Patienterne skal være adækvat titrerede og det skal overvejes at monitorere nyrefunktionen efter initieringen af kombinationsbehandlingen og periodisk derefter.</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Oxpentoxifyllin</w:t>
      </w:r>
      <w:proofErr w:type="spellEnd"/>
      <w:r w:rsidRPr="00B130FC">
        <w:rPr>
          <w:rFonts w:ascii="Times New Roman" w:hAnsi="Times New Roman" w:cs="Times New Roman"/>
          <w:i/>
          <w:sz w:val="24"/>
          <w:szCs w:val="24"/>
        </w:rPr>
        <w:t xml:space="preserve">: </w:t>
      </w:r>
      <w:r w:rsidRPr="00B130FC">
        <w:rPr>
          <w:rFonts w:ascii="Times New Roman" w:hAnsi="Times New Roman" w:cs="Times New Roman"/>
          <w:sz w:val="24"/>
          <w:szCs w:val="24"/>
        </w:rPr>
        <w:t xml:space="preserve">Samtidig anvendelse af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og </w:t>
      </w:r>
      <w:proofErr w:type="spellStart"/>
      <w:r w:rsidRPr="00B130FC">
        <w:rPr>
          <w:rFonts w:ascii="Times New Roman" w:hAnsi="Times New Roman" w:cs="Times New Roman"/>
          <w:sz w:val="24"/>
          <w:szCs w:val="24"/>
        </w:rPr>
        <w:t>oxpentoxifyllin</w:t>
      </w:r>
      <w:proofErr w:type="spellEnd"/>
      <w:r w:rsidRPr="00B130FC">
        <w:rPr>
          <w:rFonts w:ascii="Times New Roman" w:hAnsi="Times New Roman" w:cs="Times New Roman"/>
          <w:sz w:val="24"/>
          <w:szCs w:val="24"/>
        </w:rPr>
        <w:t xml:space="preserve"> kan forårsage øget risiko for blødning.</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Probenecid</w:t>
      </w:r>
      <w:proofErr w:type="spellEnd"/>
      <w:r w:rsidRPr="00B130FC">
        <w:rPr>
          <w:rFonts w:ascii="Times New Roman" w:hAnsi="Times New Roman" w:cs="Times New Roman"/>
          <w:i/>
          <w:sz w:val="24"/>
          <w:szCs w:val="24"/>
        </w:rPr>
        <w:t xml:space="preserve">: </w:t>
      </w:r>
      <w:proofErr w:type="spellStart"/>
      <w:r w:rsidRPr="00B130FC">
        <w:rPr>
          <w:rFonts w:ascii="Times New Roman" w:hAnsi="Times New Roman" w:cs="Times New Roman"/>
          <w:sz w:val="24"/>
          <w:szCs w:val="24"/>
        </w:rPr>
        <w:t>Probenecid</w:t>
      </w:r>
      <w:proofErr w:type="spellEnd"/>
      <w:r w:rsidRPr="00B130FC">
        <w:rPr>
          <w:rFonts w:ascii="Times New Roman" w:hAnsi="Times New Roman" w:cs="Times New Roman"/>
          <w:sz w:val="24"/>
          <w:szCs w:val="24"/>
        </w:rPr>
        <w:t xml:space="preserve"> nedsætter fordelingsvolumen og </w:t>
      </w:r>
      <w:proofErr w:type="spellStart"/>
      <w:r w:rsidRPr="00B130FC">
        <w:rPr>
          <w:rFonts w:ascii="Times New Roman" w:hAnsi="Times New Roman" w:cs="Times New Roman"/>
          <w:sz w:val="24"/>
          <w:szCs w:val="24"/>
        </w:rPr>
        <w:t>clearance</w:t>
      </w:r>
      <w:proofErr w:type="spellEnd"/>
      <w:r w:rsidRPr="00B130FC">
        <w:rPr>
          <w:rFonts w:ascii="Times New Roman" w:hAnsi="Times New Roman" w:cs="Times New Roman"/>
          <w:sz w:val="24"/>
          <w:szCs w:val="24"/>
        </w:rPr>
        <w:t xml:space="preserve"> af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med deraf følgende forøget koncentration i plasma og halveringstid.</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Ethanol</w:t>
      </w:r>
      <w:proofErr w:type="spellEnd"/>
      <w:r w:rsidRPr="00B130FC">
        <w:rPr>
          <w:rFonts w:ascii="Times New Roman" w:hAnsi="Times New Roman" w:cs="Times New Roman"/>
          <w:i/>
          <w:sz w:val="24"/>
          <w:szCs w:val="24"/>
        </w:rPr>
        <w:t xml:space="preserve">: </w:t>
      </w:r>
      <w:r w:rsidRPr="00B130FC">
        <w:rPr>
          <w:rFonts w:ascii="Times New Roman" w:hAnsi="Times New Roman" w:cs="Times New Roman"/>
          <w:sz w:val="24"/>
          <w:szCs w:val="24"/>
        </w:rPr>
        <w:t xml:space="preserve">Samtidig anvendelse af </w:t>
      </w:r>
      <w:proofErr w:type="spellStart"/>
      <w:r w:rsidRPr="00B130FC">
        <w:rPr>
          <w:rFonts w:ascii="Times New Roman" w:hAnsi="Times New Roman" w:cs="Times New Roman"/>
          <w:sz w:val="24"/>
          <w:szCs w:val="24"/>
        </w:rPr>
        <w:t>ethanol</w:t>
      </w:r>
      <w:proofErr w:type="spellEnd"/>
      <w:r w:rsidRPr="00B130FC">
        <w:rPr>
          <w:rFonts w:ascii="Times New Roman" w:hAnsi="Times New Roman" w:cs="Times New Roman"/>
          <w:sz w:val="24"/>
          <w:szCs w:val="24"/>
        </w:rPr>
        <w:t xml:space="preserve"> og NSAID-præparater øger risikoen for blødning.</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SSRI'er</w:t>
      </w:r>
      <w:proofErr w:type="spellEnd"/>
      <w:r w:rsidRPr="00B130FC">
        <w:rPr>
          <w:rFonts w:ascii="Times New Roman" w:hAnsi="Times New Roman" w:cs="Times New Roman"/>
          <w:sz w:val="24"/>
          <w:szCs w:val="24"/>
        </w:rPr>
        <w:t xml:space="preserve">: Der er en øget risiko for </w:t>
      </w:r>
      <w:proofErr w:type="spellStart"/>
      <w:r w:rsidRPr="00B130FC">
        <w:rPr>
          <w:rFonts w:ascii="Times New Roman" w:hAnsi="Times New Roman" w:cs="Times New Roman"/>
          <w:sz w:val="24"/>
          <w:szCs w:val="24"/>
        </w:rPr>
        <w:t>gastrointestinal</w:t>
      </w:r>
      <w:proofErr w:type="spellEnd"/>
      <w:r w:rsidRPr="00B130FC">
        <w:rPr>
          <w:rFonts w:ascii="Times New Roman" w:hAnsi="Times New Roman" w:cs="Times New Roman"/>
          <w:sz w:val="24"/>
          <w:szCs w:val="24"/>
        </w:rPr>
        <w:t xml:space="preserve"> blødning ved samtidig behandling med selektive </w:t>
      </w:r>
      <w:proofErr w:type="spellStart"/>
      <w:r w:rsidRPr="00B130FC">
        <w:rPr>
          <w:rFonts w:ascii="Times New Roman" w:hAnsi="Times New Roman" w:cs="Times New Roman"/>
          <w:sz w:val="24"/>
          <w:szCs w:val="24"/>
        </w:rPr>
        <w:t>serotoningenoptagshæmmere</w:t>
      </w:r>
      <w:proofErr w:type="spellEnd"/>
      <w:r w:rsidRPr="00B130FC">
        <w:rPr>
          <w:rFonts w:ascii="Times New Roman" w:hAnsi="Times New Roman" w:cs="Times New Roman"/>
          <w:sz w:val="24"/>
          <w:szCs w:val="24"/>
        </w:rPr>
        <w:t xml:space="preserve"> og NSAID-præparater (se pkt. 4.4).</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r w:rsidRPr="00B130FC">
        <w:rPr>
          <w:rFonts w:ascii="Times New Roman" w:hAnsi="Times New Roman" w:cs="Times New Roman"/>
          <w:i/>
          <w:sz w:val="24"/>
          <w:szCs w:val="24"/>
        </w:rPr>
        <w:t xml:space="preserve">Andre NSAID-præparater: </w:t>
      </w:r>
      <w:r w:rsidRPr="00B130FC">
        <w:rPr>
          <w:rFonts w:ascii="Times New Roman" w:hAnsi="Times New Roman" w:cs="Times New Roman"/>
          <w:sz w:val="24"/>
          <w:szCs w:val="24"/>
        </w:rPr>
        <w:t xml:space="preserve">Samtidig anvendelse af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og andre midler, som hæmmer </w:t>
      </w:r>
      <w:proofErr w:type="spellStart"/>
      <w:r w:rsidRPr="00B130FC">
        <w:rPr>
          <w:rFonts w:ascii="Times New Roman" w:hAnsi="Times New Roman" w:cs="Times New Roman"/>
          <w:sz w:val="24"/>
          <w:szCs w:val="24"/>
        </w:rPr>
        <w:t>trombosytfunktionen</w:t>
      </w:r>
      <w:proofErr w:type="spellEnd"/>
      <w:r w:rsidRPr="00B130FC">
        <w:rPr>
          <w:rFonts w:ascii="Times New Roman" w:hAnsi="Times New Roman" w:cs="Times New Roman"/>
          <w:sz w:val="24"/>
          <w:szCs w:val="24"/>
        </w:rPr>
        <w:t xml:space="preserve">, </w:t>
      </w:r>
      <w:r>
        <w:rPr>
          <w:rFonts w:ascii="Times New Roman" w:hAnsi="Times New Roman" w:cs="Times New Roman"/>
          <w:sz w:val="24"/>
          <w:szCs w:val="24"/>
        </w:rPr>
        <w:t>f.eks.</w:t>
      </w:r>
      <w:r w:rsidRPr="00B130FC">
        <w:rPr>
          <w:rFonts w:ascii="Times New Roman" w:hAnsi="Times New Roman" w:cs="Times New Roman"/>
          <w:sz w:val="24"/>
          <w:szCs w:val="24"/>
        </w:rPr>
        <w:t xml:space="preserve"> acetylsalicylsyre (ASA), og/eller andre NSAID-præparater anbefales ikke som følge af den øgede risiko for </w:t>
      </w:r>
      <w:proofErr w:type="spellStart"/>
      <w:r w:rsidRPr="00B130FC">
        <w:rPr>
          <w:rFonts w:ascii="Times New Roman" w:hAnsi="Times New Roman" w:cs="Times New Roman"/>
          <w:sz w:val="24"/>
          <w:szCs w:val="24"/>
        </w:rPr>
        <w:t>gastrointestinale</w:t>
      </w:r>
      <w:proofErr w:type="spellEnd"/>
      <w:r w:rsidRPr="00B130FC">
        <w:rPr>
          <w:rFonts w:ascii="Times New Roman" w:hAnsi="Times New Roman" w:cs="Times New Roman"/>
          <w:sz w:val="24"/>
          <w:szCs w:val="24"/>
        </w:rPr>
        <w:t xml:space="preserve"> bivirkninger (se pkt. 4.4).</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Kortikosteroider</w:t>
      </w:r>
      <w:proofErr w:type="spellEnd"/>
      <w:r w:rsidRPr="00B130FC">
        <w:rPr>
          <w:rFonts w:ascii="Times New Roman" w:hAnsi="Times New Roman" w:cs="Times New Roman"/>
          <w:sz w:val="24"/>
          <w:szCs w:val="24"/>
        </w:rPr>
        <w:t xml:space="preserve">: Der er en øget risiko for </w:t>
      </w:r>
      <w:proofErr w:type="spellStart"/>
      <w:r w:rsidRPr="00B130FC">
        <w:rPr>
          <w:rFonts w:ascii="Times New Roman" w:hAnsi="Times New Roman" w:cs="Times New Roman"/>
          <w:sz w:val="24"/>
          <w:szCs w:val="24"/>
        </w:rPr>
        <w:t>gastrointestinal</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ulceration</w:t>
      </w:r>
      <w:proofErr w:type="spellEnd"/>
      <w:r w:rsidRPr="00B130FC">
        <w:rPr>
          <w:rFonts w:ascii="Times New Roman" w:hAnsi="Times New Roman" w:cs="Times New Roman"/>
          <w:sz w:val="24"/>
          <w:szCs w:val="24"/>
        </w:rPr>
        <w:t xml:space="preserve"> eller blødning ved samtidig behandling med </w:t>
      </w:r>
      <w:proofErr w:type="spellStart"/>
      <w:r w:rsidRPr="00B130FC">
        <w:rPr>
          <w:rFonts w:ascii="Times New Roman" w:hAnsi="Times New Roman" w:cs="Times New Roman"/>
          <w:sz w:val="24"/>
          <w:szCs w:val="24"/>
        </w:rPr>
        <w:t>kortikosteroider</w:t>
      </w:r>
      <w:proofErr w:type="spellEnd"/>
      <w:r w:rsidRPr="00B130FC">
        <w:rPr>
          <w:rFonts w:ascii="Times New Roman" w:hAnsi="Times New Roman" w:cs="Times New Roman"/>
          <w:sz w:val="24"/>
          <w:szCs w:val="24"/>
        </w:rPr>
        <w:t xml:space="preserve"> og NSAID-præparater (se pkt. 4.4).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hæmmer </w:t>
      </w:r>
      <w:proofErr w:type="spellStart"/>
      <w:r w:rsidRPr="00B130FC">
        <w:rPr>
          <w:rFonts w:ascii="Times New Roman" w:hAnsi="Times New Roman" w:cs="Times New Roman"/>
          <w:sz w:val="24"/>
          <w:szCs w:val="24"/>
        </w:rPr>
        <w:t>trombocytaggregationen</w:t>
      </w:r>
      <w:proofErr w:type="spellEnd"/>
      <w:r w:rsidRPr="00B130FC">
        <w:rPr>
          <w:rFonts w:ascii="Times New Roman" w:hAnsi="Times New Roman" w:cs="Times New Roman"/>
          <w:sz w:val="24"/>
          <w:szCs w:val="24"/>
        </w:rPr>
        <w:t xml:space="preserve">, reducerer </w:t>
      </w:r>
      <w:proofErr w:type="spellStart"/>
      <w:r w:rsidRPr="00B130FC">
        <w:rPr>
          <w:rFonts w:ascii="Times New Roman" w:hAnsi="Times New Roman" w:cs="Times New Roman"/>
          <w:sz w:val="24"/>
          <w:szCs w:val="24"/>
        </w:rPr>
        <w:t>tromboxankoncentrationen</w:t>
      </w:r>
      <w:proofErr w:type="spellEnd"/>
      <w:r w:rsidRPr="00B130FC">
        <w:rPr>
          <w:rFonts w:ascii="Times New Roman" w:hAnsi="Times New Roman" w:cs="Times New Roman"/>
          <w:sz w:val="24"/>
          <w:szCs w:val="24"/>
        </w:rPr>
        <w:t xml:space="preserve"> og forlænger blødningstiden. I modsætning til den forlængede effekt af acetylsalicylsyre ses en normalisering af </w:t>
      </w:r>
      <w:proofErr w:type="spellStart"/>
      <w:r w:rsidRPr="00B130FC">
        <w:rPr>
          <w:rFonts w:ascii="Times New Roman" w:hAnsi="Times New Roman" w:cs="Times New Roman"/>
          <w:sz w:val="24"/>
          <w:szCs w:val="24"/>
        </w:rPr>
        <w:t>trombocytfunktionen</w:t>
      </w:r>
      <w:proofErr w:type="spellEnd"/>
      <w:r w:rsidRPr="00B130FC">
        <w:rPr>
          <w:rFonts w:ascii="Times New Roman" w:hAnsi="Times New Roman" w:cs="Times New Roman"/>
          <w:sz w:val="24"/>
          <w:szCs w:val="24"/>
        </w:rPr>
        <w:t xml:space="preserve"> inden for 24-48 timer efter </w:t>
      </w:r>
      <w:proofErr w:type="spellStart"/>
      <w:r w:rsidRPr="00B130FC">
        <w:rPr>
          <w:rFonts w:ascii="Times New Roman" w:hAnsi="Times New Roman" w:cs="Times New Roman"/>
          <w:sz w:val="24"/>
          <w:szCs w:val="24"/>
        </w:rPr>
        <w:t>seponering</w:t>
      </w:r>
      <w:proofErr w:type="spellEnd"/>
      <w:r w:rsidRPr="00B130FC">
        <w:rPr>
          <w:rFonts w:ascii="Times New Roman" w:hAnsi="Times New Roman" w:cs="Times New Roman"/>
          <w:sz w:val="24"/>
          <w:szCs w:val="24"/>
        </w:rPr>
        <w:t xml:space="preserve"> af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r w:rsidRPr="00B130FC">
        <w:rPr>
          <w:rFonts w:ascii="Times New Roman" w:hAnsi="Times New Roman" w:cs="Times New Roman"/>
          <w:i/>
          <w:sz w:val="24"/>
          <w:szCs w:val="24"/>
        </w:rPr>
        <w:t xml:space="preserve">Proteinbinding: </w:t>
      </w:r>
      <w:proofErr w:type="spellStart"/>
      <w:r w:rsidRPr="00B130FC">
        <w:rPr>
          <w:rFonts w:ascii="Times New Roman" w:hAnsi="Times New Roman" w:cs="Times New Roman"/>
          <w:sz w:val="24"/>
          <w:szCs w:val="24"/>
        </w:rPr>
        <w:t>Ketorolactromethamin</w:t>
      </w:r>
      <w:proofErr w:type="spellEnd"/>
      <w:r w:rsidRPr="00B130FC">
        <w:rPr>
          <w:rFonts w:ascii="Times New Roman" w:hAnsi="Times New Roman" w:cs="Times New Roman"/>
          <w:sz w:val="24"/>
          <w:szCs w:val="24"/>
        </w:rPr>
        <w:t xml:space="preserve"> påvirker ikke proteinbindingen af </w:t>
      </w:r>
      <w:proofErr w:type="spellStart"/>
      <w:r w:rsidRPr="00B130FC">
        <w:rPr>
          <w:rFonts w:ascii="Times New Roman" w:hAnsi="Times New Roman" w:cs="Times New Roman"/>
          <w:sz w:val="24"/>
          <w:szCs w:val="24"/>
        </w:rPr>
        <w:t>digoxin</w:t>
      </w:r>
      <w:proofErr w:type="spellEnd"/>
      <w:r w:rsidRPr="00B130FC">
        <w:rPr>
          <w:rFonts w:ascii="Times New Roman" w:hAnsi="Times New Roman" w:cs="Times New Roman"/>
          <w:sz w:val="24"/>
          <w:szCs w:val="24"/>
        </w:rPr>
        <w:t xml:space="preserve">. Terapeutiske koncentrationer af </w:t>
      </w:r>
      <w:proofErr w:type="spellStart"/>
      <w:r w:rsidRPr="00B130FC">
        <w:rPr>
          <w:rFonts w:ascii="Times New Roman" w:hAnsi="Times New Roman" w:cs="Times New Roman"/>
          <w:sz w:val="24"/>
          <w:szCs w:val="24"/>
        </w:rPr>
        <w:t>digoxin</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warfarin</w:t>
      </w:r>
      <w:proofErr w:type="spellEnd"/>
      <w:r w:rsidRPr="00B130FC">
        <w:rPr>
          <w:rFonts w:ascii="Times New Roman" w:hAnsi="Times New Roman" w:cs="Times New Roman"/>
          <w:sz w:val="24"/>
          <w:szCs w:val="24"/>
        </w:rPr>
        <w:t xml:space="preserve">, ibuprofen, </w:t>
      </w:r>
      <w:proofErr w:type="spellStart"/>
      <w:r w:rsidRPr="00B130FC">
        <w:rPr>
          <w:rFonts w:ascii="Times New Roman" w:hAnsi="Times New Roman" w:cs="Times New Roman"/>
          <w:sz w:val="24"/>
          <w:szCs w:val="24"/>
        </w:rPr>
        <w:t>naproxen</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piroxicam</w:t>
      </w:r>
      <w:proofErr w:type="spellEnd"/>
      <w:r w:rsidRPr="00B130FC">
        <w:rPr>
          <w:rFonts w:ascii="Times New Roman" w:hAnsi="Times New Roman" w:cs="Times New Roman"/>
          <w:sz w:val="24"/>
          <w:szCs w:val="24"/>
        </w:rPr>
        <w:t xml:space="preserve">, paracetamol, </w:t>
      </w:r>
      <w:proofErr w:type="spellStart"/>
      <w:r w:rsidRPr="00B130FC">
        <w:rPr>
          <w:rFonts w:ascii="Times New Roman" w:hAnsi="Times New Roman" w:cs="Times New Roman"/>
          <w:sz w:val="24"/>
          <w:szCs w:val="24"/>
        </w:rPr>
        <w:t>fenytoin</w:t>
      </w:r>
      <w:proofErr w:type="spellEnd"/>
      <w:r w:rsidRPr="00B130FC">
        <w:rPr>
          <w:rFonts w:ascii="Times New Roman" w:hAnsi="Times New Roman" w:cs="Times New Roman"/>
          <w:sz w:val="24"/>
          <w:szCs w:val="24"/>
        </w:rPr>
        <w:t xml:space="preserve"> og </w:t>
      </w:r>
      <w:proofErr w:type="spellStart"/>
      <w:r w:rsidRPr="00B130FC">
        <w:rPr>
          <w:rFonts w:ascii="Times New Roman" w:hAnsi="Times New Roman" w:cs="Times New Roman"/>
          <w:sz w:val="24"/>
          <w:szCs w:val="24"/>
        </w:rPr>
        <w:t>tolbutamid</w:t>
      </w:r>
      <w:proofErr w:type="spellEnd"/>
      <w:r w:rsidRPr="00B130FC">
        <w:rPr>
          <w:rFonts w:ascii="Times New Roman" w:hAnsi="Times New Roman" w:cs="Times New Roman"/>
          <w:sz w:val="24"/>
          <w:szCs w:val="24"/>
        </w:rPr>
        <w:t xml:space="preserve"> påvirker ikke proteinbindingen af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Warfarin</w:t>
      </w:r>
      <w:proofErr w:type="spellEnd"/>
      <w:r w:rsidRPr="00B130FC">
        <w:rPr>
          <w:rFonts w:ascii="Times New Roman" w:hAnsi="Times New Roman" w:cs="Times New Roman"/>
          <w:i/>
          <w:sz w:val="24"/>
          <w:szCs w:val="24"/>
        </w:rPr>
        <w:t xml:space="preserve">: </w:t>
      </w:r>
      <w:r w:rsidRPr="00B130FC">
        <w:rPr>
          <w:rFonts w:ascii="Times New Roman" w:hAnsi="Times New Roman" w:cs="Times New Roman"/>
          <w:sz w:val="24"/>
          <w:szCs w:val="24"/>
        </w:rPr>
        <w:t xml:space="preserve">Selv om studier ikke har påvist en signifikant interaktion mellem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og </w:t>
      </w:r>
      <w:proofErr w:type="spellStart"/>
      <w:r w:rsidRPr="00B130FC">
        <w:rPr>
          <w:rFonts w:ascii="Times New Roman" w:hAnsi="Times New Roman" w:cs="Times New Roman"/>
          <w:sz w:val="24"/>
          <w:szCs w:val="24"/>
        </w:rPr>
        <w:t>warfarin</w:t>
      </w:r>
      <w:proofErr w:type="spellEnd"/>
      <w:r w:rsidRPr="00B130FC">
        <w:rPr>
          <w:rFonts w:ascii="Times New Roman" w:hAnsi="Times New Roman" w:cs="Times New Roman"/>
          <w:sz w:val="24"/>
          <w:szCs w:val="24"/>
        </w:rPr>
        <w:t xml:space="preserve"> eller </w:t>
      </w:r>
      <w:proofErr w:type="spellStart"/>
      <w:r w:rsidRPr="00B130FC">
        <w:rPr>
          <w:rFonts w:ascii="Times New Roman" w:hAnsi="Times New Roman" w:cs="Times New Roman"/>
          <w:sz w:val="24"/>
          <w:szCs w:val="24"/>
        </w:rPr>
        <w:t>heparin</w:t>
      </w:r>
      <w:proofErr w:type="spellEnd"/>
      <w:r w:rsidRPr="00B130FC">
        <w:rPr>
          <w:rFonts w:ascii="Times New Roman" w:hAnsi="Times New Roman" w:cs="Times New Roman"/>
          <w:sz w:val="24"/>
          <w:szCs w:val="24"/>
        </w:rPr>
        <w:t xml:space="preserve">, kan samtidig behandling med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og lægemidler, der påvirker </w:t>
      </w:r>
      <w:proofErr w:type="spellStart"/>
      <w:r w:rsidRPr="00B130FC">
        <w:rPr>
          <w:rFonts w:ascii="Times New Roman" w:hAnsi="Times New Roman" w:cs="Times New Roman"/>
          <w:sz w:val="24"/>
          <w:szCs w:val="24"/>
        </w:rPr>
        <w:t>hæmostasen</w:t>
      </w:r>
      <w:proofErr w:type="spellEnd"/>
      <w:r w:rsidRPr="00B130FC">
        <w:rPr>
          <w:rFonts w:ascii="Times New Roman" w:hAnsi="Times New Roman" w:cs="Times New Roman"/>
          <w:sz w:val="24"/>
          <w:szCs w:val="24"/>
        </w:rPr>
        <w:t xml:space="preserve">, </w:t>
      </w:r>
      <w:r>
        <w:rPr>
          <w:rFonts w:ascii="Times New Roman" w:hAnsi="Times New Roman" w:cs="Times New Roman"/>
          <w:sz w:val="24"/>
          <w:szCs w:val="24"/>
        </w:rPr>
        <w:t>f.eks.</w:t>
      </w:r>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warfarin</w:t>
      </w:r>
      <w:proofErr w:type="spellEnd"/>
      <w:r w:rsidRPr="00B130FC">
        <w:rPr>
          <w:rFonts w:ascii="Times New Roman" w:hAnsi="Times New Roman" w:cs="Times New Roman"/>
          <w:sz w:val="24"/>
          <w:szCs w:val="24"/>
        </w:rPr>
        <w:t xml:space="preserve">, profylakse med lavmolekylære </w:t>
      </w:r>
      <w:proofErr w:type="spellStart"/>
      <w:r w:rsidRPr="00B130FC">
        <w:rPr>
          <w:rFonts w:ascii="Times New Roman" w:hAnsi="Times New Roman" w:cs="Times New Roman"/>
          <w:sz w:val="24"/>
          <w:szCs w:val="24"/>
        </w:rPr>
        <w:t>hepariner</w:t>
      </w:r>
      <w:proofErr w:type="spellEnd"/>
      <w:r w:rsidRPr="00B130FC">
        <w:rPr>
          <w:rFonts w:ascii="Times New Roman" w:hAnsi="Times New Roman" w:cs="Times New Roman"/>
          <w:sz w:val="24"/>
          <w:szCs w:val="24"/>
        </w:rPr>
        <w:t xml:space="preserve"> (2500-5000 enheder pr. 12 timer) og dextraner, være forbundet med en øget risiko for blødning.</w:t>
      </w:r>
    </w:p>
    <w:p w:rsidR="006D2694" w:rsidRPr="00B130FC" w:rsidRDefault="006D2694" w:rsidP="006D2694">
      <w:pPr>
        <w:pStyle w:val="Listeafsnit"/>
        <w:spacing w:after="0" w:line="240" w:lineRule="auto"/>
        <w:ind w:left="1276"/>
        <w:rPr>
          <w:rFonts w:ascii="Times New Roman" w:hAnsi="Times New Roman" w:cs="Times New Roman"/>
          <w:sz w:val="24"/>
          <w:szCs w:val="24"/>
        </w:rPr>
      </w:pPr>
      <w:r w:rsidRPr="00B130FC">
        <w:rPr>
          <w:rFonts w:ascii="Times New Roman" w:hAnsi="Times New Roman" w:cs="Times New Roman"/>
          <w:sz w:val="24"/>
          <w:szCs w:val="24"/>
        </w:rPr>
        <w:t xml:space="preserve">Forsøgsstudier viser, at ibuprofen og </w:t>
      </w:r>
      <w:proofErr w:type="spellStart"/>
      <w:r w:rsidRPr="00B130FC">
        <w:rPr>
          <w:rFonts w:ascii="Times New Roman" w:hAnsi="Times New Roman" w:cs="Times New Roman"/>
          <w:sz w:val="24"/>
          <w:szCs w:val="24"/>
        </w:rPr>
        <w:t>azapropazon</w:t>
      </w:r>
      <w:proofErr w:type="spellEnd"/>
      <w:r w:rsidRPr="00B130FC">
        <w:rPr>
          <w:rFonts w:ascii="Times New Roman" w:hAnsi="Times New Roman" w:cs="Times New Roman"/>
          <w:sz w:val="24"/>
          <w:szCs w:val="24"/>
        </w:rPr>
        <w:t xml:space="preserve"> styrker </w:t>
      </w:r>
      <w:proofErr w:type="spellStart"/>
      <w:r w:rsidRPr="00B130FC">
        <w:rPr>
          <w:rFonts w:ascii="Times New Roman" w:hAnsi="Times New Roman" w:cs="Times New Roman"/>
          <w:sz w:val="24"/>
          <w:szCs w:val="24"/>
        </w:rPr>
        <w:t>warfarins</w:t>
      </w:r>
      <w:proofErr w:type="spellEnd"/>
      <w:r w:rsidRPr="00B130FC">
        <w:rPr>
          <w:rFonts w:ascii="Times New Roman" w:hAnsi="Times New Roman" w:cs="Times New Roman"/>
          <w:sz w:val="24"/>
          <w:szCs w:val="24"/>
        </w:rPr>
        <w:t xml:space="preserve"> virkninger på blødningstiden.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kan øge effekten af </w:t>
      </w:r>
      <w:proofErr w:type="spellStart"/>
      <w:r w:rsidRPr="00B130FC">
        <w:rPr>
          <w:rFonts w:ascii="Times New Roman" w:hAnsi="Times New Roman" w:cs="Times New Roman"/>
          <w:sz w:val="24"/>
          <w:szCs w:val="24"/>
        </w:rPr>
        <w:t>antikoagulantia</w:t>
      </w:r>
      <w:proofErr w:type="spellEnd"/>
      <w:r w:rsidRPr="00B130FC">
        <w:rPr>
          <w:rFonts w:ascii="Times New Roman" w:hAnsi="Times New Roman" w:cs="Times New Roman"/>
          <w:sz w:val="24"/>
          <w:szCs w:val="24"/>
        </w:rPr>
        <w:t xml:space="preserve">, </w:t>
      </w:r>
      <w:r>
        <w:rPr>
          <w:rFonts w:ascii="Times New Roman" w:hAnsi="Times New Roman" w:cs="Times New Roman"/>
          <w:sz w:val="24"/>
          <w:szCs w:val="24"/>
        </w:rPr>
        <w:t>f.eks.</w:t>
      </w:r>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warfarin</w:t>
      </w:r>
      <w:proofErr w:type="spellEnd"/>
      <w:r w:rsidRPr="00B130FC">
        <w:rPr>
          <w:rFonts w:ascii="Times New Roman" w:hAnsi="Times New Roman" w:cs="Times New Roman"/>
          <w:sz w:val="24"/>
          <w:szCs w:val="24"/>
        </w:rPr>
        <w:t xml:space="preserve">, hæmme </w:t>
      </w:r>
      <w:proofErr w:type="spellStart"/>
      <w:r w:rsidRPr="00B130FC">
        <w:rPr>
          <w:rFonts w:ascii="Times New Roman" w:hAnsi="Times New Roman" w:cs="Times New Roman"/>
          <w:sz w:val="24"/>
          <w:szCs w:val="24"/>
        </w:rPr>
        <w:t>trombocytaggregationen</w:t>
      </w:r>
      <w:proofErr w:type="spellEnd"/>
      <w:r w:rsidRPr="00B130FC">
        <w:rPr>
          <w:rFonts w:ascii="Times New Roman" w:hAnsi="Times New Roman" w:cs="Times New Roman"/>
          <w:sz w:val="24"/>
          <w:szCs w:val="24"/>
        </w:rPr>
        <w:t xml:space="preserve">, reducere </w:t>
      </w:r>
      <w:proofErr w:type="spellStart"/>
      <w:r w:rsidRPr="00B130FC">
        <w:rPr>
          <w:rFonts w:ascii="Times New Roman" w:hAnsi="Times New Roman" w:cs="Times New Roman"/>
          <w:sz w:val="24"/>
          <w:szCs w:val="24"/>
        </w:rPr>
        <w:t>tromboxankoncentrationen</w:t>
      </w:r>
      <w:proofErr w:type="spellEnd"/>
      <w:r w:rsidRPr="00B130FC">
        <w:rPr>
          <w:rFonts w:ascii="Times New Roman" w:hAnsi="Times New Roman" w:cs="Times New Roman"/>
          <w:sz w:val="24"/>
          <w:szCs w:val="24"/>
        </w:rPr>
        <w:t xml:space="preserve">, forlænge </w:t>
      </w:r>
      <w:r w:rsidRPr="00B130FC">
        <w:rPr>
          <w:rFonts w:ascii="Times New Roman" w:hAnsi="Times New Roman" w:cs="Times New Roman"/>
          <w:sz w:val="24"/>
          <w:szCs w:val="24"/>
        </w:rPr>
        <w:lastRenderedPageBreak/>
        <w:t xml:space="preserve">blødningstiden og beskadige slimhinden i </w:t>
      </w:r>
      <w:proofErr w:type="spellStart"/>
      <w:r w:rsidRPr="00B130FC">
        <w:rPr>
          <w:rFonts w:ascii="Times New Roman" w:hAnsi="Times New Roman" w:cs="Times New Roman"/>
          <w:sz w:val="24"/>
          <w:szCs w:val="24"/>
        </w:rPr>
        <w:t>gastrointestinalkanalen</w:t>
      </w:r>
      <w:proofErr w:type="spellEnd"/>
      <w:r w:rsidRPr="00B130FC">
        <w:rPr>
          <w:rFonts w:ascii="Times New Roman" w:hAnsi="Times New Roman" w:cs="Times New Roman"/>
          <w:sz w:val="24"/>
          <w:szCs w:val="24"/>
        </w:rPr>
        <w:t xml:space="preserve">, hvilket med sandsynlighed øger risikoen for </w:t>
      </w:r>
      <w:proofErr w:type="spellStart"/>
      <w:r w:rsidRPr="00B130FC">
        <w:rPr>
          <w:rFonts w:ascii="Times New Roman" w:hAnsi="Times New Roman" w:cs="Times New Roman"/>
          <w:sz w:val="24"/>
          <w:szCs w:val="24"/>
        </w:rPr>
        <w:t>gastrointestinal</w:t>
      </w:r>
      <w:proofErr w:type="spellEnd"/>
      <w:r w:rsidRPr="00B130FC">
        <w:rPr>
          <w:rFonts w:ascii="Times New Roman" w:hAnsi="Times New Roman" w:cs="Times New Roman"/>
          <w:sz w:val="24"/>
          <w:szCs w:val="24"/>
        </w:rPr>
        <w:t xml:space="preserve"> blødning hos patienter, der behandles med </w:t>
      </w:r>
      <w:proofErr w:type="spellStart"/>
      <w:r w:rsidRPr="00B130FC">
        <w:rPr>
          <w:rFonts w:ascii="Times New Roman" w:hAnsi="Times New Roman" w:cs="Times New Roman"/>
          <w:sz w:val="24"/>
          <w:szCs w:val="24"/>
        </w:rPr>
        <w:t>antikoagulantia</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Trombocytfunktionen</w:t>
      </w:r>
      <w:proofErr w:type="spellEnd"/>
      <w:r w:rsidRPr="00B130FC">
        <w:rPr>
          <w:rFonts w:ascii="Times New Roman" w:hAnsi="Times New Roman" w:cs="Times New Roman"/>
          <w:sz w:val="24"/>
          <w:szCs w:val="24"/>
        </w:rPr>
        <w:t xml:space="preserve"> normaliseres inden for 24-48 timer efter </w:t>
      </w:r>
      <w:proofErr w:type="spellStart"/>
      <w:r w:rsidRPr="00B130FC">
        <w:rPr>
          <w:rFonts w:ascii="Times New Roman" w:hAnsi="Times New Roman" w:cs="Times New Roman"/>
          <w:sz w:val="24"/>
          <w:szCs w:val="24"/>
        </w:rPr>
        <w:t>seponering</w:t>
      </w:r>
      <w:proofErr w:type="spellEnd"/>
      <w:r w:rsidRPr="00B130FC">
        <w:rPr>
          <w:rFonts w:ascii="Times New Roman" w:hAnsi="Times New Roman" w:cs="Times New Roman"/>
          <w:sz w:val="24"/>
          <w:szCs w:val="24"/>
        </w:rPr>
        <w:t xml:space="preserve"> af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Aktuelle epidemiologiske studier viser, at der er en særligt høj risiko for blødende gastrisk ulcus ved samtidig anvendelse af NSAID-præparater og </w:t>
      </w:r>
      <w:proofErr w:type="spellStart"/>
      <w:r w:rsidRPr="00B130FC">
        <w:rPr>
          <w:rFonts w:ascii="Times New Roman" w:hAnsi="Times New Roman" w:cs="Times New Roman"/>
          <w:sz w:val="24"/>
          <w:szCs w:val="24"/>
        </w:rPr>
        <w:t>warfarin</w:t>
      </w:r>
      <w:proofErr w:type="spellEnd"/>
      <w:r w:rsidRPr="00B130FC">
        <w:rPr>
          <w:rFonts w:ascii="Times New Roman" w:hAnsi="Times New Roman" w:cs="Times New Roman"/>
          <w:sz w:val="24"/>
          <w:szCs w:val="24"/>
        </w:rPr>
        <w:t xml:space="preserve">. Kombinationen bør derfor undgås. Det er for nylig blevet påvist, at denne interaktion også kan have en metabolisk komponent, idet NSAID-præparater og </w:t>
      </w:r>
      <w:proofErr w:type="spellStart"/>
      <w:r w:rsidRPr="00B130FC">
        <w:rPr>
          <w:rFonts w:ascii="Times New Roman" w:hAnsi="Times New Roman" w:cs="Times New Roman"/>
          <w:sz w:val="24"/>
          <w:szCs w:val="24"/>
        </w:rPr>
        <w:t>warfarin</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metaboliseres</w:t>
      </w:r>
      <w:proofErr w:type="spellEnd"/>
      <w:r w:rsidRPr="00B130FC">
        <w:rPr>
          <w:rFonts w:ascii="Times New Roman" w:hAnsi="Times New Roman" w:cs="Times New Roman"/>
          <w:sz w:val="24"/>
          <w:szCs w:val="24"/>
        </w:rPr>
        <w:t xml:space="preserve"> af det samme enzym, CYP2C9. NSAID-præparater hæmmer metabolismen af disse </w:t>
      </w:r>
      <w:proofErr w:type="spellStart"/>
      <w:r w:rsidRPr="00B130FC">
        <w:rPr>
          <w:rFonts w:ascii="Times New Roman" w:hAnsi="Times New Roman" w:cs="Times New Roman"/>
          <w:sz w:val="24"/>
          <w:szCs w:val="24"/>
        </w:rPr>
        <w:t>antikoagulantia</w:t>
      </w:r>
      <w:proofErr w:type="spellEnd"/>
      <w:r w:rsidRPr="00B130FC">
        <w:rPr>
          <w:rFonts w:ascii="Times New Roman" w:hAnsi="Times New Roman" w:cs="Times New Roman"/>
          <w:sz w:val="24"/>
          <w:szCs w:val="24"/>
        </w:rPr>
        <w:t xml:space="preserve"> in </w:t>
      </w:r>
      <w:proofErr w:type="spellStart"/>
      <w:r w:rsidRPr="00B130FC">
        <w:rPr>
          <w:rFonts w:ascii="Times New Roman" w:hAnsi="Times New Roman" w:cs="Times New Roman"/>
          <w:sz w:val="24"/>
          <w:szCs w:val="24"/>
        </w:rPr>
        <w:t>vitro</w:t>
      </w:r>
      <w:proofErr w:type="spellEnd"/>
      <w:r w:rsidRPr="00B130FC">
        <w:rPr>
          <w:rFonts w:ascii="Times New Roman" w:hAnsi="Times New Roman" w:cs="Times New Roman"/>
          <w:sz w:val="24"/>
          <w:szCs w:val="24"/>
        </w:rPr>
        <w:t xml:space="preserve">. Interaktionspotentialet er størst for </w:t>
      </w:r>
      <w:proofErr w:type="spellStart"/>
      <w:r w:rsidRPr="00B130FC">
        <w:rPr>
          <w:rFonts w:ascii="Times New Roman" w:hAnsi="Times New Roman" w:cs="Times New Roman"/>
          <w:sz w:val="24"/>
          <w:szCs w:val="24"/>
        </w:rPr>
        <w:t>fenylbutazon</w:t>
      </w:r>
      <w:proofErr w:type="spellEnd"/>
      <w:r w:rsidRPr="00B130FC">
        <w:rPr>
          <w:rFonts w:ascii="Times New Roman" w:hAnsi="Times New Roman" w:cs="Times New Roman"/>
          <w:sz w:val="24"/>
          <w:szCs w:val="24"/>
        </w:rPr>
        <w:t xml:space="preserve"> efterfulgt af </w:t>
      </w:r>
      <w:proofErr w:type="spellStart"/>
      <w:r w:rsidRPr="00B130FC">
        <w:rPr>
          <w:rFonts w:ascii="Times New Roman" w:hAnsi="Times New Roman" w:cs="Times New Roman"/>
          <w:sz w:val="24"/>
          <w:szCs w:val="24"/>
        </w:rPr>
        <w:t>diclofenac</w:t>
      </w:r>
      <w:proofErr w:type="spellEnd"/>
      <w:r w:rsidRPr="00B130FC">
        <w:rPr>
          <w:rFonts w:ascii="Times New Roman" w:hAnsi="Times New Roman" w:cs="Times New Roman"/>
          <w:sz w:val="24"/>
          <w:szCs w:val="24"/>
        </w:rPr>
        <w:t xml:space="preserve">, ibuprofen og </w:t>
      </w:r>
      <w:proofErr w:type="spellStart"/>
      <w:r w:rsidRPr="00B130FC">
        <w:rPr>
          <w:rFonts w:ascii="Times New Roman" w:hAnsi="Times New Roman" w:cs="Times New Roman"/>
          <w:sz w:val="24"/>
          <w:szCs w:val="24"/>
        </w:rPr>
        <w:t>tenoxicam</w:t>
      </w:r>
      <w:proofErr w:type="spellEnd"/>
      <w:r w:rsidRPr="00B130FC">
        <w:rPr>
          <w:rFonts w:ascii="Times New Roman" w:hAnsi="Times New Roman" w:cs="Times New Roman"/>
          <w:sz w:val="24"/>
          <w:szCs w:val="24"/>
        </w:rPr>
        <w:t>. Andre NSAID-præparater er ikke blevet</w:t>
      </w:r>
      <w:r>
        <w:rPr>
          <w:rFonts w:ascii="Times New Roman" w:hAnsi="Times New Roman" w:cs="Times New Roman"/>
          <w:sz w:val="24"/>
          <w:szCs w:val="24"/>
        </w:rPr>
        <w:t xml:space="preserve"> </w:t>
      </w:r>
      <w:r w:rsidRPr="00B130FC">
        <w:rPr>
          <w:rFonts w:ascii="Times New Roman" w:hAnsi="Times New Roman" w:cs="Times New Roman"/>
          <w:sz w:val="24"/>
          <w:szCs w:val="24"/>
        </w:rPr>
        <w:t>undersøgt.</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r w:rsidRPr="00B130FC">
        <w:rPr>
          <w:rFonts w:ascii="Times New Roman" w:hAnsi="Times New Roman" w:cs="Times New Roman"/>
          <w:i/>
          <w:sz w:val="24"/>
          <w:szCs w:val="24"/>
        </w:rPr>
        <w:t>Opioid analgesi:</w:t>
      </w:r>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der gives mod postoperative smerter, har vist sig at reducere behovet for samtidig behandling med opioid analgesi.</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Tacrolimus</w:t>
      </w:r>
      <w:proofErr w:type="spellEnd"/>
      <w:r w:rsidRPr="00B130FC">
        <w:rPr>
          <w:rFonts w:ascii="Times New Roman" w:hAnsi="Times New Roman" w:cs="Times New Roman"/>
          <w:i/>
          <w:sz w:val="24"/>
          <w:szCs w:val="24"/>
        </w:rPr>
        <w:t>:</w:t>
      </w:r>
      <w:r w:rsidRPr="00B130FC">
        <w:rPr>
          <w:rFonts w:ascii="Times New Roman" w:hAnsi="Times New Roman" w:cs="Times New Roman"/>
          <w:sz w:val="24"/>
          <w:szCs w:val="24"/>
        </w:rPr>
        <w:t xml:space="preserve"> Anvendelse af NSAID-præparater samtidig med </w:t>
      </w:r>
      <w:proofErr w:type="spellStart"/>
      <w:r w:rsidRPr="00B130FC">
        <w:rPr>
          <w:rFonts w:ascii="Times New Roman" w:hAnsi="Times New Roman" w:cs="Times New Roman"/>
          <w:sz w:val="24"/>
          <w:szCs w:val="24"/>
        </w:rPr>
        <w:t>tacrolimus</w:t>
      </w:r>
      <w:proofErr w:type="spellEnd"/>
      <w:r w:rsidRPr="00B130FC">
        <w:rPr>
          <w:rFonts w:ascii="Times New Roman" w:hAnsi="Times New Roman" w:cs="Times New Roman"/>
          <w:sz w:val="24"/>
          <w:szCs w:val="24"/>
        </w:rPr>
        <w:t xml:space="preserve"> vurderes at øge risikoen for </w:t>
      </w:r>
      <w:proofErr w:type="spellStart"/>
      <w:r w:rsidRPr="00B130FC">
        <w:rPr>
          <w:rFonts w:ascii="Times New Roman" w:hAnsi="Times New Roman" w:cs="Times New Roman"/>
          <w:sz w:val="24"/>
          <w:szCs w:val="24"/>
        </w:rPr>
        <w:t>nefrotoksicitet</w:t>
      </w:r>
      <w:proofErr w:type="spellEnd"/>
      <w:r w:rsidRPr="00B130FC">
        <w:rPr>
          <w:rFonts w:ascii="Times New Roman" w:hAnsi="Times New Roman" w:cs="Times New Roman"/>
          <w:sz w:val="24"/>
          <w:szCs w:val="24"/>
        </w:rPr>
        <w:t xml:space="preserve"> som følge af den nedsatte </w:t>
      </w:r>
      <w:proofErr w:type="spellStart"/>
      <w:r w:rsidRPr="00B130FC">
        <w:rPr>
          <w:rFonts w:ascii="Times New Roman" w:hAnsi="Times New Roman" w:cs="Times New Roman"/>
          <w:sz w:val="24"/>
          <w:szCs w:val="24"/>
        </w:rPr>
        <w:t>renale</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prostacyclinsyntese</w:t>
      </w:r>
      <w:proofErr w:type="spellEnd"/>
      <w:r w:rsidRPr="00B130FC">
        <w:rPr>
          <w:rFonts w:ascii="Times New Roman" w:hAnsi="Times New Roman" w:cs="Times New Roman"/>
          <w:sz w:val="24"/>
          <w:szCs w:val="24"/>
        </w:rPr>
        <w:t>. Ved kombinationsbehandling bør nyrefunktionen derfor overvåges nøje.</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4.6</w:t>
      </w:r>
      <w:r w:rsidRPr="00B130FC">
        <w:rPr>
          <w:b/>
          <w:sz w:val="24"/>
          <w:szCs w:val="24"/>
        </w:rPr>
        <w:tab/>
      </w:r>
      <w:r w:rsidR="003066B4">
        <w:rPr>
          <w:b/>
          <w:sz w:val="24"/>
          <w:szCs w:val="24"/>
        </w:rPr>
        <w:t>Fertilitet, g</w:t>
      </w:r>
      <w:r w:rsidRPr="00B130FC">
        <w:rPr>
          <w:b/>
          <w:sz w:val="24"/>
          <w:szCs w:val="24"/>
        </w:rPr>
        <w:t>raviditet og amning</w:t>
      </w:r>
    </w:p>
    <w:p w:rsidR="006D2694" w:rsidRPr="00B130FC" w:rsidRDefault="006D2694" w:rsidP="006D2694">
      <w:pPr>
        <w:ind w:left="851"/>
        <w:rPr>
          <w:sz w:val="24"/>
          <w:szCs w:val="24"/>
          <w:lang w:eastAsia="en-GB"/>
        </w:rPr>
      </w:pPr>
      <w:proofErr w:type="spellStart"/>
      <w:r w:rsidRPr="00B130FC">
        <w:rPr>
          <w:sz w:val="24"/>
          <w:szCs w:val="24"/>
        </w:rPr>
        <w:t>Ketorolac</w:t>
      </w:r>
      <w:proofErr w:type="spellEnd"/>
      <w:r w:rsidRPr="00B130FC">
        <w:rPr>
          <w:sz w:val="24"/>
          <w:szCs w:val="24"/>
        </w:rPr>
        <w:t xml:space="preserve"> er kontraindiceret under tredje trimester af graviditeten, veer, fødsel og under amning (se pkt. 4.3)</w:t>
      </w:r>
    </w:p>
    <w:p w:rsidR="006D2694" w:rsidRPr="00B130FC" w:rsidRDefault="006D2694" w:rsidP="006D2694">
      <w:pPr>
        <w:ind w:left="851"/>
        <w:rPr>
          <w:rFonts w:eastAsiaTheme="minorHAnsi"/>
          <w:sz w:val="24"/>
          <w:szCs w:val="24"/>
        </w:rPr>
      </w:pPr>
    </w:p>
    <w:p w:rsidR="006D2694" w:rsidRPr="00B130FC" w:rsidRDefault="006D2694" w:rsidP="006D2694">
      <w:pPr>
        <w:ind w:left="851"/>
        <w:rPr>
          <w:sz w:val="24"/>
          <w:szCs w:val="24"/>
        </w:rPr>
      </w:pPr>
      <w:r w:rsidRPr="00B130FC">
        <w:rPr>
          <w:sz w:val="24"/>
          <w:szCs w:val="24"/>
          <w:u w:val="single" w:color="000000"/>
        </w:rPr>
        <w:t>Graviditet:</w:t>
      </w:r>
    </w:p>
    <w:p w:rsidR="006D2694" w:rsidRPr="00B130FC" w:rsidRDefault="006D2694" w:rsidP="006D2694">
      <w:pPr>
        <w:ind w:left="851"/>
        <w:rPr>
          <w:rFonts w:eastAsiaTheme="minorHAnsi"/>
          <w:sz w:val="24"/>
          <w:szCs w:val="24"/>
        </w:rPr>
      </w:pPr>
      <w:r w:rsidRPr="00B130FC">
        <w:rPr>
          <w:sz w:val="24"/>
          <w:szCs w:val="24"/>
        </w:rPr>
        <w:t xml:space="preserve">Hæmning af </w:t>
      </w:r>
      <w:proofErr w:type="spellStart"/>
      <w:r w:rsidRPr="00B130FC">
        <w:rPr>
          <w:sz w:val="24"/>
          <w:szCs w:val="24"/>
        </w:rPr>
        <w:t>prostaglandinsyntesen</w:t>
      </w:r>
      <w:proofErr w:type="spellEnd"/>
      <w:r w:rsidRPr="00B130FC">
        <w:rPr>
          <w:sz w:val="24"/>
          <w:szCs w:val="24"/>
        </w:rPr>
        <w:t xml:space="preserve"> kan have en skadelig indvirkning på graviditeten og/eller </w:t>
      </w:r>
      <w:proofErr w:type="gramStart"/>
      <w:r w:rsidRPr="00B130FC">
        <w:rPr>
          <w:sz w:val="24"/>
          <w:szCs w:val="24"/>
        </w:rPr>
        <w:t>den embryo</w:t>
      </w:r>
      <w:proofErr w:type="gramEnd"/>
      <w:r w:rsidRPr="00B130FC">
        <w:rPr>
          <w:sz w:val="24"/>
          <w:szCs w:val="24"/>
        </w:rPr>
        <w:t>/</w:t>
      </w:r>
      <w:proofErr w:type="spellStart"/>
      <w:r w:rsidRPr="00B130FC">
        <w:rPr>
          <w:sz w:val="24"/>
          <w:szCs w:val="24"/>
        </w:rPr>
        <w:t>føtale</w:t>
      </w:r>
      <w:proofErr w:type="spellEnd"/>
      <w:r w:rsidRPr="00B130FC">
        <w:rPr>
          <w:sz w:val="24"/>
          <w:szCs w:val="24"/>
        </w:rPr>
        <w:t xml:space="preserve"> udvikling. Data fra epidemiologiske studier tyder på en øget risiko for spontan abort og for medfødte misdannelser i barnets hjerte samt gastroschisis ved brug af </w:t>
      </w:r>
      <w:proofErr w:type="spellStart"/>
      <w:r w:rsidRPr="00B130FC">
        <w:rPr>
          <w:sz w:val="24"/>
          <w:szCs w:val="24"/>
        </w:rPr>
        <w:t>prostaglandinsyntesehæmmere</w:t>
      </w:r>
      <w:proofErr w:type="spellEnd"/>
      <w:r w:rsidRPr="00B130FC">
        <w:rPr>
          <w:sz w:val="24"/>
          <w:szCs w:val="24"/>
        </w:rPr>
        <w:t xml:space="preserve"> under den tidlige graviditet. Den absolutte risiko for </w:t>
      </w:r>
      <w:proofErr w:type="spellStart"/>
      <w:r w:rsidRPr="00B130FC">
        <w:rPr>
          <w:sz w:val="24"/>
          <w:szCs w:val="24"/>
        </w:rPr>
        <w:t>kardiovaskulære</w:t>
      </w:r>
      <w:proofErr w:type="spellEnd"/>
      <w:r w:rsidRPr="00B130FC">
        <w:rPr>
          <w:sz w:val="24"/>
          <w:szCs w:val="24"/>
        </w:rPr>
        <w:t xml:space="preserve"> misdannelser øges fra mindre end 1 % op til cirka 1,5 %. Risikoen menes at stige med øget dosis og behandlingsvarighed. Hos dyr har administration af </w:t>
      </w:r>
      <w:proofErr w:type="spellStart"/>
      <w:r w:rsidRPr="00B130FC">
        <w:rPr>
          <w:sz w:val="24"/>
          <w:szCs w:val="24"/>
        </w:rPr>
        <w:t>prostaglandinsyntesehæmmere</w:t>
      </w:r>
      <w:proofErr w:type="spellEnd"/>
      <w:r w:rsidRPr="00B130FC">
        <w:rPr>
          <w:sz w:val="24"/>
          <w:szCs w:val="24"/>
        </w:rPr>
        <w:t xml:space="preserve"> vist sig at medføre en øget hyppighed af præ- og postimplantationstab samt embryo-fosterdød.</w:t>
      </w:r>
    </w:p>
    <w:p w:rsidR="006D2694" w:rsidRPr="00B130FC" w:rsidRDefault="006D2694" w:rsidP="006D2694">
      <w:pPr>
        <w:ind w:left="851"/>
        <w:rPr>
          <w:sz w:val="24"/>
          <w:szCs w:val="24"/>
        </w:rPr>
      </w:pPr>
      <w:r w:rsidRPr="00B130FC">
        <w:rPr>
          <w:sz w:val="24"/>
          <w:szCs w:val="24"/>
        </w:rPr>
        <w:t xml:space="preserve">Endvidere er der fundet en øget forekomst af flere misdannelser, herunder </w:t>
      </w:r>
      <w:proofErr w:type="spellStart"/>
      <w:r w:rsidRPr="00B130FC">
        <w:rPr>
          <w:sz w:val="24"/>
          <w:szCs w:val="24"/>
        </w:rPr>
        <w:t>kardiovaskulære</w:t>
      </w:r>
      <w:proofErr w:type="spellEnd"/>
      <w:r w:rsidRPr="00B130FC">
        <w:rPr>
          <w:sz w:val="24"/>
          <w:szCs w:val="24"/>
        </w:rPr>
        <w:t xml:space="preserve"> misdannelser hos dyr, som har fået en </w:t>
      </w:r>
      <w:proofErr w:type="spellStart"/>
      <w:r w:rsidRPr="00B130FC">
        <w:rPr>
          <w:sz w:val="24"/>
          <w:szCs w:val="24"/>
        </w:rPr>
        <w:t>prostaglandinsyntesehæmmer</w:t>
      </w:r>
      <w:proofErr w:type="spellEnd"/>
      <w:r w:rsidRPr="00B130FC">
        <w:rPr>
          <w:sz w:val="24"/>
          <w:szCs w:val="24"/>
        </w:rPr>
        <w:t xml:space="preserve"> under den </w:t>
      </w:r>
      <w:proofErr w:type="spellStart"/>
      <w:r w:rsidRPr="00B130FC">
        <w:rPr>
          <w:sz w:val="24"/>
          <w:szCs w:val="24"/>
        </w:rPr>
        <w:t>organogenetiske</w:t>
      </w:r>
      <w:proofErr w:type="spellEnd"/>
      <w:r w:rsidRPr="00B130FC">
        <w:rPr>
          <w:sz w:val="24"/>
          <w:szCs w:val="24"/>
        </w:rPr>
        <w:t xml:space="preserve"> periode.</w:t>
      </w:r>
    </w:p>
    <w:p w:rsidR="003066B4" w:rsidRDefault="003066B4" w:rsidP="003066B4">
      <w:pPr>
        <w:ind w:left="851"/>
        <w:rPr>
          <w:sz w:val="24"/>
          <w:szCs w:val="24"/>
        </w:rPr>
      </w:pPr>
      <w:r>
        <w:rPr>
          <w:sz w:val="24"/>
          <w:szCs w:val="24"/>
        </w:rPr>
        <w:t xml:space="preserve">Ca. 10 % af </w:t>
      </w:r>
      <w:proofErr w:type="spellStart"/>
      <w:r>
        <w:rPr>
          <w:sz w:val="24"/>
          <w:szCs w:val="24"/>
        </w:rPr>
        <w:t>ketorolac</w:t>
      </w:r>
      <w:proofErr w:type="spellEnd"/>
      <w:r>
        <w:rPr>
          <w:sz w:val="24"/>
          <w:szCs w:val="24"/>
        </w:rPr>
        <w:t xml:space="preserve"> passerer placenta. Medmindre det er strengt nødvendigt, bør </w:t>
      </w:r>
      <w:proofErr w:type="spellStart"/>
      <w:r>
        <w:rPr>
          <w:sz w:val="24"/>
          <w:szCs w:val="24"/>
        </w:rPr>
        <w:t>ketorolac</w:t>
      </w:r>
      <w:proofErr w:type="spellEnd"/>
      <w:r>
        <w:rPr>
          <w:sz w:val="24"/>
          <w:szCs w:val="24"/>
        </w:rPr>
        <w:t xml:space="preserve"> ikke anvendes under det første og det andet trimester. </w:t>
      </w:r>
    </w:p>
    <w:p w:rsidR="003066B4" w:rsidRDefault="003066B4" w:rsidP="003066B4">
      <w:pPr>
        <w:ind w:left="851"/>
        <w:rPr>
          <w:sz w:val="24"/>
          <w:szCs w:val="24"/>
        </w:rPr>
      </w:pPr>
    </w:p>
    <w:p w:rsidR="003066B4" w:rsidRDefault="003066B4" w:rsidP="003066B4">
      <w:pPr>
        <w:ind w:left="851"/>
        <w:rPr>
          <w:rFonts w:eastAsiaTheme="minorHAnsi"/>
          <w:sz w:val="24"/>
          <w:szCs w:val="24"/>
        </w:rPr>
      </w:pPr>
      <w:r>
        <w:rPr>
          <w:rFonts w:eastAsiaTheme="minorHAnsi"/>
          <w:sz w:val="24"/>
          <w:szCs w:val="24"/>
        </w:rPr>
        <w:t xml:space="preserve">Fra uge 20 i graviditeten kan </w:t>
      </w:r>
      <w:proofErr w:type="spellStart"/>
      <w:r>
        <w:rPr>
          <w:rFonts w:eastAsiaTheme="minorHAnsi"/>
          <w:sz w:val="24"/>
          <w:szCs w:val="24"/>
        </w:rPr>
        <w:t>ketorolac</w:t>
      </w:r>
      <w:proofErr w:type="spellEnd"/>
      <w:r>
        <w:rPr>
          <w:rFonts w:eastAsiaTheme="minorHAnsi"/>
          <w:sz w:val="24"/>
          <w:szCs w:val="24"/>
        </w:rPr>
        <w:t xml:space="preserve"> forårsage </w:t>
      </w:r>
      <w:proofErr w:type="spellStart"/>
      <w:r>
        <w:rPr>
          <w:rFonts w:eastAsiaTheme="minorHAnsi"/>
          <w:sz w:val="24"/>
          <w:szCs w:val="24"/>
        </w:rPr>
        <w:t>oligohydramnios</w:t>
      </w:r>
      <w:proofErr w:type="spellEnd"/>
      <w:r>
        <w:rPr>
          <w:rFonts w:eastAsiaTheme="minorHAnsi"/>
          <w:sz w:val="24"/>
          <w:szCs w:val="24"/>
        </w:rPr>
        <w:t xml:space="preserve"> som følge af </w:t>
      </w:r>
      <w:proofErr w:type="spellStart"/>
      <w:r>
        <w:rPr>
          <w:rFonts w:eastAsiaTheme="minorHAnsi"/>
          <w:sz w:val="24"/>
          <w:szCs w:val="24"/>
        </w:rPr>
        <w:t>renal</w:t>
      </w:r>
      <w:proofErr w:type="spellEnd"/>
      <w:r>
        <w:rPr>
          <w:rFonts w:eastAsiaTheme="minorHAnsi"/>
          <w:sz w:val="24"/>
          <w:szCs w:val="24"/>
        </w:rPr>
        <w:t xml:space="preserve"> dysfunktion hos fostret. Dette kan opstå kort tid efter behandlingsstart og er normalt reversibelt ved </w:t>
      </w:r>
      <w:proofErr w:type="spellStart"/>
      <w:r>
        <w:rPr>
          <w:rFonts w:eastAsiaTheme="minorHAnsi"/>
          <w:sz w:val="24"/>
          <w:szCs w:val="24"/>
        </w:rPr>
        <w:t>seponering</w:t>
      </w:r>
      <w:proofErr w:type="spellEnd"/>
      <w:r>
        <w:rPr>
          <w:rFonts w:eastAsiaTheme="minorHAnsi"/>
          <w:sz w:val="24"/>
          <w:szCs w:val="24"/>
        </w:rPr>
        <w:t xml:space="preserve">. Der er desuden rapporteret om indsnævring af </w:t>
      </w:r>
      <w:proofErr w:type="spellStart"/>
      <w:r>
        <w:rPr>
          <w:rFonts w:eastAsiaTheme="minorHAnsi"/>
          <w:sz w:val="24"/>
          <w:szCs w:val="24"/>
        </w:rPr>
        <w:t>duktus</w:t>
      </w:r>
      <w:proofErr w:type="spellEnd"/>
      <w:r>
        <w:rPr>
          <w:rFonts w:eastAsiaTheme="minorHAnsi"/>
          <w:sz w:val="24"/>
          <w:szCs w:val="24"/>
        </w:rPr>
        <w:t xml:space="preserve"> </w:t>
      </w:r>
      <w:proofErr w:type="spellStart"/>
      <w:r>
        <w:rPr>
          <w:rFonts w:eastAsiaTheme="minorHAnsi"/>
          <w:sz w:val="24"/>
          <w:szCs w:val="24"/>
        </w:rPr>
        <w:t>arteriosus</w:t>
      </w:r>
      <w:proofErr w:type="spellEnd"/>
      <w:r>
        <w:rPr>
          <w:rFonts w:eastAsiaTheme="minorHAnsi"/>
          <w:sz w:val="24"/>
          <w:szCs w:val="24"/>
        </w:rPr>
        <w:t xml:space="preserve"> ved behandling i 2. trimester. Det meste af det forsvandt efter behandlingsstop. I 1. og 2. trimester bør </w:t>
      </w:r>
      <w:proofErr w:type="spellStart"/>
      <w:r>
        <w:rPr>
          <w:rFonts w:eastAsiaTheme="minorHAnsi"/>
          <w:sz w:val="24"/>
          <w:szCs w:val="24"/>
        </w:rPr>
        <w:t>ketorolac</w:t>
      </w:r>
      <w:proofErr w:type="spellEnd"/>
      <w:r>
        <w:rPr>
          <w:rFonts w:eastAsiaTheme="minorHAnsi"/>
          <w:sz w:val="24"/>
          <w:szCs w:val="24"/>
        </w:rPr>
        <w:t xml:space="preserve"> derfor ikke gives med mindre det er strengt nødvendig. </w:t>
      </w:r>
      <w:proofErr w:type="spellStart"/>
      <w:r>
        <w:rPr>
          <w:rFonts w:eastAsiaTheme="minorHAnsi"/>
          <w:sz w:val="24"/>
          <w:szCs w:val="24"/>
        </w:rPr>
        <w:t>Ketorolac</w:t>
      </w:r>
      <w:proofErr w:type="spellEnd"/>
      <w:r>
        <w:rPr>
          <w:rFonts w:eastAsiaTheme="minorHAnsi"/>
          <w:sz w:val="24"/>
          <w:szCs w:val="24"/>
        </w:rPr>
        <w:t xml:space="preserve"> må ikke gives med mindre det er højst nødvendigt. Hvis </w:t>
      </w:r>
      <w:proofErr w:type="spellStart"/>
      <w:r>
        <w:rPr>
          <w:rFonts w:eastAsiaTheme="minorHAnsi"/>
          <w:sz w:val="24"/>
          <w:szCs w:val="24"/>
        </w:rPr>
        <w:t>ketorolac</w:t>
      </w:r>
      <w:proofErr w:type="spellEnd"/>
      <w:r>
        <w:rPr>
          <w:rFonts w:eastAsiaTheme="minorHAnsi"/>
          <w:sz w:val="24"/>
          <w:szCs w:val="24"/>
        </w:rPr>
        <w:t xml:space="preserve"> administreres til en fødende kvinde, eller under 1. eller 2. trimester af graviditeten, skal dosis holdes lav og behandlingsvarighed være så kort som muligt. Prænatal monitorering for </w:t>
      </w:r>
      <w:proofErr w:type="spellStart"/>
      <w:r>
        <w:rPr>
          <w:rFonts w:eastAsiaTheme="minorHAnsi"/>
          <w:sz w:val="24"/>
          <w:szCs w:val="24"/>
        </w:rPr>
        <w:t>oligohydramnios</w:t>
      </w:r>
      <w:proofErr w:type="spellEnd"/>
      <w:r>
        <w:rPr>
          <w:rFonts w:eastAsiaTheme="minorHAnsi"/>
          <w:sz w:val="24"/>
          <w:szCs w:val="24"/>
        </w:rPr>
        <w:t xml:space="preserve"> og indsnævring af </w:t>
      </w:r>
      <w:proofErr w:type="spellStart"/>
      <w:r>
        <w:rPr>
          <w:rFonts w:eastAsiaTheme="minorHAnsi"/>
          <w:sz w:val="24"/>
          <w:szCs w:val="24"/>
        </w:rPr>
        <w:t>ductus</w:t>
      </w:r>
      <w:proofErr w:type="spellEnd"/>
      <w:r>
        <w:rPr>
          <w:rFonts w:eastAsiaTheme="minorHAnsi"/>
          <w:sz w:val="24"/>
          <w:szCs w:val="24"/>
        </w:rPr>
        <w:t xml:space="preserve"> </w:t>
      </w:r>
      <w:proofErr w:type="spellStart"/>
      <w:r>
        <w:rPr>
          <w:rFonts w:eastAsiaTheme="minorHAnsi"/>
          <w:sz w:val="24"/>
          <w:szCs w:val="24"/>
        </w:rPr>
        <w:t>arteriosus</w:t>
      </w:r>
      <w:proofErr w:type="spellEnd"/>
      <w:r>
        <w:rPr>
          <w:rFonts w:eastAsiaTheme="minorHAnsi"/>
          <w:sz w:val="24"/>
          <w:szCs w:val="24"/>
        </w:rPr>
        <w:t xml:space="preserve"> bør overvejes ved eksponering af </w:t>
      </w:r>
      <w:proofErr w:type="spellStart"/>
      <w:r>
        <w:rPr>
          <w:rFonts w:eastAsiaTheme="minorHAnsi"/>
          <w:sz w:val="24"/>
          <w:szCs w:val="24"/>
        </w:rPr>
        <w:t>ketorolac</w:t>
      </w:r>
      <w:proofErr w:type="spellEnd"/>
      <w:r>
        <w:rPr>
          <w:rFonts w:eastAsiaTheme="minorHAnsi"/>
          <w:sz w:val="24"/>
          <w:szCs w:val="24"/>
        </w:rPr>
        <w:t xml:space="preserve"> i flere dage fra uge 20 i graviditeten. </w:t>
      </w:r>
    </w:p>
    <w:p w:rsidR="003066B4" w:rsidRDefault="003066B4" w:rsidP="003066B4">
      <w:pPr>
        <w:ind w:left="851"/>
        <w:rPr>
          <w:rFonts w:eastAsiaTheme="minorHAnsi"/>
          <w:sz w:val="24"/>
          <w:szCs w:val="24"/>
        </w:rPr>
      </w:pPr>
      <w:proofErr w:type="spellStart"/>
      <w:r>
        <w:rPr>
          <w:rFonts w:eastAsiaTheme="minorHAnsi"/>
          <w:sz w:val="24"/>
          <w:szCs w:val="24"/>
        </w:rPr>
        <w:t>Ketorolac</w:t>
      </w:r>
      <w:proofErr w:type="spellEnd"/>
      <w:r>
        <w:rPr>
          <w:rFonts w:eastAsiaTheme="minorHAnsi"/>
          <w:sz w:val="24"/>
          <w:szCs w:val="24"/>
        </w:rPr>
        <w:t xml:space="preserve"> skal seponeres, hvis </w:t>
      </w:r>
      <w:proofErr w:type="spellStart"/>
      <w:r>
        <w:rPr>
          <w:rFonts w:eastAsiaTheme="minorHAnsi"/>
          <w:sz w:val="24"/>
          <w:szCs w:val="24"/>
        </w:rPr>
        <w:t>oligohydramnios</w:t>
      </w:r>
      <w:proofErr w:type="spellEnd"/>
      <w:r>
        <w:rPr>
          <w:rFonts w:eastAsiaTheme="minorHAnsi"/>
          <w:sz w:val="24"/>
          <w:szCs w:val="24"/>
        </w:rPr>
        <w:t xml:space="preserve"> eller sammentrækning af </w:t>
      </w:r>
      <w:proofErr w:type="spellStart"/>
      <w:r>
        <w:rPr>
          <w:rFonts w:eastAsiaTheme="minorHAnsi"/>
          <w:sz w:val="24"/>
          <w:szCs w:val="24"/>
        </w:rPr>
        <w:t>ductus</w:t>
      </w:r>
      <w:proofErr w:type="spellEnd"/>
      <w:r>
        <w:rPr>
          <w:rFonts w:eastAsiaTheme="minorHAnsi"/>
          <w:sz w:val="24"/>
          <w:szCs w:val="24"/>
        </w:rPr>
        <w:t xml:space="preserve"> </w:t>
      </w:r>
      <w:proofErr w:type="spellStart"/>
      <w:r>
        <w:rPr>
          <w:rFonts w:eastAsiaTheme="minorHAnsi"/>
          <w:sz w:val="24"/>
          <w:szCs w:val="24"/>
        </w:rPr>
        <w:t>arteriosus</w:t>
      </w:r>
      <w:proofErr w:type="spellEnd"/>
      <w:r>
        <w:rPr>
          <w:rFonts w:eastAsiaTheme="minorHAnsi"/>
          <w:sz w:val="24"/>
          <w:szCs w:val="24"/>
        </w:rPr>
        <w:t xml:space="preserve"> opstår.  </w:t>
      </w:r>
    </w:p>
    <w:p w:rsidR="003066B4" w:rsidRDefault="003066B4" w:rsidP="003066B4">
      <w:pPr>
        <w:ind w:left="851"/>
        <w:rPr>
          <w:rFonts w:eastAsiaTheme="minorHAnsi"/>
          <w:sz w:val="24"/>
          <w:szCs w:val="24"/>
        </w:rPr>
      </w:pPr>
    </w:p>
    <w:p w:rsidR="003066B4" w:rsidRDefault="003066B4" w:rsidP="003066B4">
      <w:pPr>
        <w:ind w:left="851"/>
        <w:rPr>
          <w:sz w:val="24"/>
          <w:szCs w:val="24"/>
        </w:rPr>
      </w:pPr>
      <w:r>
        <w:rPr>
          <w:sz w:val="24"/>
          <w:szCs w:val="24"/>
        </w:rPr>
        <w:t xml:space="preserve">Hvis </w:t>
      </w:r>
      <w:proofErr w:type="spellStart"/>
      <w:r>
        <w:rPr>
          <w:sz w:val="24"/>
          <w:szCs w:val="24"/>
        </w:rPr>
        <w:t>ketorolac</w:t>
      </w:r>
      <w:proofErr w:type="spellEnd"/>
      <w:r>
        <w:rPr>
          <w:sz w:val="24"/>
          <w:szCs w:val="24"/>
        </w:rPr>
        <w:t xml:space="preserve"> anvendes under det tredje trimester, kan </w:t>
      </w:r>
      <w:proofErr w:type="spellStart"/>
      <w:r>
        <w:rPr>
          <w:sz w:val="24"/>
          <w:szCs w:val="24"/>
        </w:rPr>
        <w:t>prostaglandinsyntesehæmmere</w:t>
      </w:r>
      <w:proofErr w:type="spellEnd"/>
      <w:r>
        <w:rPr>
          <w:sz w:val="24"/>
          <w:szCs w:val="24"/>
        </w:rPr>
        <w:t xml:space="preserve"> udsætte fosteret for:</w:t>
      </w:r>
    </w:p>
    <w:p w:rsidR="003066B4" w:rsidRDefault="003066B4" w:rsidP="003066B4">
      <w:pPr>
        <w:ind w:left="1276" w:hanging="425"/>
        <w:rPr>
          <w:sz w:val="24"/>
          <w:szCs w:val="24"/>
        </w:rPr>
      </w:pPr>
      <w:r>
        <w:rPr>
          <w:sz w:val="24"/>
          <w:szCs w:val="24"/>
        </w:rPr>
        <w:lastRenderedPageBreak/>
        <w:t>•</w:t>
      </w:r>
      <w:r>
        <w:rPr>
          <w:sz w:val="24"/>
          <w:szCs w:val="24"/>
        </w:rPr>
        <w:tab/>
      </w:r>
      <w:proofErr w:type="spellStart"/>
      <w:r>
        <w:rPr>
          <w:sz w:val="24"/>
          <w:szCs w:val="24"/>
        </w:rPr>
        <w:t>kardiopulmonær</w:t>
      </w:r>
      <w:proofErr w:type="spellEnd"/>
      <w:r>
        <w:rPr>
          <w:sz w:val="24"/>
          <w:szCs w:val="24"/>
        </w:rPr>
        <w:t xml:space="preserve"> toksicitet (for tidlig konstriktion/lukning af </w:t>
      </w:r>
      <w:proofErr w:type="spellStart"/>
      <w:r>
        <w:rPr>
          <w:sz w:val="24"/>
          <w:szCs w:val="24"/>
        </w:rPr>
        <w:t>ductus</w:t>
      </w:r>
      <w:proofErr w:type="spellEnd"/>
      <w:r>
        <w:rPr>
          <w:sz w:val="24"/>
          <w:szCs w:val="24"/>
        </w:rPr>
        <w:t xml:space="preserve"> </w:t>
      </w:r>
      <w:proofErr w:type="spellStart"/>
      <w:r>
        <w:rPr>
          <w:sz w:val="24"/>
          <w:szCs w:val="24"/>
        </w:rPr>
        <w:t>arteriosus</w:t>
      </w:r>
      <w:proofErr w:type="spellEnd"/>
      <w:r>
        <w:rPr>
          <w:sz w:val="24"/>
          <w:szCs w:val="24"/>
        </w:rPr>
        <w:t xml:space="preserve"> og </w:t>
      </w:r>
      <w:proofErr w:type="spellStart"/>
      <w:r>
        <w:rPr>
          <w:sz w:val="24"/>
          <w:szCs w:val="24"/>
        </w:rPr>
        <w:t>pulmonær</w:t>
      </w:r>
      <w:proofErr w:type="spellEnd"/>
      <w:r>
        <w:rPr>
          <w:sz w:val="24"/>
          <w:szCs w:val="24"/>
        </w:rPr>
        <w:t xml:space="preserve"> hypertension)</w:t>
      </w:r>
    </w:p>
    <w:p w:rsidR="003066B4" w:rsidRDefault="003066B4" w:rsidP="003066B4">
      <w:pPr>
        <w:ind w:left="1276" w:hanging="425"/>
        <w:rPr>
          <w:rFonts w:eastAsiaTheme="minorHAnsi"/>
          <w:sz w:val="24"/>
          <w:szCs w:val="24"/>
        </w:rPr>
      </w:pPr>
      <w:r>
        <w:rPr>
          <w:sz w:val="24"/>
          <w:szCs w:val="24"/>
        </w:rPr>
        <w:t>•</w:t>
      </w:r>
      <w:r>
        <w:rPr>
          <w:sz w:val="24"/>
          <w:szCs w:val="24"/>
        </w:rPr>
        <w:tab/>
      </w:r>
      <w:proofErr w:type="spellStart"/>
      <w:r>
        <w:rPr>
          <w:sz w:val="24"/>
          <w:szCs w:val="24"/>
        </w:rPr>
        <w:t>renal</w:t>
      </w:r>
      <w:proofErr w:type="spellEnd"/>
      <w:r>
        <w:rPr>
          <w:sz w:val="24"/>
          <w:szCs w:val="24"/>
        </w:rPr>
        <w:t xml:space="preserve"> dysfunktion, (se ovenfor)</w:t>
      </w:r>
    </w:p>
    <w:p w:rsidR="003066B4" w:rsidRDefault="003066B4" w:rsidP="003066B4">
      <w:pPr>
        <w:ind w:left="851"/>
        <w:rPr>
          <w:sz w:val="24"/>
          <w:szCs w:val="24"/>
        </w:rPr>
      </w:pPr>
    </w:p>
    <w:p w:rsidR="003066B4" w:rsidRDefault="003066B4" w:rsidP="003066B4">
      <w:pPr>
        <w:ind w:left="851"/>
        <w:rPr>
          <w:sz w:val="24"/>
          <w:szCs w:val="24"/>
        </w:rPr>
      </w:pPr>
      <w:r>
        <w:rPr>
          <w:sz w:val="24"/>
          <w:szCs w:val="24"/>
        </w:rPr>
        <w:t>og udsætte moderen og det nyfødte barn for:</w:t>
      </w:r>
    </w:p>
    <w:p w:rsidR="003066B4" w:rsidRDefault="003066B4" w:rsidP="003066B4">
      <w:pPr>
        <w:ind w:left="1276" w:hanging="425"/>
        <w:rPr>
          <w:sz w:val="24"/>
          <w:szCs w:val="24"/>
        </w:rPr>
      </w:pPr>
      <w:r>
        <w:rPr>
          <w:sz w:val="24"/>
          <w:szCs w:val="24"/>
        </w:rPr>
        <w:t>•</w:t>
      </w:r>
      <w:r>
        <w:rPr>
          <w:sz w:val="24"/>
          <w:szCs w:val="24"/>
        </w:rPr>
        <w:tab/>
        <w:t xml:space="preserve">forlænget blødningstid som følge af en nedsat aggregationsevne for </w:t>
      </w:r>
      <w:proofErr w:type="spellStart"/>
      <w:r>
        <w:rPr>
          <w:sz w:val="24"/>
          <w:szCs w:val="24"/>
        </w:rPr>
        <w:t>trombocytterne</w:t>
      </w:r>
      <w:proofErr w:type="spellEnd"/>
      <w:r>
        <w:rPr>
          <w:sz w:val="24"/>
          <w:szCs w:val="24"/>
        </w:rPr>
        <w:t>, hvilket kan forekomme selv ved meget lave doser</w:t>
      </w:r>
    </w:p>
    <w:p w:rsidR="003066B4" w:rsidRDefault="003066B4" w:rsidP="003066B4">
      <w:pPr>
        <w:ind w:left="1276" w:hanging="425"/>
        <w:rPr>
          <w:sz w:val="24"/>
          <w:szCs w:val="24"/>
        </w:rPr>
      </w:pPr>
      <w:r>
        <w:rPr>
          <w:sz w:val="24"/>
          <w:szCs w:val="24"/>
        </w:rPr>
        <w:t>•</w:t>
      </w:r>
      <w:r>
        <w:rPr>
          <w:sz w:val="24"/>
          <w:szCs w:val="24"/>
        </w:rPr>
        <w:tab/>
        <w:t>hæmning af livmoderkontraktioner, hvilket kan resultere i for sen eller forlænget fødsel.</w:t>
      </w:r>
    </w:p>
    <w:p w:rsidR="006D2694" w:rsidRPr="00B130FC" w:rsidRDefault="006D2694" w:rsidP="006D2694">
      <w:pPr>
        <w:ind w:left="851"/>
        <w:rPr>
          <w:rFonts w:eastAsiaTheme="minorHAnsi"/>
          <w:sz w:val="24"/>
          <w:szCs w:val="24"/>
        </w:rPr>
      </w:pPr>
    </w:p>
    <w:p w:rsidR="006D2694" w:rsidRPr="00B130FC" w:rsidRDefault="006D2694" w:rsidP="006D2694">
      <w:pPr>
        <w:ind w:left="851"/>
        <w:rPr>
          <w:sz w:val="24"/>
          <w:szCs w:val="24"/>
        </w:rPr>
      </w:pPr>
      <w:r w:rsidRPr="00B130FC">
        <w:rPr>
          <w:sz w:val="24"/>
          <w:szCs w:val="24"/>
        </w:rPr>
        <w:t xml:space="preserve">Som følge heraf er </w:t>
      </w:r>
      <w:proofErr w:type="spellStart"/>
      <w:r w:rsidRPr="00B130FC">
        <w:rPr>
          <w:sz w:val="24"/>
          <w:szCs w:val="24"/>
        </w:rPr>
        <w:t>ketorolac</w:t>
      </w:r>
      <w:proofErr w:type="spellEnd"/>
      <w:r w:rsidRPr="00B130FC">
        <w:rPr>
          <w:sz w:val="24"/>
          <w:szCs w:val="24"/>
        </w:rPr>
        <w:t xml:space="preserve"> kontraindiceret under det sidste trimester og under veer og fødsel (se pkt. 4.3).</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i/>
          <w:sz w:val="24"/>
          <w:szCs w:val="24"/>
        </w:rPr>
        <w:t xml:space="preserve">Veer og fødsel: </w:t>
      </w:r>
    </w:p>
    <w:p w:rsidR="006D2694" w:rsidRPr="00B130FC" w:rsidRDefault="006D2694" w:rsidP="006D2694">
      <w:pPr>
        <w:ind w:left="851"/>
        <w:rPr>
          <w:sz w:val="24"/>
          <w:szCs w:val="24"/>
        </w:rPr>
      </w:pPr>
      <w:proofErr w:type="spellStart"/>
      <w:r w:rsidRPr="00B130FC">
        <w:rPr>
          <w:sz w:val="24"/>
          <w:szCs w:val="24"/>
        </w:rPr>
        <w:t>Ketorolac</w:t>
      </w:r>
      <w:proofErr w:type="spellEnd"/>
      <w:r w:rsidRPr="00B130FC">
        <w:rPr>
          <w:sz w:val="24"/>
          <w:szCs w:val="24"/>
        </w:rPr>
        <w:t xml:space="preserve"> er kontraindiceret under fødsel og veer, da dets </w:t>
      </w:r>
      <w:proofErr w:type="spellStart"/>
      <w:r w:rsidRPr="00B130FC">
        <w:rPr>
          <w:sz w:val="24"/>
          <w:szCs w:val="24"/>
        </w:rPr>
        <w:t>prostaglandinsyntesehæmmende</w:t>
      </w:r>
      <w:proofErr w:type="spellEnd"/>
      <w:r w:rsidRPr="00B130FC">
        <w:rPr>
          <w:sz w:val="24"/>
          <w:szCs w:val="24"/>
        </w:rPr>
        <w:t xml:space="preserve"> virkning kan påvirke fostrets kredsløb og hæmme livmoderkontraktioner, hvilket kan resultere i for sen eller forlænget fødsel, samt øge risikoen for blødning fra livmoderen.</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u w:val="single" w:color="000000"/>
        </w:rPr>
        <w:t>Amning</w:t>
      </w:r>
    </w:p>
    <w:p w:rsidR="006D2694" w:rsidRPr="00B130FC" w:rsidRDefault="006D2694" w:rsidP="006D2694">
      <w:pPr>
        <w:ind w:left="851"/>
        <w:rPr>
          <w:rFonts w:eastAsiaTheme="minorHAnsi"/>
          <w:strike/>
          <w:sz w:val="24"/>
          <w:szCs w:val="24"/>
        </w:rPr>
      </w:pPr>
      <w:r w:rsidRPr="00B130FC">
        <w:rPr>
          <w:sz w:val="24"/>
          <w:szCs w:val="24"/>
        </w:rPr>
        <w:t xml:space="preserve">Det er påvist, at </w:t>
      </w:r>
      <w:proofErr w:type="spellStart"/>
      <w:r w:rsidRPr="00B130FC">
        <w:rPr>
          <w:sz w:val="24"/>
          <w:szCs w:val="24"/>
        </w:rPr>
        <w:t>ketorolac</w:t>
      </w:r>
      <w:proofErr w:type="spellEnd"/>
      <w:r w:rsidRPr="00B130FC">
        <w:rPr>
          <w:sz w:val="24"/>
          <w:szCs w:val="24"/>
        </w:rPr>
        <w:t xml:space="preserve"> og dets metabolitter passerer over i fostret og mælk hos dyr. </w:t>
      </w:r>
      <w:proofErr w:type="spellStart"/>
      <w:r w:rsidRPr="00B130FC">
        <w:rPr>
          <w:sz w:val="24"/>
          <w:szCs w:val="24"/>
        </w:rPr>
        <w:t>Ketorolac</w:t>
      </w:r>
      <w:proofErr w:type="spellEnd"/>
      <w:r w:rsidRPr="00B130FC">
        <w:rPr>
          <w:sz w:val="24"/>
          <w:szCs w:val="24"/>
        </w:rPr>
        <w:t xml:space="preserve"> er påvist i human mælk ved lave koncentrationer, og derfor er </w:t>
      </w:r>
      <w:proofErr w:type="spellStart"/>
      <w:r w:rsidRPr="00B130FC">
        <w:rPr>
          <w:sz w:val="24"/>
          <w:szCs w:val="24"/>
        </w:rPr>
        <w:t>ketorolac</w:t>
      </w:r>
      <w:proofErr w:type="spellEnd"/>
      <w:r w:rsidRPr="00B130FC">
        <w:rPr>
          <w:sz w:val="24"/>
          <w:szCs w:val="24"/>
        </w:rPr>
        <w:t xml:space="preserve"> kontraindiceret hos kvinder, der ammer.</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u w:val="single" w:color="000000"/>
        </w:rPr>
        <w:t>Fertilitet:</w:t>
      </w:r>
    </w:p>
    <w:p w:rsidR="006D2694" w:rsidRPr="00B130FC" w:rsidRDefault="006D2694" w:rsidP="006D2694">
      <w:pPr>
        <w:ind w:left="851"/>
        <w:rPr>
          <w:rFonts w:eastAsiaTheme="minorHAnsi"/>
          <w:sz w:val="24"/>
          <w:szCs w:val="24"/>
        </w:rPr>
      </w:pPr>
      <w:r w:rsidRPr="00B130FC">
        <w:rPr>
          <w:sz w:val="24"/>
          <w:szCs w:val="24"/>
        </w:rPr>
        <w:t xml:space="preserve">Som med andre lægemidler, der hæmmer </w:t>
      </w:r>
      <w:proofErr w:type="spellStart"/>
      <w:r w:rsidRPr="00B130FC">
        <w:rPr>
          <w:sz w:val="24"/>
          <w:szCs w:val="24"/>
        </w:rPr>
        <w:t>cyclooxygenase</w:t>
      </w:r>
      <w:proofErr w:type="spellEnd"/>
      <w:r w:rsidRPr="00B130FC">
        <w:rPr>
          <w:sz w:val="24"/>
          <w:szCs w:val="24"/>
        </w:rPr>
        <w:t>/</w:t>
      </w:r>
      <w:proofErr w:type="spellStart"/>
      <w:r w:rsidRPr="00B130FC">
        <w:rPr>
          <w:sz w:val="24"/>
          <w:szCs w:val="24"/>
        </w:rPr>
        <w:t>prostaglandinsyntese</w:t>
      </w:r>
      <w:proofErr w:type="spellEnd"/>
      <w:r w:rsidRPr="00B130FC">
        <w:rPr>
          <w:sz w:val="24"/>
          <w:szCs w:val="24"/>
        </w:rPr>
        <w:t xml:space="preserve">, kan anvendelse af </w:t>
      </w:r>
      <w:proofErr w:type="spellStart"/>
      <w:r w:rsidRPr="00B130FC">
        <w:rPr>
          <w:sz w:val="24"/>
          <w:szCs w:val="24"/>
        </w:rPr>
        <w:t>ketorolac</w:t>
      </w:r>
      <w:proofErr w:type="spellEnd"/>
      <w:r w:rsidRPr="00B130FC">
        <w:rPr>
          <w:sz w:val="24"/>
          <w:szCs w:val="24"/>
        </w:rPr>
        <w:t xml:space="preserve"> sænke fertiliteten og anbefales derfor ikke til kvinder, der forsøger at blive gravide. </w:t>
      </w:r>
      <w:proofErr w:type="spellStart"/>
      <w:r w:rsidRPr="00B130FC">
        <w:rPr>
          <w:sz w:val="24"/>
          <w:szCs w:val="24"/>
        </w:rPr>
        <w:t>Seponering</w:t>
      </w:r>
      <w:proofErr w:type="spellEnd"/>
      <w:r w:rsidRPr="00B130FC">
        <w:rPr>
          <w:sz w:val="24"/>
          <w:szCs w:val="24"/>
        </w:rPr>
        <w:t xml:space="preserve"> af </w:t>
      </w:r>
      <w:proofErr w:type="spellStart"/>
      <w:r w:rsidRPr="00B130FC">
        <w:rPr>
          <w:sz w:val="24"/>
          <w:szCs w:val="24"/>
        </w:rPr>
        <w:t>ketorolac</w:t>
      </w:r>
      <w:proofErr w:type="spellEnd"/>
      <w:r w:rsidRPr="00B130FC">
        <w:rPr>
          <w:sz w:val="24"/>
          <w:szCs w:val="24"/>
        </w:rPr>
        <w:t xml:space="preserve"> bør overvejes hos kvinder, der har vanskeligt ved at blive gravide, eller som testes for </w:t>
      </w:r>
      <w:proofErr w:type="spellStart"/>
      <w:r w:rsidRPr="00B130FC">
        <w:rPr>
          <w:sz w:val="24"/>
          <w:szCs w:val="24"/>
        </w:rPr>
        <w:t>infertilitet</w:t>
      </w:r>
      <w:proofErr w:type="spellEnd"/>
      <w:r w:rsidRPr="00B130FC">
        <w:rPr>
          <w:sz w:val="24"/>
          <w:szCs w:val="24"/>
        </w:rPr>
        <w:t>.</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4.7</w:t>
      </w:r>
      <w:r w:rsidRPr="00B130FC">
        <w:rPr>
          <w:b/>
          <w:sz w:val="24"/>
          <w:szCs w:val="24"/>
        </w:rPr>
        <w:tab/>
        <w:t>Virkning</w:t>
      </w:r>
      <w:r w:rsidR="003066B4">
        <w:rPr>
          <w:b/>
          <w:sz w:val="24"/>
          <w:szCs w:val="24"/>
        </w:rPr>
        <w:t xml:space="preserve"> </w:t>
      </w:r>
      <w:r w:rsidRPr="00B130FC">
        <w:rPr>
          <w:b/>
          <w:sz w:val="24"/>
          <w:szCs w:val="24"/>
        </w:rPr>
        <w:t xml:space="preserve">på evnen til at føre motorkøretøj </w:t>
      </w:r>
      <w:r w:rsidR="003066B4">
        <w:rPr>
          <w:b/>
          <w:sz w:val="24"/>
          <w:szCs w:val="24"/>
        </w:rPr>
        <w:t>og</w:t>
      </w:r>
      <w:r w:rsidRPr="00B130FC">
        <w:rPr>
          <w:b/>
          <w:sz w:val="24"/>
          <w:szCs w:val="24"/>
        </w:rPr>
        <w:t xml:space="preserve"> betjene maskiner</w:t>
      </w:r>
    </w:p>
    <w:p w:rsidR="006D2694" w:rsidRDefault="006D2694" w:rsidP="006D2694">
      <w:pPr>
        <w:spacing w:line="244" w:lineRule="auto"/>
        <w:ind w:left="851" w:right="378"/>
        <w:rPr>
          <w:sz w:val="24"/>
          <w:szCs w:val="24"/>
        </w:rPr>
      </w:pPr>
      <w:r>
        <w:rPr>
          <w:sz w:val="24"/>
          <w:szCs w:val="24"/>
        </w:rPr>
        <w:t>Ikke mærkning.</w:t>
      </w:r>
    </w:p>
    <w:p w:rsidR="006D2694" w:rsidRPr="00B130FC" w:rsidRDefault="006D2694" w:rsidP="006D2694">
      <w:pPr>
        <w:spacing w:line="244" w:lineRule="auto"/>
        <w:ind w:left="851" w:right="378"/>
        <w:rPr>
          <w:sz w:val="24"/>
          <w:szCs w:val="24"/>
          <w:lang w:eastAsia="en-GB"/>
        </w:rPr>
      </w:pPr>
      <w:r w:rsidRPr="00B130FC">
        <w:rPr>
          <w:sz w:val="24"/>
          <w:szCs w:val="24"/>
        </w:rPr>
        <w:t xml:space="preserve">Lægemidlet kan påvirke evnen til at føre motorkøretøj og betjene maskiner, da svimmelhed, sløvhed og hovedpine kan forekomme under anvendelse af </w:t>
      </w:r>
      <w:proofErr w:type="spellStart"/>
      <w:r w:rsidRPr="00B130FC">
        <w:rPr>
          <w:sz w:val="24"/>
          <w:szCs w:val="24"/>
        </w:rPr>
        <w:t>ketorolac</w:t>
      </w:r>
      <w:proofErr w:type="spellEnd"/>
      <w:r w:rsidRPr="00B130FC">
        <w:rPr>
          <w:sz w:val="24"/>
          <w:szCs w:val="24"/>
        </w:rPr>
        <w:t>.</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4.8</w:t>
      </w:r>
      <w:r w:rsidRPr="00B130FC">
        <w:rPr>
          <w:b/>
          <w:sz w:val="24"/>
          <w:szCs w:val="24"/>
        </w:rPr>
        <w:tab/>
        <w:t>Bivirkninger</w:t>
      </w:r>
    </w:p>
    <w:p w:rsidR="006D2694" w:rsidRPr="00B130FC" w:rsidRDefault="006D2694" w:rsidP="006D2694">
      <w:pPr>
        <w:pStyle w:val="Brdtekst"/>
        <w:ind w:left="851" w:right="607"/>
        <w:rPr>
          <w:rFonts w:cs="Times New Roman"/>
        </w:rPr>
      </w:pPr>
      <w:r w:rsidRPr="00B130FC">
        <w:rPr>
          <w:rFonts w:cs="Times New Roman"/>
        </w:rPr>
        <w:t xml:space="preserve">De mest almindelige rapporterede bivirkninger stammer fra centralnervesystemet, </w:t>
      </w:r>
      <w:r>
        <w:rPr>
          <w:rFonts w:cs="Times New Roman"/>
        </w:rPr>
        <w:t>f.eks.</w:t>
      </w:r>
      <w:r w:rsidRPr="00B130FC">
        <w:rPr>
          <w:rFonts w:cs="Times New Roman"/>
        </w:rPr>
        <w:t xml:space="preserve"> hovedpine, svimmelhed og sløvhed, og fra </w:t>
      </w:r>
      <w:proofErr w:type="spellStart"/>
      <w:r w:rsidRPr="00B130FC">
        <w:rPr>
          <w:rFonts w:cs="Times New Roman"/>
        </w:rPr>
        <w:t>gastrointestinalkanalen</w:t>
      </w:r>
      <w:proofErr w:type="spellEnd"/>
      <w:r w:rsidRPr="00B130FC">
        <w:rPr>
          <w:rFonts w:cs="Times New Roman"/>
        </w:rPr>
        <w:t xml:space="preserve">, </w:t>
      </w:r>
      <w:r>
        <w:rPr>
          <w:rFonts w:cs="Times New Roman"/>
        </w:rPr>
        <w:t>f.eks.</w:t>
      </w:r>
      <w:r w:rsidRPr="00B130FC">
        <w:rPr>
          <w:rFonts w:cs="Times New Roman"/>
        </w:rPr>
        <w:t xml:space="preserve"> dyspepsi, kvalme, </w:t>
      </w:r>
      <w:proofErr w:type="spellStart"/>
      <w:r w:rsidRPr="00B130FC">
        <w:rPr>
          <w:rFonts w:cs="Times New Roman"/>
        </w:rPr>
        <w:t>gastrointestinale</w:t>
      </w:r>
      <w:proofErr w:type="spellEnd"/>
      <w:r w:rsidRPr="00B130FC">
        <w:rPr>
          <w:rFonts w:cs="Times New Roman"/>
        </w:rPr>
        <w:t xml:space="preserve"> smerter og irritation. Ved parenteral administration er der rapporteret smerte på injektionsstedet hos ca. 2 % af patienterne.</w:t>
      </w:r>
    </w:p>
    <w:p w:rsidR="006D2694" w:rsidRPr="00B130FC" w:rsidRDefault="006D2694" w:rsidP="006D2694">
      <w:pPr>
        <w:pStyle w:val="Brdtekst"/>
        <w:ind w:left="851" w:right="848"/>
        <w:rPr>
          <w:rFonts w:cs="Times New Roman"/>
        </w:rPr>
      </w:pPr>
    </w:p>
    <w:p w:rsidR="006D2694" w:rsidRPr="00B130FC" w:rsidRDefault="006D2694" w:rsidP="006D2694">
      <w:pPr>
        <w:pStyle w:val="Brdtekst"/>
        <w:ind w:left="851" w:right="848"/>
        <w:rPr>
          <w:rFonts w:cs="Times New Roman"/>
        </w:rPr>
      </w:pPr>
      <w:r w:rsidRPr="00B130FC">
        <w:rPr>
          <w:rFonts w:cs="Times New Roman"/>
        </w:rPr>
        <w:t xml:space="preserve">Bivirkningerne, som er set hos patienter behandlet med </w:t>
      </w:r>
      <w:proofErr w:type="spellStart"/>
      <w:r w:rsidRPr="00B130FC">
        <w:rPr>
          <w:rFonts w:cs="Times New Roman"/>
        </w:rPr>
        <w:t>Ketorolac</w:t>
      </w:r>
      <w:proofErr w:type="spellEnd"/>
      <w:r w:rsidRPr="00B130FC">
        <w:rPr>
          <w:rFonts w:cs="Times New Roman"/>
        </w:rPr>
        <w:t xml:space="preserve"> trometamol </w:t>
      </w:r>
      <w:r>
        <w:rPr>
          <w:rFonts w:cs="Times New Roman"/>
        </w:rPr>
        <w:t>"S.A.L.F."</w:t>
      </w:r>
      <w:r w:rsidRPr="00B130FC">
        <w:rPr>
          <w:rFonts w:cs="Times New Roman"/>
        </w:rPr>
        <w:t>, fremgår af nedenstående tabel:</w:t>
      </w:r>
    </w:p>
    <w:p w:rsidR="006D2694" w:rsidRPr="00B130FC" w:rsidRDefault="006D2694" w:rsidP="006D2694">
      <w:pPr>
        <w:pStyle w:val="Brdtekst"/>
        <w:ind w:left="851" w:right="848"/>
        <w:rPr>
          <w:rFonts w:cs="Times New Roman"/>
        </w:rPr>
      </w:pPr>
    </w:p>
    <w:tbl>
      <w:tblPr>
        <w:tblStyle w:val="Grigliatabella1"/>
        <w:tblW w:w="0" w:type="auto"/>
        <w:tblInd w:w="0" w:type="dxa"/>
        <w:tblLayout w:type="fixed"/>
        <w:tblCellMar>
          <w:top w:w="57" w:type="dxa"/>
          <w:left w:w="57" w:type="dxa"/>
          <w:bottom w:w="57" w:type="dxa"/>
          <w:right w:w="57" w:type="dxa"/>
        </w:tblCellMar>
        <w:tblLook w:val="01E0" w:firstRow="1" w:lastRow="1" w:firstColumn="1" w:lastColumn="1" w:noHBand="0" w:noVBand="0"/>
      </w:tblPr>
      <w:tblGrid>
        <w:gridCol w:w="1876"/>
        <w:gridCol w:w="1924"/>
        <w:gridCol w:w="1978"/>
        <w:gridCol w:w="1698"/>
        <w:gridCol w:w="2152"/>
      </w:tblGrid>
      <w:tr w:rsidR="006D2694" w:rsidRPr="00B130FC" w:rsidTr="003066B4">
        <w:trPr>
          <w:trHeight w:val="20"/>
          <w:tblHeader/>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6"/>
              <w:ind w:left="80"/>
              <w:jc w:val="center"/>
              <w:rPr>
                <w:rFonts w:ascii="Times New Roman" w:eastAsia="Times New Roman" w:hAnsi="Times New Roman" w:cs="Times New Roman"/>
                <w:sz w:val="20"/>
                <w:szCs w:val="20"/>
              </w:rPr>
            </w:pPr>
            <w:r w:rsidRPr="00B130FC">
              <w:rPr>
                <w:rFonts w:ascii="Times New Roman" w:hAnsi="Times New Roman" w:cs="Times New Roman"/>
                <w:b/>
                <w:sz w:val="20"/>
                <w:szCs w:val="20"/>
              </w:rPr>
              <w:t>Organsystem</w:t>
            </w:r>
          </w:p>
        </w:tc>
        <w:tc>
          <w:tcPr>
            <w:tcW w:w="1924"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6"/>
              <w:ind w:left="80" w:right="1"/>
              <w:jc w:val="center"/>
              <w:rPr>
                <w:rFonts w:ascii="Times New Roman" w:hAnsi="Times New Roman" w:cs="Times New Roman"/>
                <w:b/>
                <w:sz w:val="20"/>
                <w:szCs w:val="20"/>
              </w:rPr>
            </w:pPr>
            <w:r w:rsidRPr="00B130FC">
              <w:rPr>
                <w:rFonts w:ascii="Times New Roman" w:hAnsi="Times New Roman" w:cs="Times New Roman"/>
                <w:b/>
                <w:sz w:val="20"/>
                <w:szCs w:val="20"/>
              </w:rPr>
              <w:t>Almindelig</w:t>
            </w:r>
          </w:p>
          <w:p w:rsidR="006D2694" w:rsidRPr="00B130FC" w:rsidRDefault="006D2694" w:rsidP="003B4BCE">
            <w:pPr>
              <w:pStyle w:val="TableParagraph"/>
              <w:spacing w:before="6"/>
              <w:ind w:left="80" w:right="1"/>
              <w:jc w:val="center"/>
              <w:rPr>
                <w:rFonts w:ascii="Times New Roman" w:eastAsia="Times New Roman" w:hAnsi="Times New Roman" w:cs="Times New Roman"/>
                <w:sz w:val="20"/>
                <w:szCs w:val="20"/>
              </w:rPr>
            </w:pPr>
            <w:r w:rsidRPr="00B130FC">
              <w:rPr>
                <w:rFonts w:ascii="Times New Roman" w:hAnsi="Times New Roman" w:cs="Times New Roman"/>
                <w:b/>
                <w:bCs/>
                <w:sz w:val="20"/>
                <w:szCs w:val="20"/>
              </w:rPr>
              <w:t>(≥1/100 til &lt;1/10)</w:t>
            </w: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6"/>
              <w:ind w:left="80"/>
              <w:jc w:val="center"/>
              <w:rPr>
                <w:rFonts w:ascii="Times New Roman" w:hAnsi="Times New Roman" w:cs="Times New Roman"/>
                <w:b/>
                <w:sz w:val="20"/>
                <w:szCs w:val="20"/>
              </w:rPr>
            </w:pPr>
            <w:r w:rsidRPr="00B130FC">
              <w:rPr>
                <w:rFonts w:ascii="Times New Roman" w:hAnsi="Times New Roman" w:cs="Times New Roman"/>
                <w:b/>
                <w:sz w:val="20"/>
                <w:szCs w:val="20"/>
              </w:rPr>
              <w:t>Ikke almindelig</w:t>
            </w:r>
          </w:p>
          <w:p w:rsidR="006D2694" w:rsidRPr="00B130FC" w:rsidRDefault="006D2694" w:rsidP="003B4BCE">
            <w:pPr>
              <w:pStyle w:val="TableParagraph"/>
              <w:spacing w:before="6"/>
              <w:ind w:left="80"/>
              <w:jc w:val="center"/>
              <w:rPr>
                <w:rFonts w:ascii="Times New Roman" w:eastAsia="Times New Roman" w:hAnsi="Times New Roman" w:cs="Times New Roman"/>
                <w:sz w:val="20"/>
                <w:szCs w:val="20"/>
              </w:rPr>
            </w:pPr>
            <w:r w:rsidRPr="00B130FC">
              <w:rPr>
                <w:rFonts w:ascii="Times New Roman" w:hAnsi="Times New Roman" w:cs="Times New Roman"/>
                <w:b/>
                <w:bCs/>
                <w:sz w:val="20"/>
                <w:szCs w:val="20"/>
              </w:rPr>
              <w:t>(≥1/1 000 til</w:t>
            </w:r>
            <w:r w:rsidRPr="00B130FC">
              <w:rPr>
                <w:rFonts w:ascii="Times New Roman" w:hAnsi="Times New Roman" w:cs="Times New Roman"/>
                <w:b/>
                <w:sz w:val="20"/>
                <w:szCs w:val="20"/>
              </w:rPr>
              <w:t xml:space="preserve"> &lt;1/100)</w:t>
            </w: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6"/>
              <w:ind w:left="80"/>
              <w:jc w:val="center"/>
              <w:rPr>
                <w:rFonts w:ascii="Times New Roman" w:hAnsi="Times New Roman" w:cs="Times New Roman"/>
                <w:b/>
                <w:sz w:val="20"/>
                <w:szCs w:val="20"/>
              </w:rPr>
            </w:pPr>
            <w:r w:rsidRPr="00B130FC">
              <w:rPr>
                <w:rFonts w:ascii="Times New Roman" w:hAnsi="Times New Roman" w:cs="Times New Roman"/>
                <w:b/>
                <w:sz w:val="20"/>
                <w:szCs w:val="20"/>
              </w:rPr>
              <w:t>Sjælden</w:t>
            </w:r>
          </w:p>
          <w:p w:rsidR="006D2694" w:rsidRPr="00B130FC" w:rsidRDefault="006D2694" w:rsidP="003B4BCE">
            <w:pPr>
              <w:pStyle w:val="TableParagraph"/>
              <w:spacing w:before="6"/>
              <w:ind w:left="80"/>
              <w:jc w:val="center"/>
              <w:rPr>
                <w:rFonts w:ascii="Times New Roman" w:eastAsia="Times New Roman" w:hAnsi="Times New Roman" w:cs="Times New Roman"/>
                <w:sz w:val="20"/>
                <w:szCs w:val="20"/>
              </w:rPr>
            </w:pPr>
            <w:r w:rsidRPr="00B130FC">
              <w:rPr>
                <w:rFonts w:ascii="Times New Roman" w:hAnsi="Times New Roman" w:cs="Times New Roman"/>
                <w:b/>
                <w:bCs/>
                <w:sz w:val="20"/>
                <w:szCs w:val="20"/>
              </w:rPr>
              <w:t>(≥1/10 000 til</w:t>
            </w:r>
            <w:r w:rsidRPr="00B130FC">
              <w:rPr>
                <w:rFonts w:ascii="Times New Roman" w:hAnsi="Times New Roman" w:cs="Times New Roman"/>
                <w:b/>
                <w:sz w:val="20"/>
                <w:szCs w:val="20"/>
              </w:rPr>
              <w:t xml:space="preserve"> &lt;1/1 000)</w:t>
            </w: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6"/>
              <w:ind w:left="80" w:right="2"/>
              <w:jc w:val="center"/>
              <w:rPr>
                <w:rFonts w:ascii="Times New Roman" w:eastAsia="Times New Roman" w:hAnsi="Times New Roman" w:cs="Times New Roman"/>
                <w:sz w:val="20"/>
                <w:szCs w:val="20"/>
              </w:rPr>
            </w:pPr>
            <w:r w:rsidRPr="00B130FC">
              <w:rPr>
                <w:rFonts w:ascii="Times New Roman" w:hAnsi="Times New Roman" w:cs="Times New Roman"/>
                <w:b/>
                <w:sz w:val="20"/>
                <w:szCs w:val="20"/>
              </w:rPr>
              <w:t>Ikke kendt</w:t>
            </w: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Hjerte</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Hjertesvigt</w:t>
            </w: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276"/>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Palpitationer</w:t>
            </w:r>
            <w:proofErr w:type="spellEnd"/>
            <w:r w:rsidRPr="00B130FC">
              <w:rPr>
                <w:rFonts w:ascii="Times New Roman" w:hAnsi="Times New Roman" w:cs="Times New Roman"/>
                <w:sz w:val="20"/>
                <w:szCs w:val="20"/>
              </w:rPr>
              <w:t>, bradykardi</w:t>
            </w: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86"/>
              <w:rPr>
                <w:rFonts w:ascii="Times New Roman" w:eastAsia="Times New Roman" w:hAnsi="Times New Roman" w:cs="Times New Roman"/>
                <w:sz w:val="20"/>
                <w:szCs w:val="20"/>
              </w:rPr>
            </w:pPr>
            <w:r w:rsidRPr="00B130FC">
              <w:rPr>
                <w:rFonts w:ascii="Times New Roman" w:hAnsi="Times New Roman" w:cs="Times New Roman"/>
                <w:sz w:val="20"/>
                <w:szCs w:val="20"/>
              </w:rPr>
              <w:t>Blod og lymfesystem</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Trombocytopeni</w:t>
            </w:r>
            <w:proofErr w:type="spellEnd"/>
          </w:p>
        </w:tc>
        <w:tc>
          <w:tcPr>
            <w:tcW w:w="2152"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86"/>
              <w:rPr>
                <w:rFonts w:ascii="Times New Roman" w:eastAsia="Times New Roman" w:hAnsi="Times New Roman" w:cs="Times New Roman"/>
                <w:sz w:val="20"/>
                <w:szCs w:val="20"/>
              </w:rPr>
            </w:pPr>
            <w:r w:rsidRPr="00B130FC">
              <w:rPr>
                <w:rFonts w:ascii="Times New Roman" w:hAnsi="Times New Roman" w:cs="Times New Roman"/>
                <w:sz w:val="20"/>
                <w:szCs w:val="20"/>
              </w:rPr>
              <w:lastRenderedPageBreak/>
              <w:t>Nervesystemet</w:t>
            </w:r>
          </w:p>
        </w:tc>
        <w:tc>
          <w:tcPr>
            <w:tcW w:w="1924"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692"/>
              <w:rPr>
                <w:rFonts w:ascii="Times New Roman" w:eastAsia="Times New Roman" w:hAnsi="Times New Roman" w:cs="Times New Roman"/>
                <w:sz w:val="20"/>
                <w:szCs w:val="20"/>
              </w:rPr>
            </w:pPr>
            <w:r w:rsidRPr="00B130FC">
              <w:rPr>
                <w:rFonts w:ascii="Times New Roman" w:hAnsi="Times New Roman" w:cs="Times New Roman"/>
                <w:sz w:val="20"/>
                <w:szCs w:val="20"/>
              </w:rPr>
              <w:t>Hovedpine, svimmelhed</w:t>
            </w: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43"/>
              <w:rPr>
                <w:rFonts w:ascii="Times New Roman" w:hAnsi="Times New Roman" w:cs="Times New Roman"/>
                <w:sz w:val="20"/>
                <w:szCs w:val="20"/>
              </w:rPr>
            </w:pPr>
            <w:proofErr w:type="spellStart"/>
            <w:r w:rsidRPr="00B130FC">
              <w:rPr>
                <w:rFonts w:ascii="Times New Roman" w:hAnsi="Times New Roman" w:cs="Times New Roman"/>
                <w:sz w:val="20"/>
                <w:szCs w:val="20"/>
              </w:rPr>
              <w:t>Paræstesi</w:t>
            </w:r>
            <w:proofErr w:type="spellEnd"/>
            <w:r w:rsidRPr="00B130FC">
              <w:rPr>
                <w:rFonts w:ascii="Times New Roman" w:hAnsi="Times New Roman" w:cs="Times New Roman"/>
                <w:sz w:val="20"/>
                <w:szCs w:val="20"/>
              </w:rPr>
              <w:t>,</w:t>
            </w:r>
          </w:p>
          <w:p w:rsidR="006D2694" w:rsidRPr="00B130FC" w:rsidRDefault="006D2694" w:rsidP="003B4BCE">
            <w:pPr>
              <w:pStyle w:val="TableParagraph"/>
              <w:spacing w:before="1" w:line="244" w:lineRule="auto"/>
              <w:ind w:left="80" w:right="43"/>
              <w:rPr>
                <w:rFonts w:ascii="Times New Roman" w:eastAsia="Times New Roman" w:hAnsi="Times New Roman" w:cs="Times New Roman"/>
                <w:sz w:val="20"/>
                <w:szCs w:val="20"/>
              </w:rPr>
            </w:pPr>
            <w:r w:rsidRPr="00B130FC">
              <w:rPr>
                <w:rFonts w:ascii="Times New Roman" w:hAnsi="Times New Roman" w:cs="Times New Roman"/>
                <w:sz w:val="20"/>
                <w:szCs w:val="20"/>
              </w:rPr>
              <w:t>smagsforstyrrelser</w:t>
            </w: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564"/>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Krampe, </w:t>
            </w:r>
            <w:proofErr w:type="spellStart"/>
            <w:r w:rsidRPr="00B130FC">
              <w:rPr>
                <w:rFonts w:ascii="Times New Roman" w:hAnsi="Times New Roman" w:cs="Times New Roman"/>
                <w:sz w:val="20"/>
                <w:szCs w:val="20"/>
              </w:rPr>
              <w:t>hyperkinesi</w:t>
            </w:r>
            <w:proofErr w:type="spellEnd"/>
          </w:p>
        </w:tc>
        <w:tc>
          <w:tcPr>
            <w:tcW w:w="2152"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Øjne</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ight="51"/>
              <w:rPr>
                <w:rFonts w:ascii="Times New Roman" w:eastAsia="Times New Roman" w:hAnsi="Times New Roman" w:cs="Times New Roman"/>
                <w:sz w:val="20"/>
                <w:szCs w:val="20"/>
              </w:rPr>
            </w:pPr>
            <w:r w:rsidRPr="00B130FC">
              <w:rPr>
                <w:rFonts w:ascii="Times New Roman" w:hAnsi="Times New Roman" w:cs="Times New Roman"/>
                <w:sz w:val="20"/>
                <w:szCs w:val="20"/>
              </w:rPr>
              <w:t>Synsforstyrrelser</w:t>
            </w:r>
          </w:p>
        </w:tc>
        <w:tc>
          <w:tcPr>
            <w:tcW w:w="169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2152"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tabs>
                <w:tab w:val="left" w:pos="1075"/>
              </w:tabs>
              <w:spacing w:before="1" w:line="244" w:lineRule="auto"/>
              <w:ind w:left="80" w:right="86"/>
              <w:rPr>
                <w:rFonts w:ascii="Times New Roman" w:eastAsia="Times New Roman" w:hAnsi="Times New Roman" w:cs="Times New Roman"/>
                <w:sz w:val="20"/>
                <w:szCs w:val="20"/>
              </w:rPr>
            </w:pPr>
            <w:r w:rsidRPr="00B130FC">
              <w:rPr>
                <w:rFonts w:ascii="Times New Roman" w:hAnsi="Times New Roman" w:cs="Times New Roman"/>
                <w:sz w:val="20"/>
                <w:szCs w:val="20"/>
              </w:rPr>
              <w:t>Øre og labyrint</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Nedsat hørelse</w:t>
            </w: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928"/>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Tinnitus, </w:t>
            </w:r>
            <w:proofErr w:type="spellStart"/>
            <w:r w:rsidRPr="00B130FC">
              <w:rPr>
                <w:rFonts w:ascii="Times New Roman" w:hAnsi="Times New Roman" w:cs="Times New Roman"/>
                <w:sz w:val="20"/>
                <w:szCs w:val="20"/>
              </w:rPr>
              <w:t>vertigo</w:t>
            </w:r>
            <w:proofErr w:type="spellEnd"/>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tabs>
                <w:tab w:val="left" w:pos="1500"/>
              </w:tabs>
              <w:spacing w:before="1" w:line="244" w:lineRule="auto"/>
              <w:ind w:left="80" w:right="86"/>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Luftveje, thorax og </w:t>
            </w:r>
            <w:proofErr w:type="spellStart"/>
            <w:r w:rsidRPr="00B130FC">
              <w:rPr>
                <w:rFonts w:ascii="Times New Roman" w:hAnsi="Times New Roman" w:cs="Times New Roman"/>
                <w:sz w:val="20"/>
                <w:szCs w:val="20"/>
              </w:rPr>
              <w:t>mediastinum</w:t>
            </w:r>
            <w:proofErr w:type="spellEnd"/>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45"/>
              <w:rPr>
                <w:rFonts w:ascii="Times New Roman" w:hAnsi="Times New Roman" w:cs="Times New Roman"/>
                <w:sz w:val="20"/>
                <w:szCs w:val="20"/>
              </w:rPr>
            </w:pPr>
            <w:r w:rsidRPr="00B130FC">
              <w:rPr>
                <w:rFonts w:ascii="Times New Roman" w:hAnsi="Times New Roman" w:cs="Times New Roman"/>
                <w:sz w:val="20"/>
                <w:szCs w:val="20"/>
              </w:rPr>
              <w:t xml:space="preserve">Astma, </w:t>
            </w:r>
          </w:p>
          <w:p w:rsidR="006D2694" w:rsidRPr="00B130FC" w:rsidRDefault="006D2694" w:rsidP="003B4BCE">
            <w:pPr>
              <w:pStyle w:val="TableParagraph"/>
              <w:spacing w:before="1" w:line="244" w:lineRule="auto"/>
              <w:ind w:left="80" w:right="45"/>
              <w:rPr>
                <w:rFonts w:ascii="Times New Roman" w:hAnsi="Times New Roman" w:cs="Times New Roman"/>
                <w:sz w:val="20"/>
                <w:szCs w:val="20"/>
              </w:rPr>
            </w:pPr>
            <w:r w:rsidRPr="00B130FC">
              <w:rPr>
                <w:rFonts w:ascii="Times New Roman" w:hAnsi="Times New Roman" w:cs="Times New Roman"/>
                <w:sz w:val="20"/>
                <w:szCs w:val="20"/>
              </w:rPr>
              <w:t xml:space="preserve">dyspnø, </w:t>
            </w:r>
          </w:p>
          <w:p w:rsidR="006D2694" w:rsidRPr="00B130FC" w:rsidRDefault="006D2694" w:rsidP="003B4BCE">
            <w:pPr>
              <w:pStyle w:val="TableParagraph"/>
              <w:spacing w:before="1" w:line="244" w:lineRule="auto"/>
              <w:ind w:left="80" w:right="45"/>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epistaxis</w:t>
            </w:r>
            <w:proofErr w:type="spellEnd"/>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Lungeødem</w:t>
            </w:r>
          </w:p>
        </w:tc>
        <w:tc>
          <w:tcPr>
            <w:tcW w:w="2152"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Mave-tarm-kanalen</w:t>
            </w:r>
          </w:p>
        </w:tc>
        <w:tc>
          <w:tcPr>
            <w:tcW w:w="1924" w:type="dxa"/>
            <w:tcBorders>
              <w:top w:val="single" w:sz="4" w:space="0" w:color="auto"/>
              <w:left w:val="single" w:sz="4" w:space="0" w:color="auto"/>
              <w:bottom w:val="single" w:sz="4" w:space="0" w:color="auto"/>
              <w:right w:val="single" w:sz="4" w:space="0" w:color="auto"/>
            </w:tcBorders>
            <w:hideMark/>
          </w:tcPr>
          <w:p w:rsidR="006D2694" w:rsidRPr="00B130FC" w:rsidRDefault="006D2694" w:rsidP="00993280">
            <w:pPr>
              <w:pStyle w:val="TableParagraph"/>
              <w:spacing w:before="1" w:line="244" w:lineRule="auto"/>
              <w:ind w:left="80" w:right="206"/>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Kvalme, dyspepsi, </w:t>
            </w:r>
            <w:proofErr w:type="spellStart"/>
            <w:r w:rsidRPr="00B130FC">
              <w:rPr>
                <w:rFonts w:ascii="Times New Roman" w:hAnsi="Times New Roman" w:cs="Times New Roman"/>
                <w:sz w:val="20"/>
                <w:szCs w:val="20"/>
              </w:rPr>
              <w:t>abdominalsmerter</w:t>
            </w:r>
            <w:proofErr w:type="spellEnd"/>
            <w:r w:rsidRPr="00B130FC">
              <w:rPr>
                <w:rFonts w:ascii="Times New Roman" w:hAnsi="Times New Roman" w:cs="Times New Roman"/>
                <w:sz w:val="20"/>
                <w:szCs w:val="20"/>
              </w:rPr>
              <w:t>,</w:t>
            </w:r>
          </w:p>
          <w:p w:rsidR="006D2694" w:rsidRPr="00B130FC" w:rsidRDefault="006D2694" w:rsidP="003B4BCE">
            <w:pPr>
              <w:pStyle w:val="TableParagraph"/>
              <w:spacing w:line="275" w:lineRule="exact"/>
              <w:ind w:left="80"/>
              <w:rPr>
                <w:rFonts w:ascii="Times New Roman" w:eastAsia="Times New Roman" w:hAnsi="Times New Roman" w:cs="Times New Roman"/>
                <w:sz w:val="20"/>
                <w:szCs w:val="20"/>
              </w:rPr>
            </w:pPr>
            <w:r w:rsidRPr="00B130FC">
              <w:rPr>
                <w:rFonts w:ascii="Times New Roman" w:hAnsi="Times New Roman" w:cs="Times New Roman"/>
                <w:sz w:val="20"/>
                <w:szCs w:val="20"/>
              </w:rPr>
              <w:t>diarré</w:t>
            </w: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tabs>
                <w:tab w:val="left" w:pos="1297"/>
              </w:tabs>
              <w:spacing w:before="1" w:line="244" w:lineRule="auto"/>
              <w:ind w:left="80" w:right="45"/>
              <w:rPr>
                <w:rFonts w:ascii="Times New Roman" w:hAnsi="Times New Roman" w:cs="Times New Roman"/>
                <w:sz w:val="20"/>
                <w:szCs w:val="20"/>
              </w:rPr>
            </w:pPr>
            <w:proofErr w:type="spellStart"/>
            <w:r w:rsidRPr="00B130FC">
              <w:rPr>
                <w:rFonts w:ascii="Times New Roman" w:hAnsi="Times New Roman" w:cs="Times New Roman"/>
                <w:sz w:val="20"/>
                <w:szCs w:val="20"/>
              </w:rPr>
              <w:t>Melæna</w:t>
            </w:r>
            <w:proofErr w:type="spellEnd"/>
            <w:r w:rsidRPr="00B130FC">
              <w:rPr>
                <w:rFonts w:ascii="Times New Roman" w:hAnsi="Times New Roman" w:cs="Times New Roman"/>
                <w:sz w:val="20"/>
                <w:szCs w:val="20"/>
              </w:rPr>
              <w:t xml:space="preserve">, </w:t>
            </w:r>
          </w:p>
          <w:p w:rsidR="006D2694" w:rsidRPr="00B130FC" w:rsidRDefault="006D2694" w:rsidP="003B4BCE">
            <w:pPr>
              <w:pStyle w:val="TableParagraph"/>
              <w:tabs>
                <w:tab w:val="left" w:pos="1297"/>
              </w:tabs>
              <w:spacing w:before="1" w:line="244" w:lineRule="auto"/>
              <w:ind w:left="80" w:right="45"/>
              <w:rPr>
                <w:rFonts w:ascii="Times New Roman" w:hAnsi="Times New Roman" w:cs="Times New Roman"/>
                <w:sz w:val="20"/>
                <w:szCs w:val="20"/>
              </w:rPr>
            </w:pPr>
            <w:r w:rsidRPr="00B130FC">
              <w:rPr>
                <w:rFonts w:ascii="Times New Roman" w:hAnsi="Times New Roman" w:cs="Times New Roman"/>
                <w:sz w:val="20"/>
                <w:szCs w:val="20"/>
              </w:rPr>
              <w:t xml:space="preserve">opkastning, </w:t>
            </w:r>
          </w:p>
          <w:p w:rsidR="006D2694" w:rsidRPr="00B130FC" w:rsidRDefault="006D2694" w:rsidP="003B4BCE">
            <w:pPr>
              <w:pStyle w:val="TableParagraph"/>
              <w:tabs>
                <w:tab w:val="left" w:pos="1297"/>
              </w:tabs>
              <w:spacing w:before="1" w:line="244" w:lineRule="auto"/>
              <w:ind w:left="80" w:right="45"/>
              <w:rPr>
                <w:rFonts w:ascii="Times New Roman" w:hAnsi="Times New Roman" w:cs="Times New Roman"/>
                <w:sz w:val="20"/>
                <w:szCs w:val="20"/>
              </w:rPr>
            </w:pPr>
            <w:proofErr w:type="spellStart"/>
            <w:r w:rsidRPr="00B130FC">
              <w:rPr>
                <w:rFonts w:ascii="Times New Roman" w:hAnsi="Times New Roman" w:cs="Times New Roman"/>
                <w:sz w:val="20"/>
                <w:szCs w:val="20"/>
              </w:rPr>
              <w:t>stomatit</w:t>
            </w:r>
            <w:proofErr w:type="spellEnd"/>
            <w:r w:rsidRPr="00B130FC">
              <w:rPr>
                <w:rFonts w:ascii="Times New Roman" w:hAnsi="Times New Roman" w:cs="Times New Roman"/>
                <w:sz w:val="20"/>
                <w:szCs w:val="20"/>
              </w:rPr>
              <w:t xml:space="preserve">, </w:t>
            </w:r>
          </w:p>
          <w:p w:rsidR="006D2694" w:rsidRPr="00B130FC" w:rsidRDefault="006D2694" w:rsidP="003B4BCE">
            <w:pPr>
              <w:pStyle w:val="TableParagraph"/>
              <w:tabs>
                <w:tab w:val="left" w:pos="1297"/>
              </w:tabs>
              <w:spacing w:before="1" w:line="244" w:lineRule="auto"/>
              <w:ind w:left="80" w:right="45"/>
              <w:rPr>
                <w:rFonts w:ascii="Times New Roman" w:hAnsi="Times New Roman" w:cs="Times New Roman"/>
                <w:sz w:val="20"/>
                <w:szCs w:val="20"/>
              </w:rPr>
            </w:pPr>
            <w:r w:rsidRPr="00B130FC">
              <w:rPr>
                <w:rFonts w:ascii="Times New Roman" w:hAnsi="Times New Roman" w:cs="Times New Roman"/>
                <w:sz w:val="20"/>
                <w:szCs w:val="20"/>
              </w:rPr>
              <w:t xml:space="preserve">ulcus, obstipation, </w:t>
            </w:r>
            <w:proofErr w:type="spellStart"/>
            <w:r w:rsidRPr="00B130FC">
              <w:rPr>
                <w:rFonts w:ascii="Times New Roman" w:hAnsi="Times New Roman" w:cs="Times New Roman"/>
                <w:sz w:val="20"/>
                <w:szCs w:val="20"/>
              </w:rPr>
              <w:t>flatulens</w:t>
            </w:r>
            <w:proofErr w:type="spellEnd"/>
            <w:r w:rsidRPr="00B130FC">
              <w:rPr>
                <w:rFonts w:ascii="Times New Roman" w:hAnsi="Times New Roman" w:cs="Times New Roman"/>
                <w:sz w:val="20"/>
                <w:szCs w:val="20"/>
              </w:rPr>
              <w:t xml:space="preserve">, </w:t>
            </w:r>
          </w:p>
          <w:p w:rsidR="006D2694" w:rsidRPr="00B130FC" w:rsidRDefault="006D2694" w:rsidP="003B4BCE">
            <w:pPr>
              <w:pStyle w:val="TableParagraph"/>
              <w:tabs>
                <w:tab w:val="left" w:pos="1297"/>
              </w:tabs>
              <w:spacing w:before="1" w:line="244" w:lineRule="auto"/>
              <w:ind w:left="80" w:right="45"/>
              <w:rPr>
                <w:rFonts w:ascii="Times New Roman" w:hAnsi="Times New Roman" w:cs="Times New Roman"/>
                <w:sz w:val="20"/>
                <w:szCs w:val="20"/>
              </w:rPr>
            </w:pPr>
            <w:proofErr w:type="spellStart"/>
            <w:r w:rsidRPr="00B130FC">
              <w:rPr>
                <w:rFonts w:ascii="Times New Roman" w:hAnsi="Times New Roman" w:cs="Times New Roman"/>
                <w:sz w:val="20"/>
                <w:szCs w:val="20"/>
              </w:rPr>
              <w:t>rektalblødning</w:t>
            </w:r>
            <w:proofErr w:type="spellEnd"/>
            <w:r w:rsidRPr="00B130FC">
              <w:rPr>
                <w:rFonts w:ascii="Times New Roman" w:hAnsi="Times New Roman" w:cs="Times New Roman"/>
                <w:sz w:val="20"/>
                <w:szCs w:val="20"/>
              </w:rPr>
              <w:t xml:space="preserve">, gastrit, </w:t>
            </w:r>
          </w:p>
          <w:p w:rsidR="006D2694" w:rsidRPr="00B130FC" w:rsidRDefault="006D2694" w:rsidP="003B4BCE">
            <w:pPr>
              <w:pStyle w:val="TableParagraph"/>
              <w:tabs>
                <w:tab w:val="left" w:pos="1297"/>
              </w:tabs>
              <w:spacing w:before="1" w:line="244" w:lineRule="auto"/>
              <w:ind w:left="80" w:right="45"/>
              <w:rPr>
                <w:rFonts w:ascii="Times New Roman" w:hAnsi="Times New Roman" w:cs="Times New Roman"/>
                <w:sz w:val="20"/>
                <w:szCs w:val="20"/>
              </w:rPr>
            </w:pPr>
            <w:proofErr w:type="spellStart"/>
            <w:r w:rsidRPr="00B130FC">
              <w:rPr>
                <w:rFonts w:ascii="Times New Roman" w:hAnsi="Times New Roman" w:cs="Times New Roman"/>
                <w:sz w:val="20"/>
                <w:szCs w:val="20"/>
              </w:rPr>
              <w:t>ulcerativ</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stomatit</w:t>
            </w:r>
            <w:proofErr w:type="spellEnd"/>
            <w:r w:rsidRPr="00B130FC">
              <w:rPr>
                <w:rFonts w:ascii="Times New Roman" w:hAnsi="Times New Roman" w:cs="Times New Roman"/>
                <w:sz w:val="20"/>
                <w:szCs w:val="20"/>
              </w:rPr>
              <w:t xml:space="preserve">, </w:t>
            </w:r>
          </w:p>
          <w:p w:rsidR="006D2694" w:rsidRPr="00B130FC" w:rsidRDefault="006D2694" w:rsidP="003B4BCE">
            <w:pPr>
              <w:pStyle w:val="TableParagraph"/>
              <w:tabs>
                <w:tab w:val="left" w:pos="1297"/>
              </w:tabs>
              <w:spacing w:before="1" w:line="244" w:lineRule="auto"/>
              <w:ind w:left="80" w:right="45"/>
              <w:rPr>
                <w:rFonts w:ascii="Times New Roman" w:eastAsia="Times New Roman" w:hAnsi="Times New Roman" w:cs="Times New Roman"/>
                <w:sz w:val="20"/>
                <w:szCs w:val="20"/>
              </w:rPr>
            </w:pPr>
            <w:r w:rsidRPr="00B130FC">
              <w:rPr>
                <w:rFonts w:ascii="Times New Roman" w:hAnsi="Times New Roman" w:cs="Times New Roman"/>
                <w:sz w:val="20"/>
                <w:szCs w:val="20"/>
              </w:rPr>
              <w:t>mundtørhed</w:t>
            </w: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125"/>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Gastrointestinal</w:t>
            </w:r>
            <w:proofErr w:type="spellEnd"/>
            <w:r w:rsidRPr="00B130FC">
              <w:rPr>
                <w:rFonts w:ascii="Times New Roman" w:hAnsi="Times New Roman" w:cs="Times New Roman"/>
                <w:sz w:val="20"/>
                <w:szCs w:val="20"/>
              </w:rPr>
              <w:t xml:space="preserve"> blødning, </w:t>
            </w:r>
            <w:proofErr w:type="spellStart"/>
            <w:r w:rsidRPr="00B130FC">
              <w:rPr>
                <w:rFonts w:ascii="Times New Roman" w:hAnsi="Times New Roman" w:cs="Times New Roman"/>
                <w:sz w:val="20"/>
                <w:szCs w:val="20"/>
              </w:rPr>
              <w:t>gastrointestinal</w:t>
            </w:r>
            <w:proofErr w:type="spellEnd"/>
            <w:r w:rsidRPr="00B130FC">
              <w:rPr>
                <w:rFonts w:ascii="Times New Roman" w:hAnsi="Times New Roman" w:cs="Times New Roman"/>
                <w:sz w:val="20"/>
                <w:szCs w:val="20"/>
              </w:rPr>
              <w:t xml:space="preserve"> perforering, </w:t>
            </w:r>
            <w:proofErr w:type="spellStart"/>
            <w:r w:rsidRPr="00B130FC">
              <w:rPr>
                <w:rFonts w:ascii="Times New Roman" w:hAnsi="Times New Roman" w:cs="Times New Roman"/>
                <w:sz w:val="20"/>
                <w:szCs w:val="20"/>
              </w:rPr>
              <w:t>hæmatemese</w:t>
            </w:r>
            <w:proofErr w:type="spellEnd"/>
            <w:r w:rsidRPr="00B130FC">
              <w:rPr>
                <w:rFonts w:ascii="Times New Roman" w:hAnsi="Times New Roman" w:cs="Times New Roman"/>
                <w:sz w:val="20"/>
                <w:szCs w:val="20"/>
              </w:rPr>
              <w:t xml:space="preserve">, forværring af ulcerøs </w:t>
            </w:r>
            <w:proofErr w:type="spellStart"/>
            <w:r w:rsidRPr="00B130FC">
              <w:rPr>
                <w:rFonts w:ascii="Times New Roman" w:hAnsi="Times New Roman" w:cs="Times New Roman"/>
                <w:sz w:val="20"/>
                <w:szCs w:val="20"/>
              </w:rPr>
              <w:t>colit</w:t>
            </w:r>
            <w:proofErr w:type="spellEnd"/>
            <w:r w:rsidRPr="00B130FC">
              <w:rPr>
                <w:rFonts w:ascii="Times New Roman" w:hAnsi="Times New Roman" w:cs="Times New Roman"/>
                <w:sz w:val="20"/>
                <w:szCs w:val="20"/>
              </w:rPr>
              <w:t xml:space="preserve"> og </w:t>
            </w:r>
            <w:proofErr w:type="spellStart"/>
            <w:r w:rsidRPr="00B130FC">
              <w:rPr>
                <w:rFonts w:ascii="Times New Roman" w:hAnsi="Times New Roman" w:cs="Times New Roman"/>
                <w:sz w:val="20"/>
                <w:szCs w:val="20"/>
              </w:rPr>
              <w:t>Crohns</w:t>
            </w:r>
            <w:proofErr w:type="spellEnd"/>
            <w:r w:rsidRPr="00B130FC">
              <w:rPr>
                <w:rFonts w:ascii="Times New Roman" w:hAnsi="Times New Roman" w:cs="Times New Roman"/>
                <w:sz w:val="20"/>
                <w:szCs w:val="20"/>
              </w:rPr>
              <w:t xml:space="preserve"> sygdom</w:t>
            </w: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993280">
            <w:pPr>
              <w:pStyle w:val="TableParagraph"/>
              <w:spacing w:before="1" w:line="244" w:lineRule="auto"/>
              <w:ind w:left="80" w:right="73"/>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Øsofagit</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pancreatit</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peptisk</w:t>
            </w:r>
            <w:proofErr w:type="spellEnd"/>
            <w:r w:rsidRPr="00B130FC">
              <w:rPr>
                <w:rFonts w:ascii="Times New Roman" w:hAnsi="Times New Roman" w:cs="Times New Roman"/>
                <w:sz w:val="20"/>
                <w:szCs w:val="20"/>
              </w:rPr>
              <w:t xml:space="preserve"> ulcus, opstød, mæthedsfornemmelse</w:t>
            </w:r>
          </w:p>
        </w:tc>
      </w:tr>
      <w:tr w:rsidR="006D2694" w:rsidRPr="00CE12FE"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Nyrer og urinveje</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Øget </w:t>
            </w:r>
            <w:proofErr w:type="spellStart"/>
            <w:r w:rsidRPr="00B130FC">
              <w:rPr>
                <w:rFonts w:ascii="Times New Roman" w:hAnsi="Times New Roman" w:cs="Times New Roman"/>
                <w:sz w:val="20"/>
                <w:szCs w:val="20"/>
              </w:rPr>
              <w:t>miktionsfrekvens</w:t>
            </w:r>
            <w:proofErr w:type="spellEnd"/>
            <w:r w:rsidRPr="00B130FC">
              <w:rPr>
                <w:rFonts w:ascii="Times New Roman" w:hAnsi="Times New Roman" w:cs="Times New Roman"/>
                <w:sz w:val="20"/>
                <w:szCs w:val="20"/>
              </w:rPr>
              <w:t xml:space="preserve">, </w:t>
            </w:r>
          </w:p>
          <w:p w:rsidR="006D2694" w:rsidRPr="00B130FC" w:rsidRDefault="006D2694" w:rsidP="003B4BCE">
            <w:pPr>
              <w:pStyle w:val="TableParagraph"/>
              <w:spacing w:before="1"/>
              <w:ind w:left="80"/>
              <w:rPr>
                <w:rFonts w:ascii="Times New Roman" w:hAnsi="Times New Roman" w:cs="Times New Roman"/>
                <w:sz w:val="20"/>
                <w:szCs w:val="20"/>
              </w:rPr>
            </w:pPr>
            <w:proofErr w:type="spellStart"/>
            <w:r w:rsidRPr="00B130FC">
              <w:rPr>
                <w:rFonts w:ascii="Times New Roman" w:hAnsi="Times New Roman" w:cs="Times New Roman"/>
                <w:sz w:val="20"/>
                <w:szCs w:val="20"/>
              </w:rPr>
              <w:t>oliguri</w:t>
            </w:r>
            <w:proofErr w:type="spellEnd"/>
            <w:r w:rsidRPr="00B130FC">
              <w:rPr>
                <w:rFonts w:ascii="Times New Roman" w:hAnsi="Times New Roman" w:cs="Times New Roman"/>
                <w:sz w:val="20"/>
                <w:szCs w:val="20"/>
              </w:rPr>
              <w:t>,</w:t>
            </w:r>
          </w:p>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urinretention</w:t>
            </w: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Akut nyresvigt, flankesmerter med eller uden hæmaturi og/eller </w:t>
            </w:r>
            <w:proofErr w:type="spellStart"/>
            <w:r w:rsidRPr="00B130FC">
              <w:rPr>
                <w:rFonts w:ascii="Times New Roman" w:hAnsi="Times New Roman" w:cs="Times New Roman"/>
                <w:sz w:val="20"/>
                <w:szCs w:val="20"/>
              </w:rPr>
              <w:t>azotæmi</w:t>
            </w:r>
            <w:proofErr w:type="spellEnd"/>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lang w:val="sv-SE"/>
              </w:rPr>
            </w:pPr>
            <w:proofErr w:type="spellStart"/>
            <w:r w:rsidRPr="00B130FC">
              <w:rPr>
                <w:rFonts w:ascii="Times New Roman" w:hAnsi="Times New Roman" w:cs="Times New Roman"/>
                <w:sz w:val="20"/>
                <w:szCs w:val="20"/>
                <w:lang w:val="sv-SE"/>
              </w:rPr>
              <w:t>Interstitiel</w:t>
            </w:r>
            <w:proofErr w:type="spellEnd"/>
            <w:r w:rsidRPr="00B130FC">
              <w:rPr>
                <w:rFonts w:ascii="Times New Roman" w:hAnsi="Times New Roman" w:cs="Times New Roman"/>
                <w:sz w:val="20"/>
                <w:szCs w:val="20"/>
                <w:lang w:val="sv-SE"/>
              </w:rPr>
              <w:t xml:space="preserve"> nefrit, </w:t>
            </w:r>
            <w:proofErr w:type="spellStart"/>
            <w:r w:rsidRPr="00B130FC">
              <w:rPr>
                <w:rFonts w:ascii="Times New Roman" w:hAnsi="Times New Roman" w:cs="Times New Roman"/>
                <w:sz w:val="20"/>
                <w:szCs w:val="20"/>
                <w:lang w:val="sv-SE"/>
              </w:rPr>
              <w:t>nefrotisk</w:t>
            </w:r>
            <w:proofErr w:type="spellEnd"/>
            <w:r w:rsidRPr="00B130FC">
              <w:rPr>
                <w:rFonts w:ascii="Times New Roman" w:hAnsi="Times New Roman" w:cs="Times New Roman"/>
                <w:sz w:val="20"/>
                <w:szCs w:val="20"/>
                <w:lang w:val="sv-SE"/>
              </w:rPr>
              <w:t xml:space="preserve"> syndrom, </w:t>
            </w:r>
            <w:proofErr w:type="spellStart"/>
            <w:r w:rsidRPr="00B130FC">
              <w:rPr>
                <w:rFonts w:ascii="Times New Roman" w:hAnsi="Times New Roman" w:cs="Times New Roman"/>
                <w:sz w:val="20"/>
                <w:szCs w:val="20"/>
                <w:lang w:val="sv-SE"/>
              </w:rPr>
              <w:t>hæmolytisk</w:t>
            </w:r>
            <w:proofErr w:type="spellEnd"/>
            <w:r w:rsidRPr="00B130FC">
              <w:rPr>
                <w:rFonts w:ascii="Times New Roman" w:hAnsi="Times New Roman" w:cs="Times New Roman"/>
                <w:sz w:val="20"/>
                <w:szCs w:val="20"/>
                <w:lang w:val="sv-SE"/>
              </w:rPr>
              <w:t xml:space="preserve"> </w:t>
            </w:r>
            <w:proofErr w:type="spellStart"/>
            <w:r w:rsidRPr="00B130FC">
              <w:rPr>
                <w:rFonts w:ascii="Times New Roman" w:hAnsi="Times New Roman" w:cs="Times New Roman"/>
                <w:sz w:val="20"/>
                <w:szCs w:val="20"/>
                <w:lang w:val="sv-SE"/>
              </w:rPr>
              <w:t>uræmisk</w:t>
            </w:r>
            <w:proofErr w:type="spellEnd"/>
            <w:r w:rsidRPr="00B130FC">
              <w:rPr>
                <w:rFonts w:ascii="Times New Roman" w:hAnsi="Times New Roman" w:cs="Times New Roman"/>
                <w:sz w:val="20"/>
                <w:szCs w:val="20"/>
                <w:lang w:val="sv-SE"/>
              </w:rPr>
              <w:t xml:space="preserve"> syndrom</w:t>
            </w:r>
          </w:p>
        </w:tc>
      </w:tr>
      <w:tr w:rsidR="006D2694" w:rsidRPr="00B130FC" w:rsidTr="003066B4">
        <w:trPr>
          <w:trHeight w:val="2056"/>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Hud og subkutane væv</w:t>
            </w:r>
          </w:p>
        </w:tc>
        <w:tc>
          <w:tcPr>
            <w:tcW w:w="1924"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Svedudbrud</w:t>
            </w: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Kløe, </w:t>
            </w:r>
          </w:p>
          <w:p w:rsidR="006D2694" w:rsidRPr="00B130FC" w:rsidRDefault="006D2694" w:rsidP="003B4BCE">
            <w:pPr>
              <w:pStyle w:val="TableParagraph"/>
              <w:spacing w:before="1"/>
              <w:ind w:left="80"/>
              <w:rPr>
                <w:rFonts w:ascii="Times New Roman" w:hAnsi="Times New Roman" w:cs="Times New Roman"/>
                <w:sz w:val="20"/>
                <w:szCs w:val="20"/>
              </w:rPr>
            </w:pPr>
            <w:proofErr w:type="spellStart"/>
            <w:r w:rsidRPr="00B130FC">
              <w:rPr>
                <w:rFonts w:ascii="Times New Roman" w:hAnsi="Times New Roman" w:cs="Times New Roman"/>
                <w:sz w:val="20"/>
                <w:szCs w:val="20"/>
              </w:rPr>
              <w:t>urticaria</w:t>
            </w:r>
            <w:proofErr w:type="spellEnd"/>
            <w:r w:rsidRPr="00B130FC">
              <w:rPr>
                <w:rFonts w:ascii="Times New Roman" w:hAnsi="Times New Roman" w:cs="Times New Roman"/>
                <w:sz w:val="20"/>
                <w:szCs w:val="20"/>
              </w:rPr>
              <w:t xml:space="preserve">, </w:t>
            </w:r>
          </w:p>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rødmen, </w:t>
            </w:r>
          </w:p>
          <w:p w:rsidR="006D2694" w:rsidRPr="00B130FC" w:rsidRDefault="006D2694" w:rsidP="003B4BCE">
            <w:pPr>
              <w:pStyle w:val="TableParagraph"/>
              <w:spacing w:before="1"/>
              <w:ind w:left="80"/>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purpura</w:t>
            </w:r>
            <w:proofErr w:type="spellEnd"/>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hAnsi="Times New Roman" w:cs="Times New Roman"/>
                <w:sz w:val="20"/>
                <w:szCs w:val="20"/>
                <w:lang w:val="sv-SE"/>
              </w:rPr>
            </w:pPr>
            <w:proofErr w:type="spellStart"/>
            <w:r w:rsidRPr="00B130FC">
              <w:rPr>
                <w:rFonts w:ascii="Times New Roman" w:hAnsi="Times New Roman" w:cs="Times New Roman"/>
                <w:sz w:val="20"/>
                <w:szCs w:val="20"/>
                <w:lang w:val="sv-SE"/>
              </w:rPr>
              <w:t>Toksisk</w:t>
            </w:r>
            <w:proofErr w:type="spellEnd"/>
            <w:r w:rsidRPr="00B130FC">
              <w:rPr>
                <w:rFonts w:ascii="Times New Roman" w:hAnsi="Times New Roman" w:cs="Times New Roman"/>
                <w:sz w:val="20"/>
                <w:szCs w:val="20"/>
                <w:lang w:val="sv-SE"/>
              </w:rPr>
              <w:t xml:space="preserve"> </w:t>
            </w:r>
            <w:proofErr w:type="spellStart"/>
            <w:r w:rsidRPr="00B130FC">
              <w:rPr>
                <w:rFonts w:ascii="Times New Roman" w:hAnsi="Times New Roman" w:cs="Times New Roman"/>
                <w:sz w:val="20"/>
                <w:szCs w:val="20"/>
                <w:lang w:val="sv-SE"/>
              </w:rPr>
              <w:t>epidermal</w:t>
            </w:r>
            <w:proofErr w:type="spellEnd"/>
            <w:r w:rsidRPr="00B130FC">
              <w:rPr>
                <w:rFonts w:ascii="Times New Roman" w:hAnsi="Times New Roman" w:cs="Times New Roman"/>
                <w:sz w:val="20"/>
                <w:szCs w:val="20"/>
                <w:lang w:val="sv-SE"/>
              </w:rPr>
              <w:t xml:space="preserve"> </w:t>
            </w:r>
            <w:proofErr w:type="spellStart"/>
            <w:r w:rsidRPr="00B130FC">
              <w:rPr>
                <w:rFonts w:ascii="Times New Roman" w:hAnsi="Times New Roman" w:cs="Times New Roman"/>
                <w:sz w:val="20"/>
                <w:szCs w:val="20"/>
                <w:lang w:val="sv-SE"/>
              </w:rPr>
              <w:t>nekrolyse</w:t>
            </w:r>
            <w:proofErr w:type="spellEnd"/>
            <w:r w:rsidRPr="00B130FC">
              <w:rPr>
                <w:rFonts w:ascii="Times New Roman" w:hAnsi="Times New Roman" w:cs="Times New Roman"/>
                <w:sz w:val="20"/>
                <w:szCs w:val="20"/>
                <w:lang w:val="sv-SE"/>
              </w:rPr>
              <w:t xml:space="preserve"> (</w:t>
            </w:r>
            <w:proofErr w:type="spellStart"/>
            <w:r w:rsidRPr="00B130FC">
              <w:rPr>
                <w:rFonts w:ascii="Times New Roman" w:hAnsi="Times New Roman" w:cs="Times New Roman"/>
                <w:sz w:val="20"/>
                <w:szCs w:val="20"/>
                <w:lang w:val="sv-SE"/>
              </w:rPr>
              <w:t>Lyells</w:t>
            </w:r>
            <w:proofErr w:type="spellEnd"/>
            <w:r w:rsidRPr="00B130FC">
              <w:rPr>
                <w:rFonts w:ascii="Times New Roman" w:hAnsi="Times New Roman" w:cs="Times New Roman"/>
                <w:sz w:val="20"/>
                <w:szCs w:val="20"/>
                <w:lang w:val="sv-SE"/>
              </w:rPr>
              <w:t xml:space="preserve"> syndrom), </w:t>
            </w:r>
          </w:p>
          <w:p w:rsidR="006D2694" w:rsidRPr="00B130FC" w:rsidRDefault="006D2694" w:rsidP="003B4BCE">
            <w:pPr>
              <w:pStyle w:val="TableParagraph"/>
              <w:spacing w:before="1"/>
              <w:ind w:left="80"/>
              <w:rPr>
                <w:rFonts w:ascii="Times New Roman" w:hAnsi="Times New Roman" w:cs="Times New Roman"/>
                <w:sz w:val="20"/>
                <w:szCs w:val="20"/>
                <w:lang w:val="sv-SE"/>
              </w:rPr>
            </w:pPr>
            <w:r w:rsidRPr="00B130FC">
              <w:rPr>
                <w:rFonts w:ascii="Times New Roman" w:hAnsi="Times New Roman" w:cs="Times New Roman"/>
                <w:sz w:val="20"/>
                <w:szCs w:val="20"/>
                <w:lang w:val="sv-SE"/>
              </w:rPr>
              <w:t xml:space="preserve">Stevens-Johnsons syndrom, </w:t>
            </w:r>
          </w:p>
          <w:p w:rsidR="006D2694" w:rsidRPr="00B130FC" w:rsidRDefault="006D2694" w:rsidP="003B4BCE">
            <w:pPr>
              <w:pStyle w:val="TableParagraph"/>
              <w:spacing w:before="1"/>
              <w:ind w:left="80"/>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exfoliativ</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dermatit</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maculopapuløst</w:t>
            </w:r>
            <w:proofErr w:type="spellEnd"/>
            <w:r w:rsidRPr="00B130FC">
              <w:rPr>
                <w:rFonts w:ascii="Times New Roman" w:hAnsi="Times New Roman" w:cs="Times New Roman"/>
                <w:sz w:val="20"/>
                <w:szCs w:val="20"/>
              </w:rPr>
              <w:t xml:space="preserve"> udslæt</w:t>
            </w: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Angioødem</w:t>
            </w:r>
            <w:proofErr w:type="spellEnd"/>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134"/>
              <w:rPr>
                <w:rFonts w:ascii="Times New Roman" w:eastAsia="Times New Roman" w:hAnsi="Times New Roman" w:cs="Times New Roman"/>
                <w:sz w:val="20"/>
                <w:szCs w:val="20"/>
              </w:rPr>
            </w:pPr>
            <w:r w:rsidRPr="00B130FC">
              <w:rPr>
                <w:rFonts w:ascii="Times New Roman" w:hAnsi="Times New Roman" w:cs="Times New Roman"/>
                <w:sz w:val="20"/>
                <w:szCs w:val="20"/>
              </w:rPr>
              <w:t>Knogler, led, muskler og bindevæv</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Myalgi</w:t>
            </w:r>
          </w:p>
        </w:tc>
        <w:tc>
          <w:tcPr>
            <w:tcW w:w="169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2152"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Vaskulære</w:t>
            </w:r>
            <w:proofErr w:type="spellEnd"/>
            <w:r w:rsidRPr="00B130FC">
              <w:rPr>
                <w:rFonts w:ascii="Times New Roman" w:hAnsi="Times New Roman" w:cs="Times New Roman"/>
                <w:sz w:val="20"/>
                <w:szCs w:val="20"/>
              </w:rPr>
              <w:t xml:space="preserve"> sygdomme</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993280">
            <w:pPr>
              <w:pStyle w:val="TableParagraph"/>
              <w:tabs>
                <w:tab w:val="left" w:pos="1593"/>
              </w:tabs>
              <w:spacing w:before="1" w:line="244" w:lineRule="auto"/>
              <w:ind w:left="80" w:right="337"/>
              <w:rPr>
                <w:rFonts w:ascii="Times New Roman" w:hAnsi="Times New Roman" w:cs="Times New Roman"/>
                <w:sz w:val="20"/>
                <w:szCs w:val="20"/>
              </w:rPr>
            </w:pPr>
            <w:r w:rsidRPr="00B130FC">
              <w:rPr>
                <w:rFonts w:ascii="Times New Roman" w:hAnsi="Times New Roman" w:cs="Times New Roman"/>
                <w:sz w:val="20"/>
                <w:szCs w:val="20"/>
              </w:rPr>
              <w:t xml:space="preserve">Hypertension, hypotension, </w:t>
            </w:r>
          </w:p>
          <w:p w:rsidR="006D2694" w:rsidRPr="00B130FC" w:rsidRDefault="006D2694" w:rsidP="003B4BCE">
            <w:pPr>
              <w:pStyle w:val="TableParagraph"/>
              <w:tabs>
                <w:tab w:val="left" w:pos="1593"/>
              </w:tabs>
              <w:spacing w:before="1" w:line="244" w:lineRule="auto"/>
              <w:ind w:left="80" w:right="392"/>
              <w:rPr>
                <w:rFonts w:ascii="Times New Roman" w:eastAsia="Times New Roman" w:hAnsi="Times New Roman" w:cs="Times New Roman"/>
                <w:sz w:val="20"/>
                <w:szCs w:val="20"/>
              </w:rPr>
            </w:pPr>
            <w:r w:rsidRPr="00B130FC">
              <w:rPr>
                <w:rFonts w:ascii="Times New Roman" w:hAnsi="Times New Roman" w:cs="Times New Roman"/>
                <w:sz w:val="20"/>
                <w:szCs w:val="20"/>
              </w:rPr>
              <w:t>postoperativ blødning</w:t>
            </w: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392"/>
              <w:rPr>
                <w:rFonts w:ascii="Times New Roman" w:hAnsi="Times New Roman" w:cs="Times New Roman"/>
                <w:sz w:val="20"/>
                <w:szCs w:val="20"/>
              </w:rPr>
            </w:pPr>
            <w:proofErr w:type="spellStart"/>
            <w:r w:rsidRPr="00B130FC">
              <w:rPr>
                <w:rFonts w:ascii="Times New Roman" w:hAnsi="Times New Roman" w:cs="Times New Roman"/>
                <w:sz w:val="20"/>
                <w:szCs w:val="20"/>
              </w:rPr>
              <w:t>Hæmatom</w:t>
            </w:r>
            <w:proofErr w:type="spellEnd"/>
            <w:r w:rsidRPr="00B130FC">
              <w:rPr>
                <w:rFonts w:ascii="Times New Roman" w:hAnsi="Times New Roman" w:cs="Times New Roman"/>
                <w:sz w:val="20"/>
                <w:szCs w:val="20"/>
              </w:rPr>
              <w:t xml:space="preserve">, rødmen, </w:t>
            </w:r>
          </w:p>
          <w:p w:rsidR="006D2694" w:rsidRPr="00B130FC" w:rsidRDefault="006D2694" w:rsidP="003B4BCE">
            <w:pPr>
              <w:pStyle w:val="TableParagraph"/>
              <w:spacing w:before="1" w:line="244" w:lineRule="auto"/>
              <w:ind w:left="80" w:right="392"/>
              <w:rPr>
                <w:rFonts w:ascii="Times New Roman" w:eastAsia="Times New Roman" w:hAnsi="Times New Roman" w:cs="Times New Roman"/>
                <w:sz w:val="20"/>
                <w:szCs w:val="20"/>
              </w:rPr>
            </w:pPr>
            <w:r w:rsidRPr="00B130FC">
              <w:rPr>
                <w:rFonts w:ascii="Times New Roman" w:hAnsi="Times New Roman" w:cs="Times New Roman"/>
                <w:sz w:val="20"/>
                <w:szCs w:val="20"/>
              </w:rPr>
              <w:t>bleghed</w:t>
            </w: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Almene symptomer og reaktioner på administrations</w:t>
            </w:r>
            <w:r w:rsidR="003066B4">
              <w:rPr>
                <w:rFonts w:ascii="Times New Roman" w:hAnsi="Times New Roman" w:cs="Times New Roman"/>
                <w:sz w:val="20"/>
                <w:szCs w:val="20"/>
              </w:rPr>
              <w:softHyphen/>
            </w:r>
            <w:r w:rsidRPr="00B130FC">
              <w:rPr>
                <w:rFonts w:ascii="Times New Roman" w:hAnsi="Times New Roman" w:cs="Times New Roman"/>
                <w:sz w:val="20"/>
                <w:szCs w:val="20"/>
              </w:rPr>
              <w:t>stedet</w:t>
            </w:r>
          </w:p>
        </w:tc>
        <w:tc>
          <w:tcPr>
            <w:tcW w:w="1924"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Ødem</w:t>
            </w: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Asteni,</w:t>
            </w:r>
          </w:p>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bleghed, </w:t>
            </w:r>
          </w:p>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stærk tørst</w:t>
            </w:r>
          </w:p>
        </w:tc>
        <w:tc>
          <w:tcPr>
            <w:tcW w:w="169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Reaktioner på injektionsstedet, </w:t>
            </w:r>
          </w:p>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feber, </w:t>
            </w:r>
          </w:p>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brystsmerter</w:t>
            </w: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Immunsystemet</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258"/>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Anafylaktiske</w:t>
            </w:r>
            <w:proofErr w:type="spellEnd"/>
            <w:r w:rsidRPr="00B130FC">
              <w:rPr>
                <w:rFonts w:ascii="Times New Roman" w:hAnsi="Times New Roman" w:cs="Times New Roman"/>
                <w:sz w:val="20"/>
                <w:szCs w:val="20"/>
              </w:rPr>
              <w:t xml:space="preserve"> reaktioner som </w:t>
            </w:r>
            <w:proofErr w:type="spellStart"/>
            <w:r w:rsidRPr="00B130FC">
              <w:rPr>
                <w:rFonts w:ascii="Times New Roman" w:hAnsi="Times New Roman" w:cs="Times New Roman"/>
                <w:sz w:val="20"/>
                <w:szCs w:val="20"/>
              </w:rPr>
              <w:t>bronkospasme</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larynxødem</w:t>
            </w:r>
            <w:proofErr w:type="spellEnd"/>
            <w:r w:rsidRPr="00B130FC">
              <w:rPr>
                <w:rFonts w:ascii="Times New Roman" w:hAnsi="Times New Roman" w:cs="Times New Roman"/>
                <w:sz w:val="20"/>
                <w:szCs w:val="20"/>
              </w:rPr>
              <w:t>, rødmen og hududslæt</w:t>
            </w:r>
          </w:p>
        </w:tc>
        <w:tc>
          <w:tcPr>
            <w:tcW w:w="2152"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Psykiske forstyrrelser</w:t>
            </w:r>
          </w:p>
        </w:tc>
        <w:tc>
          <w:tcPr>
            <w:tcW w:w="1924"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Døsighed</w:t>
            </w: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Abnorm tankevirksomhed, depression, </w:t>
            </w:r>
          </w:p>
          <w:p w:rsidR="006D2694" w:rsidRPr="00B130FC" w:rsidRDefault="006D2694" w:rsidP="00993280">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lastRenderedPageBreak/>
              <w:t>eufori, koncentrations</w:t>
            </w:r>
            <w:r w:rsidR="00993280">
              <w:rPr>
                <w:rFonts w:ascii="Times New Roman" w:hAnsi="Times New Roman" w:cs="Times New Roman"/>
                <w:sz w:val="20"/>
                <w:szCs w:val="20"/>
              </w:rPr>
              <w:softHyphen/>
            </w:r>
            <w:r w:rsidRPr="00B130FC">
              <w:rPr>
                <w:rFonts w:ascii="Times New Roman" w:hAnsi="Times New Roman" w:cs="Times New Roman"/>
                <w:sz w:val="20"/>
                <w:szCs w:val="20"/>
              </w:rPr>
              <w:t xml:space="preserve">besvær, </w:t>
            </w:r>
            <w:proofErr w:type="spellStart"/>
            <w:r w:rsidRPr="00B130FC">
              <w:rPr>
                <w:rFonts w:ascii="Times New Roman" w:hAnsi="Times New Roman" w:cs="Times New Roman"/>
                <w:sz w:val="20"/>
                <w:szCs w:val="20"/>
              </w:rPr>
              <w:t>insomnia</w:t>
            </w:r>
            <w:proofErr w:type="spellEnd"/>
            <w:r w:rsidRPr="00B130FC">
              <w:rPr>
                <w:rFonts w:ascii="Times New Roman" w:hAnsi="Times New Roman" w:cs="Times New Roman"/>
                <w:sz w:val="20"/>
                <w:szCs w:val="20"/>
              </w:rPr>
              <w:t>, nervøsitet</w:t>
            </w: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lastRenderedPageBreak/>
              <w:t>Abnorme drømme, hallucinationer</w:t>
            </w: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Angst, </w:t>
            </w:r>
          </w:p>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psykotiske reaktioner</w:t>
            </w: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274"/>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Metabolisme og ernæring </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462"/>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Anoreksi, </w:t>
            </w:r>
            <w:proofErr w:type="spellStart"/>
            <w:r w:rsidRPr="00B130FC">
              <w:rPr>
                <w:rFonts w:ascii="Times New Roman" w:hAnsi="Times New Roman" w:cs="Times New Roman"/>
                <w:sz w:val="20"/>
                <w:szCs w:val="20"/>
              </w:rPr>
              <w:t>hyperkaliæmi</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hyponatriæmi</w:t>
            </w:r>
            <w:proofErr w:type="spellEnd"/>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354"/>
              <w:rPr>
                <w:rFonts w:ascii="Times New Roman" w:eastAsia="Times New Roman" w:hAnsi="Times New Roman" w:cs="Times New Roman"/>
                <w:sz w:val="20"/>
                <w:szCs w:val="20"/>
              </w:rPr>
            </w:pPr>
            <w:r w:rsidRPr="00B130FC">
              <w:rPr>
                <w:rFonts w:ascii="Times New Roman" w:hAnsi="Times New Roman" w:cs="Times New Roman"/>
                <w:sz w:val="20"/>
                <w:szCs w:val="20"/>
              </w:rPr>
              <w:t>Infektioner og parasitære sygdomme</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875"/>
              <w:rPr>
                <w:rFonts w:ascii="Times New Roman" w:eastAsia="Times New Roman" w:hAnsi="Times New Roman" w:cs="Times New Roman"/>
                <w:sz w:val="20"/>
                <w:szCs w:val="20"/>
              </w:rPr>
            </w:pPr>
            <w:r w:rsidRPr="00B130FC">
              <w:rPr>
                <w:rFonts w:ascii="Times New Roman" w:hAnsi="Times New Roman" w:cs="Times New Roman"/>
                <w:sz w:val="20"/>
                <w:szCs w:val="20"/>
              </w:rPr>
              <w:t>Aseptisk meningitis</w:t>
            </w: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Lever og galdeveje</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Hepatitis, </w:t>
            </w:r>
          </w:p>
          <w:p w:rsidR="006D2694" w:rsidRPr="00B130FC" w:rsidRDefault="006D2694" w:rsidP="003B4BCE">
            <w:pPr>
              <w:pStyle w:val="TableParagraph"/>
              <w:spacing w:before="1"/>
              <w:ind w:left="80"/>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kolestatisk</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ikterus</w:t>
            </w:r>
            <w:proofErr w:type="spellEnd"/>
            <w:r w:rsidRPr="00B130FC">
              <w:rPr>
                <w:rFonts w:ascii="Times New Roman" w:hAnsi="Times New Roman" w:cs="Times New Roman"/>
                <w:sz w:val="20"/>
                <w:szCs w:val="20"/>
              </w:rPr>
              <w:t>, leversvigt</w:t>
            </w: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213"/>
              <w:rPr>
                <w:rFonts w:ascii="Times New Roman" w:eastAsia="Times New Roman" w:hAnsi="Times New Roman" w:cs="Times New Roman"/>
                <w:sz w:val="20"/>
                <w:szCs w:val="20"/>
              </w:rPr>
            </w:pPr>
            <w:r w:rsidRPr="00B130FC">
              <w:rPr>
                <w:rFonts w:ascii="Times New Roman" w:hAnsi="Times New Roman" w:cs="Times New Roman"/>
                <w:sz w:val="20"/>
                <w:szCs w:val="20"/>
              </w:rPr>
              <w:t>Det reproduktive system og mammae</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770"/>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Kvinder: </w:t>
            </w:r>
            <w:proofErr w:type="spellStart"/>
            <w:r w:rsidRPr="00B130FC">
              <w:rPr>
                <w:rFonts w:ascii="Times New Roman" w:hAnsi="Times New Roman" w:cs="Times New Roman"/>
                <w:sz w:val="20"/>
                <w:szCs w:val="20"/>
              </w:rPr>
              <w:t>Infertilitet</w:t>
            </w:r>
            <w:proofErr w:type="spellEnd"/>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Undersøgelser</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993280">
            <w:pPr>
              <w:pStyle w:val="TableParagraph"/>
              <w:spacing w:before="1" w:line="244" w:lineRule="auto"/>
              <w:ind w:left="80" w:right="60"/>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Forhøjet </w:t>
            </w:r>
            <w:proofErr w:type="spellStart"/>
            <w:r w:rsidRPr="00B130FC">
              <w:rPr>
                <w:rFonts w:ascii="Times New Roman" w:hAnsi="Times New Roman" w:cs="Times New Roman"/>
                <w:sz w:val="20"/>
                <w:szCs w:val="20"/>
              </w:rPr>
              <w:t>transaminaseværdier</w:t>
            </w:r>
            <w:proofErr w:type="spellEnd"/>
            <w:r w:rsidRPr="00B130FC">
              <w:rPr>
                <w:rFonts w:ascii="Times New Roman" w:hAnsi="Times New Roman" w:cs="Times New Roman"/>
                <w:sz w:val="20"/>
                <w:szCs w:val="20"/>
              </w:rPr>
              <w:t xml:space="preserve"> for </w:t>
            </w:r>
            <w:proofErr w:type="spellStart"/>
            <w:r w:rsidRPr="00B130FC">
              <w:rPr>
                <w:rFonts w:ascii="Times New Roman" w:hAnsi="Times New Roman" w:cs="Times New Roman"/>
                <w:sz w:val="20"/>
                <w:szCs w:val="20"/>
              </w:rPr>
              <w:t>serumaspartat</w:t>
            </w:r>
            <w:proofErr w:type="spellEnd"/>
            <w:r w:rsidRPr="00B130FC">
              <w:rPr>
                <w:rFonts w:ascii="Times New Roman" w:hAnsi="Times New Roman" w:cs="Times New Roman"/>
                <w:sz w:val="20"/>
                <w:szCs w:val="20"/>
              </w:rPr>
              <w:t xml:space="preserve"> (S-ASAT)</w:t>
            </w:r>
          </w:p>
        </w:tc>
        <w:tc>
          <w:tcPr>
            <w:tcW w:w="169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109"/>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Forlænget blødningstid, forhøjet serum-urinstof, forhøjede værdier for </w:t>
            </w:r>
            <w:proofErr w:type="spellStart"/>
            <w:r w:rsidRPr="00B130FC">
              <w:rPr>
                <w:rFonts w:ascii="Times New Roman" w:hAnsi="Times New Roman" w:cs="Times New Roman"/>
                <w:sz w:val="20"/>
                <w:szCs w:val="20"/>
              </w:rPr>
              <w:t>kreatinin</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hyperkalemi</w:t>
            </w:r>
            <w:proofErr w:type="spellEnd"/>
            <w:r w:rsidRPr="00B130FC">
              <w:rPr>
                <w:rFonts w:ascii="Times New Roman" w:hAnsi="Times New Roman" w:cs="Times New Roman"/>
                <w:sz w:val="20"/>
                <w:szCs w:val="20"/>
              </w:rPr>
              <w:t xml:space="preserve"> og </w:t>
            </w:r>
            <w:proofErr w:type="spellStart"/>
            <w:r w:rsidRPr="00B130FC">
              <w:rPr>
                <w:rFonts w:ascii="Times New Roman" w:hAnsi="Times New Roman" w:cs="Times New Roman"/>
                <w:sz w:val="20"/>
                <w:szCs w:val="20"/>
              </w:rPr>
              <w:t>hyponatremi</w:t>
            </w:r>
            <w:proofErr w:type="spellEnd"/>
            <w:r w:rsidRPr="00B130FC">
              <w:rPr>
                <w:rFonts w:ascii="Times New Roman" w:hAnsi="Times New Roman" w:cs="Times New Roman"/>
                <w:sz w:val="20"/>
                <w:szCs w:val="20"/>
              </w:rPr>
              <w:t>, unormale leverfunktionsværdier</w:t>
            </w:r>
          </w:p>
        </w:tc>
      </w:tr>
    </w:tbl>
    <w:p w:rsidR="006D2694" w:rsidRPr="00B130FC" w:rsidRDefault="006D2694" w:rsidP="006D2694">
      <w:pPr>
        <w:ind w:left="851"/>
        <w:rPr>
          <w:rFonts w:eastAsiaTheme="minorHAnsi"/>
          <w:sz w:val="24"/>
          <w:szCs w:val="24"/>
          <w:lang w:eastAsia="en-GB" w:bidi="en-GB"/>
        </w:rPr>
      </w:pPr>
    </w:p>
    <w:p w:rsidR="006D2694" w:rsidRPr="00B130FC" w:rsidRDefault="006D2694" w:rsidP="006D2694">
      <w:pPr>
        <w:ind w:left="851"/>
        <w:rPr>
          <w:sz w:val="24"/>
          <w:szCs w:val="24"/>
        </w:rPr>
      </w:pPr>
      <w:r w:rsidRPr="00B130FC">
        <w:rPr>
          <w:sz w:val="24"/>
          <w:szCs w:val="24"/>
        </w:rPr>
        <w:t xml:space="preserve">Eksempler på nyresygdomme, som kan sættes i forbindelse med anvendelsen af </w:t>
      </w:r>
      <w:proofErr w:type="spellStart"/>
      <w:r w:rsidRPr="00B130FC">
        <w:rPr>
          <w:sz w:val="24"/>
          <w:szCs w:val="24"/>
        </w:rPr>
        <w:t>Ketorolac</w:t>
      </w:r>
      <w:proofErr w:type="spellEnd"/>
      <w:r w:rsidRPr="00B130FC">
        <w:rPr>
          <w:sz w:val="24"/>
          <w:szCs w:val="24"/>
        </w:rPr>
        <w:t xml:space="preserve"> trometamol </w:t>
      </w:r>
      <w:r>
        <w:rPr>
          <w:sz w:val="24"/>
          <w:szCs w:val="24"/>
        </w:rPr>
        <w:t>"S.A.L.F."</w:t>
      </w:r>
      <w:r w:rsidRPr="00B130FC">
        <w:rPr>
          <w:sz w:val="24"/>
          <w:szCs w:val="24"/>
        </w:rPr>
        <w:t xml:space="preserve"> eller andre lægemidler, og som hæmmer </w:t>
      </w:r>
      <w:proofErr w:type="spellStart"/>
      <w:r w:rsidRPr="00B130FC">
        <w:rPr>
          <w:sz w:val="24"/>
          <w:szCs w:val="24"/>
        </w:rPr>
        <w:t>prostaglandinsyntesen</w:t>
      </w:r>
      <w:proofErr w:type="spellEnd"/>
      <w:r w:rsidRPr="00B130FC">
        <w:rPr>
          <w:sz w:val="24"/>
          <w:szCs w:val="24"/>
        </w:rPr>
        <w:t xml:space="preserve">: </w:t>
      </w:r>
      <w:proofErr w:type="spellStart"/>
      <w:r w:rsidRPr="00B130FC">
        <w:rPr>
          <w:sz w:val="24"/>
          <w:szCs w:val="24"/>
        </w:rPr>
        <w:t>glomerulær</w:t>
      </w:r>
      <w:proofErr w:type="spellEnd"/>
      <w:r w:rsidRPr="00B130FC">
        <w:rPr>
          <w:sz w:val="24"/>
          <w:szCs w:val="24"/>
        </w:rPr>
        <w:t xml:space="preserve"> </w:t>
      </w:r>
      <w:proofErr w:type="spellStart"/>
      <w:r w:rsidRPr="00B130FC">
        <w:rPr>
          <w:sz w:val="24"/>
          <w:szCs w:val="24"/>
        </w:rPr>
        <w:t>nefrit</w:t>
      </w:r>
      <w:proofErr w:type="spellEnd"/>
      <w:r w:rsidRPr="00B130FC">
        <w:rPr>
          <w:sz w:val="24"/>
          <w:szCs w:val="24"/>
        </w:rPr>
        <w:t xml:space="preserve">, </w:t>
      </w:r>
      <w:proofErr w:type="spellStart"/>
      <w:r w:rsidRPr="00B130FC">
        <w:rPr>
          <w:sz w:val="24"/>
          <w:szCs w:val="24"/>
        </w:rPr>
        <w:t>interstiel</w:t>
      </w:r>
      <w:proofErr w:type="spellEnd"/>
      <w:r w:rsidRPr="00B130FC">
        <w:rPr>
          <w:sz w:val="24"/>
          <w:szCs w:val="24"/>
        </w:rPr>
        <w:t xml:space="preserve"> </w:t>
      </w:r>
      <w:proofErr w:type="spellStart"/>
      <w:r w:rsidRPr="00B130FC">
        <w:rPr>
          <w:sz w:val="24"/>
          <w:szCs w:val="24"/>
        </w:rPr>
        <w:t>nefrit</w:t>
      </w:r>
      <w:proofErr w:type="spellEnd"/>
      <w:r w:rsidRPr="00B130FC">
        <w:rPr>
          <w:sz w:val="24"/>
          <w:szCs w:val="24"/>
        </w:rPr>
        <w:t xml:space="preserve">, </w:t>
      </w:r>
      <w:proofErr w:type="spellStart"/>
      <w:r w:rsidRPr="00B130FC">
        <w:rPr>
          <w:sz w:val="24"/>
          <w:szCs w:val="24"/>
        </w:rPr>
        <w:t>renal</w:t>
      </w:r>
      <w:proofErr w:type="spellEnd"/>
      <w:r w:rsidRPr="00B130FC">
        <w:rPr>
          <w:sz w:val="24"/>
          <w:szCs w:val="24"/>
        </w:rPr>
        <w:t xml:space="preserve"> papillær nekrose, </w:t>
      </w:r>
      <w:proofErr w:type="spellStart"/>
      <w:r w:rsidRPr="00B130FC">
        <w:rPr>
          <w:sz w:val="24"/>
          <w:szCs w:val="24"/>
        </w:rPr>
        <w:t>nefrotisk</w:t>
      </w:r>
      <w:proofErr w:type="spellEnd"/>
      <w:r w:rsidRPr="00B130FC">
        <w:rPr>
          <w:sz w:val="24"/>
          <w:szCs w:val="24"/>
        </w:rPr>
        <w:t xml:space="preserve"> syndrom og akut nyresvigt. Andre nyresygdomme kan ligeledes opstå. Forhøjet </w:t>
      </w:r>
      <w:proofErr w:type="spellStart"/>
      <w:r w:rsidRPr="00B130FC">
        <w:rPr>
          <w:sz w:val="24"/>
          <w:szCs w:val="24"/>
        </w:rPr>
        <w:t>kreatinin</w:t>
      </w:r>
      <w:proofErr w:type="spellEnd"/>
      <w:r w:rsidRPr="00B130FC">
        <w:rPr>
          <w:sz w:val="24"/>
          <w:szCs w:val="24"/>
        </w:rPr>
        <w:t xml:space="preserve"> og kalium kan opstå efter én dosis.</w:t>
      </w:r>
    </w:p>
    <w:p w:rsidR="006D2694" w:rsidRPr="00B130FC" w:rsidRDefault="006D2694" w:rsidP="006D2694">
      <w:pPr>
        <w:ind w:left="851"/>
        <w:rPr>
          <w:sz w:val="24"/>
          <w:szCs w:val="24"/>
        </w:rPr>
      </w:pPr>
      <w:proofErr w:type="spellStart"/>
      <w:r w:rsidRPr="00B130FC">
        <w:rPr>
          <w:sz w:val="24"/>
          <w:szCs w:val="24"/>
        </w:rPr>
        <w:t>Gastroduodenalt</w:t>
      </w:r>
      <w:proofErr w:type="spellEnd"/>
      <w:r w:rsidRPr="00B130FC">
        <w:rPr>
          <w:sz w:val="24"/>
          <w:szCs w:val="24"/>
        </w:rPr>
        <w:t xml:space="preserve"> ulcus, perforering eller </w:t>
      </w:r>
      <w:proofErr w:type="spellStart"/>
      <w:r w:rsidRPr="00B130FC">
        <w:rPr>
          <w:sz w:val="24"/>
          <w:szCs w:val="24"/>
        </w:rPr>
        <w:t>gastrointestinal</w:t>
      </w:r>
      <w:proofErr w:type="spellEnd"/>
      <w:r w:rsidRPr="00B130FC">
        <w:rPr>
          <w:sz w:val="24"/>
          <w:szCs w:val="24"/>
        </w:rPr>
        <w:t xml:space="preserve"> blødning kan være fatal, især hos ældre (se pkt. 4.4).</w:t>
      </w:r>
    </w:p>
    <w:p w:rsidR="006D2694" w:rsidRPr="00B130FC" w:rsidRDefault="006D2694" w:rsidP="006D2694">
      <w:pPr>
        <w:ind w:left="851"/>
        <w:rPr>
          <w:sz w:val="24"/>
          <w:szCs w:val="24"/>
        </w:rPr>
      </w:pPr>
      <w:r w:rsidRPr="00B130FC">
        <w:rPr>
          <w:sz w:val="24"/>
          <w:szCs w:val="24"/>
        </w:rPr>
        <w:t xml:space="preserve">Kliniske studier og epidemiologiske data viser, at anvendelsen af visse NSAID-præparater (særligt ved høje doser og ved langtidsbehandling) kan være forbundet med en let forøget risiko for arterielle </w:t>
      </w:r>
      <w:proofErr w:type="spellStart"/>
      <w:r w:rsidRPr="00B130FC">
        <w:rPr>
          <w:sz w:val="24"/>
          <w:szCs w:val="24"/>
        </w:rPr>
        <w:t>tromber</w:t>
      </w:r>
      <w:proofErr w:type="spellEnd"/>
      <w:r w:rsidRPr="00B130FC">
        <w:rPr>
          <w:sz w:val="24"/>
          <w:szCs w:val="24"/>
        </w:rPr>
        <w:t xml:space="preserve"> (</w:t>
      </w:r>
      <w:r>
        <w:rPr>
          <w:sz w:val="24"/>
          <w:szCs w:val="24"/>
        </w:rPr>
        <w:t>f.eks.</w:t>
      </w:r>
      <w:r w:rsidRPr="00B130FC">
        <w:rPr>
          <w:sz w:val="24"/>
          <w:szCs w:val="24"/>
        </w:rPr>
        <w:t xml:space="preserve"> myokardieinfarkter eller apopleksi) (se pkt. 4.4). Selv om det ikke er påvist, at </w:t>
      </w:r>
      <w:proofErr w:type="spellStart"/>
      <w:r w:rsidRPr="00B130FC">
        <w:rPr>
          <w:sz w:val="24"/>
          <w:szCs w:val="24"/>
        </w:rPr>
        <w:t>ketorolac</w:t>
      </w:r>
      <w:proofErr w:type="spellEnd"/>
      <w:r w:rsidRPr="00B130FC">
        <w:rPr>
          <w:sz w:val="24"/>
          <w:szCs w:val="24"/>
        </w:rPr>
        <w:t xml:space="preserve"> øger risikoen for disse virkninger, er de aktuelle data for begrænsede til at udelukke en sådan risiko.</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I sjældne tilfælde kan alvorlige hud- og bløddelsinfektioner forekomme i forbindelse med skoldkopper.</w:t>
      </w:r>
    </w:p>
    <w:p w:rsidR="006D2694" w:rsidRPr="00B130FC" w:rsidRDefault="006D2694" w:rsidP="006D2694">
      <w:pPr>
        <w:ind w:left="851"/>
        <w:rPr>
          <w:sz w:val="24"/>
          <w:szCs w:val="24"/>
        </w:rPr>
      </w:pPr>
    </w:p>
    <w:p w:rsidR="006D2694" w:rsidRPr="00B130FC" w:rsidRDefault="006D2694" w:rsidP="006D2694">
      <w:pPr>
        <w:ind w:left="851"/>
        <w:rPr>
          <w:sz w:val="24"/>
          <w:szCs w:val="24"/>
        </w:rPr>
      </w:pPr>
      <w:proofErr w:type="spellStart"/>
      <w:r w:rsidRPr="00B130FC">
        <w:rPr>
          <w:sz w:val="24"/>
          <w:szCs w:val="24"/>
        </w:rPr>
        <w:t>Anafylaktiske</w:t>
      </w:r>
      <w:proofErr w:type="spellEnd"/>
      <w:r w:rsidRPr="00B130FC">
        <w:rPr>
          <w:sz w:val="24"/>
          <w:szCs w:val="24"/>
        </w:rPr>
        <w:t xml:space="preserve"> og </w:t>
      </w:r>
      <w:proofErr w:type="spellStart"/>
      <w:r w:rsidRPr="00B130FC">
        <w:rPr>
          <w:sz w:val="24"/>
          <w:szCs w:val="24"/>
        </w:rPr>
        <w:t>anafylaktoide</w:t>
      </w:r>
      <w:proofErr w:type="spellEnd"/>
      <w:r w:rsidRPr="00B130FC">
        <w:rPr>
          <w:sz w:val="24"/>
          <w:szCs w:val="24"/>
        </w:rPr>
        <w:t xml:space="preserve"> reaktioner kan være fatale.</w:t>
      </w:r>
    </w:p>
    <w:p w:rsidR="006D2694" w:rsidRPr="00B130FC" w:rsidRDefault="006D2694" w:rsidP="006D2694">
      <w:pPr>
        <w:ind w:left="851"/>
        <w:rPr>
          <w:sz w:val="24"/>
          <w:szCs w:val="24"/>
        </w:rPr>
      </w:pPr>
    </w:p>
    <w:p w:rsidR="006D2694" w:rsidRDefault="006D2694" w:rsidP="006D2694">
      <w:pPr>
        <w:autoSpaceDE w:val="0"/>
        <w:autoSpaceDN w:val="0"/>
        <w:ind w:left="851"/>
        <w:rPr>
          <w:sz w:val="24"/>
          <w:szCs w:val="24"/>
          <w:u w:val="single"/>
        </w:rPr>
      </w:pPr>
      <w:r>
        <w:rPr>
          <w:sz w:val="24"/>
          <w:szCs w:val="24"/>
          <w:u w:val="single"/>
        </w:rPr>
        <w:t>Indberetning af formodede bivirkninger</w:t>
      </w:r>
    </w:p>
    <w:p w:rsidR="006D2694" w:rsidRDefault="006D2694" w:rsidP="006D2694">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w:t>
      </w:r>
      <w:proofErr w:type="spellStart"/>
      <w:proofErr w:type="gramStart"/>
      <w:r>
        <w:rPr>
          <w:sz w:val="24"/>
          <w:szCs w:val="24"/>
        </w:rPr>
        <w:t>lægemidlet.</w:t>
      </w:r>
      <w:r w:rsidR="003066B4">
        <w:rPr>
          <w:sz w:val="24"/>
          <w:szCs w:val="24"/>
        </w:rPr>
        <w:t>S</w:t>
      </w:r>
      <w:r>
        <w:rPr>
          <w:sz w:val="24"/>
          <w:szCs w:val="24"/>
        </w:rPr>
        <w:t>undhedsperson</w:t>
      </w:r>
      <w:r w:rsidR="003066B4">
        <w:rPr>
          <w:sz w:val="24"/>
          <w:szCs w:val="24"/>
        </w:rPr>
        <w:t>er</w:t>
      </w:r>
      <w:proofErr w:type="spellEnd"/>
      <w:proofErr w:type="gramEnd"/>
      <w:r>
        <w:rPr>
          <w:sz w:val="24"/>
          <w:szCs w:val="24"/>
        </w:rPr>
        <w:t xml:space="preserve"> anmodes om at indberette alle formodede bivirkninger via:</w:t>
      </w:r>
    </w:p>
    <w:p w:rsidR="006D2694" w:rsidRDefault="006D2694" w:rsidP="006D2694">
      <w:pPr>
        <w:tabs>
          <w:tab w:val="left" w:pos="2440"/>
        </w:tabs>
        <w:ind w:left="851"/>
        <w:rPr>
          <w:sz w:val="24"/>
          <w:szCs w:val="24"/>
        </w:rPr>
      </w:pPr>
    </w:p>
    <w:p w:rsidR="006D2694" w:rsidRDefault="006D2694" w:rsidP="00993280">
      <w:pPr>
        <w:keepNext/>
        <w:ind w:left="851"/>
        <w:rPr>
          <w:sz w:val="24"/>
          <w:szCs w:val="24"/>
        </w:rPr>
      </w:pPr>
      <w:r>
        <w:rPr>
          <w:sz w:val="24"/>
          <w:szCs w:val="24"/>
        </w:rPr>
        <w:lastRenderedPageBreak/>
        <w:t>Lægemiddelstyrelsen</w:t>
      </w:r>
    </w:p>
    <w:p w:rsidR="006D2694" w:rsidRDefault="006D2694" w:rsidP="00993280">
      <w:pPr>
        <w:keepNext/>
        <w:ind w:left="851"/>
        <w:rPr>
          <w:sz w:val="24"/>
          <w:szCs w:val="24"/>
        </w:rPr>
      </w:pPr>
      <w:r>
        <w:rPr>
          <w:sz w:val="24"/>
          <w:szCs w:val="24"/>
        </w:rPr>
        <w:t>Axel Heides Gade 1</w:t>
      </w:r>
    </w:p>
    <w:p w:rsidR="006D2694" w:rsidRDefault="006D2694" w:rsidP="00993280">
      <w:pPr>
        <w:keepNext/>
        <w:ind w:left="851"/>
        <w:rPr>
          <w:sz w:val="24"/>
          <w:szCs w:val="24"/>
        </w:rPr>
      </w:pPr>
      <w:r>
        <w:rPr>
          <w:sz w:val="24"/>
          <w:szCs w:val="24"/>
        </w:rPr>
        <w:t>DK-2300 København S</w:t>
      </w:r>
    </w:p>
    <w:p w:rsidR="006D2694" w:rsidRPr="00A17839" w:rsidRDefault="006D2694" w:rsidP="006D2694">
      <w:pPr>
        <w:ind w:left="851"/>
        <w:rPr>
          <w:sz w:val="24"/>
          <w:szCs w:val="24"/>
          <w:lang w:val="en-US"/>
        </w:rPr>
      </w:pPr>
      <w:proofErr w:type="spellStart"/>
      <w:r w:rsidRPr="00A17839">
        <w:rPr>
          <w:sz w:val="24"/>
          <w:szCs w:val="24"/>
          <w:lang w:val="en-US"/>
        </w:rPr>
        <w:t>Websted</w:t>
      </w:r>
      <w:proofErr w:type="spellEnd"/>
      <w:r w:rsidRPr="00A17839">
        <w:rPr>
          <w:sz w:val="24"/>
          <w:szCs w:val="24"/>
          <w:lang w:val="en-US"/>
        </w:rPr>
        <w:t xml:space="preserve">: </w:t>
      </w:r>
      <w:hyperlink r:id="rId8" w:history="1">
        <w:r w:rsidRPr="00A17839">
          <w:rPr>
            <w:rStyle w:val="Hyperlink"/>
            <w:lang w:val="en-US"/>
          </w:rPr>
          <w:t>www.meldenbivirkning.dk</w:t>
        </w:r>
      </w:hyperlink>
    </w:p>
    <w:p w:rsidR="006D2694" w:rsidRPr="00A17839" w:rsidRDefault="006D2694" w:rsidP="006D2694">
      <w:pPr>
        <w:ind w:left="851"/>
        <w:rPr>
          <w:sz w:val="24"/>
          <w:szCs w:val="24"/>
          <w:lang w:val="en-US"/>
        </w:rPr>
      </w:pPr>
    </w:p>
    <w:p w:rsidR="006D2694" w:rsidRPr="00CE12FE" w:rsidRDefault="006D2694" w:rsidP="006D2694">
      <w:pPr>
        <w:tabs>
          <w:tab w:val="left" w:pos="851"/>
        </w:tabs>
        <w:ind w:left="851" w:hanging="851"/>
        <w:rPr>
          <w:b/>
          <w:sz w:val="24"/>
          <w:szCs w:val="24"/>
          <w:lang w:val="en-US"/>
        </w:rPr>
      </w:pPr>
      <w:r w:rsidRPr="00CE12FE">
        <w:rPr>
          <w:b/>
          <w:sz w:val="24"/>
          <w:szCs w:val="24"/>
          <w:lang w:val="en-US"/>
        </w:rPr>
        <w:t>4.9</w:t>
      </w:r>
      <w:r w:rsidRPr="00CE12FE">
        <w:rPr>
          <w:b/>
          <w:sz w:val="24"/>
          <w:szCs w:val="24"/>
          <w:lang w:val="en-US"/>
        </w:rPr>
        <w:tab/>
      </w:r>
      <w:proofErr w:type="spellStart"/>
      <w:r w:rsidRPr="00CE12FE">
        <w:rPr>
          <w:b/>
          <w:sz w:val="24"/>
          <w:szCs w:val="24"/>
          <w:lang w:val="en-US"/>
        </w:rPr>
        <w:t>Overdosering</w:t>
      </w:r>
      <w:proofErr w:type="spellEnd"/>
    </w:p>
    <w:p w:rsidR="006D2694" w:rsidRPr="00CE12FE" w:rsidRDefault="006D2694" w:rsidP="006D2694">
      <w:pPr>
        <w:ind w:left="851"/>
        <w:rPr>
          <w:sz w:val="24"/>
          <w:szCs w:val="24"/>
          <w:lang w:val="en-US"/>
        </w:rPr>
      </w:pPr>
    </w:p>
    <w:p w:rsidR="006D2694" w:rsidRPr="00CE12FE" w:rsidRDefault="006D2694" w:rsidP="006D2694">
      <w:pPr>
        <w:ind w:left="851"/>
        <w:rPr>
          <w:i/>
          <w:sz w:val="24"/>
          <w:szCs w:val="24"/>
          <w:lang w:val="en-US" w:eastAsia="en-GB"/>
        </w:rPr>
      </w:pPr>
      <w:proofErr w:type="spellStart"/>
      <w:r w:rsidRPr="00CE12FE">
        <w:rPr>
          <w:i/>
          <w:sz w:val="24"/>
          <w:szCs w:val="24"/>
          <w:lang w:val="en-US"/>
        </w:rPr>
        <w:t>Toksicitet</w:t>
      </w:r>
      <w:proofErr w:type="spellEnd"/>
      <w:r w:rsidRPr="00CE12FE">
        <w:rPr>
          <w:i/>
          <w:sz w:val="24"/>
          <w:szCs w:val="24"/>
          <w:lang w:val="en-US"/>
        </w:rPr>
        <w:t>:</w:t>
      </w:r>
    </w:p>
    <w:p w:rsidR="006D2694" w:rsidRPr="00B130FC" w:rsidRDefault="006D2694" w:rsidP="006D2694">
      <w:pPr>
        <w:ind w:left="851"/>
        <w:rPr>
          <w:rFonts w:eastAsiaTheme="minorHAnsi"/>
          <w:sz w:val="24"/>
          <w:szCs w:val="24"/>
        </w:rPr>
      </w:pPr>
      <w:r w:rsidRPr="00B130FC">
        <w:rPr>
          <w:sz w:val="24"/>
          <w:szCs w:val="24"/>
        </w:rPr>
        <w:t>Der er begrænsede erfaringer med overdosering. 240 mg/dag i tre dage hos voksne har ført til svær forgiftning.</w:t>
      </w:r>
    </w:p>
    <w:p w:rsidR="006D2694" w:rsidRPr="00B130FC" w:rsidRDefault="006D2694" w:rsidP="006D2694">
      <w:pPr>
        <w:ind w:left="851"/>
        <w:rPr>
          <w:sz w:val="24"/>
          <w:szCs w:val="24"/>
        </w:rPr>
      </w:pPr>
    </w:p>
    <w:p w:rsidR="006D2694" w:rsidRPr="00A17839" w:rsidRDefault="006D2694" w:rsidP="006D2694">
      <w:pPr>
        <w:ind w:left="851"/>
        <w:rPr>
          <w:i/>
          <w:sz w:val="24"/>
          <w:szCs w:val="24"/>
        </w:rPr>
      </w:pPr>
      <w:r w:rsidRPr="00A17839">
        <w:rPr>
          <w:i/>
          <w:sz w:val="24"/>
          <w:szCs w:val="24"/>
        </w:rPr>
        <w:t>Symptomer:</w:t>
      </w:r>
    </w:p>
    <w:p w:rsidR="006D2694" w:rsidRPr="00B130FC" w:rsidRDefault="006D2694" w:rsidP="006D2694">
      <w:pPr>
        <w:ind w:left="851"/>
        <w:rPr>
          <w:sz w:val="24"/>
          <w:szCs w:val="24"/>
        </w:rPr>
      </w:pPr>
      <w:proofErr w:type="spellStart"/>
      <w:r w:rsidRPr="00B130FC">
        <w:rPr>
          <w:sz w:val="24"/>
          <w:szCs w:val="24"/>
        </w:rPr>
        <w:t>Abdominalsmerter</w:t>
      </w:r>
      <w:proofErr w:type="spellEnd"/>
      <w:r w:rsidRPr="00B130FC">
        <w:rPr>
          <w:sz w:val="24"/>
          <w:szCs w:val="24"/>
        </w:rPr>
        <w:t xml:space="preserve">, kvalme, opkastning, hyperventilation, </w:t>
      </w:r>
      <w:proofErr w:type="spellStart"/>
      <w:r w:rsidRPr="00B130FC">
        <w:rPr>
          <w:sz w:val="24"/>
          <w:szCs w:val="24"/>
        </w:rPr>
        <w:t>peptisk</w:t>
      </w:r>
      <w:proofErr w:type="spellEnd"/>
      <w:r w:rsidRPr="00B130FC">
        <w:rPr>
          <w:sz w:val="24"/>
          <w:szCs w:val="24"/>
        </w:rPr>
        <w:t xml:space="preserve"> ulcus og/eller </w:t>
      </w:r>
      <w:proofErr w:type="spellStart"/>
      <w:r w:rsidRPr="00B130FC">
        <w:rPr>
          <w:sz w:val="24"/>
          <w:szCs w:val="24"/>
        </w:rPr>
        <w:t>erosiv</w:t>
      </w:r>
      <w:proofErr w:type="spellEnd"/>
      <w:r w:rsidRPr="00B130FC">
        <w:rPr>
          <w:sz w:val="24"/>
          <w:szCs w:val="24"/>
        </w:rPr>
        <w:t xml:space="preserve"> gastrit og nyredysfunktion har været forbundet med overdosering af </w:t>
      </w:r>
      <w:proofErr w:type="spellStart"/>
      <w:r w:rsidRPr="00B130FC">
        <w:rPr>
          <w:sz w:val="24"/>
          <w:szCs w:val="24"/>
        </w:rPr>
        <w:t>ketorolac</w:t>
      </w:r>
      <w:proofErr w:type="spellEnd"/>
      <w:r w:rsidRPr="00B130FC">
        <w:rPr>
          <w:sz w:val="24"/>
          <w:szCs w:val="24"/>
        </w:rPr>
        <w:t xml:space="preserve">. </w:t>
      </w:r>
      <w:proofErr w:type="spellStart"/>
      <w:r w:rsidRPr="00B130FC">
        <w:rPr>
          <w:sz w:val="24"/>
          <w:szCs w:val="24"/>
        </w:rPr>
        <w:t>Gastrointestinal</w:t>
      </w:r>
      <w:proofErr w:type="spellEnd"/>
      <w:r w:rsidRPr="00B130FC">
        <w:rPr>
          <w:sz w:val="24"/>
          <w:szCs w:val="24"/>
        </w:rPr>
        <w:t xml:space="preserve"> blødning kan forekomme. Hypertension, akut nyresvigt, respiratorisk depression og koma kan forekomme efter administration af NSAID-præparater, men det forekommer sjældent. </w:t>
      </w:r>
      <w:proofErr w:type="spellStart"/>
      <w:r w:rsidRPr="00B130FC">
        <w:rPr>
          <w:sz w:val="24"/>
          <w:szCs w:val="24"/>
        </w:rPr>
        <w:t>Anafylaktoide</w:t>
      </w:r>
      <w:proofErr w:type="spellEnd"/>
      <w:r w:rsidRPr="00B130FC">
        <w:rPr>
          <w:sz w:val="24"/>
          <w:szCs w:val="24"/>
        </w:rPr>
        <w:t xml:space="preserve"> reaktioner er blevet rapporteret ved terapeutiske doser af NSAID-præparater og kan forekomme efter overdosering.</w:t>
      </w:r>
    </w:p>
    <w:p w:rsidR="006D2694" w:rsidRPr="00B130FC" w:rsidRDefault="006D2694" w:rsidP="006D2694">
      <w:pPr>
        <w:ind w:left="851"/>
        <w:rPr>
          <w:sz w:val="24"/>
          <w:szCs w:val="24"/>
        </w:rPr>
      </w:pPr>
    </w:p>
    <w:p w:rsidR="006D2694" w:rsidRPr="00A17839" w:rsidRDefault="006D2694" w:rsidP="006D2694">
      <w:pPr>
        <w:ind w:left="851"/>
        <w:rPr>
          <w:i/>
          <w:sz w:val="24"/>
          <w:szCs w:val="24"/>
        </w:rPr>
      </w:pPr>
      <w:r w:rsidRPr="00A17839">
        <w:rPr>
          <w:i/>
          <w:sz w:val="24"/>
          <w:szCs w:val="24"/>
        </w:rPr>
        <w:t>Behandling:</w:t>
      </w:r>
    </w:p>
    <w:p w:rsidR="006D2694" w:rsidRPr="00B130FC" w:rsidRDefault="006D2694" w:rsidP="006D2694">
      <w:pPr>
        <w:ind w:left="851"/>
        <w:rPr>
          <w:sz w:val="24"/>
          <w:szCs w:val="24"/>
        </w:rPr>
      </w:pPr>
      <w:r w:rsidRPr="00B130FC">
        <w:rPr>
          <w:sz w:val="24"/>
          <w:szCs w:val="24"/>
        </w:rPr>
        <w:t xml:space="preserve">Understøttende behandling iværksættes under hensyntagen til patientens kliniske tilstand. Der er ingen specifik </w:t>
      </w:r>
      <w:proofErr w:type="spellStart"/>
      <w:r w:rsidRPr="00B130FC">
        <w:rPr>
          <w:sz w:val="24"/>
          <w:szCs w:val="24"/>
        </w:rPr>
        <w:t>antidot</w:t>
      </w:r>
      <w:proofErr w:type="spellEnd"/>
      <w:r w:rsidRPr="00B130FC">
        <w:rPr>
          <w:sz w:val="24"/>
          <w:szCs w:val="24"/>
        </w:rPr>
        <w:t xml:space="preserve">. </w:t>
      </w:r>
      <w:proofErr w:type="spellStart"/>
      <w:r w:rsidRPr="00B130FC">
        <w:rPr>
          <w:sz w:val="24"/>
          <w:szCs w:val="24"/>
        </w:rPr>
        <w:t>Ketorolac</w:t>
      </w:r>
      <w:proofErr w:type="spellEnd"/>
      <w:r w:rsidRPr="00B130FC">
        <w:rPr>
          <w:sz w:val="24"/>
          <w:szCs w:val="24"/>
        </w:rPr>
        <w:t xml:space="preserve"> fjernes ikke signifikant fra blodet ved dialyse.</w:t>
      </w:r>
    </w:p>
    <w:p w:rsidR="006D2694" w:rsidRPr="00B130FC" w:rsidRDefault="006D2694" w:rsidP="006D2694">
      <w:pPr>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4.10</w:t>
      </w:r>
      <w:r w:rsidRPr="00B130FC">
        <w:rPr>
          <w:b/>
          <w:sz w:val="24"/>
          <w:szCs w:val="24"/>
        </w:rPr>
        <w:tab/>
        <w:t>Udlevering</w:t>
      </w:r>
    </w:p>
    <w:p w:rsidR="006D2694" w:rsidRPr="00B130FC" w:rsidRDefault="006D2694" w:rsidP="006D2694">
      <w:pPr>
        <w:tabs>
          <w:tab w:val="left" w:pos="851"/>
        </w:tabs>
        <w:ind w:left="851"/>
        <w:rPr>
          <w:sz w:val="24"/>
          <w:szCs w:val="24"/>
        </w:rPr>
      </w:pPr>
      <w:r>
        <w:rPr>
          <w:sz w:val="24"/>
          <w:szCs w:val="24"/>
        </w:rPr>
        <w:t>B</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5.</w:t>
      </w:r>
      <w:r w:rsidRPr="00B130FC">
        <w:rPr>
          <w:b/>
          <w:sz w:val="24"/>
          <w:szCs w:val="24"/>
        </w:rPr>
        <w:tab/>
        <w:t>FARMAKOLOGISKE EGENSKABER</w:t>
      </w:r>
    </w:p>
    <w:p w:rsidR="006D2694" w:rsidRPr="00B130FC" w:rsidRDefault="006D2694" w:rsidP="006D2694">
      <w:pPr>
        <w:tabs>
          <w:tab w:val="left" w:pos="851"/>
        </w:tabs>
        <w:ind w:left="851"/>
        <w:rPr>
          <w:sz w:val="24"/>
          <w:szCs w:val="24"/>
        </w:rPr>
      </w:pPr>
    </w:p>
    <w:p w:rsidR="006D2694" w:rsidRPr="00B130FC" w:rsidRDefault="006D2694" w:rsidP="006D2694">
      <w:pPr>
        <w:tabs>
          <w:tab w:val="num" w:pos="851"/>
        </w:tabs>
        <w:ind w:left="851" w:hanging="851"/>
        <w:rPr>
          <w:b/>
          <w:sz w:val="24"/>
          <w:szCs w:val="24"/>
        </w:rPr>
      </w:pPr>
      <w:r w:rsidRPr="00B130FC">
        <w:rPr>
          <w:b/>
          <w:sz w:val="24"/>
          <w:szCs w:val="24"/>
        </w:rPr>
        <w:t>5.1</w:t>
      </w:r>
      <w:r w:rsidRPr="00B130FC">
        <w:rPr>
          <w:b/>
          <w:sz w:val="24"/>
          <w:szCs w:val="24"/>
        </w:rPr>
        <w:tab/>
      </w:r>
      <w:proofErr w:type="spellStart"/>
      <w:r w:rsidRPr="00B130FC">
        <w:rPr>
          <w:b/>
          <w:sz w:val="24"/>
          <w:szCs w:val="24"/>
        </w:rPr>
        <w:t>Farmakodynamiske</w:t>
      </w:r>
      <w:proofErr w:type="spellEnd"/>
      <w:r w:rsidRPr="00B130FC">
        <w:rPr>
          <w:b/>
          <w:sz w:val="24"/>
          <w:szCs w:val="24"/>
        </w:rPr>
        <w:t xml:space="preserve"> egenskaber</w:t>
      </w:r>
    </w:p>
    <w:p w:rsidR="003066B4" w:rsidRPr="00B130FC" w:rsidRDefault="003066B4" w:rsidP="003066B4">
      <w:pPr>
        <w:tabs>
          <w:tab w:val="left" w:pos="851"/>
        </w:tabs>
        <w:ind w:left="851" w:hanging="851"/>
        <w:rPr>
          <w:sz w:val="24"/>
          <w:szCs w:val="24"/>
        </w:rPr>
      </w:pPr>
      <w:r w:rsidRPr="003066B4">
        <w:rPr>
          <w:sz w:val="24"/>
          <w:szCs w:val="24"/>
        </w:rPr>
        <w:tab/>
      </w:r>
      <w:proofErr w:type="spellStart"/>
      <w:r w:rsidRPr="003066B4">
        <w:rPr>
          <w:sz w:val="24"/>
          <w:szCs w:val="24"/>
        </w:rPr>
        <w:t>Farmakoterapeutisk</w:t>
      </w:r>
      <w:proofErr w:type="spellEnd"/>
      <w:r w:rsidRPr="003066B4">
        <w:rPr>
          <w:sz w:val="24"/>
          <w:szCs w:val="24"/>
        </w:rPr>
        <w:t xml:space="preserve"> klassifikation</w:t>
      </w:r>
      <w:r>
        <w:rPr>
          <w:sz w:val="24"/>
          <w:szCs w:val="24"/>
        </w:rPr>
        <w:t xml:space="preserve">: </w:t>
      </w:r>
      <w:r w:rsidRPr="00B130FC">
        <w:rPr>
          <w:sz w:val="24"/>
          <w:szCs w:val="24"/>
        </w:rPr>
        <w:t>Non-</w:t>
      </w:r>
      <w:proofErr w:type="spellStart"/>
      <w:r w:rsidRPr="00B130FC">
        <w:rPr>
          <w:sz w:val="24"/>
          <w:szCs w:val="24"/>
        </w:rPr>
        <w:t>steroidt</w:t>
      </w:r>
      <w:proofErr w:type="spellEnd"/>
      <w:r w:rsidRPr="00B130FC">
        <w:rPr>
          <w:sz w:val="24"/>
          <w:szCs w:val="24"/>
        </w:rPr>
        <w:t xml:space="preserve"> antiinflammatorisk/antireumatisk lægemiddel med primært analgetiske egenskaber, men også med antiinflammatoriske og </w:t>
      </w:r>
      <w:proofErr w:type="spellStart"/>
      <w:r w:rsidRPr="00B130FC">
        <w:rPr>
          <w:sz w:val="24"/>
          <w:szCs w:val="24"/>
        </w:rPr>
        <w:t>antipyretiske</w:t>
      </w:r>
      <w:proofErr w:type="spellEnd"/>
      <w:r w:rsidRPr="00B130FC">
        <w:rPr>
          <w:sz w:val="24"/>
          <w:szCs w:val="24"/>
        </w:rPr>
        <w:t xml:space="preserve"> effekter</w:t>
      </w:r>
      <w:r>
        <w:rPr>
          <w:sz w:val="24"/>
          <w:szCs w:val="24"/>
        </w:rPr>
        <w:t xml:space="preserve">. </w:t>
      </w:r>
      <w:r w:rsidRPr="00B130FC">
        <w:rPr>
          <w:sz w:val="24"/>
          <w:szCs w:val="24"/>
        </w:rPr>
        <w:t>ATC-kode: M</w:t>
      </w:r>
      <w:r>
        <w:rPr>
          <w:sz w:val="24"/>
          <w:szCs w:val="24"/>
        </w:rPr>
        <w:t xml:space="preserve"> </w:t>
      </w:r>
      <w:r w:rsidRPr="00B130FC">
        <w:rPr>
          <w:sz w:val="24"/>
          <w:szCs w:val="24"/>
        </w:rPr>
        <w:t>01</w:t>
      </w:r>
      <w:r>
        <w:rPr>
          <w:sz w:val="24"/>
          <w:szCs w:val="24"/>
        </w:rPr>
        <w:t xml:space="preserve"> </w:t>
      </w:r>
      <w:r w:rsidRPr="00B130FC">
        <w:rPr>
          <w:sz w:val="24"/>
          <w:szCs w:val="24"/>
        </w:rPr>
        <w:t>AB</w:t>
      </w:r>
      <w:r>
        <w:rPr>
          <w:sz w:val="24"/>
          <w:szCs w:val="24"/>
        </w:rPr>
        <w:t xml:space="preserve"> </w:t>
      </w:r>
      <w:r w:rsidRPr="00B130FC">
        <w:rPr>
          <w:sz w:val="24"/>
          <w:szCs w:val="24"/>
        </w:rPr>
        <w:t>15.</w:t>
      </w:r>
    </w:p>
    <w:p w:rsidR="003066B4" w:rsidRDefault="003066B4" w:rsidP="006D2694">
      <w:pPr>
        <w:ind w:left="851"/>
        <w:rPr>
          <w:sz w:val="24"/>
          <w:szCs w:val="24"/>
        </w:rPr>
      </w:pPr>
    </w:p>
    <w:p w:rsidR="006D2694" w:rsidRPr="00131ABC" w:rsidRDefault="006D2694" w:rsidP="006D2694">
      <w:pPr>
        <w:ind w:left="851"/>
        <w:rPr>
          <w:sz w:val="24"/>
          <w:szCs w:val="24"/>
          <w:u w:val="single"/>
          <w:lang w:eastAsia="en-GB"/>
        </w:rPr>
      </w:pPr>
      <w:r w:rsidRPr="00131ABC">
        <w:rPr>
          <w:sz w:val="24"/>
          <w:szCs w:val="24"/>
          <w:u w:val="single"/>
        </w:rPr>
        <w:t>Virkningsmekanisme:</w:t>
      </w:r>
    </w:p>
    <w:p w:rsidR="006D2694" w:rsidRPr="00A30275" w:rsidRDefault="006D2694" w:rsidP="006D2694">
      <w:pPr>
        <w:ind w:left="851"/>
        <w:rPr>
          <w:sz w:val="24"/>
          <w:szCs w:val="24"/>
          <w:highlight w:val="yellow"/>
        </w:rPr>
      </w:pPr>
      <w:r w:rsidRPr="00A30275">
        <w:rPr>
          <w:sz w:val="24"/>
          <w:szCs w:val="24"/>
        </w:rPr>
        <w:t xml:space="preserve">Virkningsmekanismen for den analgetiske, antiinflammatoriske og </w:t>
      </w:r>
      <w:proofErr w:type="spellStart"/>
      <w:r w:rsidRPr="00A30275">
        <w:rPr>
          <w:sz w:val="24"/>
          <w:szCs w:val="24"/>
        </w:rPr>
        <w:t>antipyretiske</w:t>
      </w:r>
      <w:proofErr w:type="spellEnd"/>
      <w:r w:rsidRPr="00A30275">
        <w:rPr>
          <w:sz w:val="24"/>
          <w:szCs w:val="24"/>
        </w:rPr>
        <w:t xml:space="preserve"> effekt er hæmningen af </w:t>
      </w:r>
      <w:proofErr w:type="spellStart"/>
      <w:r w:rsidRPr="00A30275">
        <w:rPr>
          <w:sz w:val="24"/>
          <w:szCs w:val="24"/>
        </w:rPr>
        <w:t>prostaglandinsyntesen</w:t>
      </w:r>
      <w:proofErr w:type="spellEnd"/>
      <w:r w:rsidRPr="00A30275">
        <w:rPr>
          <w:sz w:val="24"/>
          <w:szCs w:val="24"/>
        </w:rPr>
        <w:t xml:space="preserve"> via hæmning af </w:t>
      </w:r>
      <w:proofErr w:type="spellStart"/>
      <w:r w:rsidRPr="00A30275">
        <w:rPr>
          <w:sz w:val="24"/>
          <w:szCs w:val="24"/>
        </w:rPr>
        <w:t>cyclooxygenasesystemet</w:t>
      </w:r>
      <w:proofErr w:type="spellEnd"/>
      <w:r w:rsidRPr="00A30275">
        <w:rPr>
          <w:sz w:val="24"/>
          <w:szCs w:val="24"/>
        </w:rPr>
        <w:t xml:space="preserve">. </w:t>
      </w:r>
      <w:proofErr w:type="spellStart"/>
      <w:r w:rsidRPr="00A30275">
        <w:rPr>
          <w:sz w:val="24"/>
          <w:szCs w:val="24"/>
        </w:rPr>
        <w:t>Ketorolac</w:t>
      </w:r>
      <w:proofErr w:type="spellEnd"/>
      <w:r w:rsidRPr="00A30275">
        <w:rPr>
          <w:sz w:val="24"/>
          <w:szCs w:val="24"/>
        </w:rPr>
        <w:t xml:space="preserve"> reducerer </w:t>
      </w:r>
      <w:proofErr w:type="spellStart"/>
      <w:r w:rsidRPr="00A30275">
        <w:rPr>
          <w:sz w:val="24"/>
          <w:szCs w:val="24"/>
        </w:rPr>
        <w:t>tromboxankoncentrationen</w:t>
      </w:r>
      <w:proofErr w:type="spellEnd"/>
      <w:r w:rsidRPr="00A30275">
        <w:rPr>
          <w:sz w:val="24"/>
          <w:szCs w:val="24"/>
        </w:rPr>
        <w:t xml:space="preserve"> og kan forlænge blødningstiden. </w:t>
      </w:r>
      <w:proofErr w:type="spellStart"/>
      <w:r w:rsidRPr="00A30275">
        <w:rPr>
          <w:sz w:val="24"/>
          <w:szCs w:val="24"/>
        </w:rPr>
        <w:t>Ketorolac</w:t>
      </w:r>
      <w:proofErr w:type="spellEnd"/>
      <w:r w:rsidRPr="00A30275">
        <w:rPr>
          <w:sz w:val="24"/>
          <w:szCs w:val="24"/>
        </w:rPr>
        <w:t xml:space="preserve"> hæmmer </w:t>
      </w:r>
      <w:proofErr w:type="spellStart"/>
      <w:r w:rsidRPr="00A30275">
        <w:rPr>
          <w:sz w:val="24"/>
          <w:szCs w:val="24"/>
        </w:rPr>
        <w:t>renal</w:t>
      </w:r>
      <w:proofErr w:type="spellEnd"/>
      <w:r w:rsidRPr="00A30275">
        <w:rPr>
          <w:sz w:val="24"/>
          <w:szCs w:val="24"/>
        </w:rPr>
        <w:t xml:space="preserve"> </w:t>
      </w:r>
      <w:proofErr w:type="spellStart"/>
      <w:r w:rsidRPr="00A30275">
        <w:rPr>
          <w:sz w:val="24"/>
          <w:szCs w:val="24"/>
        </w:rPr>
        <w:t>prostaglandinsyntese</w:t>
      </w:r>
      <w:proofErr w:type="spellEnd"/>
      <w:r w:rsidRPr="00A30275">
        <w:rPr>
          <w:sz w:val="24"/>
          <w:szCs w:val="24"/>
        </w:rPr>
        <w:t xml:space="preserve">. Hos patienter med normal nyrefunktion har denne effekt ingen væsentlige virkninger. </w:t>
      </w:r>
    </w:p>
    <w:p w:rsidR="006D2694" w:rsidRPr="00A30275" w:rsidRDefault="006D2694" w:rsidP="006D2694">
      <w:pPr>
        <w:ind w:left="851"/>
        <w:rPr>
          <w:sz w:val="24"/>
          <w:szCs w:val="24"/>
        </w:rPr>
      </w:pPr>
      <w:proofErr w:type="spellStart"/>
      <w:r w:rsidRPr="00A30275">
        <w:rPr>
          <w:sz w:val="24"/>
          <w:szCs w:val="24"/>
        </w:rPr>
        <w:t>Ketorolac</w:t>
      </w:r>
      <w:proofErr w:type="spellEnd"/>
      <w:r w:rsidRPr="00A30275">
        <w:rPr>
          <w:sz w:val="24"/>
          <w:szCs w:val="24"/>
        </w:rPr>
        <w:t xml:space="preserve"> påvirker ikke opioid-receptorer i in </w:t>
      </w:r>
      <w:proofErr w:type="spellStart"/>
      <w:r w:rsidRPr="00A30275">
        <w:rPr>
          <w:sz w:val="24"/>
          <w:szCs w:val="24"/>
        </w:rPr>
        <w:t>vitro</w:t>
      </w:r>
      <w:proofErr w:type="spellEnd"/>
      <w:r w:rsidRPr="00A30275">
        <w:rPr>
          <w:sz w:val="24"/>
          <w:szCs w:val="24"/>
        </w:rPr>
        <w:t>-studier.</w:t>
      </w:r>
    </w:p>
    <w:p w:rsidR="006D2694" w:rsidRPr="00A30275" w:rsidRDefault="006D2694" w:rsidP="006D2694">
      <w:pPr>
        <w:ind w:left="851"/>
        <w:rPr>
          <w:sz w:val="24"/>
          <w:szCs w:val="24"/>
        </w:rPr>
      </w:pPr>
    </w:p>
    <w:p w:rsidR="006D2694" w:rsidRPr="00131ABC" w:rsidRDefault="006D2694" w:rsidP="006D2694">
      <w:pPr>
        <w:ind w:left="851"/>
        <w:rPr>
          <w:sz w:val="24"/>
          <w:szCs w:val="24"/>
          <w:u w:val="single"/>
        </w:rPr>
      </w:pPr>
      <w:proofErr w:type="spellStart"/>
      <w:r w:rsidRPr="00131ABC">
        <w:rPr>
          <w:sz w:val="24"/>
          <w:szCs w:val="24"/>
          <w:u w:val="single"/>
        </w:rPr>
        <w:t>Farmakodynamiske</w:t>
      </w:r>
      <w:proofErr w:type="spellEnd"/>
      <w:r w:rsidRPr="00131ABC">
        <w:rPr>
          <w:sz w:val="24"/>
          <w:szCs w:val="24"/>
          <w:u w:val="single"/>
        </w:rPr>
        <w:t xml:space="preserve"> virkninger:</w:t>
      </w:r>
    </w:p>
    <w:p w:rsidR="006D2694" w:rsidRPr="00A30275" w:rsidRDefault="006D2694" w:rsidP="006D2694">
      <w:pPr>
        <w:ind w:left="851"/>
        <w:rPr>
          <w:sz w:val="24"/>
          <w:szCs w:val="24"/>
        </w:rPr>
      </w:pPr>
      <w:proofErr w:type="spellStart"/>
      <w:r w:rsidRPr="00A30275">
        <w:rPr>
          <w:sz w:val="24"/>
          <w:szCs w:val="24"/>
        </w:rPr>
        <w:t>Renal</w:t>
      </w:r>
      <w:proofErr w:type="spellEnd"/>
      <w:r w:rsidRPr="00A30275">
        <w:rPr>
          <w:sz w:val="24"/>
          <w:szCs w:val="24"/>
        </w:rPr>
        <w:t xml:space="preserve"> </w:t>
      </w:r>
      <w:proofErr w:type="spellStart"/>
      <w:r w:rsidRPr="00A30275">
        <w:rPr>
          <w:sz w:val="24"/>
          <w:szCs w:val="24"/>
        </w:rPr>
        <w:t>prostaglandinsyntese</w:t>
      </w:r>
      <w:proofErr w:type="spellEnd"/>
      <w:r w:rsidRPr="00A30275">
        <w:rPr>
          <w:sz w:val="24"/>
          <w:szCs w:val="24"/>
        </w:rPr>
        <w:t xml:space="preserve"> hæmmes også (i en </w:t>
      </w:r>
      <w:proofErr w:type="spellStart"/>
      <w:r w:rsidRPr="00A30275">
        <w:rPr>
          <w:sz w:val="24"/>
          <w:szCs w:val="24"/>
        </w:rPr>
        <w:t>insignifikant</w:t>
      </w:r>
      <w:proofErr w:type="spellEnd"/>
      <w:r w:rsidRPr="00A30275">
        <w:rPr>
          <w:sz w:val="24"/>
          <w:szCs w:val="24"/>
        </w:rPr>
        <w:t xml:space="preserve"> grad hos patienter med normal nyrefunktion). Hos patienter med normal nyrefunktion har denne effekt ingen væsentlige virkninger. Hos patienter med kronisk nyreinsufficiens, hjerteinsufficiens eller leverinsuffi</w:t>
      </w:r>
      <w:r>
        <w:rPr>
          <w:sz w:val="24"/>
          <w:szCs w:val="24"/>
        </w:rPr>
        <w:t>ci</w:t>
      </w:r>
      <w:r w:rsidRPr="00A30275">
        <w:rPr>
          <w:sz w:val="24"/>
          <w:szCs w:val="24"/>
        </w:rPr>
        <w:t xml:space="preserve">ens samt tilstande med reduceret plasmavolumen kan hæmning af </w:t>
      </w:r>
      <w:proofErr w:type="spellStart"/>
      <w:r w:rsidRPr="00A30275">
        <w:rPr>
          <w:sz w:val="24"/>
          <w:szCs w:val="24"/>
        </w:rPr>
        <w:t>prostaglandinsyntesen</w:t>
      </w:r>
      <w:proofErr w:type="spellEnd"/>
      <w:r w:rsidRPr="00A30275">
        <w:rPr>
          <w:sz w:val="24"/>
          <w:szCs w:val="24"/>
        </w:rPr>
        <w:t xml:space="preserve"> forårsage akut nyreinsuffi</w:t>
      </w:r>
      <w:r>
        <w:rPr>
          <w:sz w:val="24"/>
          <w:szCs w:val="24"/>
        </w:rPr>
        <w:t>ci</w:t>
      </w:r>
      <w:r w:rsidRPr="00A30275">
        <w:rPr>
          <w:sz w:val="24"/>
          <w:szCs w:val="24"/>
        </w:rPr>
        <w:t xml:space="preserve">ens, væskeretention og hjertesvigt (se pkt. 4.3 og 4.4). </w:t>
      </w:r>
      <w:proofErr w:type="spellStart"/>
      <w:r w:rsidRPr="00A30275">
        <w:rPr>
          <w:sz w:val="24"/>
          <w:szCs w:val="24"/>
        </w:rPr>
        <w:t>Prostaglandiner</w:t>
      </w:r>
      <w:proofErr w:type="spellEnd"/>
      <w:r w:rsidRPr="00A30275">
        <w:rPr>
          <w:sz w:val="24"/>
          <w:szCs w:val="24"/>
        </w:rPr>
        <w:t xml:space="preserve"> medvirker til ovulation, og anvendelsen af </w:t>
      </w:r>
      <w:proofErr w:type="spellStart"/>
      <w:r w:rsidRPr="00A30275">
        <w:rPr>
          <w:sz w:val="24"/>
          <w:szCs w:val="24"/>
        </w:rPr>
        <w:t>prostaglandinsyntesehæmmere</w:t>
      </w:r>
      <w:proofErr w:type="spellEnd"/>
      <w:r w:rsidRPr="00A30275">
        <w:rPr>
          <w:sz w:val="24"/>
          <w:szCs w:val="24"/>
        </w:rPr>
        <w:t xml:space="preserve"> kan derfor påvirke kvindens fertilitet (se pkt. 4.6). Virkningen af 30 mg </w:t>
      </w:r>
      <w:proofErr w:type="spellStart"/>
      <w:r w:rsidRPr="00A30275">
        <w:rPr>
          <w:sz w:val="24"/>
          <w:szCs w:val="24"/>
        </w:rPr>
        <w:t>ketorolac</w:t>
      </w:r>
      <w:proofErr w:type="spellEnd"/>
      <w:r w:rsidRPr="00A30275">
        <w:rPr>
          <w:sz w:val="24"/>
          <w:szCs w:val="24"/>
        </w:rPr>
        <w:t xml:space="preserve"> indgivet intramuskulært svarer til 12 mg morfin. </w:t>
      </w:r>
      <w:proofErr w:type="spellStart"/>
      <w:r w:rsidRPr="00A30275">
        <w:rPr>
          <w:sz w:val="24"/>
          <w:szCs w:val="24"/>
        </w:rPr>
        <w:t>Ketorolac</w:t>
      </w:r>
      <w:proofErr w:type="spellEnd"/>
      <w:r w:rsidRPr="00A30275">
        <w:rPr>
          <w:sz w:val="24"/>
          <w:szCs w:val="24"/>
        </w:rPr>
        <w:t xml:space="preserve"> </w:t>
      </w:r>
      <w:r w:rsidRPr="00A30275">
        <w:rPr>
          <w:sz w:val="24"/>
          <w:szCs w:val="24"/>
        </w:rPr>
        <w:lastRenderedPageBreak/>
        <w:t xml:space="preserve">har længere virkningstid end morfin. Efter seks timer er der 50 % af den maksimale analgetiske effekt af 30 mg </w:t>
      </w:r>
      <w:proofErr w:type="spellStart"/>
      <w:r w:rsidRPr="00A30275">
        <w:rPr>
          <w:sz w:val="24"/>
          <w:szCs w:val="24"/>
        </w:rPr>
        <w:t>ketorolac</w:t>
      </w:r>
      <w:proofErr w:type="spellEnd"/>
      <w:r w:rsidRPr="00A30275">
        <w:rPr>
          <w:sz w:val="24"/>
          <w:szCs w:val="24"/>
        </w:rPr>
        <w:t xml:space="preserve"> tilbage. Den tilsvarende tid for 12 mg morfin er 2-3 timer. </w:t>
      </w:r>
      <w:proofErr w:type="spellStart"/>
      <w:r w:rsidRPr="00A30275">
        <w:rPr>
          <w:sz w:val="24"/>
          <w:szCs w:val="24"/>
        </w:rPr>
        <w:t>Ketorolac</w:t>
      </w:r>
      <w:proofErr w:type="spellEnd"/>
      <w:r w:rsidRPr="00A30275">
        <w:rPr>
          <w:sz w:val="24"/>
          <w:szCs w:val="24"/>
        </w:rPr>
        <w:t xml:space="preserve"> medfører ikke centralt fremkaldt sedation eller kvalme, påvirker ikke den </w:t>
      </w:r>
      <w:proofErr w:type="spellStart"/>
      <w:r w:rsidRPr="00A30275">
        <w:rPr>
          <w:sz w:val="24"/>
          <w:szCs w:val="24"/>
        </w:rPr>
        <w:t>intestinale</w:t>
      </w:r>
      <w:proofErr w:type="spellEnd"/>
      <w:r w:rsidRPr="00A30275">
        <w:rPr>
          <w:sz w:val="24"/>
          <w:szCs w:val="24"/>
        </w:rPr>
        <w:t xml:space="preserve"> </w:t>
      </w:r>
      <w:proofErr w:type="spellStart"/>
      <w:r w:rsidRPr="00A30275">
        <w:rPr>
          <w:sz w:val="24"/>
          <w:szCs w:val="24"/>
        </w:rPr>
        <w:t>motilitet</w:t>
      </w:r>
      <w:proofErr w:type="spellEnd"/>
      <w:r w:rsidRPr="00A30275">
        <w:rPr>
          <w:sz w:val="24"/>
          <w:szCs w:val="24"/>
        </w:rPr>
        <w:t xml:space="preserve"> og har ingen effekt på respiratorisk depression.</w:t>
      </w:r>
    </w:p>
    <w:p w:rsidR="006D2694" w:rsidRPr="00A30275" w:rsidRDefault="006D2694" w:rsidP="006D2694">
      <w:pPr>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5.2</w:t>
      </w:r>
      <w:r w:rsidRPr="00B130FC">
        <w:rPr>
          <w:b/>
          <w:sz w:val="24"/>
          <w:szCs w:val="24"/>
        </w:rPr>
        <w:tab/>
      </w:r>
      <w:proofErr w:type="spellStart"/>
      <w:r w:rsidRPr="00B130FC">
        <w:rPr>
          <w:b/>
          <w:sz w:val="24"/>
          <w:szCs w:val="24"/>
        </w:rPr>
        <w:t>Farmakokinetiske</w:t>
      </w:r>
      <w:proofErr w:type="spellEnd"/>
      <w:r w:rsidRPr="00B130FC">
        <w:rPr>
          <w:b/>
          <w:sz w:val="24"/>
          <w:szCs w:val="24"/>
        </w:rPr>
        <w:t xml:space="preserve"> egenskaber</w:t>
      </w:r>
    </w:p>
    <w:p w:rsidR="006D2694" w:rsidRPr="00A30275" w:rsidRDefault="006D2694" w:rsidP="006D2694">
      <w:pPr>
        <w:ind w:left="851"/>
        <w:rPr>
          <w:sz w:val="24"/>
          <w:szCs w:val="24"/>
          <w:lang w:eastAsia="en-GB"/>
        </w:rPr>
      </w:pPr>
      <w:proofErr w:type="spellStart"/>
      <w:r w:rsidRPr="00A30275">
        <w:rPr>
          <w:sz w:val="24"/>
          <w:szCs w:val="24"/>
        </w:rPr>
        <w:t>Ketorolac</w:t>
      </w:r>
      <w:proofErr w:type="spellEnd"/>
      <w:r w:rsidRPr="00A30275">
        <w:rPr>
          <w:sz w:val="24"/>
          <w:szCs w:val="24"/>
        </w:rPr>
        <w:t xml:space="preserve"> trometamol </w:t>
      </w:r>
      <w:r>
        <w:rPr>
          <w:sz w:val="24"/>
          <w:szCs w:val="24"/>
        </w:rPr>
        <w:t>"S.A.L.F."</w:t>
      </w:r>
      <w:r w:rsidRPr="00A30275">
        <w:rPr>
          <w:sz w:val="24"/>
          <w:szCs w:val="24"/>
        </w:rPr>
        <w:t xml:space="preserve"> er en </w:t>
      </w:r>
      <w:proofErr w:type="spellStart"/>
      <w:r w:rsidRPr="00A30275">
        <w:rPr>
          <w:sz w:val="24"/>
          <w:szCs w:val="24"/>
        </w:rPr>
        <w:t>racemisk</w:t>
      </w:r>
      <w:proofErr w:type="spellEnd"/>
      <w:r w:rsidRPr="00A30275">
        <w:rPr>
          <w:sz w:val="24"/>
          <w:szCs w:val="24"/>
        </w:rPr>
        <w:t xml:space="preserve"> blanding, hvor både den analgetiske og den antiinflammatoriske effekt er kædet samme med (</w:t>
      </w:r>
      <w:proofErr w:type="gramStart"/>
      <w:r w:rsidRPr="00A30275">
        <w:rPr>
          <w:sz w:val="24"/>
          <w:szCs w:val="24"/>
        </w:rPr>
        <w:t>-)S</w:t>
      </w:r>
      <w:proofErr w:type="gramEnd"/>
      <w:r w:rsidRPr="00A30275">
        <w:rPr>
          <w:sz w:val="24"/>
          <w:szCs w:val="24"/>
        </w:rPr>
        <w:t>-</w:t>
      </w:r>
      <w:proofErr w:type="spellStart"/>
      <w:r w:rsidRPr="00A30275">
        <w:rPr>
          <w:sz w:val="24"/>
          <w:szCs w:val="24"/>
        </w:rPr>
        <w:t>enantiomeren</w:t>
      </w:r>
      <w:proofErr w:type="spellEnd"/>
      <w:r w:rsidRPr="00A30275">
        <w:rPr>
          <w:sz w:val="24"/>
          <w:szCs w:val="24"/>
        </w:rPr>
        <w:t>. (</w:t>
      </w:r>
      <w:proofErr w:type="gramStart"/>
      <w:r w:rsidRPr="00A30275">
        <w:rPr>
          <w:sz w:val="24"/>
          <w:szCs w:val="24"/>
        </w:rPr>
        <w:t>+)R</w:t>
      </w:r>
      <w:proofErr w:type="gramEnd"/>
      <w:r w:rsidRPr="00A30275">
        <w:rPr>
          <w:sz w:val="24"/>
          <w:szCs w:val="24"/>
        </w:rPr>
        <w:t>-</w:t>
      </w:r>
      <w:proofErr w:type="spellStart"/>
      <w:r w:rsidRPr="00A30275">
        <w:rPr>
          <w:sz w:val="24"/>
          <w:szCs w:val="24"/>
        </w:rPr>
        <w:t>enantiomeren</w:t>
      </w:r>
      <w:proofErr w:type="spellEnd"/>
      <w:r w:rsidRPr="00A30275">
        <w:rPr>
          <w:sz w:val="24"/>
          <w:szCs w:val="24"/>
        </w:rPr>
        <w:t xml:space="preserve"> er farmakologisk inaktiv.</w:t>
      </w:r>
    </w:p>
    <w:p w:rsidR="006D2694" w:rsidRPr="00A30275" w:rsidRDefault="006D2694" w:rsidP="006D2694">
      <w:pPr>
        <w:ind w:left="851"/>
        <w:rPr>
          <w:sz w:val="24"/>
          <w:szCs w:val="24"/>
        </w:rPr>
      </w:pPr>
    </w:p>
    <w:p w:rsidR="006D2694" w:rsidRPr="00A30275" w:rsidRDefault="006D2694" w:rsidP="006D2694">
      <w:pPr>
        <w:ind w:left="851"/>
        <w:rPr>
          <w:sz w:val="24"/>
          <w:szCs w:val="24"/>
          <w:u w:val="single"/>
        </w:rPr>
      </w:pPr>
      <w:r w:rsidRPr="00A30275">
        <w:rPr>
          <w:sz w:val="24"/>
          <w:szCs w:val="24"/>
          <w:u w:val="single"/>
        </w:rPr>
        <w:t>Absorption:</w:t>
      </w:r>
    </w:p>
    <w:p w:rsidR="006D2694" w:rsidRPr="00A30275" w:rsidRDefault="006D2694" w:rsidP="006D2694">
      <w:pPr>
        <w:ind w:left="851"/>
        <w:rPr>
          <w:sz w:val="24"/>
          <w:szCs w:val="24"/>
        </w:rPr>
      </w:pPr>
      <w:r w:rsidRPr="00A30275">
        <w:rPr>
          <w:sz w:val="24"/>
          <w:szCs w:val="24"/>
        </w:rPr>
        <w:t>Biotilgængelighed på 100 % ved intramuskulær administration.</w:t>
      </w:r>
    </w:p>
    <w:p w:rsidR="006D2694" w:rsidRPr="00A30275" w:rsidRDefault="006D2694" w:rsidP="006D2694">
      <w:pPr>
        <w:ind w:left="851"/>
        <w:rPr>
          <w:sz w:val="24"/>
          <w:szCs w:val="24"/>
        </w:rPr>
      </w:pPr>
    </w:p>
    <w:p w:rsidR="006D2694" w:rsidRPr="00A30275" w:rsidRDefault="006D2694" w:rsidP="006D2694">
      <w:pPr>
        <w:ind w:left="851"/>
        <w:rPr>
          <w:sz w:val="24"/>
          <w:szCs w:val="24"/>
          <w:u w:val="single"/>
        </w:rPr>
      </w:pPr>
      <w:r w:rsidRPr="00A30275">
        <w:rPr>
          <w:sz w:val="24"/>
          <w:szCs w:val="24"/>
          <w:u w:val="single"/>
        </w:rPr>
        <w:t>Fordeling:</w:t>
      </w:r>
    </w:p>
    <w:p w:rsidR="006D2694" w:rsidRPr="00A30275" w:rsidRDefault="006D2694" w:rsidP="006D2694">
      <w:pPr>
        <w:ind w:left="851"/>
        <w:rPr>
          <w:sz w:val="24"/>
          <w:szCs w:val="24"/>
        </w:rPr>
      </w:pPr>
      <w:r w:rsidRPr="00A30275">
        <w:rPr>
          <w:sz w:val="24"/>
          <w:szCs w:val="24"/>
        </w:rPr>
        <w:t>Efter en intramuskulær dosis på 30 mg opnås en maksimal koncentration i plasma på 5,8 µg/l efter ca. 50 minutter.</w:t>
      </w:r>
    </w:p>
    <w:p w:rsidR="006D2694" w:rsidRPr="00A30275" w:rsidRDefault="006D2694" w:rsidP="006D2694">
      <w:pPr>
        <w:ind w:left="851"/>
        <w:rPr>
          <w:sz w:val="24"/>
          <w:szCs w:val="24"/>
        </w:rPr>
      </w:pPr>
      <w:r w:rsidRPr="00A30275">
        <w:rPr>
          <w:sz w:val="24"/>
          <w:szCs w:val="24"/>
        </w:rPr>
        <w:t xml:space="preserve">Virkningen indtræder inden for 1/2 time, og den maksimale virkning indtræder inden for 1-2 timer. Som følge af forskellen i virkningsmekanismen indtræder virkningen af intravenøst indgivet </w:t>
      </w:r>
      <w:proofErr w:type="spellStart"/>
      <w:r w:rsidRPr="00A30275">
        <w:rPr>
          <w:sz w:val="24"/>
          <w:szCs w:val="24"/>
        </w:rPr>
        <w:t>ketorolac</w:t>
      </w:r>
      <w:proofErr w:type="spellEnd"/>
      <w:r w:rsidRPr="00A30275">
        <w:rPr>
          <w:sz w:val="24"/>
          <w:szCs w:val="24"/>
        </w:rPr>
        <w:t xml:space="preserve"> langsommere end for morfinpræparater, der er indgivet intravenøst. Den gennemsnitlige virkningstid er 4-6 timer. 30 mg indgivet intravenøst giver en maksimal plasmakoncentration på ca. 13 µmol/l efter 3-4 minutter. Ved dosering hver sjette time nås "</w:t>
      </w:r>
      <w:proofErr w:type="spellStart"/>
      <w:r w:rsidRPr="00A30275">
        <w:rPr>
          <w:sz w:val="24"/>
          <w:szCs w:val="24"/>
        </w:rPr>
        <w:t>steady</w:t>
      </w:r>
      <w:proofErr w:type="spellEnd"/>
      <w:r w:rsidRPr="00A30275">
        <w:rPr>
          <w:sz w:val="24"/>
          <w:szCs w:val="24"/>
        </w:rPr>
        <w:t xml:space="preserve"> </w:t>
      </w:r>
      <w:proofErr w:type="spellStart"/>
      <w:r w:rsidRPr="00A30275">
        <w:rPr>
          <w:sz w:val="24"/>
          <w:szCs w:val="24"/>
        </w:rPr>
        <w:t>state</w:t>
      </w:r>
      <w:proofErr w:type="spellEnd"/>
      <w:r w:rsidRPr="00A30275">
        <w:rPr>
          <w:sz w:val="24"/>
          <w:szCs w:val="24"/>
        </w:rPr>
        <w:t xml:space="preserve">" efter én dag. Som følge af forskellen i virkningsmekanismen indtræder virkningen af intravenøst indgivet </w:t>
      </w:r>
      <w:proofErr w:type="spellStart"/>
      <w:r w:rsidRPr="00A30275">
        <w:rPr>
          <w:sz w:val="24"/>
          <w:szCs w:val="24"/>
        </w:rPr>
        <w:t>ketorolac</w:t>
      </w:r>
      <w:proofErr w:type="spellEnd"/>
      <w:r w:rsidRPr="00A30275">
        <w:rPr>
          <w:sz w:val="24"/>
          <w:szCs w:val="24"/>
        </w:rPr>
        <w:t xml:space="preserve"> langsommere end for opioid analgesi, der er indgivet intravenøst. Proteinbinding &gt; 99 %. Efter en intravenøs dosering var fordelingsvolumen 0,25 l/kg, og den samlede </w:t>
      </w:r>
      <w:proofErr w:type="spellStart"/>
      <w:r w:rsidRPr="00A30275">
        <w:rPr>
          <w:sz w:val="24"/>
          <w:szCs w:val="24"/>
        </w:rPr>
        <w:t>plasmaclearance</w:t>
      </w:r>
      <w:proofErr w:type="spellEnd"/>
      <w:r w:rsidRPr="00A30275">
        <w:rPr>
          <w:sz w:val="24"/>
          <w:szCs w:val="24"/>
        </w:rPr>
        <w:t xml:space="preserve"> var 0,55 ml/min./kg. </w:t>
      </w:r>
      <w:proofErr w:type="spellStart"/>
      <w:r w:rsidRPr="00A30275">
        <w:rPr>
          <w:sz w:val="24"/>
          <w:szCs w:val="24"/>
        </w:rPr>
        <w:t>Ketorolacs</w:t>
      </w:r>
      <w:proofErr w:type="spellEnd"/>
      <w:r w:rsidRPr="00A30275">
        <w:rPr>
          <w:sz w:val="24"/>
          <w:szCs w:val="24"/>
        </w:rPr>
        <w:t xml:space="preserve"> farmakokinetik er lineær. </w:t>
      </w:r>
      <w:proofErr w:type="spellStart"/>
      <w:r w:rsidRPr="00A30275">
        <w:rPr>
          <w:sz w:val="24"/>
          <w:szCs w:val="24"/>
        </w:rPr>
        <w:t>Steady</w:t>
      </w:r>
      <w:proofErr w:type="spellEnd"/>
      <w:r w:rsidRPr="00A30275">
        <w:rPr>
          <w:sz w:val="24"/>
          <w:szCs w:val="24"/>
        </w:rPr>
        <w:t xml:space="preserve"> </w:t>
      </w:r>
      <w:proofErr w:type="spellStart"/>
      <w:r w:rsidRPr="00A30275">
        <w:rPr>
          <w:sz w:val="24"/>
          <w:szCs w:val="24"/>
        </w:rPr>
        <w:t>state</w:t>
      </w:r>
      <w:proofErr w:type="spellEnd"/>
      <w:r w:rsidRPr="00A30275">
        <w:rPr>
          <w:sz w:val="24"/>
          <w:szCs w:val="24"/>
        </w:rPr>
        <w:t xml:space="preserve">-plasmakoncentrationer opnås efter dosering hver sjette time på en dag. Der sker ingen ændring af </w:t>
      </w:r>
      <w:proofErr w:type="spellStart"/>
      <w:r w:rsidRPr="00A30275">
        <w:rPr>
          <w:sz w:val="24"/>
          <w:szCs w:val="24"/>
        </w:rPr>
        <w:t>clearance</w:t>
      </w:r>
      <w:proofErr w:type="spellEnd"/>
      <w:r w:rsidRPr="00A30275">
        <w:rPr>
          <w:sz w:val="24"/>
          <w:szCs w:val="24"/>
        </w:rPr>
        <w:t xml:space="preserve"> efter gentagen dosering. </w:t>
      </w:r>
      <w:proofErr w:type="spellStart"/>
      <w:r w:rsidRPr="00A30275">
        <w:rPr>
          <w:sz w:val="24"/>
          <w:szCs w:val="24"/>
        </w:rPr>
        <w:t>Ketorolacs</w:t>
      </w:r>
      <w:proofErr w:type="spellEnd"/>
      <w:r w:rsidRPr="00A30275">
        <w:rPr>
          <w:sz w:val="24"/>
          <w:szCs w:val="24"/>
        </w:rPr>
        <w:t xml:space="preserve"> halveringstid i plasma er i gennemsnit 5,3 timer.</w:t>
      </w:r>
    </w:p>
    <w:p w:rsidR="006D2694" w:rsidRPr="00A30275" w:rsidRDefault="006D2694" w:rsidP="006D2694">
      <w:pPr>
        <w:ind w:left="851"/>
        <w:rPr>
          <w:sz w:val="24"/>
          <w:szCs w:val="24"/>
          <w:u w:val="single"/>
        </w:rPr>
      </w:pPr>
    </w:p>
    <w:p w:rsidR="006D2694" w:rsidRPr="00A30275" w:rsidRDefault="006D2694" w:rsidP="006D2694">
      <w:pPr>
        <w:ind w:left="851"/>
        <w:rPr>
          <w:sz w:val="24"/>
          <w:szCs w:val="24"/>
          <w:u w:val="single"/>
        </w:rPr>
      </w:pPr>
      <w:r w:rsidRPr="00A30275">
        <w:rPr>
          <w:sz w:val="24"/>
          <w:szCs w:val="24"/>
          <w:u w:val="single"/>
        </w:rPr>
        <w:t>Biotransformation:</w:t>
      </w:r>
    </w:p>
    <w:p w:rsidR="006D2694" w:rsidRPr="00A30275" w:rsidRDefault="006D2694" w:rsidP="006D2694">
      <w:pPr>
        <w:ind w:left="851"/>
        <w:rPr>
          <w:sz w:val="24"/>
          <w:szCs w:val="24"/>
        </w:rPr>
      </w:pPr>
      <w:proofErr w:type="spellStart"/>
      <w:r w:rsidRPr="00A30275">
        <w:rPr>
          <w:sz w:val="24"/>
          <w:szCs w:val="24"/>
        </w:rPr>
        <w:t>Ketorolac</w:t>
      </w:r>
      <w:proofErr w:type="spellEnd"/>
      <w:r w:rsidRPr="00A30275">
        <w:rPr>
          <w:sz w:val="24"/>
          <w:szCs w:val="24"/>
        </w:rPr>
        <w:t xml:space="preserve"> </w:t>
      </w:r>
      <w:proofErr w:type="spellStart"/>
      <w:r w:rsidRPr="00A30275">
        <w:rPr>
          <w:sz w:val="24"/>
          <w:szCs w:val="24"/>
        </w:rPr>
        <w:t>metaboliseres</w:t>
      </w:r>
      <w:proofErr w:type="spellEnd"/>
      <w:r w:rsidRPr="00A30275">
        <w:rPr>
          <w:sz w:val="24"/>
          <w:szCs w:val="24"/>
        </w:rPr>
        <w:t xml:space="preserve"> til p-</w:t>
      </w:r>
      <w:proofErr w:type="spellStart"/>
      <w:r w:rsidRPr="00A30275">
        <w:rPr>
          <w:sz w:val="24"/>
          <w:szCs w:val="24"/>
        </w:rPr>
        <w:t>hydroxymetabolitten</w:t>
      </w:r>
      <w:proofErr w:type="spellEnd"/>
      <w:r w:rsidRPr="00A30275">
        <w:rPr>
          <w:sz w:val="24"/>
          <w:szCs w:val="24"/>
        </w:rPr>
        <w:t>, som generelt er inaktiv.</w:t>
      </w:r>
    </w:p>
    <w:p w:rsidR="006D2694" w:rsidRPr="00A30275" w:rsidRDefault="006D2694" w:rsidP="006D2694">
      <w:pPr>
        <w:ind w:left="851"/>
        <w:rPr>
          <w:sz w:val="24"/>
          <w:szCs w:val="24"/>
        </w:rPr>
      </w:pPr>
    </w:p>
    <w:p w:rsidR="006D2694" w:rsidRPr="00A30275" w:rsidRDefault="006D2694" w:rsidP="006D2694">
      <w:pPr>
        <w:ind w:left="851"/>
        <w:rPr>
          <w:sz w:val="24"/>
          <w:szCs w:val="24"/>
          <w:u w:val="single"/>
        </w:rPr>
      </w:pPr>
      <w:r w:rsidRPr="00A30275">
        <w:rPr>
          <w:sz w:val="24"/>
          <w:szCs w:val="24"/>
          <w:u w:val="single"/>
        </w:rPr>
        <w:t>Elimination:</w:t>
      </w:r>
    </w:p>
    <w:p w:rsidR="006D2694" w:rsidRPr="00A30275" w:rsidRDefault="006D2694" w:rsidP="006D2694">
      <w:pPr>
        <w:ind w:left="851"/>
        <w:rPr>
          <w:sz w:val="24"/>
          <w:szCs w:val="24"/>
        </w:rPr>
      </w:pPr>
      <w:r w:rsidRPr="00A30275">
        <w:rPr>
          <w:sz w:val="24"/>
          <w:szCs w:val="24"/>
        </w:rPr>
        <w:t xml:space="preserve">Lineær farmakokinetik. Halveringstid i plasma: ca. 5,3 timer. Total </w:t>
      </w:r>
      <w:proofErr w:type="spellStart"/>
      <w:r w:rsidRPr="00A30275">
        <w:rPr>
          <w:sz w:val="24"/>
          <w:szCs w:val="24"/>
        </w:rPr>
        <w:t>plasmaclearance</w:t>
      </w:r>
      <w:proofErr w:type="spellEnd"/>
      <w:r w:rsidRPr="00A30275">
        <w:rPr>
          <w:sz w:val="24"/>
          <w:szCs w:val="24"/>
        </w:rPr>
        <w:t xml:space="preserve">: 0,55 ml/min./kg. Ingen ændring af </w:t>
      </w:r>
      <w:proofErr w:type="spellStart"/>
      <w:r w:rsidRPr="00A30275">
        <w:rPr>
          <w:sz w:val="24"/>
          <w:szCs w:val="24"/>
        </w:rPr>
        <w:t>clearance</w:t>
      </w:r>
      <w:proofErr w:type="spellEnd"/>
      <w:r w:rsidRPr="00A30275">
        <w:rPr>
          <w:sz w:val="24"/>
          <w:szCs w:val="24"/>
        </w:rPr>
        <w:t xml:space="preserve"> efter gentagen dosering. </w:t>
      </w:r>
      <w:proofErr w:type="spellStart"/>
      <w:r w:rsidRPr="00A30275">
        <w:rPr>
          <w:sz w:val="24"/>
          <w:szCs w:val="24"/>
        </w:rPr>
        <w:t>Ketorolac</w:t>
      </w:r>
      <w:proofErr w:type="spellEnd"/>
      <w:r w:rsidRPr="00A30275">
        <w:rPr>
          <w:sz w:val="24"/>
          <w:szCs w:val="24"/>
        </w:rPr>
        <w:t xml:space="preserve"> og dets metabolitter (</w:t>
      </w:r>
      <w:proofErr w:type="spellStart"/>
      <w:r w:rsidRPr="00A30275">
        <w:rPr>
          <w:sz w:val="24"/>
          <w:szCs w:val="24"/>
        </w:rPr>
        <w:t>glucuronid-konjugat</w:t>
      </w:r>
      <w:proofErr w:type="spellEnd"/>
      <w:r w:rsidRPr="00A30275">
        <w:rPr>
          <w:sz w:val="24"/>
          <w:szCs w:val="24"/>
        </w:rPr>
        <w:t xml:space="preserve"> og p-</w:t>
      </w:r>
      <w:proofErr w:type="spellStart"/>
      <w:r w:rsidRPr="00A30275">
        <w:rPr>
          <w:sz w:val="24"/>
          <w:szCs w:val="24"/>
        </w:rPr>
        <w:t>hydroxymetabolit</w:t>
      </w:r>
      <w:proofErr w:type="spellEnd"/>
      <w:r w:rsidRPr="00A30275">
        <w:rPr>
          <w:sz w:val="24"/>
          <w:szCs w:val="24"/>
        </w:rPr>
        <w:t>) elimineres hovedsagelig i urin (91 %), og resten udskilles i fæces (hvoraf 58 % er uændret, 11 % udskilles som p-</w:t>
      </w:r>
      <w:proofErr w:type="spellStart"/>
      <w:r w:rsidRPr="00A30275">
        <w:rPr>
          <w:sz w:val="24"/>
          <w:szCs w:val="24"/>
        </w:rPr>
        <w:t>hydroxymetabolit</w:t>
      </w:r>
      <w:proofErr w:type="spellEnd"/>
      <w:r w:rsidRPr="00A30275">
        <w:rPr>
          <w:sz w:val="24"/>
          <w:szCs w:val="24"/>
        </w:rPr>
        <w:t xml:space="preserve">, og resten (31 %) sandsynligvis som </w:t>
      </w:r>
      <w:proofErr w:type="spellStart"/>
      <w:r w:rsidRPr="00A30275">
        <w:rPr>
          <w:sz w:val="24"/>
          <w:szCs w:val="24"/>
        </w:rPr>
        <w:t>konjugat</w:t>
      </w:r>
      <w:proofErr w:type="spellEnd"/>
      <w:r w:rsidRPr="00A30275">
        <w:rPr>
          <w:sz w:val="24"/>
          <w:szCs w:val="24"/>
        </w:rPr>
        <w:t>).</w:t>
      </w:r>
    </w:p>
    <w:p w:rsidR="006D2694" w:rsidRPr="00A30275" w:rsidRDefault="006D2694" w:rsidP="006D2694">
      <w:pPr>
        <w:ind w:left="851"/>
        <w:rPr>
          <w:sz w:val="24"/>
          <w:szCs w:val="24"/>
        </w:rPr>
      </w:pPr>
    </w:p>
    <w:p w:rsidR="006D2694" w:rsidRPr="00A30275" w:rsidRDefault="006D2694" w:rsidP="006D2694">
      <w:pPr>
        <w:ind w:left="851"/>
        <w:rPr>
          <w:sz w:val="24"/>
          <w:szCs w:val="24"/>
        </w:rPr>
      </w:pPr>
      <w:r w:rsidRPr="00A30275">
        <w:rPr>
          <w:sz w:val="24"/>
          <w:szCs w:val="24"/>
        </w:rPr>
        <w:t xml:space="preserve">Begrænset </w:t>
      </w:r>
      <w:proofErr w:type="spellStart"/>
      <w:r w:rsidRPr="00A30275">
        <w:rPr>
          <w:sz w:val="24"/>
          <w:szCs w:val="24"/>
        </w:rPr>
        <w:t>farmakokinetisk</w:t>
      </w:r>
      <w:proofErr w:type="spellEnd"/>
      <w:r w:rsidRPr="00A30275">
        <w:rPr>
          <w:sz w:val="24"/>
          <w:szCs w:val="24"/>
        </w:rPr>
        <w:t xml:space="preserve"> dokumentation for de individuelle </w:t>
      </w:r>
      <w:proofErr w:type="spellStart"/>
      <w:r w:rsidRPr="00A30275">
        <w:rPr>
          <w:sz w:val="24"/>
          <w:szCs w:val="24"/>
        </w:rPr>
        <w:t>enantiomerer</w:t>
      </w:r>
      <w:proofErr w:type="spellEnd"/>
      <w:r w:rsidRPr="00A30275">
        <w:rPr>
          <w:sz w:val="24"/>
          <w:szCs w:val="24"/>
        </w:rPr>
        <w:t xml:space="preserve"> viser, at (</w:t>
      </w:r>
      <w:proofErr w:type="gramStart"/>
      <w:r w:rsidRPr="00A30275">
        <w:rPr>
          <w:sz w:val="24"/>
          <w:szCs w:val="24"/>
        </w:rPr>
        <w:t>+)R</w:t>
      </w:r>
      <w:proofErr w:type="gramEnd"/>
      <w:r w:rsidRPr="00A30275">
        <w:rPr>
          <w:sz w:val="24"/>
          <w:szCs w:val="24"/>
        </w:rPr>
        <w:t>-</w:t>
      </w:r>
      <w:proofErr w:type="spellStart"/>
      <w:r w:rsidRPr="00A30275">
        <w:rPr>
          <w:sz w:val="24"/>
          <w:szCs w:val="24"/>
        </w:rPr>
        <w:t>enantiomeren</w:t>
      </w:r>
      <w:proofErr w:type="spellEnd"/>
      <w:r w:rsidRPr="00A30275">
        <w:rPr>
          <w:sz w:val="24"/>
          <w:szCs w:val="24"/>
        </w:rPr>
        <w:t xml:space="preserve"> har lavere </w:t>
      </w:r>
      <w:proofErr w:type="spellStart"/>
      <w:r w:rsidRPr="00A30275">
        <w:rPr>
          <w:sz w:val="24"/>
          <w:szCs w:val="24"/>
        </w:rPr>
        <w:t>clearance</w:t>
      </w:r>
      <w:proofErr w:type="spellEnd"/>
      <w:r w:rsidRPr="00A30275">
        <w:rPr>
          <w:sz w:val="24"/>
          <w:szCs w:val="24"/>
        </w:rPr>
        <w:t xml:space="preserve"> end (-)S-</w:t>
      </w:r>
      <w:proofErr w:type="spellStart"/>
      <w:r w:rsidRPr="00A30275">
        <w:rPr>
          <w:sz w:val="24"/>
          <w:szCs w:val="24"/>
        </w:rPr>
        <w:t>enantiomeren</w:t>
      </w:r>
      <w:proofErr w:type="spellEnd"/>
      <w:r w:rsidRPr="00A30275">
        <w:rPr>
          <w:sz w:val="24"/>
          <w:szCs w:val="24"/>
        </w:rPr>
        <w:t>.</w:t>
      </w:r>
    </w:p>
    <w:p w:rsidR="006D2694" w:rsidRPr="00A30275" w:rsidRDefault="006D2694" w:rsidP="006D2694">
      <w:pPr>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5.3</w:t>
      </w:r>
      <w:r w:rsidRPr="00B130FC">
        <w:rPr>
          <w:b/>
          <w:sz w:val="24"/>
          <w:szCs w:val="24"/>
        </w:rPr>
        <w:tab/>
      </w:r>
      <w:r w:rsidR="003B6B89">
        <w:rPr>
          <w:b/>
          <w:sz w:val="24"/>
          <w:szCs w:val="24"/>
        </w:rPr>
        <w:t>Non-</w:t>
      </w:r>
      <w:r w:rsidRPr="00B130FC">
        <w:rPr>
          <w:b/>
          <w:sz w:val="24"/>
          <w:szCs w:val="24"/>
        </w:rPr>
        <w:t>kliniske sikkerhedsdata</w:t>
      </w:r>
    </w:p>
    <w:p w:rsidR="006D2694" w:rsidRPr="00B130FC" w:rsidRDefault="006D2694" w:rsidP="006D2694">
      <w:pPr>
        <w:spacing w:line="244" w:lineRule="auto"/>
        <w:ind w:left="851"/>
        <w:rPr>
          <w:sz w:val="24"/>
          <w:szCs w:val="24"/>
          <w:lang w:eastAsia="en-GB"/>
        </w:rPr>
      </w:pPr>
      <w:r w:rsidRPr="00B130FC">
        <w:rPr>
          <w:sz w:val="24"/>
          <w:szCs w:val="24"/>
        </w:rPr>
        <w:t xml:space="preserve">Reproduktionstoksicitetsundersøgelser har vist, at anvendelsen af </w:t>
      </w:r>
      <w:proofErr w:type="spellStart"/>
      <w:r w:rsidRPr="00B130FC">
        <w:rPr>
          <w:sz w:val="24"/>
          <w:szCs w:val="24"/>
        </w:rPr>
        <w:t>prostaglandinsyntesehæmmere</w:t>
      </w:r>
      <w:proofErr w:type="spellEnd"/>
      <w:r w:rsidRPr="00B130FC">
        <w:rPr>
          <w:sz w:val="24"/>
          <w:szCs w:val="24"/>
        </w:rPr>
        <w:t xml:space="preserve"> har medført en øget hyppighed af præ- og postimplantationstab samt embryo-fosterdød. Der er også fundet en øget forekomst af flere misdannelser, herunder </w:t>
      </w:r>
      <w:proofErr w:type="spellStart"/>
      <w:r w:rsidRPr="00B130FC">
        <w:rPr>
          <w:sz w:val="24"/>
          <w:szCs w:val="24"/>
        </w:rPr>
        <w:t>kardiovaskulære</w:t>
      </w:r>
      <w:proofErr w:type="spellEnd"/>
      <w:r w:rsidRPr="00B130FC">
        <w:rPr>
          <w:sz w:val="24"/>
          <w:szCs w:val="24"/>
        </w:rPr>
        <w:t xml:space="preserve"> misdannelser hos dyr, som har fået en </w:t>
      </w:r>
      <w:proofErr w:type="spellStart"/>
      <w:r w:rsidRPr="00B130FC">
        <w:rPr>
          <w:sz w:val="24"/>
          <w:szCs w:val="24"/>
        </w:rPr>
        <w:t>prostaglandinsyntesehæmmer</w:t>
      </w:r>
      <w:proofErr w:type="spellEnd"/>
      <w:r w:rsidRPr="00B130FC">
        <w:rPr>
          <w:sz w:val="24"/>
          <w:szCs w:val="24"/>
        </w:rPr>
        <w:t xml:space="preserve"> under den </w:t>
      </w:r>
      <w:proofErr w:type="spellStart"/>
      <w:r w:rsidRPr="00B130FC">
        <w:rPr>
          <w:sz w:val="24"/>
          <w:szCs w:val="24"/>
        </w:rPr>
        <w:t>organogenetiske</w:t>
      </w:r>
      <w:proofErr w:type="spellEnd"/>
      <w:r w:rsidRPr="00B130FC">
        <w:rPr>
          <w:sz w:val="24"/>
          <w:szCs w:val="24"/>
        </w:rPr>
        <w:t xml:space="preserve"> periode.</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rPr>
          <w:sz w:val="24"/>
          <w:szCs w:val="24"/>
        </w:rPr>
      </w:pPr>
    </w:p>
    <w:p w:rsidR="006D2694" w:rsidRPr="00B130FC" w:rsidRDefault="006D2694" w:rsidP="00993280">
      <w:pPr>
        <w:keepNext/>
        <w:tabs>
          <w:tab w:val="left" w:pos="851"/>
        </w:tabs>
        <w:ind w:left="851" w:hanging="851"/>
        <w:rPr>
          <w:b/>
          <w:sz w:val="24"/>
          <w:szCs w:val="24"/>
        </w:rPr>
      </w:pPr>
      <w:r w:rsidRPr="00B130FC">
        <w:rPr>
          <w:b/>
          <w:sz w:val="24"/>
          <w:szCs w:val="24"/>
        </w:rPr>
        <w:lastRenderedPageBreak/>
        <w:t>6.</w:t>
      </w:r>
      <w:r w:rsidRPr="00B130FC">
        <w:rPr>
          <w:b/>
          <w:sz w:val="24"/>
          <w:szCs w:val="24"/>
        </w:rPr>
        <w:tab/>
        <w:t>FARMACEUTISKE OPLYSNINGER</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6.1</w:t>
      </w:r>
      <w:r w:rsidRPr="00B130FC">
        <w:rPr>
          <w:b/>
          <w:sz w:val="24"/>
          <w:szCs w:val="24"/>
        </w:rPr>
        <w:tab/>
        <w:t>Hjælpestoffer</w:t>
      </w:r>
    </w:p>
    <w:p w:rsidR="006D2694" w:rsidRPr="00B130FC" w:rsidRDefault="006D2694" w:rsidP="006D2694">
      <w:pPr>
        <w:spacing w:line="244" w:lineRule="auto"/>
        <w:ind w:left="851"/>
        <w:rPr>
          <w:sz w:val="24"/>
          <w:szCs w:val="24"/>
          <w:lang w:eastAsia="en-GB"/>
        </w:rPr>
      </w:pPr>
      <w:proofErr w:type="spellStart"/>
      <w:r w:rsidRPr="00B130FC">
        <w:rPr>
          <w:sz w:val="24"/>
          <w:szCs w:val="24"/>
        </w:rPr>
        <w:t>Ethanol</w:t>
      </w:r>
      <w:proofErr w:type="spellEnd"/>
      <w:r w:rsidRPr="00B130FC">
        <w:rPr>
          <w:sz w:val="24"/>
          <w:szCs w:val="24"/>
        </w:rPr>
        <w:t xml:space="preserve"> 96 %</w:t>
      </w:r>
    </w:p>
    <w:p w:rsidR="006D2694" w:rsidRPr="00B130FC" w:rsidRDefault="006D2694" w:rsidP="006D2694">
      <w:pPr>
        <w:spacing w:line="244" w:lineRule="auto"/>
        <w:ind w:left="851"/>
        <w:rPr>
          <w:sz w:val="24"/>
          <w:szCs w:val="24"/>
        </w:rPr>
      </w:pPr>
      <w:proofErr w:type="spellStart"/>
      <w:r w:rsidRPr="00B130FC">
        <w:rPr>
          <w:sz w:val="24"/>
          <w:szCs w:val="24"/>
        </w:rPr>
        <w:t>Natriumchlorid</w:t>
      </w:r>
      <w:proofErr w:type="spellEnd"/>
      <w:r w:rsidRPr="00B130FC">
        <w:rPr>
          <w:sz w:val="24"/>
          <w:szCs w:val="24"/>
        </w:rPr>
        <w:t xml:space="preserve"> </w:t>
      </w:r>
    </w:p>
    <w:p w:rsidR="006D2694" w:rsidRPr="00B130FC" w:rsidRDefault="006D2694" w:rsidP="006D2694">
      <w:pPr>
        <w:spacing w:line="244" w:lineRule="auto"/>
        <w:ind w:left="851"/>
        <w:rPr>
          <w:sz w:val="24"/>
          <w:szCs w:val="24"/>
        </w:rPr>
      </w:pPr>
      <w:r w:rsidRPr="00B130FC">
        <w:rPr>
          <w:sz w:val="24"/>
          <w:szCs w:val="24"/>
        </w:rPr>
        <w:t>Vand til injektionsvæsker</w:t>
      </w:r>
    </w:p>
    <w:p w:rsidR="006D2694" w:rsidRPr="00B130FC" w:rsidRDefault="006D2694" w:rsidP="006D2694">
      <w:pPr>
        <w:spacing w:line="244" w:lineRule="auto"/>
        <w:ind w:left="851"/>
        <w:rPr>
          <w:sz w:val="24"/>
          <w:szCs w:val="24"/>
        </w:rPr>
      </w:pPr>
      <w:r w:rsidRPr="00B130FC">
        <w:rPr>
          <w:sz w:val="24"/>
          <w:szCs w:val="24"/>
        </w:rPr>
        <w:t>Natriumhydroxid (til pH-justering)</w:t>
      </w:r>
    </w:p>
    <w:p w:rsidR="006D2694" w:rsidRPr="00B130FC" w:rsidRDefault="006D2694" w:rsidP="006D2694">
      <w:pPr>
        <w:spacing w:line="244" w:lineRule="auto"/>
        <w:ind w:left="851"/>
        <w:rPr>
          <w:sz w:val="24"/>
          <w:szCs w:val="24"/>
        </w:rPr>
      </w:pPr>
      <w:r w:rsidRPr="00B130FC">
        <w:rPr>
          <w:sz w:val="24"/>
          <w:szCs w:val="24"/>
        </w:rPr>
        <w:t xml:space="preserve">Saltsyre (til pH-justering) </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6.2</w:t>
      </w:r>
      <w:r w:rsidRPr="00B130FC">
        <w:rPr>
          <w:b/>
          <w:sz w:val="24"/>
          <w:szCs w:val="24"/>
        </w:rPr>
        <w:tab/>
        <w:t>Uforligeligheder</w:t>
      </w:r>
    </w:p>
    <w:p w:rsidR="006D2694" w:rsidRPr="00B130FC" w:rsidRDefault="006D2694" w:rsidP="006D2694">
      <w:pPr>
        <w:spacing w:line="244" w:lineRule="auto"/>
        <w:ind w:left="851"/>
        <w:rPr>
          <w:sz w:val="24"/>
          <w:szCs w:val="24"/>
          <w:lang w:eastAsia="en-GB"/>
        </w:rPr>
      </w:pPr>
      <w:r w:rsidRPr="00B130FC">
        <w:rPr>
          <w:sz w:val="24"/>
          <w:szCs w:val="24"/>
        </w:rPr>
        <w:t>Da der ikke foreligger kompatibilitetsstudier, må dette lægemiddel ikke blandes med andre lægemidler.</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6.3</w:t>
      </w:r>
      <w:r w:rsidRPr="00B130FC">
        <w:rPr>
          <w:b/>
          <w:sz w:val="24"/>
          <w:szCs w:val="24"/>
        </w:rPr>
        <w:tab/>
        <w:t>Opbevaringstid</w:t>
      </w:r>
    </w:p>
    <w:p w:rsidR="006D2694" w:rsidRPr="00B130FC" w:rsidRDefault="006D2694" w:rsidP="006D2694">
      <w:pPr>
        <w:spacing w:line="244" w:lineRule="auto"/>
        <w:ind w:left="851"/>
        <w:rPr>
          <w:sz w:val="24"/>
          <w:szCs w:val="24"/>
          <w:lang w:eastAsia="en-GB"/>
        </w:rPr>
      </w:pPr>
      <w:r>
        <w:rPr>
          <w:sz w:val="24"/>
          <w:szCs w:val="24"/>
        </w:rPr>
        <w:t>2</w:t>
      </w:r>
      <w:r w:rsidRPr="00B130FC">
        <w:rPr>
          <w:sz w:val="24"/>
          <w:szCs w:val="24"/>
        </w:rPr>
        <w:t xml:space="preserve"> år.</w:t>
      </w:r>
    </w:p>
    <w:p w:rsidR="006D2694" w:rsidRPr="00131ABC" w:rsidRDefault="006D2694" w:rsidP="006D2694">
      <w:pPr>
        <w:tabs>
          <w:tab w:val="left" w:pos="851"/>
        </w:tabs>
        <w:ind w:left="851" w:hanging="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6.4</w:t>
      </w:r>
      <w:r w:rsidRPr="00B130FC">
        <w:rPr>
          <w:b/>
          <w:sz w:val="24"/>
          <w:szCs w:val="24"/>
        </w:rPr>
        <w:tab/>
        <w:t>Særlige opbevaringsforhold</w:t>
      </w:r>
    </w:p>
    <w:p w:rsidR="006D2694" w:rsidRPr="00B130FC" w:rsidRDefault="006D2694" w:rsidP="006D2694">
      <w:pPr>
        <w:ind w:left="851"/>
        <w:rPr>
          <w:sz w:val="24"/>
          <w:szCs w:val="24"/>
          <w:lang w:eastAsia="en-GB"/>
        </w:rPr>
      </w:pPr>
      <w:r w:rsidRPr="00B130FC">
        <w:rPr>
          <w:sz w:val="24"/>
          <w:szCs w:val="24"/>
        </w:rPr>
        <w:t>Dette lægemiddel kræver ingen særlige forholdsregler vedrørende opbevaringen.</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6.5</w:t>
      </w:r>
      <w:r w:rsidRPr="00B130FC">
        <w:rPr>
          <w:b/>
          <w:sz w:val="24"/>
          <w:szCs w:val="24"/>
        </w:rPr>
        <w:tab/>
        <w:t>Emballagetype og pakningsstørrelser</w:t>
      </w:r>
    </w:p>
    <w:p w:rsidR="006D2694" w:rsidRDefault="006D2694" w:rsidP="006D2694">
      <w:pPr>
        <w:ind w:left="851" w:right="-20"/>
        <w:rPr>
          <w:sz w:val="24"/>
          <w:szCs w:val="24"/>
        </w:rPr>
      </w:pPr>
      <w:r>
        <w:rPr>
          <w:sz w:val="24"/>
          <w:szCs w:val="24"/>
        </w:rPr>
        <w:t xml:space="preserve">Glasampuller (type I </w:t>
      </w:r>
      <w:proofErr w:type="spellStart"/>
      <w:r>
        <w:rPr>
          <w:sz w:val="24"/>
          <w:szCs w:val="24"/>
        </w:rPr>
        <w:t>Ph.Eur</w:t>
      </w:r>
      <w:proofErr w:type="spellEnd"/>
      <w:r>
        <w:rPr>
          <w:sz w:val="24"/>
          <w:szCs w:val="24"/>
        </w:rPr>
        <w:t>.) á</w:t>
      </w:r>
      <w:r w:rsidRPr="00B130FC">
        <w:rPr>
          <w:sz w:val="24"/>
          <w:szCs w:val="24"/>
        </w:rPr>
        <w:t xml:space="preserve"> 1 ml.</w:t>
      </w:r>
    </w:p>
    <w:p w:rsidR="006D2694" w:rsidRPr="00B130FC" w:rsidRDefault="006D2694" w:rsidP="006D2694">
      <w:pPr>
        <w:ind w:left="851" w:right="-20"/>
        <w:rPr>
          <w:sz w:val="24"/>
          <w:szCs w:val="24"/>
          <w:lang w:eastAsia="en-GB"/>
        </w:rPr>
      </w:pPr>
      <w:r>
        <w:rPr>
          <w:sz w:val="24"/>
          <w:szCs w:val="24"/>
        </w:rPr>
        <w:t>Pakningsstørrelser: 5 ampuller á 1 ml.</w:t>
      </w:r>
      <w:r w:rsidRPr="00B130FC">
        <w:rPr>
          <w:sz w:val="24"/>
          <w:szCs w:val="24"/>
        </w:rPr>
        <w:t xml:space="preserve"> </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6.6</w:t>
      </w:r>
      <w:r w:rsidRPr="00B130FC">
        <w:rPr>
          <w:b/>
          <w:sz w:val="24"/>
          <w:szCs w:val="24"/>
        </w:rPr>
        <w:tab/>
        <w:t xml:space="preserve">Regler for </w:t>
      </w:r>
      <w:r w:rsidR="003B6B89">
        <w:rPr>
          <w:b/>
          <w:sz w:val="24"/>
          <w:szCs w:val="24"/>
        </w:rPr>
        <w:t>bortskaffelse</w:t>
      </w:r>
      <w:r w:rsidRPr="00B130FC">
        <w:rPr>
          <w:b/>
          <w:sz w:val="24"/>
          <w:szCs w:val="24"/>
        </w:rPr>
        <w:t xml:space="preserve"> og anden håndtering</w:t>
      </w:r>
    </w:p>
    <w:p w:rsidR="006D2694" w:rsidRPr="00B130FC" w:rsidRDefault="006D2694" w:rsidP="006D2694">
      <w:pPr>
        <w:ind w:left="851" w:right="-20"/>
        <w:rPr>
          <w:sz w:val="24"/>
          <w:szCs w:val="24"/>
          <w:lang w:eastAsia="en-GB"/>
        </w:rPr>
      </w:pPr>
      <w:r w:rsidRPr="00B130FC">
        <w:rPr>
          <w:sz w:val="24"/>
          <w:szCs w:val="24"/>
        </w:rPr>
        <w:t>Ingen særlige forholdsregler.</w:t>
      </w:r>
    </w:p>
    <w:p w:rsidR="006D2694" w:rsidRPr="00B130FC" w:rsidRDefault="006D2694" w:rsidP="006D2694">
      <w:pPr>
        <w:tabs>
          <w:tab w:val="left" w:pos="851"/>
        </w:tabs>
        <w:ind w:left="851"/>
        <w:jc w:val="both"/>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7.</w:t>
      </w:r>
      <w:r w:rsidRPr="00B130FC">
        <w:rPr>
          <w:b/>
          <w:sz w:val="24"/>
          <w:szCs w:val="24"/>
        </w:rPr>
        <w:tab/>
        <w:t>INDEHAVER AF MARKEDSFØRINGSTILLADELSEN</w:t>
      </w:r>
    </w:p>
    <w:p w:rsidR="006D2694" w:rsidRPr="001663E7" w:rsidRDefault="006D2694" w:rsidP="006D2694">
      <w:pPr>
        <w:tabs>
          <w:tab w:val="left" w:pos="851"/>
        </w:tabs>
        <w:ind w:left="851"/>
        <w:rPr>
          <w:sz w:val="24"/>
          <w:szCs w:val="24"/>
          <w:lang w:val="en-US"/>
        </w:rPr>
      </w:pPr>
      <w:r w:rsidRPr="001663E7">
        <w:rPr>
          <w:sz w:val="24"/>
          <w:szCs w:val="24"/>
          <w:lang w:val="en-US"/>
        </w:rPr>
        <w:t xml:space="preserve">S.A.L.F. S.p.A. </w:t>
      </w:r>
      <w:proofErr w:type="spellStart"/>
      <w:r w:rsidRPr="001663E7">
        <w:rPr>
          <w:sz w:val="24"/>
          <w:szCs w:val="24"/>
          <w:lang w:val="en-US"/>
        </w:rPr>
        <w:t>Laboratorio</w:t>
      </w:r>
      <w:proofErr w:type="spellEnd"/>
      <w:r w:rsidRPr="001663E7">
        <w:rPr>
          <w:sz w:val="24"/>
          <w:szCs w:val="24"/>
          <w:lang w:val="en-US"/>
        </w:rPr>
        <w:t xml:space="preserve"> </w:t>
      </w:r>
      <w:proofErr w:type="spellStart"/>
      <w:r w:rsidRPr="001663E7">
        <w:rPr>
          <w:sz w:val="24"/>
          <w:szCs w:val="24"/>
          <w:lang w:val="en-US"/>
        </w:rPr>
        <w:t>Farmacologico</w:t>
      </w:r>
      <w:proofErr w:type="spellEnd"/>
    </w:p>
    <w:p w:rsidR="006D2694" w:rsidRPr="002B36C3" w:rsidRDefault="006D2694" w:rsidP="006D2694">
      <w:pPr>
        <w:tabs>
          <w:tab w:val="left" w:pos="851"/>
        </w:tabs>
        <w:ind w:left="851"/>
        <w:rPr>
          <w:sz w:val="24"/>
          <w:szCs w:val="24"/>
          <w:lang w:val="en-US"/>
        </w:rPr>
      </w:pPr>
      <w:r w:rsidRPr="002B36C3">
        <w:rPr>
          <w:sz w:val="24"/>
          <w:szCs w:val="24"/>
          <w:lang w:val="en-US"/>
        </w:rPr>
        <w:t>Via Marconi, 2</w:t>
      </w:r>
    </w:p>
    <w:p w:rsidR="006D2694" w:rsidRPr="002B36C3" w:rsidRDefault="006D2694" w:rsidP="006D2694">
      <w:pPr>
        <w:tabs>
          <w:tab w:val="left" w:pos="851"/>
        </w:tabs>
        <w:ind w:left="851"/>
        <w:rPr>
          <w:sz w:val="24"/>
          <w:szCs w:val="24"/>
          <w:lang w:val="en-US"/>
        </w:rPr>
      </w:pPr>
      <w:r w:rsidRPr="002B36C3">
        <w:rPr>
          <w:sz w:val="24"/>
          <w:szCs w:val="24"/>
          <w:lang w:val="en-US"/>
        </w:rPr>
        <w:t xml:space="preserve">24069 </w:t>
      </w:r>
      <w:proofErr w:type="spellStart"/>
      <w:r w:rsidRPr="002B36C3">
        <w:rPr>
          <w:sz w:val="24"/>
          <w:szCs w:val="24"/>
          <w:lang w:val="en-US"/>
        </w:rPr>
        <w:t>Cenate</w:t>
      </w:r>
      <w:proofErr w:type="spellEnd"/>
      <w:r w:rsidRPr="002B36C3">
        <w:rPr>
          <w:sz w:val="24"/>
          <w:szCs w:val="24"/>
          <w:lang w:val="en-US"/>
        </w:rPr>
        <w:t xml:space="preserve"> Sotto (Bergamo)</w:t>
      </w:r>
    </w:p>
    <w:p w:rsidR="006D2694" w:rsidRDefault="006D2694" w:rsidP="006D2694">
      <w:pPr>
        <w:tabs>
          <w:tab w:val="left" w:pos="851"/>
        </w:tabs>
        <w:ind w:left="851"/>
        <w:rPr>
          <w:sz w:val="24"/>
          <w:szCs w:val="24"/>
        </w:rPr>
      </w:pPr>
      <w:r w:rsidRPr="001663E7">
        <w:rPr>
          <w:sz w:val="24"/>
          <w:szCs w:val="24"/>
        </w:rPr>
        <w:t>Ital</w:t>
      </w:r>
      <w:r>
        <w:rPr>
          <w:sz w:val="24"/>
          <w:szCs w:val="24"/>
        </w:rPr>
        <w:t>ien</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8.</w:t>
      </w:r>
      <w:r w:rsidRPr="00B130FC">
        <w:rPr>
          <w:b/>
          <w:sz w:val="24"/>
          <w:szCs w:val="24"/>
        </w:rPr>
        <w:tab/>
        <w:t>MARKEDSFØRINGSTILLADELSESNUMMER (</w:t>
      </w:r>
      <w:r w:rsidR="003B6B89">
        <w:rPr>
          <w:b/>
          <w:sz w:val="24"/>
          <w:szCs w:val="24"/>
        </w:rPr>
        <w:t>-</w:t>
      </w:r>
      <w:r w:rsidRPr="00B130FC">
        <w:rPr>
          <w:b/>
          <w:sz w:val="24"/>
          <w:szCs w:val="24"/>
        </w:rPr>
        <w:t>NUMRE)</w:t>
      </w:r>
    </w:p>
    <w:p w:rsidR="006D2694" w:rsidRPr="00B130FC" w:rsidRDefault="006D2694" w:rsidP="006D2694">
      <w:pPr>
        <w:tabs>
          <w:tab w:val="left" w:pos="851"/>
        </w:tabs>
        <w:ind w:left="851"/>
        <w:rPr>
          <w:sz w:val="24"/>
          <w:szCs w:val="24"/>
        </w:rPr>
      </w:pPr>
      <w:r w:rsidRPr="00B130FC">
        <w:rPr>
          <w:sz w:val="24"/>
          <w:szCs w:val="24"/>
        </w:rPr>
        <w:t>61179</w:t>
      </w:r>
    </w:p>
    <w:p w:rsidR="006D2694" w:rsidRPr="00B130FC" w:rsidRDefault="006D2694" w:rsidP="006D2694">
      <w:pPr>
        <w:tabs>
          <w:tab w:val="left" w:pos="851"/>
        </w:tabs>
        <w:ind w:left="851"/>
        <w:jc w:val="both"/>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9.</w:t>
      </w:r>
      <w:r w:rsidRPr="00B130FC">
        <w:rPr>
          <w:b/>
          <w:sz w:val="24"/>
          <w:szCs w:val="24"/>
        </w:rPr>
        <w:tab/>
        <w:t>DATO FOR FØRSTE MARKEDSFØRINGSTILLADELSE</w:t>
      </w:r>
    </w:p>
    <w:p w:rsidR="006D2694" w:rsidRPr="00B130FC" w:rsidRDefault="006D2694" w:rsidP="006D2694">
      <w:pPr>
        <w:tabs>
          <w:tab w:val="left" w:pos="851"/>
        </w:tabs>
        <w:ind w:left="851"/>
        <w:rPr>
          <w:sz w:val="24"/>
          <w:szCs w:val="24"/>
        </w:rPr>
      </w:pPr>
      <w:r>
        <w:rPr>
          <w:sz w:val="24"/>
          <w:szCs w:val="24"/>
        </w:rPr>
        <w:t>20. juni 2019</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10.</w:t>
      </w:r>
      <w:r w:rsidRPr="00B130FC">
        <w:rPr>
          <w:b/>
          <w:sz w:val="24"/>
          <w:szCs w:val="24"/>
        </w:rPr>
        <w:tab/>
        <w:t>DATO FOR ÆNDRING AF TEKSTEN</w:t>
      </w:r>
    </w:p>
    <w:p w:rsidR="006D2694" w:rsidRPr="00B130FC" w:rsidRDefault="008A4D09" w:rsidP="006D2694">
      <w:pPr>
        <w:tabs>
          <w:tab w:val="left" w:pos="851"/>
        </w:tabs>
        <w:ind w:left="851"/>
        <w:rPr>
          <w:sz w:val="24"/>
          <w:szCs w:val="24"/>
        </w:rPr>
      </w:pPr>
      <w:r>
        <w:rPr>
          <w:sz w:val="24"/>
          <w:szCs w:val="24"/>
        </w:rPr>
        <w:t>4. juni</w:t>
      </w:r>
      <w:bookmarkStart w:id="0" w:name="_GoBack"/>
      <w:bookmarkEnd w:id="0"/>
      <w:r w:rsidR="003066B4" w:rsidRPr="003066B4">
        <w:rPr>
          <w:sz w:val="24"/>
          <w:szCs w:val="24"/>
        </w:rPr>
        <w:t xml:space="preserve"> 202</w:t>
      </w:r>
      <w:r w:rsidR="00D601D8">
        <w:rPr>
          <w:sz w:val="24"/>
          <w:szCs w:val="24"/>
        </w:rPr>
        <w:t>4</w:t>
      </w:r>
    </w:p>
    <w:p w:rsidR="006D2694" w:rsidRPr="00B65B20" w:rsidRDefault="006D2694" w:rsidP="006D2694"/>
    <w:p w:rsidR="006D2694" w:rsidRPr="00525EF4" w:rsidRDefault="006D2694" w:rsidP="006D2694"/>
    <w:p w:rsidR="009260DE" w:rsidRPr="006D2694" w:rsidRDefault="009260DE" w:rsidP="006D2694"/>
    <w:sectPr w:rsidR="009260DE" w:rsidRPr="006D269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694" w:rsidRDefault="006D2694">
      <w:r>
        <w:separator/>
      </w:r>
    </w:p>
  </w:endnote>
  <w:endnote w:type="continuationSeparator" w:id="0">
    <w:p w:rsidR="006D2694" w:rsidRDefault="006D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066B4">
      <w:rPr>
        <w:i/>
        <w:noProof/>
        <w:sz w:val="18"/>
        <w:szCs w:val="18"/>
      </w:rPr>
      <w:t>Ketorolac trometamol S.A.L.F., injektionsvæske, opløsning 30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694" w:rsidRDefault="006D2694">
      <w:r>
        <w:separator/>
      </w:r>
    </w:p>
  </w:footnote>
  <w:footnote w:type="continuationSeparator" w:id="0">
    <w:p w:rsidR="006D2694" w:rsidRDefault="006D2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8122CA7"/>
    <w:multiLevelType w:val="hybridMultilevel"/>
    <w:tmpl w:val="375C35BC"/>
    <w:lvl w:ilvl="0" w:tplc="04100001">
      <w:start w:val="1"/>
      <w:numFmt w:val="bullet"/>
      <w:lvlText w:val=""/>
      <w:lvlJc w:val="left"/>
      <w:pPr>
        <w:ind w:left="675" w:hanging="555"/>
      </w:pPr>
      <w:rPr>
        <w:rFonts w:ascii="Symbol" w:hAnsi="Symbol" w:hint="default"/>
      </w:rPr>
    </w:lvl>
    <w:lvl w:ilvl="1" w:tplc="04100003">
      <w:start w:val="1"/>
      <w:numFmt w:val="bullet"/>
      <w:lvlText w:val="o"/>
      <w:lvlJc w:val="left"/>
      <w:pPr>
        <w:ind w:left="1200" w:hanging="360"/>
      </w:pPr>
      <w:rPr>
        <w:rFonts w:ascii="Courier New" w:hAnsi="Courier New" w:cs="Courier New" w:hint="default"/>
      </w:rPr>
    </w:lvl>
    <w:lvl w:ilvl="2" w:tplc="04100005">
      <w:start w:val="1"/>
      <w:numFmt w:val="bullet"/>
      <w:lvlText w:val=""/>
      <w:lvlJc w:val="left"/>
      <w:pPr>
        <w:ind w:left="1920" w:hanging="360"/>
      </w:pPr>
      <w:rPr>
        <w:rFonts w:ascii="Wingdings" w:hAnsi="Wingdings" w:hint="default"/>
      </w:rPr>
    </w:lvl>
    <w:lvl w:ilvl="3" w:tplc="04100001">
      <w:start w:val="1"/>
      <w:numFmt w:val="bullet"/>
      <w:lvlText w:val=""/>
      <w:lvlJc w:val="left"/>
      <w:pPr>
        <w:ind w:left="2640" w:hanging="360"/>
      </w:pPr>
      <w:rPr>
        <w:rFonts w:ascii="Symbol" w:hAnsi="Symbol" w:hint="default"/>
      </w:rPr>
    </w:lvl>
    <w:lvl w:ilvl="4" w:tplc="04100003">
      <w:start w:val="1"/>
      <w:numFmt w:val="bullet"/>
      <w:lvlText w:val="o"/>
      <w:lvlJc w:val="left"/>
      <w:pPr>
        <w:ind w:left="3360" w:hanging="360"/>
      </w:pPr>
      <w:rPr>
        <w:rFonts w:ascii="Courier New" w:hAnsi="Courier New" w:cs="Courier New" w:hint="default"/>
      </w:rPr>
    </w:lvl>
    <w:lvl w:ilvl="5" w:tplc="04100005">
      <w:start w:val="1"/>
      <w:numFmt w:val="bullet"/>
      <w:lvlText w:val=""/>
      <w:lvlJc w:val="left"/>
      <w:pPr>
        <w:ind w:left="4080" w:hanging="360"/>
      </w:pPr>
      <w:rPr>
        <w:rFonts w:ascii="Wingdings" w:hAnsi="Wingdings" w:hint="default"/>
      </w:rPr>
    </w:lvl>
    <w:lvl w:ilvl="6" w:tplc="04100001">
      <w:start w:val="1"/>
      <w:numFmt w:val="bullet"/>
      <w:lvlText w:val=""/>
      <w:lvlJc w:val="left"/>
      <w:pPr>
        <w:ind w:left="4800" w:hanging="360"/>
      </w:pPr>
      <w:rPr>
        <w:rFonts w:ascii="Symbol" w:hAnsi="Symbol" w:hint="default"/>
      </w:rPr>
    </w:lvl>
    <w:lvl w:ilvl="7" w:tplc="04100003">
      <w:start w:val="1"/>
      <w:numFmt w:val="bullet"/>
      <w:lvlText w:val="o"/>
      <w:lvlJc w:val="left"/>
      <w:pPr>
        <w:ind w:left="5520" w:hanging="360"/>
      </w:pPr>
      <w:rPr>
        <w:rFonts w:ascii="Courier New" w:hAnsi="Courier New" w:cs="Courier New" w:hint="default"/>
      </w:rPr>
    </w:lvl>
    <w:lvl w:ilvl="8" w:tplc="04100005">
      <w:start w:val="1"/>
      <w:numFmt w:val="bullet"/>
      <w:lvlText w:val=""/>
      <w:lvlJc w:val="left"/>
      <w:pPr>
        <w:ind w:left="6240" w:hanging="360"/>
      </w:pPr>
      <w:rPr>
        <w:rFonts w:ascii="Wingdings" w:hAnsi="Wingdings" w:hint="default"/>
      </w:rPr>
    </w:lvl>
  </w:abstractNum>
  <w:abstractNum w:abstractNumId="5" w15:restartNumberingAfterBreak="0">
    <w:nsid w:val="511843C9"/>
    <w:multiLevelType w:val="hybridMultilevel"/>
    <w:tmpl w:val="5FEA22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94"/>
    <w:rsid w:val="000259B9"/>
    <w:rsid w:val="00041491"/>
    <w:rsid w:val="00050D16"/>
    <w:rsid w:val="00074F2A"/>
    <w:rsid w:val="000A1CA8"/>
    <w:rsid w:val="000A466B"/>
    <w:rsid w:val="000B058C"/>
    <w:rsid w:val="000D6497"/>
    <w:rsid w:val="000E4EE6"/>
    <w:rsid w:val="001454E2"/>
    <w:rsid w:val="00206CE8"/>
    <w:rsid w:val="0021526C"/>
    <w:rsid w:val="00283A2B"/>
    <w:rsid w:val="002B30AD"/>
    <w:rsid w:val="002B36C3"/>
    <w:rsid w:val="002C2C01"/>
    <w:rsid w:val="003066B4"/>
    <w:rsid w:val="003A29AE"/>
    <w:rsid w:val="003A32D7"/>
    <w:rsid w:val="003B4074"/>
    <w:rsid w:val="003B6B89"/>
    <w:rsid w:val="003C769A"/>
    <w:rsid w:val="003F1838"/>
    <w:rsid w:val="0045746C"/>
    <w:rsid w:val="0049104B"/>
    <w:rsid w:val="004E3B12"/>
    <w:rsid w:val="00532310"/>
    <w:rsid w:val="00560ECC"/>
    <w:rsid w:val="00565F0F"/>
    <w:rsid w:val="0057389F"/>
    <w:rsid w:val="00594A86"/>
    <w:rsid w:val="00596D86"/>
    <w:rsid w:val="00637F5A"/>
    <w:rsid w:val="006560B1"/>
    <w:rsid w:val="006756DD"/>
    <w:rsid w:val="006D2694"/>
    <w:rsid w:val="00737275"/>
    <w:rsid w:val="00740EEC"/>
    <w:rsid w:val="0078011A"/>
    <w:rsid w:val="00782AF4"/>
    <w:rsid w:val="00790EE7"/>
    <w:rsid w:val="007B6649"/>
    <w:rsid w:val="0081546F"/>
    <w:rsid w:val="0082576E"/>
    <w:rsid w:val="0089001D"/>
    <w:rsid w:val="008A4D09"/>
    <w:rsid w:val="00907F75"/>
    <w:rsid w:val="009260DE"/>
    <w:rsid w:val="0093258A"/>
    <w:rsid w:val="00993280"/>
    <w:rsid w:val="009C7BA3"/>
    <w:rsid w:val="009C7D81"/>
    <w:rsid w:val="009D1F5A"/>
    <w:rsid w:val="00A00A0F"/>
    <w:rsid w:val="00B003BF"/>
    <w:rsid w:val="00B373D7"/>
    <w:rsid w:val="00C36276"/>
    <w:rsid w:val="00C42586"/>
    <w:rsid w:val="00C60CCD"/>
    <w:rsid w:val="00C84483"/>
    <w:rsid w:val="00C95551"/>
    <w:rsid w:val="00CB20D7"/>
    <w:rsid w:val="00D020B0"/>
    <w:rsid w:val="00D11748"/>
    <w:rsid w:val="00D366CF"/>
    <w:rsid w:val="00D601D8"/>
    <w:rsid w:val="00E108AA"/>
    <w:rsid w:val="00E31812"/>
    <w:rsid w:val="00E31A4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FE104"/>
  <w15:chartTrackingRefBased/>
  <w15:docId w15:val="{FD4E0D57-AB44-4EFF-9233-A7CF220E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D2694"/>
    <w:pPr>
      <w:widowControl w:val="0"/>
      <w:spacing w:after="200" w:line="276" w:lineRule="auto"/>
      <w:ind w:left="720"/>
      <w:contextualSpacing/>
    </w:pPr>
    <w:rPr>
      <w:rFonts w:asciiTheme="minorHAnsi" w:eastAsiaTheme="minorHAnsi" w:hAnsiTheme="minorHAnsi" w:cstheme="minorBidi"/>
      <w:sz w:val="22"/>
      <w:szCs w:val="22"/>
      <w:lang w:eastAsia="en-GB" w:bidi="en-GB"/>
    </w:rPr>
  </w:style>
  <w:style w:type="paragraph" w:styleId="Brdtekst">
    <w:name w:val="Body Text"/>
    <w:basedOn w:val="Normal"/>
    <w:link w:val="BrdtekstTegn"/>
    <w:uiPriority w:val="1"/>
    <w:semiHidden/>
    <w:unhideWhenUsed/>
    <w:qFormat/>
    <w:rsid w:val="006D2694"/>
    <w:pPr>
      <w:widowControl w:val="0"/>
      <w:ind w:left="118"/>
    </w:pPr>
    <w:rPr>
      <w:rFonts w:cstheme="minorBidi"/>
      <w:sz w:val="24"/>
      <w:szCs w:val="24"/>
    </w:rPr>
  </w:style>
  <w:style w:type="character" w:customStyle="1" w:styleId="BrdtekstTegn">
    <w:name w:val="Brødtekst Tegn"/>
    <w:basedOn w:val="Standardskrifttypeiafsnit"/>
    <w:link w:val="Brdtekst"/>
    <w:uiPriority w:val="1"/>
    <w:semiHidden/>
    <w:rsid w:val="006D2694"/>
    <w:rPr>
      <w:rFonts w:cstheme="minorBidi"/>
      <w:sz w:val="24"/>
      <w:szCs w:val="24"/>
      <w:lang w:eastAsia="en-US"/>
    </w:rPr>
  </w:style>
  <w:style w:type="character" w:styleId="Hyperlink">
    <w:name w:val="Hyperlink"/>
    <w:semiHidden/>
    <w:unhideWhenUsed/>
    <w:rsid w:val="006D2694"/>
    <w:rPr>
      <w:color w:val="0000FF"/>
      <w:u w:val="single"/>
    </w:rPr>
  </w:style>
  <w:style w:type="paragraph" w:customStyle="1" w:styleId="TableParagraph">
    <w:name w:val="Table Paragraph"/>
    <w:basedOn w:val="Normal"/>
    <w:uiPriority w:val="1"/>
    <w:qFormat/>
    <w:rsid w:val="006D2694"/>
    <w:pPr>
      <w:widowControl w:val="0"/>
    </w:pPr>
    <w:rPr>
      <w:rFonts w:asciiTheme="minorHAnsi" w:eastAsiaTheme="minorHAnsi" w:hAnsiTheme="minorHAnsi" w:cstheme="minorBidi"/>
      <w:sz w:val="22"/>
      <w:szCs w:val="22"/>
    </w:rPr>
  </w:style>
  <w:style w:type="table" w:customStyle="1" w:styleId="Grigliatabella1">
    <w:name w:val="Griglia tabella1"/>
    <w:basedOn w:val="Tabel-Normal"/>
    <w:uiPriority w:val="39"/>
    <w:rsid w:val="006D269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2018430">
      <w:bodyDiv w:val="1"/>
      <w:marLeft w:val="0"/>
      <w:marRight w:val="0"/>
      <w:marTop w:val="0"/>
      <w:marBottom w:val="0"/>
      <w:divBdr>
        <w:top w:val="none" w:sz="0" w:space="0" w:color="auto"/>
        <w:left w:val="none" w:sz="0" w:space="0" w:color="auto"/>
        <w:bottom w:val="none" w:sz="0" w:space="0" w:color="auto"/>
        <w:right w:val="none" w:sz="0" w:space="0" w:color="auto"/>
      </w:divBdr>
    </w:div>
    <w:div w:id="67496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4479</Words>
  <Characters>31308</Characters>
  <Application>Microsoft Office Word</Application>
  <DocSecurity>0</DocSecurity>
  <Lines>260</Lines>
  <Paragraphs>71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Anastasia Katharina Drud</dc:creator>
  <cp:keywords/>
  <dc:description>2023073294_x000d_
SPC pkt. 4.4</dc:description>
  <cp:lastModifiedBy>Iman El Kadiri</cp:lastModifiedBy>
  <cp:revision>5</cp:revision>
  <cp:lastPrinted>2012-08-22T08:53:00Z</cp:lastPrinted>
  <dcterms:created xsi:type="dcterms:W3CDTF">2024-05-28T11:20:00Z</dcterms:created>
  <dcterms:modified xsi:type="dcterms:W3CDTF">2024-06-04T07:26:00Z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