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14A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9C27095" wp14:editId="0365B9A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B38FA7" w14:textId="77777777" w:rsidR="009260DE" w:rsidRPr="00C84483" w:rsidRDefault="009260DE" w:rsidP="009260DE">
      <w:pPr>
        <w:pStyle w:val="Titel"/>
        <w:tabs>
          <w:tab w:val="right" w:pos="9356"/>
        </w:tabs>
        <w:jc w:val="left"/>
        <w:rPr>
          <w:b w:val="0"/>
          <w:szCs w:val="24"/>
          <w:lang w:eastAsia="en-US"/>
        </w:rPr>
      </w:pPr>
    </w:p>
    <w:p w14:paraId="659AE7F6" w14:textId="4FEFAFB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17B9E">
        <w:rPr>
          <w:szCs w:val="24"/>
        </w:rPr>
        <w:t>24. januar 2025</w:t>
      </w:r>
      <w:bookmarkStart w:id="0" w:name="_GoBack"/>
      <w:bookmarkEnd w:id="0"/>
    </w:p>
    <w:p w14:paraId="02C1B099" w14:textId="77777777" w:rsidR="009260DE" w:rsidRPr="00C84483" w:rsidRDefault="009260DE" w:rsidP="009260DE">
      <w:pPr>
        <w:pStyle w:val="Titel"/>
        <w:tabs>
          <w:tab w:val="left" w:pos="8222"/>
        </w:tabs>
        <w:jc w:val="left"/>
        <w:rPr>
          <w:b w:val="0"/>
          <w:szCs w:val="24"/>
        </w:rPr>
      </w:pPr>
    </w:p>
    <w:p w14:paraId="5BA08418" w14:textId="77777777" w:rsidR="009260DE" w:rsidRPr="00C84483" w:rsidRDefault="009260DE" w:rsidP="009260DE">
      <w:pPr>
        <w:pStyle w:val="Titel"/>
        <w:jc w:val="left"/>
        <w:rPr>
          <w:b w:val="0"/>
          <w:szCs w:val="24"/>
        </w:rPr>
      </w:pPr>
    </w:p>
    <w:p w14:paraId="37F8747F" w14:textId="77777777" w:rsidR="009260DE" w:rsidRPr="00C84483" w:rsidRDefault="009260DE" w:rsidP="009260DE">
      <w:pPr>
        <w:pStyle w:val="Titel"/>
        <w:jc w:val="left"/>
        <w:rPr>
          <w:b w:val="0"/>
          <w:szCs w:val="24"/>
        </w:rPr>
      </w:pPr>
    </w:p>
    <w:p w14:paraId="519A0C92" w14:textId="77777777" w:rsidR="009260DE" w:rsidRPr="00C84483" w:rsidRDefault="009260DE" w:rsidP="009260DE">
      <w:pPr>
        <w:jc w:val="center"/>
        <w:rPr>
          <w:b/>
          <w:sz w:val="24"/>
          <w:szCs w:val="24"/>
        </w:rPr>
      </w:pPr>
      <w:r w:rsidRPr="00C84483">
        <w:rPr>
          <w:b/>
          <w:sz w:val="24"/>
          <w:szCs w:val="24"/>
        </w:rPr>
        <w:t>PRODUKTRESUMÉ</w:t>
      </w:r>
    </w:p>
    <w:p w14:paraId="1DE10E1D" w14:textId="77777777" w:rsidR="009260DE" w:rsidRPr="00C84483" w:rsidRDefault="009260DE" w:rsidP="009260DE">
      <w:pPr>
        <w:jc w:val="center"/>
        <w:rPr>
          <w:b/>
          <w:sz w:val="24"/>
          <w:szCs w:val="24"/>
        </w:rPr>
      </w:pPr>
    </w:p>
    <w:p w14:paraId="5DE7368A" w14:textId="77777777" w:rsidR="009260DE" w:rsidRDefault="009260DE" w:rsidP="009260DE">
      <w:pPr>
        <w:jc w:val="center"/>
        <w:rPr>
          <w:b/>
          <w:sz w:val="24"/>
          <w:szCs w:val="24"/>
        </w:rPr>
      </w:pPr>
      <w:r w:rsidRPr="00C84483">
        <w:rPr>
          <w:b/>
          <w:sz w:val="24"/>
          <w:szCs w:val="24"/>
        </w:rPr>
        <w:t>for</w:t>
      </w:r>
    </w:p>
    <w:p w14:paraId="0A243B54" w14:textId="77777777" w:rsidR="000B058C" w:rsidRPr="00C84483" w:rsidRDefault="000B058C" w:rsidP="009260DE">
      <w:pPr>
        <w:jc w:val="center"/>
        <w:rPr>
          <w:b/>
          <w:sz w:val="24"/>
          <w:szCs w:val="24"/>
        </w:rPr>
      </w:pPr>
    </w:p>
    <w:p w14:paraId="2B04CE46" w14:textId="77777777" w:rsidR="009260DE" w:rsidRPr="00C84483" w:rsidRDefault="002F5C95" w:rsidP="009260DE">
      <w:pPr>
        <w:jc w:val="center"/>
        <w:rPr>
          <w:b/>
          <w:sz w:val="24"/>
          <w:szCs w:val="24"/>
        </w:rPr>
      </w:pPr>
      <w:r w:rsidRPr="002F5C95">
        <w:rPr>
          <w:b/>
          <w:sz w:val="24"/>
          <w:szCs w:val="24"/>
        </w:rPr>
        <w:t>Ketorolactrometamol "Misom"</w:t>
      </w:r>
      <w:r>
        <w:rPr>
          <w:b/>
          <w:sz w:val="24"/>
          <w:szCs w:val="24"/>
        </w:rPr>
        <w:t>, øjendråber, opløsning</w:t>
      </w:r>
    </w:p>
    <w:p w14:paraId="726A1537" w14:textId="77777777" w:rsidR="009260DE" w:rsidRPr="00C84483" w:rsidRDefault="009260DE" w:rsidP="009260DE">
      <w:pPr>
        <w:jc w:val="both"/>
        <w:rPr>
          <w:sz w:val="24"/>
          <w:szCs w:val="24"/>
        </w:rPr>
      </w:pPr>
    </w:p>
    <w:p w14:paraId="6ABCCB40" w14:textId="77777777" w:rsidR="009260DE" w:rsidRPr="00C84483" w:rsidRDefault="009260DE" w:rsidP="009260DE">
      <w:pPr>
        <w:jc w:val="both"/>
        <w:rPr>
          <w:sz w:val="24"/>
          <w:szCs w:val="24"/>
        </w:rPr>
      </w:pPr>
    </w:p>
    <w:p w14:paraId="67CE423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ECF54BA" w14:textId="30C99146" w:rsidR="009260DE" w:rsidRPr="00C84483" w:rsidRDefault="00B73109" w:rsidP="009260DE">
      <w:pPr>
        <w:tabs>
          <w:tab w:val="left" w:pos="851"/>
        </w:tabs>
        <w:ind w:left="851"/>
        <w:rPr>
          <w:sz w:val="24"/>
          <w:szCs w:val="24"/>
        </w:rPr>
      </w:pPr>
      <w:r>
        <w:rPr>
          <w:sz w:val="24"/>
          <w:szCs w:val="24"/>
        </w:rPr>
        <w:t>32967</w:t>
      </w:r>
    </w:p>
    <w:p w14:paraId="22F2637A" w14:textId="77777777" w:rsidR="009260DE" w:rsidRPr="00C84483" w:rsidRDefault="009260DE" w:rsidP="009260DE">
      <w:pPr>
        <w:tabs>
          <w:tab w:val="left" w:pos="851"/>
        </w:tabs>
        <w:ind w:left="851"/>
        <w:rPr>
          <w:sz w:val="24"/>
          <w:szCs w:val="24"/>
        </w:rPr>
      </w:pPr>
    </w:p>
    <w:p w14:paraId="47DEF53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F7149A4" w14:textId="1EFB702C" w:rsidR="009260DE" w:rsidRPr="00B73109" w:rsidRDefault="00B73109" w:rsidP="009260DE">
      <w:pPr>
        <w:tabs>
          <w:tab w:val="left" w:pos="851"/>
        </w:tabs>
        <w:ind w:left="851"/>
        <w:rPr>
          <w:sz w:val="24"/>
          <w:szCs w:val="24"/>
        </w:rPr>
      </w:pPr>
      <w:r w:rsidRPr="00B73109">
        <w:rPr>
          <w:sz w:val="24"/>
          <w:szCs w:val="24"/>
        </w:rPr>
        <w:t>Ketorolactrometamol "Misom"</w:t>
      </w:r>
    </w:p>
    <w:p w14:paraId="4823078C" w14:textId="77777777" w:rsidR="009260DE" w:rsidRPr="00C84483" w:rsidRDefault="009260DE" w:rsidP="009260DE">
      <w:pPr>
        <w:tabs>
          <w:tab w:val="left" w:pos="851"/>
        </w:tabs>
        <w:ind w:left="851"/>
        <w:rPr>
          <w:sz w:val="24"/>
          <w:szCs w:val="24"/>
        </w:rPr>
      </w:pPr>
    </w:p>
    <w:p w14:paraId="02E5601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670F5C2" w14:textId="6B092255" w:rsidR="00B73109" w:rsidRPr="00B73109" w:rsidRDefault="00B73109" w:rsidP="00B73109">
      <w:pPr>
        <w:tabs>
          <w:tab w:val="left" w:pos="851"/>
        </w:tabs>
        <w:ind w:left="851"/>
        <w:rPr>
          <w:sz w:val="24"/>
          <w:szCs w:val="24"/>
        </w:rPr>
      </w:pPr>
      <w:r w:rsidRPr="00B73109">
        <w:rPr>
          <w:sz w:val="24"/>
          <w:szCs w:val="24"/>
        </w:rPr>
        <w:t>1 ml opløsning indeholder 5 mg ketorolactrometamol (0,5 % w/v)</w:t>
      </w:r>
      <w:r>
        <w:rPr>
          <w:sz w:val="24"/>
          <w:szCs w:val="24"/>
        </w:rPr>
        <w:t>.</w:t>
      </w:r>
    </w:p>
    <w:p w14:paraId="2690D2DE" w14:textId="77777777" w:rsidR="00B73109" w:rsidRPr="00B73109" w:rsidRDefault="00B73109" w:rsidP="00B73109">
      <w:pPr>
        <w:tabs>
          <w:tab w:val="left" w:pos="851"/>
        </w:tabs>
        <w:ind w:left="851"/>
        <w:rPr>
          <w:sz w:val="24"/>
          <w:szCs w:val="24"/>
        </w:rPr>
      </w:pPr>
    </w:p>
    <w:p w14:paraId="7503636F" w14:textId="77777777" w:rsidR="00B73109" w:rsidRPr="00B73109" w:rsidRDefault="00B73109" w:rsidP="00B73109">
      <w:pPr>
        <w:tabs>
          <w:tab w:val="left" w:pos="851"/>
        </w:tabs>
        <w:ind w:left="851"/>
        <w:rPr>
          <w:sz w:val="24"/>
          <w:szCs w:val="24"/>
          <w:u w:val="single"/>
        </w:rPr>
      </w:pPr>
      <w:r w:rsidRPr="00B73109">
        <w:rPr>
          <w:sz w:val="24"/>
          <w:szCs w:val="24"/>
          <w:u w:val="single"/>
        </w:rPr>
        <w:t>Hjælpestoffer med kendt virkning</w:t>
      </w:r>
    </w:p>
    <w:p w14:paraId="1CF65BC1" w14:textId="74F15295" w:rsidR="00B73109" w:rsidRPr="00B73109" w:rsidRDefault="00B73109" w:rsidP="00B73109">
      <w:pPr>
        <w:tabs>
          <w:tab w:val="left" w:pos="851"/>
        </w:tabs>
        <w:ind w:left="851"/>
        <w:rPr>
          <w:sz w:val="24"/>
          <w:szCs w:val="24"/>
        </w:rPr>
      </w:pPr>
      <w:r>
        <w:rPr>
          <w:sz w:val="24"/>
          <w:szCs w:val="24"/>
        </w:rPr>
        <w:t>Benza</w:t>
      </w:r>
      <w:r w:rsidRPr="00B73109">
        <w:rPr>
          <w:sz w:val="24"/>
          <w:szCs w:val="24"/>
        </w:rPr>
        <w:t>lkoniumchlorid 0,1 mg/ml (0,01 % w/v)</w:t>
      </w:r>
    </w:p>
    <w:p w14:paraId="322AAB12" w14:textId="77777777" w:rsidR="00B73109" w:rsidRPr="00B73109" w:rsidRDefault="00B73109" w:rsidP="00B73109">
      <w:pPr>
        <w:tabs>
          <w:tab w:val="left" w:pos="851"/>
        </w:tabs>
        <w:ind w:left="851"/>
        <w:rPr>
          <w:sz w:val="24"/>
          <w:szCs w:val="24"/>
        </w:rPr>
      </w:pPr>
    </w:p>
    <w:p w14:paraId="29F18E9B" w14:textId="68FA1CC1" w:rsidR="00B73109" w:rsidRPr="00B73109" w:rsidRDefault="00B73109" w:rsidP="00B73109">
      <w:pPr>
        <w:tabs>
          <w:tab w:val="left" w:pos="851"/>
        </w:tabs>
        <w:ind w:left="851"/>
        <w:rPr>
          <w:sz w:val="24"/>
          <w:szCs w:val="24"/>
        </w:rPr>
      </w:pPr>
      <w:r w:rsidRPr="00B73109">
        <w:rPr>
          <w:sz w:val="24"/>
          <w:szCs w:val="24"/>
        </w:rPr>
        <w:t>Alle hjælpestoffer er anført under pkt. 6.1</w:t>
      </w:r>
      <w:r>
        <w:rPr>
          <w:sz w:val="24"/>
          <w:szCs w:val="24"/>
        </w:rPr>
        <w:t>.</w:t>
      </w:r>
    </w:p>
    <w:p w14:paraId="32F8AB93" w14:textId="77777777" w:rsidR="00B73109" w:rsidRPr="00B73109" w:rsidRDefault="00B73109" w:rsidP="00B73109">
      <w:pPr>
        <w:tabs>
          <w:tab w:val="left" w:pos="851"/>
        </w:tabs>
        <w:ind w:left="851"/>
        <w:rPr>
          <w:sz w:val="24"/>
          <w:szCs w:val="24"/>
        </w:rPr>
      </w:pPr>
    </w:p>
    <w:p w14:paraId="08DAE306" w14:textId="77777777" w:rsidR="00B73109" w:rsidRPr="00B73109" w:rsidRDefault="00B73109" w:rsidP="00B73109">
      <w:pPr>
        <w:tabs>
          <w:tab w:val="left" w:pos="851"/>
        </w:tabs>
        <w:ind w:left="851"/>
        <w:rPr>
          <w:sz w:val="24"/>
          <w:szCs w:val="24"/>
        </w:rPr>
      </w:pPr>
      <w:r w:rsidRPr="00B73109">
        <w:rPr>
          <w:sz w:val="24"/>
          <w:szCs w:val="24"/>
        </w:rPr>
        <w:t>Dråbestørrelsen af ketorolactrometamol 5 mg/ml øjendråber, opløsning blev fundet til at være ca. 31 µL, og mængden af lægemiddelstof pr. dråbe (mængde pr. dråbe) er 155 µg.</w:t>
      </w:r>
    </w:p>
    <w:p w14:paraId="50440EA2" w14:textId="77777777" w:rsidR="00B73109" w:rsidRPr="00B73109" w:rsidRDefault="00B73109" w:rsidP="00B73109">
      <w:pPr>
        <w:tabs>
          <w:tab w:val="left" w:pos="851"/>
        </w:tabs>
        <w:ind w:left="851"/>
        <w:rPr>
          <w:b/>
          <w:sz w:val="24"/>
          <w:szCs w:val="24"/>
        </w:rPr>
      </w:pPr>
    </w:p>
    <w:p w14:paraId="6C729A1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977BA32" w14:textId="29452EA7" w:rsidR="00B73109" w:rsidRDefault="00B73109" w:rsidP="00B73109">
      <w:pPr>
        <w:tabs>
          <w:tab w:val="left" w:pos="851"/>
        </w:tabs>
        <w:ind w:left="851"/>
        <w:rPr>
          <w:sz w:val="24"/>
          <w:szCs w:val="24"/>
        </w:rPr>
      </w:pPr>
      <w:r w:rsidRPr="00B73109">
        <w:rPr>
          <w:sz w:val="24"/>
          <w:szCs w:val="24"/>
        </w:rPr>
        <w:t>Øjendråber, opløsning</w:t>
      </w:r>
    </w:p>
    <w:p w14:paraId="5E1B7AC8" w14:textId="77777777" w:rsidR="00B73109" w:rsidRPr="00B73109" w:rsidRDefault="00B73109" w:rsidP="00B73109">
      <w:pPr>
        <w:tabs>
          <w:tab w:val="left" w:pos="851"/>
        </w:tabs>
        <w:ind w:left="851"/>
        <w:rPr>
          <w:sz w:val="24"/>
          <w:szCs w:val="24"/>
        </w:rPr>
      </w:pPr>
    </w:p>
    <w:p w14:paraId="012EF984" w14:textId="77777777" w:rsidR="00B73109" w:rsidRPr="00B73109" w:rsidRDefault="00B73109" w:rsidP="00B73109">
      <w:pPr>
        <w:tabs>
          <w:tab w:val="left" w:pos="851"/>
        </w:tabs>
        <w:ind w:left="851"/>
        <w:rPr>
          <w:sz w:val="24"/>
          <w:szCs w:val="24"/>
        </w:rPr>
      </w:pPr>
      <w:r w:rsidRPr="00B73109">
        <w:rPr>
          <w:sz w:val="24"/>
          <w:szCs w:val="24"/>
        </w:rPr>
        <w:t>Klar, farveløs til lysegul opløsning praktisk talt fri for partikler, med en pH mellem 6,5 og 8,0 og en osmolalitet på 260-330 mOsmol/kg.</w:t>
      </w:r>
    </w:p>
    <w:p w14:paraId="2517584D" w14:textId="77777777" w:rsidR="009260DE" w:rsidRPr="00C84483" w:rsidRDefault="009260DE" w:rsidP="009260DE">
      <w:pPr>
        <w:tabs>
          <w:tab w:val="left" w:pos="851"/>
        </w:tabs>
        <w:ind w:left="851"/>
        <w:rPr>
          <w:sz w:val="24"/>
          <w:szCs w:val="24"/>
        </w:rPr>
      </w:pPr>
    </w:p>
    <w:p w14:paraId="0BA34BB5" w14:textId="77777777" w:rsidR="009260DE" w:rsidRPr="00C84483" w:rsidRDefault="009260DE" w:rsidP="009260DE">
      <w:pPr>
        <w:tabs>
          <w:tab w:val="left" w:pos="851"/>
        </w:tabs>
        <w:ind w:left="851"/>
        <w:rPr>
          <w:sz w:val="24"/>
          <w:szCs w:val="24"/>
        </w:rPr>
      </w:pPr>
    </w:p>
    <w:p w14:paraId="129C080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6ED44B3" w14:textId="77777777" w:rsidR="009260DE" w:rsidRPr="00C84483" w:rsidRDefault="009260DE" w:rsidP="009260DE">
      <w:pPr>
        <w:tabs>
          <w:tab w:val="left" w:pos="851"/>
        </w:tabs>
        <w:ind w:left="851"/>
        <w:rPr>
          <w:b/>
          <w:sz w:val="24"/>
          <w:szCs w:val="24"/>
        </w:rPr>
      </w:pPr>
    </w:p>
    <w:p w14:paraId="57712B1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791ECE5" w14:textId="77777777" w:rsidR="00263B30" w:rsidRPr="00263B30" w:rsidRDefault="00263B30" w:rsidP="00263B30">
      <w:pPr>
        <w:tabs>
          <w:tab w:val="left" w:pos="851"/>
        </w:tabs>
        <w:ind w:left="851"/>
        <w:rPr>
          <w:sz w:val="24"/>
          <w:szCs w:val="24"/>
        </w:rPr>
      </w:pPr>
      <w:r w:rsidRPr="00263B30">
        <w:rPr>
          <w:sz w:val="24"/>
          <w:szCs w:val="24"/>
        </w:rPr>
        <w:t>Til forebyggelse og reduktion af inflammation efter kataraktkirurgi.</w:t>
      </w:r>
    </w:p>
    <w:p w14:paraId="2439E65C" w14:textId="77777777" w:rsidR="00263B30" w:rsidRPr="00263B30" w:rsidRDefault="00263B30" w:rsidP="00263B30">
      <w:pPr>
        <w:tabs>
          <w:tab w:val="left" w:pos="851"/>
        </w:tabs>
        <w:ind w:left="851"/>
        <w:rPr>
          <w:sz w:val="24"/>
          <w:szCs w:val="24"/>
        </w:rPr>
      </w:pPr>
    </w:p>
    <w:p w14:paraId="5C4710BE" w14:textId="77777777" w:rsidR="00263B30" w:rsidRPr="00263B30" w:rsidRDefault="00263B30" w:rsidP="00263B30">
      <w:pPr>
        <w:tabs>
          <w:tab w:val="left" w:pos="851"/>
        </w:tabs>
        <w:ind w:left="851"/>
        <w:rPr>
          <w:sz w:val="24"/>
          <w:szCs w:val="24"/>
        </w:rPr>
      </w:pPr>
      <w:r w:rsidRPr="00263B30">
        <w:rPr>
          <w:sz w:val="24"/>
          <w:szCs w:val="24"/>
        </w:rPr>
        <w:t>Ketorolactrometamol "Misom" er indiceret til voksne.</w:t>
      </w:r>
    </w:p>
    <w:p w14:paraId="048283B0" w14:textId="056BFE1B" w:rsidR="00263B30" w:rsidRDefault="00263B30">
      <w:pPr>
        <w:rPr>
          <w:sz w:val="24"/>
          <w:szCs w:val="24"/>
        </w:rPr>
      </w:pPr>
      <w:r>
        <w:rPr>
          <w:sz w:val="24"/>
          <w:szCs w:val="24"/>
        </w:rPr>
        <w:br w:type="page"/>
      </w:r>
    </w:p>
    <w:p w14:paraId="1B0009EF" w14:textId="77777777" w:rsidR="009260DE" w:rsidRPr="00C84483" w:rsidRDefault="009260DE" w:rsidP="009260DE">
      <w:pPr>
        <w:tabs>
          <w:tab w:val="left" w:pos="851"/>
        </w:tabs>
        <w:ind w:left="851"/>
        <w:rPr>
          <w:sz w:val="24"/>
          <w:szCs w:val="24"/>
        </w:rPr>
      </w:pPr>
    </w:p>
    <w:p w14:paraId="1E029E5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2505FAA" w14:textId="77777777" w:rsidR="00263B30" w:rsidRPr="00263B30" w:rsidRDefault="00263B30" w:rsidP="00263B30">
      <w:pPr>
        <w:tabs>
          <w:tab w:val="left" w:pos="851"/>
        </w:tabs>
        <w:ind w:left="851"/>
        <w:rPr>
          <w:i/>
          <w:sz w:val="24"/>
          <w:szCs w:val="24"/>
        </w:rPr>
      </w:pPr>
    </w:p>
    <w:p w14:paraId="0072B03D" w14:textId="77777777" w:rsidR="00263B30" w:rsidRPr="00263B30" w:rsidRDefault="00263B30" w:rsidP="00263B30">
      <w:pPr>
        <w:tabs>
          <w:tab w:val="left" w:pos="851"/>
        </w:tabs>
        <w:ind w:left="851"/>
        <w:rPr>
          <w:sz w:val="24"/>
          <w:szCs w:val="24"/>
          <w:u w:val="single"/>
        </w:rPr>
      </w:pPr>
      <w:r w:rsidRPr="00263B30">
        <w:rPr>
          <w:sz w:val="24"/>
          <w:szCs w:val="24"/>
          <w:u w:val="single"/>
        </w:rPr>
        <w:t>Dosering</w:t>
      </w:r>
    </w:p>
    <w:p w14:paraId="4ADFBF78" w14:textId="77777777" w:rsidR="00263B30" w:rsidRPr="00263B30" w:rsidRDefault="00263B30" w:rsidP="00263B30">
      <w:pPr>
        <w:tabs>
          <w:tab w:val="left" w:pos="851"/>
        </w:tabs>
        <w:ind w:left="851"/>
        <w:rPr>
          <w:sz w:val="24"/>
          <w:szCs w:val="24"/>
        </w:rPr>
      </w:pPr>
    </w:p>
    <w:p w14:paraId="04C137FD" w14:textId="6B89CB2C" w:rsidR="00263B30" w:rsidRPr="00263B30" w:rsidRDefault="00263B30" w:rsidP="00263B30">
      <w:pPr>
        <w:tabs>
          <w:tab w:val="left" w:pos="851"/>
        </w:tabs>
        <w:ind w:left="851"/>
        <w:rPr>
          <w:i/>
          <w:sz w:val="24"/>
          <w:szCs w:val="24"/>
        </w:rPr>
      </w:pPr>
      <w:r w:rsidRPr="00263B30">
        <w:rPr>
          <w:i/>
          <w:sz w:val="24"/>
          <w:szCs w:val="24"/>
        </w:rPr>
        <w:t>Postoperativ betændelse</w:t>
      </w:r>
    </w:p>
    <w:p w14:paraId="038D983D" w14:textId="77777777" w:rsidR="00263B30" w:rsidRPr="00263B30" w:rsidRDefault="00263B30" w:rsidP="00263B30">
      <w:pPr>
        <w:tabs>
          <w:tab w:val="left" w:pos="851"/>
        </w:tabs>
        <w:ind w:left="851"/>
        <w:rPr>
          <w:sz w:val="24"/>
          <w:szCs w:val="24"/>
        </w:rPr>
      </w:pPr>
      <w:r w:rsidRPr="00263B30">
        <w:rPr>
          <w:sz w:val="24"/>
          <w:szCs w:val="24"/>
        </w:rPr>
        <w:t xml:space="preserve">En dråbe i øjet tre gange dagligt fra 24 timer før operationen og tre til fire uger frem. </w:t>
      </w:r>
    </w:p>
    <w:p w14:paraId="6A161FE5" w14:textId="77777777" w:rsidR="00263B30" w:rsidRPr="00263B30" w:rsidRDefault="00263B30" w:rsidP="00263B30">
      <w:pPr>
        <w:tabs>
          <w:tab w:val="left" w:pos="851"/>
        </w:tabs>
        <w:ind w:left="851"/>
        <w:rPr>
          <w:sz w:val="24"/>
          <w:szCs w:val="24"/>
        </w:rPr>
      </w:pPr>
    </w:p>
    <w:p w14:paraId="6DD275D2" w14:textId="77777777" w:rsidR="00263B30" w:rsidRPr="00263B30" w:rsidRDefault="00263B30" w:rsidP="00263B30">
      <w:pPr>
        <w:tabs>
          <w:tab w:val="left" w:pos="851"/>
        </w:tabs>
        <w:ind w:left="851"/>
        <w:rPr>
          <w:i/>
          <w:sz w:val="24"/>
          <w:szCs w:val="24"/>
        </w:rPr>
      </w:pPr>
      <w:r w:rsidRPr="00263B30">
        <w:rPr>
          <w:i/>
          <w:sz w:val="24"/>
          <w:szCs w:val="24"/>
        </w:rPr>
        <w:t>Pædiatrisk population</w:t>
      </w:r>
    </w:p>
    <w:p w14:paraId="3DFEED21" w14:textId="77777777" w:rsidR="00263B30" w:rsidRPr="00263B30" w:rsidRDefault="00263B30" w:rsidP="00263B30">
      <w:pPr>
        <w:tabs>
          <w:tab w:val="left" w:pos="851"/>
        </w:tabs>
        <w:ind w:left="851"/>
        <w:rPr>
          <w:sz w:val="24"/>
          <w:szCs w:val="24"/>
        </w:rPr>
      </w:pPr>
      <w:r w:rsidRPr="00263B30">
        <w:rPr>
          <w:sz w:val="24"/>
          <w:szCs w:val="24"/>
        </w:rPr>
        <w:t>Ikke relevant. Ketorolactrometamol "Misom" er ikke indiceret til den pædiatriske population til forebyggelse og reduktion af inflammation efter kataraktkirurgi.</w:t>
      </w:r>
    </w:p>
    <w:p w14:paraId="77DBDDEE" w14:textId="77777777" w:rsidR="00263B30" w:rsidRPr="00263B30" w:rsidRDefault="00263B30" w:rsidP="00263B30">
      <w:pPr>
        <w:tabs>
          <w:tab w:val="left" w:pos="851"/>
        </w:tabs>
        <w:ind w:left="851"/>
        <w:rPr>
          <w:sz w:val="24"/>
          <w:szCs w:val="24"/>
        </w:rPr>
      </w:pPr>
      <w:r w:rsidRPr="00263B30">
        <w:rPr>
          <w:sz w:val="24"/>
          <w:szCs w:val="24"/>
        </w:rPr>
        <w:t>Ketorolactrometamol "Misom"</w:t>
      </w:r>
    </w:p>
    <w:p w14:paraId="48DDF696" w14:textId="77777777" w:rsidR="00263B30" w:rsidRPr="00263B30" w:rsidRDefault="00263B30" w:rsidP="00263B30">
      <w:pPr>
        <w:tabs>
          <w:tab w:val="left" w:pos="851"/>
        </w:tabs>
        <w:ind w:left="851"/>
        <w:rPr>
          <w:sz w:val="24"/>
          <w:szCs w:val="24"/>
        </w:rPr>
      </w:pPr>
    </w:p>
    <w:p w14:paraId="0649AD8A" w14:textId="20443D6A" w:rsidR="00263B30" w:rsidRPr="00263B30" w:rsidRDefault="00263B30" w:rsidP="00263B30">
      <w:pPr>
        <w:tabs>
          <w:tab w:val="left" w:pos="851"/>
        </w:tabs>
        <w:ind w:left="851"/>
        <w:rPr>
          <w:i/>
          <w:sz w:val="24"/>
          <w:szCs w:val="24"/>
        </w:rPr>
      </w:pPr>
      <w:r w:rsidRPr="00263B30">
        <w:rPr>
          <w:i/>
          <w:sz w:val="24"/>
          <w:szCs w:val="24"/>
        </w:rPr>
        <w:t>Ældre</w:t>
      </w:r>
    </w:p>
    <w:p w14:paraId="539340D4" w14:textId="77777777" w:rsidR="00263B30" w:rsidRPr="00263B30" w:rsidRDefault="00263B30" w:rsidP="00263B30">
      <w:pPr>
        <w:tabs>
          <w:tab w:val="left" w:pos="851"/>
        </w:tabs>
        <w:ind w:left="851"/>
        <w:rPr>
          <w:sz w:val="24"/>
          <w:szCs w:val="24"/>
        </w:rPr>
      </w:pPr>
      <w:r w:rsidRPr="00263B30">
        <w:rPr>
          <w:sz w:val="24"/>
          <w:szCs w:val="24"/>
        </w:rPr>
        <w:t>Der er ikke observeret forskelle mellem sikkerhed og virkning hos ældre og yngre patienter.</w:t>
      </w:r>
    </w:p>
    <w:p w14:paraId="532AD99C" w14:textId="77777777" w:rsidR="00263B30" w:rsidRPr="00263B30" w:rsidRDefault="00263B30" w:rsidP="00263B30">
      <w:pPr>
        <w:tabs>
          <w:tab w:val="left" w:pos="851"/>
        </w:tabs>
        <w:ind w:left="851"/>
        <w:rPr>
          <w:sz w:val="24"/>
          <w:szCs w:val="24"/>
        </w:rPr>
      </w:pPr>
    </w:p>
    <w:p w14:paraId="2DEB1249" w14:textId="77777777" w:rsidR="00263B30" w:rsidRPr="00263B30" w:rsidRDefault="00263B30" w:rsidP="00263B30">
      <w:pPr>
        <w:tabs>
          <w:tab w:val="left" w:pos="851"/>
        </w:tabs>
        <w:ind w:left="851"/>
        <w:rPr>
          <w:sz w:val="24"/>
          <w:szCs w:val="24"/>
          <w:u w:val="single"/>
        </w:rPr>
      </w:pPr>
      <w:r w:rsidRPr="00263B30">
        <w:rPr>
          <w:sz w:val="24"/>
          <w:szCs w:val="24"/>
          <w:u w:val="single"/>
        </w:rPr>
        <w:t>Indgivelsesmåde</w:t>
      </w:r>
    </w:p>
    <w:p w14:paraId="2E29417A" w14:textId="77777777" w:rsidR="00263B30" w:rsidRPr="00263B30" w:rsidRDefault="00263B30" w:rsidP="00263B30">
      <w:pPr>
        <w:tabs>
          <w:tab w:val="left" w:pos="851"/>
        </w:tabs>
        <w:ind w:left="851"/>
        <w:rPr>
          <w:sz w:val="24"/>
          <w:szCs w:val="24"/>
        </w:rPr>
      </w:pPr>
      <w:r w:rsidRPr="00263B30">
        <w:rPr>
          <w:sz w:val="24"/>
          <w:szCs w:val="24"/>
        </w:rPr>
        <w:t>Okulær brug.</w:t>
      </w:r>
    </w:p>
    <w:p w14:paraId="7FC1BFAE" w14:textId="77777777" w:rsidR="00263B30" w:rsidRPr="00263B30" w:rsidRDefault="00263B30" w:rsidP="00263B30">
      <w:pPr>
        <w:tabs>
          <w:tab w:val="left" w:pos="851"/>
        </w:tabs>
        <w:ind w:left="851"/>
        <w:rPr>
          <w:sz w:val="24"/>
          <w:szCs w:val="24"/>
        </w:rPr>
      </w:pPr>
      <w:r w:rsidRPr="00263B30">
        <w:rPr>
          <w:sz w:val="24"/>
          <w:szCs w:val="24"/>
        </w:rPr>
        <w:t>Dryp en dråbe af opløsningen i den nedre konjunktivalsæk i det øje, der skal behandles, træk lidt ned i det nedre øjenlåg og kig opad imens.</w:t>
      </w:r>
    </w:p>
    <w:p w14:paraId="46E378A9" w14:textId="77777777" w:rsidR="00263B30" w:rsidRPr="00263B30" w:rsidRDefault="00263B30" w:rsidP="00263B30">
      <w:pPr>
        <w:tabs>
          <w:tab w:val="left" w:pos="851"/>
        </w:tabs>
        <w:ind w:left="851"/>
        <w:rPr>
          <w:sz w:val="24"/>
          <w:szCs w:val="24"/>
        </w:rPr>
      </w:pPr>
    </w:p>
    <w:p w14:paraId="1F98CE61" w14:textId="77777777" w:rsidR="00263B30" w:rsidRPr="00263B30" w:rsidRDefault="00263B30" w:rsidP="00263B30">
      <w:pPr>
        <w:tabs>
          <w:tab w:val="left" w:pos="851"/>
        </w:tabs>
        <w:ind w:left="851"/>
        <w:rPr>
          <w:sz w:val="24"/>
          <w:szCs w:val="24"/>
        </w:rPr>
      </w:pPr>
      <w:r w:rsidRPr="00263B30">
        <w:rPr>
          <w:sz w:val="24"/>
          <w:szCs w:val="24"/>
        </w:rPr>
        <w:t>Hvis Ketorolactrometamol "Misom"</w:t>
      </w:r>
      <w:r w:rsidRPr="00263B30">
        <w:rPr>
          <w:b/>
          <w:sz w:val="24"/>
          <w:szCs w:val="24"/>
        </w:rPr>
        <w:t xml:space="preserve"> </w:t>
      </w:r>
      <w:r w:rsidRPr="00263B30">
        <w:rPr>
          <w:sz w:val="24"/>
          <w:szCs w:val="24"/>
        </w:rPr>
        <w:t>øjendråber anvendes samtidig med andre øjenpræparater, skal der være et interval på mindst 5 minutter mellem de to lægemidler.</w:t>
      </w:r>
    </w:p>
    <w:p w14:paraId="443210B1" w14:textId="77777777" w:rsidR="00263B30" w:rsidRPr="00263B30" w:rsidRDefault="00263B30" w:rsidP="00263B30">
      <w:pPr>
        <w:tabs>
          <w:tab w:val="left" w:pos="851"/>
        </w:tabs>
        <w:ind w:left="851"/>
        <w:rPr>
          <w:b/>
          <w:sz w:val="24"/>
          <w:szCs w:val="24"/>
        </w:rPr>
      </w:pPr>
    </w:p>
    <w:p w14:paraId="5BBCEF0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DBADAAC" w14:textId="1E716C88" w:rsidR="00EA1064" w:rsidRPr="00EA1064" w:rsidRDefault="00EA1064" w:rsidP="00EA1064">
      <w:pPr>
        <w:tabs>
          <w:tab w:val="left" w:pos="851"/>
        </w:tabs>
        <w:ind w:left="851"/>
        <w:rPr>
          <w:sz w:val="24"/>
          <w:szCs w:val="24"/>
        </w:rPr>
      </w:pPr>
      <w:r w:rsidRPr="00EA1064">
        <w:rPr>
          <w:sz w:val="24"/>
          <w:szCs w:val="24"/>
        </w:rPr>
        <w:t>Overfølsomhed over for det aktive stof eller over for et eller flere af hjælpestofferne anført i pkt. 6.1.</w:t>
      </w:r>
    </w:p>
    <w:p w14:paraId="6463D3BF" w14:textId="77777777" w:rsidR="00EA1064" w:rsidRPr="00EA1064" w:rsidRDefault="00EA1064" w:rsidP="00EA1064">
      <w:pPr>
        <w:tabs>
          <w:tab w:val="left" w:pos="851"/>
        </w:tabs>
        <w:ind w:left="851"/>
        <w:rPr>
          <w:sz w:val="24"/>
          <w:szCs w:val="24"/>
        </w:rPr>
      </w:pPr>
    </w:p>
    <w:p w14:paraId="64BF295D" w14:textId="77777777" w:rsidR="00EA1064" w:rsidRPr="00EA1064" w:rsidRDefault="00EA1064" w:rsidP="00EA1064">
      <w:pPr>
        <w:tabs>
          <w:tab w:val="left" w:pos="851"/>
        </w:tabs>
        <w:ind w:left="851"/>
        <w:rPr>
          <w:sz w:val="24"/>
          <w:szCs w:val="24"/>
        </w:rPr>
      </w:pPr>
      <w:r w:rsidRPr="00EA1064">
        <w:rPr>
          <w:sz w:val="24"/>
          <w:szCs w:val="24"/>
        </w:rPr>
        <w:t>Der er risiko for krydsallergi over for acetylsalicylsyre og andre non-steroide antiinflammatoriske lægemidler.</w:t>
      </w:r>
      <w:r w:rsidRPr="00EA1064">
        <w:rPr>
          <w:b/>
          <w:sz w:val="24"/>
          <w:szCs w:val="24"/>
        </w:rPr>
        <w:t xml:space="preserve"> </w:t>
      </w:r>
      <w:r w:rsidRPr="00EA1064">
        <w:rPr>
          <w:sz w:val="24"/>
          <w:szCs w:val="24"/>
        </w:rPr>
        <w:t>Ketorolactrometamol "Misom"</w:t>
      </w:r>
      <w:r w:rsidRPr="00EA1064">
        <w:rPr>
          <w:b/>
          <w:sz w:val="24"/>
          <w:szCs w:val="24"/>
        </w:rPr>
        <w:t xml:space="preserve"> </w:t>
      </w:r>
      <w:r w:rsidRPr="00EA1064">
        <w:rPr>
          <w:sz w:val="24"/>
          <w:szCs w:val="24"/>
        </w:rPr>
        <w:t>er kontraindiceret hos personer, der tidligere har udvist overfølsomhed over for disse lægemidler.</w:t>
      </w:r>
    </w:p>
    <w:p w14:paraId="50B57D33" w14:textId="77777777" w:rsidR="009260DE" w:rsidRPr="00C84483" w:rsidRDefault="009260DE" w:rsidP="009260DE">
      <w:pPr>
        <w:tabs>
          <w:tab w:val="left" w:pos="851"/>
        </w:tabs>
        <w:ind w:left="851"/>
        <w:rPr>
          <w:sz w:val="24"/>
          <w:szCs w:val="24"/>
        </w:rPr>
      </w:pPr>
    </w:p>
    <w:p w14:paraId="5D90F3C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3014841" w14:textId="77777777" w:rsidR="00EA1064" w:rsidRPr="00EA1064" w:rsidRDefault="00EA1064" w:rsidP="00EA1064">
      <w:pPr>
        <w:tabs>
          <w:tab w:val="left" w:pos="851"/>
        </w:tabs>
        <w:ind w:left="851"/>
        <w:rPr>
          <w:sz w:val="24"/>
          <w:szCs w:val="24"/>
        </w:rPr>
      </w:pPr>
      <w:r w:rsidRPr="00EA1064">
        <w:rPr>
          <w:sz w:val="24"/>
          <w:szCs w:val="24"/>
        </w:rPr>
        <w:t>Ketorolactrometamol "Misom"</w:t>
      </w:r>
      <w:r w:rsidRPr="00EA1064">
        <w:rPr>
          <w:b/>
          <w:sz w:val="24"/>
          <w:szCs w:val="24"/>
        </w:rPr>
        <w:t xml:space="preserve"> </w:t>
      </w:r>
      <w:r w:rsidRPr="00EA1064">
        <w:rPr>
          <w:sz w:val="24"/>
          <w:szCs w:val="24"/>
        </w:rPr>
        <w:t>bør anvendes med forsigtighed til patienter med kendt blødningstendens eller til patienter, som  får lægemidler, der kan forlænge blødningstiden.</w:t>
      </w:r>
    </w:p>
    <w:p w14:paraId="433DD4BB" w14:textId="77777777" w:rsidR="00EA1064" w:rsidRPr="00EA1064" w:rsidRDefault="00EA1064" w:rsidP="00EA1064">
      <w:pPr>
        <w:tabs>
          <w:tab w:val="left" w:pos="851"/>
        </w:tabs>
        <w:ind w:left="851"/>
        <w:rPr>
          <w:sz w:val="24"/>
          <w:szCs w:val="24"/>
        </w:rPr>
      </w:pPr>
    </w:p>
    <w:p w14:paraId="3616F216" w14:textId="77777777" w:rsidR="00EA1064" w:rsidRPr="00EA1064" w:rsidRDefault="00EA1064" w:rsidP="00EA1064">
      <w:pPr>
        <w:tabs>
          <w:tab w:val="left" w:pos="851"/>
        </w:tabs>
        <w:ind w:left="851"/>
        <w:rPr>
          <w:sz w:val="24"/>
          <w:szCs w:val="24"/>
        </w:rPr>
      </w:pPr>
      <w:r w:rsidRPr="00EA1064">
        <w:rPr>
          <w:sz w:val="24"/>
          <w:szCs w:val="24"/>
        </w:rPr>
        <w:t>I lighed med andre antiinflammatoriske lægemidler kan</w:t>
      </w:r>
      <w:r w:rsidRPr="00EA1064">
        <w:rPr>
          <w:b/>
          <w:sz w:val="24"/>
          <w:szCs w:val="24"/>
        </w:rPr>
        <w:t xml:space="preserve"> </w:t>
      </w:r>
      <w:r w:rsidRPr="00EA1064">
        <w:rPr>
          <w:sz w:val="24"/>
          <w:szCs w:val="24"/>
        </w:rPr>
        <w:t>Ketorolactrometamol "Misom"</w:t>
      </w:r>
      <w:r w:rsidRPr="00EA1064">
        <w:rPr>
          <w:b/>
          <w:sz w:val="24"/>
          <w:szCs w:val="24"/>
        </w:rPr>
        <w:t xml:space="preserve"> </w:t>
      </w:r>
      <w:r w:rsidRPr="00EA1064">
        <w:rPr>
          <w:sz w:val="24"/>
          <w:szCs w:val="24"/>
        </w:rPr>
        <w:t>maskere de sædvanlige tegn på infektion.</w:t>
      </w:r>
    </w:p>
    <w:p w14:paraId="2951FBE7" w14:textId="77777777" w:rsidR="00EA1064" w:rsidRPr="00EA1064" w:rsidRDefault="00EA1064" w:rsidP="00EA1064">
      <w:pPr>
        <w:tabs>
          <w:tab w:val="left" w:pos="851"/>
        </w:tabs>
        <w:ind w:left="851"/>
        <w:rPr>
          <w:sz w:val="24"/>
          <w:szCs w:val="24"/>
        </w:rPr>
      </w:pPr>
    </w:p>
    <w:p w14:paraId="49399274" w14:textId="77777777" w:rsidR="00EA1064" w:rsidRPr="00EA1064" w:rsidRDefault="00EA1064" w:rsidP="00EA1064">
      <w:pPr>
        <w:tabs>
          <w:tab w:val="left" w:pos="851"/>
        </w:tabs>
        <w:ind w:left="851"/>
        <w:rPr>
          <w:sz w:val="24"/>
          <w:szCs w:val="24"/>
        </w:rPr>
      </w:pPr>
      <w:r w:rsidRPr="00EA1064">
        <w:rPr>
          <w:sz w:val="24"/>
          <w:szCs w:val="24"/>
        </w:rPr>
        <w:t>Alle non-steroide antiinflammatoriske lægemidler (NSAID'er) kan forhale eller forsinke sårheling. Samtidig anvendelse af NSAID'er og topiske steroider kan øge risikoen for helingsproblemer. Forsigtighed tilrådes ved samtidig anvendelse af</w:t>
      </w:r>
      <w:r w:rsidRPr="00EA1064">
        <w:rPr>
          <w:b/>
          <w:sz w:val="24"/>
          <w:szCs w:val="24"/>
        </w:rPr>
        <w:t xml:space="preserve"> </w:t>
      </w:r>
      <w:r w:rsidRPr="00EA1064">
        <w:rPr>
          <w:sz w:val="24"/>
          <w:szCs w:val="24"/>
        </w:rPr>
        <w:t>Ketorolactrometamol "Misom"</w:t>
      </w:r>
      <w:r w:rsidRPr="00EA1064">
        <w:rPr>
          <w:b/>
          <w:sz w:val="24"/>
          <w:szCs w:val="24"/>
        </w:rPr>
        <w:t xml:space="preserve"> </w:t>
      </w:r>
      <w:r w:rsidRPr="00EA1064">
        <w:rPr>
          <w:sz w:val="24"/>
          <w:szCs w:val="24"/>
        </w:rPr>
        <w:t>og kortikosteroider til lokalt brug hos patienter, der er disponerede for degeneration af hornhindeepitelet.</w:t>
      </w:r>
    </w:p>
    <w:p w14:paraId="40B43532" w14:textId="77777777" w:rsidR="00EA1064" w:rsidRPr="00EA1064" w:rsidRDefault="00EA1064" w:rsidP="00EA1064">
      <w:pPr>
        <w:tabs>
          <w:tab w:val="left" w:pos="851"/>
        </w:tabs>
        <w:ind w:left="851"/>
        <w:rPr>
          <w:sz w:val="24"/>
          <w:szCs w:val="24"/>
        </w:rPr>
      </w:pPr>
    </w:p>
    <w:p w14:paraId="5C699CD3" w14:textId="77777777" w:rsidR="00EA1064" w:rsidRPr="00EA1064" w:rsidRDefault="00EA1064" w:rsidP="00EA1064">
      <w:pPr>
        <w:tabs>
          <w:tab w:val="left" w:pos="851"/>
        </w:tabs>
        <w:ind w:left="851"/>
        <w:rPr>
          <w:sz w:val="24"/>
          <w:szCs w:val="24"/>
        </w:rPr>
      </w:pPr>
      <w:r w:rsidRPr="00EA1064">
        <w:rPr>
          <w:sz w:val="24"/>
          <w:szCs w:val="24"/>
        </w:rPr>
        <w:t>Anvendelse af topiske NSAID'er kan give keratitis. Hos nogle patienter kan vedvarende brug af topiske NSAID'er medføre nedbrydning af epitelet, udtynding, erosion, ulceration eller perforation af hornhinden. Disse hændelser kan medføre synstab. Hos patienter med tegn på nedbrydning af corneaepitel skal behandlingen straks ophøre og der skal kontrolleres  nøje for lidelser i cornea.</w:t>
      </w:r>
    </w:p>
    <w:p w14:paraId="5AB22670" w14:textId="77777777" w:rsidR="00EA1064" w:rsidRPr="00EA1064" w:rsidRDefault="00EA1064" w:rsidP="00EA1064">
      <w:pPr>
        <w:tabs>
          <w:tab w:val="left" w:pos="851"/>
        </w:tabs>
        <w:ind w:left="851"/>
        <w:rPr>
          <w:sz w:val="24"/>
          <w:szCs w:val="24"/>
        </w:rPr>
      </w:pPr>
    </w:p>
    <w:p w14:paraId="7F798414" w14:textId="77777777" w:rsidR="00EA1064" w:rsidRPr="00EA1064" w:rsidRDefault="00EA1064" w:rsidP="00EA1064">
      <w:pPr>
        <w:tabs>
          <w:tab w:val="left" w:pos="851"/>
        </w:tabs>
        <w:ind w:left="851"/>
        <w:rPr>
          <w:sz w:val="24"/>
          <w:szCs w:val="24"/>
        </w:rPr>
      </w:pPr>
      <w:r w:rsidRPr="00EA1064">
        <w:rPr>
          <w:sz w:val="24"/>
          <w:szCs w:val="24"/>
        </w:rPr>
        <w:t>Risikoen for potentielt synstruende corneabivirkninger kan øges hos patienter, der har gennemgået komplicerede øjenoperationer, haft corneadenervering, defekter i corneaepitel, okulære overfladelidelser (f.eks. tørre øjne), diabetes mellitus, reumatoid artrit eller gennemgået gentagne øjenoperationer inden for en kort periode. Ketorolactrometamol "Misom" skal anvendes med forsigtighed hos disse patienter.</w:t>
      </w:r>
    </w:p>
    <w:p w14:paraId="73CCFAF5" w14:textId="77777777" w:rsidR="00EA1064" w:rsidRPr="00EA1064" w:rsidRDefault="00EA1064" w:rsidP="00EA1064">
      <w:pPr>
        <w:tabs>
          <w:tab w:val="left" w:pos="851"/>
        </w:tabs>
        <w:ind w:left="851"/>
        <w:rPr>
          <w:sz w:val="24"/>
          <w:szCs w:val="24"/>
        </w:rPr>
      </w:pPr>
    </w:p>
    <w:p w14:paraId="19C48769" w14:textId="77777777" w:rsidR="00EA1064" w:rsidRPr="00EA1064" w:rsidRDefault="00EA1064" w:rsidP="00EA1064">
      <w:pPr>
        <w:tabs>
          <w:tab w:val="left" w:pos="851"/>
        </w:tabs>
        <w:ind w:left="851"/>
        <w:rPr>
          <w:sz w:val="24"/>
          <w:szCs w:val="24"/>
        </w:rPr>
      </w:pPr>
      <w:r w:rsidRPr="00EA1064">
        <w:rPr>
          <w:sz w:val="24"/>
          <w:szCs w:val="24"/>
        </w:rPr>
        <w:t>Erfaringer efter markedsføring af topiske NSAID'er tyder også på øget risiko for bivirkninger i cornea og sværere bivirkninger ved brug mere end 24 timer før kirurgi eller mere end 14 dage efter kirurgi.</w:t>
      </w:r>
    </w:p>
    <w:p w14:paraId="238B8B1B" w14:textId="77777777" w:rsidR="00EA1064" w:rsidRPr="00EA1064" w:rsidRDefault="00EA1064" w:rsidP="00EA1064">
      <w:pPr>
        <w:tabs>
          <w:tab w:val="left" w:pos="851"/>
        </w:tabs>
        <w:ind w:left="851"/>
        <w:rPr>
          <w:sz w:val="24"/>
          <w:szCs w:val="24"/>
        </w:rPr>
      </w:pPr>
    </w:p>
    <w:p w14:paraId="3B645AFC" w14:textId="77777777" w:rsidR="00EA1064" w:rsidRPr="00EA1064" w:rsidRDefault="00EA1064" w:rsidP="00EA1064">
      <w:pPr>
        <w:tabs>
          <w:tab w:val="left" w:pos="851"/>
        </w:tabs>
        <w:ind w:left="851"/>
        <w:rPr>
          <w:sz w:val="24"/>
          <w:szCs w:val="24"/>
        </w:rPr>
      </w:pPr>
      <w:r w:rsidRPr="00EA1064">
        <w:rPr>
          <w:sz w:val="24"/>
          <w:szCs w:val="24"/>
        </w:rPr>
        <w:t>Konserveringsmidlet Ketorolactrometamol "Misom"benzalkoniumchlorid kan forårsage øjenirritation, symptomer på tørre øjne og det kan påvirke tårefilmen og hornhindeoverfladen. Bør anvendes med forsigtighed hos patienter med tørre øjne og hos patienter, hvor hornhinden kan være kompromitteret. Kontaktlinser skal fjernes før inddrypning, og der skal gå mindst 15 minutter, før de indsættes igen. Benzalkoniumchlorid er kendt for at misfarve bløde kontaktlinser. Undgå kontakt med bløde kontaktlinser.</w:t>
      </w:r>
    </w:p>
    <w:p w14:paraId="140336AA" w14:textId="77777777" w:rsidR="00EA1064" w:rsidRPr="00EA1064" w:rsidRDefault="00EA1064" w:rsidP="00EA1064">
      <w:pPr>
        <w:tabs>
          <w:tab w:val="left" w:pos="851"/>
        </w:tabs>
        <w:ind w:left="851"/>
        <w:rPr>
          <w:sz w:val="24"/>
          <w:szCs w:val="24"/>
        </w:rPr>
      </w:pPr>
    </w:p>
    <w:p w14:paraId="5A54C550" w14:textId="77777777" w:rsidR="00EA1064" w:rsidRPr="00EA1064" w:rsidRDefault="00EA1064" w:rsidP="00EA1064">
      <w:pPr>
        <w:tabs>
          <w:tab w:val="left" w:pos="851"/>
        </w:tabs>
        <w:ind w:left="851"/>
        <w:rPr>
          <w:sz w:val="24"/>
          <w:szCs w:val="24"/>
        </w:rPr>
      </w:pPr>
      <w:r w:rsidRPr="00EA1064">
        <w:rPr>
          <w:sz w:val="24"/>
          <w:szCs w:val="24"/>
        </w:rPr>
        <w:t>Der har efter markedsføring været indberettet bronkospasme eller forværring af astma hos patienter, som enten har kendt overfølsomhed over for acetylsalicylsyre/non-steroide antiinflammatoriske lægemidler eller tidligere har haft astma i forbindelse med anvendelse af Ketorolactrometamol "Misom" som en medvirkende faktor. Forsigtighed tilrådes ved anvendelse af Ketorolactrometamol "Misom" hos disse patienter (se pkt 4.8).</w:t>
      </w:r>
    </w:p>
    <w:p w14:paraId="012278B1" w14:textId="77777777" w:rsidR="00EA1064" w:rsidRPr="00EA1064" w:rsidRDefault="00EA1064" w:rsidP="00EA1064">
      <w:pPr>
        <w:tabs>
          <w:tab w:val="left" w:pos="851"/>
        </w:tabs>
        <w:ind w:left="851"/>
        <w:rPr>
          <w:sz w:val="24"/>
          <w:szCs w:val="24"/>
        </w:rPr>
      </w:pPr>
    </w:p>
    <w:p w14:paraId="227CBD9F" w14:textId="77777777" w:rsidR="00EA1064" w:rsidRPr="00EA1064" w:rsidRDefault="00EA1064" w:rsidP="00EA1064">
      <w:pPr>
        <w:tabs>
          <w:tab w:val="left" w:pos="851"/>
        </w:tabs>
        <w:ind w:left="851"/>
        <w:rPr>
          <w:sz w:val="24"/>
          <w:szCs w:val="24"/>
        </w:rPr>
      </w:pPr>
      <w:r w:rsidRPr="00EA1064">
        <w:rPr>
          <w:sz w:val="24"/>
          <w:szCs w:val="24"/>
        </w:rPr>
        <w:t>Patienterne skal instrueres i at undgå, at spidsen af dispenseringsbeholderen kommer i berøring med øjet eller øjenomgivelserne for at undgå skader og kontaminering af øjendråberne.</w:t>
      </w:r>
    </w:p>
    <w:p w14:paraId="268353C2" w14:textId="77777777" w:rsidR="00EA1064" w:rsidRPr="00EA1064" w:rsidRDefault="00EA1064" w:rsidP="00EA1064">
      <w:pPr>
        <w:tabs>
          <w:tab w:val="left" w:pos="851"/>
        </w:tabs>
        <w:ind w:left="851"/>
        <w:rPr>
          <w:sz w:val="24"/>
          <w:szCs w:val="24"/>
        </w:rPr>
      </w:pPr>
    </w:p>
    <w:p w14:paraId="1730F409" w14:textId="77777777" w:rsidR="00EA1064" w:rsidRPr="00EA1064" w:rsidRDefault="00EA1064" w:rsidP="00EA1064">
      <w:pPr>
        <w:tabs>
          <w:tab w:val="left" w:pos="851"/>
        </w:tabs>
        <w:ind w:left="851"/>
        <w:rPr>
          <w:sz w:val="24"/>
          <w:szCs w:val="24"/>
        </w:rPr>
      </w:pPr>
      <w:r w:rsidRPr="00EA1064">
        <w:rPr>
          <w:sz w:val="24"/>
          <w:szCs w:val="24"/>
        </w:rPr>
        <w:t>Bivirkninger kan minimeres ved at anvende den laveste mulige dosis i den kortest mulige periode for at kontrollere symptomerne.</w:t>
      </w:r>
    </w:p>
    <w:p w14:paraId="3E354587" w14:textId="77777777" w:rsidR="009260DE" w:rsidRPr="00C84483" w:rsidRDefault="009260DE" w:rsidP="009260DE">
      <w:pPr>
        <w:tabs>
          <w:tab w:val="left" w:pos="851"/>
        </w:tabs>
        <w:ind w:left="851"/>
        <w:rPr>
          <w:sz w:val="24"/>
          <w:szCs w:val="24"/>
        </w:rPr>
      </w:pPr>
    </w:p>
    <w:p w14:paraId="1CB9321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471F025" w14:textId="77777777" w:rsidR="00E15158" w:rsidRPr="00E15158" w:rsidRDefault="00E15158" w:rsidP="00E15158">
      <w:pPr>
        <w:tabs>
          <w:tab w:val="left" w:pos="851"/>
        </w:tabs>
        <w:ind w:left="851"/>
        <w:rPr>
          <w:sz w:val="24"/>
          <w:szCs w:val="24"/>
        </w:rPr>
      </w:pPr>
      <w:r w:rsidRPr="00E15158">
        <w:rPr>
          <w:sz w:val="24"/>
          <w:szCs w:val="24"/>
        </w:rPr>
        <w:t>Der er ikke udført interaktionsstudier.</w:t>
      </w:r>
    </w:p>
    <w:p w14:paraId="12168925" w14:textId="77777777" w:rsidR="00E15158" w:rsidRPr="00E15158" w:rsidRDefault="00E15158" w:rsidP="00E15158">
      <w:pPr>
        <w:tabs>
          <w:tab w:val="left" w:pos="851"/>
        </w:tabs>
        <w:ind w:left="851"/>
        <w:rPr>
          <w:b/>
          <w:sz w:val="24"/>
          <w:szCs w:val="24"/>
        </w:rPr>
      </w:pPr>
    </w:p>
    <w:p w14:paraId="059811C8" w14:textId="77777777" w:rsidR="00E15158" w:rsidRPr="00E15158" w:rsidRDefault="00E15158" w:rsidP="00E15158">
      <w:pPr>
        <w:tabs>
          <w:tab w:val="left" w:pos="851"/>
        </w:tabs>
        <w:ind w:left="851"/>
        <w:rPr>
          <w:sz w:val="24"/>
          <w:szCs w:val="24"/>
        </w:rPr>
      </w:pPr>
      <w:r w:rsidRPr="00E15158">
        <w:rPr>
          <w:sz w:val="24"/>
          <w:szCs w:val="24"/>
        </w:rPr>
        <w:t>Der er ikke observeret interaktion ved administration af Ketorolactrometamol "Misom"</w:t>
      </w:r>
      <w:r w:rsidRPr="00E15158">
        <w:rPr>
          <w:b/>
          <w:sz w:val="24"/>
          <w:szCs w:val="24"/>
        </w:rPr>
        <w:t xml:space="preserve"> </w:t>
      </w:r>
      <w:r w:rsidRPr="00E15158">
        <w:rPr>
          <w:sz w:val="24"/>
          <w:szCs w:val="24"/>
        </w:rPr>
        <w:t>med systemiske og oftalmiske lægemidler såsom antibiotika, sedativa, betablokkere, kulsyreanhydrasehæmmere, miotika, mydriatika, lokalanalgetika og cykloplegika.</w:t>
      </w:r>
    </w:p>
    <w:p w14:paraId="35EEE81E" w14:textId="77777777" w:rsidR="00E15158" w:rsidRPr="00E15158" w:rsidRDefault="00E15158" w:rsidP="00E15158">
      <w:pPr>
        <w:tabs>
          <w:tab w:val="left" w:pos="851"/>
        </w:tabs>
        <w:ind w:left="851"/>
        <w:rPr>
          <w:sz w:val="24"/>
          <w:szCs w:val="24"/>
        </w:rPr>
      </w:pPr>
    </w:p>
    <w:p w14:paraId="294BA529" w14:textId="77777777" w:rsidR="00E15158" w:rsidRPr="00E15158" w:rsidRDefault="00E15158" w:rsidP="00E15158">
      <w:pPr>
        <w:tabs>
          <w:tab w:val="left" w:pos="851"/>
        </w:tabs>
        <w:ind w:left="851"/>
        <w:rPr>
          <w:sz w:val="24"/>
          <w:szCs w:val="24"/>
        </w:rPr>
      </w:pPr>
      <w:r w:rsidRPr="00E15158">
        <w:rPr>
          <w:sz w:val="24"/>
          <w:szCs w:val="24"/>
        </w:rPr>
        <w:t>Ketorolactrometamol "Misom"</w:t>
      </w:r>
      <w:r w:rsidRPr="00E15158">
        <w:rPr>
          <w:b/>
          <w:sz w:val="24"/>
          <w:szCs w:val="24"/>
        </w:rPr>
        <w:t xml:space="preserve"> </w:t>
      </w:r>
      <w:r w:rsidRPr="00E15158">
        <w:rPr>
          <w:sz w:val="24"/>
          <w:szCs w:val="24"/>
        </w:rPr>
        <w:t>kan forhale eller forsinke opheling. Kortikosteroider til lokal brug er også kendt for at forhale eller forsinke opheling. Samtidig anvendelse af NSAID'er til lokalt brug og kortikosteroider til lokalt brug kan øge risikoen for helingsproblemer (se pkt. 4.4).</w:t>
      </w:r>
    </w:p>
    <w:p w14:paraId="560BDCB3" w14:textId="77777777" w:rsidR="00E15158" w:rsidRPr="00E15158" w:rsidRDefault="00E15158" w:rsidP="00E15158">
      <w:pPr>
        <w:tabs>
          <w:tab w:val="left" w:pos="851"/>
        </w:tabs>
        <w:ind w:left="851"/>
        <w:rPr>
          <w:b/>
          <w:sz w:val="24"/>
          <w:szCs w:val="24"/>
        </w:rPr>
      </w:pPr>
    </w:p>
    <w:p w14:paraId="201EB1D2" w14:textId="77777777" w:rsidR="00E15158" w:rsidRPr="00E15158" w:rsidRDefault="00E15158" w:rsidP="00E15158">
      <w:pPr>
        <w:tabs>
          <w:tab w:val="left" w:pos="851"/>
        </w:tabs>
        <w:ind w:left="851"/>
        <w:rPr>
          <w:sz w:val="24"/>
          <w:szCs w:val="24"/>
        </w:rPr>
      </w:pPr>
      <w:r w:rsidRPr="00E15158">
        <w:rPr>
          <w:sz w:val="24"/>
          <w:szCs w:val="24"/>
        </w:rPr>
        <w:t>Hvis Ketorolactrometamol "Misom"</w:t>
      </w:r>
      <w:r w:rsidRPr="00E15158">
        <w:rPr>
          <w:b/>
          <w:sz w:val="24"/>
          <w:szCs w:val="24"/>
        </w:rPr>
        <w:t xml:space="preserve"> </w:t>
      </w:r>
      <w:r w:rsidRPr="00E15158">
        <w:rPr>
          <w:sz w:val="24"/>
          <w:szCs w:val="24"/>
        </w:rPr>
        <w:t>anvendes samtidig med andre topiske øjenpræparater, skal der være et interval på mindst 5 minutter mellem de to lægemidler.</w:t>
      </w:r>
    </w:p>
    <w:p w14:paraId="789E917E" w14:textId="0F5F589E" w:rsidR="00C71F4F" w:rsidRDefault="00C71F4F">
      <w:pPr>
        <w:rPr>
          <w:sz w:val="24"/>
          <w:szCs w:val="24"/>
        </w:rPr>
      </w:pPr>
      <w:r>
        <w:rPr>
          <w:sz w:val="24"/>
          <w:szCs w:val="24"/>
        </w:rPr>
        <w:br w:type="page"/>
      </w:r>
    </w:p>
    <w:p w14:paraId="57D7671C" w14:textId="77777777" w:rsidR="009260DE" w:rsidRPr="00C84483" w:rsidRDefault="009260DE" w:rsidP="009260DE">
      <w:pPr>
        <w:tabs>
          <w:tab w:val="left" w:pos="851"/>
        </w:tabs>
        <w:ind w:left="851"/>
        <w:rPr>
          <w:sz w:val="24"/>
          <w:szCs w:val="24"/>
        </w:rPr>
      </w:pPr>
    </w:p>
    <w:p w14:paraId="76409A1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A66A89D" w14:textId="77777777" w:rsidR="00C71F4F" w:rsidRDefault="00C71F4F" w:rsidP="00C71F4F">
      <w:pPr>
        <w:tabs>
          <w:tab w:val="left" w:pos="851"/>
        </w:tabs>
        <w:ind w:left="851"/>
        <w:rPr>
          <w:i/>
          <w:sz w:val="24"/>
          <w:szCs w:val="24"/>
          <w:u w:val="single"/>
        </w:rPr>
      </w:pPr>
    </w:p>
    <w:p w14:paraId="4A749000" w14:textId="20C82CAD" w:rsidR="00C71F4F" w:rsidRPr="00C71F4F" w:rsidRDefault="00C71F4F" w:rsidP="00C71F4F">
      <w:pPr>
        <w:tabs>
          <w:tab w:val="left" w:pos="851"/>
        </w:tabs>
        <w:ind w:left="851"/>
        <w:rPr>
          <w:sz w:val="24"/>
          <w:szCs w:val="24"/>
          <w:u w:val="single"/>
        </w:rPr>
      </w:pPr>
      <w:r w:rsidRPr="00C71F4F">
        <w:rPr>
          <w:sz w:val="24"/>
          <w:szCs w:val="24"/>
          <w:u w:val="single"/>
        </w:rPr>
        <w:t>Graviditet</w:t>
      </w:r>
    </w:p>
    <w:p w14:paraId="4D52B2B7" w14:textId="77777777" w:rsidR="00C71F4F" w:rsidRPr="00C71F4F" w:rsidRDefault="00C71F4F" w:rsidP="00C71F4F">
      <w:pPr>
        <w:tabs>
          <w:tab w:val="left" w:pos="851"/>
        </w:tabs>
        <w:ind w:left="851"/>
        <w:rPr>
          <w:sz w:val="24"/>
          <w:szCs w:val="24"/>
        </w:rPr>
      </w:pPr>
      <w:r w:rsidRPr="00C71F4F">
        <w:rPr>
          <w:sz w:val="24"/>
          <w:szCs w:val="24"/>
        </w:rPr>
        <w:t>Der er ingen eller utilstrækkelige data fra anvendelse af ketorolac øjendråber, til gravide kvinder. Dyreforsøg har påvist reproduktionstoksicitet. Hæmning af prostaglandinsyntesen kan have negativ indflydelse på graviditet og/eller embryonal/føtal udvikling og/eller postnatal udvikling. Selvom der forventes en meget lav systemisk eksponering efter brug af ketorolac-øjendråber, anbefales Ketorolactrometamol "Misom" ikke under graviditet.</w:t>
      </w:r>
    </w:p>
    <w:p w14:paraId="789EE407" w14:textId="77777777" w:rsidR="00C71F4F" w:rsidRPr="00C71F4F" w:rsidRDefault="00C71F4F" w:rsidP="00C71F4F">
      <w:pPr>
        <w:tabs>
          <w:tab w:val="left" w:pos="851"/>
        </w:tabs>
        <w:ind w:left="851"/>
        <w:rPr>
          <w:sz w:val="24"/>
          <w:szCs w:val="24"/>
        </w:rPr>
      </w:pPr>
    </w:p>
    <w:p w14:paraId="029EE0AD" w14:textId="77777777" w:rsidR="00C71F4F" w:rsidRPr="00C71F4F" w:rsidRDefault="00C71F4F" w:rsidP="00C71F4F">
      <w:pPr>
        <w:tabs>
          <w:tab w:val="left" w:pos="851"/>
        </w:tabs>
        <w:ind w:left="851"/>
        <w:rPr>
          <w:sz w:val="24"/>
          <w:szCs w:val="24"/>
          <w:u w:val="single"/>
        </w:rPr>
      </w:pPr>
      <w:r w:rsidRPr="00C71F4F">
        <w:rPr>
          <w:sz w:val="24"/>
          <w:szCs w:val="24"/>
          <w:u w:val="single"/>
        </w:rPr>
        <w:t xml:space="preserve">Amning </w:t>
      </w:r>
    </w:p>
    <w:p w14:paraId="241DF157" w14:textId="77777777" w:rsidR="00C71F4F" w:rsidRPr="00C71F4F" w:rsidRDefault="00C71F4F" w:rsidP="00C71F4F">
      <w:pPr>
        <w:tabs>
          <w:tab w:val="left" w:pos="851"/>
        </w:tabs>
        <w:ind w:left="851"/>
        <w:rPr>
          <w:sz w:val="24"/>
          <w:szCs w:val="24"/>
        </w:rPr>
      </w:pPr>
      <w:r w:rsidRPr="00C71F4F">
        <w:rPr>
          <w:sz w:val="24"/>
          <w:szCs w:val="24"/>
        </w:rPr>
        <w:t>Ketorolactrometamol "Misom"</w:t>
      </w:r>
      <w:r w:rsidRPr="00C71F4F">
        <w:rPr>
          <w:b/>
          <w:sz w:val="24"/>
          <w:szCs w:val="24"/>
        </w:rPr>
        <w:t xml:space="preserve"> </w:t>
      </w:r>
      <w:r w:rsidRPr="00C71F4F">
        <w:rPr>
          <w:sz w:val="24"/>
          <w:szCs w:val="24"/>
        </w:rPr>
        <w:t>bør ikke anvendes under amning. Ketorolactrometamol udskilles i modermælk efter systemisk administration.</w:t>
      </w:r>
    </w:p>
    <w:p w14:paraId="2BC05BB1" w14:textId="77777777" w:rsidR="00C71F4F" w:rsidRPr="00C71F4F" w:rsidRDefault="00C71F4F" w:rsidP="00C71F4F">
      <w:pPr>
        <w:tabs>
          <w:tab w:val="left" w:pos="851"/>
        </w:tabs>
        <w:ind w:left="851"/>
        <w:rPr>
          <w:b/>
          <w:sz w:val="24"/>
          <w:szCs w:val="24"/>
        </w:rPr>
      </w:pPr>
    </w:p>
    <w:p w14:paraId="0D8A71EA" w14:textId="7D9B8279" w:rsidR="00C71F4F" w:rsidRPr="00C71F4F" w:rsidRDefault="00C71F4F" w:rsidP="00C71F4F">
      <w:pPr>
        <w:tabs>
          <w:tab w:val="left" w:pos="851"/>
        </w:tabs>
        <w:ind w:left="851"/>
        <w:rPr>
          <w:sz w:val="24"/>
          <w:szCs w:val="24"/>
          <w:u w:val="single"/>
        </w:rPr>
      </w:pPr>
      <w:r w:rsidRPr="00C71F4F">
        <w:rPr>
          <w:sz w:val="24"/>
          <w:szCs w:val="24"/>
          <w:u w:val="single"/>
        </w:rPr>
        <w:t>Fertilitet</w:t>
      </w:r>
    </w:p>
    <w:p w14:paraId="3B9CB218" w14:textId="77777777" w:rsidR="00C71F4F" w:rsidRPr="00C71F4F" w:rsidRDefault="00C71F4F" w:rsidP="00C71F4F">
      <w:pPr>
        <w:tabs>
          <w:tab w:val="left" w:pos="851"/>
        </w:tabs>
        <w:ind w:left="851"/>
        <w:rPr>
          <w:b/>
          <w:sz w:val="24"/>
          <w:szCs w:val="24"/>
        </w:rPr>
      </w:pPr>
      <w:r w:rsidRPr="00C71F4F">
        <w:rPr>
          <w:sz w:val="24"/>
          <w:szCs w:val="24"/>
        </w:rPr>
        <w:t>Der er utilstrækkelige data fra anvendelse af ketorolactrometamol på fertilitet hos mennesker.</w:t>
      </w:r>
    </w:p>
    <w:p w14:paraId="275178EE" w14:textId="77777777" w:rsidR="009260DE" w:rsidRPr="00C84483" w:rsidRDefault="009260DE" w:rsidP="009260DE">
      <w:pPr>
        <w:tabs>
          <w:tab w:val="left" w:pos="851"/>
        </w:tabs>
        <w:ind w:left="851"/>
        <w:rPr>
          <w:sz w:val="24"/>
          <w:szCs w:val="24"/>
        </w:rPr>
      </w:pPr>
    </w:p>
    <w:p w14:paraId="7B98FE4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8AA129B" w14:textId="0620A4E4" w:rsidR="00474769" w:rsidRPr="00474769" w:rsidRDefault="00474769" w:rsidP="00474769">
      <w:pPr>
        <w:tabs>
          <w:tab w:val="left" w:pos="851"/>
        </w:tabs>
        <w:ind w:left="851"/>
        <w:rPr>
          <w:sz w:val="24"/>
          <w:szCs w:val="24"/>
        </w:rPr>
      </w:pPr>
      <w:r w:rsidRPr="00474769">
        <w:rPr>
          <w:sz w:val="24"/>
          <w:szCs w:val="24"/>
        </w:rPr>
        <w:t>Ikke mærkning</w:t>
      </w:r>
      <w:r>
        <w:rPr>
          <w:sz w:val="24"/>
          <w:szCs w:val="24"/>
        </w:rPr>
        <w:t>.</w:t>
      </w:r>
    </w:p>
    <w:p w14:paraId="6F98935B" w14:textId="77777777" w:rsidR="00474769" w:rsidRPr="00474769" w:rsidRDefault="00474769" w:rsidP="00474769">
      <w:pPr>
        <w:tabs>
          <w:tab w:val="left" w:pos="851"/>
        </w:tabs>
        <w:ind w:left="851"/>
        <w:rPr>
          <w:sz w:val="24"/>
          <w:szCs w:val="24"/>
        </w:rPr>
      </w:pPr>
      <w:r w:rsidRPr="00474769">
        <w:rPr>
          <w:sz w:val="24"/>
          <w:szCs w:val="24"/>
        </w:rPr>
        <w:t>Forbigående sløring af synet kan forekomme ved inddrypning af øjendråber. Undlad at føre motorkøretøj eller betjene maskiner , medmindre synet er klart.</w:t>
      </w:r>
    </w:p>
    <w:p w14:paraId="4D17C040" w14:textId="77777777" w:rsidR="009260DE" w:rsidRPr="00C84483" w:rsidRDefault="009260DE" w:rsidP="009260DE">
      <w:pPr>
        <w:tabs>
          <w:tab w:val="left" w:pos="851"/>
        </w:tabs>
        <w:ind w:left="851"/>
        <w:rPr>
          <w:sz w:val="24"/>
          <w:szCs w:val="24"/>
        </w:rPr>
      </w:pPr>
    </w:p>
    <w:p w14:paraId="23372FA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CCE2D00" w14:textId="77777777" w:rsidR="00474769" w:rsidRPr="00474769" w:rsidRDefault="00474769" w:rsidP="00474769">
      <w:pPr>
        <w:tabs>
          <w:tab w:val="left" w:pos="567"/>
        </w:tabs>
        <w:ind w:left="851"/>
        <w:rPr>
          <w:b/>
          <w:sz w:val="24"/>
          <w:szCs w:val="24"/>
          <w:lang w:eastAsia="en-IN"/>
        </w:rPr>
      </w:pPr>
      <w:r w:rsidRPr="00474769">
        <w:rPr>
          <w:bCs/>
          <w:sz w:val="24"/>
          <w:szCs w:val="24"/>
        </w:rPr>
        <w:t>Hyppigheden af bivirkninger dokumenteret under kliniske forsøg med ketorolactrometamol og gennem erfaring efter markedsføring er angivet nedenfor og er defineret som følger: Meget almindelig (≥1/10); almindelig (≥1/100 til &lt;1/10); ikke almindelig (≥1/1.000 til &lt;1/100); sjælden (≥1/10.000 til &lt;1/1.000); meget sjælden (&lt;1/10.000); ikke kendt (kan ikke estimeres ud fra tilgængelige data).</w:t>
      </w:r>
    </w:p>
    <w:p w14:paraId="22EF7E76" w14:textId="77777777" w:rsidR="00474769" w:rsidRDefault="00474769" w:rsidP="00474769">
      <w:pPr>
        <w:jc w:val="both"/>
        <w:rPr>
          <w:shd w:val="clear" w:color="auto" w:fill="FFFF00"/>
        </w:rPr>
      </w:pPr>
    </w:p>
    <w:tbl>
      <w:tblPr>
        <w:tblW w:w="9285" w:type="dxa"/>
        <w:tblLayout w:type="fixed"/>
        <w:tblLook w:val="04A0" w:firstRow="1" w:lastRow="0" w:firstColumn="1" w:lastColumn="0" w:noHBand="0" w:noVBand="1"/>
      </w:tblPr>
      <w:tblGrid>
        <w:gridCol w:w="2160"/>
        <w:gridCol w:w="1138"/>
        <w:gridCol w:w="1517"/>
        <w:gridCol w:w="22"/>
        <w:gridCol w:w="1512"/>
        <w:gridCol w:w="1454"/>
        <w:gridCol w:w="1482"/>
      </w:tblGrid>
      <w:tr w:rsidR="00474769" w14:paraId="6B5E3FE8" w14:textId="77777777" w:rsidTr="009C098F">
        <w:tc>
          <w:tcPr>
            <w:tcW w:w="2160" w:type="dxa"/>
            <w:vMerge w:val="restart"/>
            <w:tcBorders>
              <w:top w:val="single" w:sz="4" w:space="0" w:color="000000"/>
              <w:left w:val="single" w:sz="4" w:space="0" w:color="000000"/>
              <w:bottom w:val="single" w:sz="4" w:space="0" w:color="000000"/>
              <w:right w:val="single" w:sz="4" w:space="0" w:color="000000"/>
            </w:tcBorders>
            <w:hideMark/>
          </w:tcPr>
          <w:p w14:paraId="58D32F3C" w14:textId="77777777" w:rsidR="00474769" w:rsidRDefault="00474769">
            <w:pPr>
              <w:widowControl w:val="0"/>
              <w:jc w:val="both"/>
              <w:rPr>
                <w:b/>
                <w:sz w:val="20"/>
                <w:lang w:val="en-IN"/>
              </w:rPr>
            </w:pPr>
            <w:r>
              <w:rPr>
                <w:b/>
                <w:sz w:val="20"/>
              </w:rPr>
              <w:t>Medra System Organ Class</w:t>
            </w:r>
          </w:p>
        </w:tc>
        <w:tc>
          <w:tcPr>
            <w:tcW w:w="7125" w:type="dxa"/>
            <w:gridSpan w:val="6"/>
            <w:tcBorders>
              <w:top w:val="single" w:sz="4" w:space="0" w:color="000000"/>
              <w:left w:val="single" w:sz="4" w:space="0" w:color="000000"/>
              <w:bottom w:val="single" w:sz="4" w:space="0" w:color="000000"/>
              <w:right w:val="single" w:sz="4" w:space="0" w:color="000000"/>
            </w:tcBorders>
            <w:hideMark/>
          </w:tcPr>
          <w:p w14:paraId="38C7FDBE" w14:textId="77777777" w:rsidR="00474769" w:rsidRDefault="00474769">
            <w:pPr>
              <w:widowControl w:val="0"/>
              <w:jc w:val="both"/>
              <w:rPr>
                <w:b/>
                <w:sz w:val="20"/>
              </w:rPr>
            </w:pPr>
            <w:r>
              <w:rPr>
                <w:b/>
                <w:sz w:val="20"/>
              </w:rPr>
              <w:t xml:space="preserve">Hyppighed af bivirkninger </w:t>
            </w:r>
          </w:p>
        </w:tc>
      </w:tr>
      <w:tr w:rsidR="00474769" w14:paraId="5AD1CDAD" w14:textId="77777777" w:rsidTr="009C098F">
        <w:tc>
          <w:tcPr>
            <w:tcW w:w="2160" w:type="dxa"/>
            <w:vMerge/>
            <w:tcBorders>
              <w:top w:val="single" w:sz="4" w:space="0" w:color="000000"/>
              <w:left w:val="single" w:sz="4" w:space="0" w:color="000000"/>
              <w:bottom w:val="single" w:sz="4" w:space="0" w:color="000000"/>
              <w:right w:val="single" w:sz="4" w:space="0" w:color="000000"/>
            </w:tcBorders>
            <w:vAlign w:val="center"/>
            <w:hideMark/>
          </w:tcPr>
          <w:p w14:paraId="19C697FA" w14:textId="77777777" w:rsidR="00474769" w:rsidRDefault="00474769">
            <w:pPr>
              <w:rPr>
                <w:b/>
                <w:sz w:val="20"/>
                <w:lang w:val="en-IN" w:eastAsia="en-IN"/>
              </w:rPr>
            </w:pPr>
          </w:p>
        </w:tc>
        <w:tc>
          <w:tcPr>
            <w:tcW w:w="1138" w:type="dxa"/>
            <w:tcBorders>
              <w:top w:val="single" w:sz="4" w:space="0" w:color="000000"/>
              <w:left w:val="single" w:sz="4" w:space="0" w:color="000000"/>
              <w:bottom w:val="single" w:sz="4" w:space="0" w:color="000000"/>
              <w:right w:val="single" w:sz="4" w:space="0" w:color="000000"/>
            </w:tcBorders>
            <w:hideMark/>
          </w:tcPr>
          <w:p w14:paraId="72C10C7D" w14:textId="77777777" w:rsidR="00474769" w:rsidRDefault="00474769">
            <w:pPr>
              <w:widowControl w:val="0"/>
              <w:jc w:val="both"/>
              <w:rPr>
                <w:b/>
                <w:i/>
                <w:sz w:val="20"/>
              </w:rPr>
            </w:pPr>
            <w:r>
              <w:rPr>
                <w:b/>
                <w:i/>
                <w:sz w:val="20"/>
              </w:rPr>
              <w:t xml:space="preserve">Meget almindelig </w:t>
            </w:r>
          </w:p>
        </w:tc>
        <w:tc>
          <w:tcPr>
            <w:tcW w:w="1517" w:type="dxa"/>
            <w:tcBorders>
              <w:top w:val="single" w:sz="4" w:space="0" w:color="000000"/>
              <w:left w:val="single" w:sz="4" w:space="0" w:color="000000"/>
              <w:bottom w:val="single" w:sz="4" w:space="0" w:color="000000"/>
              <w:right w:val="single" w:sz="4" w:space="0" w:color="000000"/>
            </w:tcBorders>
            <w:hideMark/>
          </w:tcPr>
          <w:p w14:paraId="7308F9DD" w14:textId="77777777" w:rsidR="00474769" w:rsidRDefault="00474769">
            <w:pPr>
              <w:widowControl w:val="0"/>
              <w:jc w:val="both"/>
              <w:rPr>
                <w:b/>
                <w:i/>
                <w:sz w:val="20"/>
              </w:rPr>
            </w:pPr>
            <w:r>
              <w:rPr>
                <w:b/>
                <w:i/>
                <w:sz w:val="20"/>
              </w:rPr>
              <w:t>Almindelig</w:t>
            </w:r>
          </w:p>
        </w:tc>
        <w:tc>
          <w:tcPr>
            <w:tcW w:w="1534" w:type="dxa"/>
            <w:gridSpan w:val="2"/>
            <w:tcBorders>
              <w:top w:val="single" w:sz="4" w:space="0" w:color="000000"/>
              <w:left w:val="single" w:sz="4" w:space="0" w:color="000000"/>
              <w:bottom w:val="single" w:sz="4" w:space="0" w:color="000000"/>
              <w:right w:val="single" w:sz="4" w:space="0" w:color="000000"/>
            </w:tcBorders>
            <w:hideMark/>
          </w:tcPr>
          <w:p w14:paraId="3A668733" w14:textId="77777777" w:rsidR="00474769" w:rsidRDefault="00474769">
            <w:pPr>
              <w:widowControl w:val="0"/>
              <w:jc w:val="both"/>
              <w:rPr>
                <w:b/>
                <w:i/>
                <w:sz w:val="20"/>
              </w:rPr>
            </w:pPr>
            <w:r>
              <w:rPr>
                <w:b/>
                <w:i/>
                <w:sz w:val="20"/>
              </w:rPr>
              <w:t>Ikke almindelig</w:t>
            </w:r>
          </w:p>
        </w:tc>
        <w:tc>
          <w:tcPr>
            <w:tcW w:w="1454" w:type="dxa"/>
            <w:tcBorders>
              <w:top w:val="single" w:sz="4" w:space="0" w:color="000000"/>
              <w:left w:val="single" w:sz="4" w:space="0" w:color="000000"/>
              <w:bottom w:val="single" w:sz="4" w:space="0" w:color="000000"/>
              <w:right w:val="single" w:sz="4" w:space="0" w:color="000000"/>
            </w:tcBorders>
            <w:hideMark/>
          </w:tcPr>
          <w:p w14:paraId="0A5D895F" w14:textId="77777777" w:rsidR="00474769" w:rsidRDefault="00474769">
            <w:pPr>
              <w:widowControl w:val="0"/>
              <w:jc w:val="both"/>
              <w:rPr>
                <w:b/>
                <w:i/>
                <w:sz w:val="20"/>
              </w:rPr>
            </w:pPr>
            <w:r>
              <w:rPr>
                <w:b/>
                <w:i/>
                <w:sz w:val="20"/>
              </w:rPr>
              <w:t xml:space="preserve">Sjælden </w:t>
            </w:r>
          </w:p>
        </w:tc>
        <w:tc>
          <w:tcPr>
            <w:tcW w:w="1482" w:type="dxa"/>
            <w:tcBorders>
              <w:top w:val="single" w:sz="4" w:space="0" w:color="000000"/>
              <w:left w:val="single" w:sz="4" w:space="0" w:color="000000"/>
              <w:bottom w:val="single" w:sz="4" w:space="0" w:color="000000"/>
              <w:right w:val="single" w:sz="4" w:space="0" w:color="000000"/>
            </w:tcBorders>
            <w:hideMark/>
          </w:tcPr>
          <w:p w14:paraId="416BACD2" w14:textId="77777777" w:rsidR="00474769" w:rsidRDefault="00474769">
            <w:pPr>
              <w:widowControl w:val="0"/>
              <w:jc w:val="both"/>
              <w:rPr>
                <w:b/>
                <w:i/>
                <w:sz w:val="20"/>
              </w:rPr>
            </w:pPr>
            <w:r>
              <w:rPr>
                <w:b/>
                <w:i/>
                <w:sz w:val="20"/>
              </w:rPr>
              <w:t>Ikke kendt</w:t>
            </w:r>
          </w:p>
        </w:tc>
      </w:tr>
      <w:tr w:rsidR="00474769" w14:paraId="22E43794" w14:textId="77777777" w:rsidTr="009C098F">
        <w:tc>
          <w:tcPr>
            <w:tcW w:w="2160" w:type="dxa"/>
            <w:tcBorders>
              <w:top w:val="single" w:sz="4" w:space="0" w:color="000000"/>
              <w:left w:val="single" w:sz="4" w:space="0" w:color="000000"/>
              <w:bottom w:val="single" w:sz="4" w:space="0" w:color="000000"/>
              <w:right w:val="single" w:sz="4" w:space="0" w:color="000000"/>
            </w:tcBorders>
            <w:hideMark/>
          </w:tcPr>
          <w:p w14:paraId="3DCC5A70" w14:textId="77777777" w:rsidR="00474769" w:rsidRDefault="00474769" w:rsidP="009C098F">
            <w:pPr>
              <w:widowControl w:val="0"/>
              <w:rPr>
                <w:i/>
                <w:sz w:val="20"/>
              </w:rPr>
            </w:pPr>
            <w:r>
              <w:rPr>
                <w:i/>
                <w:sz w:val="20"/>
              </w:rPr>
              <w:t xml:space="preserve">Immunsystemet </w:t>
            </w:r>
          </w:p>
        </w:tc>
        <w:tc>
          <w:tcPr>
            <w:tcW w:w="1138" w:type="dxa"/>
            <w:tcBorders>
              <w:top w:val="single" w:sz="4" w:space="0" w:color="000000"/>
              <w:left w:val="single" w:sz="4" w:space="0" w:color="000000"/>
              <w:bottom w:val="single" w:sz="4" w:space="0" w:color="000000"/>
              <w:right w:val="single" w:sz="4" w:space="0" w:color="000000"/>
            </w:tcBorders>
          </w:tcPr>
          <w:p w14:paraId="63B64670" w14:textId="77777777" w:rsidR="00474769" w:rsidRDefault="00474769" w:rsidP="009C098F">
            <w:pPr>
              <w:widowControl w:val="0"/>
              <w:rPr>
                <w:sz w:val="20"/>
              </w:rPr>
            </w:pPr>
          </w:p>
        </w:tc>
        <w:tc>
          <w:tcPr>
            <w:tcW w:w="1517" w:type="dxa"/>
            <w:tcBorders>
              <w:top w:val="single" w:sz="4" w:space="0" w:color="000000"/>
              <w:left w:val="single" w:sz="4" w:space="0" w:color="000000"/>
              <w:bottom w:val="single" w:sz="4" w:space="0" w:color="000000"/>
              <w:right w:val="single" w:sz="4" w:space="0" w:color="000000"/>
            </w:tcBorders>
            <w:hideMark/>
          </w:tcPr>
          <w:p w14:paraId="62B92907" w14:textId="0C86D545" w:rsidR="00474769" w:rsidRDefault="00474769" w:rsidP="009C098F">
            <w:pPr>
              <w:widowControl w:val="0"/>
              <w:rPr>
                <w:sz w:val="20"/>
              </w:rPr>
            </w:pPr>
            <w:r>
              <w:rPr>
                <w:sz w:val="20"/>
              </w:rPr>
              <w:t>Overfølsom</w:t>
            </w:r>
            <w:r w:rsidR="009C098F">
              <w:rPr>
                <w:sz w:val="20"/>
              </w:rPr>
              <w:softHyphen/>
            </w:r>
            <w:r>
              <w:rPr>
                <w:sz w:val="20"/>
              </w:rPr>
              <w:t xml:space="preserve">hed, inklusive lokale allergiske reaktioner </w:t>
            </w:r>
          </w:p>
        </w:tc>
        <w:tc>
          <w:tcPr>
            <w:tcW w:w="1534" w:type="dxa"/>
            <w:gridSpan w:val="2"/>
            <w:tcBorders>
              <w:top w:val="single" w:sz="4" w:space="0" w:color="000000"/>
              <w:left w:val="single" w:sz="4" w:space="0" w:color="000000"/>
              <w:bottom w:val="single" w:sz="4" w:space="0" w:color="000000"/>
              <w:right w:val="single" w:sz="4" w:space="0" w:color="000000"/>
            </w:tcBorders>
          </w:tcPr>
          <w:p w14:paraId="7467D26C" w14:textId="77777777" w:rsidR="00474769" w:rsidRDefault="00474769" w:rsidP="009C098F">
            <w:pPr>
              <w:widowControl w:val="0"/>
              <w:rPr>
                <w:sz w:val="20"/>
              </w:rPr>
            </w:pPr>
          </w:p>
        </w:tc>
        <w:tc>
          <w:tcPr>
            <w:tcW w:w="1454" w:type="dxa"/>
            <w:tcBorders>
              <w:top w:val="single" w:sz="4" w:space="0" w:color="000000"/>
              <w:left w:val="single" w:sz="4" w:space="0" w:color="000000"/>
              <w:bottom w:val="single" w:sz="4" w:space="0" w:color="000000"/>
              <w:right w:val="single" w:sz="4" w:space="0" w:color="000000"/>
            </w:tcBorders>
          </w:tcPr>
          <w:p w14:paraId="4E00741E" w14:textId="77777777" w:rsidR="00474769" w:rsidRDefault="00474769" w:rsidP="009C098F">
            <w:pPr>
              <w:widowControl w:val="0"/>
              <w:rPr>
                <w:sz w:val="20"/>
              </w:rPr>
            </w:pPr>
          </w:p>
        </w:tc>
        <w:tc>
          <w:tcPr>
            <w:tcW w:w="1482" w:type="dxa"/>
            <w:tcBorders>
              <w:top w:val="single" w:sz="4" w:space="0" w:color="000000"/>
              <w:left w:val="single" w:sz="4" w:space="0" w:color="000000"/>
              <w:bottom w:val="single" w:sz="4" w:space="0" w:color="000000"/>
              <w:right w:val="single" w:sz="4" w:space="0" w:color="000000"/>
            </w:tcBorders>
          </w:tcPr>
          <w:p w14:paraId="0273788C" w14:textId="77777777" w:rsidR="00474769" w:rsidRDefault="00474769" w:rsidP="009C098F">
            <w:pPr>
              <w:widowControl w:val="0"/>
              <w:rPr>
                <w:sz w:val="20"/>
              </w:rPr>
            </w:pPr>
          </w:p>
        </w:tc>
      </w:tr>
      <w:tr w:rsidR="00474769" w14:paraId="28F0A6E3" w14:textId="77777777" w:rsidTr="009C098F">
        <w:tc>
          <w:tcPr>
            <w:tcW w:w="2160" w:type="dxa"/>
            <w:tcBorders>
              <w:top w:val="single" w:sz="4" w:space="0" w:color="000000"/>
              <w:left w:val="single" w:sz="4" w:space="0" w:color="000000"/>
              <w:bottom w:val="single" w:sz="4" w:space="0" w:color="000000"/>
              <w:right w:val="single" w:sz="4" w:space="0" w:color="000000"/>
            </w:tcBorders>
            <w:hideMark/>
          </w:tcPr>
          <w:p w14:paraId="2834DC65" w14:textId="77777777" w:rsidR="00474769" w:rsidRDefault="00474769" w:rsidP="009C098F">
            <w:pPr>
              <w:widowControl w:val="0"/>
              <w:rPr>
                <w:i/>
                <w:sz w:val="20"/>
                <w:lang w:val="en-IN"/>
              </w:rPr>
            </w:pPr>
            <w:r>
              <w:rPr>
                <w:i/>
                <w:sz w:val="20"/>
              </w:rPr>
              <w:t>Nervesystemet</w:t>
            </w:r>
          </w:p>
        </w:tc>
        <w:tc>
          <w:tcPr>
            <w:tcW w:w="1138" w:type="dxa"/>
            <w:tcBorders>
              <w:top w:val="single" w:sz="4" w:space="0" w:color="000000"/>
              <w:left w:val="single" w:sz="4" w:space="0" w:color="000000"/>
              <w:bottom w:val="single" w:sz="4" w:space="0" w:color="000000"/>
              <w:right w:val="single" w:sz="4" w:space="0" w:color="000000"/>
            </w:tcBorders>
          </w:tcPr>
          <w:p w14:paraId="0EF7DEF1" w14:textId="77777777" w:rsidR="00474769" w:rsidRDefault="00474769" w:rsidP="009C098F">
            <w:pPr>
              <w:widowControl w:val="0"/>
              <w:rPr>
                <w:sz w:val="20"/>
              </w:rPr>
            </w:pPr>
          </w:p>
        </w:tc>
        <w:tc>
          <w:tcPr>
            <w:tcW w:w="1517" w:type="dxa"/>
            <w:tcBorders>
              <w:top w:val="single" w:sz="4" w:space="0" w:color="000000"/>
              <w:left w:val="single" w:sz="4" w:space="0" w:color="000000"/>
              <w:bottom w:val="single" w:sz="4" w:space="0" w:color="000000"/>
              <w:right w:val="single" w:sz="4" w:space="0" w:color="000000"/>
            </w:tcBorders>
            <w:hideMark/>
          </w:tcPr>
          <w:p w14:paraId="56308BA1" w14:textId="77777777" w:rsidR="00474769" w:rsidRDefault="00474769" w:rsidP="009C098F">
            <w:pPr>
              <w:widowControl w:val="0"/>
              <w:rPr>
                <w:sz w:val="20"/>
              </w:rPr>
            </w:pPr>
            <w:r>
              <w:rPr>
                <w:sz w:val="20"/>
              </w:rPr>
              <w:t>Hovedpine</w:t>
            </w:r>
          </w:p>
        </w:tc>
        <w:tc>
          <w:tcPr>
            <w:tcW w:w="1534" w:type="dxa"/>
            <w:gridSpan w:val="2"/>
            <w:tcBorders>
              <w:top w:val="single" w:sz="4" w:space="0" w:color="000000"/>
              <w:left w:val="single" w:sz="4" w:space="0" w:color="000000"/>
              <w:bottom w:val="single" w:sz="4" w:space="0" w:color="000000"/>
              <w:right w:val="single" w:sz="4" w:space="0" w:color="000000"/>
            </w:tcBorders>
          </w:tcPr>
          <w:p w14:paraId="1F6995A7" w14:textId="77777777" w:rsidR="00474769" w:rsidRDefault="00474769" w:rsidP="009C098F">
            <w:pPr>
              <w:widowControl w:val="0"/>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09EEC4E" w14:textId="77777777" w:rsidR="00474769" w:rsidRDefault="00474769" w:rsidP="009C098F">
            <w:pPr>
              <w:widowControl w:val="0"/>
              <w:rPr>
                <w:sz w:val="20"/>
              </w:rPr>
            </w:pPr>
          </w:p>
        </w:tc>
        <w:tc>
          <w:tcPr>
            <w:tcW w:w="1482" w:type="dxa"/>
            <w:tcBorders>
              <w:top w:val="single" w:sz="4" w:space="0" w:color="000000"/>
              <w:left w:val="single" w:sz="4" w:space="0" w:color="000000"/>
              <w:bottom w:val="single" w:sz="4" w:space="0" w:color="000000"/>
              <w:right w:val="single" w:sz="4" w:space="0" w:color="000000"/>
            </w:tcBorders>
          </w:tcPr>
          <w:p w14:paraId="5BDC2E7F" w14:textId="77777777" w:rsidR="00474769" w:rsidRDefault="00474769" w:rsidP="009C098F">
            <w:pPr>
              <w:widowControl w:val="0"/>
              <w:rPr>
                <w:sz w:val="20"/>
              </w:rPr>
            </w:pPr>
          </w:p>
        </w:tc>
      </w:tr>
      <w:tr w:rsidR="00474769" w14:paraId="72791AD0" w14:textId="77777777" w:rsidTr="00474769">
        <w:tc>
          <w:tcPr>
            <w:tcW w:w="2160" w:type="dxa"/>
            <w:tcBorders>
              <w:top w:val="single" w:sz="4" w:space="0" w:color="000000"/>
              <w:left w:val="single" w:sz="4" w:space="0" w:color="000000"/>
              <w:bottom w:val="single" w:sz="4" w:space="0" w:color="000000"/>
              <w:right w:val="single" w:sz="4" w:space="0" w:color="000000"/>
            </w:tcBorders>
            <w:hideMark/>
          </w:tcPr>
          <w:p w14:paraId="333F29C2" w14:textId="77777777" w:rsidR="00474769" w:rsidRDefault="00474769" w:rsidP="009C098F">
            <w:pPr>
              <w:widowControl w:val="0"/>
              <w:rPr>
                <w:i/>
                <w:sz w:val="20"/>
              </w:rPr>
            </w:pPr>
            <w:r>
              <w:rPr>
                <w:i/>
                <w:sz w:val="20"/>
              </w:rPr>
              <w:t>Øjne</w:t>
            </w:r>
          </w:p>
        </w:tc>
        <w:tc>
          <w:tcPr>
            <w:tcW w:w="1138" w:type="dxa"/>
            <w:tcBorders>
              <w:top w:val="single" w:sz="4" w:space="0" w:color="000000"/>
              <w:left w:val="single" w:sz="4" w:space="0" w:color="000000"/>
              <w:bottom w:val="single" w:sz="4" w:space="0" w:color="000000"/>
              <w:right w:val="single" w:sz="4" w:space="0" w:color="000000"/>
            </w:tcBorders>
          </w:tcPr>
          <w:p w14:paraId="1931C268" w14:textId="57C4B0BE" w:rsidR="00474769" w:rsidRDefault="00474769" w:rsidP="009C098F">
            <w:pPr>
              <w:widowControl w:val="0"/>
              <w:rPr>
                <w:sz w:val="20"/>
              </w:rPr>
            </w:pPr>
            <w:r>
              <w:rPr>
                <w:sz w:val="20"/>
              </w:rPr>
              <w:t>Øjenirrita</w:t>
            </w:r>
            <w:r w:rsidR="00CA1707">
              <w:rPr>
                <w:sz w:val="20"/>
              </w:rPr>
              <w:softHyphen/>
            </w:r>
            <w:r>
              <w:rPr>
                <w:sz w:val="20"/>
              </w:rPr>
              <w:t>tion (herunder brændende fornem</w:t>
            </w:r>
            <w:r w:rsidR="009C098F">
              <w:rPr>
                <w:sz w:val="20"/>
              </w:rPr>
              <w:softHyphen/>
            </w:r>
            <w:r>
              <w:rPr>
                <w:sz w:val="20"/>
              </w:rPr>
              <w:t>melse)</w:t>
            </w:r>
          </w:p>
          <w:p w14:paraId="24FBDBD6" w14:textId="2FBD4EDA" w:rsidR="00474769" w:rsidRDefault="00474769" w:rsidP="009C098F">
            <w:pPr>
              <w:widowControl w:val="0"/>
              <w:rPr>
                <w:sz w:val="20"/>
              </w:rPr>
            </w:pPr>
            <w:r>
              <w:rPr>
                <w:sz w:val="20"/>
              </w:rPr>
              <w:t>Øjensmer</w:t>
            </w:r>
            <w:r w:rsidR="009C098F">
              <w:rPr>
                <w:sz w:val="20"/>
              </w:rPr>
              <w:softHyphen/>
            </w:r>
            <w:r>
              <w:rPr>
                <w:sz w:val="20"/>
              </w:rPr>
              <w:t>ter (herunder svien)</w:t>
            </w:r>
          </w:p>
          <w:p w14:paraId="6D2D623A" w14:textId="77777777" w:rsidR="00474769" w:rsidRDefault="00474769" w:rsidP="009C098F">
            <w:pPr>
              <w:widowControl w:val="0"/>
              <w:rPr>
                <w:sz w:val="20"/>
              </w:rPr>
            </w:pPr>
          </w:p>
        </w:tc>
        <w:tc>
          <w:tcPr>
            <w:tcW w:w="1539" w:type="dxa"/>
            <w:gridSpan w:val="2"/>
            <w:tcBorders>
              <w:top w:val="single" w:sz="4" w:space="0" w:color="000000"/>
              <w:left w:val="single" w:sz="4" w:space="0" w:color="000000"/>
              <w:bottom w:val="single" w:sz="4" w:space="0" w:color="000000"/>
              <w:right w:val="single" w:sz="4" w:space="0" w:color="000000"/>
            </w:tcBorders>
            <w:hideMark/>
          </w:tcPr>
          <w:p w14:paraId="011E41D6" w14:textId="77777777" w:rsidR="00474769" w:rsidRDefault="00474769" w:rsidP="009C098F">
            <w:pPr>
              <w:widowControl w:val="0"/>
              <w:rPr>
                <w:sz w:val="20"/>
              </w:rPr>
            </w:pPr>
            <w:r>
              <w:rPr>
                <w:sz w:val="20"/>
              </w:rPr>
              <w:t xml:space="preserve">Overfladisk (punktformig) keratitis Øjen- og/eller øjenlågsødem </w:t>
            </w:r>
          </w:p>
          <w:p w14:paraId="00D05E7A" w14:textId="77777777" w:rsidR="00474769" w:rsidRDefault="00474769" w:rsidP="009C098F">
            <w:pPr>
              <w:widowControl w:val="0"/>
              <w:rPr>
                <w:sz w:val="20"/>
              </w:rPr>
            </w:pPr>
            <w:r>
              <w:rPr>
                <w:sz w:val="20"/>
              </w:rPr>
              <w:t>Øjenkløe</w:t>
            </w:r>
          </w:p>
          <w:p w14:paraId="54C5167B" w14:textId="77777777" w:rsidR="00474769" w:rsidRDefault="00474769" w:rsidP="009C098F">
            <w:pPr>
              <w:widowControl w:val="0"/>
              <w:rPr>
                <w:sz w:val="20"/>
              </w:rPr>
            </w:pPr>
            <w:r>
              <w:rPr>
                <w:sz w:val="20"/>
              </w:rPr>
              <w:t xml:space="preserve">Konjunktival hyperæmi </w:t>
            </w:r>
          </w:p>
          <w:p w14:paraId="27FC5FCF" w14:textId="77777777" w:rsidR="00474769" w:rsidRDefault="00474769" w:rsidP="009C098F">
            <w:pPr>
              <w:widowControl w:val="0"/>
              <w:rPr>
                <w:sz w:val="20"/>
              </w:rPr>
            </w:pPr>
            <w:r>
              <w:rPr>
                <w:sz w:val="20"/>
              </w:rPr>
              <w:t xml:space="preserve">Øjeninfektion </w:t>
            </w:r>
          </w:p>
          <w:p w14:paraId="17F461BE" w14:textId="77777777" w:rsidR="00474769" w:rsidRDefault="00474769" w:rsidP="009C098F">
            <w:pPr>
              <w:widowControl w:val="0"/>
              <w:rPr>
                <w:sz w:val="20"/>
              </w:rPr>
            </w:pPr>
            <w:r>
              <w:rPr>
                <w:sz w:val="20"/>
              </w:rPr>
              <w:t xml:space="preserve">Øjenbetændelse </w:t>
            </w:r>
          </w:p>
          <w:p w14:paraId="15566BD3" w14:textId="77777777" w:rsidR="00474769" w:rsidRDefault="00474769" w:rsidP="009C098F">
            <w:pPr>
              <w:widowControl w:val="0"/>
              <w:rPr>
                <w:sz w:val="20"/>
              </w:rPr>
            </w:pPr>
            <w:r>
              <w:rPr>
                <w:sz w:val="20"/>
              </w:rPr>
              <w:t xml:space="preserve">Iritis </w:t>
            </w:r>
          </w:p>
          <w:p w14:paraId="2F73412A" w14:textId="77777777" w:rsidR="00474769" w:rsidRDefault="00474769" w:rsidP="009C098F">
            <w:pPr>
              <w:widowControl w:val="0"/>
              <w:rPr>
                <w:sz w:val="20"/>
              </w:rPr>
            </w:pPr>
            <w:r>
              <w:rPr>
                <w:sz w:val="20"/>
              </w:rPr>
              <w:t xml:space="preserve">Keratin udfældninger </w:t>
            </w:r>
          </w:p>
          <w:p w14:paraId="7397B4FB" w14:textId="77777777" w:rsidR="00474769" w:rsidRDefault="00474769" w:rsidP="009C098F">
            <w:pPr>
              <w:widowControl w:val="0"/>
              <w:rPr>
                <w:sz w:val="20"/>
              </w:rPr>
            </w:pPr>
            <w:r>
              <w:rPr>
                <w:sz w:val="20"/>
              </w:rPr>
              <w:t xml:space="preserve">Blødning i nethinden </w:t>
            </w:r>
          </w:p>
          <w:p w14:paraId="1E070163" w14:textId="77777777" w:rsidR="00474769" w:rsidRDefault="00474769" w:rsidP="009C098F">
            <w:pPr>
              <w:widowControl w:val="0"/>
              <w:rPr>
                <w:sz w:val="20"/>
              </w:rPr>
            </w:pPr>
            <w:r>
              <w:rPr>
                <w:sz w:val="20"/>
              </w:rPr>
              <w:t>Cystoidt makulaødem</w:t>
            </w:r>
          </w:p>
          <w:p w14:paraId="0DCD04B7" w14:textId="77777777" w:rsidR="00474769" w:rsidRDefault="00474769" w:rsidP="009C098F">
            <w:pPr>
              <w:widowControl w:val="0"/>
              <w:rPr>
                <w:sz w:val="20"/>
              </w:rPr>
            </w:pPr>
            <w:r>
              <w:rPr>
                <w:sz w:val="20"/>
              </w:rPr>
              <w:lastRenderedPageBreak/>
              <w:t>Traume i øjet</w:t>
            </w:r>
          </w:p>
          <w:p w14:paraId="0D3A9A7A" w14:textId="77777777" w:rsidR="00474769" w:rsidRDefault="00474769" w:rsidP="009C098F">
            <w:pPr>
              <w:widowControl w:val="0"/>
              <w:rPr>
                <w:sz w:val="20"/>
              </w:rPr>
            </w:pPr>
            <w:r>
              <w:rPr>
                <w:sz w:val="20"/>
              </w:rPr>
              <w:t xml:space="preserve">Øget intraokulært tryk </w:t>
            </w:r>
          </w:p>
          <w:p w14:paraId="1C45046D" w14:textId="77777777" w:rsidR="00474769" w:rsidRDefault="00474769" w:rsidP="009C098F">
            <w:pPr>
              <w:widowControl w:val="0"/>
              <w:rPr>
                <w:sz w:val="20"/>
              </w:rPr>
            </w:pPr>
            <w:r>
              <w:rPr>
                <w:sz w:val="20"/>
              </w:rPr>
              <w:t>Sløret og/eller nedsat syn</w:t>
            </w:r>
          </w:p>
        </w:tc>
        <w:tc>
          <w:tcPr>
            <w:tcW w:w="1512" w:type="dxa"/>
            <w:tcBorders>
              <w:top w:val="single" w:sz="4" w:space="0" w:color="000000"/>
              <w:left w:val="single" w:sz="4" w:space="0" w:color="000000"/>
              <w:bottom w:val="single" w:sz="4" w:space="0" w:color="000000"/>
              <w:right w:val="single" w:sz="4" w:space="0" w:color="000000"/>
            </w:tcBorders>
          </w:tcPr>
          <w:p w14:paraId="1EC795BA" w14:textId="77777777" w:rsidR="00474769" w:rsidRDefault="00474769" w:rsidP="009C098F">
            <w:pPr>
              <w:widowControl w:val="0"/>
              <w:rPr>
                <w:sz w:val="20"/>
              </w:rPr>
            </w:pPr>
            <w:r>
              <w:rPr>
                <w:sz w:val="20"/>
              </w:rPr>
              <w:lastRenderedPageBreak/>
              <w:t>Sår på hornhinden</w:t>
            </w:r>
          </w:p>
          <w:p w14:paraId="69C7C906" w14:textId="77777777" w:rsidR="00474769" w:rsidRDefault="00474769" w:rsidP="009C098F">
            <w:pPr>
              <w:widowControl w:val="0"/>
              <w:rPr>
                <w:sz w:val="20"/>
              </w:rPr>
            </w:pPr>
            <w:r>
              <w:rPr>
                <w:sz w:val="20"/>
              </w:rPr>
              <w:t xml:space="preserve">Infiltrater i hornhinden </w:t>
            </w:r>
          </w:p>
          <w:p w14:paraId="3077DDD2" w14:textId="77777777" w:rsidR="00474769" w:rsidRDefault="00474769" w:rsidP="009C098F">
            <w:pPr>
              <w:widowControl w:val="0"/>
              <w:rPr>
                <w:sz w:val="20"/>
                <w:lang w:val="en-IN"/>
              </w:rPr>
            </w:pPr>
            <w:r>
              <w:rPr>
                <w:sz w:val="20"/>
              </w:rPr>
              <w:t>Øjentørhed</w:t>
            </w:r>
          </w:p>
          <w:p w14:paraId="018597AF" w14:textId="77777777" w:rsidR="00474769" w:rsidRDefault="00474769" w:rsidP="009C098F">
            <w:pPr>
              <w:widowControl w:val="0"/>
              <w:rPr>
                <w:sz w:val="20"/>
              </w:rPr>
            </w:pPr>
            <w:r>
              <w:rPr>
                <w:sz w:val="20"/>
              </w:rPr>
              <w:t xml:space="preserve">Epifora </w:t>
            </w:r>
          </w:p>
          <w:p w14:paraId="7D18D89B" w14:textId="77777777" w:rsidR="00474769" w:rsidRDefault="00474769" w:rsidP="009C098F">
            <w:pPr>
              <w:widowControl w:val="0"/>
              <w:rPr>
                <w:sz w:val="20"/>
              </w:rPr>
            </w:pPr>
          </w:p>
        </w:tc>
        <w:tc>
          <w:tcPr>
            <w:tcW w:w="1454" w:type="dxa"/>
            <w:tcBorders>
              <w:top w:val="single" w:sz="4" w:space="0" w:color="000000"/>
              <w:left w:val="single" w:sz="4" w:space="0" w:color="000000"/>
              <w:bottom w:val="single" w:sz="4" w:space="0" w:color="000000"/>
              <w:right w:val="single" w:sz="4" w:space="0" w:color="000000"/>
            </w:tcBorders>
          </w:tcPr>
          <w:p w14:paraId="3D3AAFD1" w14:textId="77777777" w:rsidR="00474769" w:rsidRDefault="00474769" w:rsidP="009C098F">
            <w:pPr>
              <w:widowControl w:val="0"/>
              <w:rPr>
                <w:sz w:val="20"/>
              </w:rPr>
            </w:pPr>
          </w:p>
        </w:tc>
        <w:tc>
          <w:tcPr>
            <w:tcW w:w="1482" w:type="dxa"/>
            <w:tcBorders>
              <w:top w:val="single" w:sz="4" w:space="0" w:color="000000"/>
              <w:left w:val="single" w:sz="4" w:space="0" w:color="000000"/>
              <w:bottom w:val="single" w:sz="4" w:space="0" w:color="000000"/>
              <w:right w:val="single" w:sz="4" w:space="0" w:color="000000"/>
            </w:tcBorders>
          </w:tcPr>
          <w:p w14:paraId="0F77AD89" w14:textId="77777777" w:rsidR="00474769" w:rsidRDefault="00474769" w:rsidP="009C098F">
            <w:pPr>
              <w:widowControl w:val="0"/>
              <w:rPr>
                <w:sz w:val="20"/>
              </w:rPr>
            </w:pPr>
            <w:r>
              <w:rPr>
                <w:sz w:val="20"/>
              </w:rPr>
              <w:t>Skader på hornhinden, f.eks. tyndere hornhinde, erosion, nedbrydning af epitelet og perforering*.</w:t>
            </w:r>
          </w:p>
          <w:p w14:paraId="7D49149E" w14:textId="77777777" w:rsidR="00474769" w:rsidRDefault="00474769" w:rsidP="009C098F">
            <w:pPr>
              <w:widowControl w:val="0"/>
              <w:rPr>
                <w:sz w:val="20"/>
              </w:rPr>
            </w:pPr>
            <w:r>
              <w:rPr>
                <w:sz w:val="20"/>
              </w:rPr>
              <w:t xml:space="preserve">Ulcerativ keratitis </w:t>
            </w:r>
          </w:p>
          <w:p w14:paraId="77A8E5E9" w14:textId="77777777" w:rsidR="00474769" w:rsidRDefault="00474769" w:rsidP="009C098F">
            <w:pPr>
              <w:widowControl w:val="0"/>
              <w:rPr>
                <w:sz w:val="20"/>
              </w:rPr>
            </w:pPr>
            <w:r>
              <w:rPr>
                <w:sz w:val="20"/>
              </w:rPr>
              <w:t xml:space="preserve">Hævelse af øje </w:t>
            </w:r>
          </w:p>
          <w:p w14:paraId="258906DE" w14:textId="77777777" w:rsidR="00474769" w:rsidRDefault="00474769" w:rsidP="009C098F">
            <w:pPr>
              <w:widowControl w:val="0"/>
              <w:rPr>
                <w:sz w:val="20"/>
              </w:rPr>
            </w:pPr>
            <w:r>
              <w:rPr>
                <w:sz w:val="20"/>
              </w:rPr>
              <w:t>Okulær hyperæmi</w:t>
            </w:r>
          </w:p>
          <w:p w14:paraId="14D949CB" w14:textId="77777777" w:rsidR="00474769" w:rsidRDefault="00474769" w:rsidP="009C098F">
            <w:pPr>
              <w:widowControl w:val="0"/>
              <w:rPr>
                <w:sz w:val="20"/>
              </w:rPr>
            </w:pPr>
            <w:r>
              <w:rPr>
                <w:sz w:val="20"/>
              </w:rPr>
              <w:t xml:space="preserve">Ødem i ansigtet </w:t>
            </w:r>
          </w:p>
          <w:p w14:paraId="6EF0ADBC" w14:textId="77777777" w:rsidR="00474769" w:rsidRDefault="00474769" w:rsidP="009C098F">
            <w:pPr>
              <w:widowControl w:val="0"/>
              <w:rPr>
                <w:sz w:val="20"/>
              </w:rPr>
            </w:pPr>
            <w:r>
              <w:rPr>
                <w:sz w:val="20"/>
              </w:rPr>
              <w:t>Hævelse i ansigtet</w:t>
            </w:r>
          </w:p>
          <w:p w14:paraId="2245FFF5" w14:textId="77777777" w:rsidR="00474769" w:rsidRDefault="00474769" w:rsidP="009C098F">
            <w:pPr>
              <w:widowControl w:val="0"/>
              <w:rPr>
                <w:sz w:val="20"/>
              </w:rPr>
            </w:pPr>
          </w:p>
        </w:tc>
      </w:tr>
      <w:tr w:rsidR="00474769" w14:paraId="3A6D79E2" w14:textId="77777777" w:rsidTr="009C098F">
        <w:tc>
          <w:tcPr>
            <w:tcW w:w="2160" w:type="dxa"/>
            <w:tcBorders>
              <w:top w:val="single" w:sz="4" w:space="0" w:color="000000"/>
              <w:left w:val="single" w:sz="4" w:space="0" w:color="000000"/>
              <w:bottom w:val="single" w:sz="4" w:space="0" w:color="000000"/>
              <w:right w:val="single" w:sz="4" w:space="0" w:color="000000"/>
            </w:tcBorders>
            <w:hideMark/>
          </w:tcPr>
          <w:p w14:paraId="2B06A256" w14:textId="77777777" w:rsidR="00474769" w:rsidRDefault="00474769" w:rsidP="009C098F">
            <w:pPr>
              <w:widowControl w:val="0"/>
              <w:rPr>
                <w:i/>
                <w:sz w:val="20"/>
              </w:rPr>
            </w:pPr>
            <w:r>
              <w:rPr>
                <w:i/>
                <w:sz w:val="20"/>
              </w:rPr>
              <w:lastRenderedPageBreak/>
              <w:t xml:space="preserve">Luftveje, thorax og mediastinum  </w:t>
            </w:r>
          </w:p>
        </w:tc>
        <w:tc>
          <w:tcPr>
            <w:tcW w:w="1138" w:type="dxa"/>
            <w:tcBorders>
              <w:top w:val="single" w:sz="4" w:space="0" w:color="000000"/>
              <w:left w:val="single" w:sz="4" w:space="0" w:color="000000"/>
              <w:bottom w:val="single" w:sz="4" w:space="0" w:color="000000"/>
              <w:right w:val="single" w:sz="4" w:space="0" w:color="000000"/>
            </w:tcBorders>
          </w:tcPr>
          <w:p w14:paraId="388E91FD" w14:textId="77777777" w:rsidR="00474769" w:rsidRDefault="00474769" w:rsidP="009C098F">
            <w:pPr>
              <w:widowControl w:val="0"/>
              <w:rPr>
                <w:sz w:val="20"/>
              </w:rPr>
            </w:pPr>
          </w:p>
        </w:tc>
        <w:tc>
          <w:tcPr>
            <w:tcW w:w="1517" w:type="dxa"/>
            <w:tcBorders>
              <w:top w:val="single" w:sz="4" w:space="0" w:color="000000"/>
              <w:left w:val="single" w:sz="4" w:space="0" w:color="000000"/>
              <w:bottom w:val="single" w:sz="4" w:space="0" w:color="000000"/>
              <w:right w:val="single" w:sz="4" w:space="0" w:color="000000"/>
            </w:tcBorders>
          </w:tcPr>
          <w:p w14:paraId="50835B18" w14:textId="77777777" w:rsidR="00474769" w:rsidRDefault="00474769" w:rsidP="009C098F">
            <w:pPr>
              <w:widowControl w:val="0"/>
              <w:rPr>
                <w:sz w:val="20"/>
              </w:rPr>
            </w:pPr>
          </w:p>
        </w:tc>
        <w:tc>
          <w:tcPr>
            <w:tcW w:w="1534" w:type="dxa"/>
            <w:gridSpan w:val="2"/>
            <w:tcBorders>
              <w:top w:val="single" w:sz="4" w:space="0" w:color="000000"/>
              <w:left w:val="single" w:sz="4" w:space="0" w:color="000000"/>
              <w:bottom w:val="single" w:sz="4" w:space="0" w:color="000000"/>
              <w:right w:val="single" w:sz="4" w:space="0" w:color="000000"/>
            </w:tcBorders>
          </w:tcPr>
          <w:p w14:paraId="5A4A8CCC" w14:textId="77777777" w:rsidR="00474769" w:rsidRDefault="00474769" w:rsidP="009C098F">
            <w:pPr>
              <w:widowControl w:val="0"/>
              <w:rPr>
                <w:sz w:val="20"/>
              </w:rPr>
            </w:pPr>
          </w:p>
        </w:tc>
        <w:tc>
          <w:tcPr>
            <w:tcW w:w="1454" w:type="dxa"/>
            <w:tcBorders>
              <w:top w:val="single" w:sz="4" w:space="0" w:color="000000"/>
              <w:left w:val="single" w:sz="4" w:space="0" w:color="000000"/>
              <w:bottom w:val="single" w:sz="4" w:space="0" w:color="000000"/>
              <w:right w:val="single" w:sz="4" w:space="0" w:color="000000"/>
            </w:tcBorders>
          </w:tcPr>
          <w:p w14:paraId="79084938" w14:textId="77777777" w:rsidR="00474769" w:rsidRDefault="00474769" w:rsidP="009C098F">
            <w:pPr>
              <w:widowControl w:val="0"/>
              <w:rPr>
                <w:sz w:val="20"/>
              </w:rPr>
            </w:pPr>
          </w:p>
        </w:tc>
        <w:tc>
          <w:tcPr>
            <w:tcW w:w="1482" w:type="dxa"/>
            <w:tcBorders>
              <w:top w:val="single" w:sz="4" w:space="0" w:color="000000"/>
              <w:left w:val="single" w:sz="4" w:space="0" w:color="000000"/>
              <w:bottom w:val="single" w:sz="4" w:space="0" w:color="000000"/>
              <w:right w:val="single" w:sz="4" w:space="0" w:color="000000"/>
            </w:tcBorders>
            <w:hideMark/>
          </w:tcPr>
          <w:p w14:paraId="4DEDE4C0" w14:textId="77777777" w:rsidR="00474769" w:rsidRDefault="00474769" w:rsidP="009C098F">
            <w:pPr>
              <w:widowControl w:val="0"/>
              <w:rPr>
                <w:sz w:val="20"/>
              </w:rPr>
            </w:pPr>
            <w:r>
              <w:rPr>
                <w:sz w:val="20"/>
              </w:rPr>
              <w:t>Bronkospasme eller forværring af astma**.</w:t>
            </w:r>
          </w:p>
        </w:tc>
      </w:tr>
    </w:tbl>
    <w:p w14:paraId="14E9AEAB" w14:textId="77777777" w:rsidR="00474769" w:rsidRDefault="00474769" w:rsidP="00474769">
      <w:pPr>
        <w:jc w:val="both"/>
        <w:rPr>
          <w:sz w:val="22"/>
          <w:szCs w:val="22"/>
          <w:lang w:eastAsia="en-IN"/>
        </w:rPr>
      </w:pPr>
    </w:p>
    <w:p w14:paraId="63DE883F" w14:textId="77777777" w:rsidR="00474769" w:rsidRPr="00474769" w:rsidRDefault="00474769" w:rsidP="00474769">
      <w:pPr>
        <w:jc w:val="both"/>
        <w:rPr>
          <w:sz w:val="20"/>
        </w:rPr>
      </w:pPr>
      <w:r w:rsidRPr="00474769">
        <w:rPr>
          <w:sz w:val="20"/>
        </w:rPr>
        <w:t xml:space="preserve">*Der er modtaget lejlighedsvise rapporter efter markedsføring om skader på hornhinden, herunder tyndere hornhinde, erosion af hornhinden, nedbrydning af epitelet og perforering af hornhinden. Disse forekom hovedsageligt hos patienter, der samtidig brugte topiske kortikosteroider og/eller havde prædisponerende co-morbiditet (se afsnit 4.4). </w:t>
      </w:r>
    </w:p>
    <w:p w14:paraId="6B1DC694" w14:textId="77777777" w:rsidR="00474769" w:rsidRPr="00474769" w:rsidRDefault="00474769" w:rsidP="00474769">
      <w:pPr>
        <w:jc w:val="both"/>
        <w:rPr>
          <w:sz w:val="20"/>
        </w:rPr>
      </w:pPr>
    </w:p>
    <w:p w14:paraId="705818F8" w14:textId="77777777" w:rsidR="00474769" w:rsidRPr="00474769" w:rsidRDefault="00474769" w:rsidP="00474769">
      <w:pPr>
        <w:jc w:val="both"/>
        <w:rPr>
          <w:sz w:val="20"/>
        </w:rPr>
      </w:pPr>
      <w:r w:rsidRPr="00474769">
        <w:rPr>
          <w:sz w:val="20"/>
        </w:rPr>
        <w:t>**Efter markedsføringen er der indberettet om bronkospasme eller forværring af astma hos patienter, der enten har kendt overfølsomhed over for acetylsalicylsyre/non-steroide antiinflammatoriske lægemidler eller tidligere har haft astma i forbindelse med brugen af Ketorolactrometamol "Misom", som en medvirkende faktor.</w:t>
      </w:r>
    </w:p>
    <w:p w14:paraId="7EC2D003" w14:textId="77777777" w:rsidR="00474769" w:rsidRPr="00474769" w:rsidRDefault="00474769" w:rsidP="00474769">
      <w:pPr>
        <w:ind w:left="851"/>
        <w:rPr>
          <w:sz w:val="24"/>
          <w:szCs w:val="24"/>
        </w:rPr>
      </w:pPr>
    </w:p>
    <w:p w14:paraId="12B2EEEA" w14:textId="77777777" w:rsidR="00474769" w:rsidRPr="00474769" w:rsidRDefault="00474769" w:rsidP="00474769">
      <w:pPr>
        <w:ind w:left="851"/>
        <w:rPr>
          <w:sz w:val="24"/>
          <w:szCs w:val="24"/>
        </w:rPr>
      </w:pPr>
      <w:r w:rsidRPr="00474769">
        <w:rPr>
          <w:sz w:val="24"/>
          <w:szCs w:val="24"/>
        </w:rPr>
        <w:t>Ingen af de typiske bivirkninger indberettet for systemisk NSAIDs (herunder ketorolactrometamol), er observeret ved de doser, der anvendes i topisk oftalmisk behandling.</w:t>
      </w:r>
    </w:p>
    <w:p w14:paraId="7584492B" w14:textId="77777777" w:rsidR="00474769" w:rsidRPr="00474769" w:rsidRDefault="00474769" w:rsidP="00474769">
      <w:pPr>
        <w:ind w:left="851"/>
        <w:rPr>
          <w:b/>
          <w:sz w:val="24"/>
          <w:szCs w:val="24"/>
        </w:rPr>
      </w:pPr>
    </w:p>
    <w:p w14:paraId="6EF7DF5E" w14:textId="27BDB2E9" w:rsidR="00474769" w:rsidRPr="00474769" w:rsidRDefault="00474769" w:rsidP="00474769">
      <w:pPr>
        <w:ind w:left="851"/>
        <w:rPr>
          <w:sz w:val="24"/>
          <w:szCs w:val="24"/>
          <w:u w:val="single"/>
        </w:rPr>
      </w:pPr>
      <w:r w:rsidRPr="00474769">
        <w:rPr>
          <w:sz w:val="24"/>
          <w:szCs w:val="24"/>
          <w:u w:val="single"/>
        </w:rPr>
        <w:t>Indberetning af formodede bivirkninger</w:t>
      </w:r>
    </w:p>
    <w:p w14:paraId="2AF814CA" w14:textId="77777777" w:rsidR="00474769" w:rsidRDefault="00474769" w:rsidP="00474769">
      <w:pPr>
        <w:ind w:left="851"/>
        <w:rPr>
          <w:sz w:val="24"/>
          <w:szCs w:val="24"/>
        </w:rPr>
      </w:pPr>
      <w:r w:rsidRPr="00474769">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364116F4" w14:textId="1ECFF509" w:rsidR="00474769" w:rsidRPr="00474769" w:rsidRDefault="00474769" w:rsidP="00474769">
      <w:pPr>
        <w:ind w:left="851"/>
        <w:rPr>
          <w:sz w:val="24"/>
          <w:szCs w:val="24"/>
        </w:rPr>
      </w:pPr>
      <w:r w:rsidRPr="00474769">
        <w:rPr>
          <w:sz w:val="24"/>
          <w:szCs w:val="24"/>
        </w:rPr>
        <w:t xml:space="preserve"> </w:t>
      </w:r>
    </w:p>
    <w:p w14:paraId="7A1A6794" w14:textId="77777777" w:rsidR="00474769" w:rsidRPr="00474769" w:rsidRDefault="00474769" w:rsidP="00474769">
      <w:pPr>
        <w:ind w:left="851"/>
        <w:rPr>
          <w:sz w:val="24"/>
          <w:szCs w:val="24"/>
        </w:rPr>
      </w:pPr>
      <w:r w:rsidRPr="00474769">
        <w:rPr>
          <w:sz w:val="24"/>
          <w:szCs w:val="24"/>
        </w:rPr>
        <w:t>Lægemiddelstyrelsen</w:t>
      </w:r>
    </w:p>
    <w:p w14:paraId="620489E8" w14:textId="77777777" w:rsidR="00474769" w:rsidRPr="00474769" w:rsidRDefault="00474769" w:rsidP="00474769">
      <w:pPr>
        <w:ind w:left="851"/>
        <w:rPr>
          <w:sz w:val="24"/>
          <w:szCs w:val="24"/>
        </w:rPr>
      </w:pPr>
      <w:r w:rsidRPr="00474769">
        <w:rPr>
          <w:sz w:val="24"/>
          <w:szCs w:val="24"/>
        </w:rPr>
        <w:t>Axel Heides Gade 1</w:t>
      </w:r>
    </w:p>
    <w:p w14:paraId="632B6DE8" w14:textId="77777777" w:rsidR="00474769" w:rsidRPr="00474769" w:rsidRDefault="00474769" w:rsidP="00474769">
      <w:pPr>
        <w:ind w:left="851"/>
        <w:rPr>
          <w:sz w:val="24"/>
          <w:szCs w:val="24"/>
        </w:rPr>
      </w:pPr>
      <w:r w:rsidRPr="00474769">
        <w:rPr>
          <w:sz w:val="24"/>
          <w:szCs w:val="24"/>
        </w:rPr>
        <w:t>DK-2300 København S</w:t>
      </w:r>
    </w:p>
    <w:p w14:paraId="14245B50" w14:textId="77777777" w:rsidR="00474769" w:rsidRPr="00474769" w:rsidRDefault="00474769" w:rsidP="00474769">
      <w:pPr>
        <w:ind w:left="851"/>
        <w:rPr>
          <w:sz w:val="24"/>
          <w:szCs w:val="24"/>
        </w:rPr>
      </w:pPr>
      <w:r w:rsidRPr="00474769">
        <w:rPr>
          <w:sz w:val="24"/>
          <w:szCs w:val="24"/>
        </w:rPr>
        <w:t>Websted: www.meldenbivirkning.dk</w:t>
      </w:r>
    </w:p>
    <w:p w14:paraId="1F573703" w14:textId="77777777" w:rsidR="009260DE" w:rsidRPr="00474769" w:rsidRDefault="009260DE" w:rsidP="00474769">
      <w:pPr>
        <w:tabs>
          <w:tab w:val="left" w:pos="851"/>
        </w:tabs>
        <w:ind w:left="851"/>
        <w:rPr>
          <w:sz w:val="24"/>
          <w:szCs w:val="24"/>
        </w:rPr>
      </w:pPr>
    </w:p>
    <w:p w14:paraId="6FE6353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8CC5414" w14:textId="77777777" w:rsidR="00474769" w:rsidRPr="00474769" w:rsidRDefault="00474769" w:rsidP="00474769">
      <w:pPr>
        <w:tabs>
          <w:tab w:val="left" w:pos="851"/>
        </w:tabs>
        <w:ind w:left="851"/>
        <w:rPr>
          <w:sz w:val="24"/>
          <w:szCs w:val="24"/>
        </w:rPr>
      </w:pPr>
      <w:r w:rsidRPr="00474769">
        <w:rPr>
          <w:sz w:val="24"/>
          <w:szCs w:val="24"/>
        </w:rPr>
        <w:t>Der er ikke rapporteret tilfælde af overdosering. Det er usandsynligt, at der vil forekomme overdosering ved den anbefalede indgivelsesmetode. Ved utilsigtet indtagelse drikkes væske med henblik på fortynding.</w:t>
      </w:r>
    </w:p>
    <w:p w14:paraId="548C5413" w14:textId="77777777" w:rsidR="009260DE" w:rsidRPr="00C84483" w:rsidRDefault="009260DE" w:rsidP="009260DE">
      <w:pPr>
        <w:tabs>
          <w:tab w:val="left" w:pos="851"/>
        </w:tabs>
        <w:ind w:left="851"/>
        <w:rPr>
          <w:sz w:val="24"/>
          <w:szCs w:val="24"/>
        </w:rPr>
      </w:pPr>
    </w:p>
    <w:p w14:paraId="268240A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DF6579F" w14:textId="214E4139" w:rsidR="009260DE" w:rsidRPr="00C84483" w:rsidRDefault="00474769" w:rsidP="009260DE">
      <w:pPr>
        <w:tabs>
          <w:tab w:val="left" w:pos="851"/>
        </w:tabs>
        <w:ind w:left="851"/>
        <w:rPr>
          <w:sz w:val="24"/>
          <w:szCs w:val="24"/>
        </w:rPr>
      </w:pPr>
      <w:r>
        <w:rPr>
          <w:sz w:val="24"/>
          <w:szCs w:val="24"/>
        </w:rPr>
        <w:t>B</w:t>
      </w:r>
    </w:p>
    <w:p w14:paraId="1E8C67A0" w14:textId="77777777" w:rsidR="009260DE" w:rsidRPr="00C84483" w:rsidRDefault="009260DE" w:rsidP="009260DE">
      <w:pPr>
        <w:tabs>
          <w:tab w:val="left" w:pos="851"/>
        </w:tabs>
        <w:ind w:left="851"/>
        <w:rPr>
          <w:sz w:val="24"/>
          <w:szCs w:val="24"/>
        </w:rPr>
      </w:pPr>
    </w:p>
    <w:p w14:paraId="0B701828" w14:textId="77777777" w:rsidR="009260DE" w:rsidRPr="00C84483" w:rsidRDefault="009260DE" w:rsidP="009260DE">
      <w:pPr>
        <w:tabs>
          <w:tab w:val="left" w:pos="851"/>
        </w:tabs>
        <w:ind w:left="851"/>
        <w:rPr>
          <w:sz w:val="24"/>
          <w:szCs w:val="24"/>
        </w:rPr>
      </w:pPr>
    </w:p>
    <w:p w14:paraId="665B5E6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A411471" w14:textId="77777777" w:rsidR="009260DE" w:rsidRPr="00C84483" w:rsidRDefault="009260DE" w:rsidP="009260DE">
      <w:pPr>
        <w:tabs>
          <w:tab w:val="left" w:pos="851"/>
        </w:tabs>
        <w:ind w:left="851"/>
        <w:rPr>
          <w:sz w:val="24"/>
          <w:szCs w:val="24"/>
        </w:rPr>
      </w:pPr>
    </w:p>
    <w:p w14:paraId="0DBA256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C01FA7B" w14:textId="2402886C" w:rsidR="000F3E34" w:rsidRPr="000F3E34" w:rsidRDefault="000F3E34" w:rsidP="000F3E34">
      <w:pPr>
        <w:tabs>
          <w:tab w:val="left" w:pos="851"/>
        </w:tabs>
        <w:ind w:left="851"/>
        <w:rPr>
          <w:sz w:val="24"/>
          <w:szCs w:val="24"/>
        </w:rPr>
      </w:pPr>
      <w:r w:rsidRPr="000F3E34">
        <w:rPr>
          <w:sz w:val="24"/>
          <w:szCs w:val="24"/>
        </w:rPr>
        <w:t>Farmakoterapeutisk gruppe: Anti-inflammatoriske midler, non-steroide</w:t>
      </w:r>
      <w:r>
        <w:rPr>
          <w:sz w:val="24"/>
          <w:szCs w:val="24"/>
        </w:rPr>
        <w:t xml:space="preserve">, </w:t>
      </w:r>
      <w:r w:rsidRPr="000F3E34">
        <w:rPr>
          <w:sz w:val="24"/>
          <w:szCs w:val="24"/>
        </w:rPr>
        <w:t>ATC-kode: S01BC05.</w:t>
      </w:r>
    </w:p>
    <w:p w14:paraId="62F30817" w14:textId="77777777" w:rsidR="000F3E34" w:rsidRPr="000F3E34" w:rsidRDefault="000F3E34" w:rsidP="000F3E34">
      <w:pPr>
        <w:tabs>
          <w:tab w:val="left" w:pos="851"/>
        </w:tabs>
        <w:ind w:left="851"/>
        <w:rPr>
          <w:sz w:val="24"/>
          <w:szCs w:val="24"/>
        </w:rPr>
      </w:pPr>
    </w:p>
    <w:p w14:paraId="208A382B" w14:textId="77777777" w:rsidR="000F3E34" w:rsidRPr="000F3E34" w:rsidRDefault="000F3E34" w:rsidP="000F3E34">
      <w:pPr>
        <w:tabs>
          <w:tab w:val="left" w:pos="851"/>
        </w:tabs>
        <w:ind w:left="851"/>
        <w:rPr>
          <w:sz w:val="24"/>
          <w:szCs w:val="24"/>
        </w:rPr>
      </w:pPr>
      <w:r w:rsidRPr="000F3E34">
        <w:rPr>
          <w:sz w:val="24"/>
          <w:szCs w:val="24"/>
        </w:rPr>
        <w:t>Ketorolactrometamol "Misom" (ketorolactrometamol) er et ikke-steroidt holdigt antiinflammatorisk middel med analgetisk og antiinflammatorisk aktivitet. Det menes at hæmme cyclo-oxygenase-enzymet, der er afgørende for biosyntesen af prostaglandiner. Ketorolactrometamol reducerer mængden af prostaglandiner i kammervæsken efter topisk oftalmisk administration.</w:t>
      </w:r>
    </w:p>
    <w:p w14:paraId="71998CFB" w14:textId="77777777" w:rsidR="000F3E34" w:rsidRPr="000F3E34" w:rsidRDefault="000F3E34" w:rsidP="000F3E34">
      <w:pPr>
        <w:tabs>
          <w:tab w:val="left" w:pos="851"/>
        </w:tabs>
        <w:ind w:left="851"/>
        <w:rPr>
          <w:sz w:val="24"/>
          <w:szCs w:val="24"/>
        </w:rPr>
      </w:pPr>
    </w:p>
    <w:p w14:paraId="2AC25E57" w14:textId="77777777" w:rsidR="000F3E34" w:rsidRPr="000F3E34" w:rsidRDefault="000F3E34" w:rsidP="000F3E34">
      <w:pPr>
        <w:tabs>
          <w:tab w:val="left" w:pos="851"/>
        </w:tabs>
        <w:ind w:left="851"/>
        <w:rPr>
          <w:sz w:val="24"/>
          <w:szCs w:val="24"/>
        </w:rPr>
      </w:pPr>
      <w:r w:rsidRPr="000F3E34">
        <w:rPr>
          <w:sz w:val="24"/>
          <w:szCs w:val="24"/>
        </w:rPr>
        <w:lastRenderedPageBreak/>
        <w:t>Når ketorolactrometamol indgives systemisk fører det ikke til pupilkonstriktion. Resultater af kliniske forsøg viser, at ketorolactrometamol ikke har nogen signifikant effekt på det intraokulære tryk.</w:t>
      </w:r>
    </w:p>
    <w:p w14:paraId="667A4222" w14:textId="77777777" w:rsidR="009260DE" w:rsidRPr="00C84483" w:rsidRDefault="009260DE" w:rsidP="009260DE">
      <w:pPr>
        <w:tabs>
          <w:tab w:val="left" w:pos="851"/>
        </w:tabs>
        <w:ind w:left="851"/>
        <w:rPr>
          <w:sz w:val="24"/>
          <w:szCs w:val="24"/>
        </w:rPr>
      </w:pPr>
    </w:p>
    <w:p w14:paraId="7B480E5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DD54CE9" w14:textId="77777777" w:rsidR="00273B9A" w:rsidRPr="00273B9A" w:rsidRDefault="00273B9A" w:rsidP="00273B9A">
      <w:pPr>
        <w:tabs>
          <w:tab w:val="left" w:pos="851"/>
        </w:tabs>
        <w:ind w:left="851"/>
        <w:rPr>
          <w:sz w:val="24"/>
          <w:szCs w:val="24"/>
        </w:rPr>
      </w:pPr>
      <w:r w:rsidRPr="00273B9A">
        <w:rPr>
          <w:sz w:val="24"/>
          <w:szCs w:val="24"/>
        </w:rPr>
        <w:t>Ketorolactrometamol-opløsninger (0,1 % eller 0,5 %) eller vehikel blev indgivet i øjnene på patienterne ca. 12 timer og 1 time før operationen. Koncentrationen af ketorolac i kammervandet, der blev udtaget på operationstidspunktet, var i den nedre detektionsgrænse (40 ng/ml) hos 1 patient og under kvantificeringsgrænsen hos 7 patienter, der fik 0,1 % ketorolactrometamol. Det gennemsnitlige niveau af ketorolac i kammervæsken hos patienter, der blev behandlet med 0,5 % ketorolactrometamol, var 95 ng/ml. Koncentrationen af PGE2 i kammervæsken var 80 pg/ml, 40 pg/ml og 28 pg/ml hos patienter, der blev behandlet med henholdsvis vehikel, 0,1 % ketorolactrometamol og 0,5 % ketorolac trometamol.</w:t>
      </w:r>
    </w:p>
    <w:p w14:paraId="0AF45D87" w14:textId="77777777" w:rsidR="00273B9A" w:rsidRPr="00273B9A" w:rsidRDefault="00273B9A" w:rsidP="00273B9A">
      <w:pPr>
        <w:tabs>
          <w:tab w:val="left" w:pos="851"/>
        </w:tabs>
        <w:ind w:left="851"/>
        <w:rPr>
          <w:sz w:val="24"/>
          <w:szCs w:val="24"/>
        </w:rPr>
      </w:pPr>
    </w:p>
    <w:p w14:paraId="5BB4BBCA" w14:textId="77777777" w:rsidR="00273B9A" w:rsidRPr="00273B9A" w:rsidRDefault="00273B9A" w:rsidP="00273B9A">
      <w:pPr>
        <w:tabs>
          <w:tab w:val="left" w:pos="851"/>
        </w:tabs>
        <w:ind w:left="851"/>
        <w:rPr>
          <w:sz w:val="24"/>
          <w:szCs w:val="24"/>
        </w:rPr>
      </w:pPr>
      <w:r w:rsidRPr="00273B9A">
        <w:rPr>
          <w:sz w:val="24"/>
          <w:szCs w:val="24"/>
        </w:rPr>
        <w:t xml:space="preserve">I 21-dages tolerance studie med flere doser (TID) hos raske forsøgspersoner havde kun 1 ud af 13 forsøgspersoner et påviseligt plasmaniveau før dosis (0,021 </w:t>
      </w:r>
      <w:r w:rsidRPr="00273B9A">
        <w:rPr>
          <w:sz w:val="24"/>
          <w:szCs w:val="24"/>
          <w:lang w:val="en-IN"/>
        </w:rPr>
        <w:t>μ</w:t>
      </w:r>
      <w:r w:rsidRPr="00273B9A">
        <w:rPr>
          <w:sz w:val="24"/>
          <w:szCs w:val="24"/>
        </w:rPr>
        <w:t xml:space="preserve">g/ml). I en anden gruppe på 13 forsøgspersoner viste kun 4 forsøgspersoner meget lave plasmaniveauer af ketorolac (0,011 til 0,023 </w:t>
      </w:r>
      <w:r w:rsidRPr="00273B9A">
        <w:rPr>
          <w:sz w:val="24"/>
          <w:szCs w:val="24"/>
          <w:lang w:val="en-IN"/>
        </w:rPr>
        <w:t>μ</w:t>
      </w:r>
      <w:r w:rsidRPr="00273B9A">
        <w:rPr>
          <w:sz w:val="24"/>
          <w:szCs w:val="24"/>
        </w:rPr>
        <w:t>g/ml) 15 minutter efter indgift i øjet.</w:t>
      </w:r>
    </w:p>
    <w:p w14:paraId="3F95139E" w14:textId="77777777" w:rsidR="00273B9A" w:rsidRPr="00273B9A" w:rsidRDefault="00273B9A" w:rsidP="00273B9A">
      <w:pPr>
        <w:tabs>
          <w:tab w:val="left" w:pos="851"/>
        </w:tabs>
        <w:ind w:left="851"/>
        <w:rPr>
          <w:sz w:val="24"/>
          <w:szCs w:val="24"/>
        </w:rPr>
      </w:pPr>
    </w:p>
    <w:p w14:paraId="551E6911" w14:textId="77777777" w:rsidR="00273B9A" w:rsidRPr="00273B9A" w:rsidRDefault="00273B9A" w:rsidP="00273B9A">
      <w:pPr>
        <w:tabs>
          <w:tab w:val="left" w:pos="851"/>
        </w:tabs>
        <w:ind w:left="851"/>
        <w:rPr>
          <w:sz w:val="24"/>
          <w:szCs w:val="24"/>
        </w:rPr>
      </w:pPr>
      <w:r w:rsidRPr="00273B9A">
        <w:rPr>
          <w:sz w:val="24"/>
          <w:szCs w:val="24"/>
        </w:rPr>
        <w:t>Højere niveauer af ketorolac i kammervæsken og meget lave eller ingen påviselige plasmaniveauer efter oftalmiske doser tyder således på, at brugen af ketorolactrometamol ad oftalmisk vej til behandling af øjensygdomme resulterer i lav systemisk absorption hos patienterne.</w:t>
      </w:r>
    </w:p>
    <w:p w14:paraId="55A8CAA3" w14:textId="77777777" w:rsidR="009260DE" w:rsidRPr="00C84483" w:rsidRDefault="009260DE" w:rsidP="009260DE">
      <w:pPr>
        <w:tabs>
          <w:tab w:val="left" w:pos="851"/>
        </w:tabs>
        <w:ind w:left="851"/>
        <w:rPr>
          <w:sz w:val="24"/>
          <w:szCs w:val="24"/>
        </w:rPr>
      </w:pPr>
    </w:p>
    <w:p w14:paraId="4772BCC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EF1291D" w14:textId="77777777" w:rsidR="00273B9A" w:rsidRPr="00273B9A" w:rsidRDefault="00273B9A" w:rsidP="00273B9A">
      <w:pPr>
        <w:tabs>
          <w:tab w:val="left" w:pos="851"/>
        </w:tabs>
        <w:ind w:left="851"/>
        <w:rPr>
          <w:sz w:val="24"/>
          <w:szCs w:val="24"/>
        </w:rPr>
      </w:pPr>
      <w:bookmarkStart w:id="1" w:name="_gjdgxs"/>
      <w:bookmarkEnd w:id="1"/>
      <w:r w:rsidRPr="00273B9A">
        <w:rPr>
          <w:sz w:val="24"/>
          <w:szCs w:val="24"/>
        </w:rPr>
        <w:t>Prækliniske data viser ingen særlig risiko for mennesker vurderet ud fra konventionelle undersøgelser af sikkerhedsfarmakologi, toksicitet efter gentagen doser, genotoksicitet, karcinogenicitet, reproduktionstoksicitet og udvikling.</w:t>
      </w:r>
    </w:p>
    <w:p w14:paraId="04C34875" w14:textId="77777777" w:rsidR="00273B9A" w:rsidRPr="00273B9A" w:rsidRDefault="00273B9A" w:rsidP="00273B9A">
      <w:pPr>
        <w:tabs>
          <w:tab w:val="left" w:pos="851"/>
        </w:tabs>
        <w:ind w:left="851"/>
        <w:rPr>
          <w:sz w:val="24"/>
          <w:szCs w:val="24"/>
        </w:rPr>
      </w:pPr>
    </w:p>
    <w:p w14:paraId="52BF6660" w14:textId="77777777" w:rsidR="00273B9A" w:rsidRPr="00273B9A" w:rsidRDefault="00273B9A" w:rsidP="00273B9A">
      <w:pPr>
        <w:tabs>
          <w:tab w:val="left" w:pos="851"/>
        </w:tabs>
        <w:ind w:left="851"/>
        <w:rPr>
          <w:sz w:val="24"/>
          <w:szCs w:val="24"/>
        </w:rPr>
      </w:pPr>
      <w:r w:rsidRPr="00273B9A">
        <w:rPr>
          <w:sz w:val="24"/>
          <w:szCs w:val="24"/>
        </w:rPr>
        <w:t>Præparatets sikkerhed er veletableret gennem akutte, subakutte og kroniske undersøgelser af ketorolactrometamol hos forsøgsdyr. Desuden blev octoxinol 40 evalueret separat for sin okulære sikkerhed. Ketorolactrometamol viste sig ikke at irritere, det havde ingen lokalbedøvende effekt, det havde ingen indflydelse på helingen af sår på hornhinden hos kaniner, det forstærkede ikke forekomsten af øjenbetændelse på grund af hverken Candida albicans, Herpes simplex virus type 1 eller Pseudomonas aeruginosa hos kaniner, og det forøgede heller ikke det okulære tryk i normale kaninøjne.</w:t>
      </w:r>
    </w:p>
    <w:p w14:paraId="4773681C" w14:textId="77777777" w:rsidR="009260DE" w:rsidRPr="00C84483" w:rsidRDefault="009260DE" w:rsidP="009260DE">
      <w:pPr>
        <w:tabs>
          <w:tab w:val="left" w:pos="851"/>
        </w:tabs>
        <w:ind w:left="851"/>
        <w:rPr>
          <w:sz w:val="24"/>
          <w:szCs w:val="24"/>
        </w:rPr>
      </w:pPr>
    </w:p>
    <w:p w14:paraId="316DDE34" w14:textId="77777777" w:rsidR="009260DE" w:rsidRPr="00C84483" w:rsidRDefault="009260DE" w:rsidP="009260DE">
      <w:pPr>
        <w:tabs>
          <w:tab w:val="left" w:pos="851"/>
        </w:tabs>
        <w:ind w:left="851"/>
        <w:rPr>
          <w:sz w:val="24"/>
          <w:szCs w:val="24"/>
        </w:rPr>
      </w:pPr>
    </w:p>
    <w:p w14:paraId="5EF2372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D3B7B5D" w14:textId="77777777" w:rsidR="009260DE" w:rsidRPr="00BA09F1" w:rsidRDefault="009260DE" w:rsidP="009260DE">
      <w:pPr>
        <w:tabs>
          <w:tab w:val="left" w:pos="851"/>
        </w:tabs>
        <w:ind w:left="851"/>
        <w:rPr>
          <w:sz w:val="24"/>
          <w:szCs w:val="24"/>
        </w:rPr>
      </w:pPr>
    </w:p>
    <w:p w14:paraId="3DF8533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9B73EE" w14:textId="77777777" w:rsidR="00A17B9E" w:rsidRPr="00F227A3" w:rsidRDefault="00A17B9E" w:rsidP="00A17B9E">
      <w:pPr>
        <w:tabs>
          <w:tab w:val="left" w:pos="851"/>
        </w:tabs>
        <w:ind w:left="851"/>
        <w:rPr>
          <w:sz w:val="24"/>
          <w:szCs w:val="24"/>
        </w:rPr>
      </w:pPr>
      <w:r w:rsidRPr="00F227A3">
        <w:rPr>
          <w:sz w:val="24"/>
          <w:szCs w:val="24"/>
        </w:rPr>
        <w:t>Natrium</w:t>
      </w:r>
      <w:r>
        <w:rPr>
          <w:sz w:val="24"/>
          <w:szCs w:val="24"/>
        </w:rPr>
        <w:t>ch</w:t>
      </w:r>
      <w:r w:rsidRPr="00F227A3">
        <w:rPr>
          <w:sz w:val="24"/>
          <w:szCs w:val="24"/>
        </w:rPr>
        <w:t>lorid</w:t>
      </w:r>
    </w:p>
    <w:p w14:paraId="7ABB45D4" w14:textId="77777777" w:rsidR="00A17B9E" w:rsidRPr="00F227A3" w:rsidRDefault="00A17B9E" w:rsidP="00A17B9E">
      <w:pPr>
        <w:tabs>
          <w:tab w:val="left" w:pos="851"/>
        </w:tabs>
        <w:ind w:left="851"/>
        <w:rPr>
          <w:sz w:val="24"/>
          <w:szCs w:val="24"/>
        </w:rPr>
      </w:pPr>
      <w:r w:rsidRPr="00F227A3">
        <w:rPr>
          <w:sz w:val="24"/>
          <w:szCs w:val="24"/>
        </w:rPr>
        <w:t>Benzalkonium</w:t>
      </w:r>
      <w:r>
        <w:rPr>
          <w:sz w:val="24"/>
          <w:szCs w:val="24"/>
        </w:rPr>
        <w:t>ch</w:t>
      </w:r>
      <w:r w:rsidRPr="00F227A3">
        <w:rPr>
          <w:sz w:val="24"/>
          <w:szCs w:val="24"/>
        </w:rPr>
        <w:t>lorid</w:t>
      </w:r>
    </w:p>
    <w:p w14:paraId="7D72C415" w14:textId="77777777" w:rsidR="00A17B9E" w:rsidRPr="00F227A3" w:rsidRDefault="00A17B9E" w:rsidP="00A17B9E">
      <w:pPr>
        <w:tabs>
          <w:tab w:val="left" w:pos="851"/>
        </w:tabs>
        <w:ind w:left="851"/>
        <w:rPr>
          <w:sz w:val="24"/>
          <w:szCs w:val="24"/>
        </w:rPr>
      </w:pPr>
      <w:r w:rsidRPr="00F227A3">
        <w:rPr>
          <w:sz w:val="24"/>
          <w:szCs w:val="24"/>
        </w:rPr>
        <w:t>Dinatriumedetat</w:t>
      </w:r>
    </w:p>
    <w:p w14:paraId="36D95363" w14:textId="77777777" w:rsidR="00A17B9E" w:rsidRPr="00F227A3" w:rsidRDefault="00A17B9E" w:rsidP="00A17B9E">
      <w:pPr>
        <w:tabs>
          <w:tab w:val="left" w:pos="851"/>
        </w:tabs>
        <w:ind w:left="851"/>
        <w:rPr>
          <w:sz w:val="24"/>
          <w:szCs w:val="24"/>
        </w:rPr>
      </w:pPr>
      <w:r w:rsidRPr="00F227A3">
        <w:rPr>
          <w:sz w:val="24"/>
          <w:szCs w:val="24"/>
        </w:rPr>
        <w:t>Octox</w:t>
      </w:r>
      <w:r>
        <w:rPr>
          <w:sz w:val="24"/>
          <w:szCs w:val="24"/>
        </w:rPr>
        <w:t>i</w:t>
      </w:r>
      <w:r w:rsidRPr="00F227A3">
        <w:rPr>
          <w:sz w:val="24"/>
          <w:szCs w:val="24"/>
        </w:rPr>
        <w:t>nol 40</w:t>
      </w:r>
    </w:p>
    <w:p w14:paraId="4A60DD3F" w14:textId="77777777" w:rsidR="00A17B9E" w:rsidRPr="00F227A3" w:rsidRDefault="00A17B9E" w:rsidP="00A17B9E">
      <w:pPr>
        <w:tabs>
          <w:tab w:val="left" w:pos="851"/>
        </w:tabs>
        <w:ind w:left="851"/>
        <w:rPr>
          <w:sz w:val="24"/>
          <w:szCs w:val="24"/>
        </w:rPr>
      </w:pPr>
      <w:r w:rsidRPr="00F227A3">
        <w:rPr>
          <w:sz w:val="24"/>
          <w:szCs w:val="24"/>
        </w:rPr>
        <w:t>Natriumhydroxid (til pH-justering) og/eller saltsyre (til pH-justering)</w:t>
      </w:r>
    </w:p>
    <w:p w14:paraId="0114A364" w14:textId="77777777" w:rsidR="00A17B9E" w:rsidRPr="00F227A3" w:rsidRDefault="00A17B9E" w:rsidP="00A17B9E">
      <w:pPr>
        <w:tabs>
          <w:tab w:val="left" w:pos="851"/>
        </w:tabs>
        <w:ind w:left="851"/>
        <w:rPr>
          <w:sz w:val="24"/>
          <w:szCs w:val="24"/>
        </w:rPr>
      </w:pPr>
      <w:r w:rsidRPr="00F227A3">
        <w:rPr>
          <w:sz w:val="24"/>
          <w:szCs w:val="24"/>
        </w:rPr>
        <w:t>Vand til injektionsvæsker</w:t>
      </w:r>
    </w:p>
    <w:p w14:paraId="1B18FB0F" w14:textId="77777777" w:rsidR="009260DE" w:rsidRPr="00C84483" w:rsidRDefault="009260DE" w:rsidP="009260DE">
      <w:pPr>
        <w:tabs>
          <w:tab w:val="left" w:pos="851"/>
        </w:tabs>
        <w:ind w:left="851"/>
        <w:rPr>
          <w:sz w:val="24"/>
          <w:szCs w:val="24"/>
        </w:rPr>
      </w:pPr>
    </w:p>
    <w:p w14:paraId="286441B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3CBD0BB" w14:textId="77777777" w:rsidR="00F227A3" w:rsidRPr="00F227A3" w:rsidRDefault="00F227A3" w:rsidP="00F227A3">
      <w:pPr>
        <w:tabs>
          <w:tab w:val="left" w:pos="851"/>
        </w:tabs>
        <w:ind w:left="851"/>
        <w:rPr>
          <w:sz w:val="24"/>
          <w:szCs w:val="24"/>
        </w:rPr>
      </w:pPr>
      <w:r w:rsidRPr="00F227A3">
        <w:rPr>
          <w:sz w:val="24"/>
          <w:szCs w:val="24"/>
        </w:rPr>
        <w:t>Ikke relevant.</w:t>
      </w:r>
    </w:p>
    <w:p w14:paraId="0EF18A9A" w14:textId="77777777" w:rsidR="009260DE" w:rsidRPr="00C84483" w:rsidRDefault="009260DE" w:rsidP="009260DE">
      <w:pPr>
        <w:tabs>
          <w:tab w:val="left" w:pos="851"/>
        </w:tabs>
        <w:ind w:left="851"/>
        <w:rPr>
          <w:sz w:val="24"/>
          <w:szCs w:val="24"/>
        </w:rPr>
      </w:pPr>
    </w:p>
    <w:p w14:paraId="635EE333"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B816420" w14:textId="77777777" w:rsidR="00F227A3" w:rsidRPr="00F227A3" w:rsidRDefault="00F227A3" w:rsidP="00F227A3">
      <w:pPr>
        <w:tabs>
          <w:tab w:val="left" w:pos="851"/>
        </w:tabs>
        <w:ind w:left="851"/>
        <w:rPr>
          <w:sz w:val="24"/>
          <w:szCs w:val="24"/>
        </w:rPr>
      </w:pPr>
      <w:r w:rsidRPr="00F227A3">
        <w:rPr>
          <w:sz w:val="24"/>
          <w:szCs w:val="24"/>
        </w:rPr>
        <w:t>Uåbnet: 2 år.</w:t>
      </w:r>
    </w:p>
    <w:p w14:paraId="5DEB206D" w14:textId="77777777" w:rsidR="00F227A3" w:rsidRPr="00F227A3" w:rsidRDefault="00F227A3" w:rsidP="00F227A3">
      <w:pPr>
        <w:tabs>
          <w:tab w:val="left" w:pos="851"/>
        </w:tabs>
        <w:ind w:left="851"/>
        <w:rPr>
          <w:sz w:val="24"/>
          <w:szCs w:val="24"/>
        </w:rPr>
      </w:pPr>
    </w:p>
    <w:p w14:paraId="2047D8BB" w14:textId="77777777" w:rsidR="00F227A3" w:rsidRPr="00F227A3" w:rsidRDefault="00F227A3" w:rsidP="00F227A3">
      <w:pPr>
        <w:tabs>
          <w:tab w:val="left" w:pos="851"/>
        </w:tabs>
        <w:ind w:left="851"/>
        <w:rPr>
          <w:sz w:val="24"/>
          <w:szCs w:val="24"/>
        </w:rPr>
      </w:pPr>
      <w:r w:rsidRPr="00F227A3">
        <w:rPr>
          <w:sz w:val="24"/>
          <w:szCs w:val="24"/>
        </w:rPr>
        <w:t>Efter første åbning: 28 dage.</w:t>
      </w:r>
    </w:p>
    <w:p w14:paraId="7F523D52" w14:textId="77777777" w:rsidR="00F227A3" w:rsidRPr="00F227A3" w:rsidRDefault="00F227A3" w:rsidP="00F227A3">
      <w:pPr>
        <w:tabs>
          <w:tab w:val="left" w:pos="851"/>
        </w:tabs>
        <w:ind w:left="851"/>
        <w:rPr>
          <w:b/>
          <w:sz w:val="24"/>
          <w:szCs w:val="24"/>
        </w:rPr>
      </w:pPr>
    </w:p>
    <w:p w14:paraId="4FAA29E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1105732" w14:textId="77777777" w:rsidR="00F227A3" w:rsidRPr="00F227A3" w:rsidRDefault="00F227A3" w:rsidP="00F227A3">
      <w:pPr>
        <w:tabs>
          <w:tab w:val="left" w:pos="851"/>
        </w:tabs>
        <w:ind w:left="851"/>
        <w:rPr>
          <w:sz w:val="24"/>
          <w:szCs w:val="24"/>
        </w:rPr>
      </w:pPr>
      <w:r w:rsidRPr="00F227A3">
        <w:rPr>
          <w:sz w:val="24"/>
          <w:szCs w:val="24"/>
        </w:rPr>
        <w:t>Dette lægemiddel kræver ingen særlige forholdsregler vedrørende opbevaringen.</w:t>
      </w:r>
    </w:p>
    <w:p w14:paraId="29E88CA0" w14:textId="77777777" w:rsidR="009260DE" w:rsidRPr="00C84483" w:rsidRDefault="009260DE" w:rsidP="009260DE">
      <w:pPr>
        <w:tabs>
          <w:tab w:val="left" w:pos="851"/>
        </w:tabs>
        <w:ind w:left="851"/>
        <w:rPr>
          <w:sz w:val="24"/>
          <w:szCs w:val="24"/>
        </w:rPr>
      </w:pPr>
    </w:p>
    <w:p w14:paraId="5967B0D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93EF186" w14:textId="77777777" w:rsidR="00F227A3" w:rsidRDefault="00F227A3" w:rsidP="00F227A3">
      <w:pPr>
        <w:tabs>
          <w:tab w:val="left" w:pos="851"/>
        </w:tabs>
        <w:ind w:left="851"/>
        <w:rPr>
          <w:sz w:val="24"/>
          <w:szCs w:val="24"/>
        </w:rPr>
      </w:pPr>
      <w:r w:rsidRPr="00F227A3">
        <w:rPr>
          <w:sz w:val="24"/>
          <w:szCs w:val="24"/>
        </w:rPr>
        <w:t>Hvid dråbebeholder af polyethylen med lav densitet (LDPE) med hvid</w:t>
      </w:r>
      <w:r>
        <w:rPr>
          <w:sz w:val="24"/>
          <w:szCs w:val="24"/>
        </w:rPr>
        <w:t>,</w:t>
      </w:r>
      <w:r w:rsidRPr="00F227A3">
        <w:rPr>
          <w:sz w:val="24"/>
          <w:szCs w:val="24"/>
        </w:rPr>
        <w:t xml:space="preserve"> uigennemsigtig åben dyse af LDPE og grå skruelåg af polyethylen med høj densitet (HPDE).</w:t>
      </w:r>
    </w:p>
    <w:p w14:paraId="3DC70B12" w14:textId="5B3A5E42" w:rsidR="00F227A3" w:rsidRPr="00F227A3" w:rsidRDefault="00F227A3" w:rsidP="00F227A3">
      <w:pPr>
        <w:tabs>
          <w:tab w:val="left" w:pos="851"/>
        </w:tabs>
        <w:ind w:left="851"/>
        <w:rPr>
          <w:sz w:val="24"/>
          <w:szCs w:val="24"/>
        </w:rPr>
      </w:pPr>
      <w:r w:rsidRPr="00F227A3">
        <w:rPr>
          <w:sz w:val="24"/>
          <w:szCs w:val="24"/>
        </w:rPr>
        <w:t xml:space="preserve">Dråbebeholderne fås som 5 ml og 10 ml. </w:t>
      </w:r>
    </w:p>
    <w:p w14:paraId="180079B3" w14:textId="77777777" w:rsidR="00F227A3" w:rsidRPr="00F227A3" w:rsidRDefault="00F227A3" w:rsidP="00F227A3">
      <w:pPr>
        <w:tabs>
          <w:tab w:val="left" w:pos="851"/>
        </w:tabs>
        <w:ind w:left="851"/>
        <w:rPr>
          <w:sz w:val="24"/>
          <w:szCs w:val="24"/>
        </w:rPr>
      </w:pPr>
      <w:r w:rsidRPr="00F227A3">
        <w:rPr>
          <w:sz w:val="24"/>
          <w:szCs w:val="24"/>
        </w:rPr>
        <w:t>For en 5 ml beholder er det omtrentlige antal dråber pr. beholder 160 dråber.</w:t>
      </w:r>
    </w:p>
    <w:p w14:paraId="6549786E" w14:textId="77777777" w:rsidR="00F227A3" w:rsidRPr="00F227A3" w:rsidRDefault="00F227A3" w:rsidP="00F227A3">
      <w:pPr>
        <w:tabs>
          <w:tab w:val="left" w:pos="851"/>
        </w:tabs>
        <w:ind w:left="851"/>
        <w:rPr>
          <w:sz w:val="24"/>
          <w:szCs w:val="24"/>
        </w:rPr>
      </w:pPr>
      <w:r w:rsidRPr="00F227A3">
        <w:rPr>
          <w:sz w:val="24"/>
          <w:szCs w:val="24"/>
        </w:rPr>
        <w:t>For en 10 ml beholder er det omtrentlige antal dråber pr. beholder 320 dråber.</w:t>
      </w:r>
    </w:p>
    <w:p w14:paraId="4E9DFAD6" w14:textId="77777777" w:rsidR="00F227A3" w:rsidRPr="00F227A3" w:rsidRDefault="00F227A3" w:rsidP="00F227A3">
      <w:pPr>
        <w:tabs>
          <w:tab w:val="left" w:pos="851"/>
        </w:tabs>
        <w:ind w:left="851"/>
        <w:rPr>
          <w:sz w:val="24"/>
          <w:szCs w:val="24"/>
        </w:rPr>
      </w:pPr>
    </w:p>
    <w:p w14:paraId="1DACCCA5" w14:textId="645479BE" w:rsidR="00F227A3" w:rsidRDefault="00F227A3" w:rsidP="00F227A3">
      <w:pPr>
        <w:tabs>
          <w:tab w:val="left" w:pos="851"/>
        </w:tabs>
        <w:ind w:left="851"/>
        <w:rPr>
          <w:sz w:val="24"/>
          <w:szCs w:val="24"/>
        </w:rPr>
      </w:pPr>
      <w:r w:rsidRPr="00F227A3">
        <w:rPr>
          <w:sz w:val="24"/>
          <w:szCs w:val="24"/>
        </w:rPr>
        <w:t>Pakningsstørrelser</w:t>
      </w:r>
      <w:r>
        <w:rPr>
          <w:sz w:val="24"/>
          <w:szCs w:val="24"/>
        </w:rPr>
        <w:t xml:space="preserve">: </w:t>
      </w:r>
      <w:r w:rsidRPr="00F227A3">
        <w:rPr>
          <w:sz w:val="24"/>
          <w:szCs w:val="24"/>
        </w:rPr>
        <w:t>Dråbebeholder med 1</w:t>
      </w:r>
      <w:r>
        <w:rPr>
          <w:sz w:val="24"/>
          <w:szCs w:val="24"/>
        </w:rPr>
        <w:t>×</w:t>
      </w:r>
      <w:r w:rsidRPr="00F227A3">
        <w:rPr>
          <w:sz w:val="24"/>
          <w:szCs w:val="24"/>
        </w:rPr>
        <w:t>5 ml, 3</w:t>
      </w:r>
      <w:r>
        <w:rPr>
          <w:sz w:val="24"/>
          <w:szCs w:val="24"/>
        </w:rPr>
        <w:t>×</w:t>
      </w:r>
      <w:r w:rsidRPr="00F227A3">
        <w:rPr>
          <w:sz w:val="24"/>
          <w:szCs w:val="24"/>
        </w:rPr>
        <w:t xml:space="preserve">5 ml </w:t>
      </w:r>
      <w:r>
        <w:rPr>
          <w:sz w:val="24"/>
          <w:szCs w:val="24"/>
        </w:rPr>
        <w:t>og</w:t>
      </w:r>
      <w:r w:rsidRPr="00F227A3">
        <w:rPr>
          <w:sz w:val="24"/>
          <w:szCs w:val="24"/>
        </w:rPr>
        <w:t xml:space="preserve"> 1</w:t>
      </w:r>
      <w:r>
        <w:rPr>
          <w:sz w:val="24"/>
          <w:szCs w:val="24"/>
        </w:rPr>
        <w:t>×</w:t>
      </w:r>
      <w:r w:rsidRPr="00F227A3">
        <w:rPr>
          <w:sz w:val="24"/>
          <w:szCs w:val="24"/>
        </w:rPr>
        <w:t>10 ml.</w:t>
      </w:r>
    </w:p>
    <w:p w14:paraId="17CF5D5F" w14:textId="77777777" w:rsidR="00F227A3" w:rsidRPr="00F227A3" w:rsidRDefault="00F227A3" w:rsidP="00F227A3">
      <w:pPr>
        <w:tabs>
          <w:tab w:val="left" w:pos="851"/>
        </w:tabs>
        <w:ind w:left="851"/>
        <w:rPr>
          <w:sz w:val="24"/>
          <w:szCs w:val="24"/>
        </w:rPr>
      </w:pPr>
    </w:p>
    <w:p w14:paraId="093394CF" w14:textId="77777777" w:rsidR="00F227A3" w:rsidRPr="00F227A3" w:rsidRDefault="00F227A3" w:rsidP="00F227A3">
      <w:pPr>
        <w:tabs>
          <w:tab w:val="left" w:pos="851"/>
        </w:tabs>
        <w:ind w:left="851"/>
        <w:rPr>
          <w:sz w:val="24"/>
          <w:szCs w:val="24"/>
        </w:rPr>
      </w:pPr>
      <w:r w:rsidRPr="00F227A3">
        <w:rPr>
          <w:sz w:val="24"/>
          <w:szCs w:val="24"/>
        </w:rPr>
        <w:t>Ikke alle pakningsstørrelser er nødvendigvis markedsført.</w:t>
      </w:r>
    </w:p>
    <w:p w14:paraId="5CBD077E" w14:textId="77777777" w:rsidR="009260DE" w:rsidRPr="00C84483" w:rsidRDefault="009260DE" w:rsidP="009260DE">
      <w:pPr>
        <w:tabs>
          <w:tab w:val="left" w:pos="851"/>
        </w:tabs>
        <w:ind w:left="851"/>
        <w:rPr>
          <w:sz w:val="24"/>
          <w:szCs w:val="24"/>
        </w:rPr>
      </w:pPr>
    </w:p>
    <w:p w14:paraId="5AD565E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55A5664" w14:textId="1F1A210D" w:rsidR="00F227A3" w:rsidRDefault="00F227A3" w:rsidP="00F227A3">
      <w:pPr>
        <w:tabs>
          <w:tab w:val="left" w:pos="851"/>
        </w:tabs>
        <w:ind w:left="851"/>
        <w:rPr>
          <w:sz w:val="24"/>
          <w:szCs w:val="24"/>
        </w:rPr>
      </w:pPr>
      <w:r w:rsidRPr="00F227A3">
        <w:rPr>
          <w:sz w:val="24"/>
          <w:szCs w:val="24"/>
        </w:rPr>
        <w:t>Ingen særlige forholdsregler.</w:t>
      </w:r>
    </w:p>
    <w:p w14:paraId="4872B721" w14:textId="77777777" w:rsidR="00F227A3" w:rsidRPr="00F227A3" w:rsidRDefault="00F227A3" w:rsidP="00F227A3">
      <w:pPr>
        <w:tabs>
          <w:tab w:val="left" w:pos="851"/>
        </w:tabs>
        <w:ind w:left="851"/>
        <w:rPr>
          <w:sz w:val="24"/>
          <w:szCs w:val="24"/>
        </w:rPr>
      </w:pPr>
    </w:p>
    <w:p w14:paraId="55B134E9" w14:textId="77777777" w:rsidR="00F227A3" w:rsidRPr="00F227A3" w:rsidRDefault="00F227A3" w:rsidP="00F227A3">
      <w:pPr>
        <w:tabs>
          <w:tab w:val="left" w:pos="851"/>
        </w:tabs>
        <w:ind w:left="851"/>
        <w:rPr>
          <w:sz w:val="24"/>
          <w:szCs w:val="24"/>
        </w:rPr>
      </w:pPr>
      <w:r w:rsidRPr="00F227A3">
        <w:rPr>
          <w:sz w:val="24"/>
          <w:szCs w:val="24"/>
        </w:rPr>
        <w:t>Ikke anvendte lægemidler samt affald heraf bør destrueres i henhold til lokale retningslinjer.</w:t>
      </w:r>
    </w:p>
    <w:p w14:paraId="6B86CD70" w14:textId="77777777" w:rsidR="009260DE" w:rsidRPr="00C84483" w:rsidRDefault="009260DE" w:rsidP="000730CA">
      <w:pPr>
        <w:tabs>
          <w:tab w:val="left" w:pos="851"/>
        </w:tabs>
        <w:ind w:left="851"/>
        <w:rPr>
          <w:sz w:val="24"/>
          <w:szCs w:val="24"/>
        </w:rPr>
      </w:pPr>
    </w:p>
    <w:p w14:paraId="2D84396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EF41588" w14:textId="77777777" w:rsidR="00F227A3" w:rsidRPr="00A17B9E" w:rsidRDefault="00F227A3" w:rsidP="00F227A3">
      <w:pPr>
        <w:tabs>
          <w:tab w:val="left" w:pos="851"/>
        </w:tabs>
        <w:ind w:left="851"/>
        <w:rPr>
          <w:sz w:val="24"/>
          <w:szCs w:val="24"/>
        </w:rPr>
      </w:pPr>
      <w:r w:rsidRPr="00A17B9E">
        <w:rPr>
          <w:sz w:val="24"/>
          <w:szCs w:val="24"/>
        </w:rPr>
        <w:t xml:space="preserve">Misom Labs Limited </w:t>
      </w:r>
    </w:p>
    <w:p w14:paraId="2B26899A" w14:textId="44789E95" w:rsidR="00F227A3" w:rsidRPr="00F227A3" w:rsidRDefault="00F227A3" w:rsidP="00F227A3">
      <w:pPr>
        <w:tabs>
          <w:tab w:val="left" w:pos="851"/>
        </w:tabs>
        <w:ind w:left="851"/>
        <w:rPr>
          <w:sz w:val="24"/>
          <w:szCs w:val="24"/>
          <w:lang w:val="en-IN"/>
        </w:rPr>
      </w:pPr>
      <w:r w:rsidRPr="00F227A3">
        <w:rPr>
          <w:sz w:val="24"/>
          <w:szCs w:val="24"/>
          <w:lang w:val="en-IN"/>
        </w:rPr>
        <w:t>Malta Life Sciences Park</w:t>
      </w:r>
    </w:p>
    <w:p w14:paraId="2F6F6150" w14:textId="62FB4C01" w:rsidR="00F227A3" w:rsidRPr="00F227A3" w:rsidRDefault="00F227A3" w:rsidP="00F227A3">
      <w:pPr>
        <w:tabs>
          <w:tab w:val="left" w:pos="851"/>
        </w:tabs>
        <w:ind w:left="851"/>
        <w:rPr>
          <w:sz w:val="24"/>
          <w:szCs w:val="24"/>
          <w:lang w:val="en-IN"/>
        </w:rPr>
      </w:pPr>
      <w:r w:rsidRPr="00F227A3">
        <w:rPr>
          <w:sz w:val="24"/>
          <w:szCs w:val="24"/>
          <w:lang w:val="en-IN"/>
        </w:rPr>
        <w:t>LS2.01.06, Industrial Estate</w:t>
      </w:r>
    </w:p>
    <w:p w14:paraId="5E5F16A6" w14:textId="4B4A6B5C" w:rsidR="00F227A3" w:rsidRPr="00F227A3" w:rsidRDefault="00F227A3" w:rsidP="00F227A3">
      <w:pPr>
        <w:tabs>
          <w:tab w:val="left" w:pos="851"/>
        </w:tabs>
        <w:ind w:left="851"/>
        <w:rPr>
          <w:sz w:val="24"/>
          <w:szCs w:val="24"/>
        </w:rPr>
      </w:pPr>
      <w:r w:rsidRPr="00F227A3">
        <w:rPr>
          <w:sz w:val="24"/>
          <w:szCs w:val="24"/>
        </w:rPr>
        <w:t>SGN 3000 San Gwann</w:t>
      </w:r>
    </w:p>
    <w:p w14:paraId="5EF50331" w14:textId="15B51123" w:rsidR="00F227A3" w:rsidRPr="00F227A3" w:rsidRDefault="00F227A3" w:rsidP="00F227A3">
      <w:pPr>
        <w:tabs>
          <w:tab w:val="left" w:pos="851"/>
        </w:tabs>
        <w:ind w:left="851"/>
        <w:rPr>
          <w:sz w:val="24"/>
          <w:szCs w:val="24"/>
        </w:rPr>
      </w:pPr>
      <w:r w:rsidRPr="00F227A3">
        <w:rPr>
          <w:sz w:val="24"/>
          <w:szCs w:val="24"/>
        </w:rPr>
        <w:t>Malta</w:t>
      </w:r>
    </w:p>
    <w:p w14:paraId="275E9EFD" w14:textId="77777777" w:rsidR="009260DE" w:rsidRPr="00F227A3" w:rsidRDefault="009260DE" w:rsidP="009260DE">
      <w:pPr>
        <w:tabs>
          <w:tab w:val="left" w:pos="851"/>
        </w:tabs>
        <w:ind w:left="851"/>
        <w:rPr>
          <w:sz w:val="24"/>
          <w:szCs w:val="24"/>
        </w:rPr>
      </w:pPr>
    </w:p>
    <w:p w14:paraId="3B5E6BD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05D1D1C" w14:textId="1208F33D" w:rsidR="009260DE" w:rsidRPr="00C84483" w:rsidRDefault="00C73842" w:rsidP="009260DE">
      <w:pPr>
        <w:tabs>
          <w:tab w:val="left" w:pos="851"/>
        </w:tabs>
        <w:ind w:left="851"/>
        <w:rPr>
          <w:sz w:val="24"/>
          <w:szCs w:val="24"/>
        </w:rPr>
      </w:pPr>
      <w:r>
        <w:rPr>
          <w:sz w:val="24"/>
          <w:szCs w:val="24"/>
        </w:rPr>
        <w:t>67677</w:t>
      </w:r>
    </w:p>
    <w:p w14:paraId="7F327F81" w14:textId="77777777" w:rsidR="009260DE" w:rsidRPr="00C84483" w:rsidRDefault="009260DE" w:rsidP="009260DE">
      <w:pPr>
        <w:tabs>
          <w:tab w:val="left" w:pos="851"/>
        </w:tabs>
        <w:ind w:left="851"/>
        <w:jc w:val="both"/>
        <w:rPr>
          <w:sz w:val="24"/>
          <w:szCs w:val="24"/>
        </w:rPr>
      </w:pPr>
    </w:p>
    <w:p w14:paraId="4F526AE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7DB0CB0" w14:textId="7D7BA57B" w:rsidR="009260DE" w:rsidRPr="00C84483" w:rsidRDefault="00A17B9E" w:rsidP="009260DE">
      <w:pPr>
        <w:tabs>
          <w:tab w:val="left" w:pos="851"/>
        </w:tabs>
        <w:ind w:left="851"/>
        <w:rPr>
          <w:sz w:val="24"/>
          <w:szCs w:val="24"/>
        </w:rPr>
      </w:pPr>
      <w:r>
        <w:rPr>
          <w:sz w:val="24"/>
          <w:szCs w:val="24"/>
        </w:rPr>
        <w:t>24. januar 2025</w:t>
      </w:r>
    </w:p>
    <w:p w14:paraId="19827257" w14:textId="77777777" w:rsidR="009260DE" w:rsidRPr="00C84483" w:rsidRDefault="009260DE" w:rsidP="009260DE">
      <w:pPr>
        <w:tabs>
          <w:tab w:val="left" w:pos="851"/>
        </w:tabs>
        <w:ind w:left="851"/>
        <w:rPr>
          <w:sz w:val="24"/>
          <w:szCs w:val="24"/>
        </w:rPr>
      </w:pPr>
    </w:p>
    <w:p w14:paraId="3C69222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84F6AD7" w14:textId="10360CF9" w:rsidR="009260DE" w:rsidRPr="00C84483" w:rsidRDefault="00C7384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2F65E" w14:textId="77777777" w:rsidR="002F5C95" w:rsidRDefault="002F5C95">
      <w:r>
        <w:separator/>
      </w:r>
    </w:p>
  </w:endnote>
  <w:endnote w:type="continuationSeparator" w:id="0">
    <w:p w14:paraId="1D773D44" w14:textId="77777777" w:rsidR="002F5C95" w:rsidRDefault="002F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23CE" w14:textId="77777777" w:rsidR="000259B9" w:rsidRDefault="000259B9">
    <w:pPr>
      <w:pStyle w:val="Sidefod"/>
      <w:pBdr>
        <w:bottom w:val="single" w:sz="6" w:space="1" w:color="auto"/>
      </w:pBdr>
    </w:pPr>
  </w:p>
  <w:p w14:paraId="52434125" w14:textId="77777777" w:rsidR="000259B9" w:rsidRDefault="000259B9" w:rsidP="00C42586">
    <w:pPr>
      <w:pStyle w:val="Sidefod"/>
      <w:tabs>
        <w:tab w:val="clear" w:pos="4819"/>
        <w:tab w:val="left" w:pos="8505"/>
      </w:tabs>
      <w:rPr>
        <w:i/>
        <w:sz w:val="18"/>
        <w:szCs w:val="18"/>
      </w:rPr>
    </w:pPr>
  </w:p>
  <w:p w14:paraId="792718D2" w14:textId="2C5AA1C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63B30">
      <w:rPr>
        <w:i/>
        <w:noProof/>
        <w:sz w:val="18"/>
        <w:szCs w:val="18"/>
      </w:rPr>
      <w:t>Ketorolactrometamol Misom, øjendråber,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D4173" w14:textId="77777777" w:rsidR="002F5C95" w:rsidRDefault="002F5C95">
      <w:r>
        <w:separator/>
      </w:r>
    </w:p>
  </w:footnote>
  <w:footnote w:type="continuationSeparator" w:id="0">
    <w:p w14:paraId="42161D94" w14:textId="77777777" w:rsidR="002F5C95" w:rsidRDefault="002F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95"/>
    <w:rsid w:val="000259B9"/>
    <w:rsid w:val="00041491"/>
    <w:rsid w:val="00050D16"/>
    <w:rsid w:val="000730CA"/>
    <w:rsid w:val="00074F2A"/>
    <w:rsid w:val="000A1CA8"/>
    <w:rsid w:val="000A466B"/>
    <w:rsid w:val="000B058C"/>
    <w:rsid w:val="000D68B0"/>
    <w:rsid w:val="000E4EE6"/>
    <w:rsid w:val="000F3E34"/>
    <w:rsid w:val="001454E2"/>
    <w:rsid w:val="00206CE8"/>
    <w:rsid w:val="0021526C"/>
    <w:rsid w:val="00263B30"/>
    <w:rsid w:val="00273B9A"/>
    <w:rsid w:val="00283A2B"/>
    <w:rsid w:val="002B30AD"/>
    <w:rsid w:val="002C1EC0"/>
    <w:rsid w:val="002C2C01"/>
    <w:rsid w:val="002F5C95"/>
    <w:rsid w:val="003A29AE"/>
    <w:rsid w:val="003A32D7"/>
    <w:rsid w:val="003B4074"/>
    <w:rsid w:val="003C769A"/>
    <w:rsid w:val="003D3A90"/>
    <w:rsid w:val="003F1838"/>
    <w:rsid w:val="004251C1"/>
    <w:rsid w:val="0045746C"/>
    <w:rsid w:val="00474769"/>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098F"/>
    <w:rsid w:val="009C7BA3"/>
    <w:rsid w:val="009D1F5A"/>
    <w:rsid w:val="00A10294"/>
    <w:rsid w:val="00A17B9E"/>
    <w:rsid w:val="00B003BF"/>
    <w:rsid w:val="00B373D7"/>
    <w:rsid w:val="00B55271"/>
    <w:rsid w:val="00B73109"/>
    <w:rsid w:val="00BD7931"/>
    <w:rsid w:val="00BF6243"/>
    <w:rsid w:val="00C36276"/>
    <w:rsid w:val="00C42586"/>
    <w:rsid w:val="00C45F6B"/>
    <w:rsid w:val="00C60CCD"/>
    <w:rsid w:val="00C71F4F"/>
    <w:rsid w:val="00C73842"/>
    <w:rsid w:val="00C84483"/>
    <w:rsid w:val="00C95551"/>
    <w:rsid w:val="00CA1707"/>
    <w:rsid w:val="00CB20D7"/>
    <w:rsid w:val="00D020B0"/>
    <w:rsid w:val="00D11748"/>
    <w:rsid w:val="00D237F6"/>
    <w:rsid w:val="00D34D98"/>
    <w:rsid w:val="00D366CF"/>
    <w:rsid w:val="00D93992"/>
    <w:rsid w:val="00E108AA"/>
    <w:rsid w:val="00E15158"/>
    <w:rsid w:val="00E3749A"/>
    <w:rsid w:val="00E7437F"/>
    <w:rsid w:val="00E865B8"/>
    <w:rsid w:val="00EA1064"/>
    <w:rsid w:val="00EC0B9B"/>
    <w:rsid w:val="00ED5E9F"/>
    <w:rsid w:val="00F227A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C81B5"/>
  <w15:chartTrackingRefBased/>
  <w15:docId w15:val="{2FA9284C-82B7-46D6-B17F-AD7BC461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07370">
      <w:bodyDiv w:val="1"/>
      <w:marLeft w:val="0"/>
      <w:marRight w:val="0"/>
      <w:marTop w:val="0"/>
      <w:marBottom w:val="0"/>
      <w:divBdr>
        <w:top w:val="none" w:sz="0" w:space="0" w:color="auto"/>
        <w:left w:val="none" w:sz="0" w:space="0" w:color="auto"/>
        <w:bottom w:val="none" w:sz="0" w:space="0" w:color="auto"/>
        <w:right w:val="none" w:sz="0" w:space="0" w:color="auto"/>
      </w:divBdr>
    </w:div>
    <w:div w:id="1186874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8177390">
      <w:bodyDiv w:val="1"/>
      <w:marLeft w:val="0"/>
      <w:marRight w:val="0"/>
      <w:marTop w:val="0"/>
      <w:marBottom w:val="0"/>
      <w:divBdr>
        <w:top w:val="none" w:sz="0" w:space="0" w:color="auto"/>
        <w:left w:val="none" w:sz="0" w:space="0" w:color="auto"/>
        <w:bottom w:val="none" w:sz="0" w:space="0" w:color="auto"/>
        <w:right w:val="none" w:sz="0" w:space="0" w:color="auto"/>
      </w:divBdr>
    </w:div>
    <w:div w:id="360395240">
      <w:bodyDiv w:val="1"/>
      <w:marLeft w:val="0"/>
      <w:marRight w:val="0"/>
      <w:marTop w:val="0"/>
      <w:marBottom w:val="0"/>
      <w:divBdr>
        <w:top w:val="none" w:sz="0" w:space="0" w:color="auto"/>
        <w:left w:val="none" w:sz="0" w:space="0" w:color="auto"/>
        <w:bottom w:val="none" w:sz="0" w:space="0" w:color="auto"/>
        <w:right w:val="none" w:sz="0" w:space="0" w:color="auto"/>
      </w:divBdr>
    </w:div>
    <w:div w:id="361782197">
      <w:bodyDiv w:val="1"/>
      <w:marLeft w:val="0"/>
      <w:marRight w:val="0"/>
      <w:marTop w:val="0"/>
      <w:marBottom w:val="0"/>
      <w:divBdr>
        <w:top w:val="none" w:sz="0" w:space="0" w:color="auto"/>
        <w:left w:val="none" w:sz="0" w:space="0" w:color="auto"/>
        <w:bottom w:val="none" w:sz="0" w:space="0" w:color="auto"/>
        <w:right w:val="none" w:sz="0" w:space="0" w:color="auto"/>
      </w:divBdr>
    </w:div>
    <w:div w:id="392777299">
      <w:bodyDiv w:val="1"/>
      <w:marLeft w:val="0"/>
      <w:marRight w:val="0"/>
      <w:marTop w:val="0"/>
      <w:marBottom w:val="0"/>
      <w:divBdr>
        <w:top w:val="none" w:sz="0" w:space="0" w:color="auto"/>
        <w:left w:val="none" w:sz="0" w:space="0" w:color="auto"/>
        <w:bottom w:val="none" w:sz="0" w:space="0" w:color="auto"/>
        <w:right w:val="none" w:sz="0" w:space="0" w:color="auto"/>
      </w:divBdr>
    </w:div>
    <w:div w:id="509299917">
      <w:bodyDiv w:val="1"/>
      <w:marLeft w:val="0"/>
      <w:marRight w:val="0"/>
      <w:marTop w:val="0"/>
      <w:marBottom w:val="0"/>
      <w:divBdr>
        <w:top w:val="none" w:sz="0" w:space="0" w:color="auto"/>
        <w:left w:val="none" w:sz="0" w:space="0" w:color="auto"/>
        <w:bottom w:val="none" w:sz="0" w:space="0" w:color="auto"/>
        <w:right w:val="none" w:sz="0" w:space="0" w:color="auto"/>
      </w:divBdr>
    </w:div>
    <w:div w:id="608047256">
      <w:bodyDiv w:val="1"/>
      <w:marLeft w:val="0"/>
      <w:marRight w:val="0"/>
      <w:marTop w:val="0"/>
      <w:marBottom w:val="0"/>
      <w:divBdr>
        <w:top w:val="none" w:sz="0" w:space="0" w:color="auto"/>
        <w:left w:val="none" w:sz="0" w:space="0" w:color="auto"/>
        <w:bottom w:val="none" w:sz="0" w:space="0" w:color="auto"/>
        <w:right w:val="none" w:sz="0" w:space="0" w:color="auto"/>
      </w:divBdr>
    </w:div>
    <w:div w:id="681472261">
      <w:bodyDiv w:val="1"/>
      <w:marLeft w:val="0"/>
      <w:marRight w:val="0"/>
      <w:marTop w:val="0"/>
      <w:marBottom w:val="0"/>
      <w:divBdr>
        <w:top w:val="none" w:sz="0" w:space="0" w:color="auto"/>
        <w:left w:val="none" w:sz="0" w:space="0" w:color="auto"/>
        <w:bottom w:val="none" w:sz="0" w:space="0" w:color="auto"/>
        <w:right w:val="none" w:sz="0" w:space="0" w:color="auto"/>
      </w:divBdr>
    </w:div>
    <w:div w:id="704137724">
      <w:bodyDiv w:val="1"/>
      <w:marLeft w:val="0"/>
      <w:marRight w:val="0"/>
      <w:marTop w:val="0"/>
      <w:marBottom w:val="0"/>
      <w:divBdr>
        <w:top w:val="none" w:sz="0" w:space="0" w:color="auto"/>
        <w:left w:val="none" w:sz="0" w:space="0" w:color="auto"/>
        <w:bottom w:val="none" w:sz="0" w:space="0" w:color="auto"/>
        <w:right w:val="none" w:sz="0" w:space="0" w:color="auto"/>
      </w:divBdr>
    </w:div>
    <w:div w:id="743378966">
      <w:bodyDiv w:val="1"/>
      <w:marLeft w:val="0"/>
      <w:marRight w:val="0"/>
      <w:marTop w:val="0"/>
      <w:marBottom w:val="0"/>
      <w:divBdr>
        <w:top w:val="none" w:sz="0" w:space="0" w:color="auto"/>
        <w:left w:val="none" w:sz="0" w:space="0" w:color="auto"/>
        <w:bottom w:val="none" w:sz="0" w:space="0" w:color="auto"/>
        <w:right w:val="none" w:sz="0" w:space="0" w:color="auto"/>
      </w:divBdr>
    </w:div>
    <w:div w:id="881597854">
      <w:bodyDiv w:val="1"/>
      <w:marLeft w:val="0"/>
      <w:marRight w:val="0"/>
      <w:marTop w:val="0"/>
      <w:marBottom w:val="0"/>
      <w:divBdr>
        <w:top w:val="none" w:sz="0" w:space="0" w:color="auto"/>
        <w:left w:val="none" w:sz="0" w:space="0" w:color="auto"/>
        <w:bottom w:val="none" w:sz="0" w:space="0" w:color="auto"/>
        <w:right w:val="none" w:sz="0" w:space="0" w:color="auto"/>
      </w:divBdr>
    </w:div>
    <w:div w:id="903872961">
      <w:bodyDiv w:val="1"/>
      <w:marLeft w:val="0"/>
      <w:marRight w:val="0"/>
      <w:marTop w:val="0"/>
      <w:marBottom w:val="0"/>
      <w:divBdr>
        <w:top w:val="none" w:sz="0" w:space="0" w:color="auto"/>
        <w:left w:val="none" w:sz="0" w:space="0" w:color="auto"/>
        <w:bottom w:val="none" w:sz="0" w:space="0" w:color="auto"/>
        <w:right w:val="none" w:sz="0" w:space="0" w:color="auto"/>
      </w:divBdr>
    </w:div>
    <w:div w:id="905578119">
      <w:bodyDiv w:val="1"/>
      <w:marLeft w:val="0"/>
      <w:marRight w:val="0"/>
      <w:marTop w:val="0"/>
      <w:marBottom w:val="0"/>
      <w:divBdr>
        <w:top w:val="none" w:sz="0" w:space="0" w:color="auto"/>
        <w:left w:val="none" w:sz="0" w:space="0" w:color="auto"/>
        <w:bottom w:val="none" w:sz="0" w:space="0" w:color="auto"/>
        <w:right w:val="none" w:sz="0" w:space="0" w:color="auto"/>
      </w:divBdr>
    </w:div>
    <w:div w:id="932082030">
      <w:bodyDiv w:val="1"/>
      <w:marLeft w:val="0"/>
      <w:marRight w:val="0"/>
      <w:marTop w:val="0"/>
      <w:marBottom w:val="0"/>
      <w:divBdr>
        <w:top w:val="none" w:sz="0" w:space="0" w:color="auto"/>
        <w:left w:val="none" w:sz="0" w:space="0" w:color="auto"/>
        <w:bottom w:val="none" w:sz="0" w:space="0" w:color="auto"/>
        <w:right w:val="none" w:sz="0" w:space="0" w:color="auto"/>
      </w:divBdr>
    </w:div>
    <w:div w:id="952325305">
      <w:bodyDiv w:val="1"/>
      <w:marLeft w:val="0"/>
      <w:marRight w:val="0"/>
      <w:marTop w:val="0"/>
      <w:marBottom w:val="0"/>
      <w:divBdr>
        <w:top w:val="none" w:sz="0" w:space="0" w:color="auto"/>
        <w:left w:val="none" w:sz="0" w:space="0" w:color="auto"/>
        <w:bottom w:val="none" w:sz="0" w:space="0" w:color="auto"/>
        <w:right w:val="none" w:sz="0" w:space="0" w:color="auto"/>
      </w:divBdr>
    </w:div>
    <w:div w:id="986132079">
      <w:bodyDiv w:val="1"/>
      <w:marLeft w:val="0"/>
      <w:marRight w:val="0"/>
      <w:marTop w:val="0"/>
      <w:marBottom w:val="0"/>
      <w:divBdr>
        <w:top w:val="none" w:sz="0" w:space="0" w:color="auto"/>
        <w:left w:val="none" w:sz="0" w:space="0" w:color="auto"/>
        <w:bottom w:val="none" w:sz="0" w:space="0" w:color="auto"/>
        <w:right w:val="none" w:sz="0" w:space="0" w:color="auto"/>
      </w:divBdr>
    </w:div>
    <w:div w:id="998997002">
      <w:bodyDiv w:val="1"/>
      <w:marLeft w:val="0"/>
      <w:marRight w:val="0"/>
      <w:marTop w:val="0"/>
      <w:marBottom w:val="0"/>
      <w:divBdr>
        <w:top w:val="none" w:sz="0" w:space="0" w:color="auto"/>
        <w:left w:val="none" w:sz="0" w:space="0" w:color="auto"/>
        <w:bottom w:val="none" w:sz="0" w:space="0" w:color="auto"/>
        <w:right w:val="none" w:sz="0" w:space="0" w:color="auto"/>
      </w:divBdr>
    </w:div>
    <w:div w:id="1002971630">
      <w:bodyDiv w:val="1"/>
      <w:marLeft w:val="0"/>
      <w:marRight w:val="0"/>
      <w:marTop w:val="0"/>
      <w:marBottom w:val="0"/>
      <w:divBdr>
        <w:top w:val="none" w:sz="0" w:space="0" w:color="auto"/>
        <w:left w:val="none" w:sz="0" w:space="0" w:color="auto"/>
        <w:bottom w:val="none" w:sz="0" w:space="0" w:color="auto"/>
        <w:right w:val="none" w:sz="0" w:space="0" w:color="auto"/>
      </w:divBdr>
    </w:div>
    <w:div w:id="1003044074">
      <w:bodyDiv w:val="1"/>
      <w:marLeft w:val="0"/>
      <w:marRight w:val="0"/>
      <w:marTop w:val="0"/>
      <w:marBottom w:val="0"/>
      <w:divBdr>
        <w:top w:val="none" w:sz="0" w:space="0" w:color="auto"/>
        <w:left w:val="none" w:sz="0" w:space="0" w:color="auto"/>
        <w:bottom w:val="none" w:sz="0" w:space="0" w:color="auto"/>
        <w:right w:val="none" w:sz="0" w:space="0" w:color="auto"/>
      </w:divBdr>
    </w:div>
    <w:div w:id="1023362917">
      <w:bodyDiv w:val="1"/>
      <w:marLeft w:val="0"/>
      <w:marRight w:val="0"/>
      <w:marTop w:val="0"/>
      <w:marBottom w:val="0"/>
      <w:divBdr>
        <w:top w:val="none" w:sz="0" w:space="0" w:color="auto"/>
        <w:left w:val="none" w:sz="0" w:space="0" w:color="auto"/>
        <w:bottom w:val="none" w:sz="0" w:space="0" w:color="auto"/>
        <w:right w:val="none" w:sz="0" w:space="0" w:color="auto"/>
      </w:divBdr>
    </w:div>
    <w:div w:id="1192766222">
      <w:bodyDiv w:val="1"/>
      <w:marLeft w:val="0"/>
      <w:marRight w:val="0"/>
      <w:marTop w:val="0"/>
      <w:marBottom w:val="0"/>
      <w:divBdr>
        <w:top w:val="none" w:sz="0" w:space="0" w:color="auto"/>
        <w:left w:val="none" w:sz="0" w:space="0" w:color="auto"/>
        <w:bottom w:val="none" w:sz="0" w:space="0" w:color="auto"/>
        <w:right w:val="none" w:sz="0" w:space="0" w:color="auto"/>
      </w:divBdr>
    </w:div>
    <w:div w:id="1213998223">
      <w:bodyDiv w:val="1"/>
      <w:marLeft w:val="0"/>
      <w:marRight w:val="0"/>
      <w:marTop w:val="0"/>
      <w:marBottom w:val="0"/>
      <w:divBdr>
        <w:top w:val="none" w:sz="0" w:space="0" w:color="auto"/>
        <w:left w:val="none" w:sz="0" w:space="0" w:color="auto"/>
        <w:bottom w:val="none" w:sz="0" w:space="0" w:color="auto"/>
        <w:right w:val="none" w:sz="0" w:space="0" w:color="auto"/>
      </w:divBdr>
    </w:div>
    <w:div w:id="1316371993">
      <w:bodyDiv w:val="1"/>
      <w:marLeft w:val="0"/>
      <w:marRight w:val="0"/>
      <w:marTop w:val="0"/>
      <w:marBottom w:val="0"/>
      <w:divBdr>
        <w:top w:val="none" w:sz="0" w:space="0" w:color="auto"/>
        <w:left w:val="none" w:sz="0" w:space="0" w:color="auto"/>
        <w:bottom w:val="none" w:sz="0" w:space="0" w:color="auto"/>
        <w:right w:val="none" w:sz="0" w:space="0" w:color="auto"/>
      </w:divBdr>
    </w:div>
    <w:div w:id="1367952014">
      <w:bodyDiv w:val="1"/>
      <w:marLeft w:val="0"/>
      <w:marRight w:val="0"/>
      <w:marTop w:val="0"/>
      <w:marBottom w:val="0"/>
      <w:divBdr>
        <w:top w:val="none" w:sz="0" w:space="0" w:color="auto"/>
        <w:left w:val="none" w:sz="0" w:space="0" w:color="auto"/>
        <w:bottom w:val="none" w:sz="0" w:space="0" w:color="auto"/>
        <w:right w:val="none" w:sz="0" w:space="0" w:color="auto"/>
      </w:divBdr>
    </w:div>
    <w:div w:id="1386754787">
      <w:bodyDiv w:val="1"/>
      <w:marLeft w:val="0"/>
      <w:marRight w:val="0"/>
      <w:marTop w:val="0"/>
      <w:marBottom w:val="0"/>
      <w:divBdr>
        <w:top w:val="none" w:sz="0" w:space="0" w:color="auto"/>
        <w:left w:val="none" w:sz="0" w:space="0" w:color="auto"/>
        <w:bottom w:val="none" w:sz="0" w:space="0" w:color="auto"/>
        <w:right w:val="none" w:sz="0" w:space="0" w:color="auto"/>
      </w:divBdr>
    </w:div>
    <w:div w:id="1434938396">
      <w:bodyDiv w:val="1"/>
      <w:marLeft w:val="0"/>
      <w:marRight w:val="0"/>
      <w:marTop w:val="0"/>
      <w:marBottom w:val="0"/>
      <w:divBdr>
        <w:top w:val="none" w:sz="0" w:space="0" w:color="auto"/>
        <w:left w:val="none" w:sz="0" w:space="0" w:color="auto"/>
        <w:bottom w:val="none" w:sz="0" w:space="0" w:color="auto"/>
        <w:right w:val="none" w:sz="0" w:space="0" w:color="auto"/>
      </w:divBdr>
    </w:div>
    <w:div w:id="1450969856">
      <w:bodyDiv w:val="1"/>
      <w:marLeft w:val="0"/>
      <w:marRight w:val="0"/>
      <w:marTop w:val="0"/>
      <w:marBottom w:val="0"/>
      <w:divBdr>
        <w:top w:val="none" w:sz="0" w:space="0" w:color="auto"/>
        <w:left w:val="none" w:sz="0" w:space="0" w:color="auto"/>
        <w:bottom w:val="none" w:sz="0" w:space="0" w:color="auto"/>
        <w:right w:val="none" w:sz="0" w:space="0" w:color="auto"/>
      </w:divBdr>
    </w:div>
    <w:div w:id="1472212971">
      <w:bodyDiv w:val="1"/>
      <w:marLeft w:val="0"/>
      <w:marRight w:val="0"/>
      <w:marTop w:val="0"/>
      <w:marBottom w:val="0"/>
      <w:divBdr>
        <w:top w:val="none" w:sz="0" w:space="0" w:color="auto"/>
        <w:left w:val="none" w:sz="0" w:space="0" w:color="auto"/>
        <w:bottom w:val="none" w:sz="0" w:space="0" w:color="auto"/>
        <w:right w:val="none" w:sz="0" w:space="0" w:color="auto"/>
      </w:divBdr>
    </w:div>
    <w:div w:id="1540432468">
      <w:bodyDiv w:val="1"/>
      <w:marLeft w:val="0"/>
      <w:marRight w:val="0"/>
      <w:marTop w:val="0"/>
      <w:marBottom w:val="0"/>
      <w:divBdr>
        <w:top w:val="none" w:sz="0" w:space="0" w:color="auto"/>
        <w:left w:val="none" w:sz="0" w:space="0" w:color="auto"/>
        <w:bottom w:val="none" w:sz="0" w:space="0" w:color="auto"/>
        <w:right w:val="none" w:sz="0" w:space="0" w:color="auto"/>
      </w:divBdr>
    </w:div>
    <w:div w:id="1591500872">
      <w:bodyDiv w:val="1"/>
      <w:marLeft w:val="0"/>
      <w:marRight w:val="0"/>
      <w:marTop w:val="0"/>
      <w:marBottom w:val="0"/>
      <w:divBdr>
        <w:top w:val="none" w:sz="0" w:space="0" w:color="auto"/>
        <w:left w:val="none" w:sz="0" w:space="0" w:color="auto"/>
        <w:bottom w:val="none" w:sz="0" w:space="0" w:color="auto"/>
        <w:right w:val="none" w:sz="0" w:space="0" w:color="auto"/>
      </w:divBdr>
    </w:div>
    <w:div w:id="1605503684">
      <w:bodyDiv w:val="1"/>
      <w:marLeft w:val="0"/>
      <w:marRight w:val="0"/>
      <w:marTop w:val="0"/>
      <w:marBottom w:val="0"/>
      <w:divBdr>
        <w:top w:val="none" w:sz="0" w:space="0" w:color="auto"/>
        <w:left w:val="none" w:sz="0" w:space="0" w:color="auto"/>
        <w:bottom w:val="none" w:sz="0" w:space="0" w:color="auto"/>
        <w:right w:val="none" w:sz="0" w:space="0" w:color="auto"/>
      </w:divBdr>
    </w:div>
    <w:div w:id="1669401883">
      <w:bodyDiv w:val="1"/>
      <w:marLeft w:val="0"/>
      <w:marRight w:val="0"/>
      <w:marTop w:val="0"/>
      <w:marBottom w:val="0"/>
      <w:divBdr>
        <w:top w:val="none" w:sz="0" w:space="0" w:color="auto"/>
        <w:left w:val="none" w:sz="0" w:space="0" w:color="auto"/>
        <w:bottom w:val="none" w:sz="0" w:space="0" w:color="auto"/>
        <w:right w:val="none" w:sz="0" w:space="0" w:color="auto"/>
      </w:divBdr>
    </w:div>
    <w:div w:id="1818691477">
      <w:bodyDiv w:val="1"/>
      <w:marLeft w:val="0"/>
      <w:marRight w:val="0"/>
      <w:marTop w:val="0"/>
      <w:marBottom w:val="0"/>
      <w:divBdr>
        <w:top w:val="none" w:sz="0" w:space="0" w:color="auto"/>
        <w:left w:val="none" w:sz="0" w:space="0" w:color="auto"/>
        <w:bottom w:val="none" w:sz="0" w:space="0" w:color="auto"/>
        <w:right w:val="none" w:sz="0" w:space="0" w:color="auto"/>
      </w:divBdr>
    </w:div>
    <w:div w:id="1939947794">
      <w:bodyDiv w:val="1"/>
      <w:marLeft w:val="0"/>
      <w:marRight w:val="0"/>
      <w:marTop w:val="0"/>
      <w:marBottom w:val="0"/>
      <w:divBdr>
        <w:top w:val="none" w:sz="0" w:space="0" w:color="auto"/>
        <w:left w:val="none" w:sz="0" w:space="0" w:color="auto"/>
        <w:bottom w:val="none" w:sz="0" w:space="0" w:color="auto"/>
        <w:right w:val="none" w:sz="0" w:space="0" w:color="auto"/>
      </w:divBdr>
    </w:div>
    <w:div w:id="1983148238">
      <w:bodyDiv w:val="1"/>
      <w:marLeft w:val="0"/>
      <w:marRight w:val="0"/>
      <w:marTop w:val="0"/>
      <w:marBottom w:val="0"/>
      <w:divBdr>
        <w:top w:val="none" w:sz="0" w:space="0" w:color="auto"/>
        <w:left w:val="none" w:sz="0" w:space="0" w:color="auto"/>
        <w:bottom w:val="none" w:sz="0" w:space="0" w:color="auto"/>
        <w:right w:val="none" w:sz="0" w:space="0" w:color="auto"/>
      </w:divBdr>
    </w:div>
    <w:div w:id="2038509416">
      <w:bodyDiv w:val="1"/>
      <w:marLeft w:val="0"/>
      <w:marRight w:val="0"/>
      <w:marTop w:val="0"/>
      <w:marBottom w:val="0"/>
      <w:divBdr>
        <w:top w:val="none" w:sz="0" w:space="0" w:color="auto"/>
        <w:left w:val="none" w:sz="0" w:space="0" w:color="auto"/>
        <w:bottom w:val="none" w:sz="0" w:space="0" w:color="auto"/>
        <w:right w:val="none" w:sz="0" w:space="0" w:color="auto"/>
      </w:divBdr>
    </w:div>
    <w:div w:id="2051761357">
      <w:bodyDiv w:val="1"/>
      <w:marLeft w:val="0"/>
      <w:marRight w:val="0"/>
      <w:marTop w:val="0"/>
      <w:marBottom w:val="0"/>
      <w:divBdr>
        <w:top w:val="none" w:sz="0" w:space="0" w:color="auto"/>
        <w:left w:val="none" w:sz="0" w:space="0" w:color="auto"/>
        <w:bottom w:val="none" w:sz="0" w:space="0" w:color="auto"/>
        <w:right w:val="none" w:sz="0" w:space="0" w:color="auto"/>
      </w:divBdr>
    </w:div>
    <w:div w:id="2052802763">
      <w:bodyDiv w:val="1"/>
      <w:marLeft w:val="0"/>
      <w:marRight w:val="0"/>
      <w:marTop w:val="0"/>
      <w:marBottom w:val="0"/>
      <w:divBdr>
        <w:top w:val="none" w:sz="0" w:space="0" w:color="auto"/>
        <w:left w:val="none" w:sz="0" w:space="0" w:color="auto"/>
        <w:bottom w:val="none" w:sz="0" w:space="0" w:color="auto"/>
        <w:right w:val="none" w:sz="0" w:space="0" w:color="auto"/>
      </w:divBdr>
    </w:div>
    <w:div w:id="2068458305">
      <w:bodyDiv w:val="1"/>
      <w:marLeft w:val="0"/>
      <w:marRight w:val="0"/>
      <w:marTop w:val="0"/>
      <w:marBottom w:val="0"/>
      <w:divBdr>
        <w:top w:val="none" w:sz="0" w:space="0" w:color="auto"/>
        <w:left w:val="none" w:sz="0" w:space="0" w:color="auto"/>
        <w:bottom w:val="none" w:sz="0" w:space="0" w:color="auto"/>
        <w:right w:val="none" w:sz="0" w:space="0" w:color="auto"/>
      </w:divBdr>
    </w:div>
    <w:div w:id="209003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7</Pages>
  <Words>1775</Words>
  <Characters>12169</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2022041629 mt</dc:description>
  <cp:lastModifiedBy>Hanne Thy Iversen</cp:lastModifiedBy>
  <cp:revision>12</cp:revision>
  <cp:lastPrinted>2012-08-22T08:53:00Z</cp:lastPrinted>
  <dcterms:created xsi:type="dcterms:W3CDTF">2025-01-23T14:39:00Z</dcterms:created>
  <dcterms:modified xsi:type="dcterms:W3CDTF">2025-01-24T09:19:00Z</dcterms:modified>
</cp:coreProperties>
</file>