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3A75AB">
        <w:rPr>
          <w:szCs w:val="24"/>
        </w:rPr>
        <w:t>20. august 2021</w:t>
      </w:r>
    </w:p>
    <w:p w:rsidR="009260DE" w:rsidRPr="00C84483" w:rsidRDefault="009260DE" w:rsidP="009260DE">
      <w:pPr>
        <w:pStyle w:val="Titel"/>
        <w:tabs>
          <w:tab w:val="left" w:pos="8222"/>
        </w:tabs>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B65F6E" w:rsidP="009260DE">
      <w:pPr>
        <w:jc w:val="center"/>
        <w:rPr>
          <w:b/>
          <w:sz w:val="24"/>
          <w:szCs w:val="24"/>
        </w:rPr>
      </w:pPr>
      <w:r>
        <w:rPr>
          <w:b/>
          <w:sz w:val="24"/>
          <w:szCs w:val="24"/>
        </w:rPr>
        <w:t>Ketosteril,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B65F6E" w:rsidP="009260DE">
      <w:pPr>
        <w:tabs>
          <w:tab w:val="left" w:pos="851"/>
        </w:tabs>
        <w:ind w:left="851"/>
        <w:rPr>
          <w:sz w:val="24"/>
          <w:szCs w:val="24"/>
        </w:rPr>
      </w:pPr>
      <w:r>
        <w:rPr>
          <w:sz w:val="24"/>
          <w:szCs w:val="24"/>
        </w:rPr>
        <w:t>31606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B65F6E" w:rsidP="009260DE">
      <w:pPr>
        <w:tabs>
          <w:tab w:val="left" w:pos="851"/>
        </w:tabs>
        <w:ind w:left="851"/>
        <w:rPr>
          <w:sz w:val="24"/>
          <w:szCs w:val="24"/>
        </w:rPr>
      </w:pPr>
      <w:r>
        <w:rPr>
          <w:sz w:val="24"/>
          <w:szCs w:val="24"/>
        </w:rPr>
        <w:t>Ketosteril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552C7" w:rsidRPr="00E552C7" w:rsidRDefault="00E552C7" w:rsidP="00E552C7">
      <w:pPr>
        <w:tabs>
          <w:tab w:val="left" w:pos="851"/>
        </w:tabs>
        <w:ind w:left="851"/>
        <w:rPr>
          <w:sz w:val="24"/>
          <w:szCs w:val="24"/>
        </w:rPr>
      </w:pPr>
      <w:r w:rsidRPr="00E552C7">
        <w:rPr>
          <w:sz w:val="24"/>
          <w:szCs w:val="24"/>
        </w:rPr>
        <w:t>En filmovertrukket tablet indeholder:</w:t>
      </w:r>
    </w:p>
    <w:p w:rsidR="00E552C7" w:rsidRPr="00E552C7" w:rsidRDefault="00E552C7" w:rsidP="00E552C7">
      <w:pPr>
        <w:tabs>
          <w:tab w:val="left" w:pos="851"/>
        </w:tabs>
        <w:ind w:left="851"/>
        <w:rPr>
          <w:sz w:val="24"/>
          <w:szCs w:val="24"/>
        </w:rPr>
      </w:pPr>
    </w:p>
    <w:tbl>
      <w:tblPr>
        <w:tblStyle w:val="Tabel-Gitter"/>
        <w:tblW w:w="7181"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702"/>
        <w:gridCol w:w="1794"/>
      </w:tblGrid>
      <w:tr w:rsidR="00E552C7" w:rsidRPr="00E552C7" w:rsidTr="00393291">
        <w:tc>
          <w:tcPr>
            <w:tcW w:w="5387" w:type="dxa"/>
            <w:gridSpan w:val="2"/>
            <w:hideMark/>
          </w:tcPr>
          <w:p w:rsidR="00E552C7" w:rsidRPr="00E552C7" w:rsidRDefault="00E552C7" w:rsidP="00393291">
            <w:pPr>
              <w:ind w:left="33"/>
              <w:rPr>
                <w:b/>
                <w:sz w:val="24"/>
                <w:szCs w:val="24"/>
              </w:rPr>
            </w:pPr>
            <w:r w:rsidRPr="00E552C7">
              <w:rPr>
                <w:sz w:val="24"/>
                <w:szCs w:val="24"/>
              </w:rPr>
              <w:t>D,L-alfa-ketoisoleucin, calciumsalt</w:t>
            </w:r>
            <w:r w:rsidR="00F63812">
              <w:rPr>
                <w:sz w:val="24"/>
                <w:szCs w:val="24"/>
              </w:rPr>
              <w:t xml:space="preserve"> </w:t>
            </w:r>
          </w:p>
        </w:tc>
        <w:tc>
          <w:tcPr>
            <w:tcW w:w="1794" w:type="dxa"/>
            <w:hideMark/>
          </w:tcPr>
          <w:p w:rsidR="00E552C7" w:rsidRPr="00E552C7" w:rsidRDefault="00E552C7" w:rsidP="00393291">
            <w:pPr>
              <w:ind w:left="180"/>
              <w:rPr>
                <w:sz w:val="24"/>
                <w:szCs w:val="24"/>
              </w:rPr>
            </w:pPr>
            <w:r w:rsidRPr="00E552C7">
              <w:rPr>
                <w:sz w:val="24"/>
                <w:szCs w:val="24"/>
              </w:rPr>
              <w:t>67 mg</w:t>
            </w:r>
          </w:p>
        </w:tc>
      </w:tr>
      <w:tr w:rsidR="00E552C7" w:rsidRPr="00E552C7" w:rsidTr="00393291">
        <w:tc>
          <w:tcPr>
            <w:tcW w:w="5387" w:type="dxa"/>
            <w:gridSpan w:val="2"/>
            <w:hideMark/>
          </w:tcPr>
          <w:p w:rsidR="00E552C7" w:rsidRPr="00E552C7" w:rsidRDefault="00E552C7" w:rsidP="00393291">
            <w:pPr>
              <w:ind w:left="33"/>
              <w:rPr>
                <w:b/>
                <w:sz w:val="24"/>
                <w:szCs w:val="24"/>
              </w:rPr>
            </w:pPr>
            <w:r w:rsidRPr="00E552C7">
              <w:rPr>
                <w:sz w:val="24"/>
                <w:szCs w:val="24"/>
              </w:rPr>
              <w:t>Alfa-ketoleucin, calciumsalt</w:t>
            </w:r>
          </w:p>
        </w:tc>
        <w:tc>
          <w:tcPr>
            <w:tcW w:w="1794" w:type="dxa"/>
            <w:hideMark/>
          </w:tcPr>
          <w:p w:rsidR="00E552C7" w:rsidRPr="00E552C7" w:rsidRDefault="00E552C7" w:rsidP="00393291">
            <w:pPr>
              <w:ind w:left="180"/>
              <w:rPr>
                <w:sz w:val="24"/>
                <w:szCs w:val="24"/>
              </w:rPr>
            </w:pPr>
            <w:r w:rsidRPr="00E552C7">
              <w:rPr>
                <w:sz w:val="24"/>
                <w:szCs w:val="24"/>
              </w:rPr>
              <w:t>101 mg</w:t>
            </w:r>
          </w:p>
        </w:tc>
      </w:tr>
      <w:tr w:rsidR="00E552C7" w:rsidRPr="00E552C7" w:rsidTr="00393291">
        <w:tc>
          <w:tcPr>
            <w:tcW w:w="5387" w:type="dxa"/>
            <w:gridSpan w:val="2"/>
            <w:hideMark/>
          </w:tcPr>
          <w:p w:rsidR="00E552C7" w:rsidRPr="00E552C7" w:rsidRDefault="00E552C7" w:rsidP="00393291">
            <w:pPr>
              <w:ind w:left="33"/>
              <w:rPr>
                <w:b/>
                <w:sz w:val="24"/>
                <w:szCs w:val="24"/>
              </w:rPr>
            </w:pPr>
            <w:r w:rsidRPr="00E552C7">
              <w:rPr>
                <w:sz w:val="24"/>
                <w:szCs w:val="24"/>
              </w:rPr>
              <w:t>Alfa-ketophenylalanin, calciumsalt</w:t>
            </w:r>
          </w:p>
        </w:tc>
        <w:tc>
          <w:tcPr>
            <w:tcW w:w="1794" w:type="dxa"/>
            <w:hideMark/>
          </w:tcPr>
          <w:p w:rsidR="00E552C7" w:rsidRPr="00E552C7" w:rsidRDefault="00E552C7" w:rsidP="00393291">
            <w:pPr>
              <w:ind w:left="180"/>
              <w:rPr>
                <w:sz w:val="24"/>
                <w:szCs w:val="24"/>
              </w:rPr>
            </w:pPr>
            <w:r w:rsidRPr="00E552C7">
              <w:rPr>
                <w:sz w:val="24"/>
                <w:szCs w:val="24"/>
              </w:rPr>
              <w:t>68 mg</w:t>
            </w:r>
          </w:p>
        </w:tc>
      </w:tr>
      <w:tr w:rsidR="00E552C7" w:rsidRPr="00E552C7" w:rsidTr="00393291">
        <w:tc>
          <w:tcPr>
            <w:tcW w:w="5387" w:type="dxa"/>
            <w:gridSpan w:val="2"/>
            <w:hideMark/>
          </w:tcPr>
          <w:p w:rsidR="00E552C7" w:rsidRPr="00E552C7" w:rsidRDefault="00E552C7" w:rsidP="00393291">
            <w:pPr>
              <w:ind w:left="33"/>
              <w:rPr>
                <w:b/>
                <w:sz w:val="24"/>
                <w:szCs w:val="24"/>
              </w:rPr>
            </w:pPr>
            <w:r w:rsidRPr="00E552C7">
              <w:rPr>
                <w:sz w:val="24"/>
                <w:szCs w:val="24"/>
              </w:rPr>
              <w:t>Alfa-ketovalin, calciumsalt</w:t>
            </w:r>
          </w:p>
        </w:tc>
        <w:tc>
          <w:tcPr>
            <w:tcW w:w="1794" w:type="dxa"/>
            <w:hideMark/>
          </w:tcPr>
          <w:p w:rsidR="00E552C7" w:rsidRPr="00E552C7" w:rsidRDefault="00E552C7" w:rsidP="00393291">
            <w:pPr>
              <w:ind w:left="180"/>
              <w:rPr>
                <w:sz w:val="24"/>
                <w:szCs w:val="24"/>
              </w:rPr>
            </w:pPr>
            <w:r w:rsidRPr="00E552C7">
              <w:rPr>
                <w:sz w:val="24"/>
                <w:szCs w:val="24"/>
              </w:rPr>
              <w:t>86 mg</w:t>
            </w:r>
          </w:p>
        </w:tc>
      </w:tr>
      <w:tr w:rsidR="00E552C7" w:rsidRPr="00E552C7" w:rsidTr="00393291">
        <w:tc>
          <w:tcPr>
            <w:tcW w:w="5387" w:type="dxa"/>
            <w:gridSpan w:val="2"/>
            <w:hideMark/>
          </w:tcPr>
          <w:p w:rsidR="00E552C7" w:rsidRPr="00E552C7" w:rsidRDefault="00E552C7" w:rsidP="00393291">
            <w:pPr>
              <w:ind w:left="33"/>
              <w:rPr>
                <w:b/>
                <w:sz w:val="24"/>
                <w:szCs w:val="24"/>
                <w:lang w:val="en-US"/>
              </w:rPr>
            </w:pPr>
            <w:r w:rsidRPr="00E552C7">
              <w:rPr>
                <w:sz w:val="24"/>
                <w:szCs w:val="24"/>
                <w:lang w:val="en-US"/>
              </w:rPr>
              <w:t>D,L-alfa-hydroxymethionin, calciumsalt</w:t>
            </w:r>
            <w:r w:rsidR="00A54D51">
              <w:rPr>
                <w:sz w:val="24"/>
                <w:szCs w:val="24"/>
                <w:lang w:val="en-US"/>
              </w:rPr>
              <w:t xml:space="preserve"> </w:t>
            </w:r>
          </w:p>
        </w:tc>
        <w:tc>
          <w:tcPr>
            <w:tcW w:w="1794" w:type="dxa"/>
            <w:hideMark/>
          </w:tcPr>
          <w:p w:rsidR="00E552C7" w:rsidRPr="00E552C7" w:rsidRDefault="00E552C7" w:rsidP="00393291">
            <w:pPr>
              <w:ind w:left="180"/>
              <w:rPr>
                <w:sz w:val="24"/>
                <w:szCs w:val="24"/>
              </w:rPr>
            </w:pPr>
            <w:r w:rsidRPr="00E552C7">
              <w:rPr>
                <w:sz w:val="24"/>
                <w:szCs w:val="24"/>
              </w:rPr>
              <w:t>59 mg</w:t>
            </w:r>
          </w:p>
        </w:tc>
      </w:tr>
      <w:tr w:rsidR="00E552C7" w:rsidRPr="00E552C7" w:rsidTr="00393291">
        <w:tc>
          <w:tcPr>
            <w:tcW w:w="5387" w:type="dxa"/>
            <w:gridSpan w:val="2"/>
            <w:hideMark/>
          </w:tcPr>
          <w:p w:rsidR="00E552C7" w:rsidRPr="00E552C7" w:rsidRDefault="00E552C7" w:rsidP="00393291">
            <w:pPr>
              <w:ind w:left="33"/>
              <w:rPr>
                <w:sz w:val="24"/>
                <w:szCs w:val="24"/>
              </w:rPr>
            </w:pPr>
            <w:r w:rsidRPr="00E552C7">
              <w:rPr>
                <w:sz w:val="24"/>
                <w:szCs w:val="24"/>
              </w:rPr>
              <w:t>L-lysinacetat</w:t>
            </w:r>
          </w:p>
          <w:p w:rsidR="00E552C7" w:rsidRPr="00E552C7" w:rsidRDefault="00E552C7" w:rsidP="00393291">
            <w:pPr>
              <w:ind w:left="33"/>
              <w:rPr>
                <w:b/>
                <w:sz w:val="24"/>
                <w:szCs w:val="24"/>
              </w:rPr>
            </w:pPr>
            <w:r w:rsidRPr="00E552C7">
              <w:rPr>
                <w:sz w:val="24"/>
                <w:szCs w:val="24"/>
              </w:rPr>
              <w:t>svarende til 75 mg L-lysin</w:t>
            </w:r>
          </w:p>
        </w:tc>
        <w:tc>
          <w:tcPr>
            <w:tcW w:w="1794" w:type="dxa"/>
            <w:hideMark/>
          </w:tcPr>
          <w:p w:rsidR="00E552C7" w:rsidRPr="00E552C7" w:rsidRDefault="00E552C7" w:rsidP="00393291">
            <w:pPr>
              <w:ind w:left="180"/>
              <w:rPr>
                <w:b/>
                <w:sz w:val="24"/>
                <w:szCs w:val="24"/>
              </w:rPr>
            </w:pPr>
            <w:r w:rsidRPr="00E552C7">
              <w:rPr>
                <w:sz w:val="24"/>
                <w:szCs w:val="24"/>
              </w:rPr>
              <w:t>105 mg</w:t>
            </w:r>
          </w:p>
        </w:tc>
      </w:tr>
      <w:tr w:rsidR="00E552C7" w:rsidRPr="00E552C7" w:rsidTr="00393291">
        <w:tc>
          <w:tcPr>
            <w:tcW w:w="5387" w:type="dxa"/>
            <w:gridSpan w:val="2"/>
            <w:hideMark/>
          </w:tcPr>
          <w:p w:rsidR="00E552C7" w:rsidRPr="00E552C7" w:rsidRDefault="00E552C7" w:rsidP="00393291">
            <w:pPr>
              <w:ind w:left="33"/>
              <w:rPr>
                <w:b/>
                <w:sz w:val="24"/>
                <w:szCs w:val="24"/>
              </w:rPr>
            </w:pPr>
            <w:r w:rsidRPr="00E552C7">
              <w:rPr>
                <w:sz w:val="24"/>
                <w:szCs w:val="24"/>
              </w:rPr>
              <w:t>L-threonin</w:t>
            </w:r>
          </w:p>
        </w:tc>
        <w:tc>
          <w:tcPr>
            <w:tcW w:w="1794" w:type="dxa"/>
            <w:hideMark/>
          </w:tcPr>
          <w:p w:rsidR="00E552C7" w:rsidRPr="00E552C7" w:rsidRDefault="00E552C7" w:rsidP="00393291">
            <w:pPr>
              <w:ind w:left="180"/>
              <w:rPr>
                <w:sz w:val="24"/>
                <w:szCs w:val="24"/>
              </w:rPr>
            </w:pPr>
            <w:r w:rsidRPr="00E552C7">
              <w:rPr>
                <w:sz w:val="24"/>
                <w:szCs w:val="24"/>
              </w:rPr>
              <w:t>53 mg</w:t>
            </w:r>
          </w:p>
        </w:tc>
      </w:tr>
      <w:tr w:rsidR="00E552C7" w:rsidRPr="00E552C7" w:rsidTr="00393291">
        <w:tc>
          <w:tcPr>
            <w:tcW w:w="5387" w:type="dxa"/>
            <w:gridSpan w:val="2"/>
            <w:hideMark/>
          </w:tcPr>
          <w:p w:rsidR="00E552C7" w:rsidRPr="00E552C7" w:rsidRDefault="00E552C7" w:rsidP="00393291">
            <w:pPr>
              <w:ind w:left="33"/>
              <w:rPr>
                <w:b/>
                <w:sz w:val="24"/>
                <w:szCs w:val="24"/>
              </w:rPr>
            </w:pPr>
            <w:r w:rsidRPr="00E552C7">
              <w:rPr>
                <w:sz w:val="24"/>
                <w:szCs w:val="24"/>
              </w:rPr>
              <w:t>L-tryptophan</w:t>
            </w:r>
          </w:p>
        </w:tc>
        <w:tc>
          <w:tcPr>
            <w:tcW w:w="1794" w:type="dxa"/>
            <w:hideMark/>
          </w:tcPr>
          <w:p w:rsidR="00E552C7" w:rsidRPr="00E552C7" w:rsidRDefault="00E552C7" w:rsidP="00393291">
            <w:pPr>
              <w:ind w:left="180"/>
              <w:rPr>
                <w:sz w:val="24"/>
                <w:szCs w:val="24"/>
              </w:rPr>
            </w:pPr>
            <w:r w:rsidRPr="00E552C7">
              <w:rPr>
                <w:sz w:val="24"/>
                <w:szCs w:val="24"/>
              </w:rPr>
              <w:t>23 mg</w:t>
            </w:r>
          </w:p>
        </w:tc>
      </w:tr>
      <w:tr w:rsidR="00E552C7" w:rsidRPr="00E552C7" w:rsidTr="00393291">
        <w:tc>
          <w:tcPr>
            <w:tcW w:w="5387" w:type="dxa"/>
            <w:gridSpan w:val="2"/>
            <w:hideMark/>
          </w:tcPr>
          <w:p w:rsidR="00E552C7" w:rsidRPr="00E552C7" w:rsidRDefault="00E552C7" w:rsidP="00393291">
            <w:pPr>
              <w:ind w:left="33"/>
              <w:rPr>
                <w:b/>
                <w:sz w:val="24"/>
                <w:szCs w:val="24"/>
              </w:rPr>
            </w:pPr>
            <w:r w:rsidRPr="00E552C7">
              <w:rPr>
                <w:sz w:val="24"/>
                <w:szCs w:val="24"/>
              </w:rPr>
              <w:t>L-histidin</w:t>
            </w:r>
          </w:p>
        </w:tc>
        <w:tc>
          <w:tcPr>
            <w:tcW w:w="1794" w:type="dxa"/>
            <w:hideMark/>
          </w:tcPr>
          <w:p w:rsidR="00E552C7" w:rsidRPr="00E552C7" w:rsidRDefault="00E552C7" w:rsidP="00393291">
            <w:pPr>
              <w:ind w:left="180"/>
              <w:rPr>
                <w:sz w:val="24"/>
                <w:szCs w:val="24"/>
              </w:rPr>
            </w:pPr>
            <w:r w:rsidRPr="00E552C7">
              <w:rPr>
                <w:sz w:val="24"/>
                <w:szCs w:val="24"/>
              </w:rPr>
              <w:t>38 mg</w:t>
            </w:r>
          </w:p>
        </w:tc>
      </w:tr>
      <w:tr w:rsidR="00E552C7" w:rsidRPr="00E552C7" w:rsidTr="00393291">
        <w:tc>
          <w:tcPr>
            <w:tcW w:w="5387" w:type="dxa"/>
            <w:gridSpan w:val="2"/>
            <w:hideMark/>
          </w:tcPr>
          <w:p w:rsidR="00E552C7" w:rsidRPr="00E552C7" w:rsidRDefault="00E552C7" w:rsidP="00393291">
            <w:pPr>
              <w:ind w:left="33"/>
              <w:rPr>
                <w:b/>
                <w:sz w:val="24"/>
                <w:szCs w:val="24"/>
              </w:rPr>
            </w:pPr>
            <w:r w:rsidRPr="00E552C7">
              <w:rPr>
                <w:sz w:val="24"/>
                <w:szCs w:val="24"/>
              </w:rPr>
              <w:t>L-tyrosin</w:t>
            </w:r>
          </w:p>
        </w:tc>
        <w:tc>
          <w:tcPr>
            <w:tcW w:w="1794" w:type="dxa"/>
            <w:hideMark/>
          </w:tcPr>
          <w:p w:rsidR="00E552C7" w:rsidRPr="00E552C7" w:rsidRDefault="00E552C7" w:rsidP="00393291">
            <w:pPr>
              <w:ind w:left="180"/>
              <w:rPr>
                <w:b/>
                <w:sz w:val="24"/>
                <w:szCs w:val="24"/>
              </w:rPr>
            </w:pPr>
            <w:r w:rsidRPr="00E552C7">
              <w:rPr>
                <w:sz w:val="24"/>
                <w:szCs w:val="24"/>
              </w:rPr>
              <w:t>30 mg</w:t>
            </w:r>
          </w:p>
        </w:tc>
      </w:tr>
      <w:tr w:rsidR="00E552C7" w:rsidRPr="00E552C7" w:rsidTr="00393291">
        <w:tc>
          <w:tcPr>
            <w:tcW w:w="5387" w:type="dxa"/>
            <w:gridSpan w:val="2"/>
          </w:tcPr>
          <w:p w:rsidR="00E552C7" w:rsidRPr="00E552C7" w:rsidRDefault="00E552C7" w:rsidP="00393291">
            <w:pPr>
              <w:ind w:left="33"/>
              <w:rPr>
                <w:b/>
                <w:sz w:val="24"/>
                <w:szCs w:val="24"/>
                <w:lang w:val="en-GB"/>
              </w:rPr>
            </w:pPr>
          </w:p>
        </w:tc>
        <w:tc>
          <w:tcPr>
            <w:tcW w:w="1794" w:type="dxa"/>
          </w:tcPr>
          <w:p w:rsidR="00E552C7" w:rsidRPr="00E552C7" w:rsidRDefault="00E552C7" w:rsidP="00393291">
            <w:pPr>
              <w:ind w:left="180"/>
              <w:rPr>
                <w:b/>
                <w:sz w:val="24"/>
                <w:szCs w:val="24"/>
                <w:lang w:val="en-GB"/>
              </w:rPr>
            </w:pPr>
          </w:p>
        </w:tc>
      </w:tr>
      <w:tr w:rsidR="00E552C7" w:rsidRPr="00E552C7" w:rsidTr="00393291">
        <w:tc>
          <w:tcPr>
            <w:tcW w:w="5387" w:type="dxa"/>
            <w:gridSpan w:val="2"/>
            <w:hideMark/>
          </w:tcPr>
          <w:p w:rsidR="00E552C7" w:rsidRPr="00E552C7" w:rsidRDefault="00E552C7" w:rsidP="00393291">
            <w:pPr>
              <w:ind w:left="33"/>
              <w:rPr>
                <w:b/>
                <w:sz w:val="24"/>
                <w:szCs w:val="24"/>
              </w:rPr>
            </w:pPr>
            <w:r w:rsidRPr="00E552C7">
              <w:rPr>
                <w:sz w:val="24"/>
                <w:szCs w:val="24"/>
              </w:rPr>
              <w:t>Totalt nitrogenindhold pr. tablet</w:t>
            </w:r>
          </w:p>
        </w:tc>
        <w:tc>
          <w:tcPr>
            <w:tcW w:w="1794" w:type="dxa"/>
            <w:hideMark/>
          </w:tcPr>
          <w:p w:rsidR="00E552C7" w:rsidRPr="00E552C7" w:rsidRDefault="00E552C7" w:rsidP="00393291">
            <w:pPr>
              <w:ind w:left="180"/>
              <w:rPr>
                <w:sz w:val="24"/>
                <w:szCs w:val="24"/>
              </w:rPr>
            </w:pPr>
            <w:r w:rsidRPr="00E552C7">
              <w:rPr>
                <w:sz w:val="24"/>
                <w:szCs w:val="24"/>
              </w:rPr>
              <w:t>36 mg</w:t>
            </w:r>
          </w:p>
        </w:tc>
      </w:tr>
      <w:tr w:rsidR="00E552C7" w:rsidRPr="00E552C7" w:rsidTr="00393291">
        <w:tc>
          <w:tcPr>
            <w:tcW w:w="3685" w:type="dxa"/>
            <w:hideMark/>
          </w:tcPr>
          <w:p w:rsidR="00E552C7" w:rsidRPr="00E552C7" w:rsidRDefault="00E552C7" w:rsidP="00393291">
            <w:pPr>
              <w:ind w:left="33"/>
              <w:rPr>
                <w:b/>
                <w:sz w:val="24"/>
                <w:szCs w:val="24"/>
              </w:rPr>
            </w:pPr>
            <w:r w:rsidRPr="00E552C7">
              <w:rPr>
                <w:sz w:val="24"/>
                <w:szCs w:val="24"/>
              </w:rPr>
              <w:t>Calciumindhold pr. tablet</w:t>
            </w:r>
          </w:p>
        </w:tc>
        <w:tc>
          <w:tcPr>
            <w:tcW w:w="3495" w:type="dxa"/>
            <w:gridSpan w:val="2"/>
            <w:hideMark/>
          </w:tcPr>
          <w:p w:rsidR="00E552C7" w:rsidRPr="00E552C7" w:rsidRDefault="00E552C7" w:rsidP="00393291">
            <w:pPr>
              <w:ind w:left="180"/>
              <w:rPr>
                <w:sz w:val="24"/>
                <w:szCs w:val="24"/>
              </w:rPr>
            </w:pPr>
            <w:r w:rsidRPr="00E552C7">
              <w:rPr>
                <w:sz w:val="24"/>
                <w:szCs w:val="24"/>
              </w:rPr>
              <w:t>1,25 mmol = 50 mg</w:t>
            </w:r>
          </w:p>
        </w:tc>
      </w:tr>
    </w:tbl>
    <w:p w:rsidR="00E552C7" w:rsidRPr="00E552C7" w:rsidRDefault="00E552C7" w:rsidP="00E552C7">
      <w:pPr>
        <w:tabs>
          <w:tab w:val="left" w:pos="851"/>
        </w:tabs>
        <w:ind w:left="851"/>
        <w:rPr>
          <w:sz w:val="24"/>
          <w:szCs w:val="24"/>
        </w:rPr>
      </w:pPr>
    </w:p>
    <w:p w:rsidR="00E552C7" w:rsidRPr="00E552C7" w:rsidRDefault="00E552C7" w:rsidP="00E552C7">
      <w:pPr>
        <w:tabs>
          <w:tab w:val="left" w:pos="851"/>
        </w:tabs>
        <w:ind w:left="851"/>
        <w:rPr>
          <w:sz w:val="24"/>
          <w:szCs w:val="24"/>
        </w:rPr>
      </w:pPr>
      <w:r w:rsidRPr="00E552C7">
        <w:rPr>
          <w:sz w:val="24"/>
          <w:szCs w:val="24"/>
        </w:rPr>
        <w:t>Alle hjælpestoffer er anført under pkt. 6.1.</w:t>
      </w:r>
    </w:p>
    <w:p w:rsidR="00E552C7" w:rsidRPr="00E552C7" w:rsidRDefault="00E552C7" w:rsidP="00E552C7">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761826" w:rsidRDefault="00761826" w:rsidP="00761826">
      <w:pPr>
        <w:tabs>
          <w:tab w:val="left" w:pos="851"/>
        </w:tabs>
        <w:ind w:left="851"/>
        <w:rPr>
          <w:sz w:val="24"/>
          <w:szCs w:val="24"/>
        </w:rPr>
      </w:pPr>
      <w:r w:rsidRPr="00761826">
        <w:rPr>
          <w:sz w:val="24"/>
          <w:szCs w:val="24"/>
        </w:rPr>
        <w:t>Filmovertrukne tabletter</w:t>
      </w:r>
    </w:p>
    <w:p w:rsidR="00761826" w:rsidRPr="00761826" w:rsidRDefault="00761826" w:rsidP="00761826">
      <w:pPr>
        <w:tabs>
          <w:tab w:val="left" w:pos="851"/>
        </w:tabs>
        <w:ind w:left="851"/>
        <w:rPr>
          <w:sz w:val="24"/>
          <w:szCs w:val="24"/>
        </w:rPr>
      </w:pPr>
    </w:p>
    <w:p w:rsidR="00761826" w:rsidRPr="00761826" w:rsidRDefault="00761826" w:rsidP="00761826">
      <w:pPr>
        <w:tabs>
          <w:tab w:val="left" w:pos="851"/>
        </w:tabs>
        <w:ind w:left="851"/>
        <w:rPr>
          <w:sz w:val="24"/>
          <w:szCs w:val="24"/>
        </w:rPr>
      </w:pPr>
      <w:r w:rsidRPr="00761826">
        <w:rPr>
          <w:sz w:val="24"/>
          <w:szCs w:val="24"/>
        </w:rPr>
        <w:t>Aflange, gule, ca. 17,2</w:t>
      </w:r>
      <w:r w:rsidR="00FD511A">
        <w:rPr>
          <w:sz w:val="24"/>
          <w:szCs w:val="24"/>
        </w:rPr>
        <w:t>×</w:t>
      </w:r>
      <w:r w:rsidRPr="00761826">
        <w:rPr>
          <w:sz w:val="24"/>
          <w:szCs w:val="24"/>
        </w:rPr>
        <w:t>6,6 mm (længde</w:t>
      </w:r>
      <w:r w:rsidR="00FD511A">
        <w:rPr>
          <w:sz w:val="24"/>
          <w:szCs w:val="24"/>
        </w:rPr>
        <w:t>×</w:t>
      </w:r>
      <w:r w:rsidRPr="00761826">
        <w:rPr>
          <w:sz w:val="24"/>
          <w:szCs w:val="24"/>
        </w:rPr>
        <w:t>bredde).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D511A" w:rsidRPr="00FD511A" w:rsidRDefault="00FD511A" w:rsidP="00FD511A">
      <w:pPr>
        <w:tabs>
          <w:tab w:val="left" w:pos="851"/>
        </w:tabs>
        <w:ind w:left="851"/>
        <w:rPr>
          <w:sz w:val="24"/>
          <w:szCs w:val="24"/>
        </w:rPr>
      </w:pPr>
      <w:r w:rsidRPr="00FD511A">
        <w:rPr>
          <w:sz w:val="24"/>
          <w:szCs w:val="24"/>
        </w:rPr>
        <w:t xml:space="preserve">Forebyggelse og behandling af skader som følge af fejlagtig eller nedsat proteinmetabolisme hos voksne patienter med kronisk nyresygdom, som samtidig får </w:t>
      </w:r>
      <w:r w:rsidRPr="00FD511A">
        <w:rPr>
          <w:sz w:val="24"/>
          <w:szCs w:val="24"/>
        </w:rPr>
        <w:lastRenderedPageBreak/>
        <w:t>begrænset proteinindtag gennem kosten (≤ 40 g/dag). Dette gælder patienter, der har en glomerulær filtrationshastighed (GFR) på ≤ 25 ml/min/1,73 m</w:t>
      </w:r>
      <w:r w:rsidRPr="00FD511A">
        <w:rPr>
          <w:sz w:val="24"/>
          <w:szCs w:val="24"/>
          <w:vertAlign w:val="superscript"/>
        </w:rPr>
        <w:t>2</w:t>
      </w:r>
      <w:r w:rsidRPr="00FD511A">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800C3E" w:rsidRDefault="00800C3E" w:rsidP="00800C3E">
      <w:pPr>
        <w:tabs>
          <w:tab w:val="left" w:pos="851"/>
        </w:tabs>
        <w:ind w:left="851"/>
        <w:rPr>
          <w:sz w:val="24"/>
          <w:szCs w:val="24"/>
          <w:u w:val="single"/>
        </w:rPr>
      </w:pPr>
    </w:p>
    <w:p w:rsidR="00800C3E" w:rsidRPr="00800C3E" w:rsidRDefault="00800C3E" w:rsidP="00800C3E">
      <w:pPr>
        <w:tabs>
          <w:tab w:val="left" w:pos="851"/>
        </w:tabs>
        <w:ind w:left="851"/>
        <w:rPr>
          <w:sz w:val="24"/>
          <w:szCs w:val="24"/>
          <w:u w:val="single"/>
        </w:rPr>
      </w:pPr>
      <w:r w:rsidRPr="00800C3E">
        <w:rPr>
          <w:sz w:val="24"/>
          <w:szCs w:val="24"/>
          <w:u w:val="single"/>
        </w:rPr>
        <w:t>Dosering</w:t>
      </w:r>
    </w:p>
    <w:p w:rsidR="00800C3E" w:rsidRPr="00800C3E" w:rsidRDefault="00800C3E" w:rsidP="00800C3E">
      <w:pPr>
        <w:tabs>
          <w:tab w:val="left" w:pos="851"/>
        </w:tabs>
        <w:ind w:left="851"/>
        <w:rPr>
          <w:sz w:val="24"/>
          <w:szCs w:val="24"/>
        </w:rPr>
      </w:pPr>
      <w:r w:rsidRPr="00800C3E">
        <w:rPr>
          <w:sz w:val="24"/>
          <w:szCs w:val="24"/>
        </w:rPr>
        <w:t xml:space="preserve">Dosis for voksne (70 kg legemsvægt) er 4-8 tabletter tre gange </w:t>
      </w:r>
      <w:r>
        <w:rPr>
          <w:sz w:val="24"/>
          <w:szCs w:val="24"/>
        </w:rPr>
        <w:t>daglig</w:t>
      </w:r>
      <w:r w:rsidRPr="00800C3E">
        <w:rPr>
          <w:sz w:val="24"/>
          <w:szCs w:val="24"/>
        </w:rPr>
        <w:t xml:space="preserve"> sammen med et måltid, medmindre lægen har ordineret en anden dosis. Tabletterne må ikke tygges, da indholdet lugter ubehageligt.</w:t>
      </w:r>
    </w:p>
    <w:p w:rsidR="00800C3E" w:rsidRPr="00800C3E" w:rsidRDefault="00800C3E" w:rsidP="00800C3E">
      <w:pPr>
        <w:tabs>
          <w:tab w:val="left" w:pos="851"/>
        </w:tabs>
        <w:ind w:left="851"/>
        <w:rPr>
          <w:sz w:val="24"/>
          <w:szCs w:val="24"/>
        </w:rPr>
      </w:pPr>
    </w:p>
    <w:p w:rsidR="00800C3E" w:rsidRPr="00800C3E" w:rsidRDefault="00800C3E" w:rsidP="00800C3E">
      <w:pPr>
        <w:tabs>
          <w:tab w:val="left" w:pos="851"/>
        </w:tabs>
        <w:ind w:left="851"/>
        <w:rPr>
          <w:sz w:val="24"/>
          <w:szCs w:val="24"/>
        </w:rPr>
      </w:pPr>
      <w:r w:rsidRPr="00800C3E">
        <w:rPr>
          <w:sz w:val="24"/>
          <w:szCs w:val="24"/>
        </w:rPr>
        <w:t>Indtagelse sammen med et måltid fremmer korrekt absorption og metabolisering til de tilsvarende aminosyrer.</w:t>
      </w:r>
    </w:p>
    <w:p w:rsidR="00800C3E" w:rsidRPr="00800C3E" w:rsidRDefault="00800C3E" w:rsidP="00800C3E">
      <w:pPr>
        <w:tabs>
          <w:tab w:val="left" w:pos="851"/>
        </w:tabs>
        <w:ind w:left="851"/>
        <w:rPr>
          <w:sz w:val="24"/>
          <w:szCs w:val="24"/>
        </w:rPr>
      </w:pPr>
    </w:p>
    <w:p w:rsidR="00800C3E" w:rsidRPr="00800C3E" w:rsidRDefault="00800C3E" w:rsidP="00800C3E">
      <w:pPr>
        <w:tabs>
          <w:tab w:val="left" w:pos="851"/>
        </w:tabs>
        <w:ind w:left="851"/>
        <w:rPr>
          <w:bCs/>
          <w:i/>
          <w:iCs/>
          <w:sz w:val="24"/>
          <w:szCs w:val="24"/>
        </w:rPr>
      </w:pPr>
      <w:r w:rsidRPr="00800C3E">
        <w:rPr>
          <w:i/>
          <w:sz w:val="24"/>
          <w:szCs w:val="24"/>
        </w:rPr>
        <w:t>Pædiatrisk population</w:t>
      </w:r>
    </w:p>
    <w:p w:rsidR="00800C3E" w:rsidRPr="00800C3E" w:rsidRDefault="00800C3E" w:rsidP="00800C3E">
      <w:pPr>
        <w:tabs>
          <w:tab w:val="left" w:pos="851"/>
        </w:tabs>
        <w:ind w:left="851"/>
        <w:rPr>
          <w:sz w:val="24"/>
          <w:szCs w:val="24"/>
        </w:rPr>
      </w:pPr>
      <w:bookmarkStart w:id="0" w:name="_Hlk54270949"/>
      <w:r w:rsidRPr="00800C3E">
        <w:rPr>
          <w:sz w:val="24"/>
          <w:szCs w:val="24"/>
        </w:rPr>
        <w:t xml:space="preserve">Der foreligger ingen data </w:t>
      </w:r>
      <w:bookmarkEnd w:id="0"/>
      <w:r w:rsidRPr="00800C3E">
        <w:rPr>
          <w:sz w:val="24"/>
          <w:szCs w:val="24"/>
        </w:rPr>
        <w:t>(se pkt. 4.4).</w:t>
      </w:r>
    </w:p>
    <w:p w:rsidR="00800C3E" w:rsidRPr="00800C3E" w:rsidRDefault="00800C3E" w:rsidP="00800C3E">
      <w:pPr>
        <w:tabs>
          <w:tab w:val="left" w:pos="851"/>
        </w:tabs>
        <w:ind w:left="851"/>
        <w:rPr>
          <w:b/>
          <w:i/>
          <w:sz w:val="24"/>
          <w:szCs w:val="24"/>
        </w:rPr>
      </w:pPr>
    </w:p>
    <w:p w:rsidR="00800C3E" w:rsidRPr="00800C3E" w:rsidRDefault="00800C3E" w:rsidP="00800C3E">
      <w:pPr>
        <w:tabs>
          <w:tab w:val="left" w:pos="851"/>
        </w:tabs>
        <w:ind w:left="851"/>
        <w:rPr>
          <w:sz w:val="24"/>
          <w:szCs w:val="24"/>
          <w:u w:val="single"/>
        </w:rPr>
      </w:pPr>
      <w:r w:rsidRPr="00800C3E">
        <w:rPr>
          <w:sz w:val="24"/>
          <w:szCs w:val="24"/>
          <w:u w:val="single"/>
        </w:rPr>
        <w:t xml:space="preserve">Administration </w:t>
      </w:r>
    </w:p>
    <w:p w:rsidR="00800C3E" w:rsidRPr="00800C3E" w:rsidRDefault="00800C3E" w:rsidP="00800C3E">
      <w:pPr>
        <w:tabs>
          <w:tab w:val="left" w:pos="851"/>
        </w:tabs>
        <w:ind w:left="851"/>
        <w:rPr>
          <w:sz w:val="24"/>
          <w:szCs w:val="24"/>
        </w:rPr>
      </w:pPr>
      <w:r w:rsidRPr="00800C3E">
        <w:rPr>
          <w:sz w:val="24"/>
          <w:szCs w:val="24"/>
        </w:rPr>
        <w:t>Til oral anvendelse.</w:t>
      </w:r>
    </w:p>
    <w:p w:rsidR="00800C3E" w:rsidRPr="00800C3E" w:rsidRDefault="00800C3E" w:rsidP="00800C3E">
      <w:pPr>
        <w:tabs>
          <w:tab w:val="left" w:pos="851"/>
        </w:tabs>
        <w:ind w:left="851"/>
        <w:rPr>
          <w:sz w:val="24"/>
          <w:szCs w:val="24"/>
        </w:rPr>
      </w:pPr>
    </w:p>
    <w:p w:rsidR="00800C3E" w:rsidRPr="00800C3E" w:rsidRDefault="00800C3E" w:rsidP="00800C3E">
      <w:pPr>
        <w:tabs>
          <w:tab w:val="left" w:pos="851"/>
        </w:tabs>
        <w:ind w:left="851"/>
        <w:rPr>
          <w:sz w:val="24"/>
          <w:szCs w:val="24"/>
          <w:u w:val="single"/>
        </w:rPr>
      </w:pPr>
      <w:r w:rsidRPr="00800C3E">
        <w:rPr>
          <w:sz w:val="24"/>
          <w:szCs w:val="24"/>
          <w:u w:val="single"/>
        </w:rPr>
        <w:t>Behandlingsvarighed</w:t>
      </w:r>
    </w:p>
    <w:p w:rsidR="00800C3E" w:rsidRPr="00800C3E" w:rsidRDefault="00800C3E" w:rsidP="00800C3E">
      <w:pPr>
        <w:tabs>
          <w:tab w:val="left" w:pos="851"/>
        </w:tabs>
        <w:ind w:left="851"/>
        <w:rPr>
          <w:sz w:val="24"/>
          <w:szCs w:val="24"/>
        </w:rPr>
      </w:pPr>
      <w:r w:rsidRPr="00800C3E">
        <w:rPr>
          <w:sz w:val="24"/>
          <w:szCs w:val="24"/>
        </w:rPr>
        <w:t xml:space="preserve">Ketosteril tabletter administreres, så længe den glomerulære filtrationshastighed (GFR) er under 25 ml/min, og så længe proteinindtaget gennem kosten samtidig er begrænset til 40 g/dag eller derunder (voksne).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800C3E" w:rsidRPr="00800C3E" w:rsidRDefault="00800C3E" w:rsidP="00800C3E">
      <w:pPr>
        <w:tabs>
          <w:tab w:val="left" w:pos="851"/>
        </w:tabs>
        <w:ind w:left="851"/>
        <w:rPr>
          <w:sz w:val="24"/>
          <w:szCs w:val="24"/>
        </w:rPr>
      </w:pPr>
      <w:r w:rsidRPr="00800C3E">
        <w:rPr>
          <w:sz w:val="24"/>
          <w:szCs w:val="24"/>
        </w:rPr>
        <w:t xml:space="preserve">Overfølsomhed over for de aktive stoffer eller over for et eller flere af hjælpestofferne anført i pkt. 6.1. </w:t>
      </w:r>
    </w:p>
    <w:p w:rsidR="00800C3E" w:rsidRPr="00800C3E" w:rsidRDefault="00800C3E" w:rsidP="00800C3E">
      <w:pPr>
        <w:tabs>
          <w:tab w:val="left" w:pos="851"/>
        </w:tabs>
        <w:ind w:left="851"/>
        <w:rPr>
          <w:sz w:val="24"/>
          <w:szCs w:val="24"/>
        </w:rPr>
      </w:pPr>
      <w:r w:rsidRPr="00800C3E">
        <w:rPr>
          <w:sz w:val="24"/>
          <w:szCs w:val="24"/>
        </w:rPr>
        <w:t>Hypercalcæmi</w:t>
      </w:r>
    </w:p>
    <w:p w:rsidR="00800C3E" w:rsidRPr="00800C3E" w:rsidRDefault="00800C3E" w:rsidP="00800C3E">
      <w:pPr>
        <w:tabs>
          <w:tab w:val="left" w:pos="851"/>
        </w:tabs>
        <w:ind w:left="851"/>
        <w:rPr>
          <w:sz w:val="24"/>
          <w:szCs w:val="24"/>
        </w:rPr>
      </w:pPr>
      <w:r w:rsidRPr="00800C3E">
        <w:rPr>
          <w:sz w:val="24"/>
          <w:szCs w:val="24"/>
        </w:rPr>
        <w:t>Patienter med medfødte fejl i aminosyresyntesen.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BF32F0" w:rsidRPr="00BF32F0" w:rsidRDefault="00BF32F0" w:rsidP="00BF32F0">
      <w:pPr>
        <w:tabs>
          <w:tab w:val="left" w:pos="851"/>
        </w:tabs>
        <w:ind w:left="851"/>
        <w:rPr>
          <w:sz w:val="24"/>
          <w:szCs w:val="24"/>
        </w:rPr>
      </w:pPr>
      <w:r w:rsidRPr="00BF32F0">
        <w:rPr>
          <w:sz w:val="24"/>
          <w:szCs w:val="24"/>
        </w:rPr>
        <w:t>Serumcalcium bør overvåges regelmæssigt.</w:t>
      </w:r>
    </w:p>
    <w:p w:rsidR="00BF32F0" w:rsidRPr="00BF32F0" w:rsidRDefault="00BF32F0" w:rsidP="00BF32F0">
      <w:pPr>
        <w:tabs>
          <w:tab w:val="left" w:pos="851"/>
        </w:tabs>
        <w:ind w:left="851"/>
        <w:rPr>
          <w:sz w:val="24"/>
          <w:szCs w:val="24"/>
        </w:rPr>
      </w:pPr>
      <w:r w:rsidRPr="00BF32F0">
        <w:rPr>
          <w:sz w:val="24"/>
          <w:szCs w:val="24"/>
        </w:rPr>
        <w:t>Tilstrækkeligt kalorieindtag bør sikres.</w:t>
      </w:r>
    </w:p>
    <w:p w:rsidR="00BF32F0" w:rsidRPr="00BF32F0" w:rsidRDefault="00BF32F0" w:rsidP="00BF32F0">
      <w:pPr>
        <w:tabs>
          <w:tab w:val="left" w:pos="851"/>
        </w:tabs>
        <w:ind w:left="851"/>
        <w:rPr>
          <w:sz w:val="24"/>
          <w:szCs w:val="24"/>
        </w:rPr>
      </w:pPr>
      <w:r w:rsidRPr="00BF32F0">
        <w:rPr>
          <w:sz w:val="24"/>
          <w:szCs w:val="24"/>
        </w:rPr>
        <w:t>Ved hereditær fenylketonuri bør man være opmærksom på, at Ketosteril</w:t>
      </w:r>
      <w:r w:rsidR="00A54D51">
        <w:rPr>
          <w:sz w:val="24"/>
          <w:szCs w:val="24"/>
        </w:rPr>
        <w:t xml:space="preserve"> </w:t>
      </w:r>
      <w:r w:rsidRPr="00BF32F0">
        <w:rPr>
          <w:sz w:val="24"/>
          <w:szCs w:val="24"/>
        </w:rPr>
        <w:t xml:space="preserve">indeholder phenylalanin. </w:t>
      </w:r>
    </w:p>
    <w:p w:rsidR="00BF32F0" w:rsidRPr="00BF32F0" w:rsidRDefault="00BF32F0" w:rsidP="00BF32F0">
      <w:pPr>
        <w:tabs>
          <w:tab w:val="left" w:pos="851"/>
        </w:tabs>
        <w:ind w:left="851"/>
        <w:rPr>
          <w:sz w:val="24"/>
          <w:szCs w:val="24"/>
        </w:rPr>
      </w:pPr>
      <w:r w:rsidRPr="00BF32F0">
        <w:rPr>
          <w:sz w:val="24"/>
          <w:szCs w:val="24"/>
        </w:rPr>
        <w:t>Monitorering af serumfosfat er påkrævet ved samtidig administration af aluminiumhydroxid (se pkt. 4.5).</w:t>
      </w:r>
    </w:p>
    <w:p w:rsidR="00BF32F0" w:rsidRPr="00BF32F0" w:rsidRDefault="00BF32F0" w:rsidP="00BF32F0">
      <w:pPr>
        <w:tabs>
          <w:tab w:val="left" w:pos="851"/>
        </w:tabs>
        <w:ind w:left="851"/>
        <w:rPr>
          <w:sz w:val="24"/>
          <w:szCs w:val="24"/>
        </w:rPr>
      </w:pPr>
    </w:p>
    <w:p w:rsidR="00BF32F0" w:rsidRPr="00BF32F0" w:rsidRDefault="00BF32F0" w:rsidP="00BF32F0">
      <w:pPr>
        <w:tabs>
          <w:tab w:val="left" w:pos="851"/>
        </w:tabs>
        <w:ind w:left="851"/>
        <w:rPr>
          <w:sz w:val="24"/>
          <w:szCs w:val="24"/>
          <w:u w:val="single"/>
        </w:rPr>
      </w:pPr>
      <w:r w:rsidRPr="00BF32F0">
        <w:rPr>
          <w:sz w:val="24"/>
          <w:szCs w:val="24"/>
          <w:u w:val="single"/>
        </w:rPr>
        <w:t>Pædiatrisk population</w:t>
      </w:r>
    </w:p>
    <w:p w:rsidR="00BF32F0" w:rsidRPr="00BF32F0" w:rsidRDefault="00BF32F0" w:rsidP="00BF32F0">
      <w:pPr>
        <w:tabs>
          <w:tab w:val="left" w:pos="851"/>
        </w:tabs>
        <w:ind w:left="851"/>
        <w:rPr>
          <w:sz w:val="24"/>
          <w:szCs w:val="24"/>
        </w:rPr>
      </w:pPr>
      <w:r w:rsidRPr="00BF32F0">
        <w:rPr>
          <w:sz w:val="24"/>
          <w:szCs w:val="24"/>
        </w:rPr>
        <w:t xml:space="preserve">Der foreligger ingen data.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54D51" w:rsidRPr="00A54D51" w:rsidRDefault="00A54D51" w:rsidP="00A54D51">
      <w:pPr>
        <w:tabs>
          <w:tab w:val="left" w:pos="851"/>
        </w:tabs>
        <w:ind w:left="851"/>
        <w:rPr>
          <w:sz w:val="24"/>
          <w:szCs w:val="24"/>
        </w:rPr>
      </w:pPr>
      <w:r w:rsidRPr="00A54D51">
        <w:rPr>
          <w:sz w:val="24"/>
          <w:szCs w:val="24"/>
        </w:rPr>
        <w:t>Samtidig administration af calciumholdige lægemidler kan forårsage eller forværre forhøjet serumcalcium.</w:t>
      </w:r>
    </w:p>
    <w:p w:rsidR="00A54D51" w:rsidRPr="00A54D51" w:rsidRDefault="00A54D51" w:rsidP="00A54D51">
      <w:pPr>
        <w:tabs>
          <w:tab w:val="left" w:pos="851"/>
        </w:tabs>
        <w:ind w:left="851"/>
        <w:rPr>
          <w:sz w:val="24"/>
          <w:szCs w:val="24"/>
        </w:rPr>
      </w:pPr>
    </w:p>
    <w:p w:rsidR="00A54D51" w:rsidRPr="00A54D51" w:rsidRDefault="00A54D51" w:rsidP="00A54D51">
      <w:pPr>
        <w:tabs>
          <w:tab w:val="left" w:pos="851"/>
        </w:tabs>
        <w:ind w:left="851"/>
        <w:rPr>
          <w:sz w:val="24"/>
          <w:szCs w:val="24"/>
        </w:rPr>
      </w:pPr>
      <w:r w:rsidRPr="00A54D51">
        <w:rPr>
          <w:sz w:val="24"/>
          <w:szCs w:val="24"/>
        </w:rPr>
        <w:t>Lægemidler, der danner vanskeligt opløselige forbindelser med calcium (f.eks. tetracykliner, quinoliner som f.eks. ciprofloxacin og norfloxacin samt lægemidler, der indeholder jern, fluorid eller estramustin), bør ikke tages samtidig med Ketosteril</w:t>
      </w:r>
      <w:r>
        <w:rPr>
          <w:sz w:val="24"/>
          <w:szCs w:val="24"/>
        </w:rPr>
        <w:t xml:space="preserve"> </w:t>
      </w:r>
      <w:r w:rsidRPr="00A54D51">
        <w:rPr>
          <w:sz w:val="24"/>
          <w:szCs w:val="24"/>
        </w:rPr>
        <w:t>for at undgå at forstyrre absorptionen af de aktive stoffer. Der bør gå mindst to timer mellem indtagelsen af Ketosteril</w:t>
      </w:r>
      <w:r>
        <w:rPr>
          <w:sz w:val="24"/>
          <w:szCs w:val="24"/>
        </w:rPr>
        <w:t xml:space="preserve"> </w:t>
      </w:r>
      <w:r w:rsidRPr="00A54D51">
        <w:rPr>
          <w:sz w:val="24"/>
          <w:szCs w:val="24"/>
        </w:rPr>
        <w:t>og disse lægemidler.</w:t>
      </w:r>
    </w:p>
    <w:p w:rsidR="00A54D51" w:rsidRPr="00A54D51" w:rsidRDefault="00A54D51" w:rsidP="00A54D51">
      <w:pPr>
        <w:tabs>
          <w:tab w:val="left" w:pos="851"/>
        </w:tabs>
        <w:ind w:left="851"/>
        <w:rPr>
          <w:sz w:val="24"/>
          <w:szCs w:val="24"/>
        </w:rPr>
      </w:pPr>
    </w:p>
    <w:p w:rsidR="00A54D51" w:rsidRPr="00A54D51" w:rsidRDefault="00A54D51" w:rsidP="00A54D51">
      <w:pPr>
        <w:tabs>
          <w:tab w:val="left" w:pos="851"/>
        </w:tabs>
        <w:ind w:left="851"/>
        <w:rPr>
          <w:sz w:val="24"/>
          <w:szCs w:val="24"/>
        </w:rPr>
      </w:pPr>
      <w:r w:rsidRPr="00A54D51">
        <w:rPr>
          <w:sz w:val="24"/>
          <w:szCs w:val="24"/>
        </w:rPr>
        <w:t>Følsomheden over for hjerteglykosider og dermed risikoen for arytmier vil øges, hvis Ketosteril</w:t>
      </w:r>
      <w:r>
        <w:rPr>
          <w:sz w:val="24"/>
          <w:szCs w:val="24"/>
        </w:rPr>
        <w:t xml:space="preserve"> </w:t>
      </w:r>
      <w:r w:rsidRPr="00A54D51">
        <w:rPr>
          <w:sz w:val="24"/>
          <w:szCs w:val="24"/>
        </w:rPr>
        <w:t>medfører forhøjet serumcalcium (se pkt. 4.8).</w:t>
      </w:r>
    </w:p>
    <w:p w:rsidR="00A54D51" w:rsidRPr="00A54D51" w:rsidRDefault="00A54D51" w:rsidP="00A54D51">
      <w:pPr>
        <w:tabs>
          <w:tab w:val="left" w:pos="851"/>
        </w:tabs>
        <w:ind w:left="851"/>
        <w:rPr>
          <w:sz w:val="24"/>
          <w:szCs w:val="24"/>
        </w:rPr>
      </w:pPr>
    </w:p>
    <w:p w:rsidR="00A54D51" w:rsidRPr="00A54D51" w:rsidRDefault="00A54D51" w:rsidP="00A54D51">
      <w:pPr>
        <w:tabs>
          <w:tab w:val="left" w:pos="851"/>
        </w:tabs>
        <w:ind w:left="851"/>
        <w:rPr>
          <w:sz w:val="24"/>
          <w:szCs w:val="24"/>
        </w:rPr>
      </w:pPr>
      <w:r w:rsidRPr="00A54D51">
        <w:rPr>
          <w:sz w:val="24"/>
          <w:szCs w:val="24"/>
        </w:rPr>
        <w:t xml:space="preserve">Uræmiske symptomer bedres under behandling med Ketosteril. Ved administration af aluminiumhydroxid skal dosis af dette lægemiddel derfor om nødvendigt reduceres. Det bør overvåges, om niveauet af serumfosfat falder.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A54D51" w:rsidRPr="00A54D51" w:rsidRDefault="00A54D51" w:rsidP="00A54D51">
      <w:pPr>
        <w:tabs>
          <w:tab w:val="left" w:pos="851"/>
        </w:tabs>
        <w:ind w:left="851"/>
        <w:rPr>
          <w:i/>
          <w:sz w:val="24"/>
          <w:szCs w:val="24"/>
        </w:rPr>
      </w:pPr>
    </w:p>
    <w:p w:rsidR="00A54D51" w:rsidRPr="00A54D51" w:rsidRDefault="00A54D51" w:rsidP="00A54D51">
      <w:pPr>
        <w:tabs>
          <w:tab w:val="left" w:pos="851"/>
        </w:tabs>
        <w:ind w:left="851"/>
        <w:rPr>
          <w:sz w:val="24"/>
          <w:szCs w:val="24"/>
          <w:u w:val="single"/>
        </w:rPr>
      </w:pPr>
      <w:r w:rsidRPr="00A54D51">
        <w:rPr>
          <w:sz w:val="24"/>
          <w:szCs w:val="24"/>
          <w:u w:val="single"/>
        </w:rPr>
        <w:t>Graviditet</w:t>
      </w:r>
    </w:p>
    <w:p w:rsidR="00A54D51" w:rsidRPr="00A54D51" w:rsidRDefault="00A54D51" w:rsidP="00A54D51">
      <w:pPr>
        <w:tabs>
          <w:tab w:val="left" w:pos="851"/>
        </w:tabs>
        <w:ind w:left="851"/>
        <w:rPr>
          <w:sz w:val="24"/>
          <w:szCs w:val="24"/>
        </w:rPr>
      </w:pPr>
      <w:r w:rsidRPr="00A54D51">
        <w:rPr>
          <w:sz w:val="24"/>
          <w:szCs w:val="24"/>
        </w:rPr>
        <w:t>Der foreligger ikke tilstrækkelige data om anvendelsen af Ketosteril</w:t>
      </w:r>
      <w:r>
        <w:rPr>
          <w:sz w:val="24"/>
          <w:szCs w:val="24"/>
        </w:rPr>
        <w:t xml:space="preserve"> </w:t>
      </w:r>
      <w:r w:rsidRPr="00A54D51">
        <w:rPr>
          <w:sz w:val="24"/>
          <w:szCs w:val="24"/>
        </w:rPr>
        <w:t>hos gravide kvinder.</w:t>
      </w:r>
    </w:p>
    <w:p w:rsidR="00A54D51" w:rsidRPr="00A54D51" w:rsidRDefault="00A54D51" w:rsidP="00A54D51">
      <w:pPr>
        <w:tabs>
          <w:tab w:val="left" w:pos="851"/>
        </w:tabs>
        <w:ind w:left="851"/>
        <w:rPr>
          <w:sz w:val="24"/>
          <w:szCs w:val="24"/>
        </w:rPr>
      </w:pPr>
      <w:r w:rsidRPr="00A54D51">
        <w:rPr>
          <w:sz w:val="24"/>
          <w:szCs w:val="24"/>
        </w:rPr>
        <w:t>Dyreforsøg peger hverken på direkte eller indirekte skadelige virkninger med hensyn til graviditet, embryo-/fosterudvikling, fødsel og postnatal udvikling (se pkt. 5.3).</w:t>
      </w:r>
    </w:p>
    <w:p w:rsidR="00A54D51" w:rsidRPr="00A54D51" w:rsidRDefault="00A54D51" w:rsidP="00A54D51">
      <w:pPr>
        <w:tabs>
          <w:tab w:val="left" w:pos="851"/>
        </w:tabs>
        <w:ind w:left="851"/>
        <w:rPr>
          <w:sz w:val="24"/>
          <w:szCs w:val="24"/>
        </w:rPr>
      </w:pPr>
      <w:r w:rsidRPr="00A54D51">
        <w:rPr>
          <w:sz w:val="24"/>
          <w:szCs w:val="24"/>
        </w:rPr>
        <w:t>Der skal udvises forsigtighed ved ordination til gravide.</w:t>
      </w:r>
    </w:p>
    <w:p w:rsidR="00A54D51" w:rsidRPr="00A54D51" w:rsidRDefault="00A54D51" w:rsidP="00A54D51">
      <w:pPr>
        <w:tabs>
          <w:tab w:val="left" w:pos="851"/>
        </w:tabs>
        <w:ind w:left="851"/>
        <w:rPr>
          <w:sz w:val="24"/>
          <w:szCs w:val="24"/>
        </w:rPr>
      </w:pPr>
    </w:p>
    <w:p w:rsidR="00A54D51" w:rsidRPr="00A54D51" w:rsidRDefault="00A54D51" w:rsidP="00A54D51">
      <w:pPr>
        <w:tabs>
          <w:tab w:val="left" w:pos="851"/>
        </w:tabs>
        <w:ind w:left="851"/>
        <w:rPr>
          <w:sz w:val="24"/>
          <w:szCs w:val="24"/>
          <w:u w:val="single"/>
        </w:rPr>
      </w:pPr>
      <w:r w:rsidRPr="00A54D51">
        <w:rPr>
          <w:sz w:val="24"/>
          <w:szCs w:val="24"/>
          <w:u w:val="single"/>
        </w:rPr>
        <w:t>Amning</w:t>
      </w:r>
    </w:p>
    <w:p w:rsidR="00A54D51" w:rsidRPr="00A54D51" w:rsidRDefault="00A54D51" w:rsidP="00A54D51">
      <w:pPr>
        <w:tabs>
          <w:tab w:val="left" w:pos="851"/>
        </w:tabs>
        <w:ind w:left="851"/>
        <w:rPr>
          <w:sz w:val="24"/>
          <w:szCs w:val="24"/>
        </w:rPr>
      </w:pPr>
      <w:r w:rsidRPr="00A54D51">
        <w:rPr>
          <w:sz w:val="24"/>
          <w:szCs w:val="24"/>
        </w:rPr>
        <w:t>Der er endnu ingen erfaring med brug under amning.</w:t>
      </w:r>
    </w:p>
    <w:p w:rsidR="00A54D51" w:rsidRPr="00A54D51" w:rsidRDefault="00A54D51" w:rsidP="00A54D51">
      <w:pPr>
        <w:tabs>
          <w:tab w:val="left" w:pos="851"/>
        </w:tabs>
        <w:ind w:left="851"/>
        <w:rPr>
          <w:sz w:val="24"/>
          <w:szCs w:val="24"/>
        </w:rPr>
      </w:pPr>
    </w:p>
    <w:p w:rsidR="00A54D51" w:rsidRPr="00A54D51" w:rsidRDefault="00A54D51" w:rsidP="00A54D51">
      <w:pPr>
        <w:tabs>
          <w:tab w:val="left" w:pos="851"/>
        </w:tabs>
        <w:ind w:left="851"/>
        <w:rPr>
          <w:sz w:val="24"/>
          <w:szCs w:val="24"/>
          <w:u w:val="single"/>
        </w:rPr>
      </w:pPr>
      <w:bookmarkStart w:id="1" w:name="_Hlk54189717"/>
      <w:r w:rsidRPr="00A54D51">
        <w:rPr>
          <w:sz w:val="24"/>
          <w:szCs w:val="24"/>
          <w:u w:val="single"/>
        </w:rPr>
        <w:t>Fertilitet</w:t>
      </w:r>
    </w:p>
    <w:p w:rsidR="00A54D51" w:rsidRPr="00A54D51" w:rsidRDefault="00A54D51" w:rsidP="00A54D51">
      <w:pPr>
        <w:tabs>
          <w:tab w:val="left" w:pos="851"/>
        </w:tabs>
        <w:ind w:left="851"/>
        <w:rPr>
          <w:sz w:val="24"/>
          <w:szCs w:val="24"/>
        </w:rPr>
      </w:pPr>
      <w:r w:rsidRPr="00A54D51">
        <w:rPr>
          <w:sz w:val="24"/>
          <w:szCs w:val="24"/>
        </w:rPr>
        <w:t>Der foreligger ingen data for Ketosteril</w:t>
      </w:r>
      <w:bookmarkEnd w:id="1"/>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A54D51" w:rsidRDefault="00A54D51" w:rsidP="00A54D51">
      <w:pPr>
        <w:tabs>
          <w:tab w:val="left" w:pos="851"/>
        </w:tabs>
        <w:ind w:left="851"/>
        <w:rPr>
          <w:sz w:val="24"/>
          <w:szCs w:val="24"/>
        </w:rPr>
      </w:pPr>
      <w:r>
        <w:rPr>
          <w:sz w:val="24"/>
          <w:szCs w:val="24"/>
        </w:rPr>
        <w:t>Ikke mærkning.</w:t>
      </w:r>
    </w:p>
    <w:p w:rsidR="00A54D51" w:rsidRPr="00A54D51" w:rsidRDefault="00A54D51" w:rsidP="00A54D51">
      <w:pPr>
        <w:tabs>
          <w:tab w:val="left" w:pos="851"/>
        </w:tabs>
        <w:ind w:left="851"/>
        <w:rPr>
          <w:i/>
          <w:sz w:val="24"/>
          <w:szCs w:val="24"/>
        </w:rPr>
      </w:pPr>
      <w:r w:rsidRPr="00A54D51">
        <w:rPr>
          <w:sz w:val="24"/>
          <w:szCs w:val="24"/>
        </w:rPr>
        <w:t>Ketosteril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1D07D0" w:rsidRPr="001D07D0" w:rsidRDefault="001D07D0" w:rsidP="001D07D0">
      <w:pPr>
        <w:pStyle w:val="Sidehoved"/>
        <w:tabs>
          <w:tab w:val="left" w:pos="851"/>
        </w:tabs>
        <w:ind w:left="851"/>
        <w:rPr>
          <w:szCs w:val="24"/>
        </w:rPr>
      </w:pPr>
    </w:p>
    <w:p w:rsidR="001D07D0" w:rsidRPr="00D65C6E" w:rsidRDefault="001D07D0" w:rsidP="001D07D0">
      <w:pPr>
        <w:pStyle w:val="Sidehoved"/>
        <w:tabs>
          <w:tab w:val="left" w:pos="851"/>
        </w:tabs>
        <w:ind w:left="851"/>
        <w:rPr>
          <w:szCs w:val="24"/>
          <w:u w:val="single"/>
        </w:rPr>
      </w:pPr>
      <w:r w:rsidRPr="00D65C6E">
        <w:rPr>
          <w:szCs w:val="24"/>
          <w:u w:val="single"/>
        </w:rPr>
        <w:t>Bivirkningerne er angivet efter hyppighed som følger</w:t>
      </w:r>
    </w:p>
    <w:p w:rsidR="001D07D0" w:rsidRPr="001D07D0" w:rsidRDefault="001D07D0" w:rsidP="001D07D0">
      <w:pPr>
        <w:pStyle w:val="Sidehoved"/>
        <w:tabs>
          <w:tab w:val="left" w:pos="851"/>
        </w:tabs>
        <w:ind w:left="851"/>
        <w:rPr>
          <w:szCs w:val="24"/>
        </w:rPr>
      </w:pPr>
      <w:r w:rsidRPr="001D07D0">
        <w:rPr>
          <w:szCs w:val="24"/>
        </w:rPr>
        <w:t>Meget almindelig (≥ 1/10)</w:t>
      </w:r>
    </w:p>
    <w:p w:rsidR="001D07D0" w:rsidRPr="001D07D0" w:rsidRDefault="001D07D0" w:rsidP="001D07D0">
      <w:pPr>
        <w:pStyle w:val="Sidehoved"/>
        <w:tabs>
          <w:tab w:val="left" w:pos="851"/>
        </w:tabs>
        <w:ind w:left="851"/>
        <w:rPr>
          <w:szCs w:val="24"/>
        </w:rPr>
      </w:pPr>
      <w:r w:rsidRPr="001D07D0">
        <w:rPr>
          <w:szCs w:val="24"/>
        </w:rPr>
        <w:t>Almindelig (≥ 1/100 til &lt; 1/10)</w:t>
      </w:r>
    </w:p>
    <w:p w:rsidR="001D07D0" w:rsidRPr="001D07D0" w:rsidRDefault="001D07D0" w:rsidP="001D07D0">
      <w:pPr>
        <w:pStyle w:val="Sidehoved"/>
        <w:tabs>
          <w:tab w:val="left" w:pos="851"/>
        </w:tabs>
        <w:ind w:left="851"/>
        <w:rPr>
          <w:szCs w:val="24"/>
        </w:rPr>
      </w:pPr>
      <w:r w:rsidRPr="001D07D0">
        <w:rPr>
          <w:szCs w:val="24"/>
        </w:rPr>
        <w:t>Ikke almindelig (</w:t>
      </w:r>
      <w:r w:rsidRPr="001D07D0">
        <w:rPr>
          <w:b/>
          <w:bCs/>
          <w:szCs w:val="24"/>
        </w:rPr>
        <w:t>≥</w:t>
      </w:r>
      <w:r w:rsidRPr="001D07D0">
        <w:rPr>
          <w:szCs w:val="24"/>
        </w:rPr>
        <w:t> 1/1.000 til &lt; 1/100)</w:t>
      </w:r>
    </w:p>
    <w:p w:rsidR="001D07D0" w:rsidRPr="001D07D0" w:rsidRDefault="001D07D0" w:rsidP="001D07D0">
      <w:pPr>
        <w:pStyle w:val="Sidehoved"/>
        <w:tabs>
          <w:tab w:val="left" w:pos="851"/>
        </w:tabs>
        <w:ind w:left="851"/>
        <w:rPr>
          <w:szCs w:val="24"/>
        </w:rPr>
      </w:pPr>
      <w:r w:rsidRPr="001D07D0">
        <w:rPr>
          <w:szCs w:val="24"/>
        </w:rPr>
        <w:t>Sjælden (≥ 1/10.000 til &lt; 1/1.000)</w:t>
      </w:r>
    </w:p>
    <w:p w:rsidR="001D07D0" w:rsidRPr="001D07D0" w:rsidRDefault="001D07D0" w:rsidP="001D07D0">
      <w:pPr>
        <w:pStyle w:val="Sidehoved"/>
        <w:tabs>
          <w:tab w:val="left" w:pos="851"/>
        </w:tabs>
        <w:ind w:left="851"/>
        <w:rPr>
          <w:szCs w:val="24"/>
        </w:rPr>
      </w:pPr>
      <w:r w:rsidRPr="001D07D0">
        <w:rPr>
          <w:szCs w:val="24"/>
        </w:rPr>
        <w:t>Meget sjælden (&lt; 1/10.000)</w:t>
      </w:r>
    </w:p>
    <w:p w:rsidR="001D07D0" w:rsidRPr="001D07D0" w:rsidRDefault="001D07D0" w:rsidP="001D07D0">
      <w:pPr>
        <w:pStyle w:val="Sidehoved"/>
        <w:tabs>
          <w:tab w:val="left" w:pos="851"/>
        </w:tabs>
        <w:ind w:left="851"/>
        <w:rPr>
          <w:szCs w:val="24"/>
        </w:rPr>
      </w:pPr>
      <w:r w:rsidRPr="001D07D0">
        <w:rPr>
          <w:szCs w:val="24"/>
        </w:rPr>
        <w:t>Ikke kendt (kan ikke estimeres ud fra forhåndenværende data)</w:t>
      </w:r>
    </w:p>
    <w:p w:rsidR="001D07D0" w:rsidRPr="001D07D0" w:rsidRDefault="001D07D0" w:rsidP="001D07D0">
      <w:pPr>
        <w:pStyle w:val="Sidehoved"/>
        <w:tabs>
          <w:tab w:val="left" w:pos="851"/>
        </w:tabs>
        <w:ind w:left="851"/>
        <w:rPr>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72"/>
        <w:gridCol w:w="3332"/>
      </w:tblGrid>
      <w:tr w:rsidR="001D07D0" w:rsidRPr="001D07D0" w:rsidTr="001331CC">
        <w:tc>
          <w:tcPr>
            <w:tcW w:w="3472" w:type="dxa"/>
            <w:tcBorders>
              <w:top w:val="single" w:sz="4" w:space="0" w:color="auto"/>
              <w:left w:val="single" w:sz="4" w:space="0" w:color="auto"/>
              <w:bottom w:val="single" w:sz="4" w:space="0" w:color="auto"/>
              <w:right w:val="single" w:sz="4" w:space="0" w:color="auto"/>
            </w:tcBorders>
          </w:tcPr>
          <w:p w:rsidR="001D07D0" w:rsidRPr="001D07D0" w:rsidRDefault="001D07D0" w:rsidP="00D65C6E">
            <w:pPr>
              <w:pStyle w:val="Sidehoved"/>
              <w:ind w:left="73"/>
              <w:rPr>
                <w:i/>
                <w:szCs w:val="24"/>
              </w:rPr>
            </w:pPr>
          </w:p>
        </w:tc>
        <w:tc>
          <w:tcPr>
            <w:tcW w:w="3332" w:type="dxa"/>
            <w:tcBorders>
              <w:top w:val="single" w:sz="4" w:space="0" w:color="auto"/>
              <w:left w:val="single" w:sz="4" w:space="0" w:color="auto"/>
              <w:bottom w:val="single" w:sz="4" w:space="0" w:color="auto"/>
              <w:right w:val="single" w:sz="4" w:space="0" w:color="auto"/>
            </w:tcBorders>
            <w:hideMark/>
          </w:tcPr>
          <w:p w:rsidR="001D07D0" w:rsidRPr="001D07D0" w:rsidRDefault="001D07D0" w:rsidP="00D65C6E">
            <w:pPr>
              <w:pStyle w:val="Sidehoved"/>
              <w:ind w:left="288"/>
              <w:rPr>
                <w:i/>
                <w:szCs w:val="24"/>
              </w:rPr>
            </w:pPr>
            <w:r w:rsidRPr="001D07D0">
              <w:rPr>
                <w:i/>
                <w:szCs w:val="24"/>
              </w:rPr>
              <w:t>Meget sjælden (&lt; 1/10.000)</w:t>
            </w:r>
          </w:p>
        </w:tc>
      </w:tr>
      <w:tr w:rsidR="001D07D0" w:rsidRPr="001D07D0" w:rsidTr="001331CC">
        <w:tc>
          <w:tcPr>
            <w:tcW w:w="3472" w:type="dxa"/>
            <w:tcBorders>
              <w:top w:val="single" w:sz="4" w:space="0" w:color="auto"/>
              <w:left w:val="single" w:sz="4" w:space="0" w:color="auto"/>
              <w:bottom w:val="single" w:sz="4" w:space="0" w:color="auto"/>
              <w:right w:val="single" w:sz="4" w:space="0" w:color="auto"/>
            </w:tcBorders>
            <w:hideMark/>
          </w:tcPr>
          <w:p w:rsidR="001D07D0" w:rsidRPr="001D07D0" w:rsidRDefault="001D07D0" w:rsidP="00D65C6E">
            <w:pPr>
              <w:pStyle w:val="Sidehoved"/>
              <w:ind w:left="73"/>
              <w:rPr>
                <w:i/>
                <w:szCs w:val="24"/>
              </w:rPr>
            </w:pPr>
            <w:r w:rsidRPr="001D07D0">
              <w:rPr>
                <w:i/>
                <w:szCs w:val="24"/>
              </w:rPr>
              <w:t>Metabolisme og ernæring</w:t>
            </w:r>
          </w:p>
        </w:tc>
        <w:tc>
          <w:tcPr>
            <w:tcW w:w="3332" w:type="dxa"/>
            <w:tcBorders>
              <w:top w:val="single" w:sz="4" w:space="0" w:color="auto"/>
              <w:left w:val="single" w:sz="4" w:space="0" w:color="auto"/>
              <w:bottom w:val="single" w:sz="4" w:space="0" w:color="auto"/>
              <w:right w:val="single" w:sz="4" w:space="0" w:color="auto"/>
            </w:tcBorders>
            <w:hideMark/>
          </w:tcPr>
          <w:p w:rsidR="001D07D0" w:rsidRPr="001D07D0" w:rsidRDefault="001D07D0" w:rsidP="00D65C6E">
            <w:pPr>
              <w:pStyle w:val="Sidehoved"/>
              <w:ind w:left="288"/>
              <w:rPr>
                <w:szCs w:val="24"/>
              </w:rPr>
            </w:pPr>
            <w:r w:rsidRPr="001D07D0">
              <w:rPr>
                <w:szCs w:val="24"/>
              </w:rPr>
              <w:t>Hypercalcæmi</w:t>
            </w:r>
          </w:p>
        </w:tc>
      </w:tr>
    </w:tbl>
    <w:p w:rsidR="001D07D0" w:rsidRPr="001D07D0" w:rsidRDefault="001D07D0" w:rsidP="001D07D0">
      <w:pPr>
        <w:pStyle w:val="Sidehoved"/>
        <w:tabs>
          <w:tab w:val="left" w:pos="851"/>
        </w:tabs>
        <w:ind w:left="851"/>
        <w:rPr>
          <w:szCs w:val="24"/>
        </w:rPr>
      </w:pPr>
    </w:p>
    <w:p w:rsidR="001D07D0" w:rsidRPr="001D07D0" w:rsidRDefault="001D07D0" w:rsidP="001D07D0">
      <w:pPr>
        <w:pStyle w:val="Sidehoved"/>
        <w:tabs>
          <w:tab w:val="left" w:pos="851"/>
        </w:tabs>
        <w:ind w:left="851"/>
        <w:rPr>
          <w:szCs w:val="24"/>
        </w:rPr>
      </w:pPr>
      <w:r w:rsidRPr="001D07D0">
        <w:rPr>
          <w:szCs w:val="24"/>
        </w:rPr>
        <w:t>Hvis der opstår hypercalcæmi, bør indtaget af D-vitamin reduceres. Ved vedvarende hypercalcæmi skal dosis af Ketosteril</w:t>
      </w:r>
      <w:r w:rsidR="00F63812">
        <w:rPr>
          <w:szCs w:val="24"/>
        </w:rPr>
        <w:t xml:space="preserve"> </w:t>
      </w:r>
      <w:r w:rsidRPr="001D07D0">
        <w:rPr>
          <w:szCs w:val="24"/>
        </w:rPr>
        <w:t>og eventuelle andre calciumkilder reduceres (se også pkt. 4.5).</w:t>
      </w:r>
    </w:p>
    <w:p w:rsidR="001D07D0" w:rsidRPr="001D07D0" w:rsidRDefault="001D07D0" w:rsidP="001D07D0">
      <w:pPr>
        <w:pStyle w:val="Sidehoved"/>
        <w:tabs>
          <w:tab w:val="left" w:pos="851"/>
        </w:tabs>
        <w:ind w:left="851"/>
        <w:rPr>
          <w:szCs w:val="24"/>
          <w:u w:val="single"/>
        </w:rPr>
      </w:pPr>
    </w:p>
    <w:p w:rsidR="001D07D0" w:rsidRPr="001D07D0" w:rsidRDefault="001D07D0" w:rsidP="001D07D0">
      <w:pPr>
        <w:pStyle w:val="Sidehoved"/>
        <w:tabs>
          <w:tab w:val="left" w:pos="851"/>
        </w:tabs>
        <w:ind w:left="851"/>
        <w:rPr>
          <w:szCs w:val="24"/>
          <w:u w:val="single"/>
        </w:rPr>
      </w:pPr>
      <w:r w:rsidRPr="001D07D0">
        <w:rPr>
          <w:szCs w:val="24"/>
          <w:u w:val="single"/>
        </w:rPr>
        <w:t>Indberetning af formodede bivirkninger</w:t>
      </w:r>
    </w:p>
    <w:p w:rsidR="001D07D0" w:rsidRPr="001D07D0" w:rsidRDefault="001D07D0" w:rsidP="001D07D0">
      <w:pPr>
        <w:pStyle w:val="Sidehoved"/>
        <w:tabs>
          <w:tab w:val="left" w:pos="851"/>
        </w:tabs>
        <w:ind w:left="851"/>
        <w:rPr>
          <w:szCs w:val="24"/>
        </w:rPr>
      </w:pPr>
      <w:r w:rsidRPr="001D07D0">
        <w:rPr>
          <w:szCs w:val="24"/>
        </w:rPr>
        <w:t>Når lægemidlet er godkendt, er indberetning af formodede bivirkninger vigtig. Det muliggør løbende overvågning af benefit/risk-forholdet for lægemidlet. Sundhedspersoner anmodes om at indberette alle formodede bivirkninger via:</w:t>
      </w:r>
    </w:p>
    <w:p w:rsidR="001D07D0" w:rsidRPr="001D07D0" w:rsidRDefault="001D07D0" w:rsidP="001D07D0">
      <w:pPr>
        <w:pStyle w:val="Sidehoved"/>
        <w:tabs>
          <w:tab w:val="left" w:pos="851"/>
        </w:tabs>
        <w:rPr>
          <w:szCs w:val="24"/>
        </w:rPr>
      </w:pPr>
    </w:p>
    <w:p w:rsidR="001D07D0" w:rsidRPr="001D07D0" w:rsidRDefault="001D07D0" w:rsidP="001D07D0">
      <w:pPr>
        <w:pStyle w:val="Sidehoved"/>
        <w:tabs>
          <w:tab w:val="left" w:pos="851"/>
        </w:tabs>
        <w:ind w:left="851"/>
        <w:rPr>
          <w:szCs w:val="24"/>
        </w:rPr>
      </w:pPr>
      <w:r w:rsidRPr="001D07D0">
        <w:rPr>
          <w:szCs w:val="24"/>
        </w:rPr>
        <w:t>Lægemiddelstyrelsen</w:t>
      </w:r>
    </w:p>
    <w:p w:rsidR="001D07D0" w:rsidRPr="001D07D0" w:rsidRDefault="001D07D0" w:rsidP="001D07D0">
      <w:pPr>
        <w:pStyle w:val="Sidehoved"/>
        <w:tabs>
          <w:tab w:val="left" w:pos="851"/>
        </w:tabs>
        <w:ind w:left="851"/>
        <w:rPr>
          <w:szCs w:val="24"/>
        </w:rPr>
      </w:pPr>
      <w:r w:rsidRPr="001D07D0">
        <w:rPr>
          <w:szCs w:val="24"/>
        </w:rPr>
        <w:t>Axel Heides Gade 1</w:t>
      </w:r>
    </w:p>
    <w:p w:rsidR="001D07D0" w:rsidRPr="001D07D0" w:rsidRDefault="001D07D0" w:rsidP="001D07D0">
      <w:pPr>
        <w:pStyle w:val="Sidehoved"/>
        <w:tabs>
          <w:tab w:val="left" w:pos="851"/>
        </w:tabs>
        <w:ind w:left="851"/>
        <w:rPr>
          <w:szCs w:val="24"/>
        </w:rPr>
      </w:pPr>
      <w:r w:rsidRPr="001D07D0">
        <w:rPr>
          <w:szCs w:val="24"/>
        </w:rPr>
        <w:t>DK-2300 København S</w:t>
      </w:r>
    </w:p>
    <w:p w:rsidR="001D07D0" w:rsidRPr="001D07D0" w:rsidRDefault="001D07D0" w:rsidP="001D07D0">
      <w:pPr>
        <w:pStyle w:val="Sidehoved"/>
        <w:tabs>
          <w:tab w:val="left" w:pos="851"/>
        </w:tabs>
        <w:ind w:left="851"/>
        <w:rPr>
          <w:szCs w:val="24"/>
        </w:rPr>
      </w:pPr>
      <w:r w:rsidRPr="001D07D0">
        <w:rPr>
          <w:szCs w:val="24"/>
        </w:rPr>
        <w:t xml:space="preserve">Websted: </w:t>
      </w:r>
      <w:r w:rsidRPr="00090EF9">
        <w:rPr>
          <w:szCs w:val="24"/>
        </w:rPr>
        <w:t>www.meldenbivirkning.dk</w:t>
      </w:r>
    </w:p>
    <w:p w:rsidR="001D07D0" w:rsidRPr="001D07D0" w:rsidRDefault="001D07D0" w:rsidP="001D07D0">
      <w:pPr>
        <w:pStyle w:val="Sidehoved"/>
        <w:tabs>
          <w:tab w:val="left" w:pos="851"/>
        </w:tabs>
        <w:ind w:left="851"/>
        <w:rPr>
          <w:b/>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AF74D0" w:rsidRPr="00AF74D0" w:rsidRDefault="00AF74D0" w:rsidP="00AF74D0">
      <w:pPr>
        <w:tabs>
          <w:tab w:val="left" w:pos="851"/>
        </w:tabs>
        <w:ind w:left="851"/>
        <w:rPr>
          <w:sz w:val="24"/>
          <w:szCs w:val="24"/>
        </w:rPr>
      </w:pPr>
      <w:r w:rsidRPr="00AF74D0">
        <w:rPr>
          <w:sz w:val="24"/>
          <w:szCs w:val="24"/>
        </w:rPr>
        <w:t>Der er ikke indberettet tilfælde af overdosering.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B4DAA"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4C7182" w:rsidRPr="004C7182" w:rsidRDefault="004C7182" w:rsidP="004C7182">
      <w:pPr>
        <w:tabs>
          <w:tab w:val="left" w:pos="851"/>
        </w:tabs>
        <w:ind w:left="851"/>
        <w:rPr>
          <w:sz w:val="24"/>
          <w:szCs w:val="24"/>
        </w:rPr>
      </w:pPr>
      <w:r w:rsidRPr="004C7182">
        <w:rPr>
          <w:sz w:val="24"/>
          <w:szCs w:val="24"/>
        </w:rPr>
        <w:t>ATC-kode: V</w:t>
      </w:r>
      <w:r w:rsidR="00EB4DAA">
        <w:rPr>
          <w:sz w:val="24"/>
          <w:szCs w:val="24"/>
        </w:rPr>
        <w:t xml:space="preserve"> </w:t>
      </w:r>
      <w:r w:rsidRPr="004C7182">
        <w:rPr>
          <w:sz w:val="24"/>
          <w:szCs w:val="24"/>
        </w:rPr>
        <w:t>06</w:t>
      </w:r>
      <w:r w:rsidR="00EB4DAA">
        <w:rPr>
          <w:sz w:val="24"/>
          <w:szCs w:val="24"/>
        </w:rPr>
        <w:t xml:space="preserve"> </w:t>
      </w:r>
      <w:r w:rsidRPr="004C7182">
        <w:rPr>
          <w:sz w:val="24"/>
          <w:szCs w:val="24"/>
        </w:rPr>
        <w:t>DD. Generelle næringsstoffer, aminosyrer, inklusive kombinationer med polypeptider</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4C7182" w:rsidRPr="004C7182" w:rsidRDefault="004C7182" w:rsidP="004C7182">
      <w:pPr>
        <w:tabs>
          <w:tab w:val="left" w:pos="851"/>
        </w:tabs>
        <w:ind w:left="851"/>
        <w:rPr>
          <w:sz w:val="24"/>
          <w:szCs w:val="24"/>
        </w:rPr>
      </w:pPr>
      <w:r w:rsidRPr="004C7182">
        <w:rPr>
          <w:sz w:val="24"/>
          <w:szCs w:val="24"/>
        </w:rPr>
        <w:t>Ketosteril tabletter administreres som ernæringsterapi ved kronisk nyresygdom.</w:t>
      </w:r>
    </w:p>
    <w:p w:rsidR="004C7182" w:rsidRPr="004C7182" w:rsidRDefault="004C7182" w:rsidP="004C7182">
      <w:pPr>
        <w:tabs>
          <w:tab w:val="left" w:pos="851"/>
        </w:tabs>
        <w:ind w:left="851"/>
        <w:rPr>
          <w:sz w:val="24"/>
          <w:szCs w:val="24"/>
        </w:rPr>
      </w:pPr>
      <w:r w:rsidRPr="004C7182">
        <w:rPr>
          <w:sz w:val="24"/>
          <w:szCs w:val="24"/>
        </w:rPr>
        <w:t>Ketosteril</w:t>
      </w:r>
      <w:r w:rsidR="00F63812">
        <w:rPr>
          <w:sz w:val="24"/>
          <w:szCs w:val="24"/>
        </w:rPr>
        <w:t xml:space="preserve"> </w:t>
      </w:r>
      <w:r w:rsidRPr="004C7182">
        <w:rPr>
          <w:sz w:val="24"/>
          <w:szCs w:val="24"/>
        </w:rPr>
        <w:t>muliggør indtag af essentielle aminosyrer samtidig med, at indtaget af aminonitrogen minimeres.</w:t>
      </w:r>
    </w:p>
    <w:p w:rsidR="004C7182" w:rsidRPr="004C7182" w:rsidRDefault="004C7182" w:rsidP="004C7182">
      <w:pPr>
        <w:tabs>
          <w:tab w:val="left" w:pos="851"/>
        </w:tabs>
        <w:ind w:left="851"/>
        <w:rPr>
          <w:sz w:val="24"/>
          <w:szCs w:val="24"/>
        </w:rPr>
      </w:pPr>
    </w:p>
    <w:p w:rsidR="004C7182" w:rsidRPr="004C7182" w:rsidRDefault="004C7182" w:rsidP="004C7182">
      <w:pPr>
        <w:tabs>
          <w:tab w:val="left" w:pos="851"/>
        </w:tabs>
        <w:ind w:left="851"/>
        <w:rPr>
          <w:sz w:val="24"/>
          <w:szCs w:val="24"/>
        </w:rPr>
      </w:pPr>
      <w:r w:rsidRPr="004C7182">
        <w:rPr>
          <w:sz w:val="24"/>
          <w:szCs w:val="24"/>
        </w:rPr>
        <w:t>Efter absorption transamineres keto- og hydroxyanaloger til de tilsvarende essentielle aminosyrer ved at tage nitrogen fra ikke-essentielle aminosyrer og derved reducere dannelsen af urinstof via genanvendelse af aminogruppen. Derved reduceres akkumulationen af uræmiske toksiner. Keto- og hydroxysyrer inducerer ikke hyperfiltration i de residuale nefroner. Ketosyreholdige tilskud har en positiv indvirkning på renal hyperfosfatæmi og sekundær hyperparatyreose. Desuden kan renal osteodystrofi bedres. Brug af Ketosteril</w:t>
      </w:r>
      <w:r w:rsidR="00F63812">
        <w:rPr>
          <w:sz w:val="24"/>
          <w:szCs w:val="24"/>
        </w:rPr>
        <w:t xml:space="preserve"> </w:t>
      </w:r>
      <w:r w:rsidRPr="004C7182">
        <w:rPr>
          <w:sz w:val="24"/>
          <w:szCs w:val="24"/>
        </w:rPr>
        <w:t>i kombination med en meget proteinfattig kost gør det muligt at reducere nitrogenindtaget samtidig med, at man forebygger de skadelige virkninger ved utilstrækkeligt proteinindtag gennem kosten og fejlernæring.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46651" w:rsidRPr="00946651" w:rsidRDefault="00946651" w:rsidP="00946651">
      <w:pPr>
        <w:tabs>
          <w:tab w:val="left" w:pos="851"/>
        </w:tabs>
        <w:ind w:left="851"/>
        <w:rPr>
          <w:sz w:val="24"/>
          <w:szCs w:val="24"/>
        </w:rPr>
      </w:pPr>
      <w:r w:rsidRPr="00946651">
        <w:rPr>
          <w:sz w:val="24"/>
          <w:szCs w:val="24"/>
        </w:rPr>
        <w:t>Aminosyrers kinetik i plasma og deres integration i de metaboliske processer er velkendt. Det skal imidlertid bemærkes, at det ændrede plasmaniveau, der hyppigt ses hos uræmiske patienter, ikke synes at skyldes absorptionen af de tilførte aminosyrer, idet selve absorptionen ikke forstyrres. Det ændrede plasmaniveau ser ud til at skyldes nedsat kinetik efter absorption, hvilket kan detekteres på et meget tidligt stadie af sygdommen.</w:t>
      </w:r>
    </w:p>
    <w:p w:rsidR="00946651" w:rsidRPr="00946651" w:rsidRDefault="00946651" w:rsidP="00946651">
      <w:pPr>
        <w:tabs>
          <w:tab w:val="left" w:pos="851"/>
        </w:tabs>
        <w:ind w:left="851"/>
        <w:rPr>
          <w:sz w:val="24"/>
          <w:szCs w:val="24"/>
        </w:rPr>
      </w:pPr>
    </w:p>
    <w:p w:rsidR="00946651" w:rsidRPr="00946651" w:rsidRDefault="00946651" w:rsidP="00946651">
      <w:pPr>
        <w:tabs>
          <w:tab w:val="left" w:pos="851"/>
        </w:tabs>
        <w:ind w:left="851"/>
        <w:rPr>
          <w:sz w:val="24"/>
          <w:szCs w:val="24"/>
        </w:rPr>
      </w:pPr>
      <w:r w:rsidRPr="00946651">
        <w:rPr>
          <w:sz w:val="24"/>
          <w:szCs w:val="24"/>
        </w:rPr>
        <w:t>Hos raske personer øges plasmaniveauet af ketosyrer inden for 10 minutter efter oral administration. Der opnås stigninger på op til 5 gange niveauet ved baseline. Det maksimale niveau ses inden for 20-60 minutter, og efter 90 minutter stabiliserer niveauet sig inden for basisintervallet. Den gastrointestinale absorption sker således meget hurtigt.</w:t>
      </w:r>
      <w:r w:rsidR="00F63812">
        <w:rPr>
          <w:sz w:val="24"/>
          <w:szCs w:val="24"/>
        </w:rPr>
        <w:t xml:space="preserve"> </w:t>
      </w:r>
      <w:r w:rsidRPr="00946651">
        <w:rPr>
          <w:sz w:val="24"/>
          <w:szCs w:val="24"/>
        </w:rPr>
        <w:t xml:space="preserve">De samtidige stigninger i niveauet af ketosyrer og de tilsvarende aminosyrer viser, at ketosyrerne transamineres meget hurtigt. På grund af ketosyrers fysiologiske processer i kroppen er det sandsynligt, at eksogent tilførte ketosyrer integreres meget hurtigt i de metaboliske cyklusser. Ketosyrer følger de samme kataboliske processer som klassiske aminosyrer. Til dato er der ikke gennemført specifikke studier af udskillelsen af ketosyrer.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2118B2" w:rsidRPr="002118B2" w:rsidRDefault="002118B2" w:rsidP="002118B2">
      <w:pPr>
        <w:tabs>
          <w:tab w:val="left" w:pos="851"/>
        </w:tabs>
        <w:ind w:left="851"/>
        <w:rPr>
          <w:sz w:val="24"/>
          <w:szCs w:val="24"/>
        </w:rPr>
      </w:pPr>
      <w:r w:rsidRPr="002118B2">
        <w:rPr>
          <w:sz w:val="24"/>
          <w:szCs w:val="24"/>
        </w:rPr>
        <w:t xml:space="preserve">Non-kliniske sikkerhedsdata viser ingen speciel risiko for mennesker vurderet ud fra konventionelle studier af sikkerhedsfarmakologi, akut toksicitet og toksicitet efter gentagne doser, reproduktionstoksicitet og genotoksicitet. </w:t>
      </w:r>
    </w:p>
    <w:p w:rsidR="002118B2" w:rsidRPr="002118B2" w:rsidRDefault="002118B2" w:rsidP="002118B2">
      <w:pPr>
        <w:tabs>
          <w:tab w:val="left" w:pos="851"/>
        </w:tabs>
        <w:ind w:left="851"/>
        <w:rPr>
          <w:sz w:val="24"/>
          <w:szCs w:val="24"/>
        </w:rPr>
      </w:pPr>
      <w:r w:rsidRPr="002118B2">
        <w:rPr>
          <w:sz w:val="24"/>
          <w:szCs w:val="24"/>
        </w:rPr>
        <w:t>Ketosteril udviser ikke teratogene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2118B2" w:rsidRPr="002118B2" w:rsidRDefault="002118B2" w:rsidP="002118B2">
      <w:pPr>
        <w:tabs>
          <w:tab w:val="left" w:pos="851"/>
        </w:tabs>
        <w:ind w:left="851"/>
        <w:rPr>
          <w:sz w:val="24"/>
          <w:szCs w:val="24"/>
        </w:rPr>
      </w:pPr>
    </w:p>
    <w:p w:rsidR="002118B2" w:rsidRPr="003A75AB" w:rsidRDefault="002118B2" w:rsidP="002118B2">
      <w:pPr>
        <w:tabs>
          <w:tab w:val="left" w:pos="851"/>
        </w:tabs>
        <w:ind w:left="851"/>
        <w:rPr>
          <w:bCs/>
          <w:sz w:val="24"/>
          <w:szCs w:val="24"/>
          <w:u w:val="single"/>
        </w:rPr>
      </w:pPr>
      <w:r w:rsidRPr="003A75AB">
        <w:rPr>
          <w:sz w:val="24"/>
          <w:szCs w:val="24"/>
          <w:u w:val="single"/>
        </w:rPr>
        <w:t>Tabletkerne</w:t>
      </w:r>
    </w:p>
    <w:p w:rsidR="002118B2" w:rsidRPr="003A75AB" w:rsidRDefault="002118B2" w:rsidP="002118B2">
      <w:pPr>
        <w:tabs>
          <w:tab w:val="left" w:pos="851"/>
        </w:tabs>
        <w:ind w:left="851"/>
        <w:rPr>
          <w:bCs/>
          <w:sz w:val="24"/>
          <w:szCs w:val="24"/>
        </w:rPr>
      </w:pPr>
      <w:r w:rsidRPr="003A75AB">
        <w:rPr>
          <w:sz w:val="24"/>
          <w:szCs w:val="24"/>
        </w:rPr>
        <w:t>Crospovidon</w:t>
      </w:r>
    </w:p>
    <w:p w:rsidR="002118B2" w:rsidRPr="003A75AB" w:rsidRDefault="002118B2" w:rsidP="002118B2">
      <w:pPr>
        <w:tabs>
          <w:tab w:val="left" w:pos="851"/>
        </w:tabs>
        <w:ind w:left="851"/>
        <w:rPr>
          <w:bCs/>
          <w:sz w:val="24"/>
          <w:szCs w:val="24"/>
        </w:rPr>
      </w:pPr>
      <w:r w:rsidRPr="003A75AB">
        <w:rPr>
          <w:sz w:val="24"/>
          <w:szCs w:val="24"/>
        </w:rPr>
        <w:t>Macrogol</w:t>
      </w:r>
    </w:p>
    <w:p w:rsidR="002118B2" w:rsidRPr="003A75AB" w:rsidRDefault="002118B2" w:rsidP="002118B2">
      <w:pPr>
        <w:tabs>
          <w:tab w:val="left" w:pos="851"/>
        </w:tabs>
        <w:ind w:left="851"/>
        <w:rPr>
          <w:bCs/>
          <w:sz w:val="24"/>
          <w:szCs w:val="24"/>
        </w:rPr>
      </w:pPr>
      <w:r w:rsidRPr="003A75AB">
        <w:rPr>
          <w:sz w:val="24"/>
          <w:szCs w:val="24"/>
        </w:rPr>
        <w:t>Magnesiumstearat E470b</w:t>
      </w:r>
    </w:p>
    <w:p w:rsidR="002118B2" w:rsidRPr="003A75AB" w:rsidRDefault="002118B2" w:rsidP="002118B2">
      <w:pPr>
        <w:tabs>
          <w:tab w:val="left" w:pos="851"/>
        </w:tabs>
        <w:ind w:left="851"/>
        <w:rPr>
          <w:bCs/>
          <w:sz w:val="24"/>
          <w:szCs w:val="24"/>
        </w:rPr>
      </w:pPr>
      <w:r w:rsidRPr="003A75AB">
        <w:rPr>
          <w:sz w:val="24"/>
          <w:szCs w:val="24"/>
        </w:rPr>
        <w:t>Majsstivelse</w:t>
      </w:r>
    </w:p>
    <w:p w:rsidR="002118B2" w:rsidRPr="002118B2" w:rsidRDefault="002118B2" w:rsidP="002118B2">
      <w:pPr>
        <w:tabs>
          <w:tab w:val="left" w:pos="851"/>
        </w:tabs>
        <w:ind w:left="851"/>
        <w:rPr>
          <w:bCs/>
          <w:sz w:val="24"/>
          <w:szCs w:val="24"/>
        </w:rPr>
      </w:pPr>
      <w:r w:rsidRPr="002118B2">
        <w:rPr>
          <w:sz w:val="24"/>
          <w:szCs w:val="24"/>
        </w:rPr>
        <w:t>Povidon</w:t>
      </w:r>
    </w:p>
    <w:p w:rsidR="002118B2" w:rsidRPr="002118B2" w:rsidRDefault="002118B2" w:rsidP="002118B2">
      <w:pPr>
        <w:tabs>
          <w:tab w:val="left" w:pos="851"/>
        </w:tabs>
        <w:ind w:left="851"/>
        <w:rPr>
          <w:bCs/>
          <w:sz w:val="24"/>
          <w:szCs w:val="24"/>
        </w:rPr>
      </w:pPr>
      <w:r w:rsidRPr="002118B2">
        <w:rPr>
          <w:sz w:val="24"/>
          <w:szCs w:val="24"/>
        </w:rPr>
        <w:t xml:space="preserve">Silica, kolloid vandfri </w:t>
      </w:r>
    </w:p>
    <w:p w:rsidR="002118B2" w:rsidRPr="002118B2" w:rsidRDefault="002118B2" w:rsidP="002118B2">
      <w:pPr>
        <w:tabs>
          <w:tab w:val="left" w:pos="851"/>
        </w:tabs>
        <w:ind w:left="851"/>
        <w:rPr>
          <w:bCs/>
          <w:sz w:val="24"/>
          <w:szCs w:val="24"/>
        </w:rPr>
      </w:pPr>
      <w:r w:rsidRPr="002118B2">
        <w:rPr>
          <w:sz w:val="24"/>
          <w:szCs w:val="24"/>
        </w:rPr>
        <w:t>Talcum</w:t>
      </w:r>
    </w:p>
    <w:p w:rsidR="002118B2" w:rsidRPr="002118B2" w:rsidRDefault="002118B2" w:rsidP="002118B2">
      <w:pPr>
        <w:tabs>
          <w:tab w:val="left" w:pos="851"/>
        </w:tabs>
        <w:ind w:left="851"/>
        <w:rPr>
          <w:bCs/>
          <w:sz w:val="24"/>
          <w:szCs w:val="24"/>
        </w:rPr>
      </w:pPr>
    </w:p>
    <w:p w:rsidR="002118B2" w:rsidRPr="002118B2" w:rsidRDefault="002118B2" w:rsidP="002118B2">
      <w:pPr>
        <w:tabs>
          <w:tab w:val="left" w:pos="851"/>
        </w:tabs>
        <w:ind w:left="851"/>
        <w:rPr>
          <w:bCs/>
          <w:sz w:val="24"/>
          <w:szCs w:val="24"/>
          <w:u w:val="single"/>
        </w:rPr>
      </w:pPr>
      <w:r w:rsidRPr="002118B2">
        <w:rPr>
          <w:sz w:val="24"/>
          <w:szCs w:val="24"/>
          <w:u w:val="single"/>
        </w:rPr>
        <w:t>Filmovertræk</w:t>
      </w:r>
    </w:p>
    <w:p w:rsidR="002118B2" w:rsidRPr="002118B2" w:rsidRDefault="00E678B6" w:rsidP="002118B2">
      <w:pPr>
        <w:tabs>
          <w:tab w:val="left" w:pos="851"/>
        </w:tabs>
        <w:ind w:left="851"/>
        <w:rPr>
          <w:bCs/>
          <w:sz w:val="24"/>
          <w:szCs w:val="24"/>
          <w:lang w:val="en-US"/>
        </w:rPr>
      </w:pPr>
      <w:r>
        <w:rPr>
          <w:sz w:val="24"/>
          <w:szCs w:val="24"/>
          <w:lang w:val="en-US"/>
        </w:rPr>
        <w:t>B</w:t>
      </w:r>
      <w:r w:rsidR="002118B2" w:rsidRPr="002118B2">
        <w:rPr>
          <w:sz w:val="24"/>
          <w:szCs w:val="24"/>
          <w:lang w:val="en-US"/>
        </w:rPr>
        <w:t>utyleret methacrylatcopolymer</w:t>
      </w:r>
    </w:p>
    <w:p w:rsidR="002118B2" w:rsidRPr="002118B2" w:rsidRDefault="002118B2" w:rsidP="002118B2">
      <w:pPr>
        <w:tabs>
          <w:tab w:val="left" w:pos="851"/>
        </w:tabs>
        <w:ind w:left="851"/>
        <w:rPr>
          <w:bCs/>
          <w:sz w:val="24"/>
          <w:szCs w:val="24"/>
          <w:lang w:val="pt-PT"/>
        </w:rPr>
      </w:pPr>
      <w:r w:rsidRPr="002118B2">
        <w:rPr>
          <w:sz w:val="24"/>
          <w:szCs w:val="24"/>
          <w:lang w:val="pt-PT"/>
        </w:rPr>
        <w:t>Macrogol</w:t>
      </w:r>
    </w:p>
    <w:p w:rsidR="002118B2" w:rsidRPr="002118B2" w:rsidRDefault="002118B2" w:rsidP="002118B2">
      <w:pPr>
        <w:tabs>
          <w:tab w:val="left" w:pos="851"/>
        </w:tabs>
        <w:ind w:left="851"/>
        <w:rPr>
          <w:bCs/>
          <w:sz w:val="24"/>
          <w:szCs w:val="24"/>
          <w:lang w:val="pt-PT"/>
        </w:rPr>
      </w:pPr>
      <w:r w:rsidRPr="002118B2">
        <w:rPr>
          <w:sz w:val="24"/>
          <w:szCs w:val="24"/>
          <w:lang w:val="pt-PT"/>
        </w:rPr>
        <w:t>Quinolingult E104</w:t>
      </w:r>
    </w:p>
    <w:p w:rsidR="002118B2" w:rsidRPr="002118B2" w:rsidRDefault="002118B2" w:rsidP="002118B2">
      <w:pPr>
        <w:tabs>
          <w:tab w:val="left" w:pos="851"/>
        </w:tabs>
        <w:ind w:left="851"/>
        <w:rPr>
          <w:bCs/>
          <w:sz w:val="24"/>
          <w:szCs w:val="24"/>
          <w:lang w:val="pt-PT"/>
        </w:rPr>
      </w:pPr>
      <w:r w:rsidRPr="002118B2">
        <w:rPr>
          <w:sz w:val="24"/>
          <w:szCs w:val="24"/>
          <w:lang w:val="pt-PT"/>
        </w:rPr>
        <w:t>Talcum</w:t>
      </w:r>
    </w:p>
    <w:p w:rsidR="002118B2" w:rsidRPr="002118B2" w:rsidRDefault="002118B2" w:rsidP="002118B2">
      <w:pPr>
        <w:tabs>
          <w:tab w:val="left" w:pos="851"/>
        </w:tabs>
        <w:ind w:left="851"/>
        <w:rPr>
          <w:bCs/>
          <w:sz w:val="24"/>
          <w:szCs w:val="24"/>
          <w:lang w:val="pt-PT"/>
        </w:rPr>
      </w:pPr>
      <w:r w:rsidRPr="002118B2">
        <w:rPr>
          <w:sz w:val="24"/>
          <w:szCs w:val="24"/>
          <w:lang w:val="pt-PT"/>
        </w:rPr>
        <w:t>Titandioxid (E171)</w:t>
      </w:r>
    </w:p>
    <w:p w:rsidR="002118B2" w:rsidRPr="002118B2" w:rsidRDefault="002118B2" w:rsidP="002118B2">
      <w:pPr>
        <w:tabs>
          <w:tab w:val="left" w:pos="851"/>
        </w:tabs>
        <w:ind w:left="851"/>
        <w:rPr>
          <w:bCs/>
          <w:sz w:val="24"/>
          <w:szCs w:val="24"/>
        </w:rPr>
      </w:pPr>
      <w:r w:rsidRPr="002118B2">
        <w:rPr>
          <w:sz w:val="24"/>
          <w:szCs w:val="24"/>
        </w:rPr>
        <w:t>Triacetin</w:t>
      </w:r>
    </w:p>
    <w:p w:rsidR="002118B2" w:rsidRPr="002118B2" w:rsidRDefault="002118B2" w:rsidP="002118B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E678B6"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bookmarkStart w:id="2" w:name="_Hlk80345955"/>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E678B6">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678B6" w:rsidRPr="00E678B6" w:rsidRDefault="00E678B6" w:rsidP="00E678B6">
      <w:pPr>
        <w:tabs>
          <w:tab w:val="left" w:pos="851"/>
        </w:tabs>
        <w:ind w:left="851"/>
        <w:rPr>
          <w:sz w:val="24"/>
          <w:szCs w:val="24"/>
        </w:rPr>
      </w:pPr>
      <w:r w:rsidRPr="00E678B6">
        <w:rPr>
          <w:sz w:val="24"/>
          <w:szCs w:val="24"/>
        </w:rPr>
        <w:t>Efter åbning af den ydre pose skal blisterpakningen opbevares i</w:t>
      </w:r>
      <w:r w:rsidR="00F63812">
        <w:rPr>
          <w:sz w:val="24"/>
          <w:szCs w:val="24"/>
        </w:rPr>
        <w:t xml:space="preserve"> </w:t>
      </w:r>
      <w:r w:rsidRPr="00E678B6">
        <w:rPr>
          <w:sz w:val="24"/>
          <w:szCs w:val="24"/>
        </w:rPr>
        <w:t>posen bestående af plastfilm og flerlags</w:t>
      </w:r>
      <w:r w:rsidR="00906581">
        <w:rPr>
          <w:sz w:val="24"/>
          <w:szCs w:val="24"/>
        </w:rPr>
        <w:t xml:space="preserve"> </w:t>
      </w:r>
      <w:r w:rsidRPr="00E678B6">
        <w:rPr>
          <w:sz w:val="24"/>
          <w:szCs w:val="24"/>
        </w:rPr>
        <w:t>aluminium for at beskytte mod fugt.</w:t>
      </w:r>
    </w:p>
    <w:bookmarkEnd w:id="2"/>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F63812" w:rsidRDefault="00FE2B38" w:rsidP="00F63812">
      <w:pPr>
        <w:tabs>
          <w:tab w:val="left" w:pos="851"/>
        </w:tabs>
        <w:ind w:left="851"/>
        <w:rPr>
          <w:sz w:val="24"/>
          <w:szCs w:val="24"/>
        </w:rPr>
      </w:pPr>
      <w:r>
        <w:rPr>
          <w:sz w:val="24"/>
          <w:szCs w:val="24"/>
        </w:rPr>
        <w:t>A</w:t>
      </w:r>
      <w:r w:rsidR="00F63812" w:rsidRPr="00F63812">
        <w:rPr>
          <w:sz w:val="24"/>
          <w:szCs w:val="24"/>
        </w:rPr>
        <w:t xml:space="preserve">luminium/PVC </w:t>
      </w:r>
      <w:r>
        <w:rPr>
          <w:sz w:val="24"/>
          <w:szCs w:val="24"/>
        </w:rPr>
        <w:t xml:space="preserve">blister </w:t>
      </w:r>
      <w:r w:rsidR="00F63812" w:rsidRPr="00F63812">
        <w:rPr>
          <w:sz w:val="24"/>
          <w:szCs w:val="24"/>
        </w:rPr>
        <w:t>med PVDC-belægning.</w:t>
      </w:r>
    </w:p>
    <w:p w:rsidR="00F63812" w:rsidRPr="00F63812" w:rsidRDefault="00F63812" w:rsidP="00F63812">
      <w:pPr>
        <w:tabs>
          <w:tab w:val="left" w:pos="851"/>
        </w:tabs>
        <w:ind w:left="851"/>
        <w:rPr>
          <w:sz w:val="24"/>
          <w:szCs w:val="24"/>
        </w:rPr>
      </w:pPr>
      <w:r w:rsidRPr="00F63812">
        <w:rPr>
          <w:sz w:val="24"/>
          <w:szCs w:val="24"/>
        </w:rPr>
        <w:t xml:space="preserve">Blisterpakningen er emballeret i en </w:t>
      </w:r>
      <w:bookmarkStart w:id="3" w:name="_GoBack"/>
      <w:bookmarkEnd w:id="3"/>
      <w:r w:rsidRPr="00F63812">
        <w:rPr>
          <w:sz w:val="24"/>
          <w:szCs w:val="24"/>
        </w:rPr>
        <w:t>varmeforseglet pose bestående af plastfilm og flerlags aluminium for ekstra beskyttelse mod lys og fugt</w:t>
      </w:r>
      <w:r w:rsidR="0023303C">
        <w:rPr>
          <w:sz w:val="24"/>
          <w:szCs w:val="24"/>
        </w:rPr>
        <w:t>, i æske.</w:t>
      </w:r>
    </w:p>
    <w:p w:rsidR="00906581" w:rsidRDefault="00906581" w:rsidP="00FE2B38">
      <w:pPr>
        <w:tabs>
          <w:tab w:val="left" w:pos="851"/>
        </w:tabs>
        <w:ind w:left="851"/>
        <w:rPr>
          <w:sz w:val="24"/>
          <w:szCs w:val="24"/>
        </w:rPr>
      </w:pPr>
    </w:p>
    <w:p w:rsidR="00FE2B38" w:rsidRPr="00F63812" w:rsidRDefault="0023303C" w:rsidP="00FE2B38">
      <w:pPr>
        <w:tabs>
          <w:tab w:val="left" w:pos="851"/>
        </w:tabs>
        <w:ind w:left="851"/>
        <w:rPr>
          <w:sz w:val="24"/>
          <w:szCs w:val="24"/>
        </w:rPr>
      </w:pPr>
      <w:r>
        <w:rPr>
          <w:sz w:val="24"/>
          <w:szCs w:val="24"/>
        </w:rPr>
        <w:t>P</w:t>
      </w:r>
      <w:r w:rsidRPr="00F63812">
        <w:rPr>
          <w:sz w:val="24"/>
          <w:szCs w:val="24"/>
        </w:rPr>
        <w:t>akningsstørrelser</w:t>
      </w:r>
      <w:r>
        <w:rPr>
          <w:sz w:val="24"/>
          <w:szCs w:val="24"/>
        </w:rPr>
        <w:t xml:space="preserve">: </w:t>
      </w:r>
      <w:r w:rsidR="00FE2B38" w:rsidRPr="00F63812">
        <w:rPr>
          <w:sz w:val="24"/>
          <w:szCs w:val="24"/>
        </w:rPr>
        <w:t xml:space="preserve">100 </w:t>
      </w:r>
      <w:r>
        <w:rPr>
          <w:sz w:val="24"/>
          <w:szCs w:val="24"/>
        </w:rPr>
        <w:t>og</w:t>
      </w:r>
      <w:r w:rsidR="00FE2B38" w:rsidRPr="00F63812">
        <w:rPr>
          <w:sz w:val="24"/>
          <w:szCs w:val="24"/>
        </w:rPr>
        <w:t xml:space="preserve"> 300 </w:t>
      </w:r>
      <w:r w:rsidR="00536261">
        <w:rPr>
          <w:sz w:val="24"/>
          <w:szCs w:val="24"/>
        </w:rPr>
        <w:t>stk.</w:t>
      </w:r>
      <w:r w:rsidR="00FE2B38" w:rsidRPr="00F63812">
        <w:rPr>
          <w:sz w:val="24"/>
          <w:szCs w:val="24"/>
        </w:rPr>
        <w:t xml:space="preserve"> </w:t>
      </w:r>
    </w:p>
    <w:p w:rsidR="00F63812" w:rsidRPr="00F63812" w:rsidRDefault="00F63812" w:rsidP="00F63812">
      <w:pPr>
        <w:tabs>
          <w:tab w:val="left" w:pos="851"/>
        </w:tabs>
        <w:ind w:left="851"/>
        <w:rPr>
          <w:sz w:val="24"/>
          <w:szCs w:val="24"/>
        </w:rPr>
      </w:pPr>
      <w:r w:rsidRPr="00F63812">
        <w:rPr>
          <w:sz w:val="24"/>
          <w:szCs w:val="24"/>
        </w:rPr>
        <w:t>Ikke alle pakningsstørrelser er nødvendigvis markedsført.</w:t>
      </w:r>
    </w:p>
    <w:p w:rsidR="00F63812" w:rsidRPr="00F63812" w:rsidRDefault="00F63812" w:rsidP="00F6381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4676D5" w:rsidRPr="004676D5" w:rsidRDefault="004676D5" w:rsidP="004676D5">
      <w:pPr>
        <w:tabs>
          <w:tab w:val="left" w:pos="851"/>
        </w:tabs>
        <w:ind w:left="851"/>
        <w:jc w:val="both"/>
        <w:rPr>
          <w:sz w:val="24"/>
          <w:szCs w:val="24"/>
        </w:rPr>
      </w:pPr>
      <w:r w:rsidRPr="004676D5">
        <w:rPr>
          <w:sz w:val="24"/>
          <w:szCs w:val="24"/>
        </w:rPr>
        <w:t>Ingen særlige forholdsregler.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676D5" w:rsidRPr="004676D5" w:rsidRDefault="004676D5" w:rsidP="004676D5">
      <w:pPr>
        <w:tabs>
          <w:tab w:val="left" w:pos="851"/>
        </w:tabs>
        <w:ind w:left="851"/>
        <w:rPr>
          <w:sz w:val="24"/>
          <w:szCs w:val="24"/>
        </w:rPr>
      </w:pPr>
      <w:r w:rsidRPr="004676D5">
        <w:rPr>
          <w:sz w:val="24"/>
          <w:szCs w:val="24"/>
        </w:rPr>
        <w:t>Fresenius Kabi AB</w:t>
      </w:r>
    </w:p>
    <w:p w:rsidR="004676D5" w:rsidRPr="004676D5" w:rsidRDefault="004676D5" w:rsidP="004676D5">
      <w:pPr>
        <w:tabs>
          <w:tab w:val="left" w:pos="851"/>
        </w:tabs>
        <w:ind w:left="851"/>
        <w:rPr>
          <w:sz w:val="24"/>
          <w:szCs w:val="24"/>
        </w:rPr>
      </w:pPr>
      <w:r w:rsidRPr="004676D5">
        <w:rPr>
          <w:sz w:val="24"/>
          <w:szCs w:val="24"/>
        </w:rPr>
        <w:t>Rapsgatan 7</w:t>
      </w:r>
    </w:p>
    <w:p w:rsidR="004676D5" w:rsidRPr="004676D5" w:rsidRDefault="004676D5" w:rsidP="004676D5">
      <w:pPr>
        <w:tabs>
          <w:tab w:val="left" w:pos="851"/>
        </w:tabs>
        <w:ind w:left="851"/>
        <w:rPr>
          <w:sz w:val="24"/>
          <w:szCs w:val="24"/>
        </w:rPr>
      </w:pPr>
      <w:r w:rsidRPr="004676D5">
        <w:rPr>
          <w:sz w:val="24"/>
          <w:szCs w:val="24"/>
        </w:rPr>
        <w:t>75174 Uppsala</w:t>
      </w:r>
    </w:p>
    <w:p w:rsidR="004676D5" w:rsidRPr="004676D5" w:rsidRDefault="004676D5" w:rsidP="004676D5">
      <w:pPr>
        <w:tabs>
          <w:tab w:val="left" w:pos="851"/>
        </w:tabs>
        <w:ind w:left="851"/>
        <w:rPr>
          <w:sz w:val="24"/>
          <w:szCs w:val="24"/>
        </w:rPr>
      </w:pPr>
      <w:r w:rsidRPr="004676D5">
        <w:rPr>
          <w:sz w:val="24"/>
          <w:szCs w:val="24"/>
        </w:rPr>
        <w:t>Sverige</w:t>
      </w:r>
    </w:p>
    <w:p w:rsidR="004676D5" w:rsidRPr="004676D5" w:rsidRDefault="004676D5" w:rsidP="004676D5">
      <w:pPr>
        <w:tabs>
          <w:tab w:val="left" w:pos="851"/>
        </w:tabs>
        <w:ind w:left="851"/>
        <w:rPr>
          <w:sz w:val="24"/>
          <w:szCs w:val="24"/>
        </w:rPr>
      </w:pPr>
    </w:p>
    <w:p w:rsidR="004676D5" w:rsidRPr="004676D5" w:rsidRDefault="004676D5" w:rsidP="004676D5">
      <w:pPr>
        <w:tabs>
          <w:tab w:val="left" w:pos="851"/>
        </w:tabs>
        <w:ind w:left="851"/>
        <w:rPr>
          <w:b/>
          <w:sz w:val="24"/>
          <w:szCs w:val="24"/>
        </w:rPr>
      </w:pPr>
      <w:r w:rsidRPr="004676D5">
        <w:rPr>
          <w:b/>
          <w:sz w:val="24"/>
          <w:szCs w:val="24"/>
        </w:rPr>
        <w:t>Repræsentant</w:t>
      </w:r>
    </w:p>
    <w:p w:rsidR="004676D5" w:rsidRPr="004676D5" w:rsidRDefault="004676D5" w:rsidP="004676D5">
      <w:pPr>
        <w:tabs>
          <w:tab w:val="left" w:pos="851"/>
        </w:tabs>
        <w:ind w:left="851"/>
        <w:rPr>
          <w:sz w:val="24"/>
          <w:szCs w:val="24"/>
        </w:rPr>
      </w:pPr>
      <w:r w:rsidRPr="004676D5">
        <w:rPr>
          <w:sz w:val="24"/>
          <w:szCs w:val="24"/>
        </w:rPr>
        <w:t>Fresenius Kabi</w:t>
      </w:r>
    </w:p>
    <w:p w:rsidR="004676D5" w:rsidRPr="004676D5" w:rsidRDefault="004676D5" w:rsidP="004676D5">
      <w:pPr>
        <w:tabs>
          <w:tab w:val="left" w:pos="851"/>
        </w:tabs>
        <w:ind w:left="851"/>
        <w:rPr>
          <w:sz w:val="24"/>
          <w:szCs w:val="24"/>
        </w:rPr>
      </w:pPr>
      <w:r w:rsidRPr="004676D5">
        <w:rPr>
          <w:sz w:val="24"/>
          <w:szCs w:val="24"/>
        </w:rPr>
        <w:t>Islands Brygge 57</w:t>
      </w:r>
    </w:p>
    <w:p w:rsidR="004676D5" w:rsidRPr="004676D5" w:rsidRDefault="004676D5" w:rsidP="004676D5">
      <w:pPr>
        <w:tabs>
          <w:tab w:val="left" w:pos="851"/>
        </w:tabs>
        <w:ind w:left="851"/>
        <w:rPr>
          <w:sz w:val="24"/>
          <w:szCs w:val="24"/>
        </w:rPr>
      </w:pPr>
      <w:r w:rsidRPr="004676D5">
        <w:rPr>
          <w:sz w:val="24"/>
          <w:szCs w:val="24"/>
        </w:rPr>
        <w:t>2300 København S</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4B19A5" w:rsidP="009260DE">
      <w:pPr>
        <w:tabs>
          <w:tab w:val="left" w:pos="851"/>
        </w:tabs>
        <w:ind w:left="851"/>
        <w:rPr>
          <w:sz w:val="24"/>
          <w:szCs w:val="24"/>
        </w:rPr>
      </w:pPr>
      <w:r>
        <w:rPr>
          <w:sz w:val="24"/>
          <w:szCs w:val="24"/>
        </w:rPr>
        <w:t>62605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3A75AB" w:rsidP="009260DE">
      <w:pPr>
        <w:tabs>
          <w:tab w:val="left" w:pos="851"/>
        </w:tabs>
        <w:ind w:left="851"/>
        <w:rPr>
          <w:sz w:val="24"/>
          <w:szCs w:val="24"/>
        </w:rPr>
      </w:pPr>
      <w:r>
        <w:rPr>
          <w:sz w:val="24"/>
          <w:szCs w:val="24"/>
        </w:rPr>
        <w:t>20. august 2021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4B19A5"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F6E" w:rsidRDefault="00B65F6E">
      <w:r>
        <w:separator/>
      </w:r>
    </w:p>
  </w:endnote>
  <w:endnote w:type="continuationSeparator" w:id="0">
    <w:p w:rsidR="00B65F6E" w:rsidRDefault="00B65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61826">
      <w:rPr>
        <w:i/>
        <w:noProof/>
        <w:sz w:val="18"/>
        <w:szCs w:val="18"/>
      </w:rPr>
      <w:t>Ketosteril, filmovertrukne tabletter</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F6E" w:rsidRDefault="00B65F6E">
      <w:r>
        <w:separator/>
      </w:r>
    </w:p>
  </w:footnote>
  <w:footnote w:type="continuationSeparator" w:id="0">
    <w:p w:rsidR="00B65F6E" w:rsidRDefault="00B65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F6E"/>
    <w:rsid w:val="00002A67"/>
    <w:rsid w:val="000259B9"/>
    <w:rsid w:val="00041491"/>
    <w:rsid w:val="00050D16"/>
    <w:rsid w:val="00074F2A"/>
    <w:rsid w:val="00090EF9"/>
    <w:rsid w:val="000A1CA8"/>
    <w:rsid w:val="000A466B"/>
    <w:rsid w:val="000B058C"/>
    <w:rsid w:val="000E4EE6"/>
    <w:rsid w:val="001331CC"/>
    <w:rsid w:val="001454E2"/>
    <w:rsid w:val="001D07D0"/>
    <w:rsid w:val="00206CE8"/>
    <w:rsid w:val="002118B2"/>
    <w:rsid w:val="0021526C"/>
    <w:rsid w:val="0023303C"/>
    <w:rsid w:val="00283A2B"/>
    <w:rsid w:val="002B30AD"/>
    <w:rsid w:val="002C2C01"/>
    <w:rsid w:val="00393291"/>
    <w:rsid w:val="003A29AE"/>
    <w:rsid w:val="003A32D7"/>
    <w:rsid w:val="003A75AB"/>
    <w:rsid w:val="003B4074"/>
    <w:rsid w:val="003C769A"/>
    <w:rsid w:val="003F1838"/>
    <w:rsid w:val="0045746C"/>
    <w:rsid w:val="004676D5"/>
    <w:rsid w:val="0049104B"/>
    <w:rsid w:val="00497BF1"/>
    <w:rsid w:val="004B19A5"/>
    <w:rsid w:val="004C7182"/>
    <w:rsid w:val="004E3B12"/>
    <w:rsid w:val="00532310"/>
    <w:rsid w:val="00536261"/>
    <w:rsid w:val="00565F0F"/>
    <w:rsid w:val="00584B46"/>
    <w:rsid w:val="00594A86"/>
    <w:rsid w:val="00596D86"/>
    <w:rsid w:val="00637F5A"/>
    <w:rsid w:val="006560B1"/>
    <w:rsid w:val="006756DD"/>
    <w:rsid w:val="00737275"/>
    <w:rsid w:val="00740EEC"/>
    <w:rsid w:val="00761826"/>
    <w:rsid w:val="0078011A"/>
    <w:rsid w:val="00782AF4"/>
    <w:rsid w:val="00790EE7"/>
    <w:rsid w:val="007B6649"/>
    <w:rsid w:val="00800C3E"/>
    <w:rsid w:val="0082576E"/>
    <w:rsid w:val="00906581"/>
    <w:rsid w:val="00907F75"/>
    <w:rsid w:val="009260DE"/>
    <w:rsid w:val="0093258A"/>
    <w:rsid w:val="00946651"/>
    <w:rsid w:val="009C0C2C"/>
    <w:rsid w:val="009C7BA3"/>
    <w:rsid w:val="009D1F5A"/>
    <w:rsid w:val="00A321A7"/>
    <w:rsid w:val="00A54D51"/>
    <w:rsid w:val="00AB3628"/>
    <w:rsid w:val="00AF74D0"/>
    <w:rsid w:val="00B003BF"/>
    <w:rsid w:val="00B373D7"/>
    <w:rsid w:val="00B65F6E"/>
    <w:rsid w:val="00BF32F0"/>
    <w:rsid w:val="00C36276"/>
    <w:rsid w:val="00C42586"/>
    <w:rsid w:val="00C60CCD"/>
    <w:rsid w:val="00C84483"/>
    <w:rsid w:val="00C95551"/>
    <w:rsid w:val="00CB20D7"/>
    <w:rsid w:val="00D020B0"/>
    <w:rsid w:val="00D11748"/>
    <w:rsid w:val="00D366CF"/>
    <w:rsid w:val="00D65C6E"/>
    <w:rsid w:val="00E108AA"/>
    <w:rsid w:val="00E3749A"/>
    <w:rsid w:val="00E552C7"/>
    <w:rsid w:val="00E678B6"/>
    <w:rsid w:val="00E7437F"/>
    <w:rsid w:val="00E865B8"/>
    <w:rsid w:val="00EB4DAA"/>
    <w:rsid w:val="00EC0B9B"/>
    <w:rsid w:val="00ED5E9F"/>
    <w:rsid w:val="00F63812"/>
    <w:rsid w:val="00F66D4F"/>
    <w:rsid w:val="00FB6D01"/>
    <w:rsid w:val="00FD511A"/>
    <w:rsid w:val="00FE2B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90249F"/>
  <w15:chartTrackingRefBased/>
  <w15:docId w15:val="{AA58FCA9-84FA-4BBF-A533-4BB47B082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uiPriority w:val="59"/>
    <w:rsid w:val="00E552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1D07D0"/>
    <w:rPr>
      <w:color w:val="0563C1" w:themeColor="hyperlink"/>
      <w:u w:val="single"/>
    </w:rPr>
  </w:style>
  <w:style w:type="character" w:styleId="Ulstomtale">
    <w:name w:val="Unresolved Mention"/>
    <w:basedOn w:val="Standardskrifttypeiafsnit"/>
    <w:uiPriority w:val="99"/>
    <w:semiHidden/>
    <w:unhideWhenUsed/>
    <w:rsid w:val="001D0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22105">
      <w:bodyDiv w:val="1"/>
      <w:marLeft w:val="0"/>
      <w:marRight w:val="0"/>
      <w:marTop w:val="0"/>
      <w:marBottom w:val="0"/>
      <w:divBdr>
        <w:top w:val="none" w:sz="0" w:space="0" w:color="auto"/>
        <w:left w:val="none" w:sz="0" w:space="0" w:color="auto"/>
        <w:bottom w:val="none" w:sz="0" w:space="0" w:color="auto"/>
        <w:right w:val="none" w:sz="0" w:space="0" w:color="auto"/>
      </w:divBdr>
    </w:div>
    <w:div w:id="86197177">
      <w:bodyDiv w:val="1"/>
      <w:marLeft w:val="0"/>
      <w:marRight w:val="0"/>
      <w:marTop w:val="0"/>
      <w:marBottom w:val="0"/>
      <w:divBdr>
        <w:top w:val="none" w:sz="0" w:space="0" w:color="auto"/>
        <w:left w:val="none" w:sz="0" w:space="0" w:color="auto"/>
        <w:bottom w:val="none" w:sz="0" w:space="0" w:color="auto"/>
        <w:right w:val="none" w:sz="0" w:space="0" w:color="auto"/>
      </w:divBdr>
    </w:div>
    <w:div w:id="14077625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0679977">
      <w:bodyDiv w:val="1"/>
      <w:marLeft w:val="0"/>
      <w:marRight w:val="0"/>
      <w:marTop w:val="0"/>
      <w:marBottom w:val="0"/>
      <w:divBdr>
        <w:top w:val="none" w:sz="0" w:space="0" w:color="auto"/>
        <w:left w:val="none" w:sz="0" w:space="0" w:color="auto"/>
        <w:bottom w:val="none" w:sz="0" w:space="0" w:color="auto"/>
        <w:right w:val="none" w:sz="0" w:space="0" w:color="auto"/>
      </w:divBdr>
    </w:div>
    <w:div w:id="286161532">
      <w:bodyDiv w:val="1"/>
      <w:marLeft w:val="0"/>
      <w:marRight w:val="0"/>
      <w:marTop w:val="0"/>
      <w:marBottom w:val="0"/>
      <w:divBdr>
        <w:top w:val="none" w:sz="0" w:space="0" w:color="auto"/>
        <w:left w:val="none" w:sz="0" w:space="0" w:color="auto"/>
        <w:bottom w:val="none" w:sz="0" w:space="0" w:color="auto"/>
        <w:right w:val="none" w:sz="0" w:space="0" w:color="auto"/>
      </w:divBdr>
    </w:div>
    <w:div w:id="339503299">
      <w:bodyDiv w:val="1"/>
      <w:marLeft w:val="0"/>
      <w:marRight w:val="0"/>
      <w:marTop w:val="0"/>
      <w:marBottom w:val="0"/>
      <w:divBdr>
        <w:top w:val="none" w:sz="0" w:space="0" w:color="auto"/>
        <w:left w:val="none" w:sz="0" w:space="0" w:color="auto"/>
        <w:bottom w:val="none" w:sz="0" w:space="0" w:color="auto"/>
        <w:right w:val="none" w:sz="0" w:space="0" w:color="auto"/>
      </w:divBdr>
      <w:divsChild>
        <w:div w:id="815292954">
          <w:marLeft w:val="0"/>
          <w:marRight w:val="0"/>
          <w:marTop w:val="0"/>
          <w:marBottom w:val="0"/>
          <w:divBdr>
            <w:top w:val="none" w:sz="0" w:space="0" w:color="auto"/>
            <w:left w:val="none" w:sz="0" w:space="0" w:color="auto"/>
            <w:bottom w:val="none" w:sz="0" w:space="0" w:color="auto"/>
            <w:right w:val="none" w:sz="0" w:space="0" w:color="auto"/>
          </w:divBdr>
          <w:divsChild>
            <w:div w:id="9765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989459">
      <w:bodyDiv w:val="1"/>
      <w:marLeft w:val="0"/>
      <w:marRight w:val="0"/>
      <w:marTop w:val="0"/>
      <w:marBottom w:val="0"/>
      <w:divBdr>
        <w:top w:val="none" w:sz="0" w:space="0" w:color="auto"/>
        <w:left w:val="none" w:sz="0" w:space="0" w:color="auto"/>
        <w:bottom w:val="none" w:sz="0" w:space="0" w:color="auto"/>
        <w:right w:val="none" w:sz="0" w:space="0" w:color="auto"/>
      </w:divBdr>
      <w:divsChild>
        <w:div w:id="1742555248">
          <w:marLeft w:val="0"/>
          <w:marRight w:val="0"/>
          <w:marTop w:val="0"/>
          <w:marBottom w:val="0"/>
          <w:divBdr>
            <w:top w:val="none" w:sz="0" w:space="0" w:color="auto"/>
            <w:left w:val="none" w:sz="0" w:space="0" w:color="auto"/>
            <w:bottom w:val="none" w:sz="0" w:space="0" w:color="auto"/>
            <w:right w:val="none" w:sz="0" w:space="0" w:color="auto"/>
          </w:divBdr>
          <w:divsChild>
            <w:div w:id="68040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182165">
      <w:bodyDiv w:val="1"/>
      <w:marLeft w:val="0"/>
      <w:marRight w:val="0"/>
      <w:marTop w:val="0"/>
      <w:marBottom w:val="0"/>
      <w:divBdr>
        <w:top w:val="none" w:sz="0" w:space="0" w:color="auto"/>
        <w:left w:val="none" w:sz="0" w:space="0" w:color="auto"/>
        <w:bottom w:val="none" w:sz="0" w:space="0" w:color="auto"/>
        <w:right w:val="none" w:sz="0" w:space="0" w:color="auto"/>
      </w:divBdr>
    </w:div>
    <w:div w:id="460267577">
      <w:bodyDiv w:val="1"/>
      <w:marLeft w:val="0"/>
      <w:marRight w:val="0"/>
      <w:marTop w:val="0"/>
      <w:marBottom w:val="0"/>
      <w:divBdr>
        <w:top w:val="none" w:sz="0" w:space="0" w:color="auto"/>
        <w:left w:val="none" w:sz="0" w:space="0" w:color="auto"/>
        <w:bottom w:val="none" w:sz="0" w:space="0" w:color="auto"/>
        <w:right w:val="none" w:sz="0" w:space="0" w:color="auto"/>
      </w:divBdr>
    </w:div>
    <w:div w:id="555775853">
      <w:bodyDiv w:val="1"/>
      <w:marLeft w:val="0"/>
      <w:marRight w:val="0"/>
      <w:marTop w:val="0"/>
      <w:marBottom w:val="0"/>
      <w:divBdr>
        <w:top w:val="none" w:sz="0" w:space="0" w:color="auto"/>
        <w:left w:val="none" w:sz="0" w:space="0" w:color="auto"/>
        <w:bottom w:val="none" w:sz="0" w:space="0" w:color="auto"/>
        <w:right w:val="none" w:sz="0" w:space="0" w:color="auto"/>
      </w:divBdr>
    </w:div>
    <w:div w:id="600182783">
      <w:bodyDiv w:val="1"/>
      <w:marLeft w:val="0"/>
      <w:marRight w:val="0"/>
      <w:marTop w:val="0"/>
      <w:marBottom w:val="0"/>
      <w:divBdr>
        <w:top w:val="none" w:sz="0" w:space="0" w:color="auto"/>
        <w:left w:val="none" w:sz="0" w:space="0" w:color="auto"/>
        <w:bottom w:val="none" w:sz="0" w:space="0" w:color="auto"/>
        <w:right w:val="none" w:sz="0" w:space="0" w:color="auto"/>
      </w:divBdr>
      <w:divsChild>
        <w:div w:id="638193316">
          <w:marLeft w:val="0"/>
          <w:marRight w:val="0"/>
          <w:marTop w:val="0"/>
          <w:marBottom w:val="0"/>
          <w:divBdr>
            <w:top w:val="none" w:sz="0" w:space="0" w:color="auto"/>
            <w:left w:val="none" w:sz="0" w:space="0" w:color="auto"/>
            <w:bottom w:val="none" w:sz="0" w:space="0" w:color="auto"/>
            <w:right w:val="none" w:sz="0" w:space="0" w:color="auto"/>
          </w:divBdr>
          <w:divsChild>
            <w:div w:id="201491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605354">
      <w:bodyDiv w:val="1"/>
      <w:marLeft w:val="0"/>
      <w:marRight w:val="0"/>
      <w:marTop w:val="0"/>
      <w:marBottom w:val="0"/>
      <w:divBdr>
        <w:top w:val="none" w:sz="0" w:space="0" w:color="auto"/>
        <w:left w:val="none" w:sz="0" w:space="0" w:color="auto"/>
        <w:bottom w:val="none" w:sz="0" w:space="0" w:color="auto"/>
        <w:right w:val="none" w:sz="0" w:space="0" w:color="auto"/>
      </w:divBdr>
    </w:div>
    <w:div w:id="622808317">
      <w:bodyDiv w:val="1"/>
      <w:marLeft w:val="0"/>
      <w:marRight w:val="0"/>
      <w:marTop w:val="0"/>
      <w:marBottom w:val="0"/>
      <w:divBdr>
        <w:top w:val="none" w:sz="0" w:space="0" w:color="auto"/>
        <w:left w:val="none" w:sz="0" w:space="0" w:color="auto"/>
        <w:bottom w:val="none" w:sz="0" w:space="0" w:color="auto"/>
        <w:right w:val="none" w:sz="0" w:space="0" w:color="auto"/>
      </w:divBdr>
    </w:div>
    <w:div w:id="624429778">
      <w:bodyDiv w:val="1"/>
      <w:marLeft w:val="0"/>
      <w:marRight w:val="0"/>
      <w:marTop w:val="0"/>
      <w:marBottom w:val="0"/>
      <w:divBdr>
        <w:top w:val="none" w:sz="0" w:space="0" w:color="auto"/>
        <w:left w:val="none" w:sz="0" w:space="0" w:color="auto"/>
        <w:bottom w:val="none" w:sz="0" w:space="0" w:color="auto"/>
        <w:right w:val="none" w:sz="0" w:space="0" w:color="auto"/>
      </w:divBdr>
    </w:div>
    <w:div w:id="630596658">
      <w:bodyDiv w:val="1"/>
      <w:marLeft w:val="0"/>
      <w:marRight w:val="0"/>
      <w:marTop w:val="0"/>
      <w:marBottom w:val="0"/>
      <w:divBdr>
        <w:top w:val="none" w:sz="0" w:space="0" w:color="auto"/>
        <w:left w:val="none" w:sz="0" w:space="0" w:color="auto"/>
        <w:bottom w:val="none" w:sz="0" w:space="0" w:color="auto"/>
        <w:right w:val="none" w:sz="0" w:space="0" w:color="auto"/>
      </w:divBdr>
    </w:div>
    <w:div w:id="677192279">
      <w:bodyDiv w:val="1"/>
      <w:marLeft w:val="0"/>
      <w:marRight w:val="0"/>
      <w:marTop w:val="0"/>
      <w:marBottom w:val="0"/>
      <w:divBdr>
        <w:top w:val="none" w:sz="0" w:space="0" w:color="auto"/>
        <w:left w:val="none" w:sz="0" w:space="0" w:color="auto"/>
        <w:bottom w:val="none" w:sz="0" w:space="0" w:color="auto"/>
        <w:right w:val="none" w:sz="0" w:space="0" w:color="auto"/>
      </w:divBdr>
    </w:div>
    <w:div w:id="828406696">
      <w:bodyDiv w:val="1"/>
      <w:marLeft w:val="0"/>
      <w:marRight w:val="0"/>
      <w:marTop w:val="0"/>
      <w:marBottom w:val="0"/>
      <w:divBdr>
        <w:top w:val="none" w:sz="0" w:space="0" w:color="auto"/>
        <w:left w:val="none" w:sz="0" w:space="0" w:color="auto"/>
        <w:bottom w:val="none" w:sz="0" w:space="0" w:color="auto"/>
        <w:right w:val="none" w:sz="0" w:space="0" w:color="auto"/>
      </w:divBdr>
    </w:div>
    <w:div w:id="894242314">
      <w:bodyDiv w:val="1"/>
      <w:marLeft w:val="0"/>
      <w:marRight w:val="0"/>
      <w:marTop w:val="0"/>
      <w:marBottom w:val="0"/>
      <w:divBdr>
        <w:top w:val="none" w:sz="0" w:space="0" w:color="auto"/>
        <w:left w:val="none" w:sz="0" w:space="0" w:color="auto"/>
        <w:bottom w:val="none" w:sz="0" w:space="0" w:color="auto"/>
        <w:right w:val="none" w:sz="0" w:space="0" w:color="auto"/>
      </w:divBdr>
    </w:div>
    <w:div w:id="992181192">
      <w:bodyDiv w:val="1"/>
      <w:marLeft w:val="0"/>
      <w:marRight w:val="0"/>
      <w:marTop w:val="0"/>
      <w:marBottom w:val="0"/>
      <w:divBdr>
        <w:top w:val="none" w:sz="0" w:space="0" w:color="auto"/>
        <w:left w:val="none" w:sz="0" w:space="0" w:color="auto"/>
        <w:bottom w:val="none" w:sz="0" w:space="0" w:color="auto"/>
        <w:right w:val="none" w:sz="0" w:space="0" w:color="auto"/>
      </w:divBdr>
    </w:div>
    <w:div w:id="1018045516">
      <w:bodyDiv w:val="1"/>
      <w:marLeft w:val="0"/>
      <w:marRight w:val="0"/>
      <w:marTop w:val="0"/>
      <w:marBottom w:val="0"/>
      <w:divBdr>
        <w:top w:val="none" w:sz="0" w:space="0" w:color="auto"/>
        <w:left w:val="none" w:sz="0" w:space="0" w:color="auto"/>
        <w:bottom w:val="none" w:sz="0" w:space="0" w:color="auto"/>
        <w:right w:val="none" w:sz="0" w:space="0" w:color="auto"/>
      </w:divBdr>
    </w:div>
    <w:div w:id="1085565038">
      <w:bodyDiv w:val="1"/>
      <w:marLeft w:val="0"/>
      <w:marRight w:val="0"/>
      <w:marTop w:val="0"/>
      <w:marBottom w:val="0"/>
      <w:divBdr>
        <w:top w:val="none" w:sz="0" w:space="0" w:color="auto"/>
        <w:left w:val="none" w:sz="0" w:space="0" w:color="auto"/>
        <w:bottom w:val="none" w:sz="0" w:space="0" w:color="auto"/>
        <w:right w:val="none" w:sz="0" w:space="0" w:color="auto"/>
      </w:divBdr>
    </w:div>
    <w:div w:id="1202130211">
      <w:bodyDiv w:val="1"/>
      <w:marLeft w:val="0"/>
      <w:marRight w:val="0"/>
      <w:marTop w:val="0"/>
      <w:marBottom w:val="0"/>
      <w:divBdr>
        <w:top w:val="none" w:sz="0" w:space="0" w:color="auto"/>
        <w:left w:val="none" w:sz="0" w:space="0" w:color="auto"/>
        <w:bottom w:val="none" w:sz="0" w:space="0" w:color="auto"/>
        <w:right w:val="none" w:sz="0" w:space="0" w:color="auto"/>
      </w:divBdr>
    </w:div>
    <w:div w:id="1238783554">
      <w:bodyDiv w:val="1"/>
      <w:marLeft w:val="0"/>
      <w:marRight w:val="0"/>
      <w:marTop w:val="0"/>
      <w:marBottom w:val="0"/>
      <w:divBdr>
        <w:top w:val="none" w:sz="0" w:space="0" w:color="auto"/>
        <w:left w:val="none" w:sz="0" w:space="0" w:color="auto"/>
        <w:bottom w:val="none" w:sz="0" w:space="0" w:color="auto"/>
        <w:right w:val="none" w:sz="0" w:space="0" w:color="auto"/>
      </w:divBdr>
    </w:div>
    <w:div w:id="1304460465">
      <w:bodyDiv w:val="1"/>
      <w:marLeft w:val="0"/>
      <w:marRight w:val="0"/>
      <w:marTop w:val="0"/>
      <w:marBottom w:val="0"/>
      <w:divBdr>
        <w:top w:val="none" w:sz="0" w:space="0" w:color="auto"/>
        <w:left w:val="none" w:sz="0" w:space="0" w:color="auto"/>
        <w:bottom w:val="none" w:sz="0" w:space="0" w:color="auto"/>
        <w:right w:val="none" w:sz="0" w:space="0" w:color="auto"/>
      </w:divBdr>
    </w:div>
    <w:div w:id="1341351404">
      <w:bodyDiv w:val="1"/>
      <w:marLeft w:val="0"/>
      <w:marRight w:val="0"/>
      <w:marTop w:val="0"/>
      <w:marBottom w:val="0"/>
      <w:divBdr>
        <w:top w:val="none" w:sz="0" w:space="0" w:color="auto"/>
        <w:left w:val="none" w:sz="0" w:space="0" w:color="auto"/>
        <w:bottom w:val="none" w:sz="0" w:space="0" w:color="auto"/>
        <w:right w:val="none" w:sz="0" w:space="0" w:color="auto"/>
      </w:divBdr>
      <w:divsChild>
        <w:div w:id="1531723642">
          <w:marLeft w:val="0"/>
          <w:marRight w:val="0"/>
          <w:marTop w:val="0"/>
          <w:marBottom w:val="0"/>
          <w:divBdr>
            <w:top w:val="none" w:sz="0" w:space="0" w:color="auto"/>
            <w:left w:val="none" w:sz="0" w:space="0" w:color="auto"/>
            <w:bottom w:val="none" w:sz="0" w:space="0" w:color="auto"/>
            <w:right w:val="none" w:sz="0" w:space="0" w:color="auto"/>
          </w:divBdr>
          <w:divsChild>
            <w:div w:id="159305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9928">
      <w:bodyDiv w:val="1"/>
      <w:marLeft w:val="0"/>
      <w:marRight w:val="0"/>
      <w:marTop w:val="0"/>
      <w:marBottom w:val="0"/>
      <w:divBdr>
        <w:top w:val="none" w:sz="0" w:space="0" w:color="auto"/>
        <w:left w:val="none" w:sz="0" w:space="0" w:color="auto"/>
        <w:bottom w:val="none" w:sz="0" w:space="0" w:color="auto"/>
        <w:right w:val="none" w:sz="0" w:space="0" w:color="auto"/>
      </w:divBdr>
    </w:div>
    <w:div w:id="1494104571">
      <w:bodyDiv w:val="1"/>
      <w:marLeft w:val="0"/>
      <w:marRight w:val="0"/>
      <w:marTop w:val="0"/>
      <w:marBottom w:val="0"/>
      <w:divBdr>
        <w:top w:val="none" w:sz="0" w:space="0" w:color="auto"/>
        <w:left w:val="none" w:sz="0" w:space="0" w:color="auto"/>
        <w:bottom w:val="none" w:sz="0" w:space="0" w:color="auto"/>
        <w:right w:val="none" w:sz="0" w:space="0" w:color="auto"/>
      </w:divBdr>
      <w:divsChild>
        <w:div w:id="1314023587">
          <w:marLeft w:val="0"/>
          <w:marRight w:val="0"/>
          <w:marTop w:val="0"/>
          <w:marBottom w:val="0"/>
          <w:divBdr>
            <w:top w:val="none" w:sz="0" w:space="0" w:color="auto"/>
            <w:left w:val="none" w:sz="0" w:space="0" w:color="auto"/>
            <w:bottom w:val="none" w:sz="0" w:space="0" w:color="auto"/>
            <w:right w:val="none" w:sz="0" w:space="0" w:color="auto"/>
          </w:divBdr>
          <w:divsChild>
            <w:div w:id="17564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73882">
      <w:bodyDiv w:val="1"/>
      <w:marLeft w:val="0"/>
      <w:marRight w:val="0"/>
      <w:marTop w:val="0"/>
      <w:marBottom w:val="0"/>
      <w:divBdr>
        <w:top w:val="none" w:sz="0" w:space="0" w:color="auto"/>
        <w:left w:val="none" w:sz="0" w:space="0" w:color="auto"/>
        <w:bottom w:val="none" w:sz="0" w:space="0" w:color="auto"/>
        <w:right w:val="none" w:sz="0" w:space="0" w:color="auto"/>
      </w:divBdr>
    </w:div>
    <w:div w:id="1635452010">
      <w:bodyDiv w:val="1"/>
      <w:marLeft w:val="0"/>
      <w:marRight w:val="0"/>
      <w:marTop w:val="0"/>
      <w:marBottom w:val="0"/>
      <w:divBdr>
        <w:top w:val="none" w:sz="0" w:space="0" w:color="auto"/>
        <w:left w:val="none" w:sz="0" w:space="0" w:color="auto"/>
        <w:bottom w:val="none" w:sz="0" w:space="0" w:color="auto"/>
        <w:right w:val="none" w:sz="0" w:space="0" w:color="auto"/>
      </w:divBdr>
    </w:div>
    <w:div w:id="1759059606">
      <w:bodyDiv w:val="1"/>
      <w:marLeft w:val="0"/>
      <w:marRight w:val="0"/>
      <w:marTop w:val="0"/>
      <w:marBottom w:val="0"/>
      <w:divBdr>
        <w:top w:val="none" w:sz="0" w:space="0" w:color="auto"/>
        <w:left w:val="none" w:sz="0" w:space="0" w:color="auto"/>
        <w:bottom w:val="none" w:sz="0" w:space="0" w:color="auto"/>
        <w:right w:val="none" w:sz="0" w:space="0" w:color="auto"/>
      </w:divBdr>
    </w:div>
    <w:div w:id="1793480593">
      <w:bodyDiv w:val="1"/>
      <w:marLeft w:val="0"/>
      <w:marRight w:val="0"/>
      <w:marTop w:val="0"/>
      <w:marBottom w:val="0"/>
      <w:divBdr>
        <w:top w:val="none" w:sz="0" w:space="0" w:color="auto"/>
        <w:left w:val="none" w:sz="0" w:space="0" w:color="auto"/>
        <w:bottom w:val="none" w:sz="0" w:space="0" w:color="auto"/>
        <w:right w:val="none" w:sz="0" w:space="0" w:color="auto"/>
      </w:divBdr>
    </w:div>
    <w:div w:id="1873491758">
      <w:bodyDiv w:val="1"/>
      <w:marLeft w:val="0"/>
      <w:marRight w:val="0"/>
      <w:marTop w:val="0"/>
      <w:marBottom w:val="0"/>
      <w:divBdr>
        <w:top w:val="none" w:sz="0" w:space="0" w:color="auto"/>
        <w:left w:val="none" w:sz="0" w:space="0" w:color="auto"/>
        <w:bottom w:val="none" w:sz="0" w:space="0" w:color="auto"/>
        <w:right w:val="none" w:sz="0" w:space="0" w:color="auto"/>
      </w:divBdr>
    </w:div>
    <w:div w:id="1899896954">
      <w:bodyDiv w:val="1"/>
      <w:marLeft w:val="0"/>
      <w:marRight w:val="0"/>
      <w:marTop w:val="0"/>
      <w:marBottom w:val="0"/>
      <w:divBdr>
        <w:top w:val="none" w:sz="0" w:space="0" w:color="auto"/>
        <w:left w:val="none" w:sz="0" w:space="0" w:color="auto"/>
        <w:bottom w:val="none" w:sz="0" w:space="0" w:color="auto"/>
        <w:right w:val="none" w:sz="0" w:space="0" w:color="auto"/>
      </w:divBdr>
      <w:divsChild>
        <w:div w:id="2109502945">
          <w:marLeft w:val="0"/>
          <w:marRight w:val="0"/>
          <w:marTop w:val="0"/>
          <w:marBottom w:val="0"/>
          <w:divBdr>
            <w:top w:val="none" w:sz="0" w:space="0" w:color="auto"/>
            <w:left w:val="none" w:sz="0" w:space="0" w:color="auto"/>
            <w:bottom w:val="none" w:sz="0" w:space="0" w:color="auto"/>
            <w:right w:val="none" w:sz="0" w:space="0" w:color="auto"/>
          </w:divBdr>
          <w:divsChild>
            <w:div w:id="196727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39861">
      <w:bodyDiv w:val="1"/>
      <w:marLeft w:val="0"/>
      <w:marRight w:val="0"/>
      <w:marTop w:val="0"/>
      <w:marBottom w:val="0"/>
      <w:divBdr>
        <w:top w:val="none" w:sz="0" w:space="0" w:color="auto"/>
        <w:left w:val="none" w:sz="0" w:space="0" w:color="auto"/>
        <w:bottom w:val="none" w:sz="0" w:space="0" w:color="auto"/>
        <w:right w:val="none" w:sz="0" w:space="0" w:color="auto"/>
      </w:divBdr>
    </w:div>
    <w:div w:id="1957828971">
      <w:bodyDiv w:val="1"/>
      <w:marLeft w:val="0"/>
      <w:marRight w:val="0"/>
      <w:marTop w:val="0"/>
      <w:marBottom w:val="0"/>
      <w:divBdr>
        <w:top w:val="none" w:sz="0" w:space="0" w:color="auto"/>
        <w:left w:val="none" w:sz="0" w:space="0" w:color="auto"/>
        <w:bottom w:val="none" w:sz="0" w:space="0" w:color="auto"/>
        <w:right w:val="none" w:sz="0" w:space="0" w:color="auto"/>
      </w:divBdr>
    </w:div>
    <w:div w:id="1971549529">
      <w:bodyDiv w:val="1"/>
      <w:marLeft w:val="0"/>
      <w:marRight w:val="0"/>
      <w:marTop w:val="0"/>
      <w:marBottom w:val="0"/>
      <w:divBdr>
        <w:top w:val="none" w:sz="0" w:space="0" w:color="auto"/>
        <w:left w:val="none" w:sz="0" w:space="0" w:color="auto"/>
        <w:bottom w:val="none" w:sz="0" w:space="0" w:color="auto"/>
        <w:right w:val="none" w:sz="0" w:space="0" w:color="auto"/>
      </w:divBdr>
    </w:div>
    <w:div w:id="2085252841">
      <w:bodyDiv w:val="1"/>
      <w:marLeft w:val="0"/>
      <w:marRight w:val="0"/>
      <w:marTop w:val="0"/>
      <w:marBottom w:val="0"/>
      <w:divBdr>
        <w:top w:val="none" w:sz="0" w:space="0" w:color="auto"/>
        <w:left w:val="none" w:sz="0" w:space="0" w:color="auto"/>
        <w:bottom w:val="none" w:sz="0" w:space="0" w:color="auto"/>
        <w:right w:val="none" w:sz="0" w:space="0" w:color="auto"/>
      </w:divBdr>
    </w:div>
    <w:div w:id="2100901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Template>
  <TotalTime>59</TotalTime>
  <Pages>6</Pages>
  <Words>1144</Words>
  <Characters>7751</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2019041987 mt</dc:description>
  <cp:lastModifiedBy>Hanne Thy Iversen</cp:lastModifiedBy>
  <cp:revision>9</cp:revision>
  <cp:lastPrinted>2012-08-22T08:53:00Z</cp:lastPrinted>
  <dcterms:created xsi:type="dcterms:W3CDTF">2021-08-19T12:10:00Z</dcterms:created>
  <dcterms:modified xsi:type="dcterms:W3CDTF">2021-08-20T07:59:00Z</dcterms:modified>
</cp:coreProperties>
</file>