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B1D28"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71FB1E7" wp14:editId="75F8C96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59FA8B41" w14:textId="77777777" w:rsidR="009260DE" w:rsidRPr="00C84483" w:rsidRDefault="009260DE" w:rsidP="009260DE">
      <w:pPr>
        <w:pStyle w:val="Titel"/>
        <w:tabs>
          <w:tab w:val="right" w:pos="9356"/>
        </w:tabs>
        <w:jc w:val="left"/>
        <w:rPr>
          <w:b w:val="0"/>
          <w:szCs w:val="24"/>
          <w:lang w:eastAsia="en-US"/>
        </w:rPr>
      </w:pPr>
    </w:p>
    <w:p w14:paraId="7BBD2309" w14:textId="45269CCD"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ED5835">
        <w:rPr>
          <w:szCs w:val="24"/>
        </w:rPr>
        <w:t>22. januar 2026</w:t>
      </w:r>
    </w:p>
    <w:p w14:paraId="21F61C17" w14:textId="77777777" w:rsidR="009260DE" w:rsidRPr="00C84483" w:rsidRDefault="009260DE" w:rsidP="009260DE">
      <w:pPr>
        <w:pStyle w:val="Titel"/>
        <w:tabs>
          <w:tab w:val="left" w:pos="8222"/>
        </w:tabs>
        <w:jc w:val="left"/>
        <w:rPr>
          <w:b w:val="0"/>
          <w:szCs w:val="24"/>
        </w:rPr>
      </w:pPr>
    </w:p>
    <w:p w14:paraId="79A04FBB" w14:textId="77777777" w:rsidR="009260DE" w:rsidRPr="00C84483" w:rsidRDefault="009260DE" w:rsidP="009260DE">
      <w:pPr>
        <w:pStyle w:val="Titel"/>
        <w:jc w:val="left"/>
        <w:rPr>
          <w:b w:val="0"/>
          <w:szCs w:val="24"/>
        </w:rPr>
      </w:pPr>
    </w:p>
    <w:p w14:paraId="161FADAD" w14:textId="77777777" w:rsidR="009260DE" w:rsidRPr="00C84483" w:rsidRDefault="009260DE" w:rsidP="009260DE">
      <w:pPr>
        <w:pStyle w:val="Titel"/>
        <w:jc w:val="left"/>
        <w:rPr>
          <w:b w:val="0"/>
          <w:szCs w:val="24"/>
        </w:rPr>
      </w:pPr>
    </w:p>
    <w:p w14:paraId="58567952" w14:textId="77777777" w:rsidR="009260DE" w:rsidRPr="00C84483" w:rsidRDefault="009260DE" w:rsidP="009260DE">
      <w:pPr>
        <w:jc w:val="center"/>
        <w:rPr>
          <w:b/>
          <w:sz w:val="24"/>
          <w:szCs w:val="24"/>
        </w:rPr>
      </w:pPr>
      <w:r w:rsidRPr="00C84483">
        <w:rPr>
          <w:b/>
          <w:sz w:val="24"/>
          <w:szCs w:val="24"/>
        </w:rPr>
        <w:t>PRODUKTRESUMÉ</w:t>
      </w:r>
    </w:p>
    <w:p w14:paraId="087936D4" w14:textId="77777777" w:rsidR="009260DE" w:rsidRPr="00C84483" w:rsidRDefault="009260DE" w:rsidP="009260DE">
      <w:pPr>
        <w:jc w:val="center"/>
        <w:rPr>
          <w:b/>
          <w:sz w:val="24"/>
          <w:szCs w:val="24"/>
        </w:rPr>
      </w:pPr>
    </w:p>
    <w:p w14:paraId="2D39160B" w14:textId="77777777" w:rsidR="009260DE" w:rsidRDefault="009260DE" w:rsidP="009260DE">
      <w:pPr>
        <w:jc w:val="center"/>
        <w:rPr>
          <w:b/>
          <w:sz w:val="24"/>
          <w:szCs w:val="24"/>
        </w:rPr>
      </w:pPr>
      <w:r w:rsidRPr="00C84483">
        <w:rPr>
          <w:b/>
          <w:sz w:val="24"/>
          <w:szCs w:val="24"/>
        </w:rPr>
        <w:t>for</w:t>
      </w:r>
    </w:p>
    <w:p w14:paraId="020F723A" w14:textId="77777777" w:rsidR="000B058C" w:rsidRPr="00C84483" w:rsidRDefault="000B058C" w:rsidP="009260DE">
      <w:pPr>
        <w:jc w:val="center"/>
        <w:rPr>
          <w:b/>
          <w:sz w:val="24"/>
          <w:szCs w:val="24"/>
        </w:rPr>
      </w:pPr>
    </w:p>
    <w:p w14:paraId="259DC076" w14:textId="77777777" w:rsidR="009260DE" w:rsidRPr="00C84483" w:rsidRDefault="00EA4E24" w:rsidP="009260DE">
      <w:pPr>
        <w:jc w:val="center"/>
        <w:rPr>
          <w:b/>
          <w:sz w:val="24"/>
          <w:szCs w:val="24"/>
        </w:rPr>
      </w:pPr>
      <w:r>
        <w:rPr>
          <w:b/>
          <w:sz w:val="24"/>
          <w:szCs w:val="24"/>
        </w:rPr>
        <w:t>Kinparlev, depotplastre</w:t>
      </w:r>
    </w:p>
    <w:p w14:paraId="2FED3AD9" w14:textId="77777777" w:rsidR="009260DE" w:rsidRPr="00C84483" w:rsidRDefault="009260DE" w:rsidP="009260DE">
      <w:pPr>
        <w:jc w:val="both"/>
        <w:rPr>
          <w:sz w:val="24"/>
          <w:szCs w:val="24"/>
        </w:rPr>
      </w:pPr>
    </w:p>
    <w:p w14:paraId="3AF7685B" w14:textId="77777777" w:rsidR="009260DE" w:rsidRPr="00C84483" w:rsidRDefault="009260DE" w:rsidP="009260DE">
      <w:pPr>
        <w:jc w:val="both"/>
        <w:rPr>
          <w:sz w:val="24"/>
          <w:szCs w:val="24"/>
        </w:rPr>
      </w:pPr>
    </w:p>
    <w:p w14:paraId="406B3683"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6C17160E" w14:textId="6CCA2006" w:rsidR="009260DE" w:rsidRPr="00C84483" w:rsidRDefault="0066532D" w:rsidP="009260DE">
      <w:pPr>
        <w:tabs>
          <w:tab w:val="left" w:pos="851"/>
        </w:tabs>
        <w:ind w:left="851"/>
        <w:rPr>
          <w:sz w:val="24"/>
          <w:szCs w:val="24"/>
        </w:rPr>
      </w:pPr>
      <w:r>
        <w:rPr>
          <w:sz w:val="24"/>
          <w:szCs w:val="24"/>
        </w:rPr>
        <w:t>34237</w:t>
      </w:r>
    </w:p>
    <w:p w14:paraId="4CB60874" w14:textId="77777777" w:rsidR="009260DE" w:rsidRPr="00C84483" w:rsidRDefault="009260DE" w:rsidP="009260DE">
      <w:pPr>
        <w:tabs>
          <w:tab w:val="left" w:pos="851"/>
        </w:tabs>
        <w:ind w:left="851"/>
        <w:rPr>
          <w:sz w:val="24"/>
          <w:szCs w:val="24"/>
        </w:rPr>
      </w:pPr>
    </w:p>
    <w:p w14:paraId="7E6F1D3C"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7C17180" w14:textId="1D4A03AA" w:rsidR="009260DE" w:rsidRPr="00C84483" w:rsidRDefault="0066532D" w:rsidP="009260DE">
      <w:pPr>
        <w:tabs>
          <w:tab w:val="left" w:pos="851"/>
        </w:tabs>
        <w:ind w:left="851"/>
        <w:rPr>
          <w:sz w:val="24"/>
          <w:szCs w:val="24"/>
        </w:rPr>
      </w:pPr>
      <w:r>
        <w:rPr>
          <w:sz w:val="24"/>
          <w:szCs w:val="24"/>
        </w:rPr>
        <w:t>Kinparlev</w:t>
      </w:r>
    </w:p>
    <w:p w14:paraId="232BE1CA" w14:textId="77777777" w:rsidR="009260DE" w:rsidRPr="00C84483" w:rsidRDefault="009260DE" w:rsidP="009260DE">
      <w:pPr>
        <w:tabs>
          <w:tab w:val="left" w:pos="851"/>
        </w:tabs>
        <w:ind w:left="851"/>
        <w:rPr>
          <w:sz w:val="24"/>
          <w:szCs w:val="24"/>
        </w:rPr>
      </w:pPr>
    </w:p>
    <w:p w14:paraId="6581D540"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209EB36" w14:textId="77777777" w:rsidR="0066532D" w:rsidRDefault="0066532D" w:rsidP="0066532D">
      <w:pPr>
        <w:tabs>
          <w:tab w:val="left" w:pos="851"/>
        </w:tabs>
        <w:ind w:left="851"/>
        <w:rPr>
          <w:sz w:val="24"/>
          <w:szCs w:val="24"/>
          <w:u w:val="single"/>
        </w:rPr>
      </w:pPr>
    </w:p>
    <w:p w14:paraId="0F81D3B5" w14:textId="22F637A9" w:rsidR="0066532D" w:rsidRPr="0066532D" w:rsidRDefault="0066532D" w:rsidP="0066532D">
      <w:pPr>
        <w:tabs>
          <w:tab w:val="left" w:pos="851"/>
        </w:tabs>
        <w:ind w:left="851"/>
        <w:rPr>
          <w:sz w:val="24"/>
          <w:szCs w:val="24"/>
          <w:u w:val="single"/>
        </w:rPr>
      </w:pPr>
      <w:r w:rsidRPr="0066532D">
        <w:rPr>
          <w:sz w:val="24"/>
          <w:szCs w:val="24"/>
          <w:u w:val="single"/>
        </w:rPr>
        <w:t xml:space="preserve">Kinparlev depotplaster 1 mg/24 timer </w:t>
      </w:r>
    </w:p>
    <w:p w14:paraId="02A37896" w14:textId="77777777" w:rsidR="0066532D" w:rsidRPr="0066532D" w:rsidRDefault="0066532D" w:rsidP="0066532D">
      <w:pPr>
        <w:tabs>
          <w:tab w:val="left" w:pos="851"/>
        </w:tabs>
        <w:ind w:left="851"/>
        <w:rPr>
          <w:sz w:val="24"/>
          <w:szCs w:val="24"/>
        </w:rPr>
      </w:pPr>
      <w:r w:rsidRPr="0066532D">
        <w:rPr>
          <w:sz w:val="24"/>
          <w:szCs w:val="24"/>
        </w:rPr>
        <w:t>Hvert plaster afgiver 1 mg rotigotin pr. 24 timer. Hvert plaster på 5,5 cm</w:t>
      </w:r>
      <w:r w:rsidRPr="0066532D">
        <w:rPr>
          <w:sz w:val="24"/>
          <w:szCs w:val="24"/>
          <w:vertAlign w:val="superscript"/>
        </w:rPr>
        <w:t>2</w:t>
      </w:r>
      <w:r w:rsidRPr="0066532D">
        <w:rPr>
          <w:sz w:val="24"/>
          <w:szCs w:val="24"/>
        </w:rPr>
        <w:t xml:space="preserve"> indeholder 2,25 mg rotigotin.</w:t>
      </w:r>
    </w:p>
    <w:p w14:paraId="4C86DC5C" w14:textId="77777777" w:rsidR="0066532D" w:rsidRDefault="0066532D" w:rsidP="0066532D">
      <w:pPr>
        <w:tabs>
          <w:tab w:val="left" w:pos="851"/>
        </w:tabs>
        <w:ind w:left="851"/>
        <w:rPr>
          <w:sz w:val="24"/>
          <w:szCs w:val="24"/>
        </w:rPr>
      </w:pPr>
    </w:p>
    <w:p w14:paraId="75412DA8" w14:textId="08D0499F" w:rsidR="0066532D" w:rsidRDefault="0066532D" w:rsidP="0066532D">
      <w:pPr>
        <w:tabs>
          <w:tab w:val="left" w:pos="851"/>
        </w:tabs>
        <w:ind w:left="851"/>
        <w:rPr>
          <w:i/>
          <w:sz w:val="24"/>
          <w:szCs w:val="24"/>
        </w:rPr>
      </w:pPr>
      <w:r w:rsidRPr="0066532D">
        <w:rPr>
          <w:i/>
          <w:sz w:val="24"/>
          <w:szCs w:val="24"/>
        </w:rPr>
        <w:t>Hjælpestof</w:t>
      </w:r>
      <w:r>
        <w:rPr>
          <w:i/>
          <w:sz w:val="24"/>
          <w:szCs w:val="24"/>
        </w:rPr>
        <w:t>,</w:t>
      </w:r>
      <w:r w:rsidRPr="0066532D">
        <w:rPr>
          <w:i/>
          <w:sz w:val="24"/>
          <w:szCs w:val="24"/>
        </w:rPr>
        <w:t xml:space="preserve"> som behandleren skal være opmærksom på</w:t>
      </w:r>
    </w:p>
    <w:p w14:paraId="5455BDF3" w14:textId="636C4487" w:rsidR="0066532D" w:rsidRPr="0066532D" w:rsidRDefault="0066532D" w:rsidP="0066532D">
      <w:pPr>
        <w:tabs>
          <w:tab w:val="left" w:pos="851"/>
        </w:tabs>
        <w:ind w:left="851"/>
        <w:rPr>
          <w:sz w:val="24"/>
          <w:szCs w:val="24"/>
        </w:rPr>
      </w:pPr>
      <w:r>
        <w:rPr>
          <w:sz w:val="24"/>
          <w:szCs w:val="24"/>
        </w:rPr>
        <w:t>N</w:t>
      </w:r>
      <w:r w:rsidRPr="0066532D">
        <w:rPr>
          <w:sz w:val="24"/>
          <w:szCs w:val="24"/>
        </w:rPr>
        <w:t>atriumpyrosulfit E223 (0,0013 mg/plaster).</w:t>
      </w:r>
    </w:p>
    <w:p w14:paraId="7864FA9A" w14:textId="77777777" w:rsidR="0066532D" w:rsidRPr="0066532D" w:rsidRDefault="0066532D" w:rsidP="0066532D">
      <w:pPr>
        <w:tabs>
          <w:tab w:val="left" w:pos="851"/>
        </w:tabs>
        <w:ind w:left="851"/>
        <w:rPr>
          <w:sz w:val="24"/>
          <w:szCs w:val="24"/>
          <w:u w:val="single"/>
        </w:rPr>
      </w:pPr>
    </w:p>
    <w:p w14:paraId="54EEE94B" w14:textId="1FFC8D5E" w:rsidR="0066532D" w:rsidRPr="0066532D" w:rsidRDefault="0066532D" w:rsidP="0066532D">
      <w:pPr>
        <w:tabs>
          <w:tab w:val="left" w:pos="851"/>
        </w:tabs>
        <w:ind w:left="851"/>
        <w:rPr>
          <w:sz w:val="24"/>
          <w:szCs w:val="24"/>
          <w:u w:val="single"/>
        </w:rPr>
      </w:pPr>
      <w:r w:rsidRPr="0066532D">
        <w:rPr>
          <w:sz w:val="24"/>
          <w:szCs w:val="24"/>
          <w:u w:val="single"/>
        </w:rPr>
        <w:t xml:space="preserve">Kinparlev depotplaster 2 mg/24 timer </w:t>
      </w:r>
    </w:p>
    <w:p w14:paraId="6C78CC1E" w14:textId="77777777" w:rsidR="0066532D" w:rsidRPr="0066532D" w:rsidRDefault="0066532D" w:rsidP="0066532D">
      <w:pPr>
        <w:tabs>
          <w:tab w:val="left" w:pos="851"/>
        </w:tabs>
        <w:ind w:left="851"/>
        <w:rPr>
          <w:sz w:val="24"/>
          <w:szCs w:val="24"/>
        </w:rPr>
      </w:pPr>
      <w:r w:rsidRPr="0066532D">
        <w:rPr>
          <w:sz w:val="24"/>
          <w:szCs w:val="24"/>
        </w:rPr>
        <w:t>Hvert plaster afgiver 2 mg rotigotin pr. 24 timer. Hvert plaster på 11 cm</w:t>
      </w:r>
      <w:r w:rsidRPr="0066532D">
        <w:rPr>
          <w:sz w:val="24"/>
          <w:szCs w:val="24"/>
          <w:vertAlign w:val="superscript"/>
        </w:rPr>
        <w:t>2</w:t>
      </w:r>
      <w:r w:rsidRPr="0066532D">
        <w:rPr>
          <w:sz w:val="24"/>
          <w:szCs w:val="24"/>
        </w:rPr>
        <w:t xml:space="preserve"> indeholder 4,5 mg rotigotin.</w:t>
      </w:r>
    </w:p>
    <w:p w14:paraId="7F1603FF" w14:textId="77777777" w:rsidR="0066532D" w:rsidRDefault="0066532D" w:rsidP="0066532D">
      <w:pPr>
        <w:tabs>
          <w:tab w:val="left" w:pos="851"/>
        </w:tabs>
        <w:ind w:left="851"/>
        <w:rPr>
          <w:i/>
          <w:sz w:val="24"/>
          <w:szCs w:val="24"/>
        </w:rPr>
      </w:pPr>
    </w:p>
    <w:p w14:paraId="0DB004FA" w14:textId="3E9844A8" w:rsidR="0066532D" w:rsidRDefault="0066532D" w:rsidP="0066532D">
      <w:pPr>
        <w:tabs>
          <w:tab w:val="left" w:pos="851"/>
        </w:tabs>
        <w:ind w:left="851"/>
        <w:rPr>
          <w:i/>
          <w:sz w:val="24"/>
          <w:szCs w:val="24"/>
        </w:rPr>
      </w:pPr>
      <w:r w:rsidRPr="0066532D">
        <w:rPr>
          <w:i/>
          <w:sz w:val="24"/>
          <w:szCs w:val="24"/>
        </w:rPr>
        <w:t>Hjælpestof</w:t>
      </w:r>
      <w:r>
        <w:rPr>
          <w:i/>
          <w:sz w:val="24"/>
          <w:szCs w:val="24"/>
        </w:rPr>
        <w:t>,</w:t>
      </w:r>
      <w:r w:rsidRPr="0066532D">
        <w:rPr>
          <w:i/>
          <w:sz w:val="24"/>
          <w:szCs w:val="24"/>
        </w:rPr>
        <w:t xml:space="preserve"> som behandleren skal være opmærksom på</w:t>
      </w:r>
    </w:p>
    <w:p w14:paraId="713B8DFC" w14:textId="45AF1BD8" w:rsidR="0066532D" w:rsidRPr="0066532D" w:rsidRDefault="0066532D" w:rsidP="0066532D">
      <w:pPr>
        <w:tabs>
          <w:tab w:val="left" w:pos="851"/>
        </w:tabs>
        <w:ind w:left="851"/>
        <w:rPr>
          <w:sz w:val="24"/>
          <w:szCs w:val="24"/>
        </w:rPr>
      </w:pPr>
      <w:r>
        <w:rPr>
          <w:sz w:val="24"/>
          <w:szCs w:val="24"/>
        </w:rPr>
        <w:t>N</w:t>
      </w:r>
      <w:r w:rsidRPr="0066532D">
        <w:rPr>
          <w:sz w:val="24"/>
          <w:szCs w:val="24"/>
        </w:rPr>
        <w:t>atriumpyrosulfit E223 (0,0025 mg/plaster).</w:t>
      </w:r>
    </w:p>
    <w:p w14:paraId="14C2FCC1" w14:textId="77777777" w:rsidR="0066532D" w:rsidRPr="0066532D" w:rsidRDefault="0066532D" w:rsidP="0066532D">
      <w:pPr>
        <w:tabs>
          <w:tab w:val="left" w:pos="851"/>
        </w:tabs>
        <w:ind w:left="851"/>
        <w:rPr>
          <w:sz w:val="24"/>
          <w:szCs w:val="24"/>
          <w:u w:val="single"/>
        </w:rPr>
      </w:pPr>
    </w:p>
    <w:p w14:paraId="17672380" w14:textId="6FABAA9F" w:rsidR="0066532D" w:rsidRPr="0066532D" w:rsidRDefault="0066532D" w:rsidP="0066532D">
      <w:pPr>
        <w:tabs>
          <w:tab w:val="left" w:pos="851"/>
        </w:tabs>
        <w:ind w:left="851"/>
        <w:rPr>
          <w:sz w:val="24"/>
          <w:szCs w:val="24"/>
          <w:u w:val="single"/>
        </w:rPr>
      </w:pPr>
      <w:r w:rsidRPr="0066532D">
        <w:rPr>
          <w:sz w:val="24"/>
          <w:szCs w:val="24"/>
          <w:u w:val="single"/>
        </w:rPr>
        <w:t xml:space="preserve">Kinparlev depotplaster 3 mg/24 timer </w:t>
      </w:r>
    </w:p>
    <w:p w14:paraId="6AC99F7E" w14:textId="77777777" w:rsidR="0066532D" w:rsidRPr="0066532D" w:rsidRDefault="0066532D" w:rsidP="0066532D">
      <w:pPr>
        <w:tabs>
          <w:tab w:val="left" w:pos="851"/>
        </w:tabs>
        <w:ind w:left="851"/>
        <w:rPr>
          <w:sz w:val="24"/>
          <w:szCs w:val="24"/>
        </w:rPr>
      </w:pPr>
      <w:r w:rsidRPr="0066532D">
        <w:rPr>
          <w:sz w:val="24"/>
          <w:szCs w:val="24"/>
        </w:rPr>
        <w:t>Hvert plaster afgiver 3 mg rotigotin pr. 24 timer. Hvert plaster på 16,5 cm</w:t>
      </w:r>
      <w:r w:rsidRPr="0066532D">
        <w:rPr>
          <w:sz w:val="24"/>
          <w:szCs w:val="24"/>
          <w:vertAlign w:val="superscript"/>
        </w:rPr>
        <w:t>2</w:t>
      </w:r>
      <w:r w:rsidRPr="0066532D">
        <w:rPr>
          <w:sz w:val="24"/>
          <w:szCs w:val="24"/>
        </w:rPr>
        <w:t xml:space="preserve"> indeholder 6,75 mg rotigotin.</w:t>
      </w:r>
    </w:p>
    <w:p w14:paraId="5AD553AA" w14:textId="77777777" w:rsidR="0066532D" w:rsidRDefault="0066532D" w:rsidP="0066532D">
      <w:pPr>
        <w:tabs>
          <w:tab w:val="left" w:pos="851"/>
        </w:tabs>
        <w:ind w:left="851"/>
        <w:rPr>
          <w:sz w:val="24"/>
          <w:szCs w:val="24"/>
        </w:rPr>
      </w:pPr>
    </w:p>
    <w:p w14:paraId="2276C695" w14:textId="465178E8" w:rsidR="0066532D" w:rsidRDefault="0066532D" w:rsidP="0066532D">
      <w:pPr>
        <w:tabs>
          <w:tab w:val="left" w:pos="851"/>
        </w:tabs>
        <w:ind w:left="851"/>
        <w:rPr>
          <w:i/>
          <w:sz w:val="24"/>
          <w:szCs w:val="24"/>
        </w:rPr>
      </w:pPr>
      <w:r w:rsidRPr="0066532D">
        <w:rPr>
          <w:i/>
          <w:sz w:val="24"/>
          <w:szCs w:val="24"/>
        </w:rPr>
        <w:t>Hjælpestof</w:t>
      </w:r>
      <w:r>
        <w:rPr>
          <w:i/>
          <w:sz w:val="24"/>
          <w:szCs w:val="24"/>
        </w:rPr>
        <w:t>,</w:t>
      </w:r>
      <w:r w:rsidRPr="0066532D">
        <w:rPr>
          <w:i/>
          <w:sz w:val="24"/>
          <w:szCs w:val="24"/>
        </w:rPr>
        <w:t xml:space="preserve"> som behandleren skal være opmærksom på</w:t>
      </w:r>
    </w:p>
    <w:p w14:paraId="53F8953D" w14:textId="250ED932" w:rsidR="0066532D" w:rsidRPr="0066532D" w:rsidRDefault="0066532D" w:rsidP="0066532D">
      <w:pPr>
        <w:tabs>
          <w:tab w:val="left" w:pos="851"/>
        </w:tabs>
        <w:ind w:left="851"/>
        <w:rPr>
          <w:sz w:val="24"/>
          <w:szCs w:val="24"/>
        </w:rPr>
      </w:pPr>
      <w:r>
        <w:rPr>
          <w:sz w:val="24"/>
          <w:szCs w:val="24"/>
        </w:rPr>
        <w:t>N</w:t>
      </w:r>
      <w:r w:rsidRPr="0066532D">
        <w:rPr>
          <w:sz w:val="24"/>
          <w:szCs w:val="24"/>
        </w:rPr>
        <w:t>atriumpyrosulfit E223 (0,0038 mg/plaster).</w:t>
      </w:r>
    </w:p>
    <w:p w14:paraId="028237BB" w14:textId="77777777" w:rsidR="0066532D" w:rsidRPr="0066532D" w:rsidRDefault="0066532D" w:rsidP="0066532D">
      <w:pPr>
        <w:tabs>
          <w:tab w:val="left" w:pos="851"/>
        </w:tabs>
        <w:ind w:left="851"/>
        <w:rPr>
          <w:sz w:val="24"/>
          <w:szCs w:val="24"/>
          <w:u w:val="single"/>
        </w:rPr>
      </w:pPr>
    </w:p>
    <w:p w14:paraId="58A0A9FE" w14:textId="7411B632" w:rsidR="0066532D" w:rsidRPr="0066532D" w:rsidRDefault="0066532D" w:rsidP="0066532D">
      <w:pPr>
        <w:tabs>
          <w:tab w:val="left" w:pos="851"/>
        </w:tabs>
        <w:ind w:left="851"/>
        <w:rPr>
          <w:sz w:val="24"/>
          <w:szCs w:val="24"/>
          <w:u w:val="single"/>
        </w:rPr>
      </w:pPr>
      <w:r w:rsidRPr="0066532D">
        <w:rPr>
          <w:sz w:val="24"/>
          <w:szCs w:val="24"/>
          <w:u w:val="single"/>
        </w:rPr>
        <w:t xml:space="preserve">Kinparlev depotplaster 4 mg/24 timer </w:t>
      </w:r>
    </w:p>
    <w:p w14:paraId="26A663CC" w14:textId="77777777" w:rsidR="0066532D" w:rsidRPr="0066532D" w:rsidRDefault="0066532D" w:rsidP="0066532D">
      <w:pPr>
        <w:tabs>
          <w:tab w:val="left" w:pos="851"/>
        </w:tabs>
        <w:ind w:left="851"/>
        <w:rPr>
          <w:sz w:val="24"/>
          <w:szCs w:val="24"/>
        </w:rPr>
      </w:pPr>
      <w:r w:rsidRPr="0066532D">
        <w:rPr>
          <w:sz w:val="24"/>
          <w:szCs w:val="24"/>
        </w:rPr>
        <w:t>Hvert plaster afgiver 4 mg rotigotin pr. 24 timer. Hvert plaster på 22 cm</w:t>
      </w:r>
      <w:r w:rsidRPr="0066532D">
        <w:rPr>
          <w:sz w:val="24"/>
          <w:szCs w:val="24"/>
          <w:vertAlign w:val="superscript"/>
        </w:rPr>
        <w:t>2</w:t>
      </w:r>
      <w:r w:rsidRPr="0066532D">
        <w:rPr>
          <w:sz w:val="24"/>
          <w:szCs w:val="24"/>
        </w:rPr>
        <w:t xml:space="preserve"> indeholder 9,0 mg rotigotin.</w:t>
      </w:r>
    </w:p>
    <w:p w14:paraId="545AE6B2" w14:textId="0C8CFD4C" w:rsidR="0066532D" w:rsidRDefault="0066532D">
      <w:pPr>
        <w:rPr>
          <w:sz w:val="24"/>
          <w:szCs w:val="24"/>
        </w:rPr>
      </w:pPr>
      <w:r>
        <w:rPr>
          <w:sz w:val="24"/>
          <w:szCs w:val="24"/>
        </w:rPr>
        <w:br w:type="page"/>
      </w:r>
    </w:p>
    <w:p w14:paraId="17DE14D8" w14:textId="77777777" w:rsidR="0066532D" w:rsidRDefault="0066532D" w:rsidP="0066532D">
      <w:pPr>
        <w:tabs>
          <w:tab w:val="left" w:pos="851"/>
        </w:tabs>
        <w:ind w:left="851"/>
        <w:rPr>
          <w:sz w:val="24"/>
          <w:szCs w:val="24"/>
        </w:rPr>
      </w:pPr>
    </w:p>
    <w:p w14:paraId="24AC7E19" w14:textId="72692230" w:rsidR="0066532D" w:rsidRDefault="0066532D" w:rsidP="0066532D">
      <w:pPr>
        <w:tabs>
          <w:tab w:val="left" w:pos="851"/>
        </w:tabs>
        <w:ind w:left="851"/>
        <w:rPr>
          <w:i/>
          <w:sz w:val="24"/>
          <w:szCs w:val="24"/>
        </w:rPr>
      </w:pPr>
      <w:r w:rsidRPr="0066532D">
        <w:rPr>
          <w:i/>
          <w:sz w:val="24"/>
          <w:szCs w:val="24"/>
        </w:rPr>
        <w:t>Hjælpestof</w:t>
      </w:r>
      <w:r>
        <w:rPr>
          <w:i/>
          <w:sz w:val="24"/>
          <w:szCs w:val="24"/>
        </w:rPr>
        <w:t>,</w:t>
      </w:r>
      <w:r w:rsidRPr="0066532D">
        <w:rPr>
          <w:i/>
          <w:sz w:val="24"/>
          <w:szCs w:val="24"/>
        </w:rPr>
        <w:t xml:space="preserve"> som behandleren skal være opmærksom på</w:t>
      </w:r>
    </w:p>
    <w:p w14:paraId="584F5084" w14:textId="086E5A5B" w:rsidR="0066532D" w:rsidRPr="0066532D" w:rsidRDefault="0066532D" w:rsidP="0066532D">
      <w:pPr>
        <w:tabs>
          <w:tab w:val="left" w:pos="851"/>
        </w:tabs>
        <w:ind w:left="851"/>
        <w:rPr>
          <w:sz w:val="24"/>
          <w:szCs w:val="24"/>
        </w:rPr>
      </w:pPr>
      <w:r>
        <w:rPr>
          <w:sz w:val="24"/>
          <w:szCs w:val="24"/>
        </w:rPr>
        <w:t>N</w:t>
      </w:r>
      <w:r w:rsidRPr="0066532D">
        <w:rPr>
          <w:sz w:val="24"/>
          <w:szCs w:val="24"/>
        </w:rPr>
        <w:t>atriumpyrosulfit E223 (0,0050 mg/plaster).</w:t>
      </w:r>
    </w:p>
    <w:p w14:paraId="75D0B5C3" w14:textId="77777777" w:rsidR="0066532D" w:rsidRPr="0066532D" w:rsidRDefault="0066532D" w:rsidP="0066532D">
      <w:pPr>
        <w:tabs>
          <w:tab w:val="left" w:pos="851"/>
        </w:tabs>
        <w:ind w:left="851"/>
        <w:rPr>
          <w:sz w:val="24"/>
          <w:szCs w:val="24"/>
        </w:rPr>
      </w:pPr>
    </w:p>
    <w:p w14:paraId="62D9E390" w14:textId="390A402B" w:rsidR="0066532D" w:rsidRPr="0066532D" w:rsidRDefault="0066532D" w:rsidP="0066532D">
      <w:pPr>
        <w:tabs>
          <w:tab w:val="left" w:pos="851"/>
        </w:tabs>
        <w:ind w:left="851"/>
        <w:rPr>
          <w:sz w:val="24"/>
          <w:szCs w:val="24"/>
          <w:u w:val="single"/>
        </w:rPr>
      </w:pPr>
      <w:r w:rsidRPr="0066532D">
        <w:rPr>
          <w:sz w:val="24"/>
          <w:szCs w:val="24"/>
          <w:u w:val="single"/>
        </w:rPr>
        <w:t xml:space="preserve">Kinparlev depotplaster 6 mg/24 timer </w:t>
      </w:r>
    </w:p>
    <w:p w14:paraId="5BFBF08A" w14:textId="77777777" w:rsidR="0066532D" w:rsidRPr="0066532D" w:rsidRDefault="0066532D" w:rsidP="0066532D">
      <w:pPr>
        <w:tabs>
          <w:tab w:val="left" w:pos="851"/>
        </w:tabs>
        <w:ind w:left="851"/>
        <w:rPr>
          <w:sz w:val="24"/>
          <w:szCs w:val="24"/>
        </w:rPr>
      </w:pPr>
      <w:r w:rsidRPr="0066532D">
        <w:rPr>
          <w:sz w:val="24"/>
          <w:szCs w:val="24"/>
        </w:rPr>
        <w:t>Hvert plaster afgiver 6 mg rotigotin pr. 24 timer. Hvert plaster på 33 cm</w:t>
      </w:r>
      <w:r w:rsidRPr="0066532D">
        <w:rPr>
          <w:sz w:val="24"/>
          <w:szCs w:val="24"/>
          <w:vertAlign w:val="superscript"/>
        </w:rPr>
        <w:t>2</w:t>
      </w:r>
      <w:r w:rsidRPr="0066532D">
        <w:rPr>
          <w:sz w:val="24"/>
          <w:szCs w:val="24"/>
        </w:rPr>
        <w:t xml:space="preserve"> indeholder 13,5 mg rotigotin.</w:t>
      </w:r>
    </w:p>
    <w:p w14:paraId="49CD6FDC" w14:textId="77777777" w:rsidR="0066532D" w:rsidRDefault="0066532D" w:rsidP="0066532D">
      <w:pPr>
        <w:tabs>
          <w:tab w:val="left" w:pos="851"/>
        </w:tabs>
        <w:ind w:left="851"/>
        <w:rPr>
          <w:sz w:val="24"/>
          <w:szCs w:val="24"/>
        </w:rPr>
      </w:pPr>
    </w:p>
    <w:p w14:paraId="247BB5BE" w14:textId="2CC73C82" w:rsidR="0066532D" w:rsidRDefault="0066532D" w:rsidP="0066532D">
      <w:pPr>
        <w:tabs>
          <w:tab w:val="left" w:pos="851"/>
        </w:tabs>
        <w:ind w:left="851"/>
        <w:rPr>
          <w:i/>
          <w:sz w:val="24"/>
          <w:szCs w:val="24"/>
        </w:rPr>
      </w:pPr>
      <w:r w:rsidRPr="0066532D">
        <w:rPr>
          <w:i/>
          <w:sz w:val="24"/>
          <w:szCs w:val="24"/>
        </w:rPr>
        <w:t>Hjælpestof</w:t>
      </w:r>
      <w:r>
        <w:rPr>
          <w:i/>
          <w:sz w:val="24"/>
          <w:szCs w:val="24"/>
        </w:rPr>
        <w:t>,</w:t>
      </w:r>
      <w:r w:rsidRPr="0066532D">
        <w:rPr>
          <w:i/>
          <w:sz w:val="24"/>
          <w:szCs w:val="24"/>
        </w:rPr>
        <w:t xml:space="preserve"> som behandleren skal være opmærksom på</w:t>
      </w:r>
    </w:p>
    <w:p w14:paraId="6B47C72E" w14:textId="38F7FF68" w:rsidR="0066532D" w:rsidRPr="0066532D" w:rsidRDefault="0066532D" w:rsidP="0066532D">
      <w:pPr>
        <w:tabs>
          <w:tab w:val="left" w:pos="851"/>
        </w:tabs>
        <w:ind w:left="851"/>
        <w:rPr>
          <w:sz w:val="24"/>
          <w:szCs w:val="24"/>
        </w:rPr>
      </w:pPr>
      <w:r>
        <w:rPr>
          <w:sz w:val="24"/>
          <w:szCs w:val="24"/>
        </w:rPr>
        <w:t>N</w:t>
      </w:r>
      <w:r w:rsidRPr="0066532D">
        <w:rPr>
          <w:sz w:val="24"/>
          <w:szCs w:val="24"/>
        </w:rPr>
        <w:t>atriumpyrosulfit E223 (0,0075 mg/plaster).</w:t>
      </w:r>
    </w:p>
    <w:p w14:paraId="3BB122E0" w14:textId="77777777" w:rsidR="0066532D" w:rsidRPr="0066532D" w:rsidRDefault="0066532D" w:rsidP="0066532D">
      <w:pPr>
        <w:tabs>
          <w:tab w:val="left" w:pos="851"/>
        </w:tabs>
        <w:ind w:left="851"/>
        <w:rPr>
          <w:sz w:val="24"/>
          <w:szCs w:val="24"/>
        </w:rPr>
      </w:pPr>
    </w:p>
    <w:p w14:paraId="1593CC43" w14:textId="236CCCA2" w:rsidR="0066532D" w:rsidRPr="0066532D" w:rsidRDefault="0066532D" w:rsidP="0066532D">
      <w:pPr>
        <w:tabs>
          <w:tab w:val="left" w:pos="851"/>
        </w:tabs>
        <w:ind w:left="851"/>
        <w:rPr>
          <w:sz w:val="24"/>
          <w:szCs w:val="24"/>
          <w:u w:val="single"/>
        </w:rPr>
      </w:pPr>
      <w:r w:rsidRPr="0066532D">
        <w:rPr>
          <w:sz w:val="24"/>
          <w:szCs w:val="24"/>
          <w:u w:val="single"/>
        </w:rPr>
        <w:t xml:space="preserve">Kinparlev depotplaster 8 mg/24 timer </w:t>
      </w:r>
    </w:p>
    <w:p w14:paraId="620FD47E" w14:textId="77777777" w:rsidR="0066532D" w:rsidRPr="0066532D" w:rsidRDefault="0066532D" w:rsidP="0066532D">
      <w:pPr>
        <w:tabs>
          <w:tab w:val="left" w:pos="851"/>
        </w:tabs>
        <w:ind w:left="851"/>
        <w:rPr>
          <w:sz w:val="24"/>
          <w:szCs w:val="24"/>
        </w:rPr>
      </w:pPr>
      <w:r w:rsidRPr="0066532D">
        <w:rPr>
          <w:sz w:val="24"/>
          <w:szCs w:val="24"/>
        </w:rPr>
        <w:t>Hvert plaster afgiver 8 mg rotigotin pr. 24 timer. Hvert plaster på 44 cm</w:t>
      </w:r>
      <w:r w:rsidRPr="0066532D">
        <w:rPr>
          <w:sz w:val="24"/>
          <w:szCs w:val="24"/>
          <w:vertAlign w:val="superscript"/>
        </w:rPr>
        <w:t>2</w:t>
      </w:r>
      <w:r w:rsidRPr="0066532D">
        <w:rPr>
          <w:sz w:val="24"/>
          <w:szCs w:val="24"/>
        </w:rPr>
        <w:t xml:space="preserve"> indeholder 18,0 mg rotigotin.</w:t>
      </w:r>
    </w:p>
    <w:p w14:paraId="4112623E" w14:textId="77777777" w:rsidR="0066532D" w:rsidRDefault="0066532D" w:rsidP="0066532D">
      <w:pPr>
        <w:tabs>
          <w:tab w:val="left" w:pos="851"/>
        </w:tabs>
        <w:ind w:left="851"/>
        <w:rPr>
          <w:sz w:val="24"/>
          <w:szCs w:val="24"/>
        </w:rPr>
      </w:pPr>
    </w:p>
    <w:p w14:paraId="38C06D4F" w14:textId="1029C069" w:rsidR="0066532D" w:rsidRDefault="0066532D" w:rsidP="0066532D">
      <w:pPr>
        <w:tabs>
          <w:tab w:val="left" w:pos="851"/>
        </w:tabs>
        <w:ind w:left="851"/>
        <w:rPr>
          <w:i/>
          <w:sz w:val="24"/>
          <w:szCs w:val="24"/>
        </w:rPr>
      </w:pPr>
      <w:r w:rsidRPr="0066532D">
        <w:rPr>
          <w:i/>
          <w:sz w:val="24"/>
          <w:szCs w:val="24"/>
        </w:rPr>
        <w:t>Hjælpestof</w:t>
      </w:r>
      <w:r>
        <w:rPr>
          <w:i/>
          <w:sz w:val="24"/>
          <w:szCs w:val="24"/>
        </w:rPr>
        <w:t>,</w:t>
      </w:r>
      <w:r w:rsidRPr="0066532D">
        <w:rPr>
          <w:i/>
          <w:sz w:val="24"/>
          <w:szCs w:val="24"/>
        </w:rPr>
        <w:t xml:space="preserve"> som behandleren skal være opmærksom på</w:t>
      </w:r>
    </w:p>
    <w:p w14:paraId="1457E1C8" w14:textId="492E4C16" w:rsidR="0066532D" w:rsidRPr="0066532D" w:rsidRDefault="0066532D" w:rsidP="0066532D">
      <w:pPr>
        <w:tabs>
          <w:tab w:val="left" w:pos="851"/>
        </w:tabs>
        <w:ind w:left="851"/>
        <w:rPr>
          <w:sz w:val="24"/>
          <w:szCs w:val="24"/>
        </w:rPr>
      </w:pPr>
      <w:r>
        <w:rPr>
          <w:sz w:val="24"/>
          <w:szCs w:val="24"/>
        </w:rPr>
        <w:t>N</w:t>
      </w:r>
      <w:r w:rsidRPr="0066532D">
        <w:rPr>
          <w:sz w:val="24"/>
          <w:szCs w:val="24"/>
        </w:rPr>
        <w:t>atriumpyrosulfit E223 (0,0100 mg/plaster).</w:t>
      </w:r>
    </w:p>
    <w:p w14:paraId="0A7D80BD" w14:textId="77777777" w:rsidR="0066532D" w:rsidRPr="0066532D" w:rsidRDefault="0066532D" w:rsidP="0066532D">
      <w:pPr>
        <w:tabs>
          <w:tab w:val="left" w:pos="851"/>
        </w:tabs>
        <w:ind w:left="851"/>
        <w:rPr>
          <w:sz w:val="24"/>
          <w:szCs w:val="24"/>
        </w:rPr>
      </w:pPr>
    </w:p>
    <w:p w14:paraId="0BC0864A" w14:textId="77777777" w:rsidR="0066532D" w:rsidRPr="0066532D" w:rsidRDefault="0066532D" w:rsidP="0066532D">
      <w:pPr>
        <w:tabs>
          <w:tab w:val="left" w:pos="851"/>
        </w:tabs>
        <w:ind w:left="851"/>
        <w:rPr>
          <w:sz w:val="24"/>
          <w:szCs w:val="24"/>
        </w:rPr>
      </w:pPr>
      <w:r w:rsidRPr="0066532D">
        <w:rPr>
          <w:sz w:val="24"/>
          <w:szCs w:val="24"/>
        </w:rPr>
        <w:t>Alle hjælpestoffer er anført under pkt. 6.1.</w:t>
      </w:r>
    </w:p>
    <w:p w14:paraId="445312CC" w14:textId="77777777" w:rsidR="009260DE" w:rsidRPr="00C84483" w:rsidRDefault="009260DE" w:rsidP="009260DE">
      <w:pPr>
        <w:tabs>
          <w:tab w:val="left" w:pos="851"/>
        </w:tabs>
        <w:ind w:left="851"/>
        <w:rPr>
          <w:sz w:val="24"/>
          <w:szCs w:val="24"/>
        </w:rPr>
      </w:pPr>
    </w:p>
    <w:p w14:paraId="4204EDDB"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20F4291" w14:textId="6C0F0CFB" w:rsidR="0066532D" w:rsidRPr="0066532D" w:rsidRDefault="0066532D" w:rsidP="0066532D">
      <w:pPr>
        <w:tabs>
          <w:tab w:val="left" w:pos="851"/>
        </w:tabs>
        <w:ind w:left="851"/>
        <w:rPr>
          <w:sz w:val="24"/>
          <w:szCs w:val="24"/>
        </w:rPr>
      </w:pPr>
      <w:r w:rsidRPr="0066532D">
        <w:rPr>
          <w:sz w:val="24"/>
          <w:szCs w:val="24"/>
        </w:rPr>
        <w:t>Depotplast</w:t>
      </w:r>
      <w:r>
        <w:rPr>
          <w:sz w:val="24"/>
          <w:szCs w:val="24"/>
        </w:rPr>
        <w:t>re</w:t>
      </w:r>
    </w:p>
    <w:p w14:paraId="5E797BC8" w14:textId="77777777" w:rsidR="0066532D" w:rsidRPr="0066532D" w:rsidRDefault="0066532D" w:rsidP="0066532D">
      <w:pPr>
        <w:tabs>
          <w:tab w:val="left" w:pos="851"/>
        </w:tabs>
        <w:ind w:left="851"/>
        <w:rPr>
          <w:sz w:val="24"/>
          <w:szCs w:val="24"/>
        </w:rPr>
      </w:pPr>
    </w:p>
    <w:p w14:paraId="758E8FF4" w14:textId="044BA255" w:rsidR="0066532D" w:rsidRPr="0066532D" w:rsidRDefault="0066532D" w:rsidP="0066532D">
      <w:pPr>
        <w:tabs>
          <w:tab w:val="left" w:pos="851"/>
        </w:tabs>
        <w:ind w:left="851"/>
        <w:rPr>
          <w:sz w:val="24"/>
          <w:szCs w:val="24"/>
        </w:rPr>
      </w:pPr>
      <w:r w:rsidRPr="0066532D">
        <w:rPr>
          <w:sz w:val="24"/>
          <w:szCs w:val="24"/>
        </w:rPr>
        <w:t>Kvadratisk plaster med afrundede hjørner, bestående af en overlappende</w:t>
      </w:r>
      <w:r>
        <w:rPr>
          <w:sz w:val="24"/>
          <w:szCs w:val="24"/>
        </w:rPr>
        <w:t>,</w:t>
      </w:r>
      <w:r w:rsidRPr="0066532D">
        <w:rPr>
          <w:sz w:val="24"/>
          <w:szCs w:val="24"/>
        </w:rPr>
        <w:t xml:space="preserve"> gennemsigtig frigørelsesfilm</w:t>
      </w:r>
      <w:r>
        <w:rPr>
          <w:sz w:val="24"/>
          <w:szCs w:val="24"/>
        </w:rPr>
        <w:t>,</w:t>
      </w:r>
      <w:r w:rsidRPr="0066532D">
        <w:rPr>
          <w:sz w:val="24"/>
          <w:szCs w:val="24"/>
        </w:rPr>
        <w:t xml:space="preserve"> der er delvist perforeret på tværs</w:t>
      </w:r>
      <w:r w:rsidR="00F4259E">
        <w:rPr>
          <w:sz w:val="24"/>
          <w:szCs w:val="24"/>
        </w:rPr>
        <w:t>,</w:t>
      </w:r>
      <w:r w:rsidRPr="0066532D">
        <w:rPr>
          <w:sz w:val="24"/>
          <w:szCs w:val="24"/>
        </w:rPr>
        <w:t xml:space="preserve"> og en beige bagsidefilm med påtrykt produktnavn og styrke med sort tryk. Ved fjernelse af den gennemsigtige frigørelsesfilm bliver et klart/gennemsigtigt</w:t>
      </w:r>
      <w:r w:rsidR="00F4259E">
        <w:rPr>
          <w:sz w:val="24"/>
          <w:szCs w:val="24"/>
        </w:rPr>
        <w:t>,</w:t>
      </w:r>
      <w:r w:rsidRPr="0066532D">
        <w:rPr>
          <w:sz w:val="24"/>
          <w:szCs w:val="24"/>
        </w:rPr>
        <w:t xml:space="preserve"> ensartet matrixlag på bagsidefilmen synligt.</w:t>
      </w:r>
      <w:bookmarkStart w:id="1" w:name="_Hlk173766635"/>
    </w:p>
    <w:p w14:paraId="79357DD8" w14:textId="77777777" w:rsidR="0066532D" w:rsidRPr="0066532D" w:rsidRDefault="0066532D" w:rsidP="0066532D">
      <w:pPr>
        <w:tabs>
          <w:tab w:val="left" w:pos="851"/>
        </w:tabs>
        <w:ind w:left="851"/>
        <w:rPr>
          <w:sz w:val="24"/>
          <w:szCs w:val="24"/>
        </w:rPr>
      </w:pPr>
    </w:p>
    <w:p w14:paraId="1429D191" w14:textId="4309455E" w:rsidR="0066532D" w:rsidRPr="00F4259E" w:rsidRDefault="0066532D" w:rsidP="0066532D">
      <w:pPr>
        <w:tabs>
          <w:tab w:val="left" w:pos="851"/>
        </w:tabs>
        <w:ind w:left="851"/>
        <w:rPr>
          <w:sz w:val="24"/>
          <w:szCs w:val="24"/>
          <w:u w:val="single"/>
        </w:rPr>
      </w:pPr>
      <w:r w:rsidRPr="00F4259E">
        <w:rPr>
          <w:sz w:val="24"/>
          <w:szCs w:val="24"/>
          <w:u w:val="single"/>
        </w:rPr>
        <w:t>Plasterstørrelser</w:t>
      </w:r>
    </w:p>
    <w:p w14:paraId="2359522A" w14:textId="3534C169" w:rsidR="0066532D" w:rsidRPr="0066532D" w:rsidRDefault="0066532D" w:rsidP="0066532D">
      <w:pPr>
        <w:tabs>
          <w:tab w:val="left" w:pos="851"/>
        </w:tabs>
        <w:ind w:left="851"/>
        <w:rPr>
          <w:sz w:val="24"/>
          <w:szCs w:val="24"/>
        </w:rPr>
      </w:pPr>
      <w:r w:rsidRPr="0066532D">
        <w:rPr>
          <w:sz w:val="24"/>
          <w:szCs w:val="24"/>
        </w:rPr>
        <w:t>1 mg: 34×33 mm ± 1 mm</w:t>
      </w:r>
    </w:p>
    <w:p w14:paraId="34B1C85C" w14:textId="6AD79C80" w:rsidR="0066532D" w:rsidRPr="0066532D" w:rsidRDefault="0066532D" w:rsidP="0066532D">
      <w:pPr>
        <w:tabs>
          <w:tab w:val="left" w:pos="851"/>
        </w:tabs>
        <w:ind w:left="851"/>
        <w:rPr>
          <w:sz w:val="24"/>
          <w:szCs w:val="24"/>
        </w:rPr>
      </w:pPr>
      <w:r w:rsidRPr="0066532D">
        <w:rPr>
          <w:sz w:val="24"/>
          <w:szCs w:val="24"/>
        </w:rPr>
        <w:t>2 mg: 42×42 mm ± 1 mm</w:t>
      </w:r>
    </w:p>
    <w:p w14:paraId="2360469E" w14:textId="30982EEE" w:rsidR="0066532D" w:rsidRPr="0066532D" w:rsidRDefault="0066532D" w:rsidP="0066532D">
      <w:pPr>
        <w:tabs>
          <w:tab w:val="left" w:pos="851"/>
        </w:tabs>
        <w:ind w:left="851"/>
        <w:rPr>
          <w:sz w:val="24"/>
          <w:szCs w:val="24"/>
        </w:rPr>
      </w:pPr>
      <w:r w:rsidRPr="0066532D">
        <w:rPr>
          <w:sz w:val="24"/>
          <w:szCs w:val="24"/>
        </w:rPr>
        <w:t>3 mg: 52×49 mm ± 1 mm</w:t>
      </w:r>
    </w:p>
    <w:p w14:paraId="3F81E308" w14:textId="0329E8FE" w:rsidR="0066532D" w:rsidRPr="0066532D" w:rsidRDefault="0066532D" w:rsidP="0066532D">
      <w:pPr>
        <w:tabs>
          <w:tab w:val="left" w:pos="851"/>
        </w:tabs>
        <w:ind w:left="851"/>
        <w:rPr>
          <w:sz w:val="24"/>
          <w:szCs w:val="24"/>
        </w:rPr>
      </w:pPr>
      <w:r w:rsidRPr="0066532D">
        <w:rPr>
          <w:sz w:val="24"/>
          <w:szCs w:val="24"/>
        </w:rPr>
        <w:t>4 mg: 56×55 mm ± 1 mm</w:t>
      </w:r>
    </w:p>
    <w:p w14:paraId="74EF7641" w14:textId="0A6DCE69" w:rsidR="0066532D" w:rsidRPr="0066532D" w:rsidRDefault="0066532D" w:rsidP="0066532D">
      <w:pPr>
        <w:tabs>
          <w:tab w:val="left" w:pos="851"/>
        </w:tabs>
        <w:ind w:left="851"/>
        <w:rPr>
          <w:sz w:val="24"/>
          <w:szCs w:val="24"/>
        </w:rPr>
      </w:pPr>
      <w:r w:rsidRPr="0066532D">
        <w:rPr>
          <w:sz w:val="24"/>
          <w:szCs w:val="24"/>
        </w:rPr>
        <w:t>6 mg: 66×66 mm ± 1 mm</w:t>
      </w:r>
    </w:p>
    <w:p w14:paraId="21989F57" w14:textId="1FD83B17" w:rsidR="0066532D" w:rsidRPr="0066532D" w:rsidRDefault="0066532D" w:rsidP="0066532D">
      <w:pPr>
        <w:tabs>
          <w:tab w:val="left" w:pos="851"/>
        </w:tabs>
        <w:ind w:left="851"/>
        <w:rPr>
          <w:sz w:val="24"/>
          <w:szCs w:val="24"/>
        </w:rPr>
      </w:pPr>
      <w:r w:rsidRPr="0066532D">
        <w:rPr>
          <w:sz w:val="24"/>
          <w:szCs w:val="24"/>
        </w:rPr>
        <w:t>8 mg: 76×75 mm ± 1 mm</w:t>
      </w:r>
      <w:bookmarkEnd w:id="1"/>
    </w:p>
    <w:p w14:paraId="0EE6637A" w14:textId="77777777" w:rsidR="009260DE" w:rsidRPr="00C84483" w:rsidRDefault="009260DE" w:rsidP="009260DE">
      <w:pPr>
        <w:tabs>
          <w:tab w:val="left" w:pos="851"/>
        </w:tabs>
        <w:ind w:left="851"/>
        <w:rPr>
          <w:sz w:val="24"/>
          <w:szCs w:val="24"/>
        </w:rPr>
      </w:pPr>
    </w:p>
    <w:p w14:paraId="37830B73" w14:textId="77777777" w:rsidR="009260DE" w:rsidRPr="00C84483" w:rsidRDefault="009260DE" w:rsidP="009260DE">
      <w:pPr>
        <w:tabs>
          <w:tab w:val="left" w:pos="851"/>
        </w:tabs>
        <w:ind w:left="851"/>
        <w:rPr>
          <w:sz w:val="24"/>
          <w:szCs w:val="24"/>
        </w:rPr>
      </w:pPr>
    </w:p>
    <w:p w14:paraId="395B033C"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7397E112" w14:textId="77777777" w:rsidR="009260DE" w:rsidRPr="00C84483" w:rsidRDefault="009260DE" w:rsidP="009260DE">
      <w:pPr>
        <w:tabs>
          <w:tab w:val="left" w:pos="851"/>
        </w:tabs>
        <w:ind w:left="851"/>
        <w:rPr>
          <w:b/>
          <w:sz w:val="24"/>
          <w:szCs w:val="24"/>
        </w:rPr>
      </w:pPr>
    </w:p>
    <w:p w14:paraId="24A26C4C"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E961E4D" w14:textId="77777777" w:rsidR="00252971" w:rsidRDefault="00252971" w:rsidP="00252971">
      <w:pPr>
        <w:tabs>
          <w:tab w:val="left" w:pos="851"/>
        </w:tabs>
        <w:ind w:left="851"/>
        <w:rPr>
          <w:i/>
          <w:iCs/>
          <w:sz w:val="24"/>
          <w:szCs w:val="24"/>
          <w:u w:val="single"/>
        </w:rPr>
      </w:pPr>
    </w:p>
    <w:p w14:paraId="7E6BFC06" w14:textId="2DBD348F" w:rsidR="00252971" w:rsidRPr="00252971" w:rsidRDefault="00252971" w:rsidP="00252971">
      <w:pPr>
        <w:tabs>
          <w:tab w:val="left" w:pos="851"/>
        </w:tabs>
        <w:ind w:left="851"/>
        <w:rPr>
          <w:i/>
          <w:iCs/>
          <w:sz w:val="24"/>
          <w:szCs w:val="24"/>
          <w:u w:val="single"/>
        </w:rPr>
      </w:pPr>
      <w:r w:rsidRPr="00252971">
        <w:rPr>
          <w:i/>
          <w:iCs/>
          <w:sz w:val="24"/>
          <w:szCs w:val="24"/>
          <w:u w:val="single"/>
        </w:rPr>
        <w:t>Restless legs-</w:t>
      </w:r>
      <w:r w:rsidRPr="00252971">
        <w:rPr>
          <w:sz w:val="24"/>
          <w:szCs w:val="24"/>
          <w:u w:val="single"/>
        </w:rPr>
        <w:t>syndrom</w:t>
      </w:r>
      <w:r w:rsidRPr="00252971">
        <w:rPr>
          <w:i/>
          <w:iCs/>
          <w:sz w:val="24"/>
          <w:szCs w:val="24"/>
          <w:u w:val="single"/>
        </w:rPr>
        <w:t xml:space="preserve"> </w:t>
      </w:r>
    </w:p>
    <w:p w14:paraId="0FB07203" w14:textId="4DCD5908" w:rsidR="00252971" w:rsidRPr="00252971" w:rsidRDefault="00252971" w:rsidP="00252971">
      <w:pPr>
        <w:tabs>
          <w:tab w:val="left" w:pos="851"/>
        </w:tabs>
        <w:ind w:left="851"/>
        <w:rPr>
          <w:sz w:val="24"/>
          <w:szCs w:val="24"/>
        </w:rPr>
      </w:pPr>
      <w:r w:rsidRPr="00252971">
        <w:rPr>
          <w:sz w:val="24"/>
          <w:szCs w:val="24"/>
        </w:rPr>
        <w:t xml:space="preserve">Kinparlev </w:t>
      </w:r>
      <w:r>
        <w:rPr>
          <w:sz w:val="24"/>
          <w:szCs w:val="24"/>
        </w:rPr>
        <w:t xml:space="preserve">depotplastre </w:t>
      </w:r>
      <w:r w:rsidRPr="00252971">
        <w:rPr>
          <w:sz w:val="24"/>
          <w:szCs w:val="24"/>
        </w:rPr>
        <w:t xml:space="preserve">1 mg/24 timer, 2 mg/24 timer og 3 mg/24 timer er indiceret til symptomatisk behandling af moderat til svær idiopatisk </w:t>
      </w:r>
      <w:r w:rsidRPr="00252971">
        <w:rPr>
          <w:i/>
          <w:iCs/>
          <w:sz w:val="24"/>
          <w:szCs w:val="24"/>
        </w:rPr>
        <w:t>restless legs</w:t>
      </w:r>
      <w:r w:rsidRPr="00252971">
        <w:rPr>
          <w:sz w:val="24"/>
          <w:szCs w:val="24"/>
        </w:rPr>
        <w:t>-syndrom (RLS) hos voksne.</w:t>
      </w:r>
    </w:p>
    <w:p w14:paraId="7F128C11" w14:textId="77777777" w:rsidR="00252971" w:rsidRPr="00252971" w:rsidRDefault="00252971" w:rsidP="00252971">
      <w:pPr>
        <w:tabs>
          <w:tab w:val="left" w:pos="851"/>
        </w:tabs>
        <w:ind w:left="851"/>
        <w:rPr>
          <w:sz w:val="24"/>
          <w:szCs w:val="24"/>
        </w:rPr>
      </w:pPr>
    </w:p>
    <w:p w14:paraId="0594641C" w14:textId="77777777" w:rsidR="00252971" w:rsidRPr="00252971" w:rsidRDefault="00252971" w:rsidP="00252971">
      <w:pPr>
        <w:tabs>
          <w:tab w:val="left" w:pos="851"/>
        </w:tabs>
        <w:ind w:left="851"/>
        <w:rPr>
          <w:sz w:val="24"/>
          <w:szCs w:val="24"/>
          <w:u w:val="single"/>
        </w:rPr>
      </w:pPr>
      <w:r w:rsidRPr="00252971">
        <w:rPr>
          <w:sz w:val="24"/>
          <w:szCs w:val="24"/>
          <w:u w:val="single"/>
        </w:rPr>
        <w:t>Parkinsons sygdom</w:t>
      </w:r>
    </w:p>
    <w:p w14:paraId="28D14A6F" w14:textId="29FAD7AE" w:rsidR="00252971" w:rsidRPr="00252971" w:rsidRDefault="00252971" w:rsidP="00252971">
      <w:pPr>
        <w:tabs>
          <w:tab w:val="left" w:pos="851"/>
        </w:tabs>
        <w:ind w:left="851"/>
        <w:rPr>
          <w:sz w:val="24"/>
          <w:szCs w:val="24"/>
        </w:rPr>
      </w:pPr>
      <w:r w:rsidRPr="00252971">
        <w:rPr>
          <w:sz w:val="24"/>
          <w:szCs w:val="24"/>
        </w:rPr>
        <w:t xml:space="preserve">Kinparlev </w:t>
      </w:r>
      <w:r>
        <w:rPr>
          <w:sz w:val="24"/>
          <w:szCs w:val="24"/>
        </w:rPr>
        <w:t xml:space="preserve">depotplastre </w:t>
      </w:r>
      <w:r w:rsidRPr="00252971">
        <w:rPr>
          <w:sz w:val="24"/>
          <w:szCs w:val="24"/>
        </w:rPr>
        <w:t xml:space="preserve">2 mg/24 timer, 4 mg/24 timer, 6 mg/24 timer og 8 mg/24 timer er indiceret som monoterapi (dvs. uden levodopa) til behandling af tegn og symptomer på idiopatisk Parkinsons sygdom i tidlige stadier eller i kombination med levodopa, dvs. under hele sygdommens forløb og i de sene stadier, hvor virkningen af levodopa aftager </w:t>
      </w:r>
      <w:r w:rsidRPr="00252971">
        <w:rPr>
          <w:sz w:val="24"/>
          <w:szCs w:val="24"/>
        </w:rPr>
        <w:lastRenderedPageBreak/>
        <w:t xml:space="preserve">eller bliver svingende, og der optræder udsving i den terapeutiske effekt (ved slutningen af hver dosis eller </w:t>
      </w:r>
      <w:r w:rsidRPr="00252971">
        <w:rPr>
          <w:i/>
          <w:sz w:val="24"/>
          <w:szCs w:val="24"/>
        </w:rPr>
        <w:t>"</w:t>
      </w:r>
      <w:r w:rsidRPr="00252971">
        <w:rPr>
          <w:i/>
          <w:iCs/>
          <w:sz w:val="24"/>
          <w:szCs w:val="24"/>
        </w:rPr>
        <w:t>on</w:t>
      </w:r>
      <w:r w:rsidRPr="00252971">
        <w:rPr>
          <w:i/>
          <w:iCs/>
          <w:sz w:val="24"/>
          <w:szCs w:val="24"/>
        </w:rPr>
        <w:noBreakHyphen/>
        <w:t>off</w:t>
      </w:r>
      <w:r w:rsidRPr="00252971">
        <w:rPr>
          <w:i/>
          <w:sz w:val="24"/>
          <w:szCs w:val="24"/>
        </w:rPr>
        <w:t>"</w:t>
      </w:r>
      <w:r w:rsidRPr="00252971">
        <w:rPr>
          <w:sz w:val="24"/>
          <w:szCs w:val="24"/>
        </w:rPr>
        <w:noBreakHyphen/>
        <w:t>udsving).</w:t>
      </w:r>
    </w:p>
    <w:p w14:paraId="49FB67F4" w14:textId="77777777" w:rsidR="009260DE" w:rsidRPr="00C84483" w:rsidRDefault="009260DE" w:rsidP="009260DE">
      <w:pPr>
        <w:tabs>
          <w:tab w:val="left" w:pos="851"/>
        </w:tabs>
        <w:ind w:left="851"/>
        <w:rPr>
          <w:sz w:val="24"/>
          <w:szCs w:val="24"/>
        </w:rPr>
      </w:pPr>
    </w:p>
    <w:p w14:paraId="4CCFDAE0"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0CDE41A" w14:textId="77777777" w:rsidR="0054190B" w:rsidRDefault="0054190B" w:rsidP="0054190B">
      <w:pPr>
        <w:tabs>
          <w:tab w:val="left" w:pos="851"/>
        </w:tabs>
        <w:ind w:left="851"/>
        <w:rPr>
          <w:sz w:val="24"/>
          <w:szCs w:val="24"/>
          <w:u w:val="single"/>
        </w:rPr>
      </w:pPr>
    </w:p>
    <w:p w14:paraId="43677EE0" w14:textId="2693D7E3" w:rsidR="0054190B" w:rsidRPr="0054190B" w:rsidRDefault="0054190B" w:rsidP="0054190B">
      <w:pPr>
        <w:tabs>
          <w:tab w:val="left" w:pos="851"/>
        </w:tabs>
        <w:ind w:left="851"/>
        <w:rPr>
          <w:b/>
          <w:sz w:val="24"/>
          <w:szCs w:val="24"/>
        </w:rPr>
      </w:pPr>
      <w:r w:rsidRPr="0054190B">
        <w:rPr>
          <w:b/>
          <w:sz w:val="24"/>
          <w:szCs w:val="24"/>
        </w:rPr>
        <w:t>Dosering</w:t>
      </w:r>
    </w:p>
    <w:p w14:paraId="32477D3E" w14:textId="77777777" w:rsidR="0054190B" w:rsidRPr="0054190B" w:rsidRDefault="0054190B" w:rsidP="0054190B">
      <w:pPr>
        <w:tabs>
          <w:tab w:val="left" w:pos="851"/>
        </w:tabs>
        <w:ind w:left="851"/>
        <w:rPr>
          <w:sz w:val="24"/>
          <w:szCs w:val="24"/>
        </w:rPr>
      </w:pPr>
      <w:r w:rsidRPr="0054190B">
        <w:rPr>
          <w:sz w:val="24"/>
          <w:szCs w:val="24"/>
        </w:rPr>
        <w:t>Dosisanbefalingerne er angivet som den nominelle dosis.</w:t>
      </w:r>
    </w:p>
    <w:p w14:paraId="7B9C8FC2" w14:textId="77777777" w:rsidR="0054190B" w:rsidRPr="0054190B" w:rsidRDefault="0054190B" w:rsidP="0054190B">
      <w:pPr>
        <w:tabs>
          <w:tab w:val="left" w:pos="851"/>
        </w:tabs>
        <w:ind w:left="851"/>
        <w:rPr>
          <w:sz w:val="24"/>
          <w:szCs w:val="24"/>
        </w:rPr>
      </w:pPr>
    </w:p>
    <w:p w14:paraId="4043F652" w14:textId="0262C030" w:rsidR="0054190B" w:rsidRPr="0054190B" w:rsidRDefault="0054190B" w:rsidP="0054190B">
      <w:pPr>
        <w:tabs>
          <w:tab w:val="left" w:pos="851"/>
        </w:tabs>
        <w:ind w:left="851"/>
        <w:rPr>
          <w:iCs/>
          <w:sz w:val="24"/>
          <w:szCs w:val="24"/>
          <w:u w:val="single"/>
        </w:rPr>
      </w:pPr>
      <w:r w:rsidRPr="0054190B">
        <w:rPr>
          <w:iCs/>
          <w:sz w:val="24"/>
          <w:szCs w:val="24"/>
          <w:u w:val="single"/>
        </w:rPr>
        <w:t>Restless legs-syndrom</w:t>
      </w:r>
      <w:r w:rsidRPr="0054190B">
        <w:rPr>
          <w:sz w:val="24"/>
          <w:szCs w:val="24"/>
          <w:u w:val="single"/>
        </w:rPr>
        <w:t xml:space="preserve"> (depotplastre 1 mg/24 timer, 2 mg/24 timer og 3 mg/24 timer)</w:t>
      </w:r>
    </w:p>
    <w:p w14:paraId="57E36CA5" w14:textId="77777777" w:rsidR="0054190B" w:rsidRPr="0054190B" w:rsidRDefault="0054190B" w:rsidP="0054190B">
      <w:pPr>
        <w:tabs>
          <w:tab w:val="left" w:pos="851"/>
        </w:tabs>
        <w:ind w:left="851"/>
        <w:rPr>
          <w:iCs/>
          <w:sz w:val="24"/>
          <w:szCs w:val="24"/>
        </w:rPr>
      </w:pPr>
      <w:r w:rsidRPr="0054190B">
        <w:rPr>
          <w:iCs/>
          <w:sz w:val="24"/>
          <w:szCs w:val="24"/>
        </w:rPr>
        <w:t>En daglig enkeltdosis bør indledes med 1 mg/24 timer. Afhængigt af det individuelle patientrespons kan dosis øges i ugentlige trin på 1 mg/24 timer til en maksimal dosis på 3 mg/24 timer. Behovet for fortsat behandling bør genovervejes hver 6. måned.</w:t>
      </w:r>
    </w:p>
    <w:p w14:paraId="4ACBE236" w14:textId="77777777" w:rsidR="0054190B" w:rsidRPr="0054190B" w:rsidRDefault="0054190B" w:rsidP="0054190B">
      <w:pPr>
        <w:tabs>
          <w:tab w:val="left" w:pos="851"/>
        </w:tabs>
        <w:ind w:left="851"/>
        <w:rPr>
          <w:iCs/>
          <w:sz w:val="24"/>
          <w:szCs w:val="24"/>
        </w:rPr>
      </w:pPr>
    </w:p>
    <w:p w14:paraId="0AB21D84" w14:textId="3C4E2763" w:rsidR="0054190B" w:rsidRPr="0054190B" w:rsidRDefault="0054190B" w:rsidP="0054190B">
      <w:pPr>
        <w:tabs>
          <w:tab w:val="left" w:pos="851"/>
        </w:tabs>
        <w:ind w:left="851"/>
        <w:rPr>
          <w:iCs/>
          <w:sz w:val="24"/>
          <w:szCs w:val="24"/>
          <w:u w:val="single"/>
        </w:rPr>
      </w:pPr>
      <w:r w:rsidRPr="0054190B">
        <w:rPr>
          <w:sz w:val="24"/>
          <w:szCs w:val="24"/>
          <w:u w:val="single"/>
        </w:rPr>
        <w:t>Parkinsons sygdom (depotplastre 2 mg/24 timer, 4 mg/24 timer, 6 mg/24 timer og 8 mg/24 timer)</w:t>
      </w:r>
    </w:p>
    <w:p w14:paraId="6E231A01" w14:textId="77777777" w:rsidR="0054190B" w:rsidRPr="0054190B" w:rsidRDefault="0054190B" w:rsidP="0054190B">
      <w:pPr>
        <w:tabs>
          <w:tab w:val="left" w:pos="851"/>
        </w:tabs>
        <w:ind w:left="851"/>
        <w:rPr>
          <w:iCs/>
          <w:sz w:val="24"/>
          <w:szCs w:val="24"/>
        </w:rPr>
      </w:pPr>
    </w:p>
    <w:p w14:paraId="53A99C63" w14:textId="1D49D124" w:rsidR="0054190B" w:rsidRPr="0054190B" w:rsidRDefault="0054190B" w:rsidP="0054190B">
      <w:pPr>
        <w:tabs>
          <w:tab w:val="left" w:pos="851"/>
        </w:tabs>
        <w:ind w:left="851"/>
        <w:rPr>
          <w:i/>
          <w:iCs/>
          <w:sz w:val="24"/>
          <w:szCs w:val="24"/>
        </w:rPr>
      </w:pPr>
      <w:r w:rsidRPr="0054190B">
        <w:rPr>
          <w:i/>
          <w:sz w:val="24"/>
          <w:szCs w:val="24"/>
        </w:rPr>
        <w:t>Dosering til patienter med Parkinsons sygdom i tidlige stadier</w:t>
      </w:r>
    </w:p>
    <w:p w14:paraId="2CE15DE7" w14:textId="77777777" w:rsidR="0054190B" w:rsidRPr="0054190B" w:rsidRDefault="0054190B" w:rsidP="0054190B">
      <w:pPr>
        <w:tabs>
          <w:tab w:val="left" w:pos="851"/>
        </w:tabs>
        <w:ind w:left="851"/>
        <w:rPr>
          <w:sz w:val="24"/>
          <w:szCs w:val="24"/>
        </w:rPr>
      </w:pPr>
      <w:r w:rsidRPr="0054190B">
        <w:rPr>
          <w:sz w:val="24"/>
          <w:szCs w:val="24"/>
        </w:rPr>
        <w:t>En daglig enkeltdosis bør indledes med 2 mg/24 timer og øges i ugentlige trin på 2 mg/24 timer, til der opnås en effektiv dosis. Den maksimale dosis er 8 mg/24 timer.</w:t>
      </w:r>
    </w:p>
    <w:p w14:paraId="5CDC3BE3" w14:textId="77777777" w:rsidR="0054190B" w:rsidRPr="0054190B" w:rsidRDefault="0054190B" w:rsidP="0054190B">
      <w:pPr>
        <w:tabs>
          <w:tab w:val="left" w:pos="851"/>
        </w:tabs>
        <w:ind w:left="851"/>
        <w:rPr>
          <w:sz w:val="24"/>
          <w:szCs w:val="24"/>
        </w:rPr>
      </w:pPr>
      <w:r w:rsidRPr="0054190B">
        <w:rPr>
          <w:sz w:val="24"/>
          <w:szCs w:val="24"/>
        </w:rPr>
        <w:t>4 mg/24 timer kan være en effektiv dosis hos nogle patienter. Hos de fleste patienter opnås en effektiv dosis inden for 3</w:t>
      </w:r>
      <w:r w:rsidRPr="0054190B">
        <w:rPr>
          <w:sz w:val="24"/>
          <w:szCs w:val="24"/>
        </w:rPr>
        <w:noBreakHyphen/>
        <w:t>4 uger ved doser på henholdsvis 6 mg/24 timer eller 8 mg/24 timer.</w:t>
      </w:r>
    </w:p>
    <w:p w14:paraId="07F24C8F" w14:textId="77777777" w:rsidR="0054190B" w:rsidRPr="0054190B" w:rsidRDefault="0054190B" w:rsidP="0054190B">
      <w:pPr>
        <w:tabs>
          <w:tab w:val="left" w:pos="851"/>
        </w:tabs>
        <w:ind w:left="851"/>
        <w:rPr>
          <w:sz w:val="24"/>
          <w:szCs w:val="24"/>
        </w:rPr>
      </w:pPr>
      <w:r w:rsidRPr="0054190B">
        <w:rPr>
          <w:sz w:val="24"/>
          <w:szCs w:val="24"/>
        </w:rPr>
        <w:t>Den maksimale dosis er 8 mg/24 timer.</w:t>
      </w:r>
    </w:p>
    <w:p w14:paraId="756FBC4C" w14:textId="77777777" w:rsidR="0054190B" w:rsidRPr="0054190B" w:rsidRDefault="0054190B" w:rsidP="0054190B">
      <w:pPr>
        <w:tabs>
          <w:tab w:val="left" w:pos="851"/>
        </w:tabs>
        <w:ind w:left="851"/>
        <w:rPr>
          <w:sz w:val="24"/>
          <w:szCs w:val="24"/>
        </w:rPr>
      </w:pPr>
    </w:p>
    <w:p w14:paraId="5A97B235" w14:textId="77777777" w:rsidR="0054190B" w:rsidRPr="0054190B" w:rsidRDefault="0054190B" w:rsidP="0054190B">
      <w:pPr>
        <w:tabs>
          <w:tab w:val="left" w:pos="851"/>
        </w:tabs>
        <w:ind w:left="851"/>
        <w:rPr>
          <w:i/>
          <w:sz w:val="24"/>
          <w:szCs w:val="24"/>
        </w:rPr>
      </w:pPr>
      <w:r w:rsidRPr="0054190B">
        <w:rPr>
          <w:i/>
          <w:sz w:val="24"/>
          <w:szCs w:val="24"/>
        </w:rPr>
        <w:t>Dosering til patienter med Parkinsons sygdom i fremskredne stadier med udsving</w:t>
      </w:r>
    </w:p>
    <w:p w14:paraId="089C8C2D" w14:textId="77777777" w:rsidR="0054190B" w:rsidRPr="0054190B" w:rsidRDefault="0054190B" w:rsidP="0054190B">
      <w:pPr>
        <w:tabs>
          <w:tab w:val="left" w:pos="851"/>
        </w:tabs>
        <w:ind w:left="851"/>
        <w:rPr>
          <w:sz w:val="24"/>
          <w:szCs w:val="24"/>
        </w:rPr>
      </w:pPr>
      <w:r w:rsidRPr="0054190B">
        <w:rPr>
          <w:sz w:val="24"/>
          <w:szCs w:val="24"/>
        </w:rPr>
        <w:t>En daglig enkeltdosis bør indledes med 4 mg/24 timer og øges i ugentlige trin på 2 mg/24 timer, til der opnås en effektiv dosis. Den maksimale dosis er 16 mg/24 timer.</w:t>
      </w:r>
    </w:p>
    <w:p w14:paraId="78BA438E" w14:textId="77777777" w:rsidR="0054190B" w:rsidRPr="0054190B" w:rsidRDefault="0054190B" w:rsidP="0054190B">
      <w:pPr>
        <w:tabs>
          <w:tab w:val="left" w:pos="851"/>
        </w:tabs>
        <w:ind w:left="851"/>
        <w:rPr>
          <w:sz w:val="24"/>
          <w:szCs w:val="24"/>
        </w:rPr>
      </w:pPr>
      <w:r w:rsidRPr="0054190B">
        <w:rPr>
          <w:sz w:val="24"/>
          <w:szCs w:val="24"/>
        </w:rPr>
        <w:t>4 mg/24 timer eller 6 mg/24 timer kan være effektive doser hos nogle patienter. Hos de fleste patienter opnås en effektiv dosis inden for 3</w:t>
      </w:r>
      <w:r w:rsidRPr="0054190B">
        <w:rPr>
          <w:sz w:val="24"/>
          <w:szCs w:val="24"/>
        </w:rPr>
        <w:noBreakHyphen/>
        <w:t>7 uger ved doser på 8 mg/24 timer. Den maksimale dosis er 16 mg/24 timer.</w:t>
      </w:r>
    </w:p>
    <w:p w14:paraId="1CBE9B0B" w14:textId="77777777" w:rsidR="0054190B" w:rsidRPr="0054190B" w:rsidRDefault="0054190B" w:rsidP="0054190B">
      <w:pPr>
        <w:tabs>
          <w:tab w:val="left" w:pos="851"/>
        </w:tabs>
        <w:ind w:left="851"/>
        <w:rPr>
          <w:sz w:val="24"/>
          <w:szCs w:val="24"/>
        </w:rPr>
      </w:pPr>
    </w:p>
    <w:p w14:paraId="574EC398" w14:textId="77777777" w:rsidR="0054190B" w:rsidRPr="0054190B" w:rsidRDefault="0054190B" w:rsidP="0054190B">
      <w:pPr>
        <w:tabs>
          <w:tab w:val="left" w:pos="851"/>
        </w:tabs>
        <w:ind w:left="851"/>
        <w:rPr>
          <w:sz w:val="24"/>
          <w:szCs w:val="24"/>
        </w:rPr>
      </w:pPr>
      <w:r w:rsidRPr="0054190B">
        <w:rPr>
          <w:sz w:val="24"/>
          <w:szCs w:val="24"/>
        </w:rPr>
        <w:t>Ved højere doser end 8 mg/24 timer kan der anvendes flere plastre for at opnå den endelige dosis, f.eks. kan 10 mg/24 timer opnås ved at kombinere et plaster på 6 mg/24 timer og et plaster på 4 mg/24 timer.</w:t>
      </w:r>
    </w:p>
    <w:p w14:paraId="03B28CD1" w14:textId="77777777" w:rsidR="0054190B" w:rsidRPr="0054190B" w:rsidRDefault="0054190B" w:rsidP="0054190B">
      <w:pPr>
        <w:tabs>
          <w:tab w:val="left" w:pos="851"/>
        </w:tabs>
        <w:ind w:left="851"/>
        <w:rPr>
          <w:sz w:val="24"/>
          <w:szCs w:val="24"/>
        </w:rPr>
      </w:pPr>
    </w:p>
    <w:p w14:paraId="73D0E54C" w14:textId="77777777" w:rsidR="0054190B" w:rsidRPr="0054190B" w:rsidRDefault="0054190B" w:rsidP="0054190B">
      <w:pPr>
        <w:tabs>
          <w:tab w:val="left" w:pos="851"/>
        </w:tabs>
        <w:ind w:left="851"/>
        <w:rPr>
          <w:sz w:val="24"/>
          <w:szCs w:val="24"/>
        </w:rPr>
      </w:pPr>
      <w:r w:rsidRPr="0054190B">
        <w:rPr>
          <w:sz w:val="24"/>
          <w:szCs w:val="24"/>
        </w:rPr>
        <w:t>Kinparlev påsættes én gang dagligt. Plasteret bør påsættes på omtrent samme tidspunkt hver dag. Plasteret bør blive siddende på huden i 24 timer og bør derefter erstattes af et nyt plaster på et andet applikationssted.</w:t>
      </w:r>
    </w:p>
    <w:p w14:paraId="2FF9775E" w14:textId="77777777" w:rsidR="0054190B" w:rsidRPr="0054190B" w:rsidRDefault="0054190B" w:rsidP="0054190B">
      <w:pPr>
        <w:tabs>
          <w:tab w:val="left" w:pos="851"/>
        </w:tabs>
        <w:ind w:left="851"/>
        <w:rPr>
          <w:sz w:val="24"/>
          <w:szCs w:val="24"/>
        </w:rPr>
      </w:pPr>
    </w:p>
    <w:p w14:paraId="10651436" w14:textId="77777777" w:rsidR="0054190B" w:rsidRPr="0054190B" w:rsidRDefault="0054190B" w:rsidP="0054190B">
      <w:pPr>
        <w:tabs>
          <w:tab w:val="left" w:pos="851"/>
        </w:tabs>
        <w:ind w:left="851"/>
        <w:rPr>
          <w:sz w:val="24"/>
          <w:szCs w:val="24"/>
        </w:rPr>
      </w:pPr>
      <w:r w:rsidRPr="0054190B">
        <w:rPr>
          <w:sz w:val="24"/>
          <w:szCs w:val="24"/>
        </w:rPr>
        <w:t>Hvis patienten glemmer at påsætte plasteret på det sædvanlige tidspunkt på dagen, eller hvis plasteret løsner sig, bør et nyt plaster påsættes til resten af dagen.</w:t>
      </w:r>
    </w:p>
    <w:p w14:paraId="10C524E6" w14:textId="77777777" w:rsidR="0054190B" w:rsidRPr="0054190B" w:rsidRDefault="0054190B" w:rsidP="0054190B">
      <w:pPr>
        <w:tabs>
          <w:tab w:val="left" w:pos="851"/>
        </w:tabs>
        <w:ind w:left="851"/>
        <w:rPr>
          <w:sz w:val="24"/>
          <w:szCs w:val="24"/>
        </w:rPr>
      </w:pPr>
    </w:p>
    <w:p w14:paraId="762557C1" w14:textId="77777777" w:rsidR="0054190B" w:rsidRPr="0054190B" w:rsidRDefault="0054190B" w:rsidP="0054190B">
      <w:pPr>
        <w:tabs>
          <w:tab w:val="left" w:pos="851"/>
        </w:tabs>
        <w:ind w:left="851"/>
        <w:rPr>
          <w:b/>
          <w:bCs/>
          <w:iCs/>
          <w:sz w:val="24"/>
          <w:szCs w:val="24"/>
        </w:rPr>
      </w:pPr>
      <w:r w:rsidRPr="0054190B">
        <w:rPr>
          <w:b/>
          <w:bCs/>
          <w:iCs/>
          <w:sz w:val="24"/>
          <w:szCs w:val="24"/>
        </w:rPr>
        <w:t>Seponering</w:t>
      </w:r>
    </w:p>
    <w:p w14:paraId="11A47CE7" w14:textId="77777777" w:rsidR="0054190B" w:rsidRPr="0054190B" w:rsidRDefault="0054190B" w:rsidP="0054190B">
      <w:pPr>
        <w:tabs>
          <w:tab w:val="left" w:pos="851"/>
        </w:tabs>
        <w:ind w:left="851"/>
        <w:rPr>
          <w:bCs/>
          <w:i/>
          <w:iCs/>
          <w:sz w:val="24"/>
          <w:szCs w:val="24"/>
        </w:rPr>
      </w:pPr>
    </w:p>
    <w:p w14:paraId="6E587212" w14:textId="77777777" w:rsidR="0054190B" w:rsidRPr="0054190B" w:rsidRDefault="0054190B" w:rsidP="0054190B">
      <w:pPr>
        <w:tabs>
          <w:tab w:val="left" w:pos="851"/>
        </w:tabs>
        <w:ind w:left="851"/>
        <w:rPr>
          <w:sz w:val="24"/>
          <w:szCs w:val="24"/>
          <w:u w:val="single"/>
        </w:rPr>
      </w:pPr>
      <w:r w:rsidRPr="0054190B">
        <w:rPr>
          <w:iCs/>
          <w:sz w:val="24"/>
          <w:szCs w:val="24"/>
          <w:u w:val="single"/>
        </w:rPr>
        <w:t xml:space="preserve">Restless legs-syndrom </w:t>
      </w:r>
    </w:p>
    <w:p w14:paraId="416E9C26" w14:textId="77777777" w:rsidR="0054190B" w:rsidRPr="0054190B" w:rsidRDefault="0054190B" w:rsidP="0054190B">
      <w:pPr>
        <w:tabs>
          <w:tab w:val="left" w:pos="851"/>
        </w:tabs>
        <w:ind w:left="851"/>
        <w:rPr>
          <w:bCs/>
          <w:sz w:val="24"/>
          <w:szCs w:val="24"/>
        </w:rPr>
      </w:pPr>
      <w:r w:rsidRPr="0054190B">
        <w:rPr>
          <w:bCs/>
          <w:sz w:val="24"/>
          <w:szCs w:val="24"/>
        </w:rPr>
        <w:t xml:space="preserve">Kinparlev bør seponeres gradvist. Den daglige dosis bør reduceres i trin på 1 mg/24 timer, hvor dosisreduktion hver anden dag er at foretrække, indtil behandlingen med Kinparlev er ophørt helt (se pkt. 4.4). Når denne fremgangsmåde er fulgt, er der ikke blevet observeret </w:t>
      </w:r>
      <w:r w:rsidRPr="0054190B">
        <w:rPr>
          <w:bCs/>
          <w:i/>
          <w:iCs/>
          <w:sz w:val="24"/>
          <w:szCs w:val="24"/>
        </w:rPr>
        <w:t>rebound</w:t>
      </w:r>
      <w:r w:rsidRPr="0054190B">
        <w:rPr>
          <w:bCs/>
          <w:sz w:val="24"/>
          <w:szCs w:val="24"/>
        </w:rPr>
        <w:noBreakHyphen/>
        <w:t>fænomen (forværring af symptomer i forhold til udgangssymptomer efter seponering af behandlingen).</w:t>
      </w:r>
    </w:p>
    <w:p w14:paraId="4B692E47" w14:textId="77777777" w:rsidR="0054190B" w:rsidRPr="0054190B" w:rsidRDefault="0054190B" w:rsidP="0054190B">
      <w:pPr>
        <w:tabs>
          <w:tab w:val="left" w:pos="851"/>
        </w:tabs>
        <w:ind w:left="851"/>
        <w:rPr>
          <w:bCs/>
          <w:i/>
          <w:iCs/>
          <w:sz w:val="24"/>
          <w:szCs w:val="24"/>
        </w:rPr>
      </w:pPr>
    </w:p>
    <w:p w14:paraId="1D2136C8" w14:textId="77777777" w:rsidR="0054190B" w:rsidRPr="0054190B" w:rsidRDefault="0054190B" w:rsidP="0054190B">
      <w:pPr>
        <w:tabs>
          <w:tab w:val="left" w:pos="851"/>
        </w:tabs>
        <w:ind w:left="851"/>
        <w:rPr>
          <w:sz w:val="24"/>
          <w:szCs w:val="24"/>
          <w:u w:val="single"/>
        </w:rPr>
      </w:pPr>
      <w:r w:rsidRPr="0054190B">
        <w:rPr>
          <w:sz w:val="24"/>
          <w:szCs w:val="24"/>
          <w:u w:val="single"/>
        </w:rPr>
        <w:lastRenderedPageBreak/>
        <w:t>Parkinsons sygdom</w:t>
      </w:r>
    </w:p>
    <w:p w14:paraId="7F701079" w14:textId="77777777" w:rsidR="0054190B" w:rsidRPr="0054190B" w:rsidRDefault="0054190B" w:rsidP="0054190B">
      <w:pPr>
        <w:tabs>
          <w:tab w:val="left" w:pos="851"/>
        </w:tabs>
        <w:ind w:left="851"/>
        <w:rPr>
          <w:sz w:val="24"/>
          <w:szCs w:val="24"/>
          <w:u w:val="single"/>
        </w:rPr>
      </w:pPr>
      <w:r w:rsidRPr="0054190B">
        <w:rPr>
          <w:sz w:val="24"/>
          <w:szCs w:val="24"/>
        </w:rPr>
        <w:t>Kinparlev bør seponeres gradvist. Den daglige dosis bør reduceres i trin på 2 mg/24 timer, hvor dosisreduktion hver anden dag er at foretrække, indtil behandlingen med Kinparlev er ophørt helt (se pkt. 4.4).</w:t>
      </w:r>
    </w:p>
    <w:p w14:paraId="0934F649" w14:textId="77777777" w:rsidR="0054190B" w:rsidRPr="0054190B" w:rsidRDefault="0054190B" w:rsidP="0054190B">
      <w:pPr>
        <w:tabs>
          <w:tab w:val="left" w:pos="851"/>
        </w:tabs>
        <w:ind w:left="851"/>
        <w:rPr>
          <w:sz w:val="24"/>
          <w:szCs w:val="24"/>
          <w:u w:val="single"/>
        </w:rPr>
      </w:pPr>
    </w:p>
    <w:p w14:paraId="4FD8F99A" w14:textId="77777777" w:rsidR="0054190B" w:rsidRPr="0054190B" w:rsidRDefault="0054190B" w:rsidP="0054190B">
      <w:pPr>
        <w:tabs>
          <w:tab w:val="left" w:pos="851"/>
        </w:tabs>
        <w:ind w:left="851"/>
        <w:rPr>
          <w:b/>
          <w:bCs/>
          <w:sz w:val="24"/>
          <w:szCs w:val="24"/>
        </w:rPr>
      </w:pPr>
      <w:r w:rsidRPr="0054190B">
        <w:rPr>
          <w:b/>
          <w:bCs/>
          <w:sz w:val="24"/>
          <w:szCs w:val="24"/>
        </w:rPr>
        <w:t>Særlige populationer</w:t>
      </w:r>
    </w:p>
    <w:p w14:paraId="51EC73CB" w14:textId="77777777" w:rsidR="0054190B" w:rsidRPr="0054190B" w:rsidRDefault="0054190B" w:rsidP="0054190B">
      <w:pPr>
        <w:tabs>
          <w:tab w:val="left" w:pos="851"/>
        </w:tabs>
        <w:ind w:left="851"/>
        <w:rPr>
          <w:i/>
          <w:sz w:val="24"/>
          <w:szCs w:val="24"/>
        </w:rPr>
      </w:pPr>
    </w:p>
    <w:p w14:paraId="77230D55" w14:textId="77777777" w:rsidR="0054190B" w:rsidRPr="0054190B" w:rsidRDefault="0054190B" w:rsidP="0054190B">
      <w:pPr>
        <w:tabs>
          <w:tab w:val="left" w:pos="851"/>
        </w:tabs>
        <w:ind w:left="851"/>
        <w:rPr>
          <w:sz w:val="24"/>
          <w:szCs w:val="24"/>
          <w:u w:val="single"/>
        </w:rPr>
      </w:pPr>
      <w:r w:rsidRPr="0054190B">
        <w:rPr>
          <w:sz w:val="24"/>
          <w:szCs w:val="24"/>
          <w:u w:val="single"/>
        </w:rPr>
        <w:t>Nedsat leverfunktion</w:t>
      </w:r>
    </w:p>
    <w:p w14:paraId="614E4F8D" w14:textId="77777777" w:rsidR="0054190B" w:rsidRPr="0054190B" w:rsidRDefault="0054190B" w:rsidP="0054190B">
      <w:pPr>
        <w:tabs>
          <w:tab w:val="left" w:pos="851"/>
        </w:tabs>
        <w:ind w:left="851"/>
        <w:rPr>
          <w:sz w:val="24"/>
          <w:szCs w:val="24"/>
        </w:rPr>
      </w:pPr>
      <w:r w:rsidRPr="0054190B">
        <w:rPr>
          <w:sz w:val="24"/>
          <w:szCs w:val="24"/>
        </w:rPr>
        <w:t>Dosisjustering er ikke nødvendig hos patienter med let til moderat nedsat leverfunktion. Det tilrådes at udvise forsigtighed ved behandling af patienter med svært nedsat leverfunktion, som kan resultere i nedsat rotigotinclearance. Rotigotin er ikke undersøgt hos denne patientgruppe. Det kan være nødvendigt at nedsætte dosis, hvis den nedsatte leverfunktion forværres.</w:t>
      </w:r>
    </w:p>
    <w:p w14:paraId="144ECC8F" w14:textId="77777777" w:rsidR="0054190B" w:rsidRPr="0054190B" w:rsidRDefault="0054190B" w:rsidP="0054190B">
      <w:pPr>
        <w:tabs>
          <w:tab w:val="left" w:pos="851"/>
        </w:tabs>
        <w:ind w:left="851"/>
        <w:rPr>
          <w:sz w:val="24"/>
          <w:szCs w:val="24"/>
        </w:rPr>
      </w:pPr>
    </w:p>
    <w:p w14:paraId="2E0A58DA" w14:textId="77777777" w:rsidR="0054190B" w:rsidRPr="0054190B" w:rsidRDefault="0054190B" w:rsidP="0054190B">
      <w:pPr>
        <w:tabs>
          <w:tab w:val="left" w:pos="851"/>
        </w:tabs>
        <w:ind w:left="851"/>
        <w:rPr>
          <w:sz w:val="24"/>
          <w:szCs w:val="24"/>
          <w:u w:val="single"/>
        </w:rPr>
      </w:pPr>
      <w:r w:rsidRPr="0054190B">
        <w:rPr>
          <w:sz w:val="24"/>
          <w:szCs w:val="24"/>
          <w:u w:val="single"/>
        </w:rPr>
        <w:t>Nedsat nyrefunktion</w:t>
      </w:r>
    </w:p>
    <w:p w14:paraId="2936A471" w14:textId="77777777" w:rsidR="0054190B" w:rsidRPr="0054190B" w:rsidRDefault="0054190B" w:rsidP="0054190B">
      <w:pPr>
        <w:tabs>
          <w:tab w:val="left" w:pos="851"/>
        </w:tabs>
        <w:ind w:left="851"/>
        <w:rPr>
          <w:sz w:val="24"/>
          <w:szCs w:val="24"/>
        </w:rPr>
      </w:pPr>
      <w:r w:rsidRPr="0054190B">
        <w:rPr>
          <w:sz w:val="24"/>
          <w:szCs w:val="24"/>
        </w:rPr>
        <w:t>Dosisjustering er ikke nødvendig hos patienter med let til svært nedsat nyrefunktion herunder dialysepatienter. Der kan forekomme uventet akkumulering af rotigotinniveauerne ved akut forværring af nyrefunktionen (se pkt. 5.2).</w:t>
      </w:r>
    </w:p>
    <w:p w14:paraId="304F40F1" w14:textId="77777777" w:rsidR="0054190B" w:rsidRPr="0054190B" w:rsidRDefault="0054190B" w:rsidP="0054190B">
      <w:pPr>
        <w:tabs>
          <w:tab w:val="left" w:pos="851"/>
        </w:tabs>
        <w:ind w:left="851"/>
        <w:rPr>
          <w:sz w:val="24"/>
          <w:szCs w:val="24"/>
        </w:rPr>
      </w:pPr>
    </w:p>
    <w:p w14:paraId="6B7B38BC" w14:textId="77777777" w:rsidR="0054190B" w:rsidRPr="0054190B" w:rsidRDefault="0054190B" w:rsidP="0054190B">
      <w:pPr>
        <w:tabs>
          <w:tab w:val="left" w:pos="851"/>
        </w:tabs>
        <w:ind w:left="851"/>
        <w:rPr>
          <w:sz w:val="24"/>
          <w:szCs w:val="24"/>
          <w:u w:val="single"/>
        </w:rPr>
      </w:pPr>
      <w:r w:rsidRPr="0054190B">
        <w:rPr>
          <w:sz w:val="24"/>
          <w:szCs w:val="24"/>
          <w:u w:val="single"/>
        </w:rPr>
        <w:t>Pædiatrisk population</w:t>
      </w:r>
    </w:p>
    <w:p w14:paraId="3A07506C" w14:textId="77777777" w:rsidR="0054190B" w:rsidRPr="0054190B" w:rsidRDefault="0054190B" w:rsidP="0054190B">
      <w:pPr>
        <w:tabs>
          <w:tab w:val="left" w:pos="851"/>
        </w:tabs>
        <w:ind w:left="851"/>
        <w:rPr>
          <w:sz w:val="24"/>
          <w:szCs w:val="24"/>
        </w:rPr>
      </w:pPr>
      <w:r w:rsidRPr="0054190B">
        <w:rPr>
          <w:sz w:val="24"/>
          <w:szCs w:val="24"/>
        </w:rPr>
        <w:t>Rotigotins sikkerhed og virkning hos børn og unge er endnu ikke klarlagt. De foreliggende data er beskrevet i pkt. 5.2, men der kan ikke gives nogle anbefalinger vedrørende dosering til børn eller unge med RLS.</w:t>
      </w:r>
    </w:p>
    <w:p w14:paraId="45A51447" w14:textId="77777777" w:rsidR="0054190B" w:rsidRPr="0054190B" w:rsidRDefault="0054190B" w:rsidP="0054190B">
      <w:pPr>
        <w:tabs>
          <w:tab w:val="left" w:pos="851"/>
        </w:tabs>
        <w:ind w:left="851"/>
        <w:rPr>
          <w:sz w:val="24"/>
          <w:szCs w:val="24"/>
        </w:rPr>
      </w:pPr>
      <w:r w:rsidRPr="0054190B">
        <w:rPr>
          <w:sz w:val="24"/>
          <w:szCs w:val="24"/>
        </w:rPr>
        <w:t>Der er ingen relevant indikation i den pædiatriske population for anvendelse af Kinparlev til Parkinsons sygdom.</w:t>
      </w:r>
    </w:p>
    <w:p w14:paraId="6907C7D9" w14:textId="77777777" w:rsidR="0054190B" w:rsidRPr="0054190B" w:rsidRDefault="0054190B" w:rsidP="0054190B">
      <w:pPr>
        <w:tabs>
          <w:tab w:val="left" w:pos="851"/>
        </w:tabs>
        <w:ind w:left="851"/>
        <w:rPr>
          <w:sz w:val="24"/>
          <w:szCs w:val="24"/>
        </w:rPr>
      </w:pPr>
    </w:p>
    <w:p w14:paraId="6A8ACAC9" w14:textId="77777777" w:rsidR="0054190B" w:rsidRPr="0054190B" w:rsidRDefault="0054190B" w:rsidP="0054190B">
      <w:pPr>
        <w:tabs>
          <w:tab w:val="left" w:pos="851"/>
        </w:tabs>
        <w:ind w:left="851"/>
        <w:rPr>
          <w:b/>
          <w:sz w:val="24"/>
          <w:szCs w:val="24"/>
        </w:rPr>
      </w:pPr>
      <w:r w:rsidRPr="0054190B">
        <w:rPr>
          <w:b/>
          <w:sz w:val="24"/>
          <w:szCs w:val="24"/>
        </w:rPr>
        <w:t>Administration</w:t>
      </w:r>
    </w:p>
    <w:p w14:paraId="34DE9498" w14:textId="77777777" w:rsidR="0054190B" w:rsidRPr="0054190B" w:rsidRDefault="0054190B" w:rsidP="0054190B">
      <w:pPr>
        <w:tabs>
          <w:tab w:val="left" w:pos="851"/>
        </w:tabs>
        <w:ind w:left="851"/>
        <w:rPr>
          <w:sz w:val="24"/>
          <w:szCs w:val="24"/>
        </w:rPr>
      </w:pPr>
      <w:bookmarkStart w:id="2" w:name="_Hlk173767697"/>
      <w:r w:rsidRPr="0054190B">
        <w:rPr>
          <w:sz w:val="24"/>
          <w:szCs w:val="24"/>
        </w:rPr>
        <w:t xml:space="preserve">Kinparlev </w:t>
      </w:r>
      <w:bookmarkEnd w:id="2"/>
      <w:r w:rsidRPr="0054190B">
        <w:rPr>
          <w:sz w:val="24"/>
          <w:szCs w:val="24"/>
        </w:rPr>
        <w:t>er til transdermal anvendelse.</w:t>
      </w:r>
    </w:p>
    <w:p w14:paraId="59F76595" w14:textId="77777777" w:rsidR="0054190B" w:rsidRPr="0054190B" w:rsidRDefault="0054190B" w:rsidP="0054190B">
      <w:pPr>
        <w:tabs>
          <w:tab w:val="left" w:pos="851"/>
        </w:tabs>
        <w:ind w:left="851"/>
        <w:rPr>
          <w:sz w:val="24"/>
          <w:szCs w:val="24"/>
        </w:rPr>
      </w:pPr>
    </w:p>
    <w:p w14:paraId="0300E138" w14:textId="77777777" w:rsidR="0054190B" w:rsidRPr="0054190B" w:rsidRDefault="0054190B" w:rsidP="0054190B">
      <w:pPr>
        <w:tabs>
          <w:tab w:val="left" w:pos="851"/>
        </w:tabs>
        <w:ind w:left="851"/>
        <w:rPr>
          <w:sz w:val="24"/>
          <w:szCs w:val="24"/>
        </w:rPr>
      </w:pPr>
      <w:r w:rsidRPr="0054190B">
        <w:rPr>
          <w:sz w:val="24"/>
          <w:szCs w:val="24"/>
        </w:rPr>
        <w:t xml:space="preserve">Plasteret skal anbringes på et rent, tørt, intakt, sundt hudområde på mave, lår, hofter, siden af kroppen, skulder eller overarm. Det bør undgås at sætte plasteret på samme sted inden for 14 dage. </w:t>
      </w:r>
      <w:bookmarkStart w:id="3" w:name="_Hlk173829988"/>
      <w:r w:rsidRPr="0054190B">
        <w:rPr>
          <w:sz w:val="24"/>
          <w:szCs w:val="24"/>
        </w:rPr>
        <w:t xml:space="preserve">Kinparlev </w:t>
      </w:r>
      <w:bookmarkEnd w:id="3"/>
      <w:r w:rsidRPr="0054190B">
        <w:rPr>
          <w:sz w:val="24"/>
          <w:szCs w:val="24"/>
        </w:rPr>
        <w:t>må ikke placeres på hud, som er rød, irriteret eller beskadiget (se pkt. 4.4).</w:t>
      </w:r>
    </w:p>
    <w:p w14:paraId="53CCDDE3" w14:textId="77777777" w:rsidR="0054190B" w:rsidRPr="0054190B" w:rsidRDefault="0054190B" w:rsidP="0054190B">
      <w:pPr>
        <w:tabs>
          <w:tab w:val="left" w:pos="851"/>
        </w:tabs>
        <w:ind w:left="851"/>
        <w:rPr>
          <w:i/>
          <w:sz w:val="24"/>
          <w:szCs w:val="24"/>
        </w:rPr>
      </w:pPr>
    </w:p>
    <w:p w14:paraId="75691E50" w14:textId="77777777" w:rsidR="0054190B" w:rsidRPr="0054190B" w:rsidRDefault="0054190B" w:rsidP="0054190B">
      <w:pPr>
        <w:tabs>
          <w:tab w:val="left" w:pos="851"/>
        </w:tabs>
        <w:ind w:left="851"/>
        <w:rPr>
          <w:iCs/>
          <w:sz w:val="24"/>
          <w:szCs w:val="24"/>
          <w:u w:val="single"/>
        </w:rPr>
      </w:pPr>
      <w:r w:rsidRPr="0054190B">
        <w:rPr>
          <w:iCs/>
          <w:sz w:val="24"/>
          <w:szCs w:val="24"/>
          <w:u w:val="single"/>
        </w:rPr>
        <w:t>Anvendelse og håndtering</w:t>
      </w:r>
    </w:p>
    <w:p w14:paraId="530BD49C" w14:textId="77777777" w:rsidR="0054190B" w:rsidRPr="0054190B" w:rsidRDefault="0054190B" w:rsidP="0054190B">
      <w:pPr>
        <w:tabs>
          <w:tab w:val="left" w:pos="851"/>
        </w:tabs>
        <w:ind w:left="851"/>
        <w:rPr>
          <w:sz w:val="24"/>
          <w:szCs w:val="24"/>
        </w:rPr>
      </w:pPr>
      <w:r w:rsidRPr="0054190B">
        <w:rPr>
          <w:sz w:val="24"/>
          <w:szCs w:val="24"/>
        </w:rPr>
        <w:t>Hvert plaster er pakket i et brev og bør påsættes umiddelbart efter åbning af brevet. Den ene halvdel af den aftagelige beskyttelsesfilm fjernes, og den klæbende side påsættes og presses fast mod huden. Derefter foldes plasteret tilbage, og den anden halvdel af den aftagelige beskyttelsesfilm fjernes. Den klæbende side af plasteret bør ikke berøres. Plasteret skal presses fast mod huden med håndfladen i omkring 30 sekunder, så det klæber godt.</w:t>
      </w:r>
    </w:p>
    <w:p w14:paraId="07E8341A" w14:textId="77777777" w:rsidR="0054190B" w:rsidRPr="0054190B" w:rsidRDefault="0054190B" w:rsidP="0054190B">
      <w:pPr>
        <w:tabs>
          <w:tab w:val="left" w:pos="851"/>
        </w:tabs>
        <w:ind w:left="851"/>
        <w:rPr>
          <w:sz w:val="24"/>
          <w:szCs w:val="24"/>
        </w:rPr>
      </w:pPr>
    </w:p>
    <w:p w14:paraId="72236B3C" w14:textId="77777777" w:rsidR="0054190B" w:rsidRPr="0054190B" w:rsidRDefault="0054190B" w:rsidP="0054190B">
      <w:pPr>
        <w:tabs>
          <w:tab w:val="left" w:pos="851"/>
        </w:tabs>
        <w:ind w:left="851"/>
        <w:rPr>
          <w:sz w:val="24"/>
          <w:szCs w:val="24"/>
        </w:rPr>
      </w:pPr>
      <w:r w:rsidRPr="0054190B">
        <w:rPr>
          <w:sz w:val="24"/>
          <w:szCs w:val="24"/>
        </w:rPr>
        <w:t>Plasteret bør ikke klippes i stykker.</w:t>
      </w:r>
    </w:p>
    <w:p w14:paraId="4731C193" w14:textId="77777777" w:rsidR="009260DE" w:rsidRPr="00C84483" w:rsidRDefault="009260DE" w:rsidP="009260DE">
      <w:pPr>
        <w:tabs>
          <w:tab w:val="left" w:pos="851"/>
        </w:tabs>
        <w:ind w:left="851"/>
        <w:rPr>
          <w:sz w:val="24"/>
          <w:szCs w:val="24"/>
        </w:rPr>
      </w:pPr>
    </w:p>
    <w:p w14:paraId="5ADC0D9A"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1A2928C" w14:textId="77777777" w:rsidR="0054190B" w:rsidRPr="0054190B" w:rsidRDefault="0054190B" w:rsidP="0054190B">
      <w:pPr>
        <w:tabs>
          <w:tab w:val="left" w:pos="851"/>
        </w:tabs>
        <w:ind w:left="851"/>
        <w:rPr>
          <w:sz w:val="24"/>
          <w:szCs w:val="24"/>
        </w:rPr>
      </w:pPr>
      <w:r w:rsidRPr="0054190B">
        <w:rPr>
          <w:sz w:val="24"/>
          <w:szCs w:val="24"/>
        </w:rPr>
        <w:t>Overfølsomhed over for det aktive stof eller over for et eller flere af hjælpestofferne anført i pkt. 6.1.</w:t>
      </w:r>
    </w:p>
    <w:p w14:paraId="74DCBACE" w14:textId="77777777" w:rsidR="0054190B" w:rsidRPr="0054190B" w:rsidRDefault="0054190B" w:rsidP="0054190B">
      <w:pPr>
        <w:tabs>
          <w:tab w:val="left" w:pos="851"/>
        </w:tabs>
        <w:ind w:left="851"/>
        <w:rPr>
          <w:sz w:val="24"/>
          <w:szCs w:val="24"/>
        </w:rPr>
      </w:pPr>
      <w:r w:rsidRPr="0054190B">
        <w:rPr>
          <w:sz w:val="24"/>
          <w:szCs w:val="24"/>
        </w:rPr>
        <w:t>Magnetisk resonans-scanning (MR</w:t>
      </w:r>
      <w:r w:rsidRPr="0054190B">
        <w:rPr>
          <w:sz w:val="24"/>
          <w:szCs w:val="24"/>
        </w:rPr>
        <w:noBreakHyphen/>
        <w:t>scanning) eller kardioversion (se pkt. 4.4).</w:t>
      </w:r>
    </w:p>
    <w:p w14:paraId="4BE7BD24" w14:textId="62088004" w:rsidR="008F30A9" w:rsidRDefault="008F30A9">
      <w:pPr>
        <w:rPr>
          <w:sz w:val="24"/>
          <w:szCs w:val="24"/>
        </w:rPr>
      </w:pPr>
      <w:r>
        <w:rPr>
          <w:sz w:val="24"/>
          <w:szCs w:val="24"/>
        </w:rPr>
        <w:br w:type="page"/>
      </w:r>
    </w:p>
    <w:p w14:paraId="7B23F443" w14:textId="77777777" w:rsidR="009260DE" w:rsidRPr="00C84483" w:rsidRDefault="009260DE" w:rsidP="009260DE">
      <w:pPr>
        <w:tabs>
          <w:tab w:val="left" w:pos="851"/>
        </w:tabs>
        <w:ind w:left="851"/>
        <w:rPr>
          <w:sz w:val="24"/>
          <w:szCs w:val="24"/>
        </w:rPr>
      </w:pPr>
    </w:p>
    <w:p w14:paraId="144FDC62"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5A224EBB" w14:textId="77777777" w:rsidR="008F30A9" w:rsidRPr="008F30A9" w:rsidRDefault="008F30A9" w:rsidP="008F30A9">
      <w:pPr>
        <w:tabs>
          <w:tab w:val="left" w:pos="851"/>
        </w:tabs>
        <w:ind w:left="851"/>
        <w:rPr>
          <w:sz w:val="24"/>
          <w:szCs w:val="24"/>
        </w:rPr>
      </w:pPr>
      <w:r w:rsidRPr="008F30A9">
        <w:rPr>
          <w:sz w:val="24"/>
          <w:szCs w:val="24"/>
        </w:rPr>
        <w:t>Hvis tilstanden hos en patient med Parkinsons sygdom ikke kan bringes tilstrækkeligt under kontrol ved behandling med rotigotin, kan skift til en anden dopaminagonist muligvis forbedre tilstanden yderligere (se pkt. 5.1).</w:t>
      </w:r>
    </w:p>
    <w:p w14:paraId="71333432" w14:textId="77777777" w:rsidR="008F30A9" w:rsidRPr="008F30A9" w:rsidRDefault="008F30A9" w:rsidP="008F30A9">
      <w:pPr>
        <w:tabs>
          <w:tab w:val="left" w:pos="851"/>
        </w:tabs>
        <w:ind w:left="851"/>
        <w:rPr>
          <w:sz w:val="24"/>
          <w:szCs w:val="24"/>
        </w:rPr>
      </w:pPr>
    </w:p>
    <w:p w14:paraId="54666151" w14:textId="7AE2759D" w:rsidR="008F30A9" w:rsidRPr="008F30A9" w:rsidRDefault="008F30A9" w:rsidP="008F30A9">
      <w:pPr>
        <w:tabs>
          <w:tab w:val="left" w:pos="851"/>
        </w:tabs>
        <w:ind w:left="851"/>
        <w:rPr>
          <w:b/>
          <w:sz w:val="24"/>
          <w:szCs w:val="24"/>
        </w:rPr>
      </w:pPr>
      <w:r w:rsidRPr="008F30A9">
        <w:rPr>
          <w:b/>
          <w:sz w:val="24"/>
          <w:szCs w:val="24"/>
        </w:rPr>
        <w:t>Begge indikationer</w:t>
      </w:r>
      <w:r>
        <w:rPr>
          <w:b/>
          <w:sz w:val="24"/>
          <w:szCs w:val="24"/>
        </w:rPr>
        <w:t>:</w:t>
      </w:r>
    </w:p>
    <w:p w14:paraId="76B043B4" w14:textId="77777777" w:rsidR="008F30A9" w:rsidRPr="008F30A9" w:rsidRDefault="008F30A9" w:rsidP="008F30A9">
      <w:pPr>
        <w:tabs>
          <w:tab w:val="left" w:pos="851"/>
        </w:tabs>
        <w:ind w:left="851"/>
        <w:rPr>
          <w:sz w:val="24"/>
          <w:szCs w:val="24"/>
          <w:u w:val="single"/>
        </w:rPr>
      </w:pPr>
    </w:p>
    <w:p w14:paraId="63224414" w14:textId="77777777" w:rsidR="008F30A9" w:rsidRPr="008F30A9" w:rsidRDefault="008F30A9" w:rsidP="008F30A9">
      <w:pPr>
        <w:tabs>
          <w:tab w:val="left" w:pos="851"/>
        </w:tabs>
        <w:ind w:left="851"/>
        <w:rPr>
          <w:sz w:val="24"/>
          <w:szCs w:val="24"/>
          <w:u w:val="single"/>
        </w:rPr>
      </w:pPr>
      <w:r w:rsidRPr="008F30A9">
        <w:rPr>
          <w:sz w:val="24"/>
          <w:szCs w:val="24"/>
          <w:u w:val="single"/>
        </w:rPr>
        <w:t>MR</w:t>
      </w:r>
      <w:r w:rsidRPr="008F30A9">
        <w:rPr>
          <w:sz w:val="24"/>
          <w:szCs w:val="24"/>
          <w:u w:val="single"/>
        </w:rPr>
        <w:noBreakHyphen/>
        <w:t>scanning og kardioversion</w:t>
      </w:r>
    </w:p>
    <w:p w14:paraId="2ABEF87A" w14:textId="77777777" w:rsidR="008F30A9" w:rsidRPr="008F30A9" w:rsidRDefault="008F30A9" w:rsidP="008F30A9">
      <w:pPr>
        <w:tabs>
          <w:tab w:val="left" w:pos="851"/>
        </w:tabs>
        <w:ind w:left="851"/>
        <w:rPr>
          <w:sz w:val="24"/>
          <w:szCs w:val="24"/>
        </w:rPr>
      </w:pPr>
      <w:bookmarkStart w:id="4" w:name="_Hlk173824916"/>
      <w:r w:rsidRPr="008F30A9">
        <w:rPr>
          <w:sz w:val="24"/>
          <w:szCs w:val="24"/>
        </w:rPr>
        <w:t xml:space="preserve">Kinparlev </w:t>
      </w:r>
      <w:bookmarkEnd w:id="4"/>
      <w:r w:rsidRPr="008F30A9">
        <w:rPr>
          <w:sz w:val="24"/>
          <w:szCs w:val="24"/>
        </w:rPr>
        <w:t>plasterets yderste lag indeholder aluminium. For at undgå forbrænding af huden skal Kinparlev fjernes, hvis patienten skal have foretaget MR</w:t>
      </w:r>
      <w:r w:rsidRPr="008F30A9">
        <w:rPr>
          <w:sz w:val="24"/>
          <w:szCs w:val="24"/>
        </w:rPr>
        <w:noBreakHyphen/>
        <w:t>scanning eller kardioversion.</w:t>
      </w:r>
    </w:p>
    <w:p w14:paraId="7B4F3CB4" w14:textId="77777777" w:rsidR="008F30A9" w:rsidRPr="008F30A9" w:rsidRDefault="008F30A9" w:rsidP="008F30A9">
      <w:pPr>
        <w:tabs>
          <w:tab w:val="left" w:pos="851"/>
        </w:tabs>
        <w:ind w:left="851"/>
        <w:rPr>
          <w:sz w:val="24"/>
          <w:szCs w:val="24"/>
        </w:rPr>
      </w:pPr>
    </w:p>
    <w:p w14:paraId="29D8C42C" w14:textId="77777777" w:rsidR="008F30A9" w:rsidRPr="008F30A9" w:rsidRDefault="008F30A9" w:rsidP="008F30A9">
      <w:pPr>
        <w:tabs>
          <w:tab w:val="left" w:pos="851"/>
        </w:tabs>
        <w:ind w:left="851"/>
        <w:rPr>
          <w:sz w:val="24"/>
          <w:szCs w:val="24"/>
          <w:u w:val="single"/>
        </w:rPr>
      </w:pPr>
      <w:r w:rsidRPr="008F30A9">
        <w:rPr>
          <w:sz w:val="24"/>
          <w:szCs w:val="24"/>
          <w:u w:val="single"/>
        </w:rPr>
        <w:t>Ortostatisk hypotension</w:t>
      </w:r>
    </w:p>
    <w:p w14:paraId="70170D4B" w14:textId="77777777" w:rsidR="008F30A9" w:rsidRPr="008F30A9" w:rsidRDefault="008F30A9" w:rsidP="008F30A9">
      <w:pPr>
        <w:tabs>
          <w:tab w:val="left" w:pos="851"/>
        </w:tabs>
        <w:ind w:left="851"/>
        <w:rPr>
          <w:sz w:val="24"/>
          <w:szCs w:val="24"/>
        </w:rPr>
      </w:pPr>
      <w:r w:rsidRPr="008F30A9">
        <w:rPr>
          <w:sz w:val="24"/>
          <w:szCs w:val="24"/>
        </w:rPr>
        <w:t>Dopaminagonister er kendt for at svække den systemiske regulering af blodtrykket og dermed forårsage postural/ortostatisk hypotension. Disse hændelser er også blevet observeret under behandling med rotigotin, men forekomsten var på niveau med forekomsten observeret hos patienter, som fik placebo.</w:t>
      </w:r>
    </w:p>
    <w:p w14:paraId="3F65E3DE" w14:textId="77777777" w:rsidR="008F30A9" w:rsidRPr="008F30A9" w:rsidRDefault="008F30A9" w:rsidP="008F30A9">
      <w:pPr>
        <w:tabs>
          <w:tab w:val="left" w:pos="851"/>
        </w:tabs>
        <w:ind w:left="851"/>
        <w:rPr>
          <w:sz w:val="24"/>
          <w:szCs w:val="24"/>
        </w:rPr>
      </w:pPr>
      <w:r w:rsidRPr="008F30A9">
        <w:rPr>
          <w:sz w:val="24"/>
          <w:szCs w:val="24"/>
        </w:rPr>
        <w:t>Det anbefales at monitorere blodtrykket, især i begyndelsen af behandlingen, på grund af den generelle risiko for ortostatisk hypotension forbundet med dopaminbehandling.</w:t>
      </w:r>
    </w:p>
    <w:p w14:paraId="42E38B99" w14:textId="77777777" w:rsidR="008F30A9" w:rsidRPr="008F30A9" w:rsidRDefault="008F30A9" w:rsidP="008F30A9">
      <w:pPr>
        <w:tabs>
          <w:tab w:val="left" w:pos="851"/>
        </w:tabs>
        <w:ind w:left="851"/>
        <w:rPr>
          <w:sz w:val="24"/>
          <w:szCs w:val="24"/>
          <w:u w:val="single"/>
        </w:rPr>
      </w:pPr>
    </w:p>
    <w:p w14:paraId="2E6F3F28" w14:textId="77777777" w:rsidR="008F30A9" w:rsidRPr="008F30A9" w:rsidRDefault="008F30A9" w:rsidP="008F30A9">
      <w:pPr>
        <w:tabs>
          <w:tab w:val="left" w:pos="851"/>
        </w:tabs>
        <w:ind w:left="851"/>
        <w:rPr>
          <w:sz w:val="24"/>
          <w:szCs w:val="24"/>
          <w:u w:val="single"/>
        </w:rPr>
      </w:pPr>
      <w:r w:rsidRPr="008F30A9">
        <w:rPr>
          <w:sz w:val="24"/>
          <w:szCs w:val="24"/>
          <w:u w:val="single"/>
        </w:rPr>
        <w:t>Synkope</w:t>
      </w:r>
    </w:p>
    <w:p w14:paraId="50167447" w14:textId="77777777" w:rsidR="008F30A9" w:rsidRPr="008F30A9" w:rsidRDefault="008F30A9" w:rsidP="008F30A9">
      <w:pPr>
        <w:tabs>
          <w:tab w:val="left" w:pos="851"/>
        </w:tabs>
        <w:ind w:left="851"/>
        <w:rPr>
          <w:sz w:val="24"/>
          <w:szCs w:val="24"/>
        </w:rPr>
      </w:pPr>
      <w:r w:rsidRPr="008F30A9">
        <w:rPr>
          <w:sz w:val="24"/>
          <w:szCs w:val="24"/>
        </w:rPr>
        <w:t>Der er blevet observeret synkope i kliniske studier med rotigotin med en forekomst på niveau med forekomsten observeret hos patienter, som fik placebo. Da patienter med klinisk relevant kardiovaskulær sygdom var ekskluderet i disse studier, bør patienter med svær kardiovaskulær sygdom udspørges om symptomer på synkope og præsynkope.</w:t>
      </w:r>
    </w:p>
    <w:p w14:paraId="0877980B" w14:textId="77777777" w:rsidR="008F30A9" w:rsidRPr="008F30A9" w:rsidRDefault="008F30A9" w:rsidP="008F30A9">
      <w:pPr>
        <w:tabs>
          <w:tab w:val="left" w:pos="851"/>
        </w:tabs>
        <w:ind w:left="851"/>
        <w:rPr>
          <w:sz w:val="24"/>
          <w:szCs w:val="24"/>
        </w:rPr>
      </w:pPr>
    </w:p>
    <w:p w14:paraId="6F10A613" w14:textId="77777777" w:rsidR="008F30A9" w:rsidRPr="008F30A9" w:rsidRDefault="008F30A9" w:rsidP="008F30A9">
      <w:pPr>
        <w:tabs>
          <w:tab w:val="left" w:pos="851"/>
        </w:tabs>
        <w:ind w:left="851"/>
        <w:rPr>
          <w:sz w:val="24"/>
          <w:szCs w:val="24"/>
          <w:u w:val="single"/>
        </w:rPr>
      </w:pPr>
      <w:r w:rsidRPr="008F30A9">
        <w:rPr>
          <w:sz w:val="24"/>
          <w:szCs w:val="24"/>
          <w:u w:val="single"/>
        </w:rPr>
        <w:t>Pludseligt indsættende søvn og døsighed</w:t>
      </w:r>
    </w:p>
    <w:p w14:paraId="2127D9E3" w14:textId="77777777" w:rsidR="008F30A9" w:rsidRPr="008F30A9" w:rsidRDefault="008F30A9" w:rsidP="008F30A9">
      <w:pPr>
        <w:tabs>
          <w:tab w:val="left" w:pos="851"/>
        </w:tabs>
        <w:ind w:left="851"/>
        <w:rPr>
          <w:sz w:val="24"/>
          <w:szCs w:val="24"/>
        </w:rPr>
      </w:pPr>
      <w:r w:rsidRPr="008F30A9">
        <w:rPr>
          <w:sz w:val="24"/>
          <w:szCs w:val="24"/>
        </w:rPr>
        <w:t>Rotigotin har været forbundet med søvnighed og episoder med pludseligt indsættende søvn. Der er rapporteret om pludselig søvn under daglige aktiviteter, i visse tilfælde uden at patienten har bemærket nogen advarselstegn. Ordinerende læger bør løbende revurdere patienterne for døsighed eller søvnighed, da patienterne muligvis ikke erkender døsighed eller søvnighed, før de bliver direkte adspurgt. Det bør nøje overvejes at nedsætte dosis eller seponere behandlingen.</w:t>
      </w:r>
    </w:p>
    <w:p w14:paraId="10DEA2AC" w14:textId="77777777" w:rsidR="008F30A9" w:rsidRPr="008F30A9" w:rsidRDefault="008F30A9" w:rsidP="008F30A9">
      <w:pPr>
        <w:tabs>
          <w:tab w:val="left" w:pos="851"/>
        </w:tabs>
        <w:ind w:left="851"/>
        <w:rPr>
          <w:sz w:val="24"/>
          <w:szCs w:val="24"/>
        </w:rPr>
      </w:pPr>
    </w:p>
    <w:p w14:paraId="481365B8" w14:textId="77777777" w:rsidR="008F30A9" w:rsidRPr="008F30A9" w:rsidRDefault="008F30A9" w:rsidP="008F30A9">
      <w:pPr>
        <w:tabs>
          <w:tab w:val="left" w:pos="851"/>
        </w:tabs>
        <w:ind w:left="851"/>
        <w:rPr>
          <w:sz w:val="24"/>
          <w:szCs w:val="24"/>
          <w:u w:val="single"/>
        </w:rPr>
      </w:pPr>
      <w:r w:rsidRPr="008F30A9">
        <w:rPr>
          <w:sz w:val="24"/>
          <w:szCs w:val="24"/>
          <w:u w:val="single"/>
        </w:rPr>
        <w:t>Impulskontrolforstyrrelser og andre relaterede forstyrrelser</w:t>
      </w:r>
    </w:p>
    <w:p w14:paraId="3BB81F1C" w14:textId="77777777" w:rsidR="008F30A9" w:rsidRPr="008F30A9" w:rsidRDefault="008F30A9" w:rsidP="008F30A9">
      <w:pPr>
        <w:tabs>
          <w:tab w:val="left" w:pos="851"/>
        </w:tabs>
        <w:ind w:left="851"/>
        <w:rPr>
          <w:sz w:val="24"/>
          <w:szCs w:val="24"/>
        </w:rPr>
      </w:pPr>
      <w:r w:rsidRPr="008F30A9">
        <w:rPr>
          <w:sz w:val="24"/>
          <w:szCs w:val="24"/>
        </w:rPr>
        <w:t xml:space="preserve">Patienterne skal monitoreres regelmæssigt for udvikling af impulskontrolforstyrrelser og relaterede forstyrrelser, </w:t>
      </w:r>
      <w:r w:rsidRPr="008F30A9">
        <w:rPr>
          <w:sz w:val="24"/>
          <w:szCs w:val="24"/>
          <w:u w:val="single"/>
        </w:rPr>
        <w:t>herunder dopamin</w:t>
      </w:r>
      <w:r w:rsidRPr="008F30A9">
        <w:rPr>
          <w:sz w:val="24"/>
          <w:szCs w:val="24"/>
          <w:u w:val="single"/>
        </w:rPr>
        <w:noBreakHyphen/>
        <w:t>dysreguleringssyndrom</w:t>
      </w:r>
      <w:r w:rsidRPr="008F30A9">
        <w:rPr>
          <w:sz w:val="24"/>
          <w:szCs w:val="24"/>
        </w:rPr>
        <w:t xml:space="preserve">. Patienter og omsorgspersoner skal gøres opmærksomme på, at adfærdsmæssige symptomer på impulskontrolforstyrrelser, herunder ludomani, øget libido, hyperseksualitet, tvangshandlinger forbundet med forbrug eller indkøb, uhæmmet madindtagelse og tvangshandlinger forbundet med madindtagelse kan forekomme hos patienter, der behandles med dopaminagonister, herunder rotigotin. </w:t>
      </w:r>
      <w:r w:rsidRPr="008F30A9">
        <w:rPr>
          <w:sz w:val="24"/>
          <w:szCs w:val="24"/>
          <w:u w:val="single"/>
        </w:rPr>
        <w:t>Dopamin</w:t>
      </w:r>
      <w:r w:rsidRPr="008F30A9">
        <w:rPr>
          <w:sz w:val="24"/>
          <w:szCs w:val="24"/>
          <w:u w:val="single"/>
        </w:rPr>
        <w:noBreakHyphen/>
        <w:t>dysreguleringssyndrom blev observeret hos nogle patienter under behandlingen med rotigotin.</w:t>
      </w:r>
      <w:r w:rsidRPr="008F30A9">
        <w:rPr>
          <w:sz w:val="24"/>
          <w:szCs w:val="24"/>
        </w:rPr>
        <w:t xml:space="preserve"> Dosisreduktion/gradvis seponering bør overvejes, hvis sådanne symptomer opstår.</w:t>
      </w:r>
    </w:p>
    <w:p w14:paraId="218E4F76" w14:textId="77777777" w:rsidR="008F30A9" w:rsidRPr="008F30A9" w:rsidRDefault="008F30A9" w:rsidP="008F30A9">
      <w:pPr>
        <w:tabs>
          <w:tab w:val="left" w:pos="851"/>
        </w:tabs>
        <w:ind w:left="851"/>
        <w:rPr>
          <w:sz w:val="24"/>
          <w:szCs w:val="24"/>
        </w:rPr>
      </w:pPr>
    </w:p>
    <w:p w14:paraId="6B8B36FC" w14:textId="77777777" w:rsidR="008F30A9" w:rsidRPr="008F30A9" w:rsidRDefault="008F30A9" w:rsidP="008F30A9">
      <w:pPr>
        <w:tabs>
          <w:tab w:val="left" w:pos="851"/>
        </w:tabs>
        <w:ind w:left="851"/>
        <w:rPr>
          <w:sz w:val="24"/>
          <w:szCs w:val="24"/>
          <w:u w:val="single"/>
        </w:rPr>
      </w:pPr>
      <w:r w:rsidRPr="008F30A9">
        <w:rPr>
          <w:sz w:val="24"/>
          <w:szCs w:val="24"/>
          <w:u w:val="single"/>
        </w:rPr>
        <w:t>Malignt neuroleptikasyndrom</w:t>
      </w:r>
    </w:p>
    <w:p w14:paraId="02F1FFF4" w14:textId="77777777" w:rsidR="008F30A9" w:rsidRPr="008F30A9" w:rsidRDefault="008F30A9" w:rsidP="008F30A9">
      <w:pPr>
        <w:tabs>
          <w:tab w:val="left" w:pos="851"/>
        </w:tabs>
        <w:ind w:left="851"/>
        <w:rPr>
          <w:sz w:val="24"/>
          <w:szCs w:val="24"/>
        </w:rPr>
      </w:pPr>
      <w:r w:rsidRPr="008F30A9">
        <w:rPr>
          <w:sz w:val="24"/>
          <w:szCs w:val="24"/>
        </w:rPr>
        <w:t>Symptomer, der tyder på malignt neuroleptikasyndrom, er rapporteret ved pludselig seponering af dopaminbehandling. Det anbefales derfor at nedtrappe behandlingen (se pkt. 4.2).</w:t>
      </w:r>
    </w:p>
    <w:p w14:paraId="18F4F13C" w14:textId="5CC6FB6C" w:rsidR="008F30A9" w:rsidRDefault="008F30A9">
      <w:pPr>
        <w:rPr>
          <w:sz w:val="24"/>
          <w:szCs w:val="24"/>
        </w:rPr>
      </w:pPr>
      <w:r>
        <w:rPr>
          <w:sz w:val="24"/>
          <w:szCs w:val="24"/>
        </w:rPr>
        <w:br w:type="page"/>
      </w:r>
    </w:p>
    <w:p w14:paraId="58A853F2" w14:textId="77777777" w:rsidR="008F30A9" w:rsidRPr="008F30A9" w:rsidRDefault="008F30A9" w:rsidP="008F30A9">
      <w:pPr>
        <w:tabs>
          <w:tab w:val="left" w:pos="851"/>
        </w:tabs>
        <w:ind w:left="851"/>
        <w:rPr>
          <w:sz w:val="24"/>
          <w:szCs w:val="24"/>
        </w:rPr>
      </w:pPr>
    </w:p>
    <w:p w14:paraId="07D74A1E" w14:textId="77777777" w:rsidR="008F30A9" w:rsidRPr="008F30A9" w:rsidRDefault="008F30A9" w:rsidP="008F30A9">
      <w:pPr>
        <w:tabs>
          <w:tab w:val="left" w:pos="851"/>
        </w:tabs>
        <w:ind w:left="851"/>
        <w:rPr>
          <w:sz w:val="24"/>
          <w:szCs w:val="24"/>
          <w:u w:val="single"/>
        </w:rPr>
      </w:pPr>
      <w:r w:rsidRPr="008F30A9">
        <w:rPr>
          <w:sz w:val="24"/>
          <w:szCs w:val="24"/>
          <w:u w:val="single"/>
        </w:rPr>
        <w:t>Dopaminagonist</w:t>
      </w:r>
      <w:r w:rsidRPr="008F30A9">
        <w:rPr>
          <w:sz w:val="24"/>
          <w:szCs w:val="24"/>
          <w:u w:val="single"/>
        </w:rPr>
        <w:noBreakHyphen/>
        <w:t>abstinenssyndrom</w:t>
      </w:r>
    </w:p>
    <w:p w14:paraId="4DEFF2DB" w14:textId="77777777" w:rsidR="008F30A9" w:rsidRPr="008F30A9" w:rsidRDefault="008F30A9" w:rsidP="008F30A9">
      <w:pPr>
        <w:tabs>
          <w:tab w:val="left" w:pos="851"/>
        </w:tabs>
        <w:ind w:left="851"/>
        <w:rPr>
          <w:sz w:val="24"/>
          <w:szCs w:val="24"/>
        </w:rPr>
      </w:pPr>
      <w:r w:rsidRPr="008F30A9">
        <w:rPr>
          <w:sz w:val="24"/>
          <w:szCs w:val="24"/>
        </w:rPr>
        <w:t>Symptomer, der tyder på dopaminagonist</w:t>
      </w:r>
      <w:r w:rsidRPr="008F30A9">
        <w:rPr>
          <w:sz w:val="24"/>
          <w:szCs w:val="24"/>
        </w:rPr>
        <w:noBreakHyphen/>
        <w:t>abstinenssyndrom (f.eks. smerter, træthed, depression, svedtendens og angst) er blevet rapporteret ved pludselig seponering af dopaminbehandling, og det anbefales derfor at nedtrappe behandlingen (se pkt. 4.2).</w:t>
      </w:r>
    </w:p>
    <w:p w14:paraId="09449F71" w14:textId="77777777" w:rsidR="008F30A9" w:rsidRPr="008F30A9" w:rsidRDefault="008F30A9" w:rsidP="008F30A9">
      <w:pPr>
        <w:tabs>
          <w:tab w:val="left" w:pos="851"/>
        </w:tabs>
        <w:ind w:left="851"/>
        <w:rPr>
          <w:sz w:val="24"/>
          <w:szCs w:val="24"/>
        </w:rPr>
      </w:pPr>
    </w:p>
    <w:p w14:paraId="28A56A66" w14:textId="77777777" w:rsidR="008F30A9" w:rsidRPr="008F30A9" w:rsidRDefault="008F30A9" w:rsidP="008F30A9">
      <w:pPr>
        <w:tabs>
          <w:tab w:val="left" w:pos="851"/>
        </w:tabs>
        <w:ind w:left="851"/>
        <w:rPr>
          <w:sz w:val="24"/>
          <w:szCs w:val="24"/>
          <w:u w:val="single"/>
        </w:rPr>
      </w:pPr>
      <w:r w:rsidRPr="008F30A9">
        <w:rPr>
          <w:sz w:val="24"/>
          <w:szCs w:val="24"/>
          <w:u w:val="single"/>
        </w:rPr>
        <w:t>Abnorm tankegang og adfærd</w:t>
      </w:r>
    </w:p>
    <w:p w14:paraId="3E3FD1C3" w14:textId="77777777" w:rsidR="008F30A9" w:rsidRPr="008F30A9" w:rsidRDefault="008F30A9" w:rsidP="008F30A9">
      <w:pPr>
        <w:tabs>
          <w:tab w:val="left" w:pos="851"/>
        </w:tabs>
        <w:ind w:left="851"/>
        <w:rPr>
          <w:sz w:val="24"/>
          <w:szCs w:val="24"/>
        </w:rPr>
      </w:pPr>
      <w:r w:rsidRPr="008F30A9">
        <w:rPr>
          <w:sz w:val="24"/>
          <w:szCs w:val="24"/>
        </w:rPr>
        <w:t>Der er rapporteret om abnorm tankegang og adfærd, som kan manifestere sig på forskellige måder, herunder paranoide tanker, vrangforestillinger, hallucinationer, forvirring, psykose</w:t>
      </w:r>
      <w:r w:rsidRPr="008F30A9">
        <w:rPr>
          <w:sz w:val="24"/>
          <w:szCs w:val="24"/>
        </w:rPr>
        <w:noBreakHyphen/>
        <w:t>lignende adfærd, desorientering, aggressiv adfærd, agitation og delirium.</w:t>
      </w:r>
    </w:p>
    <w:p w14:paraId="315F0C91" w14:textId="77777777" w:rsidR="008F30A9" w:rsidRPr="008F30A9" w:rsidRDefault="008F30A9" w:rsidP="008F30A9">
      <w:pPr>
        <w:tabs>
          <w:tab w:val="left" w:pos="851"/>
        </w:tabs>
        <w:ind w:left="851"/>
        <w:rPr>
          <w:sz w:val="24"/>
          <w:szCs w:val="24"/>
        </w:rPr>
      </w:pPr>
    </w:p>
    <w:p w14:paraId="2671F1A4" w14:textId="77777777" w:rsidR="008F30A9" w:rsidRPr="008F30A9" w:rsidRDefault="008F30A9" w:rsidP="008F30A9">
      <w:pPr>
        <w:tabs>
          <w:tab w:val="left" w:pos="851"/>
        </w:tabs>
        <w:ind w:left="851"/>
        <w:rPr>
          <w:sz w:val="24"/>
          <w:szCs w:val="24"/>
          <w:u w:val="single"/>
        </w:rPr>
      </w:pPr>
      <w:r w:rsidRPr="008F30A9">
        <w:rPr>
          <w:sz w:val="24"/>
          <w:szCs w:val="24"/>
          <w:u w:val="single"/>
        </w:rPr>
        <w:t>Fibrotiske komplikationer</w:t>
      </w:r>
    </w:p>
    <w:p w14:paraId="20780CE0" w14:textId="77777777" w:rsidR="008F30A9" w:rsidRPr="008F30A9" w:rsidRDefault="008F30A9" w:rsidP="008F30A9">
      <w:pPr>
        <w:tabs>
          <w:tab w:val="left" w:pos="851"/>
        </w:tabs>
        <w:ind w:left="851"/>
        <w:rPr>
          <w:sz w:val="24"/>
          <w:szCs w:val="24"/>
        </w:rPr>
      </w:pPr>
      <w:r w:rsidRPr="008F30A9">
        <w:rPr>
          <w:sz w:val="24"/>
          <w:szCs w:val="24"/>
        </w:rPr>
        <w:t>Der er rapporteret tilfælde med retroperitoneal fibrose, lungeinfiltrater, pleuraeksudat, pleurafortykkelse, pericarditis og kardial valvulopati hos nogle patienter, som er blevet behandlet med dopaminerge ergolinderivater. Selvom disse komplikationer kan fortage sig, når behandlingen ophører, er det ikke altid, de forsvinder fuldstændigt.</w:t>
      </w:r>
    </w:p>
    <w:p w14:paraId="3892C138" w14:textId="77777777" w:rsidR="008F30A9" w:rsidRPr="008F30A9" w:rsidRDefault="008F30A9" w:rsidP="008F30A9">
      <w:pPr>
        <w:tabs>
          <w:tab w:val="left" w:pos="851"/>
        </w:tabs>
        <w:ind w:left="851"/>
        <w:rPr>
          <w:sz w:val="24"/>
          <w:szCs w:val="24"/>
        </w:rPr>
      </w:pPr>
      <w:r w:rsidRPr="008F30A9">
        <w:rPr>
          <w:sz w:val="24"/>
          <w:szCs w:val="24"/>
        </w:rPr>
        <w:t>Selvom disse bivirkninger menes at være relateret til stoffernes ergoline struktur, vides det ikke, om andre non</w:t>
      </w:r>
      <w:r w:rsidRPr="008F30A9">
        <w:rPr>
          <w:sz w:val="24"/>
          <w:szCs w:val="24"/>
        </w:rPr>
        <w:noBreakHyphen/>
        <w:t>ergoline dopaminagonister kan forårsage dem.</w:t>
      </w:r>
    </w:p>
    <w:p w14:paraId="710B64FF" w14:textId="77777777" w:rsidR="008F30A9" w:rsidRPr="008F30A9" w:rsidRDefault="008F30A9" w:rsidP="008F30A9">
      <w:pPr>
        <w:tabs>
          <w:tab w:val="left" w:pos="851"/>
        </w:tabs>
        <w:ind w:left="851"/>
        <w:rPr>
          <w:sz w:val="24"/>
          <w:szCs w:val="24"/>
        </w:rPr>
      </w:pPr>
    </w:p>
    <w:p w14:paraId="5D2E7ACE" w14:textId="77777777" w:rsidR="008F30A9" w:rsidRPr="008F30A9" w:rsidRDefault="008F30A9" w:rsidP="008F30A9">
      <w:pPr>
        <w:tabs>
          <w:tab w:val="left" w:pos="851"/>
        </w:tabs>
        <w:ind w:left="851"/>
        <w:rPr>
          <w:sz w:val="24"/>
          <w:szCs w:val="24"/>
          <w:u w:val="single"/>
        </w:rPr>
      </w:pPr>
      <w:r w:rsidRPr="008F30A9">
        <w:rPr>
          <w:sz w:val="24"/>
          <w:szCs w:val="24"/>
          <w:u w:val="single"/>
        </w:rPr>
        <w:t>Neuroleptika</w:t>
      </w:r>
    </w:p>
    <w:p w14:paraId="766FA5F3" w14:textId="77777777" w:rsidR="008F30A9" w:rsidRPr="008F30A9" w:rsidRDefault="008F30A9" w:rsidP="008F30A9">
      <w:pPr>
        <w:tabs>
          <w:tab w:val="left" w:pos="851"/>
        </w:tabs>
        <w:ind w:left="851"/>
        <w:rPr>
          <w:sz w:val="24"/>
          <w:szCs w:val="24"/>
        </w:rPr>
      </w:pPr>
      <w:r w:rsidRPr="008F30A9">
        <w:rPr>
          <w:sz w:val="24"/>
          <w:szCs w:val="24"/>
        </w:rPr>
        <w:t>Neuroleptika bør ikke gives som antiemetikum til patienter, som tager dopaminagonister (se også pkt. 4.5).</w:t>
      </w:r>
    </w:p>
    <w:p w14:paraId="343E484D" w14:textId="77777777" w:rsidR="008F30A9" w:rsidRPr="008F30A9" w:rsidRDefault="008F30A9" w:rsidP="008F30A9">
      <w:pPr>
        <w:tabs>
          <w:tab w:val="left" w:pos="851"/>
        </w:tabs>
        <w:ind w:left="851"/>
        <w:rPr>
          <w:sz w:val="24"/>
          <w:szCs w:val="24"/>
        </w:rPr>
      </w:pPr>
    </w:p>
    <w:p w14:paraId="54687089" w14:textId="77777777" w:rsidR="008F30A9" w:rsidRPr="008F30A9" w:rsidRDefault="008F30A9" w:rsidP="008F30A9">
      <w:pPr>
        <w:tabs>
          <w:tab w:val="left" w:pos="851"/>
        </w:tabs>
        <w:ind w:left="851"/>
        <w:rPr>
          <w:sz w:val="24"/>
          <w:szCs w:val="24"/>
          <w:u w:val="single"/>
        </w:rPr>
      </w:pPr>
      <w:r w:rsidRPr="008F30A9">
        <w:rPr>
          <w:sz w:val="24"/>
          <w:szCs w:val="24"/>
          <w:u w:val="single"/>
        </w:rPr>
        <w:t>Oftalmologisk monitorering</w:t>
      </w:r>
    </w:p>
    <w:p w14:paraId="5F3452FC" w14:textId="77777777" w:rsidR="008F30A9" w:rsidRPr="008F30A9" w:rsidRDefault="008F30A9" w:rsidP="008F30A9">
      <w:pPr>
        <w:tabs>
          <w:tab w:val="left" w:pos="851"/>
        </w:tabs>
        <w:ind w:left="851"/>
        <w:rPr>
          <w:sz w:val="24"/>
          <w:szCs w:val="24"/>
        </w:rPr>
      </w:pPr>
      <w:r w:rsidRPr="008F30A9">
        <w:rPr>
          <w:sz w:val="24"/>
          <w:szCs w:val="24"/>
        </w:rPr>
        <w:t>Oftalmologisk monitorering anbefales med regelmæssige mellemrum, eller hvis der forekommer synsanomalier.</w:t>
      </w:r>
    </w:p>
    <w:p w14:paraId="75606CDA" w14:textId="77777777" w:rsidR="008F30A9" w:rsidRPr="008F30A9" w:rsidRDefault="008F30A9" w:rsidP="008F30A9">
      <w:pPr>
        <w:tabs>
          <w:tab w:val="left" w:pos="851"/>
        </w:tabs>
        <w:ind w:left="851"/>
        <w:rPr>
          <w:sz w:val="24"/>
          <w:szCs w:val="24"/>
        </w:rPr>
      </w:pPr>
    </w:p>
    <w:p w14:paraId="0F3CE933" w14:textId="77777777" w:rsidR="008F30A9" w:rsidRPr="008F30A9" w:rsidRDefault="008F30A9" w:rsidP="008F30A9">
      <w:pPr>
        <w:tabs>
          <w:tab w:val="left" w:pos="851"/>
        </w:tabs>
        <w:ind w:left="851"/>
        <w:rPr>
          <w:sz w:val="24"/>
          <w:szCs w:val="24"/>
          <w:u w:val="single"/>
        </w:rPr>
      </w:pPr>
      <w:r w:rsidRPr="008F30A9">
        <w:rPr>
          <w:sz w:val="24"/>
          <w:szCs w:val="24"/>
          <w:u w:val="single"/>
        </w:rPr>
        <w:t>Varmepåvirkning</w:t>
      </w:r>
    </w:p>
    <w:p w14:paraId="3D335735" w14:textId="77777777" w:rsidR="008F30A9" w:rsidRPr="008F30A9" w:rsidRDefault="008F30A9" w:rsidP="008F30A9">
      <w:pPr>
        <w:tabs>
          <w:tab w:val="left" w:pos="851"/>
        </w:tabs>
        <w:ind w:left="851"/>
        <w:rPr>
          <w:sz w:val="24"/>
          <w:szCs w:val="24"/>
        </w:rPr>
      </w:pPr>
      <w:r w:rsidRPr="008F30A9">
        <w:rPr>
          <w:sz w:val="24"/>
          <w:szCs w:val="24"/>
        </w:rPr>
        <w:t>Området, hvor plasteret sidder, bør ikke udsættes for ekstern varme (kraftigt sollys, varmepude og andre varmekilder såsom sauna og varme bade).</w:t>
      </w:r>
    </w:p>
    <w:p w14:paraId="75A55F59" w14:textId="77777777" w:rsidR="008F30A9" w:rsidRPr="008F30A9" w:rsidRDefault="008F30A9" w:rsidP="008F30A9">
      <w:pPr>
        <w:tabs>
          <w:tab w:val="left" w:pos="851"/>
        </w:tabs>
        <w:ind w:left="851"/>
        <w:rPr>
          <w:sz w:val="24"/>
          <w:szCs w:val="24"/>
        </w:rPr>
      </w:pPr>
    </w:p>
    <w:p w14:paraId="6447C407" w14:textId="77777777" w:rsidR="008F30A9" w:rsidRPr="008F30A9" w:rsidRDefault="008F30A9" w:rsidP="008F30A9">
      <w:pPr>
        <w:tabs>
          <w:tab w:val="left" w:pos="851"/>
        </w:tabs>
        <w:ind w:left="851"/>
        <w:rPr>
          <w:sz w:val="24"/>
          <w:szCs w:val="24"/>
          <w:u w:val="single"/>
        </w:rPr>
      </w:pPr>
      <w:r w:rsidRPr="008F30A9">
        <w:rPr>
          <w:sz w:val="24"/>
          <w:szCs w:val="24"/>
          <w:u w:val="single"/>
        </w:rPr>
        <w:t>Reaktioner på applikationsstedet</w:t>
      </w:r>
    </w:p>
    <w:p w14:paraId="771EC7D1" w14:textId="77777777" w:rsidR="008F30A9" w:rsidRPr="008F30A9" w:rsidRDefault="008F30A9" w:rsidP="008F30A9">
      <w:pPr>
        <w:tabs>
          <w:tab w:val="left" w:pos="851"/>
        </w:tabs>
        <w:ind w:left="851"/>
        <w:rPr>
          <w:sz w:val="24"/>
          <w:szCs w:val="24"/>
        </w:rPr>
      </w:pPr>
      <w:r w:rsidRPr="008F30A9">
        <w:rPr>
          <w:sz w:val="24"/>
          <w:szCs w:val="24"/>
        </w:rPr>
        <w:t>Der kan forekomme hudreaktioner på applikationsstedet. Intensiteten af disse er som regel lette eller moderate. Det anbefales, at applikationsstedet veksles dagligt (f.eks. fra højre side til venstre side og fra overkrop til underkrop). Det samme sted bør ikke anvendes inden for 14 dage. Hvis der forekommer reaktioner på applikationsstedet, som varer mere end nogle få dage, eller som er vedvarende, hvis deres sværhedsgrad øges, eller hvis hudreaktionerne breder sig ud over applikationsstedet, bør der foretages en vurdering af fordele og ulemper for den enkelte patient.</w:t>
      </w:r>
    </w:p>
    <w:p w14:paraId="72E49914" w14:textId="77777777" w:rsidR="008F30A9" w:rsidRPr="008F30A9" w:rsidRDefault="008F30A9" w:rsidP="008F30A9">
      <w:pPr>
        <w:tabs>
          <w:tab w:val="left" w:pos="851"/>
        </w:tabs>
        <w:ind w:left="851"/>
        <w:rPr>
          <w:sz w:val="24"/>
          <w:szCs w:val="24"/>
        </w:rPr>
      </w:pPr>
    </w:p>
    <w:p w14:paraId="46D193B8" w14:textId="77777777" w:rsidR="008F30A9" w:rsidRPr="008F30A9" w:rsidRDefault="008F30A9" w:rsidP="008F30A9">
      <w:pPr>
        <w:tabs>
          <w:tab w:val="left" w:pos="851"/>
        </w:tabs>
        <w:ind w:left="851"/>
        <w:rPr>
          <w:sz w:val="24"/>
          <w:szCs w:val="24"/>
        </w:rPr>
      </w:pPr>
      <w:r w:rsidRPr="008F30A9">
        <w:rPr>
          <w:sz w:val="24"/>
          <w:szCs w:val="24"/>
        </w:rPr>
        <w:t>Hvis depotplasteret forårsager hududslæt eller irritation, bør direkte sollys på området undgås, indtil huden heler, da udsættelse for sollys kan medføre ændringer i hudfarven.</w:t>
      </w:r>
    </w:p>
    <w:p w14:paraId="711CD2A2" w14:textId="77777777" w:rsidR="008F30A9" w:rsidRPr="008F30A9" w:rsidRDefault="008F30A9" w:rsidP="008F30A9">
      <w:pPr>
        <w:tabs>
          <w:tab w:val="left" w:pos="851"/>
        </w:tabs>
        <w:ind w:left="851"/>
        <w:rPr>
          <w:sz w:val="24"/>
          <w:szCs w:val="24"/>
        </w:rPr>
      </w:pPr>
      <w:r w:rsidRPr="008F30A9">
        <w:rPr>
          <w:sz w:val="24"/>
          <w:szCs w:val="24"/>
        </w:rPr>
        <w:t>Hvis der observeres en generaliseret hudreaktion (f.eks. allergisk udslæt, herunder erythem, maculopapulært udslæt eller pruritus) i forbindelse med anvendelsen af Kinparlev, skal behandlingen seponeres.</w:t>
      </w:r>
    </w:p>
    <w:p w14:paraId="79C9740E" w14:textId="77777777" w:rsidR="008F30A9" w:rsidRPr="008F30A9" w:rsidRDefault="008F30A9" w:rsidP="008F30A9">
      <w:pPr>
        <w:tabs>
          <w:tab w:val="left" w:pos="851"/>
        </w:tabs>
        <w:ind w:left="851"/>
        <w:rPr>
          <w:sz w:val="24"/>
          <w:szCs w:val="24"/>
          <w:u w:val="single"/>
        </w:rPr>
      </w:pPr>
    </w:p>
    <w:p w14:paraId="407629CF" w14:textId="77777777" w:rsidR="008F30A9" w:rsidRPr="008F30A9" w:rsidRDefault="008F30A9" w:rsidP="008F30A9">
      <w:pPr>
        <w:tabs>
          <w:tab w:val="left" w:pos="851"/>
        </w:tabs>
        <w:ind w:left="851"/>
        <w:rPr>
          <w:sz w:val="24"/>
          <w:szCs w:val="24"/>
          <w:u w:val="single"/>
        </w:rPr>
      </w:pPr>
      <w:r w:rsidRPr="008F30A9">
        <w:rPr>
          <w:sz w:val="24"/>
          <w:szCs w:val="24"/>
          <w:u w:val="single"/>
        </w:rPr>
        <w:t>Perifere ødemer</w:t>
      </w:r>
    </w:p>
    <w:p w14:paraId="6A9FA245" w14:textId="77777777" w:rsidR="008F30A9" w:rsidRPr="008F30A9" w:rsidRDefault="008F30A9" w:rsidP="008F30A9">
      <w:pPr>
        <w:tabs>
          <w:tab w:val="left" w:pos="851"/>
        </w:tabs>
        <w:ind w:left="851"/>
        <w:rPr>
          <w:sz w:val="24"/>
          <w:szCs w:val="24"/>
        </w:rPr>
      </w:pPr>
      <w:r w:rsidRPr="008F30A9">
        <w:rPr>
          <w:sz w:val="24"/>
          <w:szCs w:val="24"/>
        </w:rPr>
        <w:t>I kliniske studier med patienter med Parkinsons sygdom var den specifikke hyppighed af perifere ødemer efter 6 måneder ca. 4 %, og den forblev på dette niveau i det samlede observationstidsrum på op til 36 måneder. Der er også blevet observeret perifere ødemer i kliniske studier med patienter med RLS.</w:t>
      </w:r>
    </w:p>
    <w:p w14:paraId="09213338" w14:textId="77777777" w:rsidR="008F30A9" w:rsidRPr="008F30A9" w:rsidRDefault="008F30A9" w:rsidP="008F30A9">
      <w:pPr>
        <w:tabs>
          <w:tab w:val="left" w:pos="851"/>
        </w:tabs>
        <w:ind w:left="851"/>
        <w:rPr>
          <w:sz w:val="24"/>
          <w:szCs w:val="24"/>
        </w:rPr>
      </w:pPr>
    </w:p>
    <w:p w14:paraId="59B6B260" w14:textId="4CA95277" w:rsidR="008F30A9" w:rsidRPr="008F30A9" w:rsidRDefault="008F30A9" w:rsidP="008F30A9">
      <w:pPr>
        <w:tabs>
          <w:tab w:val="left" w:pos="851"/>
        </w:tabs>
        <w:ind w:left="851"/>
        <w:rPr>
          <w:b/>
          <w:sz w:val="24"/>
          <w:szCs w:val="24"/>
        </w:rPr>
      </w:pPr>
      <w:r w:rsidRPr="008F30A9">
        <w:rPr>
          <w:b/>
          <w:sz w:val="24"/>
          <w:szCs w:val="24"/>
        </w:rPr>
        <w:t>Set hos patienter med Parkinsons sygdom</w:t>
      </w:r>
      <w:r>
        <w:rPr>
          <w:b/>
          <w:sz w:val="24"/>
          <w:szCs w:val="24"/>
        </w:rPr>
        <w:t>:</w:t>
      </w:r>
    </w:p>
    <w:p w14:paraId="50E5EE35" w14:textId="77777777" w:rsidR="008F30A9" w:rsidRPr="008F30A9" w:rsidRDefault="008F30A9" w:rsidP="008F30A9">
      <w:pPr>
        <w:tabs>
          <w:tab w:val="left" w:pos="851"/>
        </w:tabs>
        <w:ind w:left="851"/>
        <w:rPr>
          <w:sz w:val="24"/>
          <w:szCs w:val="24"/>
        </w:rPr>
      </w:pPr>
    </w:p>
    <w:p w14:paraId="1FF03F39" w14:textId="77777777" w:rsidR="008F30A9" w:rsidRPr="008F30A9" w:rsidRDefault="008F30A9" w:rsidP="008F30A9">
      <w:pPr>
        <w:tabs>
          <w:tab w:val="left" w:pos="851"/>
        </w:tabs>
        <w:ind w:left="851"/>
        <w:rPr>
          <w:sz w:val="24"/>
          <w:szCs w:val="24"/>
          <w:u w:val="single"/>
        </w:rPr>
      </w:pPr>
      <w:r w:rsidRPr="008F30A9">
        <w:rPr>
          <w:sz w:val="24"/>
          <w:szCs w:val="24"/>
          <w:u w:val="single"/>
        </w:rPr>
        <w:t>Dopaminerge bivirkninger</w:t>
      </w:r>
    </w:p>
    <w:p w14:paraId="0D8E0974" w14:textId="77777777" w:rsidR="008F30A9" w:rsidRPr="008F30A9" w:rsidRDefault="008F30A9" w:rsidP="008F30A9">
      <w:pPr>
        <w:tabs>
          <w:tab w:val="left" w:pos="851"/>
        </w:tabs>
        <w:ind w:left="851"/>
        <w:rPr>
          <w:sz w:val="24"/>
          <w:szCs w:val="24"/>
        </w:rPr>
      </w:pPr>
      <w:r w:rsidRPr="008F30A9">
        <w:rPr>
          <w:sz w:val="24"/>
          <w:szCs w:val="24"/>
        </w:rPr>
        <w:t>Incidensen af nogle dopaminerge bivirkninger, såsom hallucinationer, dyskinesi og perifere ødemer, er generelt højere i kombination med levodopa hos patienter med Parkinsons sygdom. Dette bør tages i betragtning ved ordinering af rotigotin.</w:t>
      </w:r>
    </w:p>
    <w:p w14:paraId="1D0D6C01" w14:textId="77777777" w:rsidR="008F30A9" w:rsidRPr="008F30A9" w:rsidRDefault="008F30A9" w:rsidP="008F30A9">
      <w:pPr>
        <w:tabs>
          <w:tab w:val="left" w:pos="851"/>
        </w:tabs>
        <w:ind w:left="851"/>
        <w:rPr>
          <w:sz w:val="24"/>
          <w:szCs w:val="24"/>
        </w:rPr>
      </w:pPr>
    </w:p>
    <w:p w14:paraId="26F51312" w14:textId="77777777" w:rsidR="008F30A9" w:rsidRPr="008F30A9" w:rsidRDefault="008F30A9" w:rsidP="008F30A9">
      <w:pPr>
        <w:tabs>
          <w:tab w:val="left" w:pos="851"/>
        </w:tabs>
        <w:ind w:left="851"/>
        <w:rPr>
          <w:sz w:val="24"/>
          <w:szCs w:val="24"/>
          <w:u w:val="single"/>
        </w:rPr>
      </w:pPr>
      <w:r w:rsidRPr="008F30A9">
        <w:rPr>
          <w:sz w:val="24"/>
          <w:szCs w:val="24"/>
          <w:u w:val="single"/>
        </w:rPr>
        <w:t>Dystoniske reaktioner</w:t>
      </w:r>
    </w:p>
    <w:p w14:paraId="6B9E1FBA" w14:textId="77777777" w:rsidR="008F30A9" w:rsidRPr="008F30A9" w:rsidRDefault="008F30A9" w:rsidP="008F30A9">
      <w:pPr>
        <w:tabs>
          <w:tab w:val="left" w:pos="851"/>
        </w:tabs>
        <w:ind w:left="851"/>
        <w:rPr>
          <w:sz w:val="24"/>
          <w:szCs w:val="24"/>
        </w:rPr>
      </w:pPr>
      <w:r w:rsidRPr="008F30A9">
        <w:rPr>
          <w:sz w:val="24"/>
          <w:szCs w:val="24"/>
        </w:rPr>
        <w:t>Dystoniske reaktioner, herunder dystoni, unormal kropsholdning, torticollis og pleurothotonus (Pisa</w:t>
      </w:r>
      <w:r w:rsidRPr="008F30A9">
        <w:rPr>
          <w:sz w:val="24"/>
          <w:szCs w:val="24"/>
        </w:rPr>
        <w:noBreakHyphen/>
        <w:t>syndrom), er lejlighedsvist blevet rapporteret hos patienter med Parkinsons sygdom efter påbegyndelse med eller gradvis dosisøgning af rotigotin. Selvom dystoniske reaktioner kan være et symptom på Parkinsons sygdom, er symptomerne hos nogle af disse patienter blevet mildere efter reduktion eller seponering af rotigotin. Hvis der opstår en dystonisk reaktion, bør det dopaminerge medicineringsregime gennemgås, og en justering af rotigotin</w:t>
      </w:r>
      <w:r w:rsidRPr="008F30A9">
        <w:rPr>
          <w:sz w:val="24"/>
          <w:szCs w:val="24"/>
        </w:rPr>
        <w:noBreakHyphen/>
        <w:t>dosis bør overvejes.</w:t>
      </w:r>
    </w:p>
    <w:p w14:paraId="2C34094C" w14:textId="77777777" w:rsidR="008F30A9" w:rsidRPr="008F30A9" w:rsidRDefault="008F30A9" w:rsidP="008F30A9">
      <w:pPr>
        <w:tabs>
          <w:tab w:val="left" w:pos="851"/>
        </w:tabs>
        <w:ind w:left="851"/>
        <w:rPr>
          <w:sz w:val="24"/>
          <w:szCs w:val="24"/>
        </w:rPr>
      </w:pPr>
    </w:p>
    <w:p w14:paraId="635583A5" w14:textId="16CD7A1F" w:rsidR="008F30A9" w:rsidRPr="008F30A9" w:rsidRDefault="008F30A9" w:rsidP="008F30A9">
      <w:pPr>
        <w:tabs>
          <w:tab w:val="left" w:pos="851"/>
        </w:tabs>
        <w:ind w:left="851"/>
        <w:rPr>
          <w:b/>
          <w:sz w:val="24"/>
          <w:szCs w:val="24"/>
        </w:rPr>
      </w:pPr>
      <w:r w:rsidRPr="008F30A9">
        <w:rPr>
          <w:b/>
          <w:sz w:val="24"/>
          <w:szCs w:val="24"/>
        </w:rPr>
        <w:t xml:space="preserve">Set hos patienter med </w:t>
      </w:r>
      <w:r w:rsidRPr="008F30A9">
        <w:rPr>
          <w:b/>
          <w:i/>
          <w:iCs/>
          <w:sz w:val="24"/>
          <w:szCs w:val="24"/>
        </w:rPr>
        <w:t>restless legs</w:t>
      </w:r>
      <w:r w:rsidRPr="008F30A9">
        <w:rPr>
          <w:b/>
          <w:sz w:val="24"/>
          <w:szCs w:val="24"/>
        </w:rPr>
        <w:t>-syndrom</w:t>
      </w:r>
      <w:r>
        <w:rPr>
          <w:b/>
          <w:sz w:val="24"/>
          <w:szCs w:val="24"/>
        </w:rPr>
        <w:t>:</w:t>
      </w:r>
    </w:p>
    <w:p w14:paraId="62A84561" w14:textId="77777777" w:rsidR="008F30A9" w:rsidRPr="008F30A9" w:rsidRDefault="008F30A9" w:rsidP="008F30A9">
      <w:pPr>
        <w:tabs>
          <w:tab w:val="left" w:pos="851"/>
        </w:tabs>
        <w:ind w:left="851"/>
        <w:rPr>
          <w:sz w:val="24"/>
          <w:szCs w:val="24"/>
        </w:rPr>
      </w:pPr>
    </w:p>
    <w:p w14:paraId="6C7A7E6A" w14:textId="77777777" w:rsidR="008F30A9" w:rsidRPr="008F30A9" w:rsidRDefault="008F30A9" w:rsidP="008F30A9">
      <w:pPr>
        <w:tabs>
          <w:tab w:val="left" w:pos="851"/>
        </w:tabs>
        <w:ind w:left="851"/>
        <w:rPr>
          <w:sz w:val="24"/>
          <w:szCs w:val="24"/>
        </w:rPr>
      </w:pPr>
      <w:r w:rsidRPr="008F30A9">
        <w:rPr>
          <w:sz w:val="24"/>
          <w:szCs w:val="24"/>
          <w:u w:val="single"/>
        </w:rPr>
        <w:t>Augmentation</w:t>
      </w:r>
    </w:p>
    <w:p w14:paraId="5A8D897D" w14:textId="77777777" w:rsidR="008F30A9" w:rsidRPr="008F30A9" w:rsidRDefault="008F30A9" w:rsidP="008F30A9">
      <w:pPr>
        <w:tabs>
          <w:tab w:val="left" w:pos="851"/>
        </w:tabs>
        <w:ind w:left="851"/>
        <w:rPr>
          <w:sz w:val="24"/>
          <w:szCs w:val="24"/>
        </w:rPr>
      </w:pPr>
      <w:r w:rsidRPr="008F30A9">
        <w:rPr>
          <w:sz w:val="24"/>
          <w:szCs w:val="24"/>
        </w:rPr>
        <w:t xml:space="preserve">Augmentation kan forekomme hos patienter med </w:t>
      </w:r>
      <w:r w:rsidRPr="008F30A9">
        <w:rPr>
          <w:i/>
          <w:iCs/>
          <w:sz w:val="24"/>
          <w:szCs w:val="24"/>
        </w:rPr>
        <w:t>restless legs-</w:t>
      </w:r>
      <w:r w:rsidRPr="008F30A9">
        <w:rPr>
          <w:sz w:val="24"/>
          <w:szCs w:val="24"/>
        </w:rPr>
        <w:t>syndrom. Augmentation vil sige, at symptomerne optræder tidligere om aftenen (eller tilmed om eftermiddagen), og at symptomerne forværres og involverer andre kropsdele. I langvarige kliniske studier med rotigotin blev størstedelen af augmentationsepisoder set i løbet af det første og andet behandlingsår. Det bør undgås at anvende doser, som er højere end den godkendte dosis for RLS, da dette kan medføre højere forekomst af augmentation (se pkt. 5.1).</w:t>
      </w:r>
    </w:p>
    <w:p w14:paraId="02E05BFA" w14:textId="77777777" w:rsidR="008F30A9" w:rsidRPr="008F30A9" w:rsidRDefault="008F30A9" w:rsidP="008F30A9">
      <w:pPr>
        <w:tabs>
          <w:tab w:val="left" w:pos="851"/>
        </w:tabs>
        <w:ind w:left="851"/>
        <w:rPr>
          <w:sz w:val="24"/>
          <w:szCs w:val="24"/>
        </w:rPr>
      </w:pPr>
    </w:p>
    <w:p w14:paraId="743537F2" w14:textId="77777777" w:rsidR="008F30A9" w:rsidRPr="008F30A9" w:rsidRDefault="008F30A9" w:rsidP="008F30A9">
      <w:pPr>
        <w:tabs>
          <w:tab w:val="left" w:pos="851"/>
        </w:tabs>
        <w:ind w:left="851"/>
        <w:rPr>
          <w:sz w:val="24"/>
          <w:szCs w:val="24"/>
          <w:u w:val="single"/>
        </w:rPr>
      </w:pPr>
      <w:r w:rsidRPr="008F30A9">
        <w:rPr>
          <w:sz w:val="24"/>
          <w:szCs w:val="24"/>
          <w:u w:val="single"/>
        </w:rPr>
        <w:t>Hjælpestoffer</w:t>
      </w:r>
    </w:p>
    <w:p w14:paraId="38B02C9D" w14:textId="77777777" w:rsidR="008F30A9" w:rsidRPr="008F30A9" w:rsidRDefault="008F30A9" w:rsidP="008F30A9">
      <w:pPr>
        <w:tabs>
          <w:tab w:val="left" w:pos="851"/>
        </w:tabs>
        <w:ind w:left="851"/>
        <w:rPr>
          <w:sz w:val="24"/>
          <w:szCs w:val="24"/>
        </w:rPr>
      </w:pPr>
      <w:r w:rsidRPr="008F30A9">
        <w:rPr>
          <w:sz w:val="24"/>
          <w:szCs w:val="24"/>
        </w:rPr>
        <w:t>Kinparlev indeholder natriumpyrosulfit (E223), der i sjældne tilfælde kan forårsage overfølsomhedsreaktioner og bronkospasme.</w:t>
      </w:r>
    </w:p>
    <w:p w14:paraId="0FC3703A" w14:textId="77777777" w:rsidR="009260DE" w:rsidRPr="00C84483" w:rsidRDefault="009260DE" w:rsidP="009260DE">
      <w:pPr>
        <w:tabs>
          <w:tab w:val="left" w:pos="851"/>
        </w:tabs>
        <w:ind w:left="851"/>
        <w:rPr>
          <w:sz w:val="24"/>
          <w:szCs w:val="24"/>
        </w:rPr>
      </w:pPr>
    </w:p>
    <w:p w14:paraId="57B51BF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5C2636E" w14:textId="77777777" w:rsidR="00C821D5" w:rsidRPr="00C821D5" w:rsidRDefault="00C821D5" w:rsidP="00C821D5">
      <w:pPr>
        <w:tabs>
          <w:tab w:val="left" w:pos="851"/>
        </w:tabs>
        <w:ind w:left="851"/>
        <w:rPr>
          <w:sz w:val="24"/>
          <w:szCs w:val="24"/>
        </w:rPr>
      </w:pPr>
      <w:r w:rsidRPr="00C821D5">
        <w:rPr>
          <w:sz w:val="24"/>
          <w:szCs w:val="24"/>
        </w:rPr>
        <w:t>Da rotigotin er en dopaminagonist, antages det, at dopaminantagonister som neuroleptika (f.eks. phenothiaziner, butyrophenoner, thioxantener) eller metoclopramid kan reducere behandlingseffekten af rotigotin, og samtidig brug bør undgås. På grund af mulige additiv effekt bør der udvises forsigtighed, når patienterne tager beroligende lægemidler eller andre CNS (centralnervesystem)</w:t>
      </w:r>
      <w:r w:rsidRPr="00C821D5">
        <w:rPr>
          <w:sz w:val="24"/>
          <w:szCs w:val="24"/>
        </w:rPr>
        <w:noBreakHyphen/>
        <w:t>deprimerende midler (f.eks. benzodiazepiner, antipsykotika, antidepressiva) eller indtager alkohol i kombination med rotigotin.</w:t>
      </w:r>
    </w:p>
    <w:p w14:paraId="3D6D6EF8" w14:textId="77777777" w:rsidR="00C821D5" w:rsidRPr="00C821D5" w:rsidRDefault="00C821D5" w:rsidP="00C821D5">
      <w:pPr>
        <w:tabs>
          <w:tab w:val="left" w:pos="851"/>
        </w:tabs>
        <w:ind w:left="851"/>
        <w:rPr>
          <w:sz w:val="24"/>
          <w:szCs w:val="24"/>
        </w:rPr>
      </w:pPr>
    </w:p>
    <w:p w14:paraId="2A46EB40" w14:textId="77777777" w:rsidR="00C821D5" w:rsidRPr="00C821D5" w:rsidRDefault="00C821D5" w:rsidP="00C821D5">
      <w:pPr>
        <w:tabs>
          <w:tab w:val="left" w:pos="851"/>
        </w:tabs>
        <w:ind w:left="851"/>
        <w:rPr>
          <w:sz w:val="24"/>
          <w:szCs w:val="24"/>
        </w:rPr>
      </w:pPr>
      <w:r w:rsidRPr="00C821D5">
        <w:rPr>
          <w:sz w:val="24"/>
          <w:szCs w:val="24"/>
        </w:rPr>
        <w:t>Samtidig administration af levodopa og carbidopa med rotigotin havde ingen effekt på rotigotins farmakokinetik, og rotigotin havde ingen effekt på levodopas og carbidopas farmakokinetik.</w:t>
      </w:r>
    </w:p>
    <w:p w14:paraId="7DBBB0D7" w14:textId="77777777" w:rsidR="00C821D5" w:rsidRPr="00C821D5" w:rsidRDefault="00C821D5" w:rsidP="00C821D5">
      <w:pPr>
        <w:tabs>
          <w:tab w:val="left" w:pos="851"/>
        </w:tabs>
        <w:ind w:left="851"/>
        <w:rPr>
          <w:sz w:val="24"/>
          <w:szCs w:val="24"/>
        </w:rPr>
      </w:pPr>
    </w:p>
    <w:p w14:paraId="247C29F5" w14:textId="77777777" w:rsidR="00C821D5" w:rsidRPr="00C821D5" w:rsidRDefault="00C821D5" w:rsidP="00C821D5">
      <w:pPr>
        <w:tabs>
          <w:tab w:val="left" w:pos="851"/>
        </w:tabs>
        <w:ind w:left="851"/>
        <w:rPr>
          <w:sz w:val="24"/>
          <w:szCs w:val="24"/>
        </w:rPr>
      </w:pPr>
      <w:r w:rsidRPr="00C821D5">
        <w:rPr>
          <w:sz w:val="24"/>
          <w:szCs w:val="24"/>
        </w:rPr>
        <w:t>Samtidig administration af domperidon og rotigotin havde ingen effekt på rotigotins farmakokinetik.</w:t>
      </w:r>
    </w:p>
    <w:p w14:paraId="4A626D9A" w14:textId="77777777" w:rsidR="00C821D5" w:rsidRPr="00C821D5" w:rsidRDefault="00C821D5" w:rsidP="00C821D5">
      <w:pPr>
        <w:tabs>
          <w:tab w:val="left" w:pos="851"/>
        </w:tabs>
        <w:ind w:left="851"/>
        <w:rPr>
          <w:sz w:val="24"/>
          <w:szCs w:val="24"/>
        </w:rPr>
      </w:pPr>
    </w:p>
    <w:p w14:paraId="3D137F5E" w14:textId="77777777" w:rsidR="00C821D5" w:rsidRPr="00C821D5" w:rsidRDefault="00C821D5" w:rsidP="00C821D5">
      <w:pPr>
        <w:tabs>
          <w:tab w:val="left" w:pos="851"/>
        </w:tabs>
        <w:ind w:left="851"/>
        <w:rPr>
          <w:sz w:val="24"/>
          <w:szCs w:val="24"/>
        </w:rPr>
      </w:pPr>
      <w:r w:rsidRPr="00C821D5">
        <w:rPr>
          <w:sz w:val="24"/>
          <w:szCs w:val="24"/>
        </w:rPr>
        <w:t>Samtidig administration af omeprazol (CYP2C19</w:t>
      </w:r>
      <w:r w:rsidRPr="00C821D5">
        <w:rPr>
          <w:sz w:val="24"/>
          <w:szCs w:val="24"/>
        </w:rPr>
        <w:noBreakHyphen/>
        <w:t>hæmmer) i doser på 40 mg/dag, havde ingen effekt på rotigotins farmakokinetik eller metabolisme hos raske frivillige.</w:t>
      </w:r>
    </w:p>
    <w:p w14:paraId="300A0B7F" w14:textId="77777777" w:rsidR="00C821D5" w:rsidRPr="00C821D5" w:rsidRDefault="00C821D5" w:rsidP="00C821D5">
      <w:pPr>
        <w:tabs>
          <w:tab w:val="left" w:pos="851"/>
        </w:tabs>
        <w:ind w:left="851"/>
        <w:rPr>
          <w:sz w:val="24"/>
          <w:szCs w:val="24"/>
        </w:rPr>
      </w:pPr>
    </w:p>
    <w:p w14:paraId="0C67D285" w14:textId="77777777" w:rsidR="00C821D5" w:rsidRPr="00C821D5" w:rsidRDefault="00C821D5" w:rsidP="00C821D5">
      <w:pPr>
        <w:tabs>
          <w:tab w:val="left" w:pos="851"/>
        </w:tabs>
        <w:ind w:left="851"/>
        <w:rPr>
          <w:sz w:val="24"/>
          <w:szCs w:val="24"/>
        </w:rPr>
      </w:pPr>
      <w:r w:rsidRPr="00C821D5">
        <w:rPr>
          <w:sz w:val="24"/>
          <w:szCs w:val="24"/>
        </w:rPr>
        <w:t>Rotigotin kan forstærke levodopas dopaminerge bivirkning og kan forårsage og/eller forværre allerede eksisterende dyskinesi, som beskrevet med andre dopaminagonister.</w:t>
      </w:r>
    </w:p>
    <w:p w14:paraId="0603E175" w14:textId="77777777" w:rsidR="00C821D5" w:rsidRPr="00C821D5" w:rsidRDefault="00C821D5" w:rsidP="00C821D5">
      <w:pPr>
        <w:tabs>
          <w:tab w:val="left" w:pos="851"/>
        </w:tabs>
        <w:ind w:left="851"/>
        <w:rPr>
          <w:sz w:val="24"/>
          <w:szCs w:val="24"/>
        </w:rPr>
      </w:pPr>
    </w:p>
    <w:p w14:paraId="5DECEE43" w14:textId="77777777" w:rsidR="00C821D5" w:rsidRPr="00C821D5" w:rsidRDefault="00C821D5" w:rsidP="00C821D5">
      <w:pPr>
        <w:tabs>
          <w:tab w:val="left" w:pos="851"/>
        </w:tabs>
        <w:ind w:left="851"/>
        <w:rPr>
          <w:sz w:val="24"/>
          <w:szCs w:val="24"/>
        </w:rPr>
      </w:pPr>
      <w:r w:rsidRPr="00C821D5">
        <w:rPr>
          <w:sz w:val="24"/>
          <w:szCs w:val="24"/>
        </w:rPr>
        <w:t>Samtidig administration af rotigotin (3 mg/24 timer) havde ingen effekt på farmakodynamikken og farmakokinetikken af orale kontraceptiva (0,03 mg ethinylestradiol, 0,15 mg levonorgestrel).</w:t>
      </w:r>
    </w:p>
    <w:p w14:paraId="657D7959" w14:textId="77777777" w:rsidR="00C821D5" w:rsidRPr="00C821D5" w:rsidRDefault="00C821D5" w:rsidP="00C821D5">
      <w:pPr>
        <w:tabs>
          <w:tab w:val="left" w:pos="851"/>
        </w:tabs>
        <w:ind w:left="851"/>
        <w:rPr>
          <w:sz w:val="24"/>
          <w:szCs w:val="24"/>
        </w:rPr>
      </w:pPr>
      <w:r w:rsidRPr="00C821D5">
        <w:rPr>
          <w:sz w:val="24"/>
          <w:szCs w:val="24"/>
        </w:rPr>
        <w:t>Interaktioner med andre former for hormonel kontraception er ikke undersøgt.</w:t>
      </w:r>
    </w:p>
    <w:p w14:paraId="18DBFDF9" w14:textId="77777777" w:rsidR="009260DE" w:rsidRPr="00C84483" w:rsidRDefault="009260DE" w:rsidP="009260DE">
      <w:pPr>
        <w:tabs>
          <w:tab w:val="left" w:pos="851"/>
        </w:tabs>
        <w:ind w:left="851"/>
        <w:rPr>
          <w:sz w:val="24"/>
          <w:szCs w:val="24"/>
        </w:rPr>
      </w:pPr>
    </w:p>
    <w:p w14:paraId="4AAB0668"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586F8058" w14:textId="77777777" w:rsidR="00160861" w:rsidRDefault="00160861" w:rsidP="00160861">
      <w:pPr>
        <w:tabs>
          <w:tab w:val="left" w:pos="851"/>
        </w:tabs>
        <w:ind w:left="851"/>
        <w:rPr>
          <w:sz w:val="24"/>
          <w:szCs w:val="24"/>
          <w:u w:val="single"/>
        </w:rPr>
      </w:pPr>
    </w:p>
    <w:p w14:paraId="2B51B219" w14:textId="01168817" w:rsidR="00160861" w:rsidRPr="00160861" w:rsidRDefault="00160861" w:rsidP="00160861">
      <w:pPr>
        <w:tabs>
          <w:tab w:val="left" w:pos="851"/>
        </w:tabs>
        <w:ind w:left="851"/>
        <w:rPr>
          <w:sz w:val="24"/>
          <w:szCs w:val="24"/>
          <w:u w:val="single"/>
        </w:rPr>
      </w:pPr>
      <w:r w:rsidRPr="00160861">
        <w:rPr>
          <w:sz w:val="24"/>
          <w:szCs w:val="24"/>
          <w:u w:val="single"/>
        </w:rPr>
        <w:t>Kontraception hos kvinder i den fertile alder</w:t>
      </w:r>
    </w:p>
    <w:p w14:paraId="0496149B" w14:textId="77777777" w:rsidR="00160861" w:rsidRPr="00160861" w:rsidRDefault="00160861" w:rsidP="00160861">
      <w:pPr>
        <w:tabs>
          <w:tab w:val="left" w:pos="851"/>
        </w:tabs>
        <w:ind w:left="851"/>
        <w:rPr>
          <w:sz w:val="24"/>
          <w:szCs w:val="24"/>
        </w:rPr>
      </w:pPr>
      <w:r w:rsidRPr="00160861">
        <w:rPr>
          <w:sz w:val="24"/>
          <w:szCs w:val="24"/>
        </w:rPr>
        <w:t>Kvinder i den fertile alder skal anvende sikker kontraception for at forebygge graviditet under behandlingen med rotigotin.</w:t>
      </w:r>
    </w:p>
    <w:p w14:paraId="0CA12CB1" w14:textId="77777777" w:rsidR="00160861" w:rsidRPr="00160861" w:rsidRDefault="00160861" w:rsidP="00160861">
      <w:pPr>
        <w:tabs>
          <w:tab w:val="left" w:pos="851"/>
        </w:tabs>
        <w:ind w:left="851"/>
        <w:rPr>
          <w:sz w:val="24"/>
          <w:szCs w:val="24"/>
        </w:rPr>
      </w:pPr>
    </w:p>
    <w:p w14:paraId="1E3C467D" w14:textId="77777777" w:rsidR="00160861" w:rsidRPr="00160861" w:rsidRDefault="00160861" w:rsidP="00160861">
      <w:pPr>
        <w:tabs>
          <w:tab w:val="left" w:pos="851"/>
        </w:tabs>
        <w:ind w:left="851"/>
        <w:rPr>
          <w:sz w:val="24"/>
          <w:szCs w:val="24"/>
          <w:u w:val="single"/>
        </w:rPr>
      </w:pPr>
      <w:r w:rsidRPr="00160861">
        <w:rPr>
          <w:sz w:val="24"/>
          <w:szCs w:val="24"/>
          <w:u w:val="single"/>
        </w:rPr>
        <w:t>Graviditet</w:t>
      </w:r>
    </w:p>
    <w:p w14:paraId="189DEEBE" w14:textId="77777777" w:rsidR="00160861" w:rsidRPr="00160861" w:rsidRDefault="00160861" w:rsidP="00160861">
      <w:pPr>
        <w:tabs>
          <w:tab w:val="left" w:pos="851"/>
        </w:tabs>
        <w:ind w:left="851"/>
        <w:rPr>
          <w:sz w:val="24"/>
          <w:szCs w:val="24"/>
        </w:rPr>
      </w:pPr>
      <w:r w:rsidRPr="00160861">
        <w:rPr>
          <w:sz w:val="24"/>
          <w:szCs w:val="24"/>
        </w:rPr>
        <w:t>Der er utilstrækkelige data fra anvendelse af rotigotin til gravide kvinder. Dyrestudier viser ingen teratogene virkninger hos rotter og kaniner, men embryotoksicitet er observeret hos rotter og mus ved maternotoksiske doser (se pkt. 5.3). Den potentielle risiko for mennesker kendes ikke. Rotigotin bør ikke anvendes under graviditet.</w:t>
      </w:r>
    </w:p>
    <w:p w14:paraId="7DDC9DB3" w14:textId="77777777" w:rsidR="00160861" w:rsidRPr="00160861" w:rsidRDefault="00160861" w:rsidP="00160861">
      <w:pPr>
        <w:tabs>
          <w:tab w:val="left" w:pos="851"/>
        </w:tabs>
        <w:ind w:left="851"/>
        <w:rPr>
          <w:sz w:val="24"/>
          <w:szCs w:val="24"/>
        </w:rPr>
      </w:pPr>
    </w:p>
    <w:p w14:paraId="139AE274" w14:textId="77777777" w:rsidR="00160861" w:rsidRPr="00160861" w:rsidRDefault="00160861" w:rsidP="00160861">
      <w:pPr>
        <w:tabs>
          <w:tab w:val="left" w:pos="851"/>
        </w:tabs>
        <w:ind w:left="851"/>
        <w:rPr>
          <w:sz w:val="24"/>
          <w:szCs w:val="24"/>
          <w:u w:val="single"/>
        </w:rPr>
      </w:pPr>
      <w:r w:rsidRPr="00160861">
        <w:rPr>
          <w:sz w:val="24"/>
          <w:szCs w:val="24"/>
          <w:u w:val="single"/>
        </w:rPr>
        <w:t>Amning</w:t>
      </w:r>
    </w:p>
    <w:p w14:paraId="46E21ADD" w14:textId="77777777" w:rsidR="00160861" w:rsidRPr="00160861" w:rsidRDefault="00160861" w:rsidP="00160861">
      <w:pPr>
        <w:tabs>
          <w:tab w:val="left" w:pos="851"/>
        </w:tabs>
        <w:ind w:left="851"/>
        <w:rPr>
          <w:sz w:val="24"/>
          <w:szCs w:val="24"/>
        </w:rPr>
      </w:pPr>
      <w:r w:rsidRPr="00160861">
        <w:rPr>
          <w:sz w:val="24"/>
          <w:szCs w:val="24"/>
        </w:rPr>
        <w:t>Da rotigotin nedsætter prolaktinsekretionen hos mennesker, forventes det, at mælkedannelsen hæmmes. Studier med rotter har vist, at rotigotin og/eller dets metabolit(ter) udskilles i mælk. Da der ikke findes data for mennesker, bør amning ophøre.</w:t>
      </w:r>
    </w:p>
    <w:p w14:paraId="6B2D755C" w14:textId="77777777" w:rsidR="00160861" w:rsidRPr="00160861" w:rsidRDefault="00160861" w:rsidP="00160861">
      <w:pPr>
        <w:tabs>
          <w:tab w:val="left" w:pos="851"/>
        </w:tabs>
        <w:ind w:left="851"/>
        <w:rPr>
          <w:sz w:val="24"/>
          <w:szCs w:val="24"/>
        </w:rPr>
      </w:pPr>
    </w:p>
    <w:p w14:paraId="49FC4BE6" w14:textId="77777777" w:rsidR="00160861" w:rsidRPr="00160861" w:rsidRDefault="00160861" w:rsidP="00160861">
      <w:pPr>
        <w:tabs>
          <w:tab w:val="left" w:pos="851"/>
        </w:tabs>
        <w:ind w:left="851"/>
        <w:rPr>
          <w:sz w:val="24"/>
          <w:szCs w:val="24"/>
          <w:u w:val="single"/>
        </w:rPr>
      </w:pPr>
      <w:r w:rsidRPr="00160861">
        <w:rPr>
          <w:sz w:val="24"/>
          <w:szCs w:val="24"/>
          <w:u w:val="single"/>
        </w:rPr>
        <w:t>Fertilitet</w:t>
      </w:r>
    </w:p>
    <w:p w14:paraId="50104CA4" w14:textId="77777777" w:rsidR="00160861" w:rsidRPr="00160861" w:rsidRDefault="00160861" w:rsidP="00160861">
      <w:pPr>
        <w:tabs>
          <w:tab w:val="left" w:pos="851"/>
        </w:tabs>
        <w:ind w:left="851"/>
        <w:rPr>
          <w:sz w:val="24"/>
          <w:szCs w:val="24"/>
        </w:rPr>
      </w:pPr>
      <w:r w:rsidRPr="00160861">
        <w:rPr>
          <w:sz w:val="24"/>
          <w:szCs w:val="24"/>
        </w:rPr>
        <w:t>For information vedrørende fertilitetsstudier, se pkt. 5.3.</w:t>
      </w:r>
    </w:p>
    <w:p w14:paraId="0DCAAA5B" w14:textId="77777777" w:rsidR="009260DE" w:rsidRPr="00C84483" w:rsidRDefault="009260DE" w:rsidP="009260DE">
      <w:pPr>
        <w:tabs>
          <w:tab w:val="left" w:pos="851"/>
        </w:tabs>
        <w:ind w:left="851"/>
        <w:rPr>
          <w:sz w:val="24"/>
          <w:szCs w:val="24"/>
        </w:rPr>
      </w:pPr>
    </w:p>
    <w:p w14:paraId="32F6193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2473641" w14:textId="77777777" w:rsidR="00C71195" w:rsidRPr="00C71195" w:rsidRDefault="00C71195" w:rsidP="00C71195">
      <w:pPr>
        <w:tabs>
          <w:tab w:val="left" w:pos="851"/>
        </w:tabs>
        <w:ind w:left="851"/>
        <w:rPr>
          <w:sz w:val="24"/>
          <w:szCs w:val="24"/>
        </w:rPr>
      </w:pPr>
      <w:r w:rsidRPr="00C71195">
        <w:rPr>
          <w:sz w:val="24"/>
          <w:szCs w:val="24"/>
        </w:rPr>
        <w:t>Mærkning.</w:t>
      </w:r>
    </w:p>
    <w:p w14:paraId="20F91BE7" w14:textId="77777777" w:rsidR="00C71195" w:rsidRPr="00C71195" w:rsidRDefault="00C71195" w:rsidP="00C71195">
      <w:pPr>
        <w:tabs>
          <w:tab w:val="left" w:pos="851"/>
        </w:tabs>
        <w:ind w:left="851"/>
        <w:rPr>
          <w:sz w:val="24"/>
          <w:szCs w:val="24"/>
        </w:rPr>
      </w:pPr>
      <w:r w:rsidRPr="00C71195">
        <w:rPr>
          <w:sz w:val="24"/>
          <w:szCs w:val="24"/>
        </w:rPr>
        <w:t>Rotigotin kan i væsentlig grad påvirke evnen til at føre motorkøretøj og betjene maskiner.</w:t>
      </w:r>
    </w:p>
    <w:p w14:paraId="0FB040EA" w14:textId="77777777" w:rsidR="00C71195" w:rsidRPr="00C71195" w:rsidRDefault="00C71195" w:rsidP="00C71195">
      <w:pPr>
        <w:tabs>
          <w:tab w:val="left" w:pos="851"/>
        </w:tabs>
        <w:ind w:left="851"/>
        <w:rPr>
          <w:sz w:val="24"/>
          <w:szCs w:val="24"/>
        </w:rPr>
      </w:pPr>
      <w:r w:rsidRPr="00C71195">
        <w:rPr>
          <w:sz w:val="24"/>
          <w:szCs w:val="24"/>
        </w:rPr>
        <w:t>Patienter i behandling med rotigotin, som kommer ud for episoder med døsighed og/eller pludselig søvn, skal informeres om, at de, indtil de tilbagevendende episoder og døsigheden er ophørt, skal undlade at føre motorkøretøj eller foretage aktiviteter (f.eks. betjene maskiner), hvor forringet opmærksomhed kan medføre en risiko for alvorlige skader eller død hos dem selv eller andre (se også pkt. 4.4 og 4.5).</w:t>
      </w:r>
    </w:p>
    <w:p w14:paraId="64DBAE74" w14:textId="77777777" w:rsidR="009260DE" w:rsidRPr="00C84483" w:rsidRDefault="009260DE" w:rsidP="009260DE">
      <w:pPr>
        <w:tabs>
          <w:tab w:val="left" w:pos="851"/>
        </w:tabs>
        <w:ind w:left="851"/>
        <w:rPr>
          <w:sz w:val="24"/>
          <w:szCs w:val="24"/>
        </w:rPr>
      </w:pPr>
    </w:p>
    <w:p w14:paraId="5AC09019"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51554ABD" w14:textId="77777777" w:rsidR="00C71195" w:rsidRDefault="00C71195" w:rsidP="00C71195">
      <w:pPr>
        <w:keepNext/>
        <w:ind w:left="851"/>
        <w:rPr>
          <w:sz w:val="24"/>
          <w:szCs w:val="24"/>
        </w:rPr>
      </w:pPr>
    </w:p>
    <w:p w14:paraId="50210EF3" w14:textId="77777777" w:rsidR="00C71195" w:rsidRPr="00C71195" w:rsidRDefault="00C71195" w:rsidP="00C71195">
      <w:pPr>
        <w:keepNext/>
        <w:ind w:left="851"/>
        <w:rPr>
          <w:b/>
          <w:sz w:val="24"/>
          <w:szCs w:val="24"/>
        </w:rPr>
      </w:pPr>
      <w:r w:rsidRPr="00C71195">
        <w:rPr>
          <w:b/>
          <w:iCs/>
          <w:sz w:val="24"/>
          <w:szCs w:val="24"/>
        </w:rPr>
        <w:t>Restless legs-</w:t>
      </w:r>
      <w:r w:rsidRPr="00C71195">
        <w:rPr>
          <w:b/>
          <w:sz w:val="24"/>
          <w:szCs w:val="24"/>
        </w:rPr>
        <w:t>syndrom</w:t>
      </w:r>
    </w:p>
    <w:p w14:paraId="1F475566" w14:textId="77777777" w:rsidR="00C71195" w:rsidRDefault="00C71195" w:rsidP="00C71195">
      <w:pPr>
        <w:keepNext/>
        <w:ind w:left="851"/>
        <w:rPr>
          <w:sz w:val="24"/>
          <w:szCs w:val="24"/>
          <w:u w:val="single"/>
        </w:rPr>
      </w:pPr>
    </w:p>
    <w:p w14:paraId="0EA3EAB9" w14:textId="77777777" w:rsidR="00C71195" w:rsidRDefault="00C71195" w:rsidP="00C71195">
      <w:pPr>
        <w:keepNext/>
        <w:ind w:left="851"/>
        <w:rPr>
          <w:iCs/>
          <w:sz w:val="24"/>
          <w:szCs w:val="24"/>
          <w:u w:val="single"/>
        </w:rPr>
      </w:pPr>
      <w:r>
        <w:rPr>
          <w:iCs/>
          <w:sz w:val="24"/>
          <w:szCs w:val="24"/>
          <w:u w:val="single"/>
        </w:rPr>
        <w:t>Resumé af sikkerhedsprofilen</w:t>
      </w:r>
    </w:p>
    <w:p w14:paraId="0FEBB16A" w14:textId="77777777" w:rsidR="00C71195" w:rsidRDefault="00C71195" w:rsidP="00C71195">
      <w:pPr>
        <w:keepNext/>
        <w:ind w:left="851"/>
        <w:rPr>
          <w:sz w:val="24"/>
          <w:szCs w:val="24"/>
        </w:rPr>
      </w:pPr>
      <w:r>
        <w:rPr>
          <w:sz w:val="24"/>
          <w:szCs w:val="24"/>
        </w:rPr>
        <w:t>Baseret på analysen af de samlede placebo-kontrollerede kliniske studier, som i alt omfatter 748 rotigotin- og 214 placebo-behandlede patienter, rapporterede 65,5 % af patienterne i rotigotin-gruppen og 33,2 % af patienterne i placebo-gruppen mindst en bivirkning.</w:t>
      </w:r>
    </w:p>
    <w:p w14:paraId="6001F2F1" w14:textId="77777777" w:rsidR="00C71195" w:rsidRDefault="00C71195" w:rsidP="00C71195">
      <w:pPr>
        <w:ind w:left="851"/>
        <w:rPr>
          <w:sz w:val="24"/>
          <w:szCs w:val="24"/>
        </w:rPr>
      </w:pPr>
    </w:p>
    <w:p w14:paraId="45D1F3AC" w14:textId="77777777" w:rsidR="00C71195" w:rsidRDefault="00C71195" w:rsidP="00C71195">
      <w:pPr>
        <w:ind w:left="851"/>
        <w:rPr>
          <w:sz w:val="24"/>
          <w:szCs w:val="24"/>
        </w:rPr>
      </w:pPr>
      <w:r>
        <w:rPr>
          <w:sz w:val="24"/>
          <w:szCs w:val="24"/>
        </w:rPr>
        <w:t>I begyndelsen af behandlingen kan dopaminerge bivirkninger som kvalme og opkastning forekomme. Disse er som regel lette eller moderate i intensitet og forbigående, selvom behandlingen fortsætter.</w:t>
      </w:r>
    </w:p>
    <w:p w14:paraId="227DEB72" w14:textId="77777777" w:rsidR="00C71195" w:rsidRDefault="00C71195" w:rsidP="00C71195">
      <w:pPr>
        <w:ind w:left="851"/>
        <w:rPr>
          <w:sz w:val="24"/>
          <w:szCs w:val="24"/>
          <w:u w:val="single"/>
        </w:rPr>
      </w:pPr>
    </w:p>
    <w:p w14:paraId="53BE45B6" w14:textId="77777777" w:rsidR="00C71195" w:rsidRDefault="00C71195" w:rsidP="00C71195">
      <w:pPr>
        <w:ind w:left="851"/>
        <w:rPr>
          <w:sz w:val="24"/>
          <w:szCs w:val="24"/>
        </w:rPr>
      </w:pPr>
      <w:r>
        <w:rPr>
          <w:sz w:val="24"/>
          <w:szCs w:val="24"/>
        </w:rPr>
        <w:t>Bivirkninger rapporteret hos mere end 10 % af patienterne behandlet med rotigotin er kvalme, reaktioner på administrationsstedet, asteniske symptomer og hovedpine.</w:t>
      </w:r>
    </w:p>
    <w:p w14:paraId="45853407" w14:textId="77777777" w:rsidR="00C71195" w:rsidRDefault="00C71195" w:rsidP="00C71195">
      <w:pPr>
        <w:ind w:left="851"/>
        <w:rPr>
          <w:sz w:val="24"/>
          <w:szCs w:val="24"/>
        </w:rPr>
      </w:pPr>
    </w:p>
    <w:p w14:paraId="2229D360" w14:textId="77777777" w:rsidR="00C71195" w:rsidRDefault="00C71195" w:rsidP="00C71195">
      <w:pPr>
        <w:ind w:left="851"/>
        <w:rPr>
          <w:sz w:val="24"/>
          <w:szCs w:val="24"/>
        </w:rPr>
      </w:pPr>
      <w:r>
        <w:rPr>
          <w:sz w:val="24"/>
          <w:szCs w:val="24"/>
        </w:rPr>
        <w:t>I studier, hvor applikationsstedet blev vekslet som beskrevet i instruktionerne i produkt</w:t>
      </w:r>
      <w:r>
        <w:rPr>
          <w:sz w:val="24"/>
          <w:szCs w:val="24"/>
        </w:rPr>
        <w:softHyphen/>
        <w:t>resuméet og indlægssedlen, fik 34,2 % af de 748 patienter, som brugte rotigotin, reaktioner på applikationsstedet. Størstedelen af reaktionerne på applikationsstedet var lette eller moderate i intensitet, begrænset til applikationsområderne og førte hos 7,2 % af patienterne til seponering af behandlingen med rotigotin.</w:t>
      </w:r>
    </w:p>
    <w:p w14:paraId="399ED3C1" w14:textId="77777777" w:rsidR="00C71195" w:rsidRDefault="00C71195" w:rsidP="00C71195">
      <w:pPr>
        <w:keepNext/>
        <w:ind w:left="851"/>
        <w:rPr>
          <w:sz w:val="24"/>
          <w:szCs w:val="24"/>
          <w:u w:val="single"/>
        </w:rPr>
      </w:pPr>
    </w:p>
    <w:p w14:paraId="1D2E70B3" w14:textId="77777777" w:rsidR="00C71195" w:rsidRDefault="00C71195" w:rsidP="00C71195">
      <w:pPr>
        <w:keepNext/>
        <w:ind w:left="851"/>
        <w:rPr>
          <w:sz w:val="24"/>
          <w:szCs w:val="24"/>
        </w:rPr>
      </w:pPr>
      <w:r>
        <w:rPr>
          <w:sz w:val="24"/>
          <w:szCs w:val="24"/>
        </w:rPr>
        <w:t>Seponeringsfrekvens:</w:t>
      </w:r>
    </w:p>
    <w:p w14:paraId="19A657D9" w14:textId="77777777" w:rsidR="00C71195" w:rsidRDefault="00C71195" w:rsidP="00C71195">
      <w:pPr>
        <w:keepNext/>
        <w:ind w:left="851"/>
        <w:rPr>
          <w:sz w:val="24"/>
          <w:szCs w:val="24"/>
        </w:rPr>
      </w:pPr>
      <w:r>
        <w:rPr>
          <w:sz w:val="24"/>
          <w:szCs w:val="24"/>
        </w:rPr>
        <w:t>Seponeringsfrekvensen blev undersøgt i 3 kliniske studier af op til 3 års varighed. Procentdelen af patienter, som seponerede behandlingen, var 25-38 % det første år, 10 % det andet år og 11 % det tredje år. Der bør udføres periodisk vurdering af virkningen sammen med evaluering af sikkerheden, herunder augmentation.</w:t>
      </w:r>
    </w:p>
    <w:p w14:paraId="1D84EAFD" w14:textId="77777777" w:rsidR="00C71195" w:rsidRDefault="00C71195" w:rsidP="00C71195">
      <w:pPr>
        <w:keepNext/>
        <w:ind w:left="851"/>
        <w:rPr>
          <w:sz w:val="24"/>
          <w:szCs w:val="24"/>
        </w:rPr>
      </w:pPr>
    </w:p>
    <w:p w14:paraId="0F37A682" w14:textId="77777777" w:rsidR="00C71195" w:rsidRDefault="00C71195" w:rsidP="00C71195">
      <w:pPr>
        <w:keepNext/>
        <w:ind w:left="851"/>
        <w:rPr>
          <w:sz w:val="24"/>
          <w:szCs w:val="24"/>
        </w:rPr>
      </w:pPr>
      <w:r>
        <w:rPr>
          <w:sz w:val="24"/>
          <w:szCs w:val="24"/>
          <w:u w:val="single"/>
        </w:rPr>
        <w:t>Bivirkningstabel</w:t>
      </w:r>
    </w:p>
    <w:p w14:paraId="1F2B1438" w14:textId="2AF078A0" w:rsidR="00C71195" w:rsidRDefault="00C71195" w:rsidP="00C71195">
      <w:pPr>
        <w:keepNext/>
        <w:ind w:left="851"/>
        <w:rPr>
          <w:sz w:val="24"/>
          <w:szCs w:val="24"/>
        </w:rPr>
      </w:pPr>
      <w:r>
        <w:rPr>
          <w:sz w:val="24"/>
          <w:szCs w:val="24"/>
        </w:rPr>
        <w:t xml:space="preserve">Følgende tabel omfatter bivirkninger fra ovennævnte sammenfattede studier med patienter med </w:t>
      </w:r>
      <w:r>
        <w:rPr>
          <w:i/>
          <w:iCs/>
          <w:sz w:val="24"/>
          <w:szCs w:val="24"/>
        </w:rPr>
        <w:t>restless legs</w:t>
      </w:r>
      <w:r>
        <w:rPr>
          <w:sz w:val="24"/>
          <w:szCs w:val="24"/>
        </w:rPr>
        <w:t>-syndrom og fra erfaring efter markedsføring. Inden for hver system</w:t>
      </w:r>
      <w:r>
        <w:rPr>
          <w:sz w:val="24"/>
          <w:szCs w:val="24"/>
        </w:rPr>
        <w:softHyphen/>
        <w:t>organklasse er bivirkningerne opført under overskrifter iht. hyppighed (antal patienter, som forventes at få reaktionen) ved brug af følgende kategorier: Meget almindelig (≥ 1/10); almindelig (≥ 1 / 100 til &lt; 1 / 10); ikke almindelig (≥ 1 / 1.000 til &lt; 1 / 100); sjælden (≥ 1 / 10.000 til &lt; 1 / 1.000); meget sjælden (&lt; 1 / 10.000); ikke kendt (kan ikke estimeres ud fra forhåndenværende data). Inden for hver enkelt frekvensgruppe er bivirkningerne opstillet efter, hvor alvorlige de er. De alvorligste bivirkninger er anført først.</w:t>
      </w:r>
    </w:p>
    <w:p w14:paraId="52B373CC" w14:textId="77777777" w:rsidR="00C71195" w:rsidRDefault="00C71195" w:rsidP="00C71195">
      <w:pPr>
        <w:keepNext/>
        <w:ind w:left="851"/>
        <w:rPr>
          <w:sz w:val="24"/>
          <w:szCs w:val="24"/>
          <w:u w:val="single"/>
        </w:rPr>
      </w:pPr>
    </w:p>
    <w:tbl>
      <w:tblPr>
        <w:tblStyle w:val="Tabel-Gitter"/>
        <w:tblW w:w="5600" w:type="pct"/>
        <w:tblInd w:w="-431" w:type="dxa"/>
        <w:tblLook w:val="04A0" w:firstRow="1" w:lastRow="0" w:firstColumn="1" w:lastColumn="0" w:noHBand="0" w:noVBand="1"/>
      </w:tblPr>
      <w:tblGrid>
        <w:gridCol w:w="1720"/>
        <w:gridCol w:w="1664"/>
        <w:gridCol w:w="1783"/>
        <w:gridCol w:w="1292"/>
        <w:gridCol w:w="2064"/>
        <w:gridCol w:w="2330"/>
      </w:tblGrid>
      <w:tr w:rsidR="00C71195" w14:paraId="5A94AB06" w14:textId="77777777" w:rsidTr="00C71195">
        <w:trPr>
          <w:tblHeader/>
        </w:trPr>
        <w:tc>
          <w:tcPr>
            <w:tcW w:w="817" w:type="pct"/>
            <w:tcBorders>
              <w:top w:val="single" w:sz="4" w:space="0" w:color="auto"/>
              <w:left w:val="single" w:sz="4" w:space="0" w:color="auto"/>
              <w:bottom w:val="single" w:sz="4" w:space="0" w:color="auto"/>
              <w:right w:val="single" w:sz="4" w:space="0" w:color="auto"/>
            </w:tcBorders>
            <w:hideMark/>
          </w:tcPr>
          <w:p w14:paraId="496E2F94" w14:textId="77777777" w:rsidR="00C71195" w:rsidRPr="00C71195" w:rsidRDefault="00C71195">
            <w:pPr>
              <w:rPr>
                <w:b/>
                <w:iCs/>
                <w:sz w:val="22"/>
                <w:szCs w:val="22"/>
                <w:lang w:val="da-DK"/>
              </w:rPr>
            </w:pPr>
            <w:r w:rsidRPr="00C71195">
              <w:rPr>
                <w:b/>
                <w:iCs/>
                <w:sz w:val="22"/>
                <w:szCs w:val="22"/>
                <w:lang w:val="da-DK"/>
              </w:rPr>
              <w:t>System</w:t>
            </w:r>
            <w:r w:rsidRPr="00C71195">
              <w:rPr>
                <w:b/>
                <w:iCs/>
                <w:sz w:val="22"/>
                <w:szCs w:val="22"/>
                <w:lang w:val="da-DK"/>
              </w:rPr>
              <w:softHyphen/>
              <w:t>organklasse i henhold til MedDRA</w:t>
            </w:r>
          </w:p>
        </w:tc>
        <w:tc>
          <w:tcPr>
            <w:tcW w:w="819" w:type="pct"/>
            <w:tcBorders>
              <w:top w:val="single" w:sz="4" w:space="0" w:color="auto"/>
              <w:left w:val="single" w:sz="4" w:space="0" w:color="auto"/>
              <w:bottom w:val="single" w:sz="4" w:space="0" w:color="auto"/>
              <w:right w:val="single" w:sz="4" w:space="0" w:color="auto"/>
            </w:tcBorders>
            <w:hideMark/>
          </w:tcPr>
          <w:p w14:paraId="23240BC5" w14:textId="77777777" w:rsidR="00C71195" w:rsidRDefault="00C71195">
            <w:pPr>
              <w:jc w:val="center"/>
              <w:rPr>
                <w:b/>
                <w:iCs/>
                <w:sz w:val="22"/>
                <w:szCs w:val="22"/>
              </w:rPr>
            </w:pPr>
            <w:r>
              <w:rPr>
                <w:b/>
                <w:iCs/>
                <w:sz w:val="22"/>
                <w:szCs w:val="22"/>
              </w:rPr>
              <w:t>Meget almindelig</w:t>
            </w:r>
          </w:p>
        </w:tc>
        <w:tc>
          <w:tcPr>
            <w:tcW w:w="890" w:type="pct"/>
            <w:tcBorders>
              <w:top w:val="single" w:sz="4" w:space="0" w:color="auto"/>
              <w:left w:val="single" w:sz="4" w:space="0" w:color="auto"/>
              <w:bottom w:val="single" w:sz="4" w:space="0" w:color="auto"/>
              <w:right w:val="single" w:sz="4" w:space="0" w:color="auto"/>
            </w:tcBorders>
            <w:hideMark/>
          </w:tcPr>
          <w:p w14:paraId="38E45796" w14:textId="77777777" w:rsidR="00C71195" w:rsidRDefault="00C71195">
            <w:pPr>
              <w:jc w:val="center"/>
              <w:rPr>
                <w:b/>
                <w:iCs/>
                <w:sz w:val="22"/>
                <w:szCs w:val="22"/>
              </w:rPr>
            </w:pPr>
            <w:r>
              <w:rPr>
                <w:b/>
                <w:iCs/>
                <w:sz w:val="22"/>
                <w:szCs w:val="22"/>
              </w:rPr>
              <w:t>Almindelig</w:t>
            </w:r>
          </w:p>
        </w:tc>
        <w:tc>
          <w:tcPr>
            <w:tcW w:w="889" w:type="pct"/>
            <w:tcBorders>
              <w:top w:val="single" w:sz="4" w:space="0" w:color="auto"/>
              <w:left w:val="single" w:sz="4" w:space="0" w:color="auto"/>
              <w:bottom w:val="single" w:sz="4" w:space="0" w:color="auto"/>
              <w:right w:val="single" w:sz="4" w:space="0" w:color="auto"/>
            </w:tcBorders>
            <w:hideMark/>
          </w:tcPr>
          <w:p w14:paraId="2B00F939" w14:textId="77777777" w:rsidR="00C71195" w:rsidRDefault="00C71195">
            <w:pPr>
              <w:jc w:val="center"/>
              <w:rPr>
                <w:b/>
                <w:iCs/>
                <w:sz w:val="22"/>
                <w:szCs w:val="22"/>
              </w:rPr>
            </w:pPr>
            <w:r>
              <w:rPr>
                <w:b/>
                <w:iCs/>
                <w:sz w:val="22"/>
                <w:szCs w:val="22"/>
              </w:rPr>
              <w:t>Ikke almindelig</w:t>
            </w:r>
          </w:p>
        </w:tc>
        <w:tc>
          <w:tcPr>
            <w:tcW w:w="716" w:type="pct"/>
            <w:tcBorders>
              <w:top w:val="single" w:sz="4" w:space="0" w:color="auto"/>
              <w:left w:val="single" w:sz="4" w:space="0" w:color="auto"/>
              <w:bottom w:val="single" w:sz="4" w:space="0" w:color="auto"/>
              <w:right w:val="single" w:sz="4" w:space="0" w:color="auto"/>
            </w:tcBorders>
            <w:hideMark/>
          </w:tcPr>
          <w:p w14:paraId="5F65D07A" w14:textId="77777777" w:rsidR="00C71195" w:rsidRDefault="00C71195">
            <w:pPr>
              <w:jc w:val="center"/>
              <w:rPr>
                <w:b/>
                <w:iCs/>
                <w:sz w:val="22"/>
                <w:szCs w:val="22"/>
              </w:rPr>
            </w:pPr>
            <w:r>
              <w:rPr>
                <w:b/>
                <w:iCs/>
                <w:sz w:val="22"/>
                <w:szCs w:val="22"/>
              </w:rPr>
              <w:t>Sjælden</w:t>
            </w:r>
          </w:p>
        </w:tc>
        <w:tc>
          <w:tcPr>
            <w:tcW w:w="868" w:type="pct"/>
            <w:tcBorders>
              <w:top w:val="single" w:sz="4" w:space="0" w:color="auto"/>
              <w:left w:val="single" w:sz="4" w:space="0" w:color="auto"/>
              <w:bottom w:val="single" w:sz="4" w:space="0" w:color="auto"/>
              <w:right w:val="single" w:sz="4" w:space="0" w:color="auto"/>
            </w:tcBorders>
            <w:hideMark/>
          </w:tcPr>
          <w:p w14:paraId="5FFBD12E" w14:textId="77777777" w:rsidR="00C71195" w:rsidRDefault="00C71195">
            <w:pPr>
              <w:jc w:val="center"/>
              <w:rPr>
                <w:b/>
                <w:iCs/>
                <w:sz w:val="22"/>
                <w:szCs w:val="22"/>
              </w:rPr>
            </w:pPr>
            <w:r>
              <w:rPr>
                <w:b/>
                <w:iCs/>
                <w:sz w:val="22"/>
                <w:szCs w:val="22"/>
              </w:rPr>
              <w:t>Ikke kendt</w:t>
            </w:r>
          </w:p>
        </w:tc>
      </w:tr>
      <w:tr w:rsidR="00C71195" w14:paraId="7A7158B6"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1471F2CE" w14:textId="77777777" w:rsidR="00C71195" w:rsidRDefault="00C71195">
            <w:pPr>
              <w:rPr>
                <w:b/>
                <w:iCs/>
                <w:sz w:val="22"/>
                <w:szCs w:val="22"/>
              </w:rPr>
            </w:pPr>
            <w:r>
              <w:rPr>
                <w:b/>
                <w:iCs/>
                <w:sz w:val="22"/>
                <w:szCs w:val="22"/>
              </w:rPr>
              <w:t>Immunsystemet</w:t>
            </w:r>
          </w:p>
        </w:tc>
        <w:tc>
          <w:tcPr>
            <w:tcW w:w="819" w:type="pct"/>
            <w:tcBorders>
              <w:top w:val="single" w:sz="4" w:space="0" w:color="auto"/>
              <w:left w:val="single" w:sz="4" w:space="0" w:color="auto"/>
              <w:bottom w:val="single" w:sz="4" w:space="0" w:color="auto"/>
              <w:right w:val="single" w:sz="4" w:space="0" w:color="auto"/>
            </w:tcBorders>
          </w:tcPr>
          <w:p w14:paraId="727C7258"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hideMark/>
          </w:tcPr>
          <w:p w14:paraId="2B3B8BF0" w14:textId="77777777" w:rsidR="00C71195" w:rsidRPr="00C71195" w:rsidRDefault="00C71195">
            <w:pPr>
              <w:rPr>
                <w:iCs/>
                <w:sz w:val="22"/>
                <w:szCs w:val="22"/>
                <w:lang w:val="da-DK"/>
              </w:rPr>
            </w:pPr>
            <w:r w:rsidRPr="00C71195">
              <w:rPr>
                <w:iCs/>
                <w:sz w:val="22"/>
                <w:szCs w:val="22"/>
                <w:lang w:val="da-DK"/>
              </w:rPr>
              <w:t>Overfølsomhed, hvilket kan omfatte angioødem og ødem i tunge og læbe</w:t>
            </w:r>
          </w:p>
        </w:tc>
        <w:tc>
          <w:tcPr>
            <w:tcW w:w="889" w:type="pct"/>
            <w:tcBorders>
              <w:top w:val="single" w:sz="4" w:space="0" w:color="auto"/>
              <w:left w:val="single" w:sz="4" w:space="0" w:color="auto"/>
              <w:bottom w:val="single" w:sz="4" w:space="0" w:color="auto"/>
              <w:right w:val="single" w:sz="4" w:space="0" w:color="auto"/>
            </w:tcBorders>
            <w:hideMark/>
          </w:tcPr>
          <w:p w14:paraId="2674344E" w14:textId="77777777" w:rsidR="00C71195" w:rsidRPr="00C71195" w:rsidRDefault="00C71195">
            <w:pPr>
              <w:rPr>
                <w:iCs/>
                <w:sz w:val="22"/>
                <w:szCs w:val="22"/>
                <w:lang w:val="da-DK"/>
              </w:rPr>
            </w:pPr>
          </w:p>
        </w:tc>
        <w:tc>
          <w:tcPr>
            <w:tcW w:w="716" w:type="pct"/>
            <w:tcBorders>
              <w:top w:val="single" w:sz="4" w:space="0" w:color="auto"/>
              <w:left w:val="single" w:sz="4" w:space="0" w:color="auto"/>
              <w:bottom w:val="single" w:sz="4" w:space="0" w:color="auto"/>
              <w:right w:val="single" w:sz="4" w:space="0" w:color="auto"/>
            </w:tcBorders>
          </w:tcPr>
          <w:p w14:paraId="53075E11" w14:textId="77777777" w:rsidR="00C71195" w:rsidRPr="00C71195" w:rsidRDefault="00C71195">
            <w:pPr>
              <w:rPr>
                <w:iCs/>
                <w:sz w:val="22"/>
                <w:szCs w:val="22"/>
                <w:lang w:val="da-DK"/>
              </w:rPr>
            </w:pPr>
          </w:p>
        </w:tc>
        <w:tc>
          <w:tcPr>
            <w:tcW w:w="868" w:type="pct"/>
            <w:tcBorders>
              <w:top w:val="single" w:sz="4" w:space="0" w:color="auto"/>
              <w:left w:val="single" w:sz="4" w:space="0" w:color="auto"/>
              <w:bottom w:val="single" w:sz="4" w:space="0" w:color="auto"/>
              <w:right w:val="single" w:sz="4" w:space="0" w:color="auto"/>
            </w:tcBorders>
          </w:tcPr>
          <w:p w14:paraId="5CB081D3" w14:textId="77777777" w:rsidR="00C71195" w:rsidRPr="00C71195" w:rsidRDefault="00C71195">
            <w:pPr>
              <w:rPr>
                <w:iCs/>
                <w:sz w:val="22"/>
                <w:szCs w:val="22"/>
                <w:lang w:val="da-DK"/>
              </w:rPr>
            </w:pPr>
          </w:p>
        </w:tc>
      </w:tr>
      <w:tr w:rsidR="00C71195" w14:paraId="797E05E8"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69652EE2" w14:textId="77777777" w:rsidR="00C71195" w:rsidRDefault="00C71195">
            <w:pPr>
              <w:rPr>
                <w:b/>
                <w:iCs/>
                <w:sz w:val="22"/>
                <w:szCs w:val="22"/>
              </w:rPr>
            </w:pPr>
            <w:r>
              <w:rPr>
                <w:b/>
                <w:iCs/>
                <w:sz w:val="22"/>
                <w:szCs w:val="22"/>
              </w:rPr>
              <w:t>Psykiske forstyrrelser</w:t>
            </w:r>
          </w:p>
        </w:tc>
        <w:tc>
          <w:tcPr>
            <w:tcW w:w="819" w:type="pct"/>
            <w:tcBorders>
              <w:top w:val="single" w:sz="4" w:space="0" w:color="auto"/>
              <w:left w:val="single" w:sz="4" w:space="0" w:color="auto"/>
              <w:bottom w:val="single" w:sz="4" w:space="0" w:color="auto"/>
              <w:right w:val="single" w:sz="4" w:space="0" w:color="auto"/>
            </w:tcBorders>
          </w:tcPr>
          <w:p w14:paraId="69C47C2D"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hideMark/>
          </w:tcPr>
          <w:p w14:paraId="31DCAFA7" w14:textId="77777777" w:rsidR="00C71195" w:rsidRPr="00C71195" w:rsidRDefault="00C71195">
            <w:pPr>
              <w:rPr>
                <w:iCs/>
                <w:sz w:val="22"/>
                <w:szCs w:val="22"/>
                <w:lang w:val="da-DK"/>
              </w:rPr>
            </w:pPr>
            <w:r w:rsidRPr="00C71195">
              <w:rPr>
                <w:iCs/>
                <w:sz w:val="22"/>
                <w:szCs w:val="22"/>
                <w:lang w:val="da-DK"/>
              </w:rPr>
              <w:t>Søvnanfald/ pludselig søvn, forstyrret seksuel adfærd</w:t>
            </w:r>
            <w:r w:rsidRPr="00C71195">
              <w:rPr>
                <w:iCs/>
                <w:sz w:val="22"/>
                <w:szCs w:val="22"/>
                <w:vertAlign w:val="superscript"/>
                <w:lang w:val="da-DK"/>
              </w:rPr>
              <w:t>a</w:t>
            </w:r>
            <w:r w:rsidRPr="00C71195">
              <w:rPr>
                <w:iCs/>
                <w:sz w:val="22"/>
                <w:szCs w:val="22"/>
                <w:lang w:val="da-DK"/>
              </w:rPr>
              <w:t xml:space="preserve"> (inkl. hyperseksualitet, øget libido), </w:t>
            </w:r>
          </w:p>
          <w:p w14:paraId="7A4B6352" w14:textId="77777777" w:rsidR="00C71195" w:rsidRPr="00C71195" w:rsidRDefault="00C71195">
            <w:pPr>
              <w:rPr>
                <w:iCs/>
                <w:sz w:val="22"/>
                <w:szCs w:val="22"/>
                <w:lang w:val="da-DK"/>
              </w:rPr>
            </w:pPr>
            <w:r w:rsidRPr="00C71195">
              <w:rPr>
                <w:iCs/>
                <w:sz w:val="22"/>
                <w:szCs w:val="22"/>
                <w:lang w:val="da-DK"/>
              </w:rPr>
              <w:t>søvnløshed, søvnforstyrrelser, unormale drømme, impulskontrol</w:t>
            </w:r>
            <w:r w:rsidRPr="00C71195">
              <w:rPr>
                <w:iCs/>
                <w:sz w:val="22"/>
                <w:szCs w:val="22"/>
                <w:lang w:val="da-DK"/>
              </w:rPr>
              <w:softHyphen/>
              <w:t>forstyrrelser</w:t>
            </w:r>
            <w:r w:rsidRPr="00C71195">
              <w:rPr>
                <w:iCs/>
                <w:sz w:val="22"/>
                <w:szCs w:val="22"/>
                <w:vertAlign w:val="superscript"/>
                <w:lang w:val="da-DK"/>
              </w:rPr>
              <w:t>a,d</w:t>
            </w:r>
            <w:r w:rsidRPr="00C71195">
              <w:rPr>
                <w:iCs/>
                <w:sz w:val="22"/>
                <w:szCs w:val="22"/>
                <w:lang w:val="da-DK"/>
              </w:rPr>
              <w:t xml:space="preserve"> (inkl. ludomani, stereotypi/ tvangs</w:t>
            </w:r>
            <w:r w:rsidRPr="00C71195">
              <w:rPr>
                <w:iCs/>
                <w:sz w:val="22"/>
                <w:szCs w:val="22"/>
                <w:lang w:val="da-DK"/>
              </w:rPr>
              <w:softHyphen/>
              <w:t>handlinger, uhæmmet madindtagelse/ spiseforstyrrelse</w:t>
            </w:r>
            <w:r w:rsidRPr="00C71195">
              <w:rPr>
                <w:iCs/>
                <w:sz w:val="22"/>
                <w:szCs w:val="22"/>
                <w:vertAlign w:val="superscript"/>
                <w:lang w:val="da-DK"/>
              </w:rPr>
              <w:t>b</w:t>
            </w:r>
            <w:r w:rsidRPr="00C71195">
              <w:rPr>
                <w:iCs/>
                <w:sz w:val="22"/>
                <w:szCs w:val="22"/>
                <w:lang w:val="da-DK"/>
              </w:rPr>
              <w:t>, overdrevent indkøbsmønster</w:t>
            </w:r>
            <w:r w:rsidRPr="00C71195">
              <w:rPr>
                <w:iCs/>
                <w:sz w:val="22"/>
                <w:szCs w:val="22"/>
                <w:vertAlign w:val="superscript"/>
                <w:lang w:val="da-DK"/>
              </w:rPr>
              <w:t>c</w:t>
            </w:r>
            <w:r w:rsidRPr="00C71195">
              <w:rPr>
                <w:iCs/>
                <w:sz w:val="22"/>
                <w:szCs w:val="22"/>
                <w:lang w:val="da-DK"/>
              </w:rPr>
              <w:t>)</w:t>
            </w:r>
          </w:p>
        </w:tc>
        <w:tc>
          <w:tcPr>
            <w:tcW w:w="889" w:type="pct"/>
            <w:tcBorders>
              <w:top w:val="single" w:sz="4" w:space="0" w:color="auto"/>
              <w:left w:val="single" w:sz="4" w:space="0" w:color="auto"/>
              <w:bottom w:val="single" w:sz="4" w:space="0" w:color="auto"/>
              <w:right w:val="single" w:sz="4" w:space="0" w:color="auto"/>
            </w:tcBorders>
            <w:hideMark/>
          </w:tcPr>
          <w:p w14:paraId="392E2FD5" w14:textId="77777777" w:rsidR="00C71195" w:rsidRDefault="00C71195">
            <w:pPr>
              <w:rPr>
                <w:iCs/>
                <w:sz w:val="22"/>
                <w:szCs w:val="22"/>
              </w:rPr>
            </w:pPr>
            <w:r>
              <w:rPr>
                <w:iCs/>
                <w:sz w:val="22"/>
                <w:szCs w:val="22"/>
              </w:rPr>
              <w:t>Obsessiv-kompulsiv tilstand, agitation</w:t>
            </w:r>
            <w:r>
              <w:rPr>
                <w:iCs/>
                <w:sz w:val="22"/>
                <w:szCs w:val="22"/>
                <w:vertAlign w:val="superscript"/>
              </w:rPr>
              <w:t>d</w:t>
            </w:r>
          </w:p>
        </w:tc>
        <w:tc>
          <w:tcPr>
            <w:tcW w:w="716" w:type="pct"/>
            <w:tcBorders>
              <w:top w:val="single" w:sz="4" w:space="0" w:color="auto"/>
              <w:left w:val="single" w:sz="4" w:space="0" w:color="auto"/>
              <w:bottom w:val="single" w:sz="4" w:space="0" w:color="auto"/>
              <w:right w:val="single" w:sz="4" w:space="0" w:color="auto"/>
            </w:tcBorders>
            <w:hideMark/>
          </w:tcPr>
          <w:p w14:paraId="3BEDDFB6" w14:textId="77777777" w:rsidR="00C71195" w:rsidRDefault="00C71195">
            <w:pPr>
              <w:rPr>
                <w:iCs/>
                <w:sz w:val="22"/>
                <w:szCs w:val="22"/>
              </w:rPr>
            </w:pPr>
            <w:r>
              <w:rPr>
                <w:iCs/>
                <w:sz w:val="22"/>
                <w:szCs w:val="22"/>
              </w:rPr>
              <w:t>Aggressiv opførsel/aggression</w:t>
            </w:r>
            <w:r>
              <w:rPr>
                <w:iCs/>
                <w:sz w:val="22"/>
                <w:szCs w:val="22"/>
                <w:vertAlign w:val="superscript"/>
              </w:rPr>
              <w:t>b</w:t>
            </w:r>
            <w:r>
              <w:rPr>
                <w:iCs/>
                <w:sz w:val="22"/>
                <w:szCs w:val="22"/>
              </w:rPr>
              <w:t>, desorientering</w:t>
            </w:r>
            <w:r>
              <w:rPr>
                <w:iCs/>
                <w:sz w:val="22"/>
                <w:szCs w:val="22"/>
                <w:vertAlign w:val="superscript"/>
              </w:rPr>
              <w:t>d</w:t>
            </w:r>
          </w:p>
        </w:tc>
        <w:tc>
          <w:tcPr>
            <w:tcW w:w="868" w:type="pct"/>
            <w:tcBorders>
              <w:top w:val="single" w:sz="4" w:space="0" w:color="auto"/>
              <w:left w:val="single" w:sz="4" w:space="0" w:color="auto"/>
              <w:bottom w:val="single" w:sz="4" w:space="0" w:color="auto"/>
              <w:right w:val="single" w:sz="4" w:space="0" w:color="auto"/>
            </w:tcBorders>
            <w:hideMark/>
          </w:tcPr>
          <w:p w14:paraId="2FAC2116" w14:textId="77777777" w:rsidR="00C71195" w:rsidRPr="00C71195" w:rsidRDefault="00C71195">
            <w:pPr>
              <w:rPr>
                <w:iCs/>
                <w:sz w:val="22"/>
                <w:szCs w:val="22"/>
                <w:lang w:val="da-DK"/>
              </w:rPr>
            </w:pPr>
            <w:r w:rsidRPr="00C71195">
              <w:rPr>
                <w:iCs/>
                <w:sz w:val="22"/>
                <w:szCs w:val="22"/>
                <w:lang w:val="da-DK"/>
              </w:rPr>
              <w:t>Dopamin-dysregulerings</w:t>
            </w:r>
            <w:r w:rsidRPr="00C71195">
              <w:rPr>
                <w:iCs/>
                <w:sz w:val="22"/>
                <w:szCs w:val="22"/>
                <w:lang w:val="da-DK"/>
              </w:rPr>
              <w:softHyphen/>
              <w:t>syndrom</w:t>
            </w:r>
            <w:r w:rsidRPr="00C71195">
              <w:rPr>
                <w:iCs/>
                <w:sz w:val="22"/>
                <w:szCs w:val="22"/>
                <w:vertAlign w:val="superscript"/>
                <w:lang w:val="da-DK"/>
              </w:rPr>
              <w:t>c</w:t>
            </w:r>
            <w:r w:rsidRPr="00C71195">
              <w:rPr>
                <w:iCs/>
                <w:sz w:val="22"/>
                <w:szCs w:val="22"/>
                <w:lang w:val="da-DK"/>
              </w:rPr>
              <w:t>, sanse</w:t>
            </w:r>
            <w:r w:rsidRPr="00C71195">
              <w:rPr>
                <w:iCs/>
                <w:sz w:val="22"/>
                <w:szCs w:val="22"/>
                <w:lang w:val="da-DK"/>
              </w:rPr>
              <w:softHyphen/>
              <w:t>forstyrrelser</w:t>
            </w:r>
            <w:r w:rsidRPr="00C71195">
              <w:rPr>
                <w:iCs/>
                <w:sz w:val="22"/>
                <w:szCs w:val="22"/>
                <w:vertAlign w:val="superscript"/>
                <w:lang w:val="da-DK"/>
              </w:rPr>
              <w:t>e</w:t>
            </w:r>
            <w:r w:rsidRPr="00C71195">
              <w:rPr>
                <w:iCs/>
                <w:sz w:val="22"/>
                <w:szCs w:val="22"/>
                <w:lang w:val="da-DK"/>
              </w:rPr>
              <w:t xml:space="preserve"> (inkl. hallucinationer, visuelle hallucinationer, auditive hallucinationer, illusioner), mareridt</w:t>
            </w:r>
            <w:r w:rsidRPr="00C71195">
              <w:rPr>
                <w:iCs/>
                <w:sz w:val="22"/>
                <w:szCs w:val="22"/>
                <w:vertAlign w:val="superscript"/>
                <w:lang w:val="da-DK"/>
              </w:rPr>
              <w:t>e</w:t>
            </w:r>
            <w:r w:rsidRPr="00C71195">
              <w:rPr>
                <w:iCs/>
                <w:sz w:val="22"/>
                <w:szCs w:val="22"/>
                <w:lang w:val="da-DK"/>
              </w:rPr>
              <w:t>, paranoia</w:t>
            </w:r>
            <w:r w:rsidRPr="00C71195">
              <w:rPr>
                <w:iCs/>
                <w:sz w:val="22"/>
                <w:szCs w:val="22"/>
                <w:vertAlign w:val="superscript"/>
                <w:lang w:val="da-DK"/>
              </w:rPr>
              <w:t>e</w:t>
            </w:r>
            <w:r w:rsidRPr="00C71195">
              <w:rPr>
                <w:iCs/>
                <w:sz w:val="22"/>
                <w:szCs w:val="22"/>
                <w:lang w:val="da-DK"/>
              </w:rPr>
              <w:t>, forvirring</w:t>
            </w:r>
            <w:r w:rsidRPr="00C71195">
              <w:rPr>
                <w:iCs/>
                <w:sz w:val="22"/>
                <w:szCs w:val="22"/>
                <w:vertAlign w:val="superscript"/>
                <w:lang w:val="da-DK"/>
              </w:rPr>
              <w:t>e</w:t>
            </w:r>
            <w:r w:rsidRPr="00C71195">
              <w:rPr>
                <w:iCs/>
                <w:sz w:val="22"/>
                <w:szCs w:val="22"/>
                <w:lang w:val="da-DK"/>
              </w:rPr>
              <w:t>, psykotisk lidelse</w:t>
            </w:r>
            <w:r w:rsidRPr="00C71195">
              <w:rPr>
                <w:iCs/>
                <w:sz w:val="22"/>
                <w:szCs w:val="22"/>
                <w:vertAlign w:val="superscript"/>
                <w:lang w:val="da-DK"/>
              </w:rPr>
              <w:t>e</w:t>
            </w:r>
            <w:r w:rsidRPr="00C71195">
              <w:rPr>
                <w:iCs/>
                <w:sz w:val="22"/>
                <w:szCs w:val="22"/>
                <w:lang w:val="da-DK"/>
              </w:rPr>
              <w:t>, vrang</w:t>
            </w:r>
            <w:r w:rsidRPr="00C71195">
              <w:rPr>
                <w:iCs/>
                <w:sz w:val="22"/>
                <w:szCs w:val="22"/>
                <w:lang w:val="da-DK"/>
              </w:rPr>
              <w:softHyphen/>
              <w:t>forestillinger</w:t>
            </w:r>
            <w:r w:rsidRPr="00C71195">
              <w:rPr>
                <w:iCs/>
                <w:sz w:val="22"/>
                <w:szCs w:val="22"/>
                <w:vertAlign w:val="superscript"/>
                <w:lang w:val="da-DK"/>
              </w:rPr>
              <w:t>e</w:t>
            </w:r>
            <w:r w:rsidRPr="00C71195">
              <w:rPr>
                <w:iCs/>
                <w:sz w:val="22"/>
                <w:szCs w:val="22"/>
                <w:lang w:val="da-DK"/>
              </w:rPr>
              <w:t>, delirium</w:t>
            </w:r>
            <w:r w:rsidRPr="00C71195">
              <w:rPr>
                <w:iCs/>
                <w:sz w:val="22"/>
                <w:szCs w:val="22"/>
                <w:vertAlign w:val="superscript"/>
                <w:lang w:val="da-DK"/>
              </w:rPr>
              <w:t>e</w:t>
            </w:r>
          </w:p>
        </w:tc>
      </w:tr>
      <w:tr w:rsidR="00C71195" w14:paraId="7B13B2DC"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72B588F8" w14:textId="77777777" w:rsidR="00C71195" w:rsidRDefault="00C71195">
            <w:pPr>
              <w:rPr>
                <w:b/>
                <w:iCs/>
                <w:sz w:val="22"/>
                <w:szCs w:val="22"/>
              </w:rPr>
            </w:pPr>
            <w:r>
              <w:rPr>
                <w:b/>
                <w:iCs/>
                <w:sz w:val="22"/>
                <w:szCs w:val="22"/>
              </w:rPr>
              <w:lastRenderedPageBreak/>
              <w:t>Nervesystemet</w:t>
            </w:r>
          </w:p>
        </w:tc>
        <w:tc>
          <w:tcPr>
            <w:tcW w:w="819" w:type="pct"/>
            <w:tcBorders>
              <w:top w:val="single" w:sz="4" w:space="0" w:color="auto"/>
              <w:left w:val="single" w:sz="4" w:space="0" w:color="auto"/>
              <w:bottom w:val="single" w:sz="4" w:space="0" w:color="auto"/>
              <w:right w:val="single" w:sz="4" w:space="0" w:color="auto"/>
            </w:tcBorders>
            <w:hideMark/>
          </w:tcPr>
          <w:p w14:paraId="39547D51" w14:textId="77777777" w:rsidR="00C71195" w:rsidRDefault="00C71195">
            <w:pPr>
              <w:rPr>
                <w:iCs/>
                <w:sz w:val="22"/>
                <w:szCs w:val="22"/>
              </w:rPr>
            </w:pPr>
            <w:r>
              <w:rPr>
                <w:iCs/>
                <w:sz w:val="22"/>
                <w:szCs w:val="22"/>
              </w:rPr>
              <w:t>Hovedpine</w:t>
            </w:r>
          </w:p>
        </w:tc>
        <w:tc>
          <w:tcPr>
            <w:tcW w:w="890" w:type="pct"/>
            <w:tcBorders>
              <w:top w:val="single" w:sz="4" w:space="0" w:color="auto"/>
              <w:left w:val="single" w:sz="4" w:space="0" w:color="auto"/>
              <w:bottom w:val="single" w:sz="4" w:space="0" w:color="auto"/>
              <w:right w:val="single" w:sz="4" w:space="0" w:color="auto"/>
            </w:tcBorders>
            <w:hideMark/>
          </w:tcPr>
          <w:p w14:paraId="79586390" w14:textId="77777777" w:rsidR="00C71195" w:rsidRDefault="00C71195">
            <w:pPr>
              <w:rPr>
                <w:iCs/>
                <w:sz w:val="22"/>
                <w:szCs w:val="22"/>
              </w:rPr>
            </w:pPr>
            <w:r>
              <w:rPr>
                <w:iCs/>
                <w:sz w:val="22"/>
                <w:szCs w:val="22"/>
              </w:rPr>
              <w:t>Døsighed</w:t>
            </w:r>
          </w:p>
        </w:tc>
        <w:tc>
          <w:tcPr>
            <w:tcW w:w="889" w:type="pct"/>
            <w:tcBorders>
              <w:top w:val="single" w:sz="4" w:space="0" w:color="auto"/>
              <w:left w:val="single" w:sz="4" w:space="0" w:color="auto"/>
              <w:bottom w:val="single" w:sz="4" w:space="0" w:color="auto"/>
              <w:right w:val="single" w:sz="4" w:space="0" w:color="auto"/>
            </w:tcBorders>
          </w:tcPr>
          <w:p w14:paraId="4EF09508"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hideMark/>
          </w:tcPr>
          <w:p w14:paraId="7E922859"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4822D35F" w14:textId="77777777" w:rsidR="00C71195" w:rsidRPr="00C71195" w:rsidRDefault="00C71195">
            <w:pPr>
              <w:rPr>
                <w:sz w:val="22"/>
                <w:szCs w:val="22"/>
                <w:lang w:val="da-DK"/>
              </w:rPr>
            </w:pPr>
            <w:r w:rsidRPr="00C71195">
              <w:rPr>
                <w:iCs/>
                <w:sz w:val="22"/>
                <w:szCs w:val="22"/>
                <w:lang w:val="da-DK"/>
              </w:rPr>
              <w:t>Svimmelhed</w:t>
            </w:r>
            <w:r w:rsidRPr="00C71195">
              <w:rPr>
                <w:iCs/>
                <w:sz w:val="22"/>
                <w:szCs w:val="22"/>
                <w:vertAlign w:val="superscript"/>
                <w:lang w:val="da-DK"/>
              </w:rPr>
              <w:t>e</w:t>
            </w:r>
            <w:r w:rsidRPr="00C71195">
              <w:rPr>
                <w:iCs/>
                <w:sz w:val="22"/>
                <w:szCs w:val="22"/>
                <w:lang w:val="da-DK"/>
              </w:rPr>
              <w:t>, bevidsthedsforstyrrelser NEC</w:t>
            </w:r>
            <w:r w:rsidRPr="00C71195">
              <w:rPr>
                <w:iCs/>
                <w:sz w:val="22"/>
                <w:szCs w:val="22"/>
                <w:vertAlign w:val="superscript"/>
                <w:lang w:val="da-DK"/>
              </w:rPr>
              <w:t>e</w:t>
            </w:r>
            <w:r w:rsidRPr="00C71195">
              <w:rPr>
                <w:iCs/>
                <w:sz w:val="22"/>
                <w:szCs w:val="22"/>
                <w:lang w:val="da-DK"/>
              </w:rPr>
              <w:t xml:space="preserve"> (inkl. synkope, vasogal synkope, tab af bevidsthed), dyskinesi</w:t>
            </w:r>
            <w:r w:rsidRPr="00C71195">
              <w:rPr>
                <w:iCs/>
                <w:sz w:val="22"/>
                <w:szCs w:val="22"/>
                <w:vertAlign w:val="superscript"/>
                <w:lang w:val="da-DK"/>
              </w:rPr>
              <w:t>e</w:t>
            </w:r>
            <w:r w:rsidRPr="00C71195">
              <w:rPr>
                <w:iCs/>
                <w:sz w:val="22"/>
                <w:szCs w:val="22"/>
                <w:lang w:val="da-DK"/>
              </w:rPr>
              <w:t>, postural svimmelhed</w:t>
            </w:r>
            <w:r w:rsidRPr="00C71195">
              <w:rPr>
                <w:iCs/>
                <w:sz w:val="22"/>
                <w:szCs w:val="22"/>
                <w:vertAlign w:val="superscript"/>
                <w:lang w:val="da-DK"/>
              </w:rPr>
              <w:t>e</w:t>
            </w:r>
            <w:r w:rsidRPr="00C71195">
              <w:rPr>
                <w:iCs/>
                <w:sz w:val="22"/>
                <w:szCs w:val="22"/>
                <w:lang w:val="da-DK"/>
              </w:rPr>
              <w:t>, letargi</w:t>
            </w:r>
            <w:r w:rsidRPr="00C71195">
              <w:rPr>
                <w:iCs/>
                <w:sz w:val="22"/>
                <w:szCs w:val="22"/>
                <w:vertAlign w:val="superscript"/>
                <w:lang w:val="da-DK"/>
              </w:rPr>
              <w:t>e</w:t>
            </w:r>
            <w:r w:rsidRPr="00C71195">
              <w:rPr>
                <w:iCs/>
                <w:sz w:val="22"/>
                <w:szCs w:val="22"/>
                <w:lang w:val="da-DK"/>
              </w:rPr>
              <w:t>, krampe</w:t>
            </w:r>
            <w:r w:rsidRPr="00C71195">
              <w:rPr>
                <w:iCs/>
                <w:sz w:val="22"/>
                <w:szCs w:val="22"/>
                <w:vertAlign w:val="superscript"/>
                <w:lang w:val="da-DK"/>
              </w:rPr>
              <w:t>e</w:t>
            </w:r>
          </w:p>
        </w:tc>
      </w:tr>
      <w:tr w:rsidR="00C71195" w14:paraId="2537705E"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3DC18979" w14:textId="77777777" w:rsidR="00C71195" w:rsidRDefault="00C71195">
            <w:pPr>
              <w:rPr>
                <w:b/>
                <w:iCs/>
                <w:sz w:val="22"/>
                <w:szCs w:val="22"/>
              </w:rPr>
            </w:pPr>
            <w:r>
              <w:rPr>
                <w:b/>
                <w:iCs/>
                <w:sz w:val="22"/>
                <w:szCs w:val="22"/>
              </w:rPr>
              <w:t>Øjne</w:t>
            </w:r>
          </w:p>
        </w:tc>
        <w:tc>
          <w:tcPr>
            <w:tcW w:w="819" w:type="pct"/>
            <w:tcBorders>
              <w:top w:val="single" w:sz="4" w:space="0" w:color="auto"/>
              <w:left w:val="single" w:sz="4" w:space="0" w:color="auto"/>
              <w:bottom w:val="single" w:sz="4" w:space="0" w:color="auto"/>
              <w:right w:val="single" w:sz="4" w:space="0" w:color="auto"/>
            </w:tcBorders>
          </w:tcPr>
          <w:p w14:paraId="44C3C1FF"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tcPr>
          <w:p w14:paraId="24F621B7" w14:textId="77777777" w:rsidR="00C71195" w:rsidRDefault="00C71195">
            <w:pPr>
              <w:rPr>
                <w:iCs/>
                <w:sz w:val="22"/>
                <w:szCs w:val="22"/>
              </w:rPr>
            </w:pPr>
          </w:p>
        </w:tc>
        <w:tc>
          <w:tcPr>
            <w:tcW w:w="889" w:type="pct"/>
            <w:tcBorders>
              <w:top w:val="single" w:sz="4" w:space="0" w:color="auto"/>
              <w:left w:val="single" w:sz="4" w:space="0" w:color="auto"/>
              <w:bottom w:val="single" w:sz="4" w:space="0" w:color="auto"/>
              <w:right w:val="single" w:sz="4" w:space="0" w:color="auto"/>
            </w:tcBorders>
            <w:hideMark/>
          </w:tcPr>
          <w:p w14:paraId="1178274D"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tcPr>
          <w:p w14:paraId="498862D4"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10443F27" w14:textId="77777777" w:rsidR="00C71195" w:rsidRPr="00C71195" w:rsidRDefault="00C71195">
            <w:pPr>
              <w:rPr>
                <w:iCs/>
                <w:sz w:val="22"/>
                <w:szCs w:val="22"/>
                <w:vertAlign w:val="superscript"/>
                <w:lang w:val="da-DK"/>
              </w:rPr>
            </w:pPr>
            <w:r w:rsidRPr="00C71195">
              <w:rPr>
                <w:iCs/>
                <w:sz w:val="22"/>
                <w:szCs w:val="22"/>
                <w:lang w:val="da-DK"/>
              </w:rPr>
              <w:t>Sløret syn</w:t>
            </w:r>
            <w:r w:rsidRPr="00C71195">
              <w:rPr>
                <w:iCs/>
                <w:sz w:val="22"/>
                <w:szCs w:val="22"/>
                <w:vertAlign w:val="superscript"/>
                <w:lang w:val="da-DK"/>
              </w:rPr>
              <w:t>e</w:t>
            </w:r>
            <w:r w:rsidRPr="00C71195">
              <w:rPr>
                <w:iCs/>
                <w:sz w:val="22"/>
                <w:szCs w:val="22"/>
                <w:lang w:val="da-DK"/>
              </w:rPr>
              <w:t>, nedsat syn</w:t>
            </w:r>
            <w:r w:rsidRPr="00C71195">
              <w:rPr>
                <w:iCs/>
                <w:sz w:val="22"/>
                <w:szCs w:val="22"/>
                <w:vertAlign w:val="superscript"/>
                <w:lang w:val="da-DK"/>
              </w:rPr>
              <w:t>e</w:t>
            </w:r>
            <w:r w:rsidRPr="00C71195">
              <w:rPr>
                <w:iCs/>
                <w:sz w:val="22"/>
                <w:szCs w:val="22"/>
                <w:lang w:val="da-DK"/>
              </w:rPr>
              <w:t>, fotopsi</w:t>
            </w:r>
            <w:r w:rsidRPr="00C71195">
              <w:rPr>
                <w:iCs/>
                <w:sz w:val="22"/>
                <w:szCs w:val="22"/>
                <w:vertAlign w:val="superscript"/>
                <w:lang w:val="da-DK"/>
              </w:rPr>
              <w:t>e</w:t>
            </w:r>
          </w:p>
        </w:tc>
      </w:tr>
      <w:tr w:rsidR="00C71195" w14:paraId="0089B52D"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5ADE9EA3" w14:textId="77777777" w:rsidR="00C71195" w:rsidRDefault="00C71195">
            <w:pPr>
              <w:rPr>
                <w:b/>
                <w:iCs/>
                <w:sz w:val="22"/>
                <w:szCs w:val="22"/>
              </w:rPr>
            </w:pPr>
            <w:r>
              <w:rPr>
                <w:b/>
                <w:iCs/>
                <w:sz w:val="22"/>
                <w:szCs w:val="22"/>
              </w:rPr>
              <w:t>Øre og labyrint</w:t>
            </w:r>
          </w:p>
        </w:tc>
        <w:tc>
          <w:tcPr>
            <w:tcW w:w="819" w:type="pct"/>
            <w:tcBorders>
              <w:top w:val="single" w:sz="4" w:space="0" w:color="auto"/>
              <w:left w:val="single" w:sz="4" w:space="0" w:color="auto"/>
              <w:bottom w:val="single" w:sz="4" w:space="0" w:color="auto"/>
              <w:right w:val="single" w:sz="4" w:space="0" w:color="auto"/>
            </w:tcBorders>
          </w:tcPr>
          <w:p w14:paraId="2978C0E9"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hideMark/>
          </w:tcPr>
          <w:p w14:paraId="188D817D" w14:textId="77777777" w:rsidR="00C71195" w:rsidRDefault="00C71195">
            <w:pPr>
              <w:rPr>
                <w:iCs/>
                <w:sz w:val="22"/>
                <w:szCs w:val="22"/>
              </w:rPr>
            </w:pPr>
          </w:p>
        </w:tc>
        <w:tc>
          <w:tcPr>
            <w:tcW w:w="889" w:type="pct"/>
            <w:tcBorders>
              <w:top w:val="single" w:sz="4" w:space="0" w:color="auto"/>
              <w:left w:val="single" w:sz="4" w:space="0" w:color="auto"/>
              <w:bottom w:val="single" w:sz="4" w:space="0" w:color="auto"/>
              <w:right w:val="single" w:sz="4" w:space="0" w:color="auto"/>
            </w:tcBorders>
          </w:tcPr>
          <w:p w14:paraId="07AD5FE5"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tcPr>
          <w:p w14:paraId="2144929C"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5EB929E9" w14:textId="77777777" w:rsidR="00C71195" w:rsidRDefault="00C71195">
            <w:pPr>
              <w:rPr>
                <w:iCs/>
                <w:sz w:val="22"/>
                <w:szCs w:val="22"/>
                <w:vertAlign w:val="superscript"/>
              </w:rPr>
            </w:pPr>
            <w:r>
              <w:rPr>
                <w:iCs/>
                <w:sz w:val="22"/>
                <w:szCs w:val="22"/>
              </w:rPr>
              <w:t>Vertigo</w:t>
            </w:r>
            <w:r>
              <w:rPr>
                <w:iCs/>
                <w:sz w:val="22"/>
                <w:szCs w:val="22"/>
                <w:vertAlign w:val="superscript"/>
              </w:rPr>
              <w:t>e</w:t>
            </w:r>
          </w:p>
        </w:tc>
      </w:tr>
      <w:tr w:rsidR="00C71195" w14:paraId="3182C03E"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3DF8378B" w14:textId="77777777" w:rsidR="00C71195" w:rsidRDefault="00C71195">
            <w:pPr>
              <w:rPr>
                <w:b/>
                <w:iCs/>
                <w:sz w:val="22"/>
                <w:szCs w:val="22"/>
              </w:rPr>
            </w:pPr>
            <w:r>
              <w:rPr>
                <w:b/>
                <w:iCs/>
                <w:sz w:val="22"/>
                <w:szCs w:val="22"/>
              </w:rPr>
              <w:t>Hjerte</w:t>
            </w:r>
          </w:p>
        </w:tc>
        <w:tc>
          <w:tcPr>
            <w:tcW w:w="819" w:type="pct"/>
            <w:tcBorders>
              <w:top w:val="single" w:sz="4" w:space="0" w:color="auto"/>
              <w:left w:val="single" w:sz="4" w:space="0" w:color="auto"/>
              <w:bottom w:val="single" w:sz="4" w:space="0" w:color="auto"/>
              <w:right w:val="single" w:sz="4" w:space="0" w:color="auto"/>
            </w:tcBorders>
          </w:tcPr>
          <w:p w14:paraId="7677B22D"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tcPr>
          <w:p w14:paraId="68FB561E" w14:textId="77777777" w:rsidR="00C71195" w:rsidRDefault="00C71195">
            <w:pPr>
              <w:rPr>
                <w:iCs/>
                <w:sz w:val="22"/>
                <w:szCs w:val="22"/>
              </w:rPr>
            </w:pPr>
          </w:p>
        </w:tc>
        <w:tc>
          <w:tcPr>
            <w:tcW w:w="889" w:type="pct"/>
            <w:tcBorders>
              <w:top w:val="single" w:sz="4" w:space="0" w:color="auto"/>
              <w:left w:val="single" w:sz="4" w:space="0" w:color="auto"/>
              <w:bottom w:val="single" w:sz="4" w:space="0" w:color="auto"/>
              <w:right w:val="single" w:sz="4" w:space="0" w:color="auto"/>
            </w:tcBorders>
          </w:tcPr>
          <w:p w14:paraId="0D239AC9"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tcPr>
          <w:p w14:paraId="29F5DB5A"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57ECC65D" w14:textId="77777777" w:rsidR="00C71195" w:rsidRDefault="00C71195">
            <w:pPr>
              <w:rPr>
                <w:iCs/>
                <w:sz w:val="22"/>
                <w:szCs w:val="22"/>
              </w:rPr>
            </w:pPr>
            <w:r>
              <w:rPr>
                <w:iCs/>
                <w:sz w:val="22"/>
                <w:szCs w:val="22"/>
              </w:rPr>
              <w:t>Palpitationer</w:t>
            </w:r>
            <w:r>
              <w:rPr>
                <w:iCs/>
                <w:sz w:val="22"/>
                <w:szCs w:val="22"/>
                <w:vertAlign w:val="superscript"/>
              </w:rPr>
              <w:t>e</w:t>
            </w:r>
            <w:r>
              <w:rPr>
                <w:iCs/>
                <w:sz w:val="22"/>
                <w:szCs w:val="22"/>
              </w:rPr>
              <w:t>, atriefibrillation</w:t>
            </w:r>
            <w:r>
              <w:rPr>
                <w:iCs/>
                <w:sz w:val="22"/>
                <w:szCs w:val="22"/>
                <w:vertAlign w:val="superscript"/>
              </w:rPr>
              <w:t>e</w:t>
            </w:r>
            <w:r>
              <w:rPr>
                <w:iCs/>
                <w:sz w:val="22"/>
                <w:szCs w:val="22"/>
              </w:rPr>
              <w:t>, supra</w:t>
            </w:r>
            <w:r>
              <w:rPr>
                <w:iCs/>
                <w:sz w:val="22"/>
                <w:szCs w:val="22"/>
              </w:rPr>
              <w:softHyphen/>
              <w:t>ventrikulær takykardi</w:t>
            </w:r>
            <w:r>
              <w:rPr>
                <w:iCs/>
                <w:sz w:val="22"/>
                <w:szCs w:val="22"/>
                <w:vertAlign w:val="superscript"/>
              </w:rPr>
              <w:t>e</w:t>
            </w:r>
          </w:p>
        </w:tc>
      </w:tr>
      <w:tr w:rsidR="00C71195" w14:paraId="409F5097"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0015D7EE" w14:textId="77777777" w:rsidR="00C71195" w:rsidRDefault="00C71195">
            <w:pPr>
              <w:rPr>
                <w:b/>
                <w:iCs/>
                <w:sz w:val="22"/>
                <w:szCs w:val="22"/>
              </w:rPr>
            </w:pPr>
            <w:r>
              <w:rPr>
                <w:b/>
                <w:iCs/>
                <w:sz w:val="22"/>
                <w:szCs w:val="22"/>
              </w:rPr>
              <w:t>Vaskulære sygdomme</w:t>
            </w:r>
          </w:p>
        </w:tc>
        <w:tc>
          <w:tcPr>
            <w:tcW w:w="819" w:type="pct"/>
            <w:tcBorders>
              <w:top w:val="single" w:sz="4" w:space="0" w:color="auto"/>
              <w:left w:val="single" w:sz="4" w:space="0" w:color="auto"/>
              <w:bottom w:val="single" w:sz="4" w:space="0" w:color="auto"/>
              <w:right w:val="single" w:sz="4" w:space="0" w:color="auto"/>
            </w:tcBorders>
          </w:tcPr>
          <w:p w14:paraId="61096AEC"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hideMark/>
          </w:tcPr>
          <w:p w14:paraId="4157D90B" w14:textId="77777777" w:rsidR="00C71195" w:rsidRDefault="00C71195">
            <w:pPr>
              <w:rPr>
                <w:iCs/>
                <w:sz w:val="22"/>
                <w:szCs w:val="22"/>
              </w:rPr>
            </w:pPr>
            <w:r>
              <w:rPr>
                <w:iCs/>
                <w:sz w:val="22"/>
                <w:szCs w:val="22"/>
              </w:rPr>
              <w:t>Hypertension</w:t>
            </w:r>
          </w:p>
        </w:tc>
        <w:tc>
          <w:tcPr>
            <w:tcW w:w="889" w:type="pct"/>
            <w:tcBorders>
              <w:top w:val="single" w:sz="4" w:space="0" w:color="auto"/>
              <w:left w:val="single" w:sz="4" w:space="0" w:color="auto"/>
              <w:bottom w:val="single" w:sz="4" w:space="0" w:color="auto"/>
              <w:right w:val="single" w:sz="4" w:space="0" w:color="auto"/>
            </w:tcBorders>
            <w:hideMark/>
          </w:tcPr>
          <w:p w14:paraId="622E6564" w14:textId="77777777" w:rsidR="00C71195" w:rsidRDefault="00C71195">
            <w:pPr>
              <w:rPr>
                <w:iCs/>
                <w:sz w:val="22"/>
                <w:szCs w:val="22"/>
              </w:rPr>
            </w:pPr>
            <w:r>
              <w:rPr>
                <w:iCs/>
                <w:sz w:val="22"/>
                <w:szCs w:val="22"/>
              </w:rPr>
              <w:t>Ortostatisk hypotension</w:t>
            </w:r>
          </w:p>
        </w:tc>
        <w:tc>
          <w:tcPr>
            <w:tcW w:w="716" w:type="pct"/>
            <w:tcBorders>
              <w:top w:val="single" w:sz="4" w:space="0" w:color="auto"/>
              <w:left w:val="single" w:sz="4" w:space="0" w:color="auto"/>
              <w:bottom w:val="single" w:sz="4" w:space="0" w:color="auto"/>
              <w:right w:val="single" w:sz="4" w:space="0" w:color="auto"/>
            </w:tcBorders>
          </w:tcPr>
          <w:p w14:paraId="28F4AAD6"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4D4A90BC" w14:textId="77777777" w:rsidR="00C71195" w:rsidRDefault="00C71195">
            <w:pPr>
              <w:rPr>
                <w:iCs/>
                <w:sz w:val="22"/>
                <w:szCs w:val="22"/>
              </w:rPr>
            </w:pPr>
            <w:r>
              <w:rPr>
                <w:iCs/>
                <w:sz w:val="22"/>
                <w:szCs w:val="22"/>
              </w:rPr>
              <w:t>Hypotension</w:t>
            </w:r>
            <w:r>
              <w:rPr>
                <w:iCs/>
                <w:sz w:val="22"/>
                <w:szCs w:val="22"/>
                <w:vertAlign w:val="superscript"/>
              </w:rPr>
              <w:t>e</w:t>
            </w:r>
          </w:p>
        </w:tc>
      </w:tr>
      <w:tr w:rsidR="00C71195" w14:paraId="4C8F0EF8"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3AE397F5" w14:textId="77777777" w:rsidR="00C71195" w:rsidRDefault="00C71195">
            <w:pPr>
              <w:rPr>
                <w:b/>
                <w:iCs/>
                <w:sz w:val="22"/>
                <w:szCs w:val="22"/>
              </w:rPr>
            </w:pPr>
            <w:r>
              <w:rPr>
                <w:b/>
                <w:iCs/>
                <w:sz w:val="22"/>
                <w:szCs w:val="22"/>
              </w:rPr>
              <w:t>Luftveje, thorax og mediastinum</w:t>
            </w:r>
          </w:p>
        </w:tc>
        <w:tc>
          <w:tcPr>
            <w:tcW w:w="819" w:type="pct"/>
            <w:tcBorders>
              <w:top w:val="single" w:sz="4" w:space="0" w:color="auto"/>
              <w:left w:val="single" w:sz="4" w:space="0" w:color="auto"/>
              <w:bottom w:val="single" w:sz="4" w:space="0" w:color="auto"/>
              <w:right w:val="single" w:sz="4" w:space="0" w:color="auto"/>
            </w:tcBorders>
          </w:tcPr>
          <w:p w14:paraId="48496972"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hideMark/>
          </w:tcPr>
          <w:p w14:paraId="435F1347" w14:textId="77777777" w:rsidR="00C71195" w:rsidRDefault="00C71195">
            <w:pPr>
              <w:rPr>
                <w:iCs/>
                <w:sz w:val="22"/>
                <w:szCs w:val="22"/>
              </w:rPr>
            </w:pPr>
          </w:p>
        </w:tc>
        <w:tc>
          <w:tcPr>
            <w:tcW w:w="889" w:type="pct"/>
            <w:tcBorders>
              <w:top w:val="single" w:sz="4" w:space="0" w:color="auto"/>
              <w:left w:val="single" w:sz="4" w:space="0" w:color="auto"/>
              <w:bottom w:val="single" w:sz="4" w:space="0" w:color="auto"/>
              <w:right w:val="single" w:sz="4" w:space="0" w:color="auto"/>
            </w:tcBorders>
          </w:tcPr>
          <w:p w14:paraId="317374F8"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tcPr>
          <w:p w14:paraId="355B1055"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018E563D" w14:textId="77777777" w:rsidR="00C71195" w:rsidRDefault="00C71195">
            <w:pPr>
              <w:rPr>
                <w:iCs/>
                <w:sz w:val="22"/>
                <w:szCs w:val="22"/>
                <w:vertAlign w:val="superscript"/>
              </w:rPr>
            </w:pPr>
            <w:r>
              <w:rPr>
                <w:iCs/>
                <w:sz w:val="22"/>
                <w:szCs w:val="22"/>
              </w:rPr>
              <w:t>Hikke</w:t>
            </w:r>
            <w:r>
              <w:rPr>
                <w:iCs/>
                <w:sz w:val="22"/>
                <w:szCs w:val="22"/>
                <w:vertAlign w:val="superscript"/>
              </w:rPr>
              <w:t>e</w:t>
            </w:r>
          </w:p>
        </w:tc>
      </w:tr>
      <w:tr w:rsidR="00C71195" w14:paraId="50CB8932"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273E0B66" w14:textId="77777777" w:rsidR="00C71195" w:rsidRDefault="00C71195">
            <w:pPr>
              <w:rPr>
                <w:b/>
                <w:iCs/>
                <w:sz w:val="22"/>
                <w:szCs w:val="22"/>
              </w:rPr>
            </w:pPr>
            <w:r>
              <w:rPr>
                <w:b/>
                <w:iCs/>
                <w:sz w:val="22"/>
                <w:szCs w:val="22"/>
              </w:rPr>
              <w:t>Mave-tarm-kanalen</w:t>
            </w:r>
          </w:p>
        </w:tc>
        <w:tc>
          <w:tcPr>
            <w:tcW w:w="819" w:type="pct"/>
            <w:tcBorders>
              <w:top w:val="single" w:sz="4" w:space="0" w:color="auto"/>
              <w:left w:val="single" w:sz="4" w:space="0" w:color="auto"/>
              <w:bottom w:val="single" w:sz="4" w:space="0" w:color="auto"/>
              <w:right w:val="single" w:sz="4" w:space="0" w:color="auto"/>
            </w:tcBorders>
            <w:hideMark/>
          </w:tcPr>
          <w:p w14:paraId="12481C0D" w14:textId="77777777" w:rsidR="00C71195" w:rsidRDefault="00C71195">
            <w:pPr>
              <w:rPr>
                <w:iCs/>
                <w:sz w:val="22"/>
                <w:szCs w:val="22"/>
              </w:rPr>
            </w:pPr>
            <w:r>
              <w:rPr>
                <w:iCs/>
                <w:sz w:val="22"/>
                <w:szCs w:val="22"/>
              </w:rPr>
              <w:t>Kvalme</w:t>
            </w:r>
          </w:p>
        </w:tc>
        <w:tc>
          <w:tcPr>
            <w:tcW w:w="890" w:type="pct"/>
            <w:tcBorders>
              <w:top w:val="single" w:sz="4" w:space="0" w:color="auto"/>
              <w:left w:val="single" w:sz="4" w:space="0" w:color="auto"/>
              <w:bottom w:val="single" w:sz="4" w:space="0" w:color="auto"/>
              <w:right w:val="single" w:sz="4" w:space="0" w:color="auto"/>
            </w:tcBorders>
            <w:hideMark/>
          </w:tcPr>
          <w:p w14:paraId="7368E9F3" w14:textId="77777777" w:rsidR="00C71195" w:rsidRDefault="00C71195">
            <w:pPr>
              <w:rPr>
                <w:iCs/>
                <w:sz w:val="22"/>
                <w:szCs w:val="22"/>
              </w:rPr>
            </w:pPr>
            <w:r>
              <w:rPr>
                <w:iCs/>
                <w:sz w:val="22"/>
                <w:szCs w:val="22"/>
              </w:rPr>
              <w:t>Opkastning, dyspepsi</w:t>
            </w:r>
          </w:p>
        </w:tc>
        <w:tc>
          <w:tcPr>
            <w:tcW w:w="889" w:type="pct"/>
            <w:tcBorders>
              <w:top w:val="single" w:sz="4" w:space="0" w:color="auto"/>
              <w:left w:val="single" w:sz="4" w:space="0" w:color="auto"/>
              <w:bottom w:val="single" w:sz="4" w:space="0" w:color="auto"/>
              <w:right w:val="single" w:sz="4" w:space="0" w:color="auto"/>
            </w:tcBorders>
            <w:hideMark/>
          </w:tcPr>
          <w:p w14:paraId="1AE3F735"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tcPr>
          <w:p w14:paraId="368F5D55"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34FC5EBF" w14:textId="77777777" w:rsidR="00C71195" w:rsidRDefault="00C71195">
            <w:pPr>
              <w:rPr>
                <w:iCs/>
                <w:sz w:val="22"/>
                <w:szCs w:val="22"/>
              </w:rPr>
            </w:pPr>
            <w:r>
              <w:rPr>
                <w:iCs/>
                <w:sz w:val="22"/>
                <w:szCs w:val="22"/>
              </w:rPr>
              <w:t>Forstoppelse</w:t>
            </w:r>
            <w:r>
              <w:rPr>
                <w:iCs/>
                <w:sz w:val="22"/>
                <w:szCs w:val="22"/>
                <w:vertAlign w:val="superscript"/>
              </w:rPr>
              <w:t>e</w:t>
            </w:r>
            <w:r>
              <w:rPr>
                <w:iCs/>
                <w:sz w:val="22"/>
                <w:szCs w:val="22"/>
              </w:rPr>
              <w:t>, mundtørhed</w:t>
            </w:r>
            <w:r>
              <w:rPr>
                <w:iCs/>
                <w:sz w:val="22"/>
                <w:szCs w:val="22"/>
                <w:vertAlign w:val="superscript"/>
              </w:rPr>
              <w:t>e</w:t>
            </w:r>
            <w:r>
              <w:rPr>
                <w:iCs/>
                <w:sz w:val="22"/>
                <w:szCs w:val="22"/>
              </w:rPr>
              <w:t>, abdominal</w:t>
            </w:r>
            <w:r>
              <w:rPr>
                <w:iCs/>
                <w:sz w:val="22"/>
                <w:szCs w:val="22"/>
              </w:rPr>
              <w:softHyphen/>
              <w:t>smerter</w:t>
            </w:r>
            <w:r>
              <w:rPr>
                <w:iCs/>
                <w:sz w:val="22"/>
                <w:szCs w:val="22"/>
                <w:vertAlign w:val="superscript"/>
              </w:rPr>
              <w:t>e</w:t>
            </w:r>
            <w:r>
              <w:rPr>
                <w:iCs/>
                <w:sz w:val="22"/>
                <w:szCs w:val="22"/>
              </w:rPr>
              <w:t>, diarré</w:t>
            </w:r>
            <w:r>
              <w:rPr>
                <w:iCs/>
                <w:sz w:val="22"/>
                <w:szCs w:val="22"/>
                <w:vertAlign w:val="superscript"/>
              </w:rPr>
              <w:t>c</w:t>
            </w:r>
          </w:p>
        </w:tc>
      </w:tr>
      <w:tr w:rsidR="00C71195" w14:paraId="03C68BC7"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2B5B2BC4" w14:textId="77777777" w:rsidR="00C71195" w:rsidRDefault="00C71195">
            <w:pPr>
              <w:rPr>
                <w:b/>
                <w:iCs/>
                <w:sz w:val="22"/>
                <w:szCs w:val="22"/>
              </w:rPr>
            </w:pPr>
            <w:r>
              <w:rPr>
                <w:b/>
                <w:iCs/>
                <w:sz w:val="22"/>
                <w:szCs w:val="22"/>
              </w:rPr>
              <w:t>Hud og subkutane væv</w:t>
            </w:r>
          </w:p>
        </w:tc>
        <w:tc>
          <w:tcPr>
            <w:tcW w:w="819" w:type="pct"/>
            <w:tcBorders>
              <w:top w:val="single" w:sz="4" w:space="0" w:color="auto"/>
              <w:left w:val="single" w:sz="4" w:space="0" w:color="auto"/>
              <w:bottom w:val="single" w:sz="4" w:space="0" w:color="auto"/>
              <w:right w:val="single" w:sz="4" w:space="0" w:color="auto"/>
            </w:tcBorders>
          </w:tcPr>
          <w:p w14:paraId="63AAC78E"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hideMark/>
          </w:tcPr>
          <w:p w14:paraId="29B68C1F" w14:textId="77777777" w:rsidR="00C71195" w:rsidRDefault="00C71195">
            <w:pPr>
              <w:rPr>
                <w:iCs/>
                <w:sz w:val="22"/>
                <w:szCs w:val="22"/>
              </w:rPr>
            </w:pPr>
            <w:r>
              <w:rPr>
                <w:iCs/>
                <w:sz w:val="22"/>
                <w:szCs w:val="22"/>
              </w:rPr>
              <w:t>Pruritus</w:t>
            </w:r>
          </w:p>
        </w:tc>
        <w:tc>
          <w:tcPr>
            <w:tcW w:w="889" w:type="pct"/>
            <w:tcBorders>
              <w:top w:val="single" w:sz="4" w:space="0" w:color="auto"/>
              <w:left w:val="single" w:sz="4" w:space="0" w:color="auto"/>
              <w:bottom w:val="single" w:sz="4" w:space="0" w:color="auto"/>
              <w:right w:val="single" w:sz="4" w:space="0" w:color="auto"/>
            </w:tcBorders>
            <w:hideMark/>
          </w:tcPr>
          <w:p w14:paraId="5B2A4C90"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hideMark/>
          </w:tcPr>
          <w:p w14:paraId="00C81F36" w14:textId="77777777" w:rsidR="00C71195" w:rsidRDefault="00C71195">
            <w:pPr>
              <w:rPr>
                <w:sz w:val="20"/>
                <w:lang w:val="da-DK" w:eastAsia="da-DK"/>
              </w:rPr>
            </w:pPr>
          </w:p>
        </w:tc>
        <w:tc>
          <w:tcPr>
            <w:tcW w:w="868" w:type="pct"/>
            <w:tcBorders>
              <w:top w:val="single" w:sz="4" w:space="0" w:color="auto"/>
              <w:left w:val="single" w:sz="4" w:space="0" w:color="auto"/>
              <w:bottom w:val="single" w:sz="4" w:space="0" w:color="auto"/>
              <w:right w:val="single" w:sz="4" w:space="0" w:color="auto"/>
            </w:tcBorders>
            <w:hideMark/>
          </w:tcPr>
          <w:p w14:paraId="18620781" w14:textId="77777777" w:rsidR="00C71195" w:rsidRPr="00C71195" w:rsidRDefault="00C71195">
            <w:pPr>
              <w:rPr>
                <w:iCs/>
                <w:sz w:val="22"/>
                <w:szCs w:val="22"/>
                <w:vertAlign w:val="superscript"/>
                <w:lang w:val="da-DK"/>
              </w:rPr>
            </w:pPr>
            <w:r w:rsidRPr="00C71195">
              <w:rPr>
                <w:iCs/>
                <w:sz w:val="22"/>
                <w:szCs w:val="22"/>
                <w:lang w:val="da-DK"/>
              </w:rPr>
              <w:t>Erythem</w:t>
            </w:r>
            <w:r w:rsidRPr="00C71195">
              <w:rPr>
                <w:iCs/>
                <w:sz w:val="22"/>
                <w:szCs w:val="22"/>
                <w:vertAlign w:val="superscript"/>
                <w:lang w:val="da-DK"/>
              </w:rPr>
              <w:t>e</w:t>
            </w:r>
            <w:r w:rsidRPr="00C71195">
              <w:rPr>
                <w:iCs/>
                <w:sz w:val="22"/>
                <w:szCs w:val="22"/>
                <w:lang w:val="da-DK"/>
              </w:rPr>
              <w:t>, hyperhidrose</w:t>
            </w:r>
            <w:r w:rsidRPr="00C71195">
              <w:rPr>
                <w:iCs/>
                <w:sz w:val="22"/>
                <w:szCs w:val="22"/>
                <w:vertAlign w:val="superscript"/>
                <w:lang w:val="da-DK"/>
              </w:rPr>
              <w:t>e</w:t>
            </w:r>
            <w:r w:rsidRPr="00C71195">
              <w:rPr>
                <w:iCs/>
                <w:sz w:val="22"/>
                <w:szCs w:val="22"/>
                <w:lang w:val="da-DK"/>
              </w:rPr>
              <w:t>, generaliseret pruritus</w:t>
            </w:r>
            <w:r w:rsidRPr="00C71195">
              <w:rPr>
                <w:iCs/>
                <w:sz w:val="22"/>
                <w:szCs w:val="22"/>
                <w:vertAlign w:val="superscript"/>
                <w:lang w:val="da-DK"/>
              </w:rPr>
              <w:t>e</w:t>
            </w:r>
            <w:r w:rsidRPr="00C71195">
              <w:rPr>
                <w:iCs/>
                <w:sz w:val="22"/>
                <w:szCs w:val="22"/>
                <w:lang w:val="da-DK"/>
              </w:rPr>
              <w:t>, hudirritation</w:t>
            </w:r>
            <w:r w:rsidRPr="00C71195">
              <w:rPr>
                <w:iCs/>
                <w:sz w:val="22"/>
                <w:szCs w:val="22"/>
                <w:vertAlign w:val="superscript"/>
                <w:lang w:val="da-DK"/>
              </w:rPr>
              <w:t>e</w:t>
            </w:r>
            <w:r w:rsidRPr="00C71195">
              <w:rPr>
                <w:iCs/>
                <w:sz w:val="22"/>
                <w:szCs w:val="22"/>
                <w:lang w:val="da-DK"/>
              </w:rPr>
              <w:t>, kontaktdermatitis</w:t>
            </w:r>
            <w:r w:rsidRPr="00C71195">
              <w:rPr>
                <w:iCs/>
                <w:sz w:val="22"/>
                <w:szCs w:val="22"/>
                <w:vertAlign w:val="superscript"/>
                <w:lang w:val="da-DK"/>
              </w:rPr>
              <w:t>e</w:t>
            </w:r>
            <w:r w:rsidRPr="00C71195">
              <w:rPr>
                <w:iCs/>
                <w:sz w:val="22"/>
                <w:szCs w:val="22"/>
                <w:lang w:val="da-DK"/>
              </w:rPr>
              <w:t>, generaliseret udslæt</w:t>
            </w:r>
            <w:r w:rsidRPr="00C71195">
              <w:rPr>
                <w:iCs/>
                <w:sz w:val="22"/>
                <w:szCs w:val="22"/>
                <w:vertAlign w:val="superscript"/>
                <w:lang w:val="da-DK"/>
              </w:rPr>
              <w:t>e</w:t>
            </w:r>
          </w:p>
        </w:tc>
      </w:tr>
      <w:tr w:rsidR="00C71195" w14:paraId="3E476693"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72ECFAD7" w14:textId="77777777" w:rsidR="00C71195" w:rsidRPr="00C71195" w:rsidRDefault="00C71195">
            <w:pPr>
              <w:rPr>
                <w:b/>
                <w:iCs/>
                <w:sz w:val="22"/>
                <w:szCs w:val="22"/>
                <w:lang w:val="da-DK"/>
              </w:rPr>
            </w:pPr>
            <w:r w:rsidRPr="00C71195">
              <w:rPr>
                <w:b/>
                <w:iCs/>
                <w:sz w:val="22"/>
                <w:szCs w:val="22"/>
                <w:lang w:val="da-DK"/>
              </w:rPr>
              <w:t>Det reproduktive system og mammae</w:t>
            </w:r>
          </w:p>
        </w:tc>
        <w:tc>
          <w:tcPr>
            <w:tcW w:w="819" w:type="pct"/>
            <w:tcBorders>
              <w:top w:val="single" w:sz="4" w:space="0" w:color="auto"/>
              <w:left w:val="single" w:sz="4" w:space="0" w:color="auto"/>
              <w:bottom w:val="single" w:sz="4" w:space="0" w:color="auto"/>
              <w:right w:val="single" w:sz="4" w:space="0" w:color="auto"/>
            </w:tcBorders>
          </w:tcPr>
          <w:p w14:paraId="085FEC61" w14:textId="77777777" w:rsidR="00C71195" w:rsidRPr="00C71195" w:rsidRDefault="00C71195">
            <w:pPr>
              <w:rPr>
                <w:iCs/>
                <w:sz w:val="22"/>
                <w:szCs w:val="22"/>
                <w:lang w:val="da-DK"/>
              </w:rPr>
            </w:pPr>
          </w:p>
        </w:tc>
        <w:tc>
          <w:tcPr>
            <w:tcW w:w="890" w:type="pct"/>
            <w:tcBorders>
              <w:top w:val="single" w:sz="4" w:space="0" w:color="auto"/>
              <w:left w:val="single" w:sz="4" w:space="0" w:color="auto"/>
              <w:bottom w:val="single" w:sz="4" w:space="0" w:color="auto"/>
              <w:right w:val="single" w:sz="4" w:space="0" w:color="auto"/>
            </w:tcBorders>
          </w:tcPr>
          <w:p w14:paraId="62FBEE13" w14:textId="77777777" w:rsidR="00C71195" w:rsidRPr="00C71195" w:rsidRDefault="00C71195">
            <w:pPr>
              <w:rPr>
                <w:iCs/>
                <w:sz w:val="22"/>
                <w:szCs w:val="22"/>
                <w:lang w:val="da-DK"/>
              </w:rPr>
            </w:pPr>
          </w:p>
        </w:tc>
        <w:tc>
          <w:tcPr>
            <w:tcW w:w="889" w:type="pct"/>
            <w:tcBorders>
              <w:top w:val="single" w:sz="4" w:space="0" w:color="auto"/>
              <w:left w:val="single" w:sz="4" w:space="0" w:color="auto"/>
              <w:bottom w:val="single" w:sz="4" w:space="0" w:color="auto"/>
              <w:right w:val="single" w:sz="4" w:space="0" w:color="auto"/>
            </w:tcBorders>
            <w:hideMark/>
          </w:tcPr>
          <w:p w14:paraId="75E92883" w14:textId="77777777" w:rsidR="00C71195" w:rsidRPr="00C71195" w:rsidRDefault="00C71195">
            <w:pPr>
              <w:rPr>
                <w:iCs/>
                <w:sz w:val="22"/>
                <w:szCs w:val="22"/>
                <w:lang w:val="da-DK"/>
              </w:rPr>
            </w:pPr>
          </w:p>
        </w:tc>
        <w:tc>
          <w:tcPr>
            <w:tcW w:w="716" w:type="pct"/>
            <w:tcBorders>
              <w:top w:val="single" w:sz="4" w:space="0" w:color="auto"/>
              <w:left w:val="single" w:sz="4" w:space="0" w:color="auto"/>
              <w:bottom w:val="single" w:sz="4" w:space="0" w:color="auto"/>
              <w:right w:val="single" w:sz="4" w:space="0" w:color="auto"/>
            </w:tcBorders>
          </w:tcPr>
          <w:p w14:paraId="0CC43316" w14:textId="77777777" w:rsidR="00C71195" w:rsidRPr="00C71195" w:rsidRDefault="00C71195">
            <w:pPr>
              <w:rPr>
                <w:iCs/>
                <w:sz w:val="22"/>
                <w:szCs w:val="22"/>
                <w:lang w:val="da-DK"/>
              </w:rPr>
            </w:pPr>
          </w:p>
        </w:tc>
        <w:tc>
          <w:tcPr>
            <w:tcW w:w="868" w:type="pct"/>
            <w:tcBorders>
              <w:top w:val="single" w:sz="4" w:space="0" w:color="auto"/>
              <w:left w:val="single" w:sz="4" w:space="0" w:color="auto"/>
              <w:bottom w:val="single" w:sz="4" w:space="0" w:color="auto"/>
              <w:right w:val="single" w:sz="4" w:space="0" w:color="auto"/>
            </w:tcBorders>
            <w:hideMark/>
          </w:tcPr>
          <w:p w14:paraId="5DE89274" w14:textId="77777777" w:rsidR="00C71195" w:rsidRDefault="00C71195">
            <w:pPr>
              <w:rPr>
                <w:iCs/>
                <w:sz w:val="22"/>
                <w:szCs w:val="22"/>
              </w:rPr>
            </w:pPr>
            <w:r>
              <w:rPr>
                <w:iCs/>
                <w:sz w:val="22"/>
                <w:szCs w:val="22"/>
              </w:rPr>
              <w:t>Erektil dysfunktion</w:t>
            </w:r>
            <w:r>
              <w:rPr>
                <w:iCs/>
                <w:sz w:val="22"/>
                <w:szCs w:val="22"/>
                <w:vertAlign w:val="superscript"/>
              </w:rPr>
              <w:t>e</w:t>
            </w:r>
          </w:p>
        </w:tc>
      </w:tr>
      <w:tr w:rsidR="00C71195" w14:paraId="3084358C"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5436E799" w14:textId="77777777" w:rsidR="00C71195" w:rsidRPr="00C71195" w:rsidRDefault="00C71195">
            <w:pPr>
              <w:rPr>
                <w:b/>
                <w:iCs/>
                <w:sz w:val="22"/>
                <w:szCs w:val="22"/>
                <w:lang w:val="da-DK"/>
              </w:rPr>
            </w:pPr>
            <w:r w:rsidRPr="00C71195">
              <w:rPr>
                <w:b/>
                <w:iCs/>
                <w:sz w:val="22"/>
                <w:szCs w:val="22"/>
                <w:lang w:val="da-DK"/>
              </w:rPr>
              <w:t>Almene symptomer og reaktioner på administra</w:t>
            </w:r>
            <w:r w:rsidRPr="00C71195">
              <w:rPr>
                <w:b/>
                <w:iCs/>
                <w:sz w:val="22"/>
                <w:szCs w:val="22"/>
                <w:lang w:val="da-DK"/>
              </w:rPr>
              <w:softHyphen/>
              <w:t>tionsstedet</w:t>
            </w:r>
          </w:p>
        </w:tc>
        <w:tc>
          <w:tcPr>
            <w:tcW w:w="819" w:type="pct"/>
            <w:tcBorders>
              <w:top w:val="single" w:sz="4" w:space="0" w:color="auto"/>
              <w:left w:val="single" w:sz="4" w:space="0" w:color="auto"/>
              <w:bottom w:val="single" w:sz="4" w:space="0" w:color="auto"/>
              <w:right w:val="single" w:sz="4" w:space="0" w:color="auto"/>
            </w:tcBorders>
            <w:hideMark/>
          </w:tcPr>
          <w:p w14:paraId="595FBC63" w14:textId="77777777" w:rsidR="00C71195" w:rsidRPr="00C71195" w:rsidRDefault="00C71195">
            <w:pPr>
              <w:rPr>
                <w:iCs/>
                <w:sz w:val="22"/>
                <w:szCs w:val="22"/>
                <w:lang w:val="da-DK"/>
              </w:rPr>
            </w:pPr>
            <w:r w:rsidRPr="00C71195">
              <w:rPr>
                <w:iCs/>
                <w:sz w:val="22"/>
                <w:szCs w:val="22"/>
                <w:lang w:val="da-DK"/>
              </w:rPr>
              <w:t>Reaktioner på administrations</w:t>
            </w:r>
            <w:r w:rsidRPr="00C71195">
              <w:rPr>
                <w:iCs/>
                <w:sz w:val="22"/>
                <w:szCs w:val="22"/>
                <w:lang w:val="da-DK"/>
              </w:rPr>
              <w:softHyphen/>
              <w:t>stedet</w:t>
            </w:r>
            <w:r w:rsidRPr="00C71195">
              <w:rPr>
                <w:iCs/>
                <w:sz w:val="22"/>
                <w:szCs w:val="22"/>
                <w:vertAlign w:val="superscript"/>
                <w:lang w:val="da-DK"/>
              </w:rPr>
              <w:t>a</w:t>
            </w:r>
            <w:r w:rsidRPr="00C71195">
              <w:rPr>
                <w:iCs/>
                <w:sz w:val="22"/>
                <w:szCs w:val="22"/>
                <w:lang w:val="da-DK"/>
              </w:rPr>
              <w:t xml:space="preserve"> (inkl. erythem, pruritus, irritation, udslæt, dermatitis, vesikler, smerte, eksem, inflammation, hævelse, misfarvning, papler, eksfoliation, urticaria, overfølsomhed), asteniske symptomer</w:t>
            </w:r>
            <w:r w:rsidRPr="00C71195">
              <w:rPr>
                <w:iCs/>
                <w:sz w:val="22"/>
                <w:szCs w:val="22"/>
                <w:vertAlign w:val="superscript"/>
                <w:lang w:val="da-DK"/>
              </w:rPr>
              <w:t>a</w:t>
            </w:r>
            <w:r w:rsidRPr="00C71195">
              <w:rPr>
                <w:iCs/>
                <w:sz w:val="22"/>
                <w:szCs w:val="22"/>
                <w:lang w:val="da-DK"/>
              </w:rPr>
              <w:t xml:space="preserve"> </w:t>
            </w:r>
            <w:r w:rsidRPr="00C71195">
              <w:rPr>
                <w:iCs/>
                <w:sz w:val="22"/>
                <w:szCs w:val="22"/>
                <w:lang w:val="da-DK"/>
              </w:rPr>
              <w:lastRenderedPageBreak/>
              <w:t>(inkl. træthed, asteni, utilpashed)</w:t>
            </w:r>
          </w:p>
        </w:tc>
        <w:tc>
          <w:tcPr>
            <w:tcW w:w="890" w:type="pct"/>
            <w:tcBorders>
              <w:top w:val="single" w:sz="4" w:space="0" w:color="auto"/>
              <w:left w:val="single" w:sz="4" w:space="0" w:color="auto"/>
              <w:bottom w:val="single" w:sz="4" w:space="0" w:color="auto"/>
              <w:right w:val="single" w:sz="4" w:space="0" w:color="auto"/>
            </w:tcBorders>
            <w:hideMark/>
          </w:tcPr>
          <w:p w14:paraId="48CAF9B5" w14:textId="77777777" w:rsidR="00C71195" w:rsidRDefault="00C71195">
            <w:pPr>
              <w:rPr>
                <w:iCs/>
                <w:sz w:val="22"/>
                <w:szCs w:val="22"/>
              </w:rPr>
            </w:pPr>
            <w:r>
              <w:rPr>
                <w:iCs/>
                <w:sz w:val="22"/>
                <w:szCs w:val="22"/>
              </w:rPr>
              <w:lastRenderedPageBreak/>
              <w:t>Irritabilitet, perifere ødemer</w:t>
            </w:r>
          </w:p>
        </w:tc>
        <w:tc>
          <w:tcPr>
            <w:tcW w:w="889" w:type="pct"/>
            <w:tcBorders>
              <w:top w:val="single" w:sz="4" w:space="0" w:color="auto"/>
              <w:left w:val="single" w:sz="4" w:space="0" w:color="auto"/>
              <w:bottom w:val="single" w:sz="4" w:space="0" w:color="auto"/>
              <w:right w:val="single" w:sz="4" w:space="0" w:color="auto"/>
            </w:tcBorders>
          </w:tcPr>
          <w:p w14:paraId="2DDA6321"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hideMark/>
          </w:tcPr>
          <w:p w14:paraId="2E19C2AE"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tcPr>
          <w:p w14:paraId="2D4E50F3" w14:textId="77777777" w:rsidR="00C71195" w:rsidRDefault="00C71195">
            <w:pPr>
              <w:rPr>
                <w:iCs/>
                <w:sz w:val="22"/>
                <w:szCs w:val="22"/>
              </w:rPr>
            </w:pPr>
          </w:p>
        </w:tc>
      </w:tr>
      <w:tr w:rsidR="00C71195" w14:paraId="66C4BD3D"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5B070955" w14:textId="77777777" w:rsidR="00C71195" w:rsidRDefault="00C71195">
            <w:pPr>
              <w:rPr>
                <w:b/>
                <w:iCs/>
                <w:sz w:val="22"/>
                <w:szCs w:val="22"/>
              </w:rPr>
            </w:pPr>
            <w:r>
              <w:rPr>
                <w:b/>
                <w:iCs/>
                <w:sz w:val="22"/>
                <w:szCs w:val="22"/>
              </w:rPr>
              <w:t>Undersøgelser</w:t>
            </w:r>
          </w:p>
        </w:tc>
        <w:tc>
          <w:tcPr>
            <w:tcW w:w="819" w:type="pct"/>
            <w:tcBorders>
              <w:top w:val="single" w:sz="4" w:space="0" w:color="auto"/>
              <w:left w:val="single" w:sz="4" w:space="0" w:color="auto"/>
              <w:bottom w:val="single" w:sz="4" w:space="0" w:color="auto"/>
              <w:right w:val="single" w:sz="4" w:space="0" w:color="auto"/>
            </w:tcBorders>
          </w:tcPr>
          <w:p w14:paraId="37FDFB0A"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hideMark/>
          </w:tcPr>
          <w:p w14:paraId="25947D76" w14:textId="77777777" w:rsidR="00C71195" w:rsidRDefault="00C71195">
            <w:pPr>
              <w:rPr>
                <w:iCs/>
                <w:sz w:val="22"/>
                <w:szCs w:val="22"/>
              </w:rPr>
            </w:pPr>
          </w:p>
        </w:tc>
        <w:tc>
          <w:tcPr>
            <w:tcW w:w="889" w:type="pct"/>
            <w:tcBorders>
              <w:top w:val="single" w:sz="4" w:space="0" w:color="auto"/>
              <w:left w:val="single" w:sz="4" w:space="0" w:color="auto"/>
              <w:bottom w:val="single" w:sz="4" w:space="0" w:color="auto"/>
              <w:right w:val="single" w:sz="4" w:space="0" w:color="auto"/>
            </w:tcBorders>
            <w:hideMark/>
          </w:tcPr>
          <w:p w14:paraId="4C9DCEA4" w14:textId="77777777" w:rsidR="00C71195" w:rsidRDefault="00C71195">
            <w:pPr>
              <w:rPr>
                <w:sz w:val="20"/>
                <w:lang w:val="da-DK" w:eastAsia="da-DK"/>
              </w:rPr>
            </w:pPr>
          </w:p>
        </w:tc>
        <w:tc>
          <w:tcPr>
            <w:tcW w:w="716" w:type="pct"/>
            <w:tcBorders>
              <w:top w:val="single" w:sz="4" w:space="0" w:color="auto"/>
              <w:left w:val="single" w:sz="4" w:space="0" w:color="auto"/>
              <w:bottom w:val="single" w:sz="4" w:space="0" w:color="auto"/>
              <w:right w:val="single" w:sz="4" w:space="0" w:color="auto"/>
            </w:tcBorders>
          </w:tcPr>
          <w:p w14:paraId="5D0D3AF3"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5F9B6028" w14:textId="77777777" w:rsidR="00C71195" w:rsidRPr="00C71195" w:rsidRDefault="00C71195">
            <w:pPr>
              <w:rPr>
                <w:iCs/>
                <w:sz w:val="22"/>
                <w:szCs w:val="22"/>
                <w:lang w:val="da-DK"/>
              </w:rPr>
            </w:pPr>
            <w:r w:rsidRPr="00C71195">
              <w:rPr>
                <w:iCs/>
                <w:sz w:val="22"/>
                <w:szCs w:val="22"/>
                <w:lang w:val="da-DK"/>
              </w:rPr>
              <w:t>Vægttab</w:t>
            </w:r>
            <w:r w:rsidRPr="00C71195">
              <w:rPr>
                <w:iCs/>
                <w:sz w:val="22"/>
                <w:szCs w:val="22"/>
                <w:vertAlign w:val="superscript"/>
                <w:lang w:val="da-DK"/>
              </w:rPr>
              <w:t>e</w:t>
            </w:r>
            <w:r w:rsidRPr="00C71195">
              <w:rPr>
                <w:iCs/>
                <w:sz w:val="22"/>
                <w:szCs w:val="22"/>
                <w:lang w:val="da-DK"/>
              </w:rPr>
              <w:t>, forhøjede leverenzymer</w:t>
            </w:r>
            <w:r w:rsidRPr="00C71195">
              <w:rPr>
                <w:iCs/>
                <w:sz w:val="22"/>
                <w:szCs w:val="22"/>
                <w:vertAlign w:val="superscript"/>
                <w:lang w:val="da-DK"/>
              </w:rPr>
              <w:t>e</w:t>
            </w:r>
            <w:r w:rsidRPr="00C71195">
              <w:rPr>
                <w:iCs/>
                <w:sz w:val="22"/>
                <w:szCs w:val="22"/>
                <w:lang w:val="da-DK"/>
              </w:rPr>
              <w:t xml:space="preserve"> (inkl. ASAT, ALAT, GGT), vægtøgning</w:t>
            </w:r>
            <w:r w:rsidRPr="00C71195">
              <w:rPr>
                <w:iCs/>
                <w:sz w:val="22"/>
                <w:szCs w:val="22"/>
                <w:vertAlign w:val="superscript"/>
                <w:lang w:val="da-DK"/>
              </w:rPr>
              <w:t>e</w:t>
            </w:r>
            <w:r w:rsidRPr="00C71195">
              <w:rPr>
                <w:iCs/>
                <w:sz w:val="22"/>
                <w:szCs w:val="22"/>
                <w:lang w:val="da-DK"/>
              </w:rPr>
              <w:t>, øget puls</w:t>
            </w:r>
            <w:r w:rsidRPr="00C71195">
              <w:rPr>
                <w:iCs/>
                <w:sz w:val="22"/>
                <w:szCs w:val="22"/>
                <w:vertAlign w:val="superscript"/>
                <w:lang w:val="da-DK"/>
              </w:rPr>
              <w:t>e</w:t>
            </w:r>
            <w:r w:rsidRPr="00C71195">
              <w:rPr>
                <w:iCs/>
                <w:sz w:val="22"/>
                <w:szCs w:val="22"/>
                <w:lang w:val="da-DK"/>
              </w:rPr>
              <w:t>, forhøjet CPK</w:t>
            </w:r>
            <w:r w:rsidRPr="00C71195">
              <w:rPr>
                <w:iCs/>
                <w:sz w:val="22"/>
                <w:szCs w:val="22"/>
                <w:vertAlign w:val="superscript"/>
                <w:lang w:val="da-DK"/>
              </w:rPr>
              <w:t>d,e</w:t>
            </w:r>
          </w:p>
        </w:tc>
      </w:tr>
      <w:tr w:rsidR="00C71195" w14:paraId="72766612"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249CBDC8" w14:textId="77777777" w:rsidR="00C71195" w:rsidRDefault="00C71195">
            <w:pPr>
              <w:rPr>
                <w:b/>
                <w:iCs/>
                <w:sz w:val="22"/>
                <w:szCs w:val="22"/>
              </w:rPr>
            </w:pPr>
            <w:r>
              <w:rPr>
                <w:b/>
                <w:iCs/>
                <w:sz w:val="22"/>
                <w:szCs w:val="22"/>
              </w:rPr>
              <w:t>Traumer, forgiftninger og behandlings</w:t>
            </w:r>
            <w:r>
              <w:rPr>
                <w:b/>
                <w:iCs/>
                <w:sz w:val="22"/>
                <w:szCs w:val="22"/>
              </w:rPr>
              <w:softHyphen/>
              <w:t>komplikationer</w:t>
            </w:r>
          </w:p>
        </w:tc>
        <w:tc>
          <w:tcPr>
            <w:tcW w:w="819" w:type="pct"/>
            <w:tcBorders>
              <w:top w:val="single" w:sz="4" w:space="0" w:color="auto"/>
              <w:left w:val="single" w:sz="4" w:space="0" w:color="auto"/>
              <w:bottom w:val="single" w:sz="4" w:space="0" w:color="auto"/>
              <w:right w:val="single" w:sz="4" w:space="0" w:color="auto"/>
            </w:tcBorders>
          </w:tcPr>
          <w:p w14:paraId="2C29555C" w14:textId="77777777" w:rsidR="00C71195" w:rsidRDefault="00C71195">
            <w:pPr>
              <w:rPr>
                <w:iCs/>
                <w:sz w:val="22"/>
                <w:szCs w:val="22"/>
              </w:rPr>
            </w:pPr>
          </w:p>
        </w:tc>
        <w:tc>
          <w:tcPr>
            <w:tcW w:w="890" w:type="pct"/>
            <w:tcBorders>
              <w:top w:val="single" w:sz="4" w:space="0" w:color="auto"/>
              <w:left w:val="single" w:sz="4" w:space="0" w:color="auto"/>
              <w:bottom w:val="single" w:sz="4" w:space="0" w:color="auto"/>
              <w:right w:val="single" w:sz="4" w:space="0" w:color="auto"/>
            </w:tcBorders>
            <w:hideMark/>
          </w:tcPr>
          <w:p w14:paraId="48BC6AA3" w14:textId="77777777" w:rsidR="00C71195" w:rsidRDefault="00C71195">
            <w:pPr>
              <w:rPr>
                <w:iCs/>
                <w:sz w:val="22"/>
                <w:szCs w:val="22"/>
              </w:rPr>
            </w:pPr>
          </w:p>
        </w:tc>
        <w:tc>
          <w:tcPr>
            <w:tcW w:w="889" w:type="pct"/>
            <w:tcBorders>
              <w:top w:val="single" w:sz="4" w:space="0" w:color="auto"/>
              <w:left w:val="single" w:sz="4" w:space="0" w:color="auto"/>
              <w:bottom w:val="single" w:sz="4" w:space="0" w:color="auto"/>
              <w:right w:val="single" w:sz="4" w:space="0" w:color="auto"/>
            </w:tcBorders>
          </w:tcPr>
          <w:p w14:paraId="7F53BC3D" w14:textId="77777777" w:rsidR="00C71195" w:rsidRDefault="00C71195">
            <w:pPr>
              <w:rPr>
                <w:iCs/>
                <w:sz w:val="22"/>
                <w:szCs w:val="22"/>
              </w:rPr>
            </w:pPr>
          </w:p>
        </w:tc>
        <w:tc>
          <w:tcPr>
            <w:tcW w:w="716" w:type="pct"/>
            <w:tcBorders>
              <w:top w:val="single" w:sz="4" w:space="0" w:color="auto"/>
              <w:left w:val="single" w:sz="4" w:space="0" w:color="auto"/>
              <w:bottom w:val="single" w:sz="4" w:space="0" w:color="auto"/>
              <w:right w:val="single" w:sz="4" w:space="0" w:color="auto"/>
            </w:tcBorders>
          </w:tcPr>
          <w:p w14:paraId="4A6965DF" w14:textId="77777777" w:rsidR="00C71195" w:rsidRDefault="00C71195">
            <w:pPr>
              <w:rPr>
                <w:iCs/>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487603A3" w14:textId="77777777" w:rsidR="00C71195" w:rsidRDefault="00C71195">
            <w:pPr>
              <w:rPr>
                <w:iCs/>
                <w:sz w:val="22"/>
                <w:szCs w:val="22"/>
                <w:vertAlign w:val="superscript"/>
              </w:rPr>
            </w:pPr>
            <w:r>
              <w:rPr>
                <w:iCs/>
                <w:sz w:val="22"/>
                <w:szCs w:val="22"/>
              </w:rPr>
              <w:t>Fald</w:t>
            </w:r>
            <w:r>
              <w:rPr>
                <w:iCs/>
                <w:sz w:val="22"/>
                <w:szCs w:val="22"/>
                <w:vertAlign w:val="superscript"/>
              </w:rPr>
              <w:t>e</w:t>
            </w:r>
          </w:p>
        </w:tc>
      </w:tr>
      <w:tr w:rsidR="00C71195" w14:paraId="31A57FFA" w14:textId="77777777" w:rsidTr="00C71195">
        <w:tc>
          <w:tcPr>
            <w:tcW w:w="817" w:type="pct"/>
            <w:tcBorders>
              <w:top w:val="single" w:sz="4" w:space="0" w:color="auto"/>
              <w:left w:val="single" w:sz="4" w:space="0" w:color="auto"/>
              <w:bottom w:val="single" w:sz="4" w:space="0" w:color="auto"/>
              <w:right w:val="single" w:sz="4" w:space="0" w:color="auto"/>
            </w:tcBorders>
            <w:hideMark/>
          </w:tcPr>
          <w:p w14:paraId="4336A2EC" w14:textId="77777777" w:rsidR="00C71195" w:rsidRPr="00C71195" w:rsidRDefault="00C71195">
            <w:pPr>
              <w:rPr>
                <w:b/>
                <w:iCs/>
                <w:sz w:val="22"/>
                <w:szCs w:val="22"/>
                <w:lang w:val="da-DK"/>
              </w:rPr>
            </w:pPr>
            <w:r w:rsidRPr="00C71195">
              <w:rPr>
                <w:b/>
                <w:iCs/>
                <w:sz w:val="22"/>
                <w:szCs w:val="22"/>
                <w:lang w:val="da-DK"/>
              </w:rPr>
              <w:t>Knogler, led, muskler og bindevæv</w:t>
            </w:r>
          </w:p>
        </w:tc>
        <w:tc>
          <w:tcPr>
            <w:tcW w:w="819" w:type="pct"/>
            <w:tcBorders>
              <w:top w:val="single" w:sz="4" w:space="0" w:color="auto"/>
              <w:left w:val="single" w:sz="4" w:space="0" w:color="auto"/>
              <w:bottom w:val="single" w:sz="4" w:space="0" w:color="auto"/>
              <w:right w:val="single" w:sz="4" w:space="0" w:color="auto"/>
            </w:tcBorders>
          </w:tcPr>
          <w:p w14:paraId="2214FE3E" w14:textId="77777777" w:rsidR="00C71195" w:rsidRPr="00C71195" w:rsidRDefault="00C71195">
            <w:pPr>
              <w:rPr>
                <w:iCs/>
                <w:sz w:val="22"/>
                <w:szCs w:val="22"/>
                <w:lang w:val="da-DK"/>
              </w:rPr>
            </w:pPr>
          </w:p>
        </w:tc>
        <w:tc>
          <w:tcPr>
            <w:tcW w:w="890" w:type="pct"/>
            <w:tcBorders>
              <w:top w:val="single" w:sz="4" w:space="0" w:color="auto"/>
              <w:left w:val="single" w:sz="4" w:space="0" w:color="auto"/>
              <w:bottom w:val="single" w:sz="4" w:space="0" w:color="auto"/>
              <w:right w:val="single" w:sz="4" w:space="0" w:color="auto"/>
            </w:tcBorders>
          </w:tcPr>
          <w:p w14:paraId="1A6A6771" w14:textId="77777777" w:rsidR="00C71195" w:rsidRPr="00C71195" w:rsidRDefault="00C71195">
            <w:pPr>
              <w:rPr>
                <w:iCs/>
                <w:sz w:val="22"/>
                <w:szCs w:val="22"/>
                <w:lang w:val="da-DK"/>
              </w:rPr>
            </w:pPr>
          </w:p>
        </w:tc>
        <w:tc>
          <w:tcPr>
            <w:tcW w:w="889" w:type="pct"/>
            <w:tcBorders>
              <w:top w:val="single" w:sz="4" w:space="0" w:color="auto"/>
              <w:left w:val="single" w:sz="4" w:space="0" w:color="auto"/>
              <w:bottom w:val="single" w:sz="4" w:space="0" w:color="auto"/>
              <w:right w:val="single" w:sz="4" w:space="0" w:color="auto"/>
            </w:tcBorders>
          </w:tcPr>
          <w:p w14:paraId="7F0F287F" w14:textId="77777777" w:rsidR="00C71195" w:rsidRPr="00C71195" w:rsidRDefault="00C71195">
            <w:pPr>
              <w:rPr>
                <w:iCs/>
                <w:sz w:val="22"/>
                <w:szCs w:val="22"/>
                <w:lang w:val="da-DK"/>
              </w:rPr>
            </w:pPr>
          </w:p>
        </w:tc>
        <w:tc>
          <w:tcPr>
            <w:tcW w:w="716" w:type="pct"/>
            <w:tcBorders>
              <w:top w:val="single" w:sz="4" w:space="0" w:color="auto"/>
              <w:left w:val="single" w:sz="4" w:space="0" w:color="auto"/>
              <w:bottom w:val="single" w:sz="4" w:space="0" w:color="auto"/>
              <w:right w:val="single" w:sz="4" w:space="0" w:color="auto"/>
            </w:tcBorders>
          </w:tcPr>
          <w:p w14:paraId="03919729" w14:textId="77777777" w:rsidR="00C71195" w:rsidRPr="00C71195" w:rsidRDefault="00C71195">
            <w:pPr>
              <w:rPr>
                <w:iCs/>
                <w:sz w:val="22"/>
                <w:szCs w:val="22"/>
                <w:lang w:val="da-DK"/>
              </w:rPr>
            </w:pPr>
          </w:p>
        </w:tc>
        <w:tc>
          <w:tcPr>
            <w:tcW w:w="868" w:type="pct"/>
            <w:tcBorders>
              <w:top w:val="single" w:sz="4" w:space="0" w:color="auto"/>
              <w:left w:val="single" w:sz="4" w:space="0" w:color="auto"/>
              <w:bottom w:val="single" w:sz="4" w:space="0" w:color="auto"/>
              <w:right w:val="single" w:sz="4" w:space="0" w:color="auto"/>
            </w:tcBorders>
            <w:hideMark/>
          </w:tcPr>
          <w:p w14:paraId="0360BFAA" w14:textId="77777777" w:rsidR="00C71195" w:rsidRDefault="00C71195">
            <w:pPr>
              <w:rPr>
                <w:iCs/>
                <w:sz w:val="22"/>
                <w:szCs w:val="22"/>
              </w:rPr>
            </w:pPr>
            <w:r>
              <w:rPr>
                <w:iCs/>
                <w:sz w:val="22"/>
                <w:szCs w:val="22"/>
              </w:rPr>
              <w:t>Rhabdomyolyse</w:t>
            </w:r>
            <w:r>
              <w:rPr>
                <w:iCs/>
                <w:sz w:val="22"/>
                <w:szCs w:val="22"/>
                <w:vertAlign w:val="superscript"/>
              </w:rPr>
              <w:t>c</w:t>
            </w:r>
          </w:p>
        </w:tc>
      </w:tr>
    </w:tbl>
    <w:p w14:paraId="352B5B89" w14:textId="77777777" w:rsidR="00C71195" w:rsidRPr="00C71195" w:rsidRDefault="00C71195" w:rsidP="00C71195">
      <w:pPr>
        <w:ind w:left="-426"/>
        <w:rPr>
          <w:sz w:val="20"/>
          <w:lang w:val="en-US"/>
        </w:rPr>
      </w:pPr>
      <w:r w:rsidRPr="00C71195">
        <w:rPr>
          <w:sz w:val="20"/>
          <w:vertAlign w:val="superscript"/>
          <w:lang w:val="en-US"/>
        </w:rPr>
        <w:t>a</w:t>
      </w:r>
      <w:r w:rsidRPr="00C71195">
        <w:rPr>
          <w:sz w:val="20"/>
          <w:lang w:val="en-US"/>
        </w:rPr>
        <w:t xml:space="preserve"> Overordnet begreb (</w:t>
      </w:r>
      <w:r w:rsidRPr="00C71195">
        <w:rPr>
          <w:i/>
          <w:iCs/>
          <w:sz w:val="20"/>
          <w:lang w:val="en-US"/>
        </w:rPr>
        <w:t>high level term</w:t>
      </w:r>
      <w:r w:rsidRPr="00C71195">
        <w:rPr>
          <w:sz w:val="20"/>
          <w:lang w:val="en-US"/>
        </w:rPr>
        <w:t>)</w:t>
      </w:r>
    </w:p>
    <w:p w14:paraId="5B6355B5" w14:textId="77777777" w:rsidR="00C71195" w:rsidRPr="00C71195" w:rsidRDefault="00C71195" w:rsidP="00C71195">
      <w:pPr>
        <w:ind w:left="-426"/>
        <w:rPr>
          <w:sz w:val="20"/>
        </w:rPr>
      </w:pPr>
      <w:r w:rsidRPr="00C71195">
        <w:rPr>
          <w:sz w:val="20"/>
          <w:vertAlign w:val="superscript"/>
        </w:rPr>
        <w:t>b</w:t>
      </w:r>
      <w:r w:rsidRPr="00C71195">
        <w:rPr>
          <w:sz w:val="20"/>
        </w:rPr>
        <w:t xml:space="preserve"> Observeret i åbne studier</w:t>
      </w:r>
    </w:p>
    <w:p w14:paraId="0CDBF0C6" w14:textId="77777777" w:rsidR="00C71195" w:rsidRPr="00C71195" w:rsidRDefault="00C71195" w:rsidP="00C71195">
      <w:pPr>
        <w:ind w:left="-426"/>
        <w:rPr>
          <w:sz w:val="20"/>
        </w:rPr>
      </w:pPr>
      <w:r w:rsidRPr="00C71195">
        <w:rPr>
          <w:sz w:val="20"/>
          <w:vertAlign w:val="superscript"/>
        </w:rPr>
        <w:t>c</w:t>
      </w:r>
      <w:r w:rsidRPr="00C71195">
        <w:rPr>
          <w:sz w:val="20"/>
        </w:rPr>
        <w:t xml:space="preserve"> Observeret efter markedsføring</w:t>
      </w:r>
    </w:p>
    <w:p w14:paraId="6CB0A49C" w14:textId="77777777" w:rsidR="00C71195" w:rsidRPr="00C71195" w:rsidRDefault="00C71195" w:rsidP="00C71195">
      <w:pPr>
        <w:ind w:left="-426"/>
        <w:rPr>
          <w:sz w:val="20"/>
        </w:rPr>
      </w:pPr>
      <w:r w:rsidRPr="00C71195">
        <w:rPr>
          <w:sz w:val="20"/>
          <w:vertAlign w:val="superscript"/>
        </w:rPr>
        <w:t>d</w:t>
      </w:r>
      <w:r w:rsidRPr="00C71195">
        <w:rPr>
          <w:sz w:val="20"/>
        </w:rPr>
        <w:t xml:space="preserve"> Observeret i data pool af dobbeltblinde, placebokontrollerede studier i 2011</w:t>
      </w:r>
    </w:p>
    <w:p w14:paraId="4FA7D5DA" w14:textId="77777777" w:rsidR="00C71195" w:rsidRPr="00C71195" w:rsidRDefault="00C71195" w:rsidP="00C71195">
      <w:pPr>
        <w:ind w:left="-426"/>
        <w:rPr>
          <w:sz w:val="20"/>
        </w:rPr>
      </w:pPr>
      <w:r w:rsidRPr="00C71195">
        <w:rPr>
          <w:sz w:val="20"/>
          <w:vertAlign w:val="superscript"/>
        </w:rPr>
        <w:t>e</w:t>
      </w:r>
      <w:r w:rsidRPr="00C71195">
        <w:rPr>
          <w:sz w:val="20"/>
        </w:rPr>
        <w:t xml:space="preserve"> Observeret i studier med patienter med Parkinsons sygdom</w:t>
      </w:r>
    </w:p>
    <w:p w14:paraId="74C3FCA9" w14:textId="77777777" w:rsidR="00C71195" w:rsidRDefault="00C71195" w:rsidP="00C71195">
      <w:pPr>
        <w:keepNext/>
        <w:ind w:left="851"/>
        <w:rPr>
          <w:sz w:val="24"/>
          <w:szCs w:val="24"/>
          <w:u w:val="single"/>
        </w:rPr>
      </w:pPr>
    </w:p>
    <w:p w14:paraId="1DC0D1E3" w14:textId="77777777" w:rsidR="00C71195" w:rsidRPr="00C71195" w:rsidRDefault="00C71195" w:rsidP="00C71195">
      <w:pPr>
        <w:keepNext/>
        <w:ind w:left="851"/>
        <w:rPr>
          <w:b/>
          <w:iCs/>
          <w:sz w:val="24"/>
          <w:szCs w:val="24"/>
        </w:rPr>
      </w:pPr>
      <w:r w:rsidRPr="00C71195">
        <w:rPr>
          <w:b/>
          <w:iCs/>
          <w:sz w:val="24"/>
          <w:szCs w:val="24"/>
        </w:rPr>
        <w:t>Parkinsons sygdom</w:t>
      </w:r>
    </w:p>
    <w:p w14:paraId="0940B9ED" w14:textId="77777777" w:rsidR="00C71195" w:rsidRDefault="00C71195" w:rsidP="00C71195">
      <w:pPr>
        <w:keepNext/>
        <w:ind w:left="851"/>
        <w:rPr>
          <w:iCs/>
          <w:sz w:val="24"/>
          <w:szCs w:val="24"/>
          <w:u w:val="single"/>
        </w:rPr>
      </w:pPr>
    </w:p>
    <w:p w14:paraId="13295F04" w14:textId="77777777" w:rsidR="00C71195" w:rsidRDefault="00C71195" w:rsidP="00C71195">
      <w:pPr>
        <w:keepNext/>
        <w:ind w:left="851"/>
        <w:rPr>
          <w:iCs/>
          <w:sz w:val="24"/>
          <w:szCs w:val="24"/>
        </w:rPr>
      </w:pPr>
      <w:r>
        <w:rPr>
          <w:iCs/>
          <w:sz w:val="24"/>
          <w:szCs w:val="24"/>
          <w:u w:val="single"/>
        </w:rPr>
        <w:t>Resumé af sikkerhedsprofilen</w:t>
      </w:r>
    </w:p>
    <w:p w14:paraId="352ECC7C" w14:textId="77777777" w:rsidR="00C71195" w:rsidRDefault="00C71195" w:rsidP="00C71195">
      <w:pPr>
        <w:ind w:left="851"/>
        <w:rPr>
          <w:iCs/>
          <w:sz w:val="24"/>
          <w:szCs w:val="24"/>
        </w:rPr>
      </w:pPr>
      <w:r>
        <w:rPr>
          <w:iCs/>
          <w:sz w:val="24"/>
          <w:szCs w:val="24"/>
        </w:rPr>
        <w:t>Baseret på analysen af de samlede placebokontrollerede kliniske studier, som i alt omfatter 1.307 rotigotin- og 607 placebobehandlede patienter, rapporterede 72,5 % af patienterne behandlet med rotigotin og 58,0 % af de placebobehandlede patienter mindst én bivirkning.</w:t>
      </w:r>
    </w:p>
    <w:p w14:paraId="5F677515" w14:textId="77777777" w:rsidR="00C71195" w:rsidRDefault="00C71195" w:rsidP="00C71195">
      <w:pPr>
        <w:ind w:left="851"/>
        <w:rPr>
          <w:iCs/>
          <w:sz w:val="24"/>
          <w:szCs w:val="24"/>
        </w:rPr>
      </w:pPr>
    </w:p>
    <w:p w14:paraId="1F037DC6" w14:textId="77777777" w:rsidR="00C71195" w:rsidRDefault="00C71195" w:rsidP="00C71195">
      <w:pPr>
        <w:ind w:left="851"/>
        <w:rPr>
          <w:iCs/>
          <w:sz w:val="24"/>
          <w:szCs w:val="24"/>
        </w:rPr>
      </w:pPr>
      <w:r>
        <w:rPr>
          <w:iCs/>
          <w:sz w:val="24"/>
          <w:szCs w:val="24"/>
        </w:rPr>
        <w:t>I begyndelsen af behandlingen kan dopaminerge bivirkninger som kvalme og opkastning forekomme. Disse er som regel lette eller moderate i intensitet og forbigående, selvom behandlingen fortsætter.</w:t>
      </w:r>
    </w:p>
    <w:p w14:paraId="63FCD1EB" w14:textId="77777777" w:rsidR="00C71195" w:rsidRDefault="00C71195" w:rsidP="00C71195">
      <w:pPr>
        <w:ind w:left="851"/>
        <w:rPr>
          <w:iCs/>
          <w:sz w:val="24"/>
          <w:szCs w:val="24"/>
        </w:rPr>
      </w:pPr>
    </w:p>
    <w:p w14:paraId="750E1F07" w14:textId="77777777" w:rsidR="00C71195" w:rsidRDefault="00C71195" w:rsidP="00C71195">
      <w:pPr>
        <w:ind w:left="851"/>
        <w:rPr>
          <w:iCs/>
          <w:sz w:val="24"/>
          <w:szCs w:val="24"/>
        </w:rPr>
      </w:pPr>
      <w:r>
        <w:rPr>
          <w:iCs/>
          <w:sz w:val="24"/>
          <w:szCs w:val="24"/>
        </w:rPr>
        <w:t>Bivirkninger rapporteret hos mere end 10 % af patienterne behandlet med rotigotin depotplaster er kvalme, opkastninger, reaktioner på applikationsstedet, døsighed, svimmelhed og hovedpine.</w:t>
      </w:r>
    </w:p>
    <w:p w14:paraId="39C936A5" w14:textId="77777777" w:rsidR="00C71195" w:rsidRDefault="00C71195" w:rsidP="00C71195">
      <w:pPr>
        <w:ind w:left="851"/>
        <w:rPr>
          <w:iCs/>
          <w:sz w:val="24"/>
          <w:szCs w:val="24"/>
        </w:rPr>
      </w:pPr>
    </w:p>
    <w:p w14:paraId="77422F61" w14:textId="77777777" w:rsidR="00C71195" w:rsidRDefault="00C71195" w:rsidP="00C71195">
      <w:pPr>
        <w:ind w:left="851"/>
        <w:rPr>
          <w:iCs/>
          <w:sz w:val="24"/>
          <w:szCs w:val="24"/>
        </w:rPr>
      </w:pPr>
      <w:r>
        <w:rPr>
          <w:iCs/>
          <w:sz w:val="24"/>
          <w:szCs w:val="24"/>
        </w:rPr>
        <w:t>I studier, hvor applikationsstedet blev vekslet som beskrevet i instruktionerne i produkt</w:t>
      </w:r>
      <w:r>
        <w:rPr>
          <w:iCs/>
          <w:sz w:val="24"/>
          <w:szCs w:val="24"/>
        </w:rPr>
        <w:softHyphen/>
        <w:t>resumeét og indlægssedlen, fik 35,7 % af de 830 patienter, som brugte rotigotin depot</w:t>
      </w:r>
      <w:r>
        <w:rPr>
          <w:iCs/>
          <w:sz w:val="24"/>
          <w:szCs w:val="24"/>
        </w:rPr>
        <w:softHyphen/>
        <w:t>plaster, reaktioner på applikationsstedet. Størstedelen af reaktionerne på applikationsstedet var lette eller moderate i intensitet, begrænset til applikationsområderne og førte hos kun til seponering af rotigotin depotplaster hos 4,3 % af patienterne.</w:t>
      </w:r>
    </w:p>
    <w:p w14:paraId="41209B77" w14:textId="77777777" w:rsidR="00C71195" w:rsidRDefault="00C71195" w:rsidP="00C71195">
      <w:pPr>
        <w:ind w:left="851"/>
        <w:rPr>
          <w:iCs/>
          <w:sz w:val="24"/>
          <w:szCs w:val="24"/>
        </w:rPr>
      </w:pPr>
    </w:p>
    <w:p w14:paraId="1AF90E8E" w14:textId="77777777" w:rsidR="00C71195" w:rsidRDefault="00C71195" w:rsidP="00C71195">
      <w:pPr>
        <w:keepNext/>
        <w:ind w:left="851"/>
        <w:rPr>
          <w:iCs/>
          <w:sz w:val="24"/>
          <w:szCs w:val="24"/>
        </w:rPr>
      </w:pPr>
      <w:r>
        <w:rPr>
          <w:iCs/>
          <w:sz w:val="24"/>
          <w:szCs w:val="24"/>
          <w:u w:val="single"/>
        </w:rPr>
        <w:t>Bivirkningstabel</w:t>
      </w:r>
    </w:p>
    <w:p w14:paraId="5FB02DC2" w14:textId="77777777" w:rsidR="00C71195" w:rsidRDefault="00C71195" w:rsidP="00C71195">
      <w:pPr>
        <w:keepNext/>
        <w:ind w:left="851"/>
        <w:rPr>
          <w:iCs/>
          <w:sz w:val="24"/>
          <w:szCs w:val="24"/>
        </w:rPr>
      </w:pPr>
      <w:r>
        <w:rPr>
          <w:iCs/>
          <w:sz w:val="24"/>
          <w:szCs w:val="24"/>
        </w:rPr>
        <w:t xml:space="preserve">Følgende tabel omfatter bivirkninger fra ovennævnte samlede studier med patienter med </w:t>
      </w:r>
      <w:r>
        <w:rPr>
          <w:sz w:val="24"/>
          <w:szCs w:val="24"/>
        </w:rPr>
        <w:t>Parkinsons sygdom</w:t>
      </w:r>
      <w:r>
        <w:rPr>
          <w:iCs/>
          <w:sz w:val="24"/>
          <w:szCs w:val="24"/>
        </w:rPr>
        <w:t xml:space="preserve"> og fra erfaring efter markedsføring. Inden for hver systemorganklasse er bivirkningerne opført under overskrifter iht. hyppighed (antal patienter, som forventes at få reaktionen) ved brug af følgende kategorier: Meget almindelig (≥ 1 /10); almindelig (≥ 1 /100 til &lt; 1 /10); ikke almindelig (≥ 1 /1.000 til &lt; 1 /100); sjælden (≥ 1 /10.000 til &lt; 1 /1.000); meget sjælden (&lt; 1 /10.000); ikke kendt (kan ikke estimeres ud fra </w:t>
      </w:r>
      <w:r>
        <w:rPr>
          <w:iCs/>
          <w:sz w:val="24"/>
          <w:szCs w:val="24"/>
        </w:rPr>
        <w:lastRenderedPageBreak/>
        <w:t>forhåndenværende data). Inden for hver enkelt frekvensgruppe er bivirkningerne opstillet efter, hvor alvorlige de er. De alvorligste bivirkninger er anført først.</w:t>
      </w:r>
    </w:p>
    <w:p w14:paraId="04D852F5" w14:textId="77777777" w:rsidR="00C71195" w:rsidRDefault="00C71195" w:rsidP="00C71195">
      <w:pPr>
        <w:ind w:left="851"/>
        <w:rPr>
          <w:sz w:val="24"/>
          <w:szCs w:val="24"/>
        </w:rPr>
      </w:pPr>
    </w:p>
    <w:tbl>
      <w:tblPr>
        <w:tblStyle w:val="Tabel-Gitter"/>
        <w:tblW w:w="5600" w:type="pct"/>
        <w:tblInd w:w="-431" w:type="dxa"/>
        <w:tblLook w:val="04A0" w:firstRow="1" w:lastRow="0" w:firstColumn="1" w:lastColumn="0" w:noHBand="0" w:noVBand="1"/>
      </w:tblPr>
      <w:tblGrid>
        <w:gridCol w:w="1720"/>
        <w:gridCol w:w="1646"/>
        <w:gridCol w:w="1867"/>
        <w:gridCol w:w="1866"/>
        <w:gridCol w:w="2064"/>
        <w:gridCol w:w="1709"/>
      </w:tblGrid>
      <w:tr w:rsidR="00C71195" w14:paraId="21919194" w14:textId="77777777" w:rsidTr="00C71195">
        <w:trPr>
          <w:tblHeader/>
        </w:trPr>
        <w:tc>
          <w:tcPr>
            <w:tcW w:w="832" w:type="pct"/>
            <w:tcBorders>
              <w:top w:val="single" w:sz="4" w:space="0" w:color="auto"/>
              <w:left w:val="single" w:sz="4" w:space="0" w:color="auto"/>
              <w:bottom w:val="single" w:sz="4" w:space="0" w:color="auto"/>
              <w:right w:val="single" w:sz="4" w:space="0" w:color="auto"/>
            </w:tcBorders>
            <w:hideMark/>
          </w:tcPr>
          <w:p w14:paraId="79F32E8F" w14:textId="77777777" w:rsidR="00C71195" w:rsidRPr="00C71195" w:rsidRDefault="00C71195">
            <w:pPr>
              <w:rPr>
                <w:b/>
                <w:iCs/>
                <w:sz w:val="22"/>
                <w:szCs w:val="22"/>
                <w:lang w:val="da-DK"/>
              </w:rPr>
            </w:pPr>
            <w:r w:rsidRPr="00C71195">
              <w:rPr>
                <w:b/>
                <w:iCs/>
                <w:sz w:val="22"/>
                <w:szCs w:val="22"/>
                <w:lang w:val="da-DK"/>
              </w:rPr>
              <w:t>System</w:t>
            </w:r>
            <w:r w:rsidRPr="00C71195">
              <w:rPr>
                <w:b/>
                <w:iCs/>
                <w:sz w:val="22"/>
                <w:szCs w:val="22"/>
                <w:lang w:val="da-DK"/>
              </w:rPr>
              <w:softHyphen/>
              <w:t>organklasse i henhold til MedDRA</w:t>
            </w:r>
          </w:p>
        </w:tc>
        <w:tc>
          <w:tcPr>
            <w:tcW w:w="833" w:type="pct"/>
            <w:tcBorders>
              <w:top w:val="single" w:sz="4" w:space="0" w:color="auto"/>
              <w:left w:val="single" w:sz="4" w:space="0" w:color="auto"/>
              <w:bottom w:val="single" w:sz="4" w:space="0" w:color="auto"/>
              <w:right w:val="single" w:sz="4" w:space="0" w:color="auto"/>
            </w:tcBorders>
            <w:hideMark/>
          </w:tcPr>
          <w:p w14:paraId="014E0E94" w14:textId="77777777" w:rsidR="00C71195" w:rsidRDefault="00C71195">
            <w:pPr>
              <w:rPr>
                <w:b/>
                <w:iCs/>
                <w:sz w:val="22"/>
                <w:szCs w:val="22"/>
              </w:rPr>
            </w:pPr>
            <w:r>
              <w:rPr>
                <w:b/>
                <w:iCs/>
                <w:sz w:val="22"/>
                <w:szCs w:val="22"/>
              </w:rPr>
              <w:t>Meget almindelig</w:t>
            </w:r>
          </w:p>
        </w:tc>
        <w:tc>
          <w:tcPr>
            <w:tcW w:w="904" w:type="pct"/>
            <w:tcBorders>
              <w:top w:val="single" w:sz="4" w:space="0" w:color="auto"/>
              <w:left w:val="single" w:sz="4" w:space="0" w:color="auto"/>
              <w:bottom w:val="single" w:sz="4" w:space="0" w:color="auto"/>
              <w:right w:val="single" w:sz="4" w:space="0" w:color="auto"/>
            </w:tcBorders>
            <w:hideMark/>
          </w:tcPr>
          <w:p w14:paraId="2A91E32A" w14:textId="77777777" w:rsidR="00C71195" w:rsidRDefault="00C71195">
            <w:pPr>
              <w:rPr>
                <w:b/>
                <w:iCs/>
                <w:sz w:val="22"/>
                <w:szCs w:val="22"/>
              </w:rPr>
            </w:pPr>
            <w:r>
              <w:rPr>
                <w:b/>
                <w:iCs/>
                <w:sz w:val="22"/>
                <w:szCs w:val="22"/>
              </w:rPr>
              <w:t>Almindelig</w:t>
            </w:r>
          </w:p>
        </w:tc>
        <w:tc>
          <w:tcPr>
            <w:tcW w:w="903" w:type="pct"/>
            <w:tcBorders>
              <w:top w:val="single" w:sz="4" w:space="0" w:color="auto"/>
              <w:left w:val="single" w:sz="4" w:space="0" w:color="auto"/>
              <w:bottom w:val="single" w:sz="4" w:space="0" w:color="auto"/>
              <w:right w:val="single" w:sz="4" w:space="0" w:color="auto"/>
            </w:tcBorders>
            <w:hideMark/>
          </w:tcPr>
          <w:p w14:paraId="39C479DB" w14:textId="77777777" w:rsidR="00C71195" w:rsidRDefault="00C71195">
            <w:pPr>
              <w:rPr>
                <w:b/>
                <w:iCs/>
                <w:sz w:val="22"/>
                <w:szCs w:val="22"/>
              </w:rPr>
            </w:pPr>
            <w:r>
              <w:rPr>
                <w:b/>
                <w:iCs/>
                <w:sz w:val="22"/>
                <w:szCs w:val="22"/>
              </w:rPr>
              <w:t>Ikke almindelig</w:t>
            </w:r>
          </w:p>
        </w:tc>
        <w:tc>
          <w:tcPr>
            <w:tcW w:w="697" w:type="pct"/>
            <w:tcBorders>
              <w:top w:val="single" w:sz="4" w:space="0" w:color="auto"/>
              <w:left w:val="single" w:sz="4" w:space="0" w:color="auto"/>
              <w:bottom w:val="single" w:sz="4" w:space="0" w:color="auto"/>
              <w:right w:val="single" w:sz="4" w:space="0" w:color="auto"/>
            </w:tcBorders>
            <w:hideMark/>
          </w:tcPr>
          <w:p w14:paraId="4183A35C" w14:textId="77777777" w:rsidR="00C71195" w:rsidRDefault="00C71195">
            <w:pPr>
              <w:rPr>
                <w:b/>
                <w:iCs/>
                <w:sz w:val="22"/>
                <w:szCs w:val="22"/>
              </w:rPr>
            </w:pPr>
            <w:r>
              <w:rPr>
                <w:b/>
                <w:iCs/>
                <w:sz w:val="22"/>
                <w:szCs w:val="22"/>
              </w:rPr>
              <w:t>Sjælden</w:t>
            </w:r>
          </w:p>
        </w:tc>
        <w:tc>
          <w:tcPr>
            <w:tcW w:w="831" w:type="pct"/>
            <w:tcBorders>
              <w:top w:val="single" w:sz="4" w:space="0" w:color="auto"/>
              <w:left w:val="single" w:sz="4" w:space="0" w:color="auto"/>
              <w:bottom w:val="single" w:sz="4" w:space="0" w:color="auto"/>
              <w:right w:val="single" w:sz="4" w:space="0" w:color="auto"/>
            </w:tcBorders>
            <w:hideMark/>
          </w:tcPr>
          <w:p w14:paraId="721EC5A7" w14:textId="77777777" w:rsidR="00C71195" w:rsidRDefault="00C71195">
            <w:pPr>
              <w:rPr>
                <w:b/>
                <w:iCs/>
                <w:sz w:val="22"/>
                <w:szCs w:val="22"/>
              </w:rPr>
            </w:pPr>
            <w:r>
              <w:rPr>
                <w:b/>
                <w:iCs/>
                <w:sz w:val="22"/>
                <w:szCs w:val="22"/>
              </w:rPr>
              <w:t>Ikke kendt</w:t>
            </w:r>
          </w:p>
        </w:tc>
      </w:tr>
      <w:tr w:rsidR="00C71195" w14:paraId="092F7677"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688AA29F" w14:textId="77777777" w:rsidR="00C71195" w:rsidRDefault="00C71195">
            <w:pPr>
              <w:rPr>
                <w:b/>
                <w:iCs/>
                <w:sz w:val="22"/>
                <w:szCs w:val="22"/>
              </w:rPr>
            </w:pPr>
            <w:r>
              <w:rPr>
                <w:b/>
                <w:iCs/>
                <w:sz w:val="22"/>
                <w:szCs w:val="22"/>
              </w:rPr>
              <w:t>Immunsystemet</w:t>
            </w:r>
          </w:p>
        </w:tc>
        <w:tc>
          <w:tcPr>
            <w:tcW w:w="833" w:type="pct"/>
            <w:tcBorders>
              <w:top w:val="single" w:sz="4" w:space="0" w:color="auto"/>
              <w:left w:val="single" w:sz="4" w:space="0" w:color="auto"/>
              <w:bottom w:val="single" w:sz="4" w:space="0" w:color="auto"/>
              <w:right w:val="single" w:sz="4" w:space="0" w:color="auto"/>
            </w:tcBorders>
          </w:tcPr>
          <w:p w14:paraId="298D8F05"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tcPr>
          <w:p w14:paraId="36B483D1" w14:textId="77777777" w:rsidR="00C71195" w:rsidRDefault="00C71195">
            <w:pPr>
              <w:rPr>
                <w:iCs/>
                <w:sz w:val="22"/>
                <w:szCs w:val="22"/>
              </w:rPr>
            </w:pPr>
          </w:p>
        </w:tc>
        <w:tc>
          <w:tcPr>
            <w:tcW w:w="903" w:type="pct"/>
            <w:tcBorders>
              <w:top w:val="single" w:sz="4" w:space="0" w:color="auto"/>
              <w:left w:val="single" w:sz="4" w:space="0" w:color="auto"/>
              <w:bottom w:val="single" w:sz="4" w:space="0" w:color="auto"/>
              <w:right w:val="single" w:sz="4" w:space="0" w:color="auto"/>
            </w:tcBorders>
            <w:hideMark/>
          </w:tcPr>
          <w:p w14:paraId="4631A9F7" w14:textId="77777777" w:rsidR="00C71195" w:rsidRPr="00C71195" w:rsidRDefault="00C71195">
            <w:pPr>
              <w:rPr>
                <w:iCs/>
                <w:sz w:val="22"/>
                <w:szCs w:val="22"/>
                <w:lang w:val="da-DK"/>
              </w:rPr>
            </w:pPr>
            <w:r w:rsidRPr="00C71195">
              <w:rPr>
                <w:iCs/>
                <w:sz w:val="22"/>
                <w:szCs w:val="22"/>
                <w:lang w:val="da-DK"/>
              </w:rPr>
              <w:t>Overfølsomhed, hvilket kan omfatte angioødem og ødem i tunge og læbe</w:t>
            </w:r>
          </w:p>
        </w:tc>
        <w:tc>
          <w:tcPr>
            <w:tcW w:w="697" w:type="pct"/>
            <w:tcBorders>
              <w:top w:val="single" w:sz="4" w:space="0" w:color="auto"/>
              <w:left w:val="single" w:sz="4" w:space="0" w:color="auto"/>
              <w:bottom w:val="single" w:sz="4" w:space="0" w:color="auto"/>
              <w:right w:val="single" w:sz="4" w:space="0" w:color="auto"/>
            </w:tcBorders>
          </w:tcPr>
          <w:p w14:paraId="7A5235AE" w14:textId="77777777" w:rsidR="00C71195" w:rsidRPr="00C71195" w:rsidRDefault="00C71195">
            <w:pPr>
              <w:rPr>
                <w:iCs/>
                <w:sz w:val="22"/>
                <w:szCs w:val="22"/>
                <w:lang w:val="da-DK"/>
              </w:rPr>
            </w:pPr>
          </w:p>
        </w:tc>
        <w:tc>
          <w:tcPr>
            <w:tcW w:w="831" w:type="pct"/>
            <w:tcBorders>
              <w:top w:val="single" w:sz="4" w:space="0" w:color="auto"/>
              <w:left w:val="single" w:sz="4" w:space="0" w:color="auto"/>
              <w:bottom w:val="single" w:sz="4" w:space="0" w:color="auto"/>
              <w:right w:val="single" w:sz="4" w:space="0" w:color="auto"/>
            </w:tcBorders>
          </w:tcPr>
          <w:p w14:paraId="3EE242F5" w14:textId="77777777" w:rsidR="00C71195" w:rsidRPr="00C71195" w:rsidRDefault="00C71195">
            <w:pPr>
              <w:rPr>
                <w:iCs/>
                <w:sz w:val="22"/>
                <w:szCs w:val="22"/>
                <w:lang w:val="da-DK"/>
              </w:rPr>
            </w:pPr>
          </w:p>
        </w:tc>
      </w:tr>
      <w:tr w:rsidR="00C71195" w14:paraId="10A8556A"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7CE07550" w14:textId="77777777" w:rsidR="00C71195" w:rsidRDefault="00C71195">
            <w:pPr>
              <w:rPr>
                <w:b/>
                <w:iCs/>
                <w:sz w:val="22"/>
                <w:szCs w:val="22"/>
              </w:rPr>
            </w:pPr>
            <w:r>
              <w:rPr>
                <w:b/>
                <w:iCs/>
                <w:sz w:val="22"/>
                <w:szCs w:val="22"/>
              </w:rPr>
              <w:t>Psykiske forstyrrelser</w:t>
            </w:r>
          </w:p>
        </w:tc>
        <w:tc>
          <w:tcPr>
            <w:tcW w:w="833" w:type="pct"/>
            <w:tcBorders>
              <w:top w:val="single" w:sz="4" w:space="0" w:color="auto"/>
              <w:left w:val="single" w:sz="4" w:space="0" w:color="auto"/>
              <w:bottom w:val="single" w:sz="4" w:space="0" w:color="auto"/>
              <w:right w:val="single" w:sz="4" w:space="0" w:color="auto"/>
            </w:tcBorders>
          </w:tcPr>
          <w:p w14:paraId="4A018635"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hideMark/>
          </w:tcPr>
          <w:p w14:paraId="37867ABE" w14:textId="77777777" w:rsidR="00C71195" w:rsidRPr="00C71195" w:rsidRDefault="00C71195">
            <w:pPr>
              <w:rPr>
                <w:iCs/>
                <w:sz w:val="22"/>
                <w:szCs w:val="22"/>
                <w:lang w:val="da-DK"/>
              </w:rPr>
            </w:pPr>
            <w:r w:rsidRPr="00C71195">
              <w:rPr>
                <w:iCs/>
                <w:sz w:val="22"/>
                <w:szCs w:val="22"/>
                <w:lang w:val="da-DK"/>
              </w:rPr>
              <w:t>Sanseforstyrrelser</w:t>
            </w:r>
            <w:r w:rsidRPr="00C71195">
              <w:rPr>
                <w:iCs/>
                <w:sz w:val="22"/>
                <w:szCs w:val="22"/>
                <w:vertAlign w:val="superscript"/>
                <w:lang w:val="da-DK"/>
              </w:rPr>
              <w:t>a</w:t>
            </w:r>
            <w:r w:rsidRPr="00C71195">
              <w:rPr>
                <w:iCs/>
                <w:sz w:val="22"/>
                <w:szCs w:val="22"/>
                <w:lang w:val="da-DK"/>
              </w:rPr>
              <w:t xml:space="preserve"> (inkl. hallucinationer, visuelle hallucinationer, auditive hallucinationer, illusioner), søvnløshed, søvnforstyrrelser, mareridt, unormale drømme, impulskontrol</w:t>
            </w:r>
            <w:r w:rsidRPr="00C71195">
              <w:rPr>
                <w:iCs/>
                <w:sz w:val="22"/>
                <w:szCs w:val="22"/>
                <w:lang w:val="da-DK"/>
              </w:rPr>
              <w:softHyphen/>
              <w:t>forstyrrelser</w:t>
            </w:r>
            <w:r w:rsidRPr="00C71195">
              <w:rPr>
                <w:iCs/>
                <w:sz w:val="22"/>
                <w:szCs w:val="22"/>
                <w:vertAlign w:val="superscript"/>
                <w:lang w:val="da-DK"/>
              </w:rPr>
              <w:t>a,d</w:t>
            </w:r>
            <w:r w:rsidRPr="00C71195">
              <w:rPr>
                <w:iCs/>
                <w:sz w:val="22"/>
                <w:szCs w:val="22"/>
                <w:lang w:val="da-DK"/>
              </w:rPr>
              <w:t xml:space="preserve"> (inkl. ludomani, stereotypi/ tvangshandlinger, uhæmmet madindtagelse/ spiseforstyrrelse</w:t>
            </w:r>
            <w:r w:rsidRPr="00C71195">
              <w:rPr>
                <w:iCs/>
                <w:sz w:val="22"/>
                <w:szCs w:val="22"/>
                <w:vertAlign w:val="superscript"/>
                <w:lang w:val="da-DK"/>
              </w:rPr>
              <w:t>b</w:t>
            </w:r>
            <w:r w:rsidRPr="00C71195">
              <w:rPr>
                <w:iCs/>
                <w:sz w:val="22"/>
                <w:szCs w:val="22"/>
                <w:lang w:val="da-DK"/>
              </w:rPr>
              <w:t>, overdrevent indkøbsmønster</w:t>
            </w:r>
            <w:r w:rsidRPr="00C71195">
              <w:rPr>
                <w:iCs/>
                <w:sz w:val="22"/>
                <w:szCs w:val="22"/>
                <w:vertAlign w:val="superscript"/>
                <w:lang w:val="da-DK"/>
              </w:rPr>
              <w:t>c</w:t>
            </w:r>
            <w:r w:rsidRPr="00C71195">
              <w:rPr>
                <w:iCs/>
                <w:sz w:val="22"/>
                <w:szCs w:val="22"/>
                <w:lang w:val="da-DK"/>
              </w:rPr>
              <w:t>)</w:t>
            </w:r>
          </w:p>
        </w:tc>
        <w:tc>
          <w:tcPr>
            <w:tcW w:w="903" w:type="pct"/>
            <w:tcBorders>
              <w:top w:val="single" w:sz="4" w:space="0" w:color="auto"/>
              <w:left w:val="single" w:sz="4" w:space="0" w:color="auto"/>
              <w:bottom w:val="single" w:sz="4" w:space="0" w:color="auto"/>
              <w:right w:val="single" w:sz="4" w:space="0" w:color="auto"/>
            </w:tcBorders>
            <w:hideMark/>
          </w:tcPr>
          <w:p w14:paraId="3D1F9C8C" w14:textId="77777777" w:rsidR="00C71195" w:rsidRPr="00C71195" w:rsidRDefault="00C71195">
            <w:pPr>
              <w:rPr>
                <w:iCs/>
                <w:sz w:val="22"/>
                <w:szCs w:val="22"/>
                <w:lang w:val="da-DK"/>
              </w:rPr>
            </w:pPr>
            <w:r w:rsidRPr="00C71195">
              <w:rPr>
                <w:iCs/>
                <w:sz w:val="22"/>
                <w:szCs w:val="22"/>
                <w:lang w:val="da-DK"/>
              </w:rPr>
              <w:t>Søvnanfald/ pludselig indsættende søvn, forstyrret seksuel adfærd</w:t>
            </w:r>
            <w:r w:rsidRPr="00C71195">
              <w:rPr>
                <w:iCs/>
                <w:sz w:val="22"/>
                <w:szCs w:val="22"/>
                <w:vertAlign w:val="superscript"/>
                <w:lang w:val="da-DK"/>
              </w:rPr>
              <w:t>a</w:t>
            </w:r>
            <w:r w:rsidRPr="00C71195">
              <w:rPr>
                <w:iCs/>
                <w:sz w:val="22"/>
                <w:szCs w:val="22"/>
                <w:lang w:val="da-DK"/>
              </w:rPr>
              <w:t xml:space="preserve"> (inkl. hyperseksualitet, øget libido), forvirring, desorientering</w:t>
            </w:r>
            <w:r w:rsidRPr="00C71195">
              <w:rPr>
                <w:iCs/>
                <w:sz w:val="22"/>
                <w:szCs w:val="22"/>
                <w:vertAlign w:val="superscript"/>
                <w:lang w:val="da-DK"/>
              </w:rPr>
              <w:t>d</w:t>
            </w:r>
            <w:r w:rsidRPr="00C71195">
              <w:rPr>
                <w:iCs/>
                <w:sz w:val="22"/>
                <w:szCs w:val="22"/>
                <w:lang w:val="da-DK"/>
              </w:rPr>
              <w:t>, agitation</w:t>
            </w:r>
            <w:r w:rsidRPr="00C71195">
              <w:rPr>
                <w:iCs/>
                <w:sz w:val="22"/>
                <w:szCs w:val="22"/>
                <w:vertAlign w:val="superscript"/>
                <w:lang w:val="da-DK"/>
              </w:rPr>
              <w:t>d</w:t>
            </w:r>
          </w:p>
        </w:tc>
        <w:tc>
          <w:tcPr>
            <w:tcW w:w="697" w:type="pct"/>
            <w:tcBorders>
              <w:top w:val="single" w:sz="4" w:space="0" w:color="auto"/>
              <w:left w:val="single" w:sz="4" w:space="0" w:color="auto"/>
              <w:bottom w:val="single" w:sz="4" w:space="0" w:color="auto"/>
              <w:right w:val="single" w:sz="4" w:space="0" w:color="auto"/>
            </w:tcBorders>
            <w:hideMark/>
          </w:tcPr>
          <w:p w14:paraId="00C57251" w14:textId="77777777" w:rsidR="00C71195" w:rsidRPr="00C71195" w:rsidRDefault="00C71195">
            <w:pPr>
              <w:rPr>
                <w:iCs/>
                <w:sz w:val="22"/>
                <w:szCs w:val="22"/>
                <w:lang w:val="da-DK"/>
              </w:rPr>
            </w:pPr>
            <w:r w:rsidRPr="00C71195">
              <w:rPr>
                <w:iCs/>
                <w:sz w:val="22"/>
                <w:szCs w:val="22"/>
                <w:lang w:val="da-DK"/>
              </w:rPr>
              <w:t>Psykotisk lidelse, obsessiv-kompulsiv tilstand, aggressiv opførsel/aggression</w:t>
            </w:r>
            <w:r w:rsidRPr="00C71195">
              <w:rPr>
                <w:iCs/>
                <w:sz w:val="22"/>
                <w:szCs w:val="22"/>
                <w:vertAlign w:val="superscript"/>
                <w:lang w:val="da-DK"/>
              </w:rPr>
              <w:t>b</w:t>
            </w:r>
            <w:r w:rsidRPr="00C71195">
              <w:rPr>
                <w:iCs/>
                <w:sz w:val="22"/>
                <w:szCs w:val="22"/>
                <w:lang w:val="da-DK"/>
              </w:rPr>
              <w:t>, vrangfore</w:t>
            </w:r>
            <w:r w:rsidRPr="00C71195">
              <w:rPr>
                <w:iCs/>
                <w:sz w:val="22"/>
                <w:szCs w:val="22"/>
                <w:lang w:val="da-DK"/>
              </w:rPr>
              <w:softHyphen/>
              <w:t>stillinger</w:t>
            </w:r>
            <w:r w:rsidRPr="00C71195">
              <w:rPr>
                <w:iCs/>
                <w:sz w:val="22"/>
                <w:szCs w:val="22"/>
                <w:vertAlign w:val="superscript"/>
                <w:lang w:val="da-DK"/>
              </w:rPr>
              <w:t>d</w:t>
            </w:r>
            <w:r w:rsidRPr="00C71195">
              <w:rPr>
                <w:iCs/>
                <w:sz w:val="22"/>
                <w:szCs w:val="22"/>
                <w:lang w:val="da-DK"/>
              </w:rPr>
              <w:t>, delirium</w:t>
            </w:r>
            <w:r w:rsidRPr="00C71195">
              <w:rPr>
                <w:iCs/>
                <w:sz w:val="22"/>
                <w:szCs w:val="22"/>
                <w:vertAlign w:val="superscript"/>
                <w:lang w:val="da-DK"/>
              </w:rPr>
              <w:t>d</w:t>
            </w:r>
          </w:p>
        </w:tc>
        <w:tc>
          <w:tcPr>
            <w:tcW w:w="831" w:type="pct"/>
            <w:tcBorders>
              <w:top w:val="single" w:sz="4" w:space="0" w:color="auto"/>
              <w:left w:val="single" w:sz="4" w:space="0" w:color="auto"/>
              <w:bottom w:val="single" w:sz="4" w:space="0" w:color="auto"/>
              <w:right w:val="single" w:sz="4" w:space="0" w:color="auto"/>
            </w:tcBorders>
            <w:hideMark/>
          </w:tcPr>
          <w:p w14:paraId="31BF3D88" w14:textId="77777777" w:rsidR="00C71195" w:rsidRDefault="00C71195">
            <w:pPr>
              <w:rPr>
                <w:iCs/>
                <w:sz w:val="22"/>
                <w:szCs w:val="22"/>
              </w:rPr>
            </w:pPr>
            <w:r>
              <w:rPr>
                <w:iCs/>
                <w:sz w:val="22"/>
                <w:szCs w:val="22"/>
              </w:rPr>
              <w:t>Dopamin-dysregulerings</w:t>
            </w:r>
            <w:r>
              <w:rPr>
                <w:iCs/>
                <w:sz w:val="22"/>
                <w:szCs w:val="22"/>
              </w:rPr>
              <w:softHyphen/>
              <w:t>syndrom</w:t>
            </w:r>
            <w:r>
              <w:rPr>
                <w:iCs/>
                <w:sz w:val="22"/>
                <w:szCs w:val="22"/>
                <w:vertAlign w:val="superscript"/>
              </w:rPr>
              <w:t>c</w:t>
            </w:r>
          </w:p>
        </w:tc>
      </w:tr>
      <w:tr w:rsidR="00C71195" w14:paraId="65A7789C"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24E17BAB" w14:textId="77777777" w:rsidR="00C71195" w:rsidRDefault="00C71195">
            <w:pPr>
              <w:rPr>
                <w:b/>
                <w:iCs/>
                <w:sz w:val="22"/>
                <w:szCs w:val="22"/>
              </w:rPr>
            </w:pPr>
            <w:r>
              <w:rPr>
                <w:b/>
                <w:iCs/>
                <w:sz w:val="22"/>
                <w:szCs w:val="22"/>
              </w:rPr>
              <w:t>Nervesystemet</w:t>
            </w:r>
          </w:p>
        </w:tc>
        <w:tc>
          <w:tcPr>
            <w:tcW w:w="833" w:type="pct"/>
            <w:tcBorders>
              <w:top w:val="single" w:sz="4" w:space="0" w:color="auto"/>
              <w:left w:val="single" w:sz="4" w:space="0" w:color="auto"/>
              <w:bottom w:val="single" w:sz="4" w:space="0" w:color="auto"/>
              <w:right w:val="single" w:sz="4" w:space="0" w:color="auto"/>
            </w:tcBorders>
            <w:hideMark/>
          </w:tcPr>
          <w:p w14:paraId="79521B22" w14:textId="77777777" w:rsidR="00C71195" w:rsidRDefault="00C71195">
            <w:pPr>
              <w:rPr>
                <w:iCs/>
                <w:sz w:val="22"/>
                <w:szCs w:val="22"/>
              </w:rPr>
            </w:pPr>
            <w:r>
              <w:rPr>
                <w:iCs/>
                <w:sz w:val="22"/>
                <w:szCs w:val="22"/>
              </w:rPr>
              <w:t>Døsighed, svimmelhed, hovedpine</w:t>
            </w:r>
          </w:p>
        </w:tc>
        <w:tc>
          <w:tcPr>
            <w:tcW w:w="904" w:type="pct"/>
            <w:tcBorders>
              <w:top w:val="single" w:sz="4" w:space="0" w:color="auto"/>
              <w:left w:val="single" w:sz="4" w:space="0" w:color="auto"/>
              <w:bottom w:val="single" w:sz="4" w:space="0" w:color="auto"/>
              <w:right w:val="single" w:sz="4" w:space="0" w:color="auto"/>
            </w:tcBorders>
            <w:hideMark/>
          </w:tcPr>
          <w:p w14:paraId="5DE7DEE6" w14:textId="77777777" w:rsidR="00C71195" w:rsidRPr="00C71195" w:rsidRDefault="00C71195">
            <w:pPr>
              <w:rPr>
                <w:iCs/>
                <w:sz w:val="22"/>
                <w:szCs w:val="22"/>
                <w:lang w:val="da-DK"/>
              </w:rPr>
            </w:pPr>
            <w:r w:rsidRPr="00C71195">
              <w:rPr>
                <w:iCs/>
                <w:sz w:val="22"/>
                <w:szCs w:val="22"/>
                <w:lang w:val="da-DK"/>
              </w:rPr>
              <w:t>Bevidstheds</w:t>
            </w:r>
            <w:r w:rsidRPr="00C71195">
              <w:rPr>
                <w:iCs/>
                <w:sz w:val="22"/>
                <w:szCs w:val="22"/>
                <w:lang w:val="da-DK"/>
              </w:rPr>
              <w:softHyphen/>
              <w:t>forstyrrelser NEC</w:t>
            </w:r>
            <w:r w:rsidRPr="00C71195">
              <w:rPr>
                <w:iCs/>
                <w:sz w:val="22"/>
                <w:szCs w:val="22"/>
                <w:vertAlign w:val="superscript"/>
                <w:lang w:val="da-DK"/>
              </w:rPr>
              <w:t>a</w:t>
            </w:r>
            <w:r w:rsidRPr="00C71195">
              <w:rPr>
                <w:iCs/>
                <w:sz w:val="22"/>
                <w:szCs w:val="22"/>
                <w:lang w:val="da-DK"/>
              </w:rPr>
              <w:t xml:space="preserve"> (inkl. synkope, vasovagal synkope, tab af bevidsthed), dyskinesi, postural svimmelhed, letargi</w:t>
            </w:r>
          </w:p>
        </w:tc>
        <w:tc>
          <w:tcPr>
            <w:tcW w:w="903" w:type="pct"/>
            <w:tcBorders>
              <w:top w:val="single" w:sz="4" w:space="0" w:color="auto"/>
              <w:left w:val="single" w:sz="4" w:space="0" w:color="auto"/>
              <w:bottom w:val="single" w:sz="4" w:space="0" w:color="auto"/>
              <w:right w:val="single" w:sz="4" w:space="0" w:color="auto"/>
            </w:tcBorders>
          </w:tcPr>
          <w:p w14:paraId="235F033C" w14:textId="77777777" w:rsidR="00C71195" w:rsidRPr="00C71195" w:rsidRDefault="00C71195">
            <w:pPr>
              <w:rPr>
                <w:iCs/>
                <w:sz w:val="22"/>
                <w:szCs w:val="22"/>
                <w:lang w:val="da-DK"/>
              </w:rPr>
            </w:pPr>
          </w:p>
        </w:tc>
        <w:tc>
          <w:tcPr>
            <w:tcW w:w="697" w:type="pct"/>
            <w:tcBorders>
              <w:top w:val="single" w:sz="4" w:space="0" w:color="auto"/>
              <w:left w:val="single" w:sz="4" w:space="0" w:color="auto"/>
              <w:bottom w:val="single" w:sz="4" w:space="0" w:color="auto"/>
              <w:right w:val="single" w:sz="4" w:space="0" w:color="auto"/>
            </w:tcBorders>
            <w:hideMark/>
          </w:tcPr>
          <w:p w14:paraId="0F0BDAEF" w14:textId="77777777" w:rsidR="00C71195" w:rsidRDefault="00C71195">
            <w:pPr>
              <w:rPr>
                <w:iCs/>
                <w:sz w:val="22"/>
                <w:szCs w:val="22"/>
              </w:rPr>
            </w:pPr>
            <w:r>
              <w:rPr>
                <w:iCs/>
                <w:sz w:val="22"/>
                <w:szCs w:val="22"/>
              </w:rPr>
              <w:t>Krampe</w:t>
            </w:r>
          </w:p>
        </w:tc>
        <w:tc>
          <w:tcPr>
            <w:tcW w:w="831" w:type="pct"/>
            <w:tcBorders>
              <w:top w:val="single" w:sz="4" w:space="0" w:color="auto"/>
              <w:left w:val="single" w:sz="4" w:space="0" w:color="auto"/>
              <w:bottom w:val="single" w:sz="4" w:space="0" w:color="auto"/>
              <w:right w:val="single" w:sz="4" w:space="0" w:color="auto"/>
            </w:tcBorders>
            <w:hideMark/>
          </w:tcPr>
          <w:p w14:paraId="54DAB6E6" w14:textId="77777777" w:rsidR="00C71195" w:rsidRDefault="00C71195">
            <w:pPr>
              <w:rPr>
                <w:sz w:val="22"/>
                <w:szCs w:val="22"/>
              </w:rPr>
            </w:pPr>
            <w:r>
              <w:rPr>
                <w:i/>
                <w:iCs/>
                <w:sz w:val="22"/>
                <w:szCs w:val="22"/>
              </w:rPr>
              <w:t>Dropped head-</w:t>
            </w:r>
            <w:r>
              <w:rPr>
                <w:sz w:val="22"/>
                <w:szCs w:val="22"/>
              </w:rPr>
              <w:t>syndrom</w:t>
            </w:r>
            <w:r>
              <w:rPr>
                <w:iCs/>
                <w:sz w:val="22"/>
                <w:szCs w:val="22"/>
                <w:vertAlign w:val="superscript"/>
              </w:rPr>
              <w:t>c,e</w:t>
            </w:r>
          </w:p>
        </w:tc>
      </w:tr>
      <w:tr w:rsidR="00C71195" w14:paraId="4C14913B"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64CAD774" w14:textId="77777777" w:rsidR="00C71195" w:rsidRDefault="00C71195">
            <w:pPr>
              <w:rPr>
                <w:b/>
                <w:iCs/>
                <w:sz w:val="22"/>
                <w:szCs w:val="22"/>
              </w:rPr>
            </w:pPr>
            <w:r>
              <w:rPr>
                <w:b/>
                <w:iCs/>
                <w:sz w:val="22"/>
                <w:szCs w:val="22"/>
              </w:rPr>
              <w:t>Øjne</w:t>
            </w:r>
          </w:p>
        </w:tc>
        <w:tc>
          <w:tcPr>
            <w:tcW w:w="833" w:type="pct"/>
            <w:tcBorders>
              <w:top w:val="single" w:sz="4" w:space="0" w:color="auto"/>
              <w:left w:val="single" w:sz="4" w:space="0" w:color="auto"/>
              <w:bottom w:val="single" w:sz="4" w:space="0" w:color="auto"/>
              <w:right w:val="single" w:sz="4" w:space="0" w:color="auto"/>
            </w:tcBorders>
          </w:tcPr>
          <w:p w14:paraId="54B874BA"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tcPr>
          <w:p w14:paraId="4362D983" w14:textId="77777777" w:rsidR="00C71195" w:rsidRDefault="00C71195">
            <w:pPr>
              <w:rPr>
                <w:iCs/>
                <w:sz w:val="22"/>
                <w:szCs w:val="22"/>
              </w:rPr>
            </w:pPr>
          </w:p>
        </w:tc>
        <w:tc>
          <w:tcPr>
            <w:tcW w:w="903" w:type="pct"/>
            <w:tcBorders>
              <w:top w:val="single" w:sz="4" w:space="0" w:color="auto"/>
              <w:left w:val="single" w:sz="4" w:space="0" w:color="auto"/>
              <w:bottom w:val="single" w:sz="4" w:space="0" w:color="auto"/>
              <w:right w:val="single" w:sz="4" w:space="0" w:color="auto"/>
            </w:tcBorders>
            <w:hideMark/>
          </w:tcPr>
          <w:p w14:paraId="423F5D8B" w14:textId="77777777" w:rsidR="00C71195" w:rsidRPr="00C71195" w:rsidRDefault="00C71195">
            <w:pPr>
              <w:rPr>
                <w:iCs/>
                <w:sz w:val="22"/>
                <w:szCs w:val="22"/>
                <w:lang w:val="da-DK"/>
              </w:rPr>
            </w:pPr>
            <w:r w:rsidRPr="00C71195">
              <w:rPr>
                <w:iCs/>
                <w:sz w:val="22"/>
                <w:szCs w:val="22"/>
                <w:lang w:val="da-DK"/>
              </w:rPr>
              <w:t>Sløret syn, nedsat syn, fotopsi</w:t>
            </w:r>
          </w:p>
        </w:tc>
        <w:tc>
          <w:tcPr>
            <w:tcW w:w="697" w:type="pct"/>
            <w:tcBorders>
              <w:top w:val="single" w:sz="4" w:space="0" w:color="auto"/>
              <w:left w:val="single" w:sz="4" w:space="0" w:color="auto"/>
              <w:bottom w:val="single" w:sz="4" w:space="0" w:color="auto"/>
              <w:right w:val="single" w:sz="4" w:space="0" w:color="auto"/>
            </w:tcBorders>
          </w:tcPr>
          <w:p w14:paraId="13F46701" w14:textId="77777777" w:rsidR="00C71195" w:rsidRPr="00C71195" w:rsidRDefault="00C71195">
            <w:pPr>
              <w:rPr>
                <w:iCs/>
                <w:sz w:val="22"/>
                <w:szCs w:val="22"/>
                <w:lang w:val="da-DK"/>
              </w:rPr>
            </w:pPr>
          </w:p>
        </w:tc>
        <w:tc>
          <w:tcPr>
            <w:tcW w:w="831" w:type="pct"/>
            <w:tcBorders>
              <w:top w:val="single" w:sz="4" w:space="0" w:color="auto"/>
              <w:left w:val="single" w:sz="4" w:space="0" w:color="auto"/>
              <w:bottom w:val="single" w:sz="4" w:space="0" w:color="auto"/>
              <w:right w:val="single" w:sz="4" w:space="0" w:color="auto"/>
            </w:tcBorders>
          </w:tcPr>
          <w:p w14:paraId="22204C1C" w14:textId="77777777" w:rsidR="00C71195" w:rsidRPr="00C71195" w:rsidRDefault="00C71195">
            <w:pPr>
              <w:rPr>
                <w:iCs/>
                <w:sz w:val="22"/>
                <w:szCs w:val="22"/>
                <w:lang w:val="da-DK"/>
              </w:rPr>
            </w:pPr>
          </w:p>
        </w:tc>
      </w:tr>
      <w:tr w:rsidR="00C71195" w14:paraId="516349D8"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4C147414" w14:textId="77777777" w:rsidR="00C71195" w:rsidRDefault="00C71195">
            <w:pPr>
              <w:rPr>
                <w:b/>
                <w:iCs/>
                <w:sz w:val="22"/>
                <w:szCs w:val="22"/>
              </w:rPr>
            </w:pPr>
            <w:r>
              <w:rPr>
                <w:b/>
                <w:iCs/>
                <w:sz w:val="22"/>
                <w:szCs w:val="22"/>
              </w:rPr>
              <w:t>Øre og labyrint</w:t>
            </w:r>
          </w:p>
        </w:tc>
        <w:tc>
          <w:tcPr>
            <w:tcW w:w="833" w:type="pct"/>
            <w:tcBorders>
              <w:top w:val="single" w:sz="4" w:space="0" w:color="auto"/>
              <w:left w:val="single" w:sz="4" w:space="0" w:color="auto"/>
              <w:bottom w:val="single" w:sz="4" w:space="0" w:color="auto"/>
              <w:right w:val="single" w:sz="4" w:space="0" w:color="auto"/>
            </w:tcBorders>
          </w:tcPr>
          <w:p w14:paraId="47B5EF78"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hideMark/>
          </w:tcPr>
          <w:p w14:paraId="29B09E05" w14:textId="77777777" w:rsidR="00C71195" w:rsidRDefault="00C71195">
            <w:pPr>
              <w:rPr>
                <w:iCs/>
                <w:sz w:val="22"/>
                <w:szCs w:val="22"/>
              </w:rPr>
            </w:pPr>
            <w:r>
              <w:rPr>
                <w:iCs/>
                <w:sz w:val="22"/>
                <w:szCs w:val="22"/>
              </w:rPr>
              <w:t>Vertigo</w:t>
            </w:r>
          </w:p>
        </w:tc>
        <w:tc>
          <w:tcPr>
            <w:tcW w:w="903" w:type="pct"/>
            <w:tcBorders>
              <w:top w:val="single" w:sz="4" w:space="0" w:color="auto"/>
              <w:left w:val="single" w:sz="4" w:space="0" w:color="auto"/>
              <w:bottom w:val="single" w:sz="4" w:space="0" w:color="auto"/>
              <w:right w:val="single" w:sz="4" w:space="0" w:color="auto"/>
            </w:tcBorders>
          </w:tcPr>
          <w:p w14:paraId="77AAEDF8" w14:textId="77777777" w:rsidR="00C71195" w:rsidRDefault="00C71195">
            <w:pPr>
              <w:rPr>
                <w:iCs/>
                <w:sz w:val="22"/>
                <w:szCs w:val="22"/>
              </w:rPr>
            </w:pPr>
          </w:p>
        </w:tc>
        <w:tc>
          <w:tcPr>
            <w:tcW w:w="697" w:type="pct"/>
            <w:tcBorders>
              <w:top w:val="single" w:sz="4" w:space="0" w:color="auto"/>
              <w:left w:val="single" w:sz="4" w:space="0" w:color="auto"/>
              <w:bottom w:val="single" w:sz="4" w:space="0" w:color="auto"/>
              <w:right w:val="single" w:sz="4" w:space="0" w:color="auto"/>
            </w:tcBorders>
          </w:tcPr>
          <w:p w14:paraId="73784039" w14:textId="77777777" w:rsidR="00C71195" w:rsidRDefault="00C71195">
            <w:pPr>
              <w:rPr>
                <w:iCs/>
                <w:sz w:val="22"/>
                <w:szCs w:val="22"/>
              </w:rPr>
            </w:pPr>
          </w:p>
        </w:tc>
        <w:tc>
          <w:tcPr>
            <w:tcW w:w="831" w:type="pct"/>
            <w:tcBorders>
              <w:top w:val="single" w:sz="4" w:space="0" w:color="auto"/>
              <w:left w:val="single" w:sz="4" w:space="0" w:color="auto"/>
              <w:bottom w:val="single" w:sz="4" w:space="0" w:color="auto"/>
              <w:right w:val="single" w:sz="4" w:space="0" w:color="auto"/>
            </w:tcBorders>
          </w:tcPr>
          <w:p w14:paraId="6744B1BB" w14:textId="77777777" w:rsidR="00C71195" w:rsidRDefault="00C71195">
            <w:pPr>
              <w:rPr>
                <w:iCs/>
                <w:sz w:val="22"/>
                <w:szCs w:val="22"/>
              </w:rPr>
            </w:pPr>
          </w:p>
        </w:tc>
      </w:tr>
      <w:tr w:rsidR="00C71195" w14:paraId="7EA609E2"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6914C76C" w14:textId="77777777" w:rsidR="00C71195" w:rsidRDefault="00C71195">
            <w:pPr>
              <w:rPr>
                <w:b/>
                <w:iCs/>
                <w:sz w:val="22"/>
                <w:szCs w:val="22"/>
              </w:rPr>
            </w:pPr>
            <w:r>
              <w:rPr>
                <w:b/>
                <w:iCs/>
                <w:sz w:val="22"/>
                <w:szCs w:val="22"/>
              </w:rPr>
              <w:t>Hjerte</w:t>
            </w:r>
          </w:p>
        </w:tc>
        <w:tc>
          <w:tcPr>
            <w:tcW w:w="833" w:type="pct"/>
            <w:tcBorders>
              <w:top w:val="single" w:sz="4" w:space="0" w:color="auto"/>
              <w:left w:val="single" w:sz="4" w:space="0" w:color="auto"/>
              <w:bottom w:val="single" w:sz="4" w:space="0" w:color="auto"/>
              <w:right w:val="single" w:sz="4" w:space="0" w:color="auto"/>
            </w:tcBorders>
          </w:tcPr>
          <w:p w14:paraId="5D335FE9"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hideMark/>
          </w:tcPr>
          <w:p w14:paraId="16F35A25" w14:textId="77777777" w:rsidR="00C71195" w:rsidRDefault="00C71195">
            <w:pPr>
              <w:rPr>
                <w:iCs/>
                <w:sz w:val="22"/>
                <w:szCs w:val="22"/>
              </w:rPr>
            </w:pPr>
            <w:r>
              <w:rPr>
                <w:iCs/>
                <w:sz w:val="22"/>
                <w:szCs w:val="22"/>
              </w:rPr>
              <w:t>Palpitationer</w:t>
            </w:r>
          </w:p>
        </w:tc>
        <w:tc>
          <w:tcPr>
            <w:tcW w:w="903" w:type="pct"/>
            <w:tcBorders>
              <w:top w:val="single" w:sz="4" w:space="0" w:color="auto"/>
              <w:left w:val="single" w:sz="4" w:space="0" w:color="auto"/>
              <w:bottom w:val="single" w:sz="4" w:space="0" w:color="auto"/>
              <w:right w:val="single" w:sz="4" w:space="0" w:color="auto"/>
            </w:tcBorders>
            <w:hideMark/>
          </w:tcPr>
          <w:p w14:paraId="10D5F185" w14:textId="77777777" w:rsidR="00C71195" w:rsidRDefault="00C71195">
            <w:pPr>
              <w:rPr>
                <w:iCs/>
                <w:sz w:val="22"/>
                <w:szCs w:val="22"/>
              </w:rPr>
            </w:pPr>
            <w:r>
              <w:rPr>
                <w:iCs/>
                <w:sz w:val="22"/>
                <w:szCs w:val="22"/>
              </w:rPr>
              <w:t>Atriefibrillation</w:t>
            </w:r>
          </w:p>
        </w:tc>
        <w:tc>
          <w:tcPr>
            <w:tcW w:w="697" w:type="pct"/>
            <w:tcBorders>
              <w:top w:val="single" w:sz="4" w:space="0" w:color="auto"/>
              <w:left w:val="single" w:sz="4" w:space="0" w:color="auto"/>
              <w:bottom w:val="single" w:sz="4" w:space="0" w:color="auto"/>
              <w:right w:val="single" w:sz="4" w:space="0" w:color="auto"/>
            </w:tcBorders>
            <w:hideMark/>
          </w:tcPr>
          <w:p w14:paraId="7A9F3801" w14:textId="77777777" w:rsidR="00C71195" w:rsidRDefault="00C71195">
            <w:pPr>
              <w:rPr>
                <w:iCs/>
                <w:sz w:val="22"/>
                <w:szCs w:val="22"/>
              </w:rPr>
            </w:pPr>
            <w:r>
              <w:rPr>
                <w:iCs/>
                <w:sz w:val="22"/>
                <w:szCs w:val="22"/>
              </w:rPr>
              <w:t>Supra</w:t>
            </w:r>
            <w:r>
              <w:rPr>
                <w:iCs/>
                <w:sz w:val="22"/>
                <w:szCs w:val="22"/>
              </w:rPr>
              <w:softHyphen/>
              <w:t>ventrikulær takykardi</w:t>
            </w:r>
          </w:p>
        </w:tc>
        <w:tc>
          <w:tcPr>
            <w:tcW w:w="831" w:type="pct"/>
            <w:tcBorders>
              <w:top w:val="single" w:sz="4" w:space="0" w:color="auto"/>
              <w:left w:val="single" w:sz="4" w:space="0" w:color="auto"/>
              <w:bottom w:val="single" w:sz="4" w:space="0" w:color="auto"/>
              <w:right w:val="single" w:sz="4" w:space="0" w:color="auto"/>
            </w:tcBorders>
          </w:tcPr>
          <w:p w14:paraId="49348383" w14:textId="77777777" w:rsidR="00C71195" w:rsidRDefault="00C71195">
            <w:pPr>
              <w:rPr>
                <w:iCs/>
                <w:sz w:val="22"/>
                <w:szCs w:val="22"/>
              </w:rPr>
            </w:pPr>
          </w:p>
        </w:tc>
      </w:tr>
      <w:tr w:rsidR="00C71195" w14:paraId="538B0B16"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42D62660" w14:textId="77777777" w:rsidR="00C71195" w:rsidRDefault="00C71195">
            <w:pPr>
              <w:rPr>
                <w:b/>
                <w:iCs/>
                <w:sz w:val="22"/>
                <w:szCs w:val="22"/>
              </w:rPr>
            </w:pPr>
            <w:r>
              <w:rPr>
                <w:b/>
                <w:iCs/>
                <w:sz w:val="22"/>
                <w:szCs w:val="22"/>
              </w:rPr>
              <w:t>Vaskulære sygdomme</w:t>
            </w:r>
          </w:p>
        </w:tc>
        <w:tc>
          <w:tcPr>
            <w:tcW w:w="833" w:type="pct"/>
            <w:tcBorders>
              <w:top w:val="single" w:sz="4" w:space="0" w:color="auto"/>
              <w:left w:val="single" w:sz="4" w:space="0" w:color="auto"/>
              <w:bottom w:val="single" w:sz="4" w:space="0" w:color="auto"/>
              <w:right w:val="single" w:sz="4" w:space="0" w:color="auto"/>
            </w:tcBorders>
          </w:tcPr>
          <w:p w14:paraId="2C8B13B5"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hideMark/>
          </w:tcPr>
          <w:p w14:paraId="6E7FD0A1" w14:textId="77777777" w:rsidR="00C71195" w:rsidRDefault="00C71195">
            <w:pPr>
              <w:rPr>
                <w:iCs/>
                <w:sz w:val="22"/>
                <w:szCs w:val="22"/>
              </w:rPr>
            </w:pPr>
            <w:r>
              <w:rPr>
                <w:iCs/>
                <w:sz w:val="22"/>
                <w:szCs w:val="22"/>
              </w:rPr>
              <w:t>Ortostatisk hypotension, hypertension</w:t>
            </w:r>
          </w:p>
        </w:tc>
        <w:tc>
          <w:tcPr>
            <w:tcW w:w="903" w:type="pct"/>
            <w:tcBorders>
              <w:top w:val="single" w:sz="4" w:space="0" w:color="auto"/>
              <w:left w:val="single" w:sz="4" w:space="0" w:color="auto"/>
              <w:bottom w:val="single" w:sz="4" w:space="0" w:color="auto"/>
              <w:right w:val="single" w:sz="4" w:space="0" w:color="auto"/>
            </w:tcBorders>
            <w:hideMark/>
          </w:tcPr>
          <w:p w14:paraId="3873B470" w14:textId="77777777" w:rsidR="00C71195" w:rsidRDefault="00C71195">
            <w:pPr>
              <w:rPr>
                <w:iCs/>
                <w:sz w:val="22"/>
                <w:szCs w:val="22"/>
              </w:rPr>
            </w:pPr>
            <w:r>
              <w:rPr>
                <w:iCs/>
                <w:sz w:val="22"/>
                <w:szCs w:val="22"/>
              </w:rPr>
              <w:t>Hypotension</w:t>
            </w:r>
          </w:p>
        </w:tc>
        <w:tc>
          <w:tcPr>
            <w:tcW w:w="697" w:type="pct"/>
            <w:tcBorders>
              <w:top w:val="single" w:sz="4" w:space="0" w:color="auto"/>
              <w:left w:val="single" w:sz="4" w:space="0" w:color="auto"/>
              <w:bottom w:val="single" w:sz="4" w:space="0" w:color="auto"/>
              <w:right w:val="single" w:sz="4" w:space="0" w:color="auto"/>
            </w:tcBorders>
          </w:tcPr>
          <w:p w14:paraId="49DE0195" w14:textId="77777777" w:rsidR="00C71195" w:rsidRDefault="00C71195">
            <w:pPr>
              <w:rPr>
                <w:iCs/>
                <w:sz w:val="22"/>
                <w:szCs w:val="22"/>
              </w:rPr>
            </w:pPr>
          </w:p>
        </w:tc>
        <w:tc>
          <w:tcPr>
            <w:tcW w:w="831" w:type="pct"/>
            <w:tcBorders>
              <w:top w:val="single" w:sz="4" w:space="0" w:color="auto"/>
              <w:left w:val="single" w:sz="4" w:space="0" w:color="auto"/>
              <w:bottom w:val="single" w:sz="4" w:space="0" w:color="auto"/>
              <w:right w:val="single" w:sz="4" w:space="0" w:color="auto"/>
            </w:tcBorders>
          </w:tcPr>
          <w:p w14:paraId="64EF8340" w14:textId="77777777" w:rsidR="00C71195" w:rsidRDefault="00C71195">
            <w:pPr>
              <w:rPr>
                <w:iCs/>
                <w:sz w:val="22"/>
                <w:szCs w:val="22"/>
              </w:rPr>
            </w:pPr>
          </w:p>
        </w:tc>
      </w:tr>
      <w:tr w:rsidR="00C71195" w14:paraId="10C9F54B"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183526DB" w14:textId="77777777" w:rsidR="00C71195" w:rsidRDefault="00C71195">
            <w:pPr>
              <w:rPr>
                <w:b/>
                <w:iCs/>
                <w:sz w:val="22"/>
                <w:szCs w:val="22"/>
              </w:rPr>
            </w:pPr>
            <w:r>
              <w:rPr>
                <w:b/>
                <w:iCs/>
                <w:sz w:val="22"/>
                <w:szCs w:val="22"/>
              </w:rPr>
              <w:lastRenderedPageBreak/>
              <w:t>Luftveje, thorax og mediastinum</w:t>
            </w:r>
          </w:p>
        </w:tc>
        <w:tc>
          <w:tcPr>
            <w:tcW w:w="833" w:type="pct"/>
            <w:tcBorders>
              <w:top w:val="single" w:sz="4" w:space="0" w:color="auto"/>
              <w:left w:val="single" w:sz="4" w:space="0" w:color="auto"/>
              <w:bottom w:val="single" w:sz="4" w:space="0" w:color="auto"/>
              <w:right w:val="single" w:sz="4" w:space="0" w:color="auto"/>
            </w:tcBorders>
          </w:tcPr>
          <w:p w14:paraId="4A206D8F"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hideMark/>
          </w:tcPr>
          <w:p w14:paraId="5917E429" w14:textId="77777777" w:rsidR="00C71195" w:rsidRDefault="00C71195">
            <w:pPr>
              <w:rPr>
                <w:iCs/>
                <w:sz w:val="22"/>
                <w:szCs w:val="22"/>
              </w:rPr>
            </w:pPr>
            <w:r>
              <w:rPr>
                <w:iCs/>
                <w:sz w:val="22"/>
                <w:szCs w:val="22"/>
              </w:rPr>
              <w:t>Hikke</w:t>
            </w:r>
          </w:p>
        </w:tc>
        <w:tc>
          <w:tcPr>
            <w:tcW w:w="903" w:type="pct"/>
            <w:tcBorders>
              <w:top w:val="single" w:sz="4" w:space="0" w:color="auto"/>
              <w:left w:val="single" w:sz="4" w:space="0" w:color="auto"/>
              <w:bottom w:val="single" w:sz="4" w:space="0" w:color="auto"/>
              <w:right w:val="single" w:sz="4" w:space="0" w:color="auto"/>
            </w:tcBorders>
          </w:tcPr>
          <w:p w14:paraId="0498D13D" w14:textId="77777777" w:rsidR="00C71195" w:rsidRDefault="00C71195">
            <w:pPr>
              <w:rPr>
                <w:iCs/>
                <w:sz w:val="22"/>
                <w:szCs w:val="22"/>
              </w:rPr>
            </w:pPr>
          </w:p>
        </w:tc>
        <w:tc>
          <w:tcPr>
            <w:tcW w:w="697" w:type="pct"/>
            <w:tcBorders>
              <w:top w:val="single" w:sz="4" w:space="0" w:color="auto"/>
              <w:left w:val="single" w:sz="4" w:space="0" w:color="auto"/>
              <w:bottom w:val="single" w:sz="4" w:space="0" w:color="auto"/>
              <w:right w:val="single" w:sz="4" w:space="0" w:color="auto"/>
            </w:tcBorders>
          </w:tcPr>
          <w:p w14:paraId="759FCA8D" w14:textId="77777777" w:rsidR="00C71195" w:rsidRDefault="00C71195">
            <w:pPr>
              <w:rPr>
                <w:iCs/>
                <w:sz w:val="22"/>
                <w:szCs w:val="22"/>
              </w:rPr>
            </w:pPr>
          </w:p>
        </w:tc>
        <w:tc>
          <w:tcPr>
            <w:tcW w:w="831" w:type="pct"/>
            <w:tcBorders>
              <w:top w:val="single" w:sz="4" w:space="0" w:color="auto"/>
              <w:left w:val="single" w:sz="4" w:space="0" w:color="auto"/>
              <w:bottom w:val="single" w:sz="4" w:space="0" w:color="auto"/>
              <w:right w:val="single" w:sz="4" w:space="0" w:color="auto"/>
            </w:tcBorders>
          </w:tcPr>
          <w:p w14:paraId="0E2A88AC" w14:textId="77777777" w:rsidR="00C71195" w:rsidRDefault="00C71195">
            <w:pPr>
              <w:rPr>
                <w:iCs/>
                <w:sz w:val="22"/>
                <w:szCs w:val="22"/>
              </w:rPr>
            </w:pPr>
          </w:p>
        </w:tc>
      </w:tr>
      <w:tr w:rsidR="00C71195" w14:paraId="7C4D50A2"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2ED40AAD" w14:textId="77777777" w:rsidR="00C71195" w:rsidRDefault="00C71195">
            <w:pPr>
              <w:rPr>
                <w:b/>
                <w:iCs/>
                <w:sz w:val="22"/>
                <w:szCs w:val="22"/>
              </w:rPr>
            </w:pPr>
            <w:r>
              <w:rPr>
                <w:b/>
                <w:iCs/>
                <w:sz w:val="22"/>
                <w:szCs w:val="22"/>
              </w:rPr>
              <w:t>Mave-tarm-kanalen</w:t>
            </w:r>
          </w:p>
        </w:tc>
        <w:tc>
          <w:tcPr>
            <w:tcW w:w="833" w:type="pct"/>
            <w:tcBorders>
              <w:top w:val="single" w:sz="4" w:space="0" w:color="auto"/>
              <w:left w:val="single" w:sz="4" w:space="0" w:color="auto"/>
              <w:bottom w:val="single" w:sz="4" w:space="0" w:color="auto"/>
              <w:right w:val="single" w:sz="4" w:space="0" w:color="auto"/>
            </w:tcBorders>
            <w:hideMark/>
          </w:tcPr>
          <w:p w14:paraId="17AA4CD1" w14:textId="77777777" w:rsidR="00C71195" w:rsidRDefault="00C71195">
            <w:pPr>
              <w:rPr>
                <w:iCs/>
                <w:sz w:val="22"/>
                <w:szCs w:val="22"/>
              </w:rPr>
            </w:pPr>
            <w:r>
              <w:rPr>
                <w:iCs/>
                <w:sz w:val="22"/>
                <w:szCs w:val="22"/>
              </w:rPr>
              <w:t>Kvalme, opkastning</w:t>
            </w:r>
          </w:p>
        </w:tc>
        <w:tc>
          <w:tcPr>
            <w:tcW w:w="904" w:type="pct"/>
            <w:tcBorders>
              <w:top w:val="single" w:sz="4" w:space="0" w:color="auto"/>
              <w:left w:val="single" w:sz="4" w:space="0" w:color="auto"/>
              <w:bottom w:val="single" w:sz="4" w:space="0" w:color="auto"/>
              <w:right w:val="single" w:sz="4" w:space="0" w:color="auto"/>
            </w:tcBorders>
            <w:hideMark/>
          </w:tcPr>
          <w:p w14:paraId="7B51A9B7" w14:textId="77777777" w:rsidR="00C71195" w:rsidRDefault="00C71195">
            <w:pPr>
              <w:rPr>
                <w:iCs/>
                <w:sz w:val="22"/>
                <w:szCs w:val="22"/>
              </w:rPr>
            </w:pPr>
            <w:r>
              <w:rPr>
                <w:iCs/>
                <w:sz w:val="22"/>
                <w:szCs w:val="22"/>
              </w:rPr>
              <w:t>Forstoppelse, mundtørhed, dyspepsi</w:t>
            </w:r>
          </w:p>
        </w:tc>
        <w:tc>
          <w:tcPr>
            <w:tcW w:w="903" w:type="pct"/>
            <w:tcBorders>
              <w:top w:val="single" w:sz="4" w:space="0" w:color="auto"/>
              <w:left w:val="single" w:sz="4" w:space="0" w:color="auto"/>
              <w:bottom w:val="single" w:sz="4" w:space="0" w:color="auto"/>
              <w:right w:val="single" w:sz="4" w:space="0" w:color="auto"/>
            </w:tcBorders>
            <w:hideMark/>
          </w:tcPr>
          <w:p w14:paraId="06E8CFBD" w14:textId="77777777" w:rsidR="00C71195" w:rsidRDefault="00C71195">
            <w:pPr>
              <w:rPr>
                <w:iCs/>
                <w:sz w:val="22"/>
                <w:szCs w:val="22"/>
              </w:rPr>
            </w:pPr>
            <w:r>
              <w:rPr>
                <w:iCs/>
                <w:sz w:val="22"/>
                <w:szCs w:val="22"/>
              </w:rPr>
              <w:t>Abdominalsmerter</w:t>
            </w:r>
          </w:p>
        </w:tc>
        <w:tc>
          <w:tcPr>
            <w:tcW w:w="697" w:type="pct"/>
            <w:tcBorders>
              <w:top w:val="single" w:sz="4" w:space="0" w:color="auto"/>
              <w:left w:val="single" w:sz="4" w:space="0" w:color="auto"/>
              <w:bottom w:val="single" w:sz="4" w:space="0" w:color="auto"/>
              <w:right w:val="single" w:sz="4" w:space="0" w:color="auto"/>
            </w:tcBorders>
          </w:tcPr>
          <w:p w14:paraId="2C763BAF" w14:textId="77777777" w:rsidR="00C71195" w:rsidRDefault="00C71195">
            <w:pPr>
              <w:rPr>
                <w:iCs/>
                <w:sz w:val="22"/>
                <w:szCs w:val="22"/>
              </w:rPr>
            </w:pPr>
          </w:p>
        </w:tc>
        <w:tc>
          <w:tcPr>
            <w:tcW w:w="831" w:type="pct"/>
            <w:tcBorders>
              <w:top w:val="single" w:sz="4" w:space="0" w:color="auto"/>
              <w:left w:val="single" w:sz="4" w:space="0" w:color="auto"/>
              <w:bottom w:val="single" w:sz="4" w:space="0" w:color="auto"/>
              <w:right w:val="single" w:sz="4" w:space="0" w:color="auto"/>
            </w:tcBorders>
            <w:hideMark/>
          </w:tcPr>
          <w:p w14:paraId="4EDC80FD" w14:textId="77777777" w:rsidR="00C71195" w:rsidRDefault="00C71195">
            <w:pPr>
              <w:rPr>
                <w:iCs/>
                <w:sz w:val="22"/>
                <w:szCs w:val="22"/>
              </w:rPr>
            </w:pPr>
            <w:r>
              <w:rPr>
                <w:iCs/>
                <w:sz w:val="22"/>
                <w:szCs w:val="22"/>
              </w:rPr>
              <w:t>Diarré</w:t>
            </w:r>
            <w:r>
              <w:rPr>
                <w:iCs/>
                <w:sz w:val="22"/>
                <w:szCs w:val="22"/>
                <w:vertAlign w:val="superscript"/>
              </w:rPr>
              <w:t>c</w:t>
            </w:r>
          </w:p>
        </w:tc>
      </w:tr>
      <w:tr w:rsidR="00C71195" w14:paraId="0383B0BF"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3D1B582E" w14:textId="77777777" w:rsidR="00C71195" w:rsidRDefault="00C71195">
            <w:pPr>
              <w:rPr>
                <w:b/>
                <w:iCs/>
                <w:sz w:val="22"/>
                <w:szCs w:val="22"/>
              </w:rPr>
            </w:pPr>
            <w:r>
              <w:rPr>
                <w:b/>
                <w:iCs/>
                <w:sz w:val="22"/>
                <w:szCs w:val="22"/>
              </w:rPr>
              <w:t>Hud og subkutane væv</w:t>
            </w:r>
          </w:p>
        </w:tc>
        <w:tc>
          <w:tcPr>
            <w:tcW w:w="833" w:type="pct"/>
            <w:tcBorders>
              <w:top w:val="single" w:sz="4" w:space="0" w:color="auto"/>
              <w:left w:val="single" w:sz="4" w:space="0" w:color="auto"/>
              <w:bottom w:val="single" w:sz="4" w:space="0" w:color="auto"/>
              <w:right w:val="single" w:sz="4" w:space="0" w:color="auto"/>
            </w:tcBorders>
          </w:tcPr>
          <w:p w14:paraId="5D12A3F7"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hideMark/>
          </w:tcPr>
          <w:p w14:paraId="2F2930F8" w14:textId="77777777" w:rsidR="00C71195" w:rsidRDefault="00C71195">
            <w:pPr>
              <w:rPr>
                <w:iCs/>
                <w:sz w:val="22"/>
                <w:szCs w:val="22"/>
              </w:rPr>
            </w:pPr>
            <w:r>
              <w:rPr>
                <w:iCs/>
                <w:sz w:val="22"/>
                <w:szCs w:val="22"/>
              </w:rPr>
              <w:t>Erythem, hyperhidrose, pruritus</w:t>
            </w:r>
          </w:p>
        </w:tc>
        <w:tc>
          <w:tcPr>
            <w:tcW w:w="903" w:type="pct"/>
            <w:tcBorders>
              <w:top w:val="single" w:sz="4" w:space="0" w:color="auto"/>
              <w:left w:val="single" w:sz="4" w:space="0" w:color="auto"/>
              <w:bottom w:val="single" w:sz="4" w:space="0" w:color="auto"/>
              <w:right w:val="single" w:sz="4" w:space="0" w:color="auto"/>
            </w:tcBorders>
            <w:hideMark/>
          </w:tcPr>
          <w:p w14:paraId="5A4865B2" w14:textId="77777777" w:rsidR="00C71195" w:rsidRDefault="00C71195">
            <w:pPr>
              <w:rPr>
                <w:iCs/>
                <w:sz w:val="22"/>
                <w:szCs w:val="22"/>
              </w:rPr>
            </w:pPr>
            <w:r>
              <w:rPr>
                <w:iCs/>
                <w:sz w:val="22"/>
                <w:szCs w:val="22"/>
              </w:rPr>
              <w:t>Generaliseret pruritus, hudirritation, kontaktdermatitis</w:t>
            </w:r>
          </w:p>
        </w:tc>
        <w:tc>
          <w:tcPr>
            <w:tcW w:w="697" w:type="pct"/>
            <w:tcBorders>
              <w:top w:val="single" w:sz="4" w:space="0" w:color="auto"/>
              <w:left w:val="single" w:sz="4" w:space="0" w:color="auto"/>
              <w:bottom w:val="single" w:sz="4" w:space="0" w:color="auto"/>
              <w:right w:val="single" w:sz="4" w:space="0" w:color="auto"/>
            </w:tcBorders>
            <w:hideMark/>
          </w:tcPr>
          <w:p w14:paraId="26724212" w14:textId="77777777" w:rsidR="00C71195" w:rsidRDefault="00C71195">
            <w:pPr>
              <w:rPr>
                <w:iCs/>
                <w:sz w:val="22"/>
                <w:szCs w:val="22"/>
              </w:rPr>
            </w:pPr>
            <w:r>
              <w:rPr>
                <w:iCs/>
                <w:sz w:val="22"/>
                <w:szCs w:val="22"/>
              </w:rPr>
              <w:t>Generaliseret udslæt</w:t>
            </w:r>
          </w:p>
        </w:tc>
        <w:tc>
          <w:tcPr>
            <w:tcW w:w="831" w:type="pct"/>
            <w:tcBorders>
              <w:top w:val="single" w:sz="4" w:space="0" w:color="auto"/>
              <w:left w:val="single" w:sz="4" w:space="0" w:color="auto"/>
              <w:bottom w:val="single" w:sz="4" w:space="0" w:color="auto"/>
              <w:right w:val="single" w:sz="4" w:space="0" w:color="auto"/>
            </w:tcBorders>
          </w:tcPr>
          <w:p w14:paraId="085D6F4E" w14:textId="77777777" w:rsidR="00C71195" w:rsidRDefault="00C71195">
            <w:pPr>
              <w:rPr>
                <w:iCs/>
                <w:sz w:val="22"/>
                <w:szCs w:val="22"/>
              </w:rPr>
            </w:pPr>
          </w:p>
        </w:tc>
      </w:tr>
      <w:tr w:rsidR="00C71195" w14:paraId="4132A5B3"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6E2045B5" w14:textId="77777777" w:rsidR="00C71195" w:rsidRPr="00C71195" w:rsidRDefault="00C71195">
            <w:pPr>
              <w:rPr>
                <w:b/>
                <w:iCs/>
                <w:sz w:val="22"/>
                <w:szCs w:val="22"/>
                <w:lang w:val="da-DK"/>
              </w:rPr>
            </w:pPr>
            <w:r w:rsidRPr="00C71195">
              <w:rPr>
                <w:b/>
                <w:iCs/>
                <w:sz w:val="22"/>
                <w:szCs w:val="22"/>
                <w:lang w:val="da-DK"/>
              </w:rPr>
              <w:t>Det reproduktive system og mammae</w:t>
            </w:r>
          </w:p>
        </w:tc>
        <w:tc>
          <w:tcPr>
            <w:tcW w:w="833" w:type="pct"/>
            <w:tcBorders>
              <w:top w:val="single" w:sz="4" w:space="0" w:color="auto"/>
              <w:left w:val="single" w:sz="4" w:space="0" w:color="auto"/>
              <w:bottom w:val="single" w:sz="4" w:space="0" w:color="auto"/>
              <w:right w:val="single" w:sz="4" w:space="0" w:color="auto"/>
            </w:tcBorders>
          </w:tcPr>
          <w:p w14:paraId="671F250A" w14:textId="77777777" w:rsidR="00C71195" w:rsidRPr="00C71195" w:rsidRDefault="00C71195">
            <w:pPr>
              <w:rPr>
                <w:iCs/>
                <w:sz w:val="22"/>
                <w:szCs w:val="22"/>
                <w:lang w:val="da-DK"/>
              </w:rPr>
            </w:pPr>
          </w:p>
        </w:tc>
        <w:tc>
          <w:tcPr>
            <w:tcW w:w="904" w:type="pct"/>
            <w:tcBorders>
              <w:top w:val="single" w:sz="4" w:space="0" w:color="auto"/>
              <w:left w:val="single" w:sz="4" w:space="0" w:color="auto"/>
              <w:bottom w:val="single" w:sz="4" w:space="0" w:color="auto"/>
              <w:right w:val="single" w:sz="4" w:space="0" w:color="auto"/>
            </w:tcBorders>
          </w:tcPr>
          <w:p w14:paraId="30DCED3D" w14:textId="77777777" w:rsidR="00C71195" w:rsidRPr="00C71195" w:rsidRDefault="00C71195">
            <w:pPr>
              <w:rPr>
                <w:iCs/>
                <w:sz w:val="22"/>
                <w:szCs w:val="22"/>
                <w:lang w:val="da-DK"/>
              </w:rPr>
            </w:pPr>
          </w:p>
        </w:tc>
        <w:tc>
          <w:tcPr>
            <w:tcW w:w="903" w:type="pct"/>
            <w:tcBorders>
              <w:top w:val="single" w:sz="4" w:space="0" w:color="auto"/>
              <w:left w:val="single" w:sz="4" w:space="0" w:color="auto"/>
              <w:bottom w:val="single" w:sz="4" w:space="0" w:color="auto"/>
              <w:right w:val="single" w:sz="4" w:space="0" w:color="auto"/>
            </w:tcBorders>
            <w:hideMark/>
          </w:tcPr>
          <w:p w14:paraId="268619A0" w14:textId="77777777" w:rsidR="00C71195" w:rsidRDefault="00C71195">
            <w:pPr>
              <w:rPr>
                <w:iCs/>
                <w:sz w:val="22"/>
                <w:szCs w:val="22"/>
              </w:rPr>
            </w:pPr>
            <w:r>
              <w:rPr>
                <w:iCs/>
                <w:sz w:val="22"/>
                <w:szCs w:val="22"/>
              </w:rPr>
              <w:t>Erektil dysfunktion</w:t>
            </w:r>
          </w:p>
        </w:tc>
        <w:tc>
          <w:tcPr>
            <w:tcW w:w="697" w:type="pct"/>
            <w:tcBorders>
              <w:top w:val="single" w:sz="4" w:space="0" w:color="auto"/>
              <w:left w:val="single" w:sz="4" w:space="0" w:color="auto"/>
              <w:bottom w:val="single" w:sz="4" w:space="0" w:color="auto"/>
              <w:right w:val="single" w:sz="4" w:space="0" w:color="auto"/>
            </w:tcBorders>
          </w:tcPr>
          <w:p w14:paraId="0191C826" w14:textId="77777777" w:rsidR="00C71195" w:rsidRDefault="00C71195">
            <w:pPr>
              <w:rPr>
                <w:iCs/>
                <w:sz w:val="22"/>
                <w:szCs w:val="22"/>
              </w:rPr>
            </w:pPr>
          </w:p>
        </w:tc>
        <w:tc>
          <w:tcPr>
            <w:tcW w:w="831" w:type="pct"/>
            <w:tcBorders>
              <w:top w:val="single" w:sz="4" w:space="0" w:color="auto"/>
              <w:left w:val="single" w:sz="4" w:space="0" w:color="auto"/>
              <w:bottom w:val="single" w:sz="4" w:space="0" w:color="auto"/>
              <w:right w:val="single" w:sz="4" w:space="0" w:color="auto"/>
            </w:tcBorders>
          </w:tcPr>
          <w:p w14:paraId="50B8160C" w14:textId="77777777" w:rsidR="00C71195" w:rsidRDefault="00C71195">
            <w:pPr>
              <w:rPr>
                <w:iCs/>
                <w:sz w:val="22"/>
                <w:szCs w:val="22"/>
              </w:rPr>
            </w:pPr>
          </w:p>
        </w:tc>
      </w:tr>
      <w:tr w:rsidR="00C71195" w14:paraId="04E3BCB0"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4F0B9313" w14:textId="77777777" w:rsidR="00C71195" w:rsidRPr="00C71195" w:rsidRDefault="00C71195">
            <w:pPr>
              <w:rPr>
                <w:b/>
                <w:iCs/>
                <w:sz w:val="22"/>
                <w:szCs w:val="22"/>
                <w:lang w:val="da-DK"/>
              </w:rPr>
            </w:pPr>
            <w:r w:rsidRPr="00C71195">
              <w:rPr>
                <w:b/>
                <w:iCs/>
                <w:sz w:val="22"/>
                <w:szCs w:val="22"/>
                <w:lang w:val="da-DK"/>
              </w:rPr>
              <w:t>Almene symptomer og reaktioner på administra</w:t>
            </w:r>
            <w:r w:rsidRPr="00C71195">
              <w:rPr>
                <w:b/>
                <w:iCs/>
                <w:sz w:val="22"/>
                <w:szCs w:val="22"/>
                <w:lang w:val="da-DK"/>
              </w:rPr>
              <w:softHyphen/>
              <w:t>tionsstedet</w:t>
            </w:r>
          </w:p>
        </w:tc>
        <w:tc>
          <w:tcPr>
            <w:tcW w:w="833" w:type="pct"/>
            <w:tcBorders>
              <w:top w:val="single" w:sz="4" w:space="0" w:color="auto"/>
              <w:left w:val="single" w:sz="4" w:space="0" w:color="auto"/>
              <w:bottom w:val="single" w:sz="4" w:space="0" w:color="auto"/>
              <w:right w:val="single" w:sz="4" w:space="0" w:color="auto"/>
            </w:tcBorders>
            <w:hideMark/>
          </w:tcPr>
          <w:p w14:paraId="0A1631F2" w14:textId="77777777" w:rsidR="00C71195" w:rsidRPr="00C71195" w:rsidRDefault="00C71195">
            <w:pPr>
              <w:rPr>
                <w:iCs/>
                <w:sz w:val="22"/>
                <w:szCs w:val="22"/>
                <w:lang w:val="da-DK"/>
              </w:rPr>
            </w:pPr>
            <w:r w:rsidRPr="00C71195">
              <w:rPr>
                <w:iCs/>
                <w:sz w:val="22"/>
                <w:szCs w:val="22"/>
                <w:lang w:val="da-DK"/>
              </w:rPr>
              <w:t>Reaktioner på administrations</w:t>
            </w:r>
            <w:r w:rsidRPr="00C71195">
              <w:rPr>
                <w:iCs/>
                <w:sz w:val="22"/>
                <w:szCs w:val="22"/>
                <w:lang w:val="da-DK"/>
              </w:rPr>
              <w:softHyphen/>
              <w:t>stedet</w:t>
            </w:r>
            <w:r w:rsidRPr="00C71195">
              <w:rPr>
                <w:iCs/>
                <w:sz w:val="22"/>
                <w:szCs w:val="22"/>
                <w:vertAlign w:val="superscript"/>
                <w:lang w:val="da-DK"/>
              </w:rPr>
              <w:t>a</w:t>
            </w:r>
            <w:r w:rsidRPr="00C71195">
              <w:rPr>
                <w:iCs/>
                <w:sz w:val="22"/>
                <w:szCs w:val="22"/>
                <w:lang w:val="da-DK"/>
              </w:rPr>
              <w:t xml:space="preserve"> (inkl. erythem, pruritus, irritation, udslæt, dermatitis, vesikler, smerte, eksem, inflammation, hævelse, misfarvning, papler, eksfoliation, urticaria, overfølsomhed)</w:t>
            </w:r>
          </w:p>
        </w:tc>
        <w:tc>
          <w:tcPr>
            <w:tcW w:w="904" w:type="pct"/>
            <w:tcBorders>
              <w:top w:val="single" w:sz="4" w:space="0" w:color="auto"/>
              <w:left w:val="single" w:sz="4" w:space="0" w:color="auto"/>
              <w:bottom w:val="single" w:sz="4" w:space="0" w:color="auto"/>
              <w:right w:val="single" w:sz="4" w:space="0" w:color="auto"/>
            </w:tcBorders>
            <w:hideMark/>
          </w:tcPr>
          <w:p w14:paraId="1086D5ED" w14:textId="77777777" w:rsidR="00C71195" w:rsidRPr="00C71195" w:rsidRDefault="00C71195">
            <w:pPr>
              <w:rPr>
                <w:iCs/>
                <w:sz w:val="22"/>
                <w:szCs w:val="22"/>
                <w:lang w:val="da-DK"/>
              </w:rPr>
            </w:pPr>
            <w:r w:rsidRPr="00C71195">
              <w:rPr>
                <w:iCs/>
                <w:sz w:val="22"/>
                <w:szCs w:val="22"/>
                <w:lang w:val="da-DK"/>
              </w:rPr>
              <w:t>Perifere ødemer, asteniske symptomer</w:t>
            </w:r>
            <w:r w:rsidRPr="00C71195">
              <w:rPr>
                <w:iCs/>
                <w:sz w:val="22"/>
                <w:szCs w:val="22"/>
                <w:vertAlign w:val="superscript"/>
                <w:lang w:val="da-DK"/>
              </w:rPr>
              <w:t>a</w:t>
            </w:r>
            <w:r w:rsidRPr="00C71195">
              <w:rPr>
                <w:iCs/>
                <w:sz w:val="22"/>
                <w:szCs w:val="22"/>
                <w:lang w:val="da-DK"/>
              </w:rPr>
              <w:t xml:space="preserve"> (inkl. træthed, asteni, utilpashed)</w:t>
            </w:r>
          </w:p>
        </w:tc>
        <w:tc>
          <w:tcPr>
            <w:tcW w:w="903" w:type="pct"/>
            <w:tcBorders>
              <w:top w:val="single" w:sz="4" w:space="0" w:color="auto"/>
              <w:left w:val="single" w:sz="4" w:space="0" w:color="auto"/>
              <w:bottom w:val="single" w:sz="4" w:space="0" w:color="auto"/>
              <w:right w:val="single" w:sz="4" w:space="0" w:color="auto"/>
            </w:tcBorders>
          </w:tcPr>
          <w:p w14:paraId="1FC9A3BD" w14:textId="77777777" w:rsidR="00C71195" w:rsidRPr="00C71195" w:rsidRDefault="00C71195">
            <w:pPr>
              <w:rPr>
                <w:iCs/>
                <w:sz w:val="22"/>
                <w:szCs w:val="22"/>
                <w:lang w:val="da-DK"/>
              </w:rPr>
            </w:pPr>
          </w:p>
        </w:tc>
        <w:tc>
          <w:tcPr>
            <w:tcW w:w="697" w:type="pct"/>
            <w:tcBorders>
              <w:top w:val="single" w:sz="4" w:space="0" w:color="auto"/>
              <w:left w:val="single" w:sz="4" w:space="0" w:color="auto"/>
              <w:bottom w:val="single" w:sz="4" w:space="0" w:color="auto"/>
              <w:right w:val="single" w:sz="4" w:space="0" w:color="auto"/>
            </w:tcBorders>
            <w:hideMark/>
          </w:tcPr>
          <w:p w14:paraId="159B5DCF" w14:textId="77777777" w:rsidR="00C71195" w:rsidRDefault="00C71195">
            <w:pPr>
              <w:rPr>
                <w:iCs/>
                <w:sz w:val="22"/>
                <w:szCs w:val="22"/>
              </w:rPr>
            </w:pPr>
            <w:r>
              <w:rPr>
                <w:iCs/>
                <w:sz w:val="22"/>
                <w:szCs w:val="22"/>
              </w:rPr>
              <w:t>Irritabilitet</w:t>
            </w:r>
          </w:p>
        </w:tc>
        <w:tc>
          <w:tcPr>
            <w:tcW w:w="831" w:type="pct"/>
            <w:tcBorders>
              <w:top w:val="single" w:sz="4" w:space="0" w:color="auto"/>
              <w:left w:val="single" w:sz="4" w:space="0" w:color="auto"/>
              <w:bottom w:val="single" w:sz="4" w:space="0" w:color="auto"/>
              <w:right w:val="single" w:sz="4" w:space="0" w:color="auto"/>
            </w:tcBorders>
          </w:tcPr>
          <w:p w14:paraId="046A8101" w14:textId="77777777" w:rsidR="00C71195" w:rsidRDefault="00C71195">
            <w:pPr>
              <w:rPr>
                <w:iCs/>
                <w:sz w:val="22"/>
                <w:szCs w:val="22"/>
              </w:rPr>
            </w:pPr>
          </w:p>
        </w:tc>
      </w:tr>
      <w:tr w:rsidR="00C71195" w14:paraId="5E89B443"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2FCA5DB1" w14:textId="77777777" w:rsidR="00C71195" w:rsidRDefault="00C71195">
            <w:pPr>
              <w:rPr>
                <w:b/>
                <w:iCs/>
                <w:sz w:val="22"/>
                <w:szCs w:val="22"/>
              </w:rPr>
            </w:pPr>
            <w:r>
              <w:rPr>
                <w:b/>
                <w:iCs/>
                <w:sz w:val="22"/>
                <w:szCs w:val="22"/>
              </w:rPr>
              <w:t>Undersøgelser</w:t>
            </w:r>
          </w:p>
        </w:tc>
        <w:tc>
          <w:tcPr>
            <w:tcW w:w="833" w:type="pct"/>
            <w:tcBorders>
              <w:top w:val="single" w:sz="4" w:space="0" w:color="auto"/>
              <w:left w:val="single" w:sz="4" w:space="0" w:color="auto"/>
              <w:bottom w:val="single" w:sz="4" w:space="0" w:color="auto"/>
              <w:right w:val="single" w:sz="4" w:space="0" w:color="auto"/>
            </w:tcBorders>
          </w:tcPr>
          <w:p w14:paraId="01791A29"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hideMark/>
          </w:tcPr>
          <w:p w14:paraId="1DED359E" w14:textId="77777777" w:rsidR="00C71195" w:rsidRDefault="00C71195">
            <w:pPr>
              <w:rPr>
                <w:iCs/>
                <w:sz w:val="22"/>
                <w:szCs w:val="22"/>
              </w:rPr>
            </w:pPr>
            <w:r>
              <w:rPr>
                <w:iCs/>
                <w:sz w:val="22"/>
                <w:szCs w:val="22"/>
              </w:rPr>
              <w:t>Vægttab</w:t>
            </w:r>
          </w:p>
        </w:tc>
        <w:tc>
          <w:tcPr>
            <w:tcW w:w="903" w:type="pct"/>
            <w:tcBorders>
              <w:top w:val="single" w:sz="4" w:space="0" w:color="auto"/>
              <w:left w:val="single" w:sz="4" w:space="0" w:color="auto"/>
              <w:bottom w:val="single" w:sz="4" w:space="0" w:color="auto"/>
              <w:right w:val="single" w:sz="4" w:space="0" w:color="auto"/>
            </w:tcBorders>
            <w:hideMark/>
          </w:tcPr>
          <w:p w14:paraId="302EB402" w14:textId="77777777" w:rsidR="00C71195" w:rsidRPr="00C71195" w:rsidRDefault="00C71195">
            <w:pPr>
              <w:rPr>
                <w:iCs/>
                <w:sz w:val="22"/>
                <w:szCs w:val="22"/>
                <w:lang w:val="da-DK"/>
              </w:rPr>
            </w:pPr>
            <w:r w:rsidRPr="00C71195">
              <w:rPr>
                <w:iCs/>
                <w:sz w:val="22"/>
                <w:szCs w:val="22"/>
                <w:lang w:val="da-DK"/>
              </w:rPr>
              <w:t>Forhøjede leverenzymer (inkl. ASAT, ALAT, GGT), vægtøgning, øget puls, forhøjet CPK</w:t>
            </w:r>
            <w:r w:rsidRPr="00C71195">
              <w:rPr>
                <w:iCs/>
                <w:sz w:val="22"/>
                <w:szCs w:val="22"/>
                <w:vertAlign w:val="superscript"/>
                <w:lang w:val="da-DK"/>
              </w:rPr>
              <w:t>d</w:t>
            </w:r>
          </w:p>
        </w:tc>
        <w:tc>
          <w:tcPr>
            <w:tcW w:w="697" w:type="pct"/>
            <w:tcBorders>
              <w:top w:val="single" w:sz="4" w:space="0" w:color="auto"/>
              <w:left w:val="single" w:sz="4" w:space="0" w:color="auto"/>
              <w:bottom w:val="single" w:sz="4" w:space="0" w:color="auto"/>
              <w:right w:val="single" w:sz="4" w:space="0" w:color="auto"/>
            </w:tcBorders>
          </w:tcPr>
          <w:p w14:paraId="0ABC8C41" w14:textId="77777777" w:rsidR="00C71195" w:rsidRPr="00C71195" w:rsidRDefault="00C71195">
            <w:pPr>
              <w:rPr>
                <w:iCs/>
                <w:sz w:val="22"/>
                <w:szCs w:val="22"/>
                <w:lang w:val="da-DK"/>
              </w:rPr>
            </w:pPr>
          </w:p>
        </w:tc>
        <w:tc>
          <w:tcPr>
            <w:tcW w:w="831" w:type="pct"/>
            <w:tcBorders>
              <w:top w:val="single" w:sz="4" w:space="0" w:color="auto"/>
              <w:left w:val="single" w:sz="4" w:space="0" w:color="auto"/>
              <w:bottom w:val="single" w:sz="4" w:space="0" w:color="auto"/>
              <w:right w:val="single" w:sz="4" w:space="0" w:color="auto"/>
            </w:tcBorders>
          </w:tcPr>
          <w:p w14:paraId="7E5D5B6F" w14:textId="77777777" w:rsidR="00C71195" w:rsidRPr="00C71195" w:rsidRDefault="00C71195">
            <w:pPr>
              <w:rPr>
                <w:iCs/>
                <w:sz w:val="22"/>
                <w:szCs w:val="22"/>
                <w:lang w:val="da-DK"/>
              </w:rPr>
            </w:pPr>
          </w:p>
        </w:tc>
      </w:tr>
      <w:tr w:rsidR="00C71195" w14:paraId="2CCAEE41"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63D54508" w14:textId="77777777" w:rsidR="00C71195" w:rsidRDefault="00C71195">
            <w:pPr>
              <w:rPr>
                <w:b/>
                <w:iCs/>
                <w:sz w:val="22"/>
                <w:szCs w:val="22"/>
              </w:rPr>
            </w:pPr>
            <w:r>
              <w:rPr>
                <w:b/>
                <w:iCs/>
                <w:sz w:val="22"/>
                <w:szCs w:val="22"/>
              </w:rPr>
              <w:t>Traumer, forgiftninger og behandlings</w:t>
            </w:r>
            <w:r>
              <w:rPr>
                <w:b/>
                <w:iCs/>
                <w:sz w:val="22"/>
                <w:szCs w:val="22"/>
              </w:rPr>
              <w:softHyphen/>
              <w:t>komplikationer</w:t>
            </w:r>
          </w:p>
        </w:tc>
        <w:tc>
          <w:tcPr>
            <w:tcW w:w="833" w:type="pct"/>
            <w:tcBorders>
              <w:top w:val="single" w:sz="4" w:space="0" w:color="auto"/>
              <w:left w:val="single" w:sz="4" w:space="0" w:color="auto"/>
              <w:bottom w:val="single" w:sz="4" w:space="0" w:color="auto"/>
              <w:right w:val="single" w:sz="4" w:space="0" w:color="auto"/>
            </w:tcBorders>
          </w:tcPr>
          <w:p w14:paraId="07C623D1" w14:textId="77777777" w:rsidR="00C71195" w:rsidRDefault="00C71195">
            <w:pPr>
              <w:rPr>
                <w:iCs/>
                <w:sz w:val="22"/>
                <w:szCs w:val="22"/>
              </w:rPr>
            </w:pPr>
          </w:p>
        </w:tc>
        <w:tc>
          <w:tcPr>
            <w:tcW w:w="904" w:type="pct"/>
            <w:tcBorders>
              <w:top w:val="single" w:sz="4" w:space="0" w:color="auto"/>
              <w:left w:val="single" w:sz="4" w:space="0" w:color="auto"/>
              <w:bottom w:val="single" w:sz="4" w:space="0" w:color="auto"/>
              <w:right w:val="single" w:sz="4" w:space="0" w:color="auto"/>
            </w:tcBorders>
            <w:hideMark/>
          </w:tcPr>
          <w:p w14:paraId="5758CF95" w14:textId="77777777" w:rsidR="00C71195" w:rsidRDefault="00C71195">
            <w:pPr>
              <w:rPr>
                <w:iCs/>
                <w:sz w:val="22"/>
                <w:szCs w:val="22"/>
              </w:rPr>
            </w:pPr>
            <w:r>
              <w:rPr>
                <w:iCs/>
                <w:sz w:val="22"/>
                <w:szCs w:val="22"/>
              </w:rPr>
              <w:t>Fald</w:t>
            </w:r>
          </w:p>
        </w:tc>
        <w:tc>
          <w:tcPr>
            <w:tcW w:w="903" w:type="pct"/>
            <w:tcBorders>
              <w:top w:val="single" w:sz="4" w:space="0" w:color="auto"/>
              <w:left w:val="single" w:sz="4" w:space="0" w:color="auto"/>
              <w:bottom w:val="single" w:sz="4" w:space="0" w:color="auto"/>
              <w:right w:val="single" w:sz="4" w:space="0" w:color="auto"/>
            </w:tcBorders>
          </w:tcPr>
          <w:p w14:paraId="05206BFC" w14:textId="77777777" w:rsidR="00C71195" w:rsidRDefault="00C71195">
            <w:pPr>
              <w:rPr>
                <w:iCs/>
                <w:sz w:val="22"/>
                <w:szCs w:val="22"/>
              </w:rPr>
            </w:pPr>
          </w:p>
        </w:tc>
        <w:tc>
          <w:tcPr>
            <w:tcW w:w="697" w:type="pct"/>
            <w:tcBorders>
              <w:top w:val="single" w:sz="4" w:space="0" w:color="auto"/>
              <w:left w:val="single" w:sz="4" w:space="0" w:color="auto"/>
              <w:bottom w:val="single" w:sz="4" w:space="0" w:color="auto"/>
              <w:right w:val="single" w:sz="4" w:space="0" w:color="auto"/>
            </w:tcBorders>
          </w:tcPr>
          <w:p w14:paraId="47DB68C1" w14:textId="77777777" w:rsidR="00C71195" w:rsidRDefault="00C71195">
            <w:pPr>
              <w:rPr>
                <w:iCs/>
                <w:sz w:val="22"/>
                <w:szCs w:val="22"/>
              </w:rPr>
            </w:pPr>
          </w:p>
        </w:tc>
        <w:tc>
          <w:tcPr>
            <w:tcW w:w="831" w:type="pct"/>
            <w:tcBorders>
              <w:top w:val="single" w:sz="4" w:space="0" w:color="auto"/>
              <w:left w:val="single" w:sz="4" w:space="0" w:color="auto"/>
              <w:bottom w:val="single" w:sz="4" w:space="0" w:color="auto"/>
              <w:right w:val="single" w:sz="4" w:space="0" w:color="auto"/>
            </w:tcBorders>
          </w:tcPr>
          <w:p w14:paraId="474E9585" w14:textId="77777777" w:rsidR="00C71195" w:rsidRDefault="00C71195">
            <w:pPr>
              <w:rPr>
                <w:iCs/>
                <w:sz w:val="22"/>
                <w:szCs w:val="22"/>
              </w:rPr>
            </w:pPr>
          </w:p>
        </w:tc>
      </w:tr>
      <w:tr w:rsidR="00C71195" w14:paraId="09EEBB65" w14:textId="77777777" w:rsidTr="00C71195">
        <w:tc>
          <w:tcPr>
            <w:tcW w:w="832" w:type="pct"/>
            <w:tcBorders>
              <w:top w:val="single" w:sz="4" w:space="0" w:color="auto"/>
              <w:left w:val="single" w:sz="4" w:space="0" w:color="auto"/>
              <w:bottom w:val="single" w:sz="4" w:space="0" w:color="auto"/>
              <w:right w:val="single" w:sz="4" w:space="0" w:color="auto"/>
            </w:tcBorders>
            <w:hideMark/>
          </w:tcPr>
          <w:p w14:paraId="0022EC6A" w14:textId="77777777" w:rsidR="00C71195" w:rsidRPr="00C71195" w:rsidRDefault="00C71195">
            <w:pPr>
              <w:rPr>
                <w:b/>
                <w:iCs/>
                <w:sz w:val="22"/>
                <w:szCs w:val="22"/>
                <w:lang w:val="da-DK"/>
              </w:rPr>
            </w:pPr>
            <w:r w:rsidRPr="00C71195">
              <w:rPr>
                <w:b/>
                <w:iCs/>
                <w:sz w:val="22"/>
                <w:szCs w:val="22"/>
                <w:lang w:val="da-DK"/>
              </w:rPr>
              <w:t>Knogler, led, muskler og bindevæv</w:t>
            </w:r>
          </w:p>
        </w:tc>
        <w:tc>
          <w:tcPr>
            <w:tcW w:w="833" w:type="pct"/>
            <w:tcBorders>
              <w:top w:val="single" w:sz="4" w:space="0" w:color="auto"/>
              <w:left w:val="single" w:sz="4" w:space="0" w:color="auto"/>
              <w:bottom w:val="single" w:sz="4" w:space="0" w:color="auto"/>
              <w:right w:val="single" w:sz="4" w:space="0" w:color="auto"/>
            </w:tcBorders>
          </w:tcPr>
          <w:p w14:paraId="56D445D8" w14:textId="77777777" w:rsidR="00C71195" w:rsidRPr="00C71195" w:rsidRDefault="00C71195">
            <w:pPr>
              <w:rPr>
                <w:iCs/>
                <w:sz w:val="22"/>
                <w:szCs w:val="22"/>
                <w:lang w:val="da-DK"/>
              </w:rPr>
            </w:pPr>
          </w:p>
        </w:tc>
        <w:tc>
          <w:tcPr>
            <w:tcW w:w="904" w:type="pct"/>
            <w:tcBorders>
              <w:top w:val="single" w:sz="4" w:space="0" w:color="auto"/>
              <w:left w:val="single" w:sz="4" w:space="0" w:color="auto"/>
              <w:bottom w:val="single" w:sz="4" w:space="0" w:color="auto"/>
              <w:right w:val="single" w:sz="4" w:space="0" w:color="auto"/>
            </w:tcBorders>
          </w:tcPr>
          <w:p w14:paraId="2888572C" w14:textId="77777777" w:rsidR="00C71195" w:rsidRPr="00C71195" w:rsidRDefault="00C71195">
            <w:pPr>
              <w:rPr>
                <w:iCs/>
                <w:sz w:val="22"/>
                <w:szCs w:val="22"/>
                <w:lang w:val="da-DK"/>
              </w:rPr>
            </w:pPr>
          </w:p>
        </w:tc>
        <w:tc>
          <w:tcPr>
            <w:tcW w:w="903" w:type="pct"/>
            <w:tcBorders>
              <w:top w:val="single" w:sz="4" w:space="0" w:color="auto"/>
              <w:left w:val="single" w:sz="4" w:space="0" w:color="auto"/>
              <w:bottom w:val="single" w:sz="4" w:space="0" w:color="auto"/>
              <w:right w:val="single" w:sz="4" w:space="0" w:color="auto"/>
            </w:tcBorders>
          </w:tcPr>
          <w:p w14:paraId="118503D6" w14:textId="77777777" w:rsidR="00C71195" w:rsidRPr="00C71195" w:rsidRDefault="00C71195">
            <w:pPr>
              <w:rPr>
                <w:iCs/>
                <w:sz w:val="22"/>
                <w:szCs w:val="22"/>
                <w:lang w:val="da-DK"/>
              </w:rPr>
            </w:pPr>
          </w:p>
        </w:tc>
        <w:tc>
          <w:tcPr>
            <w:tcW w:w="697" w:type="pct"/>
            <w:tcBorders>
              <w:top w:val="single" w:sz="4" w:space="0" w:color="auto"/>
              <w:left w:val="single" w:sz="4" w:space="0" w:color="auto"/>
              <w:bottom w:val="single" w:sz="4" w:space="0" w:color="auto"/>
              <w:right w:val="single" w:sz="4" w:space="0" w:color="auto"/>
            </w:tcBorders>
          </w:tcPr>
          <w:p w14:paraId="36F0DBD8" w14:textId="77777777" w:rsidR="00C71195" w:rsidRPr="00C71195" w:rsidRDefault="00C71195">
            <w:pPr>
              <w:rPr>
                <w:iCs/>
                <w:sz w:val="22"/>
                <w:szCs w:val="22"/>
                <w:lang w:val="da-DK"/>
              </w:rPr>
            </w:pPr>
          </w:p>
        </w:tc>
        <w:tc>
          <w:tcPr>
            <w:tcW w:w="831" w:type="pct"/>
            <w:tcBorders>
              <w:top w:val="single" w:sz="4" w:space="0" w:color="auto"/>
              <w:left w:val="single" w:sz="4" w:space="0" w:color="auto"/>
              <w:bottom w:val="single" w:sz="4" w:space="0" w:color="auto"/>
              <w:right w:val="single" w:sz="4" w:space="0" w:color="auto"/>
            </w:tcBorders>
            <w:hideMark/>
          </w:tcPr>
          <w:p w14:paraId="512EC2A9" w14:textId="77777777" w:rsidR="00C71195" w:rsidRDefault="00C71195">
            <w:pPr>
              <w:rPr>
                <w:iCs/>
                <w:sz w:val="22"/>
                <w:szCs w:val="22"/>
              </w:rPr>
            </w:pPr>
            <w:r>
              <w:rPr>
                <w:iCs/>
                <w:sz w:val="22"/>
                <w:szCs w:val="22"/>
              </w:rPr>
              <w:t>Rhabdomyolyse</w:t>
            </w:r>
            <w:r>
              <w:rPr>
                <w:iCs/>
                <w:sz w:val="22"/>
                <w:szCs w:val="22"/>
                <w:vertAlign w:val="superscript"/>
              </w:rPr>
              <w:t>c</w:t>
            </w:r>
          </w:p>
        </w:tc>
      </w:tr>
    </w:tbl>
    <w:p w14:paraId="2697B7AF" w14:textId="77777777" w:rsidR="00C71195" w:rsidRPr="00C71195" w:rsidRDefault="00C71195" w:rsidP="00C71195">
      <w:pPr>
        <w:ind w:left="-426"/>
        <w:rPr>
          <w:sz w:val="20"/>
          <w:lang w:val="en-US"/>
        </w:rPr>
      </w:pPr>
      <w:r w:rsidRPr="00C71195">
        <w:rPr>
          <w:sz w:val="20"/>
          <w:vertAlign w:val="superscript"/>
          <w:lang w:val="en-US"/>
        </w:rPr>
        <w:t>a</w:t>
      </w:r>
      <w:r w:rsidRPr="00C71195">
        <w:rPr>
          <w:sz w:val="20"/>
          <w:lang w:val="en-US"/>
        </w:rPr>
        <w:t xml:space="preserve"> Overordnet begreb (</w:t>
      </w:r>
      <w:r w:rsidRPr="00C71195">
        <w:rPr>
          <w:i/>
          <w:iCs/>
          <w:sz w:val="20"/>
          <w:lang w:val="en-US"/>
        </w:rPr>
        <w:t>high level term</w:t>
      </w:r>
      <w:r w:rsidRPr="00C71195">
        <w:rPr>
          <w:sz w:val="20"/>
          <w:lang w:val="en-US"/>
        </w:rPr>
        <w:t>)</w:t>
      </w:r>
    </w:p>
    <w:p w14:paraId="256E6B93" w14:textId="77777777" w:rsidR="00C71195" w:rsidRPr="00C71195" w:rsidRDefault="00C71195" w:rsidP="00C71195">
      <w:pPr>
        <w:ind w:left="-426"/>
        <w:rPr>
          <w:sz w:val="20"/>
        </w:rPr>
      </w:pPr>
      <w:r w:rsidRPr="00C71195">
        <w:rPr>
          <w:sz w:val="20"/>
          <w:vertAlign w:val="superscript"/>
        </w:rPr>
        <w:t>b</w:t>
      </w:r>
      <w:r w:rsidRPr="00C71195">
        <w:rPr>
          <w:sz w:val="20"/>
        </w:rPr>
        <w:t xml:space="preserve"> Observeret i åbne studier</w:t>
      </w:r>
    </w:p>
    <w:p w14:paraId="1821A652" w14:textId="77777777" w:rsidR="00C71195" w:rsidRPr="00C71195" w:rsidRDefault="00C71195" w:rsidP="00C71195">
      <w:pPr>
        <w:ind w:left="-426"/>
        <w:rPr>
          <w:sz w:val="20"/>
        </w:rPr>
      </w:pPr>
      <w:r w:rsidRPr="00C71195">
        <w:rPr>
          <w:sz w:val="20"/>
          <w:vertAlign w:val="superscript"/>
        </w:rPr>
        <w:t>c</w:t>
      </w:r>
      <w:r w:rsidRPr="00C71195">
        <w:rPr>
          <w:sz w:val="20"/>
        </w:rPr>
        <w:t xml:space="preserve"> Observeret efter markedsføring</w:t>
      </w:r>
    </w:p>
    <w:p w14:paraId="5DF648F1" w14:textId="77777777" w:rsidR="00C71195" w:rsidRPr="00C71195" w:rsidRDefault="00C71195" w:rsidP="00C71195">
      <w:pPr>
        <w:ind w:left="-426"/>
        <w:rPr>
          <w:sz w:val="20"/>
        </w:rPr>
      </w:pPr>
      <w:r w:rsidRPr="00C71195">
        <w:rPr>
          <w:sz w:val="20"/>
          <w:vertAlign w:val="superscript"/>
        </w:rPr>
        <w:t>d</w:t>
      </w:r>
      <w:r w:rsidRPr="00C71195">
        <w:rPr>
          <w:sz w:val="20"/>
        </w:rPr>
        <w:t xml:space="preserve"> Observeret i data pool af dobbeltblinde, placebokontrollerede studier i 2011</w:t>
      </w:r>
    </w:p>
    <w:p w14:paraId="4C592562" w14:textId="77777777" w:rsidR="00C71195" w:rsidRPr="00C71195" w:rsidRDefault="00C71195" w:rsidP="00C71195">
      <w:pPr>
        <w:ind w:left="-426"/>
        <w:rPr>
          <w:sz w:val="20"/>
        </w:rPr>
      </w:pPr>
      <w:r w:rsidRPr="00C71195">
        <w:rPr>
          <w:sz w:val="20"/>
          <w:vertAlign w:val="superscript"/>
        </w:rPr>
        <w:t>e</w:t>
      </w:r>
      <w:r w:rsidRPr="00C71195">
        <w:rPr>
          <w:sz w:val="20"/>
        </w:rPr>
        <w:t xml:space="preserve"> Observeret i studier med patienter med Parkinsons sygdom</w:t>
      </w:r>
    </w:p>
    <w:p w14:paraId="12FC06A8" w14:textId="77777777" w:rsidR="00C71195" w:rsidRDefault="00C71195" w:rsidP="00C71195">
      <w:pPr>
        <w:ind w:left="851"/>
        <w:rPr>
          <w:sz w:val="24"/>
          <w:szCs w:val="24"/>
        </w:rPr>
      </w:pPr>
    </w:p>
    <w:p w14:paraId="69981DA4" w14:textId="6650643F" w:rsidR="00C71195" w:rsidRPr="00C71195" w:rsidRDefault="00C71195" w:rsidP="00C71195">
      <w:pPr>
        <w:keepNext/>
        <w:ind w:left="851"/>
        <w:rPr>
          <w:b/>
          <w:sz w:val="24"/>
          <w:szCs w:val="24"/>
        </w:rPr>
      </w:pPr>
      <w:r w:rsidRPr="00C71195">
        <w:rPr>
          <w:b/>
          <w:sz w:val="24"/>
          <w:szCs w:val="24"/>
        </w:rPr>
        <w:lastRenderedPageBreak/>
        <w:t>Begge indikationer</w:t>
      </w:r>
      <w:r>
        <w:rPr>
          <w:b/>
          <w:sz w:val="24"/>
          <w:szCs w:val="24"/>
        </w:rPr>
        <w:t>:</w:t>
      </w:r>
    </w:p>
    <w:p w14:paraId="0BB608C7" w14:textId="77777777" w:rsidR="00C71195" w:rsidRDefault="00C71195" w:rsidP="00C71195">
      <w:pPr>
        <w:keepNext/>
        <w:ind w:left="851"/>
        <w:rPr>
          <w:sz w:val="24"/>
          <w:szCs w:val="24"/>
          <w:u w:val="single"/>
        </w:rPr>
      </w:pPr>
    </w:p>
    <w:p w14:paraId="617B78DB" w14:textId="77777777" w:rsidR="00C71195" w:rsidRDefault="00C71195" w:rsidP="00C71195">
      <w:pPr>
        <w:keepNext/>
        <w:ind w:left="851"/>
        <w:rPr>
          <w:sz w:val="24"/>
          <w:szCs w:val="24"/>
          <w:u w:val="single"/>
        </w:rPr>
      </w:pPr>
      <w:r>
        <w:rPr>
          <w:sz w:val="24"/>
          <w:szCs w:val="24"/>
          <w:u w:val="single"/>
        </w:rPr>
        <w:t>Beskrivelse af udvalgte bivirkninger</w:t>
      </w:r>
    </w:p>
    <w:p w14:paraId="58D85D19" w14:textId="77777777" w:rsidR="00C71195" w:rsidRDefault="00C71195" w:rsidP="00C71195">
      <w:pPr>
        <w:keepNext/>
        <w:ind w:left="851"/>
        <w:rPr>
          <w:i/>
          <w:iCs/>
          <w:sz w:val="24"/>
          <w:szCs w:val="24"/>
        </w:rPr>
      </w:pPr>
    </w:p>
    <w:p w14:paraId="7F78655D" w14:textId="77777777" w:rsidR="00C71195" w:rsidRDefault="00C71195" w:rsidP="00C71195">
      <w:pPr>
        <w:keepNext/>
        <w:ind w:left="851"/>
        <w:rPr>
          <w:i/>
          <w:iCs/>
          <w:sz w:val="24"/>
          <w:szCs w:val="24"/>
        </w:rPr>
      </w:pPr>
      <w:r>
        <w:rPr>
          <w:i/>
          <w:iCs/>
          <w:sz w:val="24"/>
          <w:szCs w:val="24"/>
        </w:rPr>
        <w:t>Pludseligt indsættende søvn og døsighed</w:t>
      </w:r>
    </w:p>
    <w:p w14:paraId="475FB224" w14:textId="77777777" w:rsidR="00C71195" w:rsidRDefault="00C71195" w:rsidP="00C71195">
      <w:pPr>
        <w:ind w:left="851"/>
        <w:rPr>
          <w:sz w:val="24"/>
          <w:szCs w:val="24"/>
        </w:rPr>
      </w:pPr>
      <w:r>
        <w:rPr>
          <w:sz w:val="24"/>
          <w:szCs w:val="24"/>
        </w:rPr>
        <w:t>Rotigotin er forbundet med døsighed, herunder udpræget døsighed om dagen og pludselige søvnepisoder. I isolerede tilfælde er "pludseligt indsættende søvn" opstået under kørsel og har resulteret i trafikuheld (se også pkt. 4.4 og 4.7).</w:t>
      </w:r>
    </w:p>
    <w:p w14:paraId="3D41EE8A" w14:textId="77777777" w:rsidR="00C71195" w:rsidRDefault="00C71195" w:rsidP="00C71195">
      <w:pPr>
        <w:ind w:left="851"/>
        <w:rPr>
          <w:sz w:val="24"/>
          <w:szCs w:val="24"/>
        </w:rPr>
      </w:pPr>
    </w:p>
    <w:p w14:paraId="2568E758" w14:textId="77777777" w:rsidR="00C71195" w:rsidRDefault="00C71195" w:rsidP="00C71195">
      <w:pPr>
        <w:ind w:left="851"/>
        <w:rPr>
          <w:i/>
          <w:iCs/>
          <w:sz w:val="24"/>
          <w:szCs w:val="24"/>
        </w:rPr>
      </w:pPr>
      <w:r>
        <w:rPr>
          <w:i/>
          <w:iCs/>
          <w:sz w:val="24"/>
          <w:szCs w:val="24"/>
        </w:rPr>
        <w:t>Impulskontrolforstyrrelser</w:t>
      </w:r>
    </w:p>
    <w:p w14:paraId="7B7ADF65" w14:textId="77777777" w:rsidR="00C71195" w:rsidRDefault="00C71195" w:rsidP="00C71195">
      <w:pPr>
        <w:ind w:left="851"/>
        <w:rPr>
          <w:sz w:val="24"/>
          <w:szCs w:val="24"/>
        </w:rPr>
      </w:pPr>
      <w:r>
        <w:rPr>
          <w:sz w:val="24"/>
          <w:szCs w:val="24"/>
        </w:rPr>
        <w:t>Ludomani, øget libido, hyperseksualitet, tvangshandlinger forbundet med forbrug eller indkøb, uhæmmet madindtagelse og tvangshandlinger forbundet med madindtagelse kan forekomme hos patienter, der behandles med dopaminagonister, herunder rotigotin (se pkt. 4.4).</w:t>
      </w:r>
    </w:p>
    <w:p w14:paraId="33D91C3B" w14:textId="77777777" w:rsidR="00C71195" w:rsidRDefault="00C71195" w:rsidP="00C71195">
      <w:pPr>
        <w:ind w:left="851"/>
        <w:rPr>
          <w:sz w:val="24"/>
          <w:szCs w:val="24"/>
        </w:rPr>
      </w:pPr>
    </w:p>
    <w:p w14:paraId="2B1CC4B3" w14:textId="77777777" w:rsidR="00C71195" w:rsidRDefault="00C71195" w:rsidP="00C71195">
      <w:pPr>
        <w:autoSpaceDE w:val="0"/>
        <w:autoSpaceDN w:val="0"/>
        <w:adjustRightInd w:val="0"/>
        <w:ind w:left="851"/>
        <w:rPr>
          <w:sz w:val="24"/>
          <w:szCs w:val="24"/>
          <w:u w:val="single"/>
        </w:rPr>
      </w:pPr>
      <w:r>
        <w:rPr>
          <w:sz w:val="24"/>
          <w:szCs w:val="24"/>
          <w:u w:val="single"/>
        </w:rPr>
        <w:t>Indberetning af formodede bivirkninger</w:t>
      </w:r>
    </w:p>
    <w:p w14:paraId="09B2C286" w14:textId="77777777" w:rsidR="00C71195" w:rsidRDefault="00C71195" w:rsidP="00C71195">
      <w:pPr>
        <w:autoSpaceDE w:val="0"/>
        <w:autoSpaceDN w:val="0"/>
        <w:adjustRightInd w:val="0"/>
        <w:ind w:left="851"/>
        <w:rPr>
          <w:sz w:val="24"/>
          <w:szCs w:val="24"/>
        </w:rPr>
      </w:pPr>
      <w:r>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9DD4AB3" w14:textId="77777777" w:rsidR="00C71195" w:rsidRDefault="00C71195" w:rsidP="00C71195">
      <w:pPr>
        <w:autoSpaceDE w:val="0"/>
        <w:autoSpaceDN w:val="0"/>
        <w:adjustRightInd w:val="0"/>
        <w:ind w:left="851"/>
        <w:rPr>
          <w:sz w:val="24"/>
          <w:szCs w:val="24"/>
        </w:rPr>
      </w:pPr>
    </w:p>
    <w:p w14:paraId="29877B76" w14:textId="77777777" w:rsidR="00C71195" w:rsidRDefault="00C71195" w:rsidP="00C71195">
      <w:pPr>
        <w:autoSpaceDE w:val="0"/>
        <w:autoSpaceDN w:val="0"/>
        <w:adjustRightInd w:val="0"/>
        <w:ind w:left="851"/>
        <w:rPr>
          <w:sz w:val="24"/>
          <w:szCs w:val="24"/>
        </w:rPr>
      </w:pPr>
      <w:r>
        <w:rPr>
          <w:sz w:val="24"/>
          <w:szCs w:val="24"/>
        </w:rPr>
        <w:t>Lægemiddelstyrelsen</w:t>
      </w:r>
    </w:p>
    <w:p w14:paraId="4D982DD1" w14:textId="77777777" w:rsidR="00C71195" w:rsidRDefault="00C71195" w:rsidP="00C71195">
      <w:pPr>
        <w:autoSpaceDE w:val="0"/>
        <w:autoSpaceDN w:val="0"/>
        <w:adjustRightInd w:val="0"/>
        <w:ind w:left="851"/>
        <w:rPr>
          <w:sz w:val="24"/>
          <w:szCs w:val="24"/>
        </w:rPr>
      </w:pPr>
      <w:r>
        <w:rPr>
          <w:sz w:val="24"/>
          <w:szCs w:val="24"/>
        </w:rPr>
        <w:t>Axel Heides Gade 1</w:t>
      </w:r>
    </w:p>
    <w:p w14:paraId="62227D7F" w14:textId="77777777" w:rsidR="00C71195" w:rsidRDefault="00C71195" w:rsidP="00C71195">
      <w:pPr>
        <w:autoSpaceDE w:val="0"/>
        <w:autoSpaceDN w:val="0"/>
        <w:adjustRightInd w:val="0"/>
        <w:ind w:left="851"/>
        <w:rPr>
          <w:sz w:val="24"/>
          <w:szCs w:val="24"/>
        </w:rPr>
      </w:pPr>
      <w:r>
        <w:rPr>
          <w:sz w:val="24"/>
          <w:szCs w:val="24"/>
        </w:rPr>
        <w:t>DK-2300 København S</w:t>
      </w:r>
    </w:p>
    <w:p w14:paraId="6035516B" w14:textId="77777777" w:rsidR="00C71195" w:rsidRDefault="00C71195" w:rsidP="00C71195">
      <w:pPr>
        <w:autoSpaceDE w:val="0"/>
        <w:autoSpaceDN w:val="0"/>
        <w:adjustRightInd w:val="0"/>
        <w:ind w:left="851"/>
        <w:rPr>
          <w:sz w:val="24"/>
          <w:szCs w:val="24"/>
        </w:rPr>
      </w:pPr>
      <w:r>
        <w:rPr>
          <w:sz w:val="24"/>
          <w:szCs w:val="24"/>
        </w:rPr>
        <w:t>Websted: www.meldenbivirkning.dk</w:t>
      </w:r>
    </w:p>
    <w:p w14:paraId="46EBA1FF" w14:textId="77777777" w:rsidR="009260DE" w:rsidRPr="00A10294" w:rsidRDefault="009260DE" w:rsidP="00A10294">
      <w:pPr>
        <w:tabs>
          <w:tab w:val="left" w:pos="851"/>
        </w:tabs>
        <w:ind w:left="851"/>
        <w:rPr>
          <w:sz w:val="24"/>
          <w:szCs w:val="24"/>
        </w:rPr>
      </w:pPr>
    </w:p>
    <w:p w14:paraId="58B27F03"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CD9BC1B" w14:textId="77777777" w:rsidR="00F87B15" w:rsidRPr="00F87B15" w:rsidRDefault="00F87B15" w:rsidP="00F87B15">
      <w:pPr>
        <w:tabs>
          <w:tab w:val="left" w:pos="851"/>
        </w:tabs>
        <w:ind w:left="851"/>
        <w:rPr>
          <w:sz w:val="24"/>
          <w:szCs w:val="24"/>
          <w:u w:val="single"/>
        </w:rPr>
      </w:pPr>
    </w:p>
    <w:p w14:paraId="38120FB5" w14:textId="77777777" w:rsidR="00F87B15" w:rsidRPr="00F87B15" w:rsidRDefault="00F87B15" w:rsidP="00F87B15">
      <w:pPr>
        <w:tabs>
          <w:tab w:val="left" w:pos="851"/>
        </w:tabs>
        <w:ind w:left="851"/>
        <w:rPr>
          <w:sz w:val="24"/>
          <w:szCs w:val="24"/>
          <w:u w:val="single"/>
        </w:rPr>
      </w:pPr>
      <w:r w:rsidRPr="00F87B15">
        <w:rPr>
          <w:sz w:val="24"/>
          <w:szCs w:val="24"/>
          <w:u w:val="single"/>
        </w:rPr>
        <w:t>Symptomer</w:t>
      </w:r>
    </w:p>
    <w:p w14:paraId="7105B5BD" w14:textId="77777777" w:rsidR="00F87B15" w:rsidRPr="00F87B15" w:rsidRDefault="00F87B15" w:rsidP="00F87B15">
      <w:pPr>
        <w:tabs>
          <w:tab w:val="left" w:pos="851"/>
        </w:tabs>
        <w:ind w:left="851"/>
        <w:rPr>
          <w:sz w:val="24"/>
          <w:szCs w:val="24"/>
        </w:rPr>
      </w:pPr>
      <w:r w:rsidRPr="00F87B15">
        <w:rPr>
          <w:sz w:val="24"/>
          <w:szCs w:val="24"/>
        </w:rPr>
        <w:t>De mest sandsynlige bivirkninger er relateret til dopaminagonistens farmakodynamiske profil, herunder kvalme, opkastning, hypotension, ufrivillige bevægelser, hallucinationer, forvirring, kramper og andre tegn på central dopaminerg stimulering.</w:t>
      </w:r>
    </w:p>
    <w:p w14:paraId="0319F7FE" w14:textId="77777777" w:rsidR="00F87B15" w:rsidRPr="00F87B15" w:rsidRDefault="00F87B15" w:rsidP="00F87B15">
      <w:pPr>
        <w:tabs>
          <w:tab w:val="left" w:pos="851"/>
        </w:tabs>
        <w:ind w:left="851"/>
        <w:rPr>
          <w:sz w:val="24"/>
          <w:szCs w:val="24"/>
          <w:u w:val="single"/>
        </w:rPr>
      </w:pPr>
    </w:p>
    <w:p w14:paraId="164B8725" w14:textId="77777777" w:rsidR="00F87B15" w:rsidRPr="00F87B15" w:rsidRDefault="00F87B15" w:rsidP="00F87B15">
      <w:pPr>
        <w:tabs>
          <w:tab w:val="left" w:pos="851"/>
        </w:tabs>
        <w:ind w:left="851"/>
        <w:rPr>
          <w:sz w:val="24"/>
          <w:szCs w:val="24"/>
          <w:u w:val="single"/>
        </w:rPr>
      </w:pPr>
      <w:r w:rsidRPr="00F87B15">
        <w:rPr>
          <w:sz w:val="24"/>
          <w:szCs w:val="24"/>
          <w:u w:val="single"/>
        </w:rPr>
        <w:t>Behandling</w:t>
      </w:r>
    </w:p>
    <w:p w14:paraId="23BD3C62" w14:textId="77777777" w:rsidR="00F87B15" w:rsidRPr="00F87B15" w:rsidRDefault="00F87B15" w:rsidP="00F87B15">
      <w:pPr>
        <w:tabs>
          <w:tab w:val="left" w:pos="851"/>
        </w:tabs>
        <w:ind w:left="851"/>
        <w:rPr>
          <w:sz w:val="24"/>
          <w:szCs w:val="24"/>
        </w:rPr>
      </w:pPr>
      <w:r w:rsidRPr="00F87B15">
        <w:rPr>
          <w:sz w:val="24"/>
          <w:szCs w:val="24"/>
        </w:rPr>
        <w:t>Der er ingen kendt antidot mod overdosis af dopaminagonister. Ved mistanke om overdosering bør fjernelse af plasteret/plastrene overvejes, idet optagelsen af det aktive stof stopper efter fjernelse af plasteret/plastrene, hvorefter plasmakoncentrationen af rotigotin hurtigt falder. Patienten bør monitoreres nøje, herunder puls, hjerterytme og blodtryk.</w:t>
      </w:r>
    </w:p>
    <w:p w14:paraId="2DC2445C" w14:textId="77777777" w:rsidR="00F87B15" w:rsidRPr="00F87B15" w:rsidRDefault="00F87B15" w:rsidP="00F87B15">
      <w:pPr>
        <w:tabs>
          <w:tab w:val="left" w:pos="851"/>
        </w:tabs>
        <w:ind w:left="851"/>
        <w:rPr>
          <w:sz w:val="24"/>
          <w:szCs w:val="24"/>
        </w:rPr>
      </w:pPr>
      <w:r w:rsidRPr="00F87B15">
        <w:rPr>
          <w:sz w:val="24"/>
          <w:szCs w:val="24"/>
        </w:rPr>
        <w:t>Behandling af overdosis kan kræve generelle understøttende tiltag for at opretholde de vitale tegn. Dialyse kan ikke forventes at have nogen gavnlig virkning, idet rotigotin ikke fjernes ved dialyse.</w:t>
      </w:r>
    </w:p>
    <w:p w14:paraId="10C53F36" w14:textId="77777777" w:rsidR="00F87B15" w:rsidRPr="00F87B15" w:rsidRDefault="00F87B15" w:rsidP="00F87B15">
      <w:pPr>
        <w:tabs>
          <w:tab w:val="left" w:pos="851"/>
        </w:tabs>
        <w:ind w:left="851"/>
        <w:rPr>
          <w:sz w:val="24"/>
          <w:szCs w:val="24"/>
        </w:rPr>
      </w:pPr>
    </w:p>
    <w:p w14:paraId="7A16C086" w14:textId="77777777" w:rsidR="00F87B15" w:rsidRPr="00F87B15" w:rsidRDefault="00F87B15" w:rsidP="00F87B15">
      <w:pPr>
        <w:tabs>
          <w:tab w:val="left" w:pos="851"/>
        </w:tabs>
        <w:ind w:left="851"/>
        <w:rPr>
          <w:sz w:val="24"/>
          <w:szCs w:val="24"/>
        </w:rPr>
      </w:pPr>
      <w:r w:rsidRPr="00F87B15">
        <w:rPr>
          <w:sz w:val="24"/>
          <w:szCs w:val="24"/>
        </w:rPr>
        <w:t>Hvis det er nødvendigt at seponere rotigotin, bør dette ske gradvist for at undgå malignt neuroleptikasyndrom.</w:t>
      </w:r>
    </w:p>
    <w:p w14:paraId="1968DEC5" w14:textId="77777777" w:rsidR="009260DE" w:rsidRPr="00C84483" w:rsidRDefault="009260DE" w:rsidP="009260DE">
      <w:pPr>
        <w:tabs>
          <w:tab w:val="left" w:pos="851"/>
        </w:tabs>
        <w:ind w:left="851"/>
        <w:rPr>
          <w:sz w:val="24"/>
          <w:szCs w:val="24"/>
        </w:rPr>
      </w:pPr>
    </w:p>
    <w:p w14:paraId="6736D7D9"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E038715" w14:textId="4970858C" w:rsidR="009260DE" w:rsidRPr="00C84483" w:rsidRDefault="00660899" w:rsidP="009260DE">
      <w:pPr>
        <w:tabs>
          <w:tab w:val="left" w:pos="851"/>
        </w:tabs>
        <w:ind w:left="851"/>
        <w:rPr>
          <w:sz w:val="24"/>
          <w:szCs w:val="24"/>
        </w:rPr>
      </w:pPr>
      <w:r>
        <w:rPr>
          <w:sz w:val="24"/>
          <w:szCs w:val="24"/>
        </w:rPr>
        <w:t>B</w:t>
      </w:r>
    </w:p>
    <w:p w14:paraId="28621602" w14:textId="77777777" w:rsidR="009260DE" w:rsidRPr="00C84483" w:rsidRDefault="009260DE" w:rsidP="009260DE">
      <w:pPr>
        <w:tabs>
          <w:tab w:val="left" w:pos="851"/>
        </w:tabs>
        <w:ind w:left="851"/>
        <w:rPr>
          <w:sz w:val="24"/>
          <w:szCs w:val="24"/>
        </w:rPr>
      </w:pPr>
    </w:p>
    <w:p w14:paraId="55F31B59" w14:textId="6A8A80F7" w:rsidR="00125216" w:rsidRDefault="00125216">
      <w:pPr>
        <w:rPr>
          <w:sz w:val="24"/>
          <w:szCs w:val="24"/>
        </w:rPr>
      </w:pPr>
      <w:r>
        <w:rPr>
          <w:sz w:val="24"/>
          <w:szCs w:val="24"/>
        </w:rPr>
        <w:br w:type="page"/>
      </w:r>
    </w:p>
    <w:p w14:paraId="5E827180" w14:textId="77777777" w:rsidR="009260DE" w:rsidRPr="00C84483" w:rsidRDefault="009260DE" w:rsidP="009260DE">
      <w:pPr>
        <w:tabs>
          <w:tab w:val="left" w:pos="851"/>
        </w:tabs>
        <w:ind w:left="851"/>
        <w:rPr>
          <w:sz w:val="24"/>
          <w:szCs w:val="24"/>
        </w:rPr>
      </w:pPr>
    </w:p>
    <w:p w14:paraId="6A6D1041"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5156F2B" w14:textId="77777777" w:rsidR="009260DE" w:rsidRPr="00C84483" w:rsidRDefault="009260DE" w:rsidP="009260DE">
      <w:pPr>
        <w:tabs>
          <w:tab w:val="left" w:pos="851"/>
        </w:tabs>
        <w:ind w:left="851"/>
        <w:rPr>
          <w:sz w:val="24"/>
          <w:szCs w:val="24"/>
        </w:rPr>
      </w:pPr>
    </w:p>
    <w:p w14:paraId="5256B17E"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1CE6D55" w14:textId="490ABC2D" w:rsidR="00402B00" w:rsidRPr="00402B00" w:rsidRDefault="00402B00" w:rsidP="00402B00">
      <w:pPr>
        <w:tabs>
          <w:tab w:val="left" w:pos="851"/>
        </w:tabs>
        <w:ind w:left="851"/>
        <w:rPr>
          <w:sz w:val="24"/>
          <w:szCs w:val="24"/>
        </w:rPr>
      </w:pPr>
      <w:r w:rsidRPr="00402B00">
        <w:rPr>
          <w:sz w:val="24"/>
          <w:szCs w:val="24"/>
        </w:rPr>
        <w:t>Farmakoterapeutisk klassifikation: Anti-parkinson midler, dopaminagonister</w:t>
      </w:r>
      <w:r>
        <w:rPr>
          <w:sz w:val="24"/>
          <w:szCs w:val="24"/>
        </w:rPr>
        <w:t>,</w:t>
      </w:r>
      <w:r w:rsidRPr="00402B00">
        <w:rPr>
          <w:sz w:val="24"/>
          <w:szCs w:val="24"/>
        </w:rPr>
        <w:t xml:space="preserve"> ATC</w:t>
      </w:r>
      <w:r w:rsidRPr="00402B00">
        <w:rPr>
          <w:sz w:val="24"/>
          <w:szCs w:val="24"/>
        </w:rPr>
        <w:noBreakHyphen/>
        <w:t>kode: N04BC09.</w:t>
      </w:r>
    </w:p>
    <w:p w14:paraId="47453291" w14:textId="77777777" w:rsidR="00402B00" w:rsidRPr="00402B00" w:rsidRDefault="00402B00" w:rsidP="00402B00">
      <w:pPr>
        <w:tabs>
          <w:tab w:val="left" w:pos="851"/>
        </w:tabs>
        <w:ind w:left="851"/>
        <w:rPr>
          <w:sz w:val="24"/>
          <w:szCs w:val="24"/>
        </w:rPr>
      </w:pPr>
    </w:p>
    <w:p w14:paraId="44B1C0FD" w14:textId="77777777" w:rsidR="00402B00" w:rsidRPr="00402B00" w:rsidRDefault="00402B00" w:rsidP="00402B00">
      <w:pPr>
        <w:tabs>
          <w:tab w:val="left" w:pos="851"/>
        </w:tabs>
        <w:ind w:left="851"/>
        <w:rPr>
          <w:sz w:val="24"/>
          <w:szCs w:val="24"/>
        </w:rPr>
      </w:pPr>
      <w:r w:rsidRPr="00402B00">
        <w:rPr>
          <w:sz w:val="24"/>
          <w:szCs w:val="24"/>
        </w:rPr>
        <w:t>Rotigotin er en non</w:t>
      </w:r>
      <w:r w:rsidRPr="00402B00">
        <w:rPr>
          <w:sz w:val="24"/>
          <w:szCs w:val="24"/>
        </w:rPr>
        <w:noBreakHyphen/>
        <w:t xml:space="preserve">ergolin dopaminagonist til behandling af tegn og symptomer på Parkinsons sygdom og </w:t>
      </w:r>
      <w:r w:rsidRPr="00402B00">
        <w:rPr>
          <w:i/>
          <w:sz w:val="24"/>
          <w:szCs w:val="24"/>
        </w:rPr>
        <w:t>restless legs</w:t>
      </w:r>
      <w:r w:rsidRPr="00402B00">
        <w:rPr>
          <w:sz w:val="24"/>
          <w:szCs w:val="24"/>
        </w:rPr>
        <w:noBreakHyphen/>
        <w:t>syndrom.</w:t>
      </w:r>
    </w:p>
    <w:p w14:paraId="72457B5B" w14:textId="77777777" w:rsidR="00402B00" w:rsidRPr="00402B00" w:rsidRDefault="00402B00" w:rsidP="00402B00">
      <w:pPr>
        <w:tabs>
          <w:tab w:val="left" w:pos="851"/>
        </w:tabs>
        <w:ind w:left="851"/>
        <w:rPr>
          <w:sz w:val="24"/>
          <w:szCs w:val="24"/>
        </w:rPr>
      </w:pPr>
    </w:p>
    <w:p w14:paraId="6E9A3CE7" w14:textId="77777777" w:rsidR="00402B00" w:rsidRPr="00402B00" w:rsidRDefault="00402B00" w:rsidP="00402B00">
      <w:pPr>
        <w:tabs>
          <w:tab w:val="left" w:pos="851"/>
        </w:tabs>
        <w:ind w:left="851"/>
        <w:rPr>
          <w:sz w:val="24"/>
          <w:szCs w:val="24"/>
          <w:u w:val="single"/>
        </w:rPr>
      </w:pPr>
      <w:r w:rsidRPr="00402B00">
        <w:rPr>
          <w:sz w:val="24"/>
          <w:szCs w:val="24"/>
          <w:u w:val="single"/>
        </w:rPr>
        <w:t>Virkningsmekanisme</w:t>
      </w:r>
    </w:p>
    <w:p w14:paraId="06597776" w14:textId="77777777" w:rsidR="00402B00" w:rsidRPr="00402B00" w:rsidRDefault="00402B00" w:rsidP="00402B00">
      <w:pPr>
        <w:tabs>
          <w:tab w:val="left" w:pos="851"/>
        </w:tabs>
        <w:ind w:left="851"/>
        <w:rPr>
          <w:sz w:val="24"/>
          <w:szCs w:val="24"/>
        </w:rPr>
      </w:pPr>
      <w:r w:rsidRPr="00402B00">
        <w:rPr>
          <w:sz w:val="24"/>
          <w:szCs w:val="24"/>
        </w:rPr>
        <w:t>Det menes, at rotigotins positive effekt på Parkinsons sygdom opnås ved aktivering af D</w:t>
      </w:r>
      <w:r w:rsidRPr="00402B00">
        <w:rPr>
          <w:sz w:val="24"/>
          <w:szCs w:val="24"/>
          <w:vertAlign w:val="subscript"/>
        </w:rPr>
        <w:t>3</w:t>
      </w:r>
      <w:r w:rsidRPr="00402B00">
        <w:rPr>
          <w:sz w:val="24"/>
          <w:szCs w:val="24"/>
        </w:rPr>
        <w:noBreakHyphen/>
        <w:t>, D</w:t>
      </w:r>
      <w:r w:rsidRPr="00402B00">
        <w:rPr>
          <w:sz w:val="24"/>
          <w:szCs w:val="24"/>
          <w:vertAlign w:val="subscript"/>
        </w:rPr>
        <w:t>2</w:t>
      </w:r>
      <w:r w:rsidRPr="00402B00">
        <w:rPr>
          <w:sz w:val="24"/>
          <w:szCs w:val="24"/>
        </w:rPr>
        <w:noBreakHyphen/>
        <w:t xml:space="preserve"> og D</w:t>
      </w:r>
      <w:r w:rsidRPr="00402B00">
        <w:rPr>
          <w:sz w:val="24"/>
          <w:szCs w:val="24"/>
          <w:vertAlign w:val="subscript"/>
        </w:rPr>
        <w:t>1</w:t>
      </w:r>
      <w:r w:rsidRPr="00402B00">
        <w:rPr>
          <w:sz w:val="24"/>
          <w:szCs w:val="24"/>
        </w:rPr>
        <w:noBreakHyphen/>
        <w:t>receptorerne i nucleus caudatus og putamen i hjernen.</w:t>
      </w:r>
    </w:p>
    <w:p w14:paraId="314898C6" w14:textId="77777777" w:rsidR="00402B00" w:rsidRPr="00402B00" w:rsidRDefault="00402B00" w:rsidP="00402B00">
      <w:pPr>
        <w:tabs>
          <w:tab w:val="left" w:pos="851"/>
        </w:tabs>
        <w:ind w:left="851"/>
        <w:rPr>
          <w:sz w:val="24"/>
          <w:szCs w:val="24"/>
        </w:rPr>
      </w:pPr>
    </w:p>
    <w:p w14:paraId="4919B287" w14:textId="77777777" w:rsidR="00402B00" w:rsidRPr="00402B00" w:rsidRDefault="00402B00" w:rsidP="00402B00">
      <w:pPr>
        <w:tabs>
          <w:tab w:val="left" w:pos="851"/>
        </w:tabs>
        <w:ind w:left="851"/>
        <w:rPr>
          <w:sz w:val="24"/>
          <w:szCs w:val="24"/>
          <w:lang w:val="nb-NO"/>
        </w:rPr>
      </w:pPr>
      <w:r w:rsidRPr="00402B00">
        <w:rPr>
          <w:sz w:val="24"/>
          <w:szCs w:val="24"/>
        </w:rPr>
        <w:t xml:space="preserve">Rotigotins præcise virkningsmekanisme ved behandling af </w:t>
      </w:r>
      <w:r w:rsidRPr="00402B00">
        <w:rPr>
          <w:i/>
          <w:sz w:val="24"/>
          <w:szCs w:val="24"/>
        </w:rPr>
        <w:t>restless legs</w:t>
      </w:r>
      <w:r w:rsidRPr="00402B00">
        <w:rPr>
          <w:sz w:val="24"/>
          <w:szCs w:val="24"/>
        </w:rPr>
        <w:noBreakHyphen/>
        <w:t xml:space="preserve">syndrom er ikke kendt. </w:t>
      </w:r>
      <w:r w:rsidRPr="00402B00">
        <w:rPr>
          <w:sz w:val="24"/>
          <w:szCs w:val="24"/>
          <w:lang w:val="nb-NO"/>
        </w:rPr>
        <w:t>Det menes, at rotigotins virkning primært udøves via dopaminreceptorer.</w:t>
      </w:r>
    </w:p>
    <w:p w14:paraId="79E2D3A2" w14:textId="77777777" w:rsidR="00402B00" w:rsidRPr="00402B00" w:rsidRDefault="00402B00" w:rsidP="00402B00">
      <w:pPr>
        <w:tabs>
          <w:tab w:val="left" w:pos="851"/>
        </w:tabs>
        <w:ind w:left="851"/>
        <w:rPr>
          <w:sz w:val="24"/>
          <w:szCs w:val="24"/>
          <w:lang w:val="nb-NO"/>
        </w:rPr>
      </w:pPr>
    </w:p>
    <w:p w14:paraId="0DDDF1F4" w14:textId="77777777" w:rsidR="00402B00" w:rsidRPr="00402B00" w:rsidRDefault="00402B00" w:rsidP="00402B00">
      <w:pPr>
        <w:tabs>
          <w:tab w:val="left" w:pos="851"/>
        </w:tabs>
        <w:ind w:left="851"/>
        <w:rPr>
          <w:sz w:val="24"/>
          <w:szCs w:val="24"/>
          <w:u w:val="single"/>
          <w:lang w:val="nb-NO"/>
        </w:rPr>
      </w:pPr>
      <w:r w:rsidRPr="00402B00">
        <w:rPr>
          <w:sz w:val="24"/>
          <w:szCs w:val="24"/>
          <w:u w:val="single"/>
          <w:lang w:val="nb-NO"/>
        </w:rPr>
        <w:t>Farmakodynamisk virkning</w:t>
      </w:r>
    </w:p>
    <w:p w14:paraId="5A972E0D" w14:textId="77777777" w:rsidR="00402B00" w:rsidRPr="00402B00" w:rsidRDefault="00402B00" w:rsidP="00402B00">
      <w:pPr>
        <w:tabs>
          <w:tab w:val="left" w:pos="851"/>
        </w:tabs>
        <w:ind w:left="851"/>
        <w:rPr>
          <w:sz w:val="24"/>
          <w:szCs w:val="24"/>
        </w:rPr>
      </w:pPr>
      <w:r w:rsidRPr="00402B00">
        <w:rPr>
          <w:sz w:val="24"/>
          <w:szCs w:val="24"/>
        </w:rPr>
        <w:t>Med hensyn til den funktionelle aktivitet af de forskellige undergrupper af receptorer og deres lokalisering i hjernen er rotigotin en D</w:t>
      </w:r>
      <w:r w:rsidRPr="00402B00">
        <w:rPr>
          <w:sz w:val="24"/>
          <w:szCs w:val="24"/>
          <w:vertAlign w:val="subscript"/>
        </w:rPr>
        <w:t>2</w:t>
      </w:r>
      <w:r w:rsidRPr="00402B00">
        <w:rPr>
          <w:sz w:val="24"/>
          <w:szCs w:val="24"/>
        </w:rPr>
        <w:noBreakHyphen/>
        <w:t xml:space="preserve"> og D</w:t>
      </w:r>
      <w:r w:rsidRPr="00402B00">
        <w:rPr>
          <w:sz w:val="24"/>
          <w:szCs w:val="24"/>
          <w:vertAlign w:val="subscript"/>
        </w:rPr>
        <w:t>3</w:t>
      </w:r>
      <w:r w:rsidRPr="00402B00">
        <w:rPr>
          <w:sz w:val="24"/>
          <w:szCs w:val="24"/>
        </w:rPr>
        <w:noBreakHyphen/>
        <w:t>receptoragonist, som også aktiverer D</w:t>
      </w:r>
      <w:r w:rsidRPr="00402B00">
        <w:rPr>
          <w:sz w:val="24"/>
          <w:szCs w:val="24"/>
          <w:vertAlign w:val="subscript"/>
        </w:rPr>
        <w:t>1</w:t>
      </w:r>
      <w:r w:rsidRPr="00402B00">
        <w:rPr>
          <w:sz w:val="24"/>
          <w:szCs w:val="24"/>
        </w:rPr>
        <w:noBreakHyphen/>
        <w:t>, D</w:t>
      </w:r>
      <w:r w:rsidRPr="00402B00">
        <w:rPr>
          <w:sz w:val="24"/>
          <w:szCs w:val="24"/>
          <w:vertAlign w:val="subscript"/>
        </w:rPr>
        <w:t>4</w:t>
      </w:r>
      <w:r w:rsidRPr="00402B00">
        <w:rPr>
          <w:sz w:val="24"/>
          <w:szCs w:val="24"/>
        </w:rPr>
        <w:noBreakHyphen/>
        <w:t xml:space="preserve"> og D</w:t>
      </w:r>
      <w:r w:rsidRPr="00402B00">
        <w:rPr>
          <w:sz w:val="24"/>
          <w:szCs w:val="24"/>
          <w:vertAlign w:val="subscript"/>
        </w:rPr>
        <w:t>5</w:t>
      </w:r>
      <w:r w:rsidRPr="00402B00">
        <w:rPr>
          <w:sz w:val="24"/>
          <w:szCs w:val="24"/>
        </w:rPr>
        <w:noBreakHyphen/>
        <w:t>receptorer. Hvad angår non</w:t>
      </w:r>
      <w:r w:rsidRPr="00402B00">
        <w:rPr>
          <w:sz w:val="24"/>
          <w:szCs w:val="24"/>
        </w:rPr>
        <w:noBreakHyphen/>
        <w:t>dopaminerge receptorer udviste rotigotin antagonistisk effekt på alfa2B</w:t>
      </w:r>
      <w:r w:rsidRPr="00402B00">
        <w:rPr>
          <w:sz w:val="24"/>
          <w:szCs w:val="24"/>
        </w:rPr>
        <w:noBreakHyphen/>
        <w:t>receptorer og agonistisk effekt på 5HT1A</w:t>
      </w:r>
      <w:r w:rsidRPr="00402B00">
        <w:rPr>
          <w:sz w:val="24"/>
          <w:szCs w:val="24"/>
        </w:rPr>
        <w:noBreakHyphen/>
        <w:t>receptorer, men ingen effekt på 5HT2B</w:t>
      </w:r>
      <w:r w:rsidRPr="00402B00">
        <w:rPr>
          <w:sz w:val="24"/>
          <w:szCs w:val="24"/>
        </w:rPr>
        <w:noBreakHyphen/>
        <w:t>receptoren.</w:t>
      </w:r>
    </w:p>
    <w:p w14:paraId="74CE864E" w14:textId="77777777" w:rsidR="00402B00" w:rsidRPr="00402B00" w:rsidRDefault="00402B00" w:rsidP="00402B00">
      <w:pPr>
        <w:tabs>
          <w:tab w:val="left" w:pos="851"/>
        </w:tabs>
        <w:ind w:left="851"/>
        <w:rPr>
          <w:sz w:val="24"/>
          <w:szCs w:val="24"/>
          <w:u w:val="single"/>
        </w:rPr>
      </w:pPr>
    </w:p>
    <w:p w14:paraId="32035985" w14:textId="77777777" w:rsidR="00402B00" w:rsidRPr="00402B00" w:rsidRDefault="00402B00" w:rsidP="00402B00">
      <w:pPr>
        <w:tabs>
          <w:tab w:val="left" w:pos="851"/>
        </w:tabs>
        <w:ind w:left="851"/>
        <w:rPr>
          <w:sz w:val="24"/>
          <w:szCs w:val="24"/>
          <w:u w:val="single"/>
        </w:rPr>
      </w:pPr>
      <w:r w:rsidRPr="00402B00">
        <w:rPr>
          <w:sz w:val="24"/>
          <w:szCs w:val="24"/>
          <w:u w:val="single"/>
        </w:rPr>
        <w:t>Klinisk virkning og sikkerhed</w:t>
      </w:r>
    </w:p>
    <w:p w14:paraId="458E0E78" w14:textId="77777777" w:rsidR="00402B00" w:rsidRPr="00402B00" w:rsidRDefault="00402B00" w:rsidP="00402B00">
      <w:pPr>
        <w:tabs>
          <w:tab w:val="left" w:pos="851"/>
        </w:tabs>
        <w:ind w:left="851"/>
        <w:rPr>
          <w:sz w:val="24"/>
          <w:szCs w:val="24"/>
          <w:u w:val="single"/>
        </w:rPr>
      </w:pPr>
    </w:p>
    <w:p w14:paraId="75CDF28C" w14:textId="77777777" w:rsidR="00402B00" w:rsidRPr="00402B00" w:rsidRDefault="00402B00" w:rsidP="00402B00">
      <w:pPr>
        <w:tabs>
          <w:tab w:val="left" w:pos="851"/>
        </w:tabs>
        <w:ind w:left="851"/>
        <w:rPr>
          <w:i/>
          <w:iCs/>
          <w:sz w:val="24"/>
          <w:szCs w:val="24"/>
        </w:rPr>
      </w:pPr>
      <w:r w:rsidRPr="00402B00">
        <w:rPr>
          <w:i/>
          <w:iCs/>
          <w:sz w:val="24"/>
          <w:szCs w:val="24"/>
        </w:rPr>
        <w:t xml:space="preserve">Kliniske studier af </w:t>
      </w:r>
      <w:r w:rsidRPr="00402B00">
        <w:rPr>
          <w:sz w:val="24"/>
          <w:szCs w:val="24"/>
        </w:rPr>
        <w:t xml:space="preserve">restless </w:t>
      </w:r>
      <w:r w:rsidRPr="00402B00">
        <w:rPr>
          <w:i/>
          <w:iCs/>
          <w:sz w:val="24"/>
          <w:szCs w:val="24"/>
        </w:rPr>
        <w:t>legs-syndrom</w:t>
      </w:r>
    </w:p>
    <w:p w14:paraId="1A45A5B7" w14:textId="77777777" w:rsidR="00402B00" w:rsidRPr="00402B00" w:rsidRDefault="00402B00" w:rsidP="00402B00">
      <w:pPr>
        <w:tabs>
          <w:tab w:val="left" w:pos="851"/>
        </w:tabs>
        <w:ind w:left="851"/>
        <w:rPr>
          <w:sz w:val="24"/>
          <w:szCs w:val="24"/>
        </w:rPr>
      </w:pPr>
      <w:r w:rsidRPr="00402B00">
        <w:rPr>
          <w:sz w:val="24"/>
          <w:szCs w:val="24"/>
        </w:rPr>
        <w:t xml:space="preserve">Rotigotins virkning blev vurderet i 5 placebokontrollerede studier med mere end 1.400  patienter med idiopatisk </w:t>
      </w:r>
      <w:r w:rsidRPr="00402B00">
        <w:rPr>
          <w:i/>
          <w:iCs/>
          <w:sz w:val="24"/>
          <w:szCs w:val="24"/>
        </w:rPr>
        <w:t>restless legs</w:t>
      </w:r>
      <w:r w:rsidRPr="00402B00">
        <w:rPr>
          <w:sz w:val="24"/>
          <w:szCs w:val="24"/>
        </w:rPr>
        <w:t>-syndrom (RLS). Virkningen blev demonstreret i kontrollerede studier med patienter behandlet i op til 29 uger. Effekten blev opretholdt i en periode på 6 måneder.</w:t>
      </w:r>
    </w:p>
    <w:p w14:paraId="7CF32FF9" w14:textId="77777777" w:rsidR="00402B00" w:rsidRPr="00402B00" w:rsidRDefault="00402B00" w:rsidP="00402B00">
      <w:pPr>
        <w:tabs>
          <w:tab w:val="left" w:pos="851"/>
        </w:tabs>
        <w:ind w:left="851"/>
        <w:rPr>
          <w:sz w:val="24"/>
          <w:szCs w:val="24"/>
        </w:rPr>
      </w:pPr>
    </w:p>
    <w:p w14:paraId="18846323" w14:textId="77777777" w:rsidR="00402B00" w:rsidRPr="00402B00" w:rsidRDefault="00402B00" w:rsidP="00402B00">
      <w:pPr>
        <w:tabs>
          <w:tab w:val="left" w:pos="851"/>
        </w:tabs>
        <w:ind w:left="851"/>
        <w:rPr>
          <w:sz w:val="24"/>
          <w:szCs w:val="24"/>
        </w:rPr>
      </w:pPr>
      <w:r w:rsidRPr="00402B00">
        <w:rPr>
          <w:sz w:val="24"/>
          <w:szCs w:val="24"/>
        </w:rPr>
        <w:t>Ændringen fra baseline af International RLS Rating Scale (IRLS) og CGI-item 1 (sværhedsgrad af sygdom) var primære virkningsparametre. For begge primære ende</w:t>
      </w:r>
      <w:r w:rsidRPr="00402B00">
        <w:rPr>
          <w:sz w:val="24"/>
          <w:szCs w:val="24"/>
        </w:rPr>
        <w:softHyphen/>
        <w:t>punkter er der blevet observeret statistiske signifikante forskelle ved doser på 1 mg/24 timer, 2 mg/24 timer og 3 mg/24 timer ved sammenligning med placebo. Efter 6 måneders vedlige</w:t>
      </w:r>
      <w:r w:rsidRPr="00402B00">
        <w:rPr>
          <w:sz w:val="24"/>
          <w:szCs w:val="24"/>
        </w:rPr>
        <w:softHyphen/>
        <w:t>holdelsesbehandling af patienter med moderat til svær RLS var baseline IRLS scoren forbedret fra 30,7 til 20,7 for placebo og fra 30,2 til 13,8 for rotigotin. Den justerede gennemsnitsforskel var -6,5 point (CI95 % -8,7; -4,4, p &lt; 0,0001). CGI-I svarsfrekvens (stor forbedring, meget stor forbedring) var henholdsvis 43,0 % og 67,5 % for placebo og rotigotin (forskel 24,5 % CI95 %: 14,2 %; 34,8 %, p &lt; 0,0001).</w:t>
      </w:r>
    </w:p>
    <w:p w14:paraId="29DBFCF9" w14:textId="77777777" w:rsidR="00402B00" w:rsidRPr="00402B00" w:rsidRDefault="00402B00" w:rsidP="00402B00">
      <w:pPr>
        <w:tabs>
          <w:tab w:val="left" w:pos="851"/>
        </w:tabs>
        <w:ind w:left="851"/>
        <w:rPr>
          <w:sz w:val="24"/>
          <w:szCs w:val="24"/>
        </w:rPr>
      </w:pPr>
      <w:r w:rsidRPr="00402B00">
        <w:rPr>
          <w:sz w:val="24"/>
          <w:szCs w:val="24"/>
        </w:rPr>
        <w:t xml:space="preserve">I et placebokontrolleret studie med en varighed på 7 uger, blev polysomnografiske parametre undersøgt. Rotigotin reducerede antallet af periodiske benbevægelser (periodic </w:t>
      </w:r>
      <w:r w:rsidRPr="00402B00">
        <w:rPr>
          <w:i/>
          <w:iCs/>
          <w:sz w:val="24"/>
          <w:szCs w:val="24"/>
        </w:rPr>
        <w:t>limb movement index</w:t>
      </w:r>
      <w:r w:rsidRPr="00402B00">
        <w:rPr>
          <w:sz w:val="24"/>
          <w:szCs w:val="24"/>
        </w:rPr>
        <w:t xml:space="preserve"> (PLMI)) signifikant fra 50,9 til 7,7 vs. 37,4 til 32,7 for placebo (p &lt; 0,0001). </w:t>
      </w:r>
    </w:p>
    <w:p w14:paraId="7784AC54" w14:textId="77777777" w:rsidR="00402B00" w:rsidRPr="00402B00" w:rsidRDefault="00402B00" w:rsidP="00402B00">
      <w:pPr>
        <w:tabs>
          <w:tab w:val="left" w:pos="851"/>
        </w:tabs>
        <w:ind w:left="851"/>
        <w:rPr>
          <w:sz w:val="24"/>
          <w:szCs w:val="24"/>
        </w:rPr>
      </w:pPr>
    </w:p>
    <w:p w14:paraId="37D4047B" w14:textId="77777777" w:rsidR="00402B00" w:rsidRPr="00402B00" w:rsidRDefault="00402B00" w:rsidP="00402B00">
      <w:pPr>
        <w:tabs>
          <w:tab w:val="left" w:pos="851"/>
        </w:tabs>
        <w:ind w:left="851"/>
        <w:rPr>
          <w:sz w:val="24"/>
          <w:szCs w:val="24"/>
        </w:rPr>
      </w:pPr>
      <w:r w:rsidRPr="00402B00">
        <w:rPr>
          <w:i/>
          <w:iCs/>
          <w:sz w:val="24"/>
          <w:szCs w:val="24"/>
        </w:rPr>
        <w:t>Augmentation</w:t>
      </w:r>
    </w:p>
    <w:p w14:paraId="74315FFC" w14:textId="77777777" w:rsidR="00402B00" w:rsidRPr="00402B00" w:rsidRDefault="00402B00" w:rsidP="00402B00">
      <w:pPr>
        <w:tabs>
          <w:tab w:val="left" w:pos="851"/>
        </w:tabs>
        <w:ind w:left="851"/>
        <w:rPr>
          <w:sz w:val="24"/>
          <w:szCs w:val="24"/>
        </w:rPr>
      </w:pPr>
      <w:r w:rsidRPr="00402B00">
        <w:rPr>
          <w:sz w:val="24"/>
          <w:szCs w:val="24"/>
        </w:rPr>
        <w:t xml:space="preserve">I to dobbeltblinde placebokontrollerede studier af 6 måneders varighed blev klinisk relevant augmentation observeret hos 1,5 % af patienterne, som blev behandlet med rotigotin, sammenlignet med hos 0,5 % af patienterne i placebogruppen. I to åbne opfølgningsstudier i de efterfølgende 12 måneder var hyppigheden af klinisk relevant </w:t>
      </w:r>
      <w:r w:rsidRPr="00402B00">
        <w:rPr>
          <w:sz w:val="24"/>
          <w:szCs w:val="24"/>
        </w:rPr>
        <w:lastRenderedPageBreak/>
        <w:t>augmentation 2,9 %. Ingen af disse patienter seponerede behandlingen på grund af augmentation. I et 5-årigt åbent behandlingsstudie forekom augmentation hos 11,9 % af de patienter, som blev behandlet med de godkendte doser for RLS (1-3 mg/24 timer), og blev anset som klinisk signifikant hos 5,1 %. I dette studie optrådte størstedelen af augmentationsepisoderne i løbet af det første og andet behandlingsår. I dette studie blev der ydermere givet en højere dosis på 4 mg/24 timer, som ikke er godkendt til RLS, hvilket medførte højere forekomst af augmentation.</w:t>
      </w:r>
    </w:p>
    <w:p w14:paraId="253C3C90" w14:textId="77777777" w:rsidR="00402B00" w:rsidRPr="00402B00" w:rsidRDefault="00402B00" w:rsidP="00402B00">
      <w:pPr>
        <w:tabs>
          <w:tab w:val="left" w:pos="851"/>
        </w:tabs>
        <w:ind w:left="851"/>
        <w:rPr>
          <w:sz w:val="24"/>
          <w:szCs w:val="24"/>
        </w:rPr>
      </w:pPr>
    </w:p>
    <w:p w14:paraId="12EC1717" w14:textId="77777777" w:rsidR="00402B00" w:rsidRPr="00402B00" w:rsidRDefault="00402B00" w:rsidP="00402B00">
      <w:pPr>
        <w:tabs>
          <w:tab w:val="left" w:pos="851"/>
        </w:tabs>
        <w:ind w:left="851"/>
        <w:rPr>
          <w:i/>
          <w:iCs/>
          <w:sz w:val="24"/>
          <w:szCs w:val="24"/>
        </w:rPr>
      </w:pPr>
      <w:r w:rsidRPr="00402B00">
        <w:rPr>
          <w:i/>
          <w:iCs/>
          <w:sz w:val="24"/>
          <w:szCs w:val="24"/>
        </w:rPr>
        <w:t>Kliniske studier af Parkinsons sygdom</w:t>
      </w:r>
    </w:p>
    <w:p w14:paraId="259C6BAB" w14:textId="77777777" w:rsidR="00402B00" w:rsidRPr="00402B00" w:rsidRDefault="00402B00" w:rsidP="00402B00">
      <w:pPr>
        <w:tabs>
          <w:tab w:val="left" w:pos="851"/>
        </w:tabs>
        <w:ind w:left="851"/>
        <w:rPr>
          <w:sz w:val="24"/>
          <w:szCs w:val="24"/>
        </w:rPr>
      </w:pPr>
      <w:r w:rsidRPr="00402B00">
        <w:rPr>
          <w:sz w:val="24"/>
          <w:szCs w:val="24"/>
        </w:rPr>
        <w:t>Rotigotins behandlingseffekt ved tegn og symptomer på idiopatisk Parkinsons sygdom er vurderet i et multinationalt lægemiddeludviklingsprogram bestående af fire pivotale, parallelle, randomiserede, dobbeltblinde, placebokontrollerede studier samt tre studier, som undersøgte bestemte aspekter af Parkinsons sygdom.</w:t>
      </w:r>
    </w:p>
    <w:p w14:paraId="7CDB3777" w14:textId="77777777" w:rsidR="00402B00" w:rsidRPr="00402B00" w:rsidRDefault="00402B00" w:rsidP="00402B00">
      <w:pPr>
        <w:tabs>
          <w:tab w:val="left" w:pos="851"/>
        </w:tabs>
        <w:ind w:left="851"/>
        <w:rPr>
          <w:sz w:val="24"/>
          <w:szCs w:val="24"/>
        </w:rPr>
      </w:pPr>
    </w:p>
    <w:p w14:paraId="00EBC0DA" w14:textId="77777777" w:rsidR="00402B00" w:rsidRPr="00402B00" w:rsidRDefault="00402B00" w:rsidP="00402B00">
      <w:pPr>
        <w:tabs>
          <w:tab w:val="left" w:pos="851"/>
        </w:tabs>
        <w:ind w:left="851"/>
        <w:rPr>
          <w:sz w:val="24"/>
          <w:szCs w:val="24"/>
        </w:rPr>
      </w:pPr>
      <w:r w:rsidRPr="00402B00">
        <w:rPr>
          <w:b/>
          <w:sz w:val="24"/>
          <w:szCs w:val="24"/>
        </w:rPr>
        <w:t>To pivotale studier (SP512 del I og SP513 del I)</w:t>
      </w:r>
      <w:r w:rsidRPr="00402B00">
        <w:rPr>
          <w:sz w:val="24"/>
          <w:szCs w:val="24"/>
        </w:rPr>
        <w:t>, som undersøgte rotigotins behandlings</w:t>
      </w:r>
      <w:r w:rsidRPr="00402B00">
        <w:rPr>
          <w:sz w:val="24"/>
          <w:szCs w:val="24"/>
        </w:rPr>
        <w:softHyphen/>
        <w:t>effekt ved tegn og symptomer på idiopatisk Parkinsons sygdom blev udført med patienter, som ikke samtidig blev behandlet med en dopaminagonist, og som enten var levodopa</w:t>
      </w:r>
      <w:r w:rsidRPr="00402B00">
        <w:rPr>
          <w:sz w:val="24"/>
          <w:szCs w:val="24"/>
        </w:rPr>
        <w:softHyphen/>
        <w:t>naive, eller hvor den tidligere levodopa-behandling varede ≤ 6 måneder. Den primære resultatvurdering var scoren for dagligdagsaktiviteter (</w:t>
      </w:r>
      <w:r w:rsidRPr="00402B00">
        <w:rPr>
          <w:i/>
          <w:iCs/>
          <w:sz w:val="24"/>
          <w:szCs w:val="24"/>
        </w:rPr>
        <w:t xml:space="preserve">Activities of Daily Living, </w:t>
      </w:r>
      <w:r w:rsidRPr="00402B00">
        <w:rPr>
          <w:sz w:val="24"/>
          <w:szCs w:val="24"/>
        </w:rPr>
        <w:t>ADL)</w:t>
      </w:r>
      <w:r w:rsidRPr="00402B00">
        <w:rPr>
          <w:i/>
          <w:iCs/>
          <w:sz w:val="24"/>
          <w:szCs w:val="24"/>
        </w:rPr>
        <w:t xml:space="preserve"> </w:t>
      </w:r>
      <w:r w:rsidRPr="00402B00">
        <w:rPr>
          <w:sz w:val="24"/>
          <w:szCs w:val="24"/>
        </w:rPr>
        <w:t>(del II) samt motorisk undersøgelse (del III) på UPDR</w:t>
      </w:r>
      <w:r w:rsidRPr="00402B00">
        <w:rPr>
          <w:sz w:val="24"/>
          <w:szCs w:val="24"/>
        </w:rPr>
        <w:noBreakHyphen/>
        <w:t>skalaen (</w:t>
      </w:r>
      <w:r w:rsidRPr="00402B00">
        <w:rPr>
          <w:i/>
          <w:iCs/>
          <w:sz w:val="24"/>
          <w:szCs w:val="24"/>
        </w:rPr>
        <w:t>Unified Parkinson’s Disease Rating Scale</w:t>
      </w:r>
      <w:r w:rsidRPr="00402B00">
        <w:rPr>
          <w:sz w:val="24"/>
          <w:szCs w:val="24"/>
        </w:rPr>
        <w:t>, UPDRS). Virkningen blev bedømt i henhold til patientens respons på behandling som respondentforbedring og forbedring af absolut pointtal i de samlede scorer for ADL og motorisk undersøgelse (UPDRS del II og III).</w:t>
      </w:r>
    </w:p>
    <w:p w14:paraId="6F521EF8" w14:textId="77777777" w:rsidR="00402B00" w:rsidRPr="00402B00" w:rsidRDefault="00402B00" w:rsidP="00402B00">
      <w:pPr>
        <w:tabs>
          <w:tab w:val="left" w:pos="851"/>
        </w:tabs>
        <w:ind w:left="851"/>
        <w:rPr>
          <w:sz w:val="24"/>
          <w:szCs w:val="24"/>
        </w:rPr>
      </w:pPr>
    </w:p>
    <w:p w14:paraId="3C7AFDA4" w14:textId="77777777" w:rsidR="00402B00" w:rsidRPr="00402B00" w:rsidRDefault="00402B00" w:rsidP="00402B00">
      <w:pPr>
        <w:tabs>
          <w:tab w:val="left" w:pos="851"/>
        </w:tabs>
        <w:ind w:left="851"/>
        <w:rPr>
          <w:sz w:val="24"/>
          <w:szCs w:val="24"/>
        </w:rPr>
      </w:pPr>
      <w:r w:rsidRPr="00402B00">
        <w:rPr>
          <w:b/>
          <w:sz w:val="24"/>
          <w:szCs w:val="24"/>
        </w:rPr>
        <w:t xml:space="preserve">I det dobbeltblinde studie SP512 del I </w:t>
      </w:r>
      <w:r w:rsidRPr="00402B00">
        <w:rPr>
          <w:sz w:val="24"/>
          <w:szCs w:val="24"/>
        </w:rPr>
        <w:t>fik 177 patienter rotigotin og 96 patienter fik placebo. Patienterne blev titreret til deres optimale dosis rotigotin eller placebo i ugentlige trin på 2 mg/24 timer startende ved 2 mg/24 timer til maksimal dosis på 6 mg/24 timer. Patienterne i hver behandlingsgruppe opretholdt deres optimale dosis i 6 måneder.</w:t>
      </w:r>
    </w:p>
    <w:p w14:paraId="55615105" w14:textId="77777777" w:rsidR="00402B00" w:rsidRPr="00402B00" w:rsidRDefault="00402B00" w:rsidP="00402B00">
      <w:pPr>
        <w:tabs>
          <w:tab w:val="left" w:pos="851"/>
        </w:tabs>
        <w:ind w:left="851"/>
        <w:rPr>
          <w:sz w:val="24"/>
          <w:szCs w:val="24"/>
        </w:rPr>
      </w:pPr>
      <w:r w:rsidRPr="00402B00">
        <w:rPr>
          <w:sz w:val="24"/>
          <w:szCs w:val="24"/>
        </w:rPr>
        <w:t>Ved slutningen af vedligeholdelsesbehandlingen var den optimale dosis den maksimalt tilladte dosis, dvs. 6 mg/24 timer, hos 91 % af patienterne i rotigotin</w:t>
      </w:r>
      <w:r w:rsidRPr="00402B00">
        <w:rPr>
          <w:sz w:val="24"/>
          <w:szCs w:val="24"/>
        </w:rPr>
        <w:noBreakHyphen/>
        <w:t>armen. Der sås en forbedring på 20 % hos 48 % af patienterne, som fik rotigotin og hos 19 % af patienterne, som fik placebo (forskel 29 %, CI95 %</w:t>
      </w:r>
      <w:r w:rsidRPr="00402B00">
        <w:rPr>
          <w:sz w:val="24"/>
          <w:szCs w:val="24"/>
          <w:vertAlign w:val="subscript"/>
        </w:rPr>
        <w:t xml:space="preserve"> </w:t>
      </w:r>
      <w:r w:rsidRPr="00402B00">
        <w:rPr>
          <w:sz w:val="24"/>
          <w:szCs w:val="24"/>
        </w:rPr>
        <w:t>18 %; 39 %, p &lt; 0,0001). Med rotigotin var den gennemsnitlige forbedring i UPDRS</w:t>
      </w:r>
      <w:r w:rsidRPr="00402B00">
        <w:rPr>
          <w:sz w:val="24"/>
          <w:szCs w:val="24"/>
        </w:rPr>
        <w:noBreakHyphen/>
        <w:t xml:space="preserve">scoren (del II og III) </w:t>
      </w:r>
      <w:r w:rsidRPr="00402B00">
        <w:rPr>
          <w:sz w:val="24"/>
          <w:szCs w:val="24"/>
        </w:rPr>
        <w:noBreakHyphen/>
        <w:t>3,98 point (</w:t>
      </w:r>
      <w:r w:rsidRPr="00402B00">
        <w:rPr>
          <w:i/>
          <w:sz w:val="24"/>
          <w:szCs w:val="24"/>
        </w:rPr>
        <w:t xml:space="preserve">baseline </w:t>
      </w:r>
      <w:r w:rsidRPr="00402B00">
        <w:rPr>
          <w:sz w:val="24"/>
          <w:szCs w:val="24"/>
        </w:rPr>
        <w:t>29,9 point), mens der i den behandlingsarm, der fik placebo, sås en forværring på 1,31 point (</w:t>
      </w:r>
      <w:r w:rsidRPr="00402B00">
        <w:rPr>
          <w:i/>
          <w:sz w:val="24"/>
          <w:szCs w:val="24"/>
        </w:rPr>
        <w:t xml:space="preserve">baseline </w:t>
      </w:r>
      <w:r w:rsidRPr="00402B00">
        <w:rPr>
          <w:sz w:val="24"/>
          <w:szCs w:val="24"/>
        </w:rPr>
        <w:t>30,0 point). Forskellen var 5,28 point og statistisk signifikant (p &lt; 0,0001).</w:t>
      </w:r>
    </w:p>
    <w:p w14:paraId="116E21DC" w14:textId="77777777" w:rsidR="00402B00" w:rsidRPr="00402B00" w:rsidRDefault="00402B00" w:rsidP="00402B00">
      <w:pPr>
        <w:tabs>
          <w:tab w:val="left" w:pos="851"/>
        </w:tabs>
        <w:ind w:left="851"/>
        <w:rPr>
          <w:sz w:val="24"/>
          <w:szCs w:val="24"/>
        </w:rPr>
      </w:pPr>
    </w:p>
    <w:p w14:paraId="49159DC2" w14:textId="77777777" w:rsidR="00402B00" w:rsidRPr="00402B00" w:rsidRDefault="00402B00" w:rsidP="00402B00">
      <w:pPr>
        <w:tabs>
          <w:tab w:val="left" w:pos="851"/>
        </w:tabs>
        <w:ind w:left="851"/>
        <w:rPr>
          <w:sz w:val="24"/>
          <w:szCs w:val="24"/>
        </w:rPr>
      </w:pPr>
      <w:r w:rsidRPr="00402B00">
        <w:rPr>
          <w:b/>
          <w:sz w:val="24"/>
          <w:szCs w:val="24"/>
        </w:rPr>
        <w:t xml:space="preserve">I det dobbeltblinde studie SP513 del I </w:t>
      </w:r>
      <w:r w:rsidRPr="00402B00">
        <w:rPr>
          <w:sz w:val="24"/>
          <w:szCs w:val="24"/>
        </w:rPr>
        <w:t>fik 213 patienter rotigotin, 227 fik ropinirol og 117 patienter fik placebo. Patienterne blev, i løbet af 4 uger, titreret til deres optimale dosis rotigotin i ugentlige trin på 2 mg/24 timer startende ved 2 mg/24 timer til maksimal dosis på 8 mg/24 timer. I ropinirol</w:t>
      </w:r>
      <w:r w:rsidRPr="00402B00">
        <w:rPr>
          <w:sz w:val="24"/>
          <w:szCs w:val="24"/>
        </w:rPr>
        <w:noBreakHyphen/>
        <w:t>gruppen blev patienterne, i løbet af 13 uger, titreret til deres optimale dosis op til maksimum på 24 mg/dag. Patienterne i hver behandlingsgruppe opretholdt deres optimale dosis i 6 måneder.</w:t>
      </w:r>
    </w:p>
    <w:p w14:paraId="5D51F517" w14:textId="77777777" w:rsidR="00402B00" w:rsidRPr="00402B00" w:rsidRDefault="00402B00" w:rsidP="00402B00">
      <w:pPr>
        <w:tabs>
          <w:tab w:val="left" w:pos="851"/>
        </w:tabs>
        <w:ind w:left="851"/>
        <w:rPr>
          <w:sz w:val="24"/>
          <w:szCs w:val="24"/>
        </w:rPr>
      </w:pPr>
      <w:r w:rsidRPr="00402B00">
        <w:rPr>
          <w:sz w:val="24"/>
          <w:szCs w:val="24"/>
        </w:rPr>
        <w:t>Ved slutningen af vedligeholdelsesbehandlingen var den optimale dosis den maksimalt tilladte dosis, dvs. 8 mg/24 timer, hos 92 % af patienterne i rotigotin</w:t>
      </w:r>
      <w:r w:rsidRPr="00402B00">
        <w:rPr>
          <w:sz w:val="24"/>
          <w:szCs w:val="24"/>
        </w:rPr>
        <w:noBreakHyphen/>
        <w:t xml:space="preserve">armen. Der sås en forbedring på 20 % hos 52 % af patienterne, som fik rotigotin, hos 68 % af patienterne, som fik ropinirol, og hos 30 % af patienterne, som fik placebo (forskel rotigotin </w:t>
      </w:r>
      <w:r w:rsidRPr="00402B00">
        <w:rPr>
          <w:i/>
          <w:sz w:val="24"/>
          <w:szCs w:val="24"/>
        </w:rPr>
        <w:t>versus</w:t>
      </w:r>
      <w:r w:rsidRPr="00402B00">
        <w:rPr>
          <w:sz w:val="24"/>
          <w:szCs w:val="24"/>
        </w:rPr>
        <w:t xml:space="preserve"> placebo 21,7 %; CI95 %</w:t>
      </w:r>
      <w:r w:rsidRPr="00402B00">
        <w:rPr>
          <w:sz w:val="24"/>
          <w:szCs w:val="24"/>
          <w:vertAlign w:val="subscript"/>
        </w:rPr>
        <w:t xml:space="preserve"> </w:t>
      </w:r>
      <w:r w:rsidRPr="00402B00">
        <w:rPr>
          <w:sz w:val="24"/>
          <w:szCs w:val="24"/>
        </w:rPr>
        <w:t xml:space="preserve">11,1 %; 32,4 %, forskel ropinirol </w:t>
      </w:r>
      <w:r w:rsidRPr="00402B00">
        <w:rPr>
          <w:i/>
          <w:sz w:val="24"/>
          <w:szCs w:val="24"/>
        </w:rPr>
        <w:t>versus</w:t>
      </w:r>
      <w:r w:rsidRPr="00402B00">
        <w:rPr>
          <w:sz w:val="24"/>
          <w:szCs w:val="24"/>
        </w:rPr>
        <w:t xml:space="preserve"> placebo 38,4 %, CI95 %</w:t>
      </w:r>
      <w:r w:rsidRPr="00402B00">
        <w:rPr>
          <w:sz w:val="24"/>
          <w:szCs w:val="24"/>
          <w:vertAlign w:val="subscript"/>
        </w:rPr>
        <w:t xml:space="preserve"> </w:t>
      </w:r>
      <w:r w:rsidRPr="00402B00">
        <w:rPr>
          <w:sz w:val="24"/>
          <w:szCs w:val="24"/>
        </w:rPr>
        <w:t xml:space="preserve">28,1 %; 48,6 %, forskel ropinirol </w:t>
      </w:r>
      <w:r w:rsidRPr="00402B00">
        <w:rPr>
          <w:i/>
          <w:sz w:val="24"/>
          <w:szCs w:val="24"/>
        </w:rPr>
        <w:t>vs</w:t>
      </w:r>
      <w:r w:rsidRPr="00402B00">
        <w:rPr>
          <w:sz w:val="24"/>
          <w:szCs w:val="24"/>
        </w:rPr>
        <w:t>. rotigotin 16,6 %, CI95 %</w:t>
      </w:r>
      <w:r w:rsidRPr="00402B00">
        <w:rPr>
          <w:sz w:val="24"/>
          <w:szCs w:val="24"/>
          <w:vertAlign w:val="subscript"/>
        </w:rPr>
        <w:t xml:space="preserve"> </w:t>
      </w:r>
      <w:r w:rsidRPr="00402B00">
        <w:rPr>
          <w:sz w:val="24"/>
          <w:szCs w:val="24"/>
        </w:rPr>
        <w:t>7,6 %; 25,7 %). Den gennemsnitlige forbedring i UPDRS</w:t>
      </w:r>
      <w:r w:rsidRPr="00402B00">
        <w:rPr>
          <w:sz w:val="24"/>
          <w:szCs w:val="24"/>
        </w:rPr>
        <w:noBreakHyphen/>
        <w:t>scoren (del II og III) var 6,83 point (</w:t>
      </w:r>
      <w:r w:rsidRPr="00402B00">
        <w:rPr>
          <w:i/>
          <w:sz w:val="24"/>
          <w:szCs w:val="24"/>
        </w:rPr>
        <w:t xml:space="preserve">baseline </w:t>
      </w:r>
      <w:r w:rsidRPr="00402B00">
        <w:rPr>
          <w:sz w:val="24"/>
          <w:szCs w:val="24"/>
        </w:rPr>
        <w:t>33,2 point) i rotigotin</w:t>
      </w:r>
      <w:r w:rsidRPr="00402B00">
        <w:rPr>
          <w:sz w:val="24"/>
          <w:szCs w:val="24"/>
        </w:rPr>
        <w:noBreakHyphen/>
        <w:t>armen, 10,78 point i ropinirol</w:t>
      </w:r>
      <w:r w:rsidRPr="00402B00">
        <w:rPr>
          <w:sz w:val="24"/>
          <w:szCs w:val="24"/>
        </w:rPr>
        <w:noBreakHyphen/>
        <w:t>armen (</w:t>
      </w:r>
      <w:r w:rsidRPr="00402B00">
        <w:rPr>
          <w:i/>
          <w:sz w:val="24"/>
          <w:szCs w:val="24"/>
        </w:rPr>
        <w:t xml:space="preserve">baseline </w:t>
      </w:r>
      <w:r w:rsidRPr="00402B00">
        <w:rPr>
          <w:sz w:val="24"/>
          <w:szCs w:val="24"/>
        </w:rPr>
        <w:t>32,2 point) og 2,33 point i placebo</w:t>
      </w:r>
      <w:r w:rsidRPr="00402B00">
        <w:rPr>
          <w:sz w:val="24"/>
          <w:szCs w:val="24"/>
        </w:rPr>
        <w:noBreakHyphen/>
        <w:t>armen (</w:t>
      </w:r>
      <w:r w:rsidRPr="00402B00">
        <w:rPr>
          <w:i/>
          <w:sz w:val="24"/>
          <w:szCs w:val="24"/>
        </w:rPr>
        <w:t xml:space="preserve">baseline </w:t>
      </w:r>
      <w:r w:rsidRPr="00402B00">
        <w:rPr>
          <w:sz w:val="24"/>
          <w:szCs w:val="24"/>
        </w:rPr>
        <w:t xml:space="preserve">31,3 point). Alle forskelle mellem de aktive </w:t>
      </w:r>
      <w:r w:rsidRPr="00402B00">
        <w:rPr>
          <w:sz w:val="24"/>
          <w:szCs w:val="24"/>
        </w:rPr>
        <w:lastRenderedPageBreak/>
        <w:t>behandlinger og placebo var statistisk signifikante. Dette studie kunne ikke demonstrere non</w:t>
      </w:r>
      <w:r w:rsidRPr="00402B00">
        <w:rPr>
          <w:sz w:val="24"/>
          <w:szCs w:val="24"/>
        </w:rPr>
        <w:noBreakHyphen/>
        <w:t>inferioritet af rotigotin overfor ropinirol.</w:t>
      </w:r>
    </w:p>
    <w:p w14:paraId="2C34567D" w14:textId="77777777" w:rsidR="00402B00" w:rsidRPr="00402B00" w:rsidRDefault="00402B00" w:rsidP="00402B00">
      <w:pPr>
        <w:tabs>
          <w:tab w:val="left" w:pos="851"/>
        </w:tabs>
        <w:ind w:left="851"/>
        <w:rPr>
          <w:sz w:val="24"/>
          <w:szCs w:val="24"/>
        </w:rPr>
      </w:pPr>
    </w:p>
    <w:p w14:paraId="6EE6B8CC" w14:textId="77777777" w:rsidR="00402B00" w:rsidRPr="00402B00" w:rsidRDefault="00402B00" w:rsidP="00402B00">
      <w:pPr>
        <w:tabs>
          <w:tab w:val="left" w:pos="851"/>
        </w:tabs>
        <w:ind w:left="851"/>
        <w:rPr>
          <w:sz w:val="24"/>
          <w:szCs w:val="24"/>
        </w:rPr>
      </w:pPr>
      <w:r w:rsidRPr="00402B00">
        <w:rPr>
          <w:b/>
          <w:bCs/>
          <w:sz w:val="24"/>
          <w:szCs w:val="24"/>
        </w:rPr>
        <w:t>I et efterfølgende åbent studie (SP824)</w:t>
      </w:r>
      <w:r w:rsidRPr="00402B00">
        <w:rPr>
          <w:sz w:val="24"/>
          <w:szCs w:val="24"/>
        </w:rPr>
        <w:t>, et multicenter, multinationalt studie, blev tolerabilitet og effekt hos forsøgspersoner med idiopatisk Parkinsons sygdom undersøgt ved skifte, hen over natten, fra ropinirol, pramipexol eller cabergolin til rotigotin depotplaster. 116 patienter blev skiftet fra tidligere oral behandling til at modtage op til 8 mg/24 timer rotigotin. Heriblandt var 47, som havde været i behandling med ropinirol, op til 9 mg/dag, 47, som havde været i behandling med pramipexol, op til 2 mg/dag og 22, som havde været i behandling med cabergolin, op til 3 mg/dag. Skiftet til rotigotin var gennemførligt og mindre dosistilpasning (median 2 mg/24 timer) var kun nødvendigt hos 2 patienter, som skiftede fra ropinirol, 5 patienter, som skiftede fra pramipexol, og 4 patienter, som skiftede fra cabergolin.</w:t>
      </w:r>
    </w:p>
    <w:p w14:paraId="244C5D93" w14:textId="77777777" w:rsidR="00402B00" w:rsidRPr="00402B00" w:rsidRDefault="00402B00" w:rsidP="00402B00">
      <w:pPr>
        <w:tabs>
          <w:tab w:val="left" w:pos="851"/>
        </w:tabs>
        <w:ind w:left="851"/>
        <w:rPr>
          <w:sz w:val="24"/>
          <w:szCs w:val="24"/>
        </w:rPr>
      </w:pPr>
      <w:r w:rsidRPr="00402B00">
        <w:rPr>
          <w:sz w:val="24"/>
          <w:szCs w:val="24"/>
        </w:rPr>
        <w:t>Forbedringer blev observeret i UPDRS</w:t>
      </w:r>
      <w:r w:rsidRPr="00402B00">
        <w:rPr>
          <w:sz w:val="24"/>
          <w:szCs w:val="24"/>
        </w:rPr>
        <w:noBreakHyphen/>
        <w:t>score del I – IV. Sikkerhedsprofilen var uændret fra hvad der var observeret i tidligere studier.</w:t>
      </w:r>
    </w:p>
    <w:p w14:paraId="20AEA6CC" w14:textId="77777777" w:rsidR="00402B00" w:rsidRPr="00402B00" w:rsidRDefault="00402B00" w:rsidP="00402B00">
      <w:pPr>
        <w:tabs>
          <w:tab w:val="left" w:pos="851"/>
        </w:tabs>
        <w:ind w:left="851"/>
        <w:rPr>
          <w:sz w:val="24"/>
          <w:szCs w:val="24"/>
        </w:rPr>
      </w:pPr>
    </w:p>
    <w:p w14:paraId="6741A424" w14:textId="77777777" w:rsidR="00402B00" w:rsidRPr="00402B00" w:rsidRDefault="00402B00" w:rsidP="00402B00">
      <w:pPr>
        <w:tabs>
          <w:tab w:val="left" w:pos="851"/>
        </w:tabs>
        <w:ind w:left="851"/>
        <w:rPr>
          <w:sz w:val="24"/>
          <w:szCs w:val="24"/>
        </w:rPr>
      </w:pPr>
      <w:r w:rsidRPr="00402B00">
        <w:rPr>
          <w:b/>
          <w:sz w:val="24"/>
          <w:szCs w:val="24"/>
        </w:rPr>
        <w:t xml:space="preserve">I et randomiseret, åbent studie (SP825) </w:t>
      </w:r>
      <w:r w:rsidRPr="00402B00">
        <w:rPr>
          <w:sz w:val="24"/>
          <w:szCs w:val="24"/>
        </w:rPr>
        <w:t>med patienter med Parkinsons sygdom i tidligt stadie, blev 25 patienter randomiseret til behandling med rotigotin og 26 til ropinirol. I begge behandlingsarme blev behandlingen titreret til optimal dosis eller maksimal dosis på henholdsvis 8 mg/24 timer eller 9 mg/dag. Begge behandlinger viste forbedringer i motorisk funktion tidligt om morgenen og søvn. Motoriske symptomer (UPDRS del III) blev forbedret med 6,3 ± 1,3 point hos patienter behandlet med rotigotin, og med 5,9 ± 1,3 point i ropinirol</w:t>
      </w:r>
      <w:r w:rsidRPr="00402B00">
        <w:rPr>
          <w:sz w:val="24"/>
          <w:szCs w:val="24"/>
        </w:rPr>
        <w:noBreakHyphen/>
        <w:t>gruppen efter vedligeholdelsesbehandling i 4 uger. Søvn (PDSS) blev forbedret med 4,1 ± 13,8 point hos patienter behandlet med rotigotin, og med 2,5 ± 13,5 point hos patienter behandlet med ropinirol. Sikkerhedsprofilen var sammenlignelig, med undtagelse af reaktioner relateret til applikationsstedet.</w:t>
      </w:r>
    </w:p>
    <w:p w14:paraId="5C42F695" w14:textId="77777777" w:rsidR="00402B00" w:rsidRPr="00402B00" w:rsidRDefault="00402B00" w:rsidP="00402B00">
      <w:pPr>
        <w:tabs>
          <w:tab w:val="left" w:pos="851"/>
        </w:tabs>
        <w:ind w:left="851"/>
        <w:rPr>
          <w:sz w:val="24"/>
          <w:szCs w:val="24"/>
        </w:rPr>
      </w:pPr>
    </w:p>
    <w:p w14:paraId="0FFA957D" w14:textId="77777777" w:rsidR="00402B00" w:rsidRPr="00402B00" w:rsidRDefault="00402B00" w:rsidP="00402B00">
      <w:pPr>
        <w:tabs>
          <w:tab w:val="left" w:pos="851"/>
        </w:tabs>
        <w:ind w:left="851"/>
        <w:rPr>
          <w:sz w:val="24"/>
          <w:szCs w:val="24"/>
        </w:rPr>
      </w:pPr>
      <w:r w:rsidRPr="00402B00">
        <w:rPr>
          <w:sz w:val="24"/>
          <w:szCs w:val="24"/>
        </w:rPr>
        <w:t>I studierne SP824 og SP825, som er udført siden det første sammenlignende studie, blev det vist, at virkningen af rotigotin og ropinirol var sammenlignelig ved ækvivalente doser.</w:t>
      </w:r>
    </w:p>
    <w:p w14:paraId="1B458A58" w14:textId="77777777" w:rsidR="00402B00" w:rsidRPr="00402B00" w:rsidRDefault="00402B00" w:rsidP="00402B00">
      <w:pPr>
        <w:tabs>
          <w:tab w:val="left" w:pos="851"/>
        </w:tabs>
        <w:ind w:left="851"/>
        <w:rPr>
          <w:sz w:val="24"/>
          <w:szCs w:val="24"/>
        </w:rPr>
      </w:pPr>
    </w:p>
    <w:p w14:paraId="55D912B5" w14:textId="77777777" w:rsidR="00402B00" w:rsidRPr="00402B00" w:rsidRDefault="00402B00" w:rsidP="00402B00">
      <w:pPr>
        <w:tabs>
          <w:tab w:val="left" w:pos="851"/>
        </w:tabs>
        <w:ind w:left="851"/>
        <w:rPr>
          <w:sz w:val="24"/>
          <w:szCs w:val="24"/>
        </w:rPr>
      </w:pPr>
      <w:r w:rsidRPr="00402B00">
        <w:rPr>
          <w:b/>
          <w:sz w:val="24"/>
          <w:szCs w:val="24"/>
        </w:rPr>
        <w:t xml:space="preserve">Der blev foretaget to yderligere pivotale studier (SP650DB og SP515) </w:t>
      </w:r>
      <w:r w:rsidRPr="00402B00">
        <w:rPr>
          <w:sz w:val="24"/>
          <w:szCs w:val="24"/>
        </w:rPr>
        <w:t>med patienter, som samtidig blev behandlet med levodopa. Den primære resultatvurdering var reduktion i “</w:t>
      </w:r>
      <w:r w:rsidRPr="00402B00">
        <w:rPr>
          <w:i/>
          <w:iCs/>
          <w:sz w:val="24"/>
          <w:szCs w:val="24"/>
        </w:rPr>
        <w:t>off</w:t>
      </w:r>
      <w:r w:rsidRPr="00402B00">
        <w:rPr>
          <w:sz w:val="24"/>
          <w:szCs w:val="24"/>
        </w:rPr>
        <w:t>"</w:t>
      </w:r>
      <w:r w:rsidRPr="00402B00">
        <w:rPr>
          <w:sz w:val="24"/>
          <w:szCs w:val="24"/>
        </w:rPr>
        <w:noBreakHyphen/>
        <w:t>tid (timer). Virkningen blev bedømt i henhold til patientens respons på behandlingen som respondentforbedring og absolut forbedring med hensyn til “</w:t>
      </w:r>
      <w:r w:rsidRPr="00402B00">
        <w:rPr>
          <w:i/>
          <w:iCs/>
          <w:sz w:val="24"/>
          <w:szCs w:val="24"/>
        </w:rPr>
        <w:t>off</w:t>
      </w:r>
      <w:r w:rsidRPr="00402B00">
        <w:rPr>
          <w:sz w:val="24"/>
          <w:szCs w:val="24"/>
        </w:rPr>
        <w:t>"</w:t>
      </w:r>
      <w:r w:rsidRPr="00402B00">
        <w:rPr>
          <w:i/>
          <w:iCs/>
          <w:sz w:val="24"/>
          <w:szCs w:val="24"/>
        </w:rPr>
        <w:noBreakHyphen/>
      </w:r>
      <w:r w:rsidRPr="00402B00">
        <w:rPr>
          <w:sz w:val="24"/>
          <w:szCs w:val="24"/>
        </w:rPr>
        <w:t>tiden.</w:t>
      </w:r>
    </w:p>
    <w:p w14:paraId="03AF8133" w14:textId="77777777" w:rsidR="00402B00" w:rsidRPr="00402B00" w:rsidRDefault="00402B00" w:rsidP="00402B00">
      <w:pPr>
        <w:tabs>
          <w:tab w:val="left" w:pos="851"/>
        </w:tabs>
        <w:ind w:left="851"/>
        <w:rPr>
          <w:sz w:val="24"/>
          <w:szCs w:val="24"/>
        </w:rPr>
      </w:pPr>
    </w:p>
    <w:p w14:paraId="7EFC3407" w14:textId="77777777" w:rsidR="00402B00" w:rsidRPr="00402B00" w:rsidRDefault="00402B00" w:rsidP="00402B00">
      <w:pPr>
        <w:tabs>
          <w:tab w:val="left" w:pos="851"/>
        </w:tabs>
        <w:ind w:left="851"/>
        <w:rPr>
          <w:sz w:val="24"/>
          <w:szCs w:val="24"/>
        </w:rPr>
      </w:pPr>
      <w:r w:rsidRPr="00402B00">
        <w:rPr>
          <w:b/>
          <w:sz w:val="24"/>
          <w:szCs w:val="24"/>
        </w:rPr>
        <w:t xml:space="preserve">I det dobbeltblinde studie SP650DB </w:t>
      </w:r>
      <w:r w:rsidRPr="00402B00">
        <w:rPr>
          <w:sz w:val="24"/>
          <w:szCs w:val="24"/>
        </w:rPr>
        <w:t>fik 113 patienter rotigotin op til en maksimal dosis på 8 mg/24 timer, 109 patienter fik rotigotin op til en maksimal dosis på 12 mg/24 timer og 119 patienter fik placebo. Patienterne blev titreret til deres optimale doser rotigotin eller placebo i ugentlige trin på 2 mg/24 timer startende ved 4 mg/24 timer. Patienterne i hver behandlingsgruppe opretholdt deres optimale dosis i 6 måneder. Ved slutningen af vedligeholdelsesbehandlingen sås en forbedring på mindst 30 % hos 57 % og 55 % af forsøgspersonerne, som fik henholdsvis rotigotin 8 mg/24 timer og 12 mg/24 timer, og hos 34 % af forsøgspersonerne, som fik placebo (forskel på henholdsvis 22 % og 21 %, CI95 %</w:t>
      </w:r>
      <w:r w:rsidRPr="00402B00">
        <w:rPr>
          <w:sz w:val="24"/>
          <w:szCs w:val="24"/>
          <w:vertAlign w:val="subscript"/>
        </w:rPr>
        <w:t xml:space="preserve"> </w:t>
      </w:r>
      <w:r w:rsidRPr="00402B00">
        <w:rPr>
          <w:sz w:val="24"/>
          <w:szCs w:val="24"/>
        </w:rPr>
        <w:t>henholdsvis 10 %; 35 % og 8 %; 33 %, p &lt; 0,001 for begge rotigotin</w:t>
      </w:r>
      <w:r w:rsidRPr="00402B00">
        <w:rPr>
          <w:sz w:val="24"/>
          <w:szCs w:val="24"/>
        </w:rPr>
        <w:noBreakHyphen/>
        <w:t>grupper). Med rotigotin var middelreduktionen i “</w:t>
      </w:r>
      <w:r w:rsidRPr="00402B00">
        <w:rPr>
          <w:i/>
          <w:iCs/>
          <w:sz w:val="24"/>
          <w:szCs w:val="24"/>
        </w:rPr>
        <w:t>off</w:t>
      </w:r>
      <w:r w:rsidRPr="00402B00">
        <w:rPr>
          <w:sz w:val="24"/>
          <w:szCs w:val="24"/>
        </w:rPr>
        <w:t>"</w:t>
      </w:r>
      <w:r w:rsidRPr="00402B00">
        <w:rPr>
          <w:sz w:val="24"/>
          <w:szCs w:val="24"/>
        </w:rPr>
        <w:noBreakHyphen/>
        <w:t>tid henholdsvis 2,7 og 2,1 timer, mens der i den placebobehandlede arm sås en reduktion på 0,9 timer. Forskellen var statistisk signifikant (henholdsvis p &lt; 0,001 og p = 0,003).</w:t>
      </w:r>
    </w:p>
    <w:p w14:paraId="2C64DAB8" w14:textId="77777777" w:rsidR="00402B00" w:rsidRPr="00402B00" w:rsidRDefault="00402B00" w:rsidP="00402B00">
      <w:pPr>
        <w:tabs>
          <w:tab w:val="left" w:pos="851"/>
        </w:tabs>
        <w:ind w:left="851"/>
        <w:rPr>
          <w:sz w:val="24"/>
          <w:szCs w:val="24"/>
        </w:rPr>
      </w:pPr>
    </w:p>
    <w:p w14:paraId="34278728" w14:textId="77777777" w:rsidR="00402B00" w:rsidRPr="00402B00" w:rsidRDefault="00402B00" w:rsidP="00402B00">
      <w:pPr>
        <w:tabs>
          <w:tab w:val="left" w:pos="851"/>
        </w:tabs>
        <w:ind w:left="851"/>
        <w:rPr>
          <w:sz w:val="24"/>
          <w:szCs w:val="24"/>
        </w:rPr>
      </w:pPr>
      <w:r w:rsidRPr="00402B00">
        <w:rPr>
          <w:b/>
          <w:sz w:val="24"/>
          <w:szCs w:val="24"/>
        </w:rPr>
        <w:t xml:space="preserve">I det dobbeltblinde studie SP515 </w:t>
      </w:r>
      <w:r w:rsidRPr="00402B00">
        <w:rPr>
          <w:sz w:val="24"/>
          <w:szCs w:val="24"/>
        </w:rPr>
        <w:t>fik 201 patienter rotigotin, 200 fik pramipexol og 100 patienter fik placebo. Patienterne blev titreret til deres optimale rotigotin</w:t>
      </w:r>
      <w:r w:rsidRPr="00402B00">
        <w:rPr>
          <w:sz w:val="24"/>
          <w:szCs w:val="24"/>
        </w:rPr>
        <w:noBreakHyphen/>
        <w:t xml:space="preserve">dosis i ugentlige trin på 2 mg/24 timer startende ved 4 mg/24 timer til en maksimal dosis på </w:t>
      </w:r>
      <w:r w:rsidRPr="00402B00">
        <w:rPr>
          <w:sz w:val="24"/>
          <w:szCs w:val="24"/>
        </w:rPr>
        <w:lastRenderedPageBreak/>
        <w:t>16 mg/24 timer. I pramipexol</w:t>
      </w:r>
      <w:r w:rsidRPr="00402B00">
        <w:rPr>
          <w:sz w:val="24"/>
          <w:szCs w:val="24"/>
        </w:rPr>
        <w:noBreakHyphen/>
        <w:t>gruppen fik patienterne 0,375 mg den første uge, 0,75 mg den anden uge og blev yderligere titreret i ugentlige trin på 0,75 mg til deres optimale dosis op til et maksimum på 4,5 mg/dag. Patienterne i begge behandlingsgrupper opretholdt deres optimale dosis i 4 måneder.</w:t>
      </w:r>
    </w:p>
    <w:p w14:paraId="6B78D9DA" w14:textId="77777777" w:rsidR="00402B00" w:rsidRPr="00402B00" w:rsidRDefault="00402B00" w:rsidP="00402B00">
      <w:pPr>
        <w:tabs>
          <w:tab w:val="left" w:pos="851"/>
        </w:tabs>
        <w:ind w:left="851"/>
        <w:rPr>
          <w:sz w:val="24"/>
          <w:szCs w:val="24"/>
        </w:rPr>
      </w:pPr>
      <w:r w:rsidRPr="00402B00">
        <w:rPr>
          <w:sz w:val="24"/>
          <w:szCs w:val="24"/>
        </w:rPr>
        <w:t xml:space="preserve">Ved slutningen af vedligeholdelsesbehandlingen sås en bedring på mindst 30 % hos 60 % af forsøgspersonerne, som fik rotigotin, 67 % af forsøgspersonerne, som fik pramipexol, og 35 % af forsøgspersonerne, som fik placebo (forskel rotigotin </w:t>
      </w:r>
      <w:r w:rsidRPr="00402B00">
        <w:rPr>
          <w:i/>
          <w:sz w:val="24"/>
          <w:szCs w:val="24"/>
        </w:rPr>
        <w:t xml:space="preserve">versus </w:t>
      </w:r>
      <w:r w:rsidRPr="00402B00">
        <w:rPr>
          <w:sz w:val="24"/>
          <w:szCs w:val="24"/>
        </w:rPr>
        <w:t xml:space="preserve">placebo 25 %, CI95 % 13 %; 36 %, forskel pramipexol </w:t>
      </w:r>
      <w:r w:rsidRPr="00402B00">
        <w:rPr>
          <w:i/>
          <w:sz w:val="24"/>
          <w:szCs w:val="24"/>
        </w:rPr>
        <w:t xml:space="preserve">versus </w:t>
      </w:r>
      <w:r w:rsidRPr="00402B00">
        <w:rPr>
          <w:sz w:val="24"/>
          <w:szCs w:val="24"/>
        </w:rPr>
        <w:t>placebo 32 %, CI95 %</w:t>
      </w:r>
      <w:r w:rsidRPr="00402B00">
        <w:rPr>
          <w:sz w:val="24"/>
          <w:szCs w:val="24"/>
          <w:vertAlign w:val="subscript"/>
        </w:rPr>
        <w:t xml:space="preserve"> </w:t>
      </w:r>
      <w:r w:rsidRPr="00402B00">
        <w:rPr>
          <w:sz w:val="24"/>
          <w:szCs w:val="24"/>
        </w:rPr>
        <w:t xml:space="preserve">21 %; 43 %, forskel pramipexol </w:t>
      </w:r>
      <w:r w:rsidRPr="00402B00">
        <w:rPr>
          <w:i/>
          <w:sz w:val="24"/>
          <w:szCs w:val="24"/>
        </w:rPr>
        <w:t>versus</w:t>
      </w:r>
      <w:r w:rsidRPr="00402B00">
        <w:rPr>
          <w:sz w:val="24"/>
          <w:szCs w:val="24"/>
        </w:rPr>
        <w:t xml:space="preserve"> rotigotin 7 %; CI95 % </w:t>
      </w:r>
      <w:r w:rsidRPr="00402B00">
        <w:rPr>
          <w:sz w:val="24"/>
          <w:szCs w:val="24"/>
        </w:rPr>
        <w:noBreakHyphen/>
        <w:t>2 %; 17 %). Middelreduktionen i “</w:t>
      </w:r>
      <w:r w:rsidRPr="00402B00">
        <w:rPr>
          <w:i/>
          <w:iCs/>
          <w:sz w:val="24"/>
          <w:szCs w:val="24"/>
        </w:rPr>
        <w:t>off</w:t>
      </w:r>
      <w:r w:rsidRPr="00402B00">
        <w:rPr>
          <w:sz w:val="24"/>
          <w:szCs w:val="24"/>
        </w:rPr>
        <w:t>"</w:t>
      </w:r>
      <w:r w:rsidRPr="00402B00">
        <w:rPr>
          <w:sz w:val="24"/>
          <w:szCs w:val="24"/>
        </w:rPr>
        <w:noBreakHyphen/>
        <w:t>tid var 2,5 timer i rotigotin</w:t>
      </w:r>
      <w:r w:rsidRPr="00402B00">
        <w:rPr>
          <w:sz w:val="24"/>
          <w:szCs w:val="24"/>
        </w:rPr>
        <w:noBreakHyphen/>
        <w:t>armen, 2,8 timer i pramipexol</w:t>
      </w:r>
      <w:r w:rsidRPr="00402B00">
        <w:rPr>
          <w:sz w:val="24"/>
          <w:szCs w:val="24"/>
        </w:rPr>
        <w:noBreakHyphen/>
        <w:t>armen og 0,9 timer i placebo</w:t>
      </w:r>
      <w:r w:rsidRPr="00402B00">
        <w:rPr>
          <w:sz w:val="24"/>
          <w:szCs w:val="24"/>
        </w:rPr>
        <w:noBreakHyphen/>
        <w:t>armen. Alle forskelle mellem de aktive behandlinger og placebo var statistisk signifikante.</w:t>
      </w:r>
    </w:p>
    <w:p w14:paraId="164A759C" w14:textId="77777777" w:rsidR="00402B00" w:rsidRPr="00402B00" w:rsidRDefault="00402B00" w:rsidP="00402B00">
      <w:pPr>
        <w:tabs>
          <w:tab w:val="left" w:pos="851"/>
        </w:tabs>
        <w:ind w:left="851"/>
        <w:rPr>
          <w:sz w:val="24"/>
          <w:szCs w:val="24"/>
        </w:rPr>
      </w:pPr>
    </w:p>
    <w:p w14:paraId="418EAD6D" w14:textId="77777777" w:rsidR="00402B00" w:rsidRPr="00402B00" w:rsidRDefault="00402B00" w:rsidP="00402B00">
      <w:pPr>
        <w:tabs>
          <w:tab w:val="left" w:pos="851"/>
        </w:tabs>
        <w:ind w:left="851"/>
        <w:rPr>
          <w:sz w:val="24"/>
          <w:szCs w:val="24"/>
        </w:rPr>
      </w:pPr>
      <w:r w:rsidRPr="00402B00">
        <w:rPr>
          <w:b/>
          <w:sz w:val="24"/>
          <w:szCs w:val="24"/>
        </w:rPr>
        <w:t xml:space="preserve">Der blev udført yderligere et multinationalt, dobbeltblindt studie (SP889) </w:t>
      </w:r>
      <w:r w:rsidRPr="00402B00">
        <w:rPr>
          <w:sz w:val="24"/>
          <w:szCs w:val="24"/>
        </w:rPr>
        <w:t>med 287 patienter med Parkinsons sygdom i tidlige eller fremskredne stadier, som havde utilfredsstillende kontrol af motoriske symptomer tidligt om morgenen. 81,5 % af patienterne blev samtidig behandlet med levodopa. 190 patienter blev behandlet med rotigotin og 97 med placebo. Patienterne blev, i løbet af 8 uger, titreret til deres optimale dosis rotigotin eller placebo i ugentlige trin på 2 mg/24 timer startende ved 2 mg/24 timer til maksimal dosis på 16 mg/24 timer, efterfulgt af en vedligeholdelsesperiode på 4 uger. Motorisk funktion tidligt om morgenen, vurderet iht. UPDR</w:t>
      </w:r>
      <w:r w:rsidRPr="00402B00">
        <w:rPr>
          <w:sz w:val="24"/>
          <w:szCs w:val="24"/>
        </w:rPr>
        <w:noBreakHyphen/>
        <w:t xml:space="preserve">skalaen del III, og natlige søvnforstyrrelser, målt iht. det modificerede vurderingsskema </w:t>
      </w:r>
      <w:r w:rsidRPr="00402B00">
        <w:rPr>
          <w:i/>
          <w:iCs/>
          <w:sz w:val="24"/>
          <w:szCs w:val="24"/>
        </w:rPr>
        <w:t>Parkinson’s Disease Sleep Scale</w:t>
      </w:r>
      <w:r w:rsidRPr="00402B00">
        <w:rPr>
          <w:sz w:val="24"/>
          <w:szCs w:val="24"/>
        </w:rPr>
        <w:t xml:space="preserve"> (PDSS</w:t>
      </w:r>
      <w:r w:rsidRPr="00402B00">
        <w:rPr>
          <w:sz w:val="24"/>
          <w:szCs w:val="24"/>
        </w:rPr>
        <w:noBreakHyphen/>
        <w:t>2), var co-primære effektmål. Ved slutningen af vedligeholdelsesbehandlingen var den gennemsnitlige UPDRS</w:t>
      </w:r>
      <w:r w:rsidRPr="00402B00">
        <w:rPr>
          <w:sz w:val="24"/>
          <w:szCs w:val="24"/>
        </w:rPr>
        <w:noBreakHyphen/>
        <w:t>score del III forbedret med 7,0 point hos de patienter, som blev behandlet med rotigotin (</w:t>
      </w:r>
      <w:r w:rsidRPr="00402B00">
        <w:rPr>
          <w:i/>
          <w:sz w:val="24"/>
          <w:szCs w:val="24"/>
        </w:rPr>
        <w:t xml:space="preserve">baseline </w:t>
      </w:r>
      <w:r w:rsidRPr="00402B00">
        <w:rPr>
          <w:sz w:val="24"/>
          <w:szCs w:val="24"/>
        </w:rPr>
        <w:t>29,6), og med 3,9 point hos de patienter, som fik placebo (</w:t>
      </w:r>
      <w:r w:rsidRPr="00402B00">
        <w:rPr>
          <w:i/>
          <w:sz w:val="24"/>
          <w:szCs w:val="24"/>
        </w:rPr>
        <w:t xml:space="preserve">baseline </w:t>
      </w:r>
      <w:r w:rsidRPr="00402B00">
        <w:rPr>
          <w:sz w:val="24"/>
          <w:szCs w:val="24"/>
        </w:rPr>
        <w:t>32,0). Den gennemsnitlige PDSS</w:t>
      </w:r>
      <w:r w:rsidRPr="00402B00">
        <w:rPr>
          <w:sz w:val="24"/>
          <w:szCs w:val="24"/>
        </w:rPr>
        <w:noBreakHyphen/>
        <w:t>2</w:t>
      </w:r>
      <w:r w:rsidRPr="00402B00">
        <w:rPr>
          <w:sz w:val="24"/>
          <w:szCs w:val="24"/>
        </w:rPr>
        <w:noBreakHyphen/>
        <w:t xml:space="preserve">totalscore blev forbedret med henholdsvis 5,9 point (rotigotin, </w:t>
      </w:r>
      <w:r w:rsidRPr="00402B00">
        <w:rPr>
          <w:i/>
          <w:sz w:val="24"/>
          <w:szCs w:val="24"/>
        </w:rPr>
        <w:t xml:space="preserve">baseline </w:t>
      </w:r>
      <w:r w:rsidRPr="00402B00">
        <w:rPr>
          <w:sz w:val="24"/>
          <w:szCs w:val="24"/>
        </w:rPr>
        <w:t xml:space="preserve">19,3) og 1,9 point (placebo, </w:t>
      </w:r>
      <w:r w:rsidRPr="00402B00">
        <w:rPr>
          <w:i/>
          <w:sz w:val="24"/>
          <w:szCs w:val="24"/>
        </w:rPr>
        <w:t xml:space="preserve">baseline </w:t>
      </w:r>
      <w:r w:rsidRPr="00402B00">
        <w:rPr>
          <w:sz w:val="24"/>
          <w:szCs w:val="24"/>
        </w:rPr>
        <w:t>20,5). Behandlingsforskellene for de co</w:t>
      </w:r>
      <w:r w:rsidRPr="00402B00">
        <w:rPr>
          <w:sz w:val="24"/>
          <w:szCs w:val="24"/>
        </w:rPr>
        <w:noBreakHyphen/>
        <w:t>primære variabler var statistisk signifikant (p = 0,0002 og p &lt; 0,0001).</w:t>
      </w:r>
    </w:p>
    <w:p w14:paraId="60BE059F" w14:textId="77777777" w:rsidR="009260DE" w:rsidRPr="00C84483" w:rsidRDefault="009260DE" w:rsidP="009260DE">
      <w:pPr>
        <w:tabs>
          <w:tab w:val="left" w:pos="851"/>
        </w:tabs>
        <w:ind w:left="851"/>
        <w:rPr>
          <w:sz w:val="24"/>
          <w:szCs w:val="24"/>
        </w:rPr>
      </w:pPr>
    </w:p>
    <w:p w14:paraId="74EA814C"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117A899E" w14:textId="77777777" w:rsidR="00402B00" w:rsidRDefault="00402B00" w:rsidP="00402B00">
      <w:pPr>
        <w:tabs>
          <w:tab w:val="left" w:pos="851"/>
        </w:tabs>
        <w:ind w:left="851"/>
        <w:rPr>
          <w:sz w:val="24"/>
          <w:szCs w:val="24"/>
        </w:rPr>
      </w:pPr>
    </w:p>
    <w:p w14:paraId="24FE31CA" w14:textId="77777777" w:rsidR="00402B00" w:rsidRDefault="00402B00" w:rsidP="00402B00">
      <w:pPr>
        <w:tabs>
          <w:tab w:val="left" w:pos="851"/>
        </w:tabs>
        <w:ind w:left="851"/>
        <w:rPr>
          <w:sz w:val="24"/>
          <w:szCs w:val="24"/>
          <w:u w:val="single"/>
        </w:rPr>
      </w:pPr>
      <w:r>
        <w:rPr>
          <w:sz w:val="24"/>
          <w:szCs w:val="24"/>
          <w:u w:val="single"/>
        </w:rPr>
        <w:t>Absorption</w:t>
      </w:r>
    </w:p>
    <w:p w14:paraId="23326E5E" w14:textId="77777777" w:rsidR="00402B00" w:rsidRDefault="00402B00" w:rsidP="00402B00">
      <w:pPr>
        <w:tabs>
          <w:tab w:val="left" w:pos="851"/>
        </w:tabs>
        <w:ind w:left="851"/>
        <w:rPr>
          <w:sz w:val="24"/>
          <w:szCs w:val="24"/>
        </w:rPr>
      </w:pPr>
      <w:r>
        <w:rPr>
          <w:sz w:val="24"/>
          <w:szCs w:val="24"/>
        </w:rPr>
        <w:t xml:space="preserve">Efter applikation frigives rotigotin kontinuerligt fra depotplasteret og absorberes gennem huden. </w:t>
      </w:r>
      <w:r>
        <w:rPr>
          <w:i/>
          <w:iCs/>
          <w:sz w:val="24"/>
          <w:szCs w:val="24"/>
        </w:rPr>
        <w:t>Steady</w:t>
      </w:r>
      <w:r>
        <w:rPr>
          <w:i/>
          <w:iCs/>
          <w:sz w:val="24"/>
          <w:szCs w:val="24"/>
        </w:rPr>
        <w:noBreakHyphen/>
        <w:t>state</w:t>
      </w:r>
      <w:r>
        <w:rPr>
          <w:sz w:val="24"/>
          <w:szCs w:val="24"/>
        </w:rPr>
        <w:t>-koncentrationer opnås efter en til to dages brug af plasteret og opretholdes på et stabilt niveau ved applikation én gang dagligt, hvor plasteret bæres i 24 timer. Rotigotins plasmakoncentrationer øges dosisproportionalt over et dosisinterval fra 1 mg/24 timer til 24 mg/24 timer.</w:t>
      </w:r>
    </w:p>
    <w:p w14:paraId="60C0C937" w14:textId="77777777" w:rsidR="00402B00" w:rsidRDefault="00402B00" w:rsidP="00402B00">
      <w:pPr>
        <w:tabs>
          <w:tab w:val="left" w:pos="851"/>
        </w:tabs>
        <w:ind w:left="851"/>
        <w:rPr>
          <w:sz w:val="24"/>
          <w:szCs w:val="24"/>
        </w:rPr>
      </w:pPr>
    </w:p>
    <w:p w14:paraId="5EF41E3E" w14:textId="77777777" w:rsidR="00402B00" w:rsidRDefault="00402B00" w:rsidP="00402B00">
      <w:pPr>
        <w:tabs>
          <w:tab w:val="left" w:pos="851"/>
        </w:tabs>
        <w:ind w:left="851"/>
        <w:rPr>
          <w:sz w:val="24"/>
          <w:szCs w:val="24"/>
        </w:rPr>
      </w:pPr>
      <w:r>
        <w:rPr>
          <w:sz w:val="24"/>
          <w:szCs w:val="24"/>
        </w:rPr>
        <w:t>Ca. 45 % af det aktive stof i plasteret frigives til huden på 24 timer. Den absolutte biotilgængelighed efter transdermal applikation er ca. 37 %.</w:t>
      </w:r>
    </w:p>
    <w:p w14:paraId="56391381" w14:textId="77777777" w:rsidR="00402B00" w:rsidRDefault="00402B00" w:rsidP="00402B00">
      <w:pPr>
        <w:tabs>
          <w:tab w:val="left" w:pos="851"/>
        </w:tabs>
        <w:ind w:left="851"/>
        <w:rPr>
          <w:sz w:val="24"/>
          <w:szCs w:val="24"/>
        </w:rPr>
      </w:pPr>
    </w:p>
    <w:p w14:paraId="66AE13AD" w14:textId="77777777" w:rsidR="00402B00" w:rsidRDefault="00402B00" w:rsidP="00402B00">
      <w:pPr>
        <w:tabs>
          <w:tab w:val="left" w:pos="851"/>
        </w:tabs>
        <w:ind w:left="851"/>
        <w:rPr>
          <w:sz w:val="24"/>
          <w:szCs w:val="24"/>
        </w:rPr>
      </w:pPr>
      <w:r>
        <w:rPr>
          <w:sz w:val="24"/>
          <w:szCs w:val="24"/>
        </w:rPr>
        <w:t xml:space="preserve">Skiftende applikationssteder kan give forskelle fra dag til dag i plasmaniveauet. Forskellene i rotigotins biotilgængelighed lå i intervallet fra 2 % (overarm </w:t>
      </w:r>
      <w:r>
        <w:rPr>
          <w:i/>
          <w:iCs/>
          <w:sz w:val="24"/>
          <w:szCs w:val="24"/>
        </w:rPr>
        <w:t>versus</w:t>
      </w:r>
      <w:r>
        <w:rPr>
          <w:sz w:val="24"/>
          <w:szCs w:val="24"/>
        </w:rPr>
        <w:t xml:space="preserve"> side) til 46 % (skulder </w:t>
      </w:r>
      <w:r>
        <w:rPr>
          <w:i/>
          <w:iCs/>
          <w:sz w:val="24"/>
          <w:szCs w:val="24"/>
        </w:rPr>
        <w:t>versus</w:t>
      </w:r>
      <w:r>
        <w:rPr>
          <w:sz w:val="24"/>
          <w:szCs w:val="24"/>
        </w:rPr>
        <w:t xml:space="preserve"> lår). Der er imidlertid ingen indikation for relevant påvirkning af det kliniske resultat.</w:t>
      </w:r>
    </w:p>
    <w:p w14:paraId="3F35CF8E" w14:textId="77777777" w:rsidR="00402B00" w:rsidRDefault="00402B00" w:rsidP="00402B00">
      <w:pPr>
        <w:tabs>
          <w:tab w:val="left" w:pos="851"/>
        </w:tabs>
        <w:ind w:left="851"/>
        <w:rPr>
          <w:sz w:val="24"/>
          <w:szCs w:val="24"/>
        </w:rPr>
      </w:pPr>
    </w:p>
    <w:p w14:paraId="0E685028" w14:textId="77777777" w:rsidR="00402B00" w:rsidRDefault="00402B00" w:rsidP="00402B00">
      <w:pPr>
        <w:tabs>
          <w:tab w:val="left" w:pos="851"/>
        </w:tabs>
        <w:ind w:left="851"/>
        <w:rPr>
          <w:sz w:val="24"/>
          <w:szCs w:val="24"/>
          <w:u w:val="single"/>
          <w:lang w:val="nb-NO"/>
        </w:rPr>
      </w:pPr>
      <w:r>
        <w:rPr>
          <w:sz w:val="24"/>
          <w:szCs w:val="24"/>
          <w:u w:val="single"/>
          <w:lang w:val="nb-NO"/>
        </w:rPr>
        <w:t>Fordeling</w:t>
      </w:r>
    </w:p>
    <w:p w14:paraId="3CB8BBB0" w14:textId="77777777" w:rsidR="00402B00" w:rsidRDefault="00402B00" w:rsidP="00402B00">
      <w:pPr>
        <w:tabs>
          <w:tab w:val="left" w:pos="851"/>
        </w:tabs>
        <w:ind w:left="851"/>
        <w:rPr>
          <w:sz w:val="24"/>
          <w:szCs w:val="24"/>
          <w:lang w:val="nb-NO"/>
        </w:rPr>
      </w:pPr>
      <w:r>
        <w:rPr>
          <w:sz w:val="24"/>
          <w:szCs w:val="24"/>
          <w:lang w:val="nb-NO"/>
        </w:rPr>
        <w:t xml:space="preserve">Rotigotins </w:t>
      </w:r>
      <w:r>
        <w:rPr>
          <w:i/>
          <w:iCs/>
          <w:sz w:val="24"/>
          <w:szCs w:val="24"/>
          <w:lang w:val="nb-NO"/>
        </w:rPr>
        <w:t>in vitro</w:t>
      </w:r>
      <w:r>
        <w:rPr>
          <w:sz w:val="24"/>
          <w:szCs w:val="24"/>
          <w:lang w:val="nb-NO"/>
        </w:rPr>
        <w:noBreakHyphen/>
        <w:t>binding til plasmaproteiner er ca. 92 %.</w:t>
      </w:r>
    </w:p>
    <w:p w14:paraId="16052E2D" w14:textId="77777777" w:rsidR="00402B00" w:rsidRDefault="00402B00" w:rsidP="00402B00">
      <w:pPr>
        <w:tabs>
          <w:tab w:val="left" w:pos="851"/>
        </w:tabs>
        <w:ind w:left="851"/>
        <w:rPr>
          <w:sz w:val="24"/>
          <w:szCs w:val="24"/>
          <w:lang w:val="nb-NO"/>
        </w:rPr>
      </w:pPr>
      <w:r>
        <w:rPr>
          <w:sz w:val="24"/>
          <w:szCs w:val="24"/>
          <w:lang w:val="nb-NO"/>
        </w:rPr>
        <w:t>Det tilsyneladende distributions</w:t>
      </w:r>
      <w:r>
        <w:rPr>
          <w:sz w:val="24"/>
          <w:szCs w:val="24"/>
          <w:lang w:val="nb-NO"/>
        </w:rPr>
        <w:softHyphen/>
        <w:t>volumen hos mennesker er ca. 84 l/kg.</w:t>
      </w:r>
    </w:p>
    <w:p w14:paraId="5FC922A7" w14:textId="0F4ACDD3" w:rsidR="00402B00" w:rsidRDefault="00402B00">
      <w:pPr>
        <w:rPr>
          <w:sz w:val="24"/>
          <w:szCs w:val="24"/>
          <w:lang w:val="nb-NO"/>
        </w:rPr>
      </w:pPr>
      <w:r>
        <w:rPr>
          <w:sz w:val="24"/>
          <w:szCs w:val="24"/>
          <w:lang w:val="nb-NO"/>
        </w:rPr>
        <w:br w:type="page"/>
      </w:r>
    </w:p>
    <w:p w14:paraId="43C6C13D" w14:textId="77777777" w:rsidR="00402B00" w:rsidRDefault="00402B00" w:rsidP="00402B00">
      <w:pPr>
        <w:tabs>
          <w:tab w:val="left" w:pos="851"/>
        </w:tabs>
        <w:ind w:left="851"/>
        <w:rPr>
          <w:sz w:val="24"/>
          <w:szCs w:val="24"/>
          <w:lang w:val="nb-NO"/>
        </w:rPr>
      </w:pPr>
    </w:p>
    <w:p w14:paraId="4243443F" w14:textId="77777777" w:rsidR="00402B00" w:rsidRDefault="00402B00" w:rsidP="00402B00">
      <w:pPr>
        <w:tabs>
          <w:tab w:val="left" w:pos="851"/>
        </w:tabs>
        <w:ind w:left="851"/>
        <w:rPr>
          <w:sz w:val="24"/>
          <w:szCs w:val="24"/>
          <w:u w:val="single"/>
          <w:lang w:val="nb-NO"/>
        </w:rPr>
      </w:pPr>
      <w:r>
        <w:rPr>
          <w:sz w:val="24"/>
          <w:szCs w:val="24"/>
          <w:u w:val="single"/>
          <w:lang w:val="nb-NO"/>
        </w:rPr>
        <w:t>Biotransformation</w:t>
      </w:r>
    </w:p>
    <w:p w14:paraId="2F8F3CBB" w14:textId="77777777" w:rsidR="00402B00" w:rsidRDefault="00402B00" w:rsidP="00402B00">
      <w:pPr>
        <w:tabs>
          <w:tab w:val="left" w:pos="851"/>
        </w:tabs>
        <w:ind w:left="851"/>
        <w:rPr>
          <w:sz w:val="24"/>
          <w:szCs w:val="24"/>
          <w:lang w:val="nb-NO"/>
        </w:rPr>
      </w:pPr>
      <w:r>
        <w:rPr>
          <w:sz w:val="24"/>
          <w:szCs w:val="24"/>
          <w:lang w:val="nb-NO"/>
        </w:rPr>
        <w:t>Rotigotin metaboliseres i høj grad. Rotigotin metaboliseres både ved N</w:t>
      </w:r>
      <w:r>
        <w:rPr>
          <w:sz w:val="24"/>
          <w:szCs w:val="24"/>
          <w:lang w:val="nb-NO"/>
        </w:rPr>
        <w:noBreakHyphen/>
        <w:t>dealkylering og ved direkte og sekundær konjugation.</w:t>
      </w:r>
      <w:r>
        <w:rPr>
          <w:i/>
          <w:iCs/>
          <w:sz w:val="24"/>
          <w:szCs w:val="24"/>
          <w:lang w:val="nb-NO"/>
        </w:rPr>
        <w:t xml:space="preserve"> In vitro</w:t>
      </w:r>
      <w:r>
        <w:rPr>
          <w:sz w:val="24"/>
          <w:szCs w:val="24"/>
          <w:lang w:val="nb-NO"/>
        </w:rPr>
        <w:noBreakHyphen/>
        <w:t>resultater viser, at forskellige CYP</w:t>
      </w:r>
      <w:r>
        <w:rPr>
          <w:sz w:val="24"/>
          <w:szCs w:val="24"/>
          <w:lang w:val="nb-NO"/>
        </w:rPr>
        <w:noBreakHyphen/>
        <w:t>isoformer er i stand til at katalysere rotigotins N</w:t>
      </w:r>
      <w:r>
        <w:rPr>
          <w:sz w:val="24"/>
          <w:szCs w:val="24"/>
          <w:lang w:val="nb-NO"/>
        </w:rPr>
        <w:noBreakHyphen/>
        <w:t>dealkylering. Hovedmetabolitterne er sulfater og glucuronidkonjugater af moderstoffet samt N</w:t>
      </w:r>
      <w:r>
        <w:rPr>
          <w:sz w:val="24"/>
          <w:szCs w:val="24"/>
          <w:lang w:val="nb-NO"/>
        </w:rPr>
        <w:noBreakHyphen/>
        <w:t>desalkyl</w:t>
      </w:r>
      <w:r>
        <w:rPr>
          <w:sz w:val="24"/>
          <w:szCs w:val="24"/>
          <w:lang w:val="nb-NO"/>
        </w:rPr>
        <w:noBreakHyphen/>
        <w:t>metabolitter, som er biologisk inaktive.</w:t>
      </w:r>
    </w:p>
    <w:p w14:paraId="2519AA80" w14:textId="77777777" w:rsidR="00402B00" w:rsidRDefault="00402B00" w:rsidP="00402B00">
      <w:pPr>
        <w:tabs>
          <w:tab w:val="left" w:pos="851"/>
        </w:tabs>
        <w:ind w:left="851"/>
        <w:rPr>
          <w:sz w:val="24"/>
          <w:szCs w:val="24"/>
        </w:rPr>
      </w:pPr>
      <w:r>
        <w:rPr>
          <w:sz w:val="24"/>
          <w:szCs w:val="24"/>
        </w:rPr>
        <w:t>Informationen om metabolitter er ufuldstændig.</w:t>
      </w:r>
    </w:p>
    <w:p w14:paraId="64AEBECC" w14:textId="77777777" w:rsidR="00402B00" w:rsidRDefault="00402B00" w:rsidP="00402B00">
      <w:pPr>
        <w:tabs>
          <w:tab w:val="left" w:pos="851"/>
        </w:tabs>
        <w:ind w:left="851"/>
        <w:rPr>
          <w:sz w:val="24"/>
          <w:szCs w:val="24"/>
        </w:rPr>
      </w:pPr>
    </w:p>
    <w:p w14:paraId="1EDA9132" w14:textId="77777777" w:rsidR="00402B00" w:rsidRDefault="00402B00" w:rsidP="00402B00">
      <w:pPr>
        <w:tabs>
          <w:tab w:val="left" w:pos="851"/>
        </w:tabs>
        <w:ind w:left="851"/>
        <w:rPr>
          <w:sz w:val="24"/>
          <w:szCs w:val="24"/>
          <w:u w:val="single"/>
        </w:rPr>
      </w:pPr>
      <w:r>
        <w:rPr>
          <w:sz w:val="24"/>
          <w:szCs w:val="24"/>
          <w:u w:val="single"/>
        </w:rPr>
        <w:t>Elimination</w:t>
      </w:r>
    </w:p>
    <w:p w14:paraId="3977E813" w14:textId="77777777" w:rsidR="00402B00" w:rsidRDefault="00402B00" w:rsidP="00402B00">
      <w:pPr>
        <w:tabs>
          <w:tab w:val="left" w:pos="851"/>
        </w:tabs>
        <w:ind w:left="851"/>
        <w:rPr>
          <w:sz w:val="24"/>
          <w:szCs w:val="24"/>
        </w:rPr>
      </w:pPr>
      <w:r>
        <w:rPr>
          <w:sz w:val="24"/>
          <w:szCs w:val="24"/>
        </w:rPr>
        <w:t>Ca. 71 % af rotigotin</w:t>
      </w:r>
      <w:r>
        <w:rPr>
          <w:sz w:val="24"/>
          <w:szCs w:val="24"/>
        </w:rPr>
        <w:noBreakHyphen/>
        <w:t>dosen udskilles med urinen, og en mindre del på omkring 23 % udskilles i fæces.</w:t>
      </w:r>
    </w:p>
    <w:p w14:paraId="480EF1E6" w14:textId="77777777" w:rsidR="00402B00" w:rsidRDefault="00402B00" w:rsidP="00402B00">
      <w:pPr>
        <w:tabs>
          <w:tab w:val="left" w:pos="851"/>
        </w:tabs>
        <w:ind w:left="851"/>
        <w:rPr>
          <w:sz w:val="24"/>
          <w:szCs w:val="24"/>
        </w:rPr>
      </w:pPr>
      <w:r>
        <w:rPr>
          <w:sz w:val="24"/>
          <w:szCs w:val="24"/>
        </w:rPr>
        <w:t>Rotigotins clearance efter transdermal administration er ca. 10 l/min., og den totale eliminationshalveringstid er 5-7 timer. Den farmakokinetiske profil viser en bifasisk elimination med en initial halveringstid på ca. 2-3 timer.</w:t>
      </w:r>
    </w:p>
    <w:p w14:paraId="0062EBF6" w14:textId="77777777" w:rsidR="00402B00" w:rsidRDefault="00402B00" w:rsidP="00402B00">
      <w:pPr>
        <w:tabs>
          <w:tab w:val="left" w:pos="851"/>
        </w:tabs>
        <w:ind w:left="851"/>
        <w:rPr>
          <w:sz w:val="24"/>
          <w:szCs w:val="24"/>
        </w:rPr>
      </w:pPr>
    </w:p>
    <w:p w14:paraId="6E02E2F4" w14:textId="77777777" w:rsidR="00402B00" w:rsidRDefault="00402B00" w:rsidP="00402B00">
      <w:pPr>
        <w:tabs>
          <w:tab w:val="left" w:pos="851"/>
        </w:tabs>
        <w:ind w:left="851"/>
        <w:rPr>
          <w:sz w:val="24"/>
          <w:szCs w:val="24"/>
        </w:rPr>
      </w:pPr>
      <w:r>
        <w:rPr>
          <w:sz w:val="24"/>
          <w:szCs w:val="24"/>
        </w:rPr>
        <w:t>Da plasteret administreres transdermalt, forventes mad og gastrointestinale sygdomme ikke at interferere.</w:t>
      </w:r>
    </w:p>
    <w:p w14:paraId="7FC99962" w14:textId="77777777" w:rsidR="00402B00" w:rsidRDefault="00402B00" w:rsidP="00402B00">
      <w:pPr>
        <w:tabs>
          <w:tab w:val="left" w:pos="851"/>
        </w:tabs>
        <w:ind w:left="851"/>
        <w:rPr>
          <w:sz w:val="24"/>
          <w:szCs w:val="24"/>
        </w:rPr>
      </w:pPr>
    </w:p>
    <w:p w14:paraId="740E3EA8" w14:textId="77777777" w:rsidR="00402B00" w:rsidRDefault="00402B00" w:rsidP="00402B00">
      <w:pPr>
        <w:tabs>
          <w:tab w:val="left" w:pos="851"/>
        </w:tabs>
        <w:ind w:left="851"/>
        <w:rPr>
          <w:sz w:val="24"/>
          <w:szCs w:val="24"/>
          <w:u w:val="single"/>
        </w:rPr>
      </w:pPr>
      <w:r>
        <w:rPr>
          <w:sz w:val="24"/>
          <w:szCs w:val="24"/>
          <w:u w:val="single"/>
        </w:rPr>
        <w:t>Særlige patientgrupper</w:t>
      </w:r>
    </w:p>
    <w:p w14:paraId="06FB9D88" w14:textId="77777777" w:rsidR="00402B00" w:rsidRDefault="00402B00" w:rsidP="00402B00">
      <w:pPr>
        <w:tabs>
          <w:tab w:val="left" w:pos="851"/>
        </w:tabs>
        <w:ind w:left="851"/>
        <w:rPr>
          <w:sz w:val="24"/>
          <w:szCs w:val="24"/>
        </w:rPr>
      </w:pPr>
      <w:r>
        <w:rPr>
          <w:sz w:val="24"/>
          <w:szCs w:val="24"/>
        </w:rPr>
        <w:t>Da behandling med Kinparlev indledes med en lav dosis og gradvis titreres i overens</w:t>
      </w:r>
      <w:r>
        <w:rPr>
          <w:sz w:val="24"/>
          <w:szCs w:val="24"/>
        </w:rPr>
        <w:softHyphen/>
        <w:t>stemmelse med klinisk tolerabilitet for at opnå optimal behandlingseffekt, er det ikke nødvendigt at foretage dosisjustering baseret på køn, vægt eller alder.</w:t>
      </w:r>
    </w:p>
    <w:p w14:paraId="7DD71CC1" w14:textId="77777777" w:rsidR="00402B00" w:rsidRDefault="00402B00" w:rsidP="00402B00">
      <w:pPr>
        <w:tabs>
          <w:tab w:val="left" w:pos="851"/>
        </w:tabs>
        <w:ind w:left="851"/>
        <w:rPr>
          <w:sz w:val="24"/>
          <w:szCs w:val="24"/>
        </w:rPr>
      </w:pPr>
    </w:p>
    <w:p w14:paraId="40771AB7" w14:textId="77777777" w:rsidR="00402B00" w:rsidRDefault="00402B00" w:rsidP="00402B00">
      <w:pPr>
        <w:tabs>
          <w:tab w:val="left" w:pos="851"/>
        </w:tabs>
        <w:ind w:left="851"/>
        <w:rPr>
          <w:i/>
          <w:sz w:val="24"/>
          <w:szCs w:val="24"/>
        </w:rPr>
      </w:pPr>
      <w:r>
        <w:rPr>
          <w:i/>
          <w:sz w:val="24"/>
          <w:szCs w:val="24"/>
        </w:rPr>
        <w:t>Nedsat lever- og nyrefunktion</w:t>
      </w:r>
    </w:p>
    <w:p w14:paraId="62898DD7" w14:textId="77777777" w:rsidR="00402B00" w:rsidRDefault="00402B00" w:rsidP="00402B00">
      <w:pPr>
        <w:tabs>
          <w:tab w:val="left" w:pos="851"/>
        </w:tabs>
        <w:ind w:left="851"/>
        <w:rPr>
          <w:sz w:val="24"/>
          <w:szCs w:val="24"/>
        </w:rPr>
      </w:pPr>
      <w:r>
        <w:rPr>
          <w:sz w:val="24"/>
          <w:szCs w:val="24"/>
        </w:rPr>
        <w:t>Hos patienter med moderat nedsat leverfunktion eller let til svært nedsat nyrefunktion sås ingen relevante stigninger i rotigotins plasmaniveauer. Kinparlev er ikke undersøgt hos patienter med svært nedsat leverfunktion.</w:t>
      </w:r>
    </w:p>
    <w:p w14:paraId="52136D90" w14:textId="77777777" w:rsidR="00402B00" w:rsidRDefault="00402B00" w:rsidP="00402B00">
      <w:pPr>
        <w:tabs>
          <w:tab w:val="left" w:pos="851"/>
        </w:tabs>
        <w:ind w:left="851"/>
        <w:rPr>
          <w:sz w:val="24"/>
          <w:szCs w:val="24"/>
        </w:rPr>
      </w:pPr>
      <w:r>
        <w:rPr>
          <w:sz w:val="24"/>
          <w:szCs w:val="24"/>
        </w:rPr>
        <w:t>Plasmaniveauerne af rotigotinkonjugater og dets desalkylmetabolitter øges med nedsat nyrefunktion. Det er imidlertid usandsynligt, at disse metabolitter påvirker den kliniske effekt.</w:t>
      </w:r>
    </w:p>
    <w:p w14:paraId="4E5EFBD6" w14:textId="77777777" w:rsidR="00402B00" w:rsidRDefault="00402B00" w:rsidP="00402B00">
      <w:pPr>
        <w:tabs>
          <w:tab w:val="left" w:pos="851"/>
        </w:tabs>
        <w:ind w:left="851"/>
        <w:rPr>
          <w:sz w:val="24"/>
          <w:szCs w:val="24"/>
        </w:rPr>
      </w:pPr>
    </w:p>
    <w:p w14:paraId="2CF0285F" w14:textId="77777777" w:rsidR="00402B00" w:rsidRDefault="00402B00" w:rsidP="00402B00">
      <w:pPr>
        <w:tabs>
          <w:tab w:val="left" w:pos="851"/>
        </w:tabs>
        <w:ind w:left="851"/>
        <w:rPr>
          <w:i/>
          <w:iCs/>
          <w:sz w:val="24"/>
          <w:szCs w:val="24"/>
        </w:rPr>
      </w:pPr>
      <w:r>
        <w:rPr>
          <w:i/>
          <w:iCs/>
          <w:sz w:val="24"/>
          <w:szCs w:val="24"/>
        </w:rPr>
        <w:t>Pædiatrisk population</w:t>
      </w:r>
    </w:p>
    <w:p w14:paraId="62C088BE" w14:textId="77777777" w:rsidR="00402B00" w:rsidRDefault="00402B00" w:rsidP="00402B00">
      <w:pPr>
        <w:tabs>
          <w:tab w:val="left" w:pos="851"/>
        </w:tabs>
        <w:ind w:left="851"/>
        <w:rPr>
          <w:sz w:val="24"/>
          <w:szCs w:val="24"/>
        </w:rPr>
      </w:pPr>
      <w:r>
        <w:rPr>
          <w:sz w:val="24"/>
          <w:szCs w:val="24"/>
        </w:rPr>
        <w:t>Begrænsede farmakokinetiske data fra unge patienter med RLS (13-17 år, n = 24) efter behandling med gentagne doser på 0,5 til 3 mg/24 timer viste, at den systemiske eksponering for rotigotin var sammenlignelig med den, der blev observeret hos voksne. Data vedrørende sikkerhed og virkning er ikke tilstrækkelige til at fastlægge en sammenhæng mellem eksponering og respons (se også pædiatrisk information under pkt. 4.2).</w:t>
      </w:r>
    </w:p>
    <w:p w14:paraId="3A368A01" w14:textId="77777777" w:rsidR="009260DE" w:rsidRPr="00C84483" w:rsidRDefault="009260DE" w:rsidP="009260DE">
      <w:pPr>
        <w:tabs>
          <w:tab w:val="left" w:pos="851"/>
        </w:tabs>
        <w:ind w:left="851"/>
        <w:rPr>
          <w:sz w:val="24"/>
          <w:szCs w:val="24"/>
        </w:rPr>
      </w:pPr>
    </w:p>
    <w:p w14:paraId="59590BA6"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FEDFDB6" w14:textId="77777777" w:rsidR="009A130B" w:rsidRPr="009A130B" w:rsidRDefault="009A130B" w:rsidP="009A130B">
      <w:pPr>
        <w:tabs>
          <w:tab w:val="left" w:pos="851"/>
        </w:tabs>
        <w:ind w:left="851"/>
        <w:rPr>
          <w:sz w:val="24"/>
          <w:szCs w:val="24"/>
        </w:rPr>
      </w:pPr>
      <w:r w:rsidRPr="009A130B">
        <w:rPr>
          <w:sz w:val="24"/>
          <w:szCs w:val="24"/>
        </w:rPr>
        <w:t>I studier med gentagne doser og langtidstoksicitet blev de primære effekter forbundet med dopaminagonistrelateret farmakodynamisk effekt og den deraf følgende reducerede prolaktinsekretion.</w:t>
      </w:r>
    </w:p>
    <w:p w14:paraId="182B237C" w14:textId="77777777" w:rsidR="009A130B" w:rsidRPr="009A130B" w:rsidRDefault="009A130B" w:rsidP="009A130B">
      <w:pPr>
        <w:tabs>
          <w:tab w:val="left" w:pos="851"/>
        </w:tabs>
        <w:ind w:left="851"/>
        <w:rPr>
          <w:sz w:val="24"/>
          <w:szCs w:val="24"/>
        </w:rPr>
      </w:pPr>
      <w:r w:rsidRPr="009A130B">
        <w:rPr>
          <w:sz w:val="24"/>
          <w:szCs w:val="24"/>
        </w:rPr>
        <w:t>Efter en enkelt dosis rotigotin var der en tydelig binding til væv, som indeholdt melanin (dvs. øjne), hos den pigmenterede rotte og abe, men den fortog sig langsomt i løbet af den 14</w:t>
      </w:r>
      <w:r w:rsidRPr="009A130B">
        <w:rPr>
          <w:sz w:val="24"/>
          <w:szCs w:val="24"/>
        </w:rPr>
        <w:noBreakHyphen/>
        <w:t>dages observationsperiode.</w:t>
      </w:r>
    </w:p>
    <w:p w14:paraId="49FD02F8" w14:textId="77777777" w:rsidR="009A130B" w:rsidRPr="009A130B" w:rsidRDefault="009A130B" w:rsidP="009A130B">
      <w:pPr>
        <w:tabs>
          <w:tab w:val="left" w:pos="851"/>
        </w:tabs>
        <w:ind w:left="851"/>
        <w:rPr>
          <w:sz w:val="24"/>
          <w:szCs w:val="24"/>
        </w:rPr>
      </w:pPr>
      <w:r w:rsidRPr="009A130B">
        <w:rPr>
          <w:sz w:val="24"/>
          <w:szCs w:val="24"/>
        </w:rPr>
        <w:t>Der sås retinal degeneration ved hjælp af transmissionsmikroskopi ved en dosis svarende til 2,8 gange den maksimale anbefalede dosis for mennesker på mg/m</w:t>
      </w:r>
      <w:r w:rsidRPr="009A130B">
        <w:rPr>
          <w:sz w:val="24"/>
          <w:szCs w:val="24"/>
          <w:vertAlign w:val="superscript"/>
        </w:rPr>
        <w:t>2</w:t>
      </w:r>
      <w:r w:rsidRPr="009A130B">
        <w:rPr>
          <w:sz w:val="24"/>
          <w:szCs w:val="24"/>
        </w:rPr>
        <w:noBreakHyphen/>
        <w:t>basis i et 3</w:t>
      </w:r>
      <w:r w:rsidRPr="009A130B">
        <w:rPr>
          <w:sz w:val="24"/>
          <w:szCs w:val="24"/>
        </w:rPr>
        <w:noBreakHyphen/>
        <w:t xml:space="preserve">måneders studie med albinorotter. Effekten var tydeligst hos hunrotter. Der har ikke været foretaget flere studier for yderligere at vurdere den specifikke patologi. Der sås ingen </w:t>
      </w:r>
      <w:r w:rsidRPr="009A130B">
        <w:rPr>
          <w:sz w:val="24"/>
          <w:szCs w:val="24"/>
        </w:rPr>
        <w:lastRenderedPageBreak/>
        <w:t>retinal degeneration under den rutinemæssige, histopatologiske vurdering af øjnene i nogen af de toksikologiske studier hos nogen af de anvendte arter. Relevansen af disse fund for mennesker kendes ikke.</w:t>
      </w:r>
    </w:p>
    <w:p w14:paraId="0A67C368" w14:textId="77777777" w:rsidR="009A130B" w:rsidRPr="009A130B" w:rsidRDefault="009A130B" w:rsidP="009A130B">
      <w:pPr>
        <w:tabs>
          <w:tab w:val="left" w:pos="851"/>
        </w:tabs>
        <w:ind w:left="851"/>
        <w:rPr>
          <w:sz w:val="24"/>
          <w:szCs w:val="24"/>
        </w:rPr>
      </w:pPr>
      <w:r w:rsidRPr="009A130B">
        <w:rPr>
          <w:sz w:val="24"/>
          <w:szCs w:val="24"/>
        </w:rPr>
        <w:t>I et karcinogenicitetsstudie udviklede hanrotter Leydig celle</w:t>
      </w:r>
      <w:r w:rsidRPr="009A130B">
        <w:rPr>
          <w:sz w:val="24"/>
          <w:szCs w:val="24"/>
        </w:rPr>
        <w:noBreakHyphen/>
        <w:t>tumorer og hyperplasi. Maligne tumorer sås især i livmoderen hos hunner, som fik middel eller høj dosis. Disse ændringer er velkendte effekter af dopaminagonister hos rotter efter livslang behandling og vurderes som ikke relevante for mennesker.</w:t>
      </w:r>
    </w:p>
    <w:p w14:paraId="49C0220E" w14:textId="77777777" w:rsidR="009A130B" w:rsidRPr="009A130B" w:rsidRDefault="009A130B" w:rsidP="009A130B">
      <w:pPr>
        <w:tabs>
          <w:tab w:val="left" w:pos="851"/>
        </w:tabs>
        <w:ind w:left="851"/>
        <w:rPr>
          <w:sz w:val="24"/>
          <w:szCs w:val="24"/>
        </w:rPr>
      </w:pPr>
      <w:r w:rsidRPr="009A130B">
        <w:rPr>
          <w:sz w:val="24"/>
          <w:szCs w:val="24"/>
        </w:rPr>
        <w:t xml:space="preserve">Rotigotins påvirkning af reproduktionen er undersøgt hos rotter, kaniner og mus. Rotigotin var ikke teratogent hos nogen af de tre arter, men var embryotoksisk hos rotter og mus ved maternotoksiske doser. Rotigotin påvirkede ikke hanrotters fertilitet, men reducerede tydeligt fertiliteten hos hunrotter og </w:t>
      </w:r>
      <w:r w:rsidRPr="009A130B">
        <w:rPr>
          <w:sz w:val="24"/>
          <w:szCs w:val="24"/>
        </w:rPr>
        <w:noBreakHyphen/>
        <w:t>mus på grund af påvirkningen af prolaktinniveauet, som er særlig signifikant hos gnavere.</w:t>
      </w:r>
    </w:p>
    <w:p w14:paraId="6AE7528B" w14:textId="77777777" w:rsidR="009A130B" w:rsidRPr="009A130B" w:rsidRDefault="009A130B" w:rsidP="009A130B">
      <w:pPr>
        <w:tabs>
          <w:tab w:val="left" w:pos="851"/>
        </w:tabs>
        <w:ind w:left="851"/>
        <w:rPr>
          <w:sz w:val="24"/>
          <w:szCs w:val="24"/>
        </w:rPr>
      </w:pPr>
    </w:p>
    <w:p w14:paraId="47568812" w14:textId="77777777" w:rsidR="009A130B" w:rsidRPr="009A130B" w:rsidRDefault="009A130B" w:rsidP="009A130B">
      <w:pPr>
        <w:tabs>
          <w:tab w:val="left" w:pos="851"/>
        </w:tabs>
        <w:ind w:left="851"/>
        <w:rPr>
          <w:sz w:val="24"/>
          <w:szCs w:val="24"/>
        </w:rPr>
      </w:pPr>
      <w:r w:rsidRPr="009A130B">
        <w:rPr>
          <w:sz w:val="24"/>
          <w:szCs w:val="24"/>
        </w:rPr>
        <w:t>Rotigotin inducerede ikke genmutationer i Ames</w:t>
      </w:r>
      <w:r w:rsidRPr="009A130B">
        <w:rPr>
          <w:sz w:val="24"/>
          <w:szCs w:val="24"/>
        </w:rPr>
        <w:noBreakHyphen/>
        <w:t xml:space="preserve">testen, men udviste mutagene effekter i </w:t>
      </w:r>
      <w:r w:rsidRPr="009A130B">
        <w:rPr>
          <w:i/>
          <w:iCs/>
          <w:sz w:val="24"/>
          <w:szCs w:val="24"/>
        </w:rPr>
        <w:t>in vitro</w:t>
      </w:r>
      <w:r w:rsidRPr="009A130B">
        <w:rPr>
          <w:sz w:val="24"/>
          <w:szCs w:val="24"/>
        </w:rPr>
        <w:noBreakHyphen/>
        <w:t xml:space="preserve">muselymfomtesten med metabolisk aktivering og svagere effekt uden metabolisk aktivering. Denne mutagene effekt kan muligvis tilskrives rotigotins klastogene effekt. Denne effekt bekræftedes dog ikke </w:t>
      </w:r>
      <w:r w:rsidRPr="009A130B">
        <w:rPr>
          <w:i/>
          <w:iCs/>
          <w:sz w:val="24"/>
          <w:szCs w:val="24"/>
        </w:rPr>
        <w:t xml:space="preserve">in vivo </w:t>
      </w:r>
      <w:r w:rsidRPr="009A130B">
        <w:rPr>
          <w:sz w:val="24"/>
          <w:szCs w:val="24"/>
        </w:rPr>
        <w:t xml:space="preserve">i musemikronukleustesten eller i </w:t>
      </w:r>
      <w:r w:rsidRPr="009A130B">
        <w:rPr>
          <w:i/>
          <w:iCs/>
          <w:sz w:val="24"/>
          <w:szCs w:val="24"/>
        </w:rPr>
        <w:t>Unscheduled DNA Synthesis</w:t>
      </w:r>
      <w:r w:rsidRPr="009A130B">
        <w:rPr>
          <w:sz w:val="24"/>
          <w:szCs w:val="24"/>
        </w:rPr>
        <w:noBreakHyphen/>
        <w:t xml:space="preserve">testen (UDS) med rotter. Da den mutagene effekt forløb mere eller mindre parallelt med en reduceret relativ total vækst af cellerne, kan den muligvis tilskrives stoffets cytotoksiske effekt. Derfor kendes relevansen af denne ene positive </w:t>
      </w:r>
      <w:r w:rsidRPr="009A130B">
        <w:rPr>
          <w:i/>
          <w:iCs/>
          <w:sz w:val="24"/>
          <w:szCs w:val="24"/>
        </w:rPr>
        <w:t>in vitro</w:t>
      </w:r>
      <w:r w:rsidRPr="009A130B">
        <w:rPr>
          <w:i/>
          <w:iCs/>
          <w:sz w:val="24"/>
          <w:szCs w:val="24"/>
        </w:rPr>
        <w:noBreakHyphen/>
      </w:r>
      <w:r w:rsidRPr="009A130B">
        <w:rPr>
          <w:sz w:val="24"/>
          <w:szCs w:val="24"/>
        </w:rPr>
        <w:t>mutagenicitetstest ikke.</w:t>
      </w:r>
    </w:p>
    <w:p w14:paraId="2B124A9D" w14:textId="77777777" w:rsidR="009260DE" w:rsidRPr="00C84483" w:rsidRDefault="009260DE" w:rsidP="009260DE">
      <w:pPr>
        <w:tabs>
          <w:tab w:val="left" w:pos="851"/>
        </w:tabs>
        <w:ind w:left="851"/>
        <w:rPr>
          <w:sz w:val="24"/>
          <w:szCs w:val="24"/>
        </w:rPr>
      </w:pPr>
    </w:p>
    <w:p w14:paraId="77C53994" w14:textId="77777777" w:rsidR="009260DE" w:rsidRPr="00C84483" w:rsidRDefault="009260DE" w:rsidP="009260DE">
      <w:pPr>
        <w:tabs>
          <w:tab w:val="left" w:pos="851"/>
        </w:tabs>
        <w:ind w:left="851"/>
        <w:rPr>
          <w:sz w:val="24"/>
          <w:szCs w:val="24"/>
        </w:rPr>
      </w:pPr>
    </w:p>
    <w:p w14:paraId="643EED1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D1A2474" w14:textId="77777777" w:rsidR="009260DE" w:rsidRPr="00BA09F1" w:rsidRDefault="009260DE" w:rsidP="009260DE">
      <w:pPr>
        <w:tabs>
          <w:tab w:val="left" w:pos="851"/>
        </w:tabs>
        <w:ind w:left="851"/>
        <w:rPr>
          <w:sz w:val="24"/>
          <w:szCs w:val="24"/>
        </w:rPr>
      </w:pPr>
    </w:p>
    <w:p w14:paraId="4EF57093"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053F60E8" w14:textId="77777777" w:rsidR="00024C71" w:rsidRDefault="00024C71" w:rsidP="00024C71">
      <w:pPr>
        <w:tabs>
          <w:tab w:val="left" w:pos="851"/>
        </w:tabs>
        <w:ind w:left="851"/>
        <w:rPr>
          <w:sz w:val="24"/>
          <w:szCs w:val="24"/>
          <w:u w:val="single"/>
        </w:rPr>
      </w:pPr>
    </w:p>
    <w:p w14:paraId="26308DB2" w14:textId="45B3292C" w:rsidR="00024C71" w:rsidRPr="00024C71" w:rsidRDefault="00024C71" w:rsidP="00024C71">
      <w:pPr>
        <w:tabs>
          <w:tab w:val="left" w:pos="851"/>
        </w:tabs>
        <w:ind w:left="851"/>
        <w:rPr>
          <w:sz w:val="24"/>
          <w:szCs w:val="24"/>
        </w:rPr>
      </w:pPr>
      <w:r w:rsidRPr="00024C71">
        <w:rPr>
          <w:sz w:val="24"/>
          <w:szCs w:val="24"/>
          <w:u w:val="single"/>
        </w:rPr>
        <w:t>Selvklæbende matrixlag</w:t>
      </w:r>
    </w:p>
    <w:p w14:paraId="2FB8AF8B" w14:textId="77777777" w:rsidR="00024C71" w:rsidRPr="00024C71" w:rsidRDefault="00024C71" w:rsidP="00024C71">
      <w:pPr>
        <w:tabs>
          <w:tab w:val="left" w:pos="851"/>
        </w:tabs>
        <w:ind w:left="851"/>
        <w:rPr>
          <w:sz w:val="24"/>
          <w:szCs w:val="24"/>
        </w:rPr>
      </w:pPr>
      <w:r w:rsidRPr="00024C71">
        <w:rPr>
          <w:sz w:val="24"/>
          <w:szCs w:val="24"/>
        </w:rPr>
        <w:t>Povidon K-30</w:t>
      </w:r>
    </w:p>
    <w:p w14:paraId="5B334515" w14:textId="6B754CE4" w:rsidR="00024C71" w:rsidRPr="00024C71" w:rsidRDefault="00024C71" w:rsidP="00024C71">
      <w:pPr>
        <w:tabs>
          <w:tab w:val="left" w:pos="851"/>
        </w:tabs>
        <w:ind w:left="851"/>
        <w:rPr>
          <w:sz w:val="24"/>
          <w:szCs w:val="24"/>
          <w:lang w:val="en-US"/>
        </w:rPr>
      </w:pPr>
      <w:r w:rsidRPr="00024C71">
        <w:rPr>
          <w:sz w:val="24"/>
          <w:szCs w:val="24"/>
          <w:lang w:val="en-US"/>
        </w:rPr>
        <w:t>DL-</w:t>
      </w:r>
      <w:r w:rsidRPr="00024C71">
        <w:rPr>
          <w:sz w:val="24"/>
          <w:szCs w:val="24"/>
        </w:rPr>
        <w:t>α</w:t>
      </w:r>
      <w:r w:rsidRPr="00024C71">
        <w:rPr>
          <w:sz w:val="24"/>
          <w:szCs w:val="24"/>
          <w:lang w:val="en-US"/>
        </w:rPr>
        <w:t>-tocopherol (E307)</w:t>
      </w:r>
    </w:p>
    <w:p w14:paraId="58EE0B72" w14:textId="0E13B1E7" w:rsidR="00024C71" w:rsidRPr="00024C71" w:rsidRDefault="00024C71" w:rsidP="00024C71">
      <w:pPr>
        <w:tabs>
          <w:tab w:val="left" w:pos="851"/>
        </w:tabs>
        <w:ind w:left="851"/>
        <w:rPr>
          <w:sz w:val="24"/>
          <w:szCs w:val="24"/>
          <w:lang w:val="en-US"/>
        </w:rPr>
      </w:pPr>
      <w:r w:rsidRPr="00024C71">
        <w:rPr>
          <w:sz w:val="24"/>
          <w:szCs w:val="24"/>
          <w:lang w:val="en-US"/>
        </w:rPr>
        <w:t>Natriumpyrosulfit (E223)</w:t>
      </w:r>
    </w:p>
    <w:p w14:paraId="3F3A05EE" w14:textId="249CB420" w:rsidR="00024C71" w:rsidRPr="00ED5835" w:rsidRDefault="00024C71" w:rsidP="00024C71">
      <w:pPr>
        <w:tabs>
          <w:tab w:val="left" w:pos="851"/>
        </w:tabs>
        <w:ind w:left="851"/>
        <w:rPr>
          <w:sz w:val="24"/>
          <w:szCs w:val="24"/>
          <w:lang w:val="en-US"/>
        </w:rPr>
      </w:pPr>
      <w:r w:rsidRPr="00ED5835">
        <w:rPr>
          <w:sz w:val="24"/>
          <w:szCs w:val="24"/>
          <w:lang w:val="en-US"/>
        </w:rPr>
        <w:t>Ascorbylpalmitat (E304)</w:t>
      </w:r>
    </w:p>
    <w:p w14:paraId="30025C6B" w14:textId="77777777" w:rsidR="00024C71" w:rsidRPr="00ED5835" w:rsidRDefault="00024C71" w:rsidP="00024C71">
      <w:pPr>
        <w:tabs>
          <w:tab w:val="left" w:pos="851"/>
        </w:tabs>
        <w:ind w:left="851"/>
        <w:rPr>
          <w:sz w:val="24"/>
          <w:szCs w:val="24"/>
          <w:lang w:val="en-US"/>
        </w:rPr>
      </w:pPr>
      <w:r w:rsidRPr="00ED5835">
        <w:rPr>
          <w:sz w:val="24"/>
          <w:szCs w:val="24"/>
          <w:lang w:val="en-US"/>
        </w:rPr>
        <w:t>Acrylatcopolymer (acrylat-vinylacetat)</w:t>
      </w:r>
    </w:p>
    <w:p w14:paraId="65A0505B" w14:textId="77777777" w:rsidR="00024C71" w:rsidRPr="00ED5835" w:rsidRDefault="00024C71" w:rsidP="00024C71">
      <w:pPr>
        <w:tabs>
          <w:tab w:val="left" w:pos="851"/>
        </w:tabs>
        <w:ind w:left="851"/>
        <w:rPr>
          <w:sz w:val="24"/>
          <w:szCs w:val="24"/>
          <w:lang w:val="en-US"/>
        </w:rPr>
      </w:pPr>
      <w:r w:rsidRPr="00ED5835">
        <w:rPr>
          <w:sz w:val="24"/>
          <w:szCs w:val="24"/>
          <w:lang w:val="en-US"/>
        </w:rPr>
        <w:t>Silikoneklæber (amin-kompatibelt PSA trimethylsilyl-behandlet dimethiconol/trimethyl</w:t>
      </w:r>
      <w:r w:rsidRPr="00ED5835">
        <w:rPr>
          <w:sz w:val="24"/>
          <w:szCs w:val="24"/>
          <w:lang w:val="en-US"/>
        </w:rPr>
        <w:softHyphen/>
        <w:t>siloxysilikat krydspolymer)</w:t>
      </w:r>
    </w:p>
    <w:p w14:paraId="5237AAF1" w14:textId="77777777" w:rsidR="00024C71" w:rsidRPr="00ED5835" w:rsidRDefault="00024C71" w:rsidP="00024C71">
      <w:pPr>
        <w:tabs>
          <w:tab w:val="left" w:pos="851"/>
        </w:tabs>
        <w:ind w:left="851"/>
        <w:rPr>
          <w:sz w:val="24"/>
          <w:szCs w:val="24"/>
          <w:lang w:val="en-US"/>
        </w:rPr>
      </w:pPr>
    </w:p>
    <w:p w14:paraId="3CA5D15E" w14:textId="77777777" w:rsidR="00024C71" w:rsidRPr="00024C71" w:rsidRDefault="00024C71" w:rsidP="00024C71">
      <w:pPr>
        <w:tabs>
          <w:tab w:val="left" w:pos="851"/>
        </w:tabs>
        <w:ind w:left="851"/>
        <w:rPr>
          <w:sz w:val="24"/>
          <w:szCs w:val="24"/>
        </w:rPr>
      </w:pPr>
      <w:r w:rsidRPr="00024C71">
        <w:rPr>
          <w:sz w:val="24"/>
          <w:szCs w:val="24"/>
          <w:u w:val="single"/>
        </w:rPr>
        <w:t>Bagsidelag</w:t>
      </w:r>
    </w:p>
    <w:p w14:paraId="405DD99E" w14:textId="47DC6F77" w:rsidR="00024C71" w:rsidRPr="00024C71" w:rsidRDefault="00024C71" w:rsidP="00024C71">
      <w:pPr>
        <w:tabs>
          <w:tab w:val="left" w:pos="851"/>
        </w:tabs>
        <w:ind w:left="851"/>
        <w:rPr>
          <w:sz w:val="24"/>
          <w:szCs w:val="24"/>
        </w:rPr>
      </w:pPr>
      <w:r w:rsidRPr="00024C71">
        <w:rPr>
          <w:sz w:val="24"/>
          <w:szCs w:val="24"/>
        </w:rPr>
        <w:t>Beige-farvet</w:t>
      </w:r>
      <w:r>
        <w:rPr>
          <w:sz w:val="24"/>
          <w:szCs w:val="24"/>
        </w:rPr>
        <w:t>,</w:t>
      </w:r>
      <w:r w:rsidRPr="00024C71">
        <w:rPr>
          <w:sz w:val="24"/>
          <w:szCs w:val="24"/>
        </w:rPr>
        <w:t xml:space="preserve"> aluminiseret polyesterfilm</w:t>
      </w:r>
      <w:r>
        <w:rPr>
          <w:sz w:val="24"/>
          <w:szCs w:val="24"/>
        </w:rPr>
        <w:t>.</w:t>
      </w:r>
    </w:p>
    <w:p w14:paraId="6B724D66" w14:textId="77777777" w:rsidR="00024C71" w:rsidRPr="00024C71" w:rsidRDefault="00024C71" w:rsidP="00024C71">
      <w:pPr>
        <w:tabs>
          <w:tab w:val="left" w:pos="851"/>
        </w:tabs>
        <w:ind w:left="851"/>
        <w:rPr>
          <w:sz w:val="24"/>
          <w:szCs w:val="24"/>
          <w:u w:val="single"/>
        </w:rPr>
      </w:pPr>
    </w:p>
    <w:p w14:paraId="1B103B71" w14:textId="77777777" w:rsidR="00024C71" w:rsidRPr="00024C71" w:rsidRDefault="00024C71" w:rsidP="00024C71">
      <w:pPr>
        <w:tabs>
          <w:tab w:val="left" w:pos="851"/>
        </w:tabs>
        <w:ind w:left="851"/>
        <w:rPr>
          <w:sz w:val="24"/>
          <w:szCs w:val="24"/>
        </w:rPr>
      </w:pPr>
      <w:r w:rsidRPr="00024C71">
        <w:rPr>
          <w:sz w:val="24"/>
          <w:szCs w:val="24"/>
          <w:u w:val="single"/>
        </w:rPr>
        <w:t>Aftagelig beskyttelsesfilm</w:t>
      </w:r>
    </w:p>
    <w:p w14:paraId="58C51B6A" w14:textId="182A8F74" w:rsidR="00024C71" w:rsidRPr="00024C71" w:rsidRDefault="00024C71" w:rsidP="00024C71">
      <w:pPr>
        <w:tabs>
          <w:tab w:val="left" w:pos="851"/>
        </w:tabs>
        <w:ind w:left="851"/>
        <w:rPr>
          <w:sz w:val="24"/>
          <w:szCs w:val="24"/>
        </w:rPr>
      </w:pPr>
      <w:r w:rsidRPr="00024C71">
        <w:rPr>
          <w:sz w:val="24"/>
          <w:szCs w:val="24"/>
        </w:rPr>
        <w:t>Gennemsigtig</w:t>
      </w:r>
      <w:r>
        <w:rPr>
          <w:sz w:val="24"/>
          <w:szCs w:val="24"/>
        </w:rPr>
        <w:t>t,</w:t>
      </w:r>
      <w:r w:rsidRPr="00024C71">
        <w:rPr>
          <w:sz w:val="24"/>
          <w:szCs w:val="24"/>
        </w:rPr>
        <w:t xml:space="preserve"> fluoropolymer-overtrukket polyesterfilm</w:t>
      </w:r>
      <w:r>
        <w:rPr>
          <w:sz w:val="24"/>
          <w:szCs w:val="24"/>
        </w:rPr>
        <w:t>.</w:t>
      </w:r>
    </w:p>
    <w:p w14:paraId="65679662" w14:textId="77777777" w:rsidR="009260DE" w:rsidRPr="00C84483" w:rsidRDefault="009260DE" w:rsidP="009260DE">
      <w:pPr>
        <w:tabs>
          <w:tab w:val="left" w:pos="851"/>
        </w:tabs>
        <w:ind w:left="851"/>
        <w:rPr>
          <w:sz w:val="24"/>
          <w:szCs w:val="24"/>
        </w:rPr>
      </w:pPr>
    </w:p>
    <w:p w14:paraId="52012BB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5FA041A0" w14:textId="77777777" w:rsidR="00024C71" w:rsidRDefault="00024C71" w:rsidP="00024C71">
      <w:pPr>
        <w:tabs>
          <w:tab w:val="left" w:pos="851"/>
        </w:tabs>
        <w:ind w:left="851"/>
        <w:rPr>
          <w:sz w:val="24"/>
          <w:szCs w:val="24"/>
        </w:rPr>
      </w:pPr>
      <w:r>
        <w:rPr>
          <w:sz w:val="24"/>
          <w:szCs w:val="24"/>
        </w:rPr>
        <w:t>Ikke relevant.</w:t>
      </w:r>
    </w:p>
    <w:p w14:paraId="3A9104AE" w14:textId="77777777" w:rsidR="009260DE" w:rsidRPr="00C84483" w:rsidRDefault="009260DE" w:rsidP="009260DE">
      <w:pPr>
        <w:tabs>
          <w:tab w:val="left" w:pos="851"/>
        </w:tabs>
        <w:ind w:left="851"/>
        <w:rPr>
          <w:sz w:val="24"/>
          <w:szCs w:val="24"/>
        </w:rPr>
      </w:pPr>
    </w:p>
    <w:p w14:paraId="686D4AF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37815565" w14:textId="77777777" w:rsidR="00024C71" w:rsidRPr="00024C71" w:rsidRDefault="00024C71" w:rsidP="00024C71">
      <w:pPr>
        <w:tabs>
          <w:tab w:val="left" w:pos="851"/>
        </w:tabs>
        <w:ind w:left="851"/>
        <w:rPr>
          <w:sz w:val="24"/>
          <w:szCs w:val="24"/>
        </w:rPr>
      </w:pPr>
      <w:r w:rsidRPr="00024C71">
        <w:rPr>
          <w:sz w:val="24"/>
          <w:szCs w:val="24"/>
        </w:rPr>
        <w:t>24 måneder.</w:t>
      </w:r>
    </w:p>
    <w:p w14:paraId="2AEB5356" w14:textId="77777777" w:rsidR="009260DE" w:rsidRPr="00C84483" w:rsidRDefault="009260DE" w:rsidP="009260DE">
      <w:pPr>
        <w:tabs>
          <w:tab w:val="left" w:pos="851"/>
        </w:tabs>
        <w:ind w:left="851"/>
        <w:rPr>
          <w:sz w:val="24"/>
          <w:szCs w:val="24"/>
        </w:rPr>
      </w:pPr>
    </w:p>
    <w:p w14:paraId="20E8DD0A"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3607EF9" w14:textId="77777777" w:rsidR="00024C71" w:rsidRDefault="00024C71" w:rsidP="00024C71">
      <w:pPr>
        <w:tabs>
          <w:tab w:val="left" w:pos="851"/>
        </w:tabs>
        <w:ind w:left="851"/>
        <w:rPr>
          <w:sz w:val="24"/>
          <w:szCs w:val="24"/>
        </w:rPr>
      </w:pPr>
      <w:r>
        <w:rPr>
          <w:sz w:val="24"/>
          <w:szCs w:val="24"/>
        </w:rPr>
        <w:t>Dette lægemiddel kræver ingen særlige forholdsregler vedrørende opbevaringen.</w:t>
      </w:r>
    </w:p>
    <w:p w14:paraId="33E340A4" w14:textId="77777777" w:rsidR="009260DE" w:rsidRPr="00C84483" w:rsidRDefault="009260DE" w:rsidP="009260DE">
      <w:pPr>
        <w:tabs>
          <w:tab w:val="left" w:pos="851"/>
        </w:tabs>
        <w:ind w:left="851"/>
        <w:rPr>
          <w:sz w:val="24"/>
          <w:szCs w:val="24"/>
        </w:rPr>
      </w:pPr>
    </w:p>
    <w:p w14:paraId="3033A4F4" w14:textId="77777777" w:rsidR="009260DE" w:rsidRPr="00C84483" w:rsidRDefault="009260DE" w:rsidP="009260DE">
      <w:pPr>
        <w:tabs>
          <w:tab w:val="left" w:pos="851"/>
        </w:tabs>
        <w:ind w:left="851" w:hanging="851"/>
        <w:rPr>
          <w:b/>
          <w:sz w:val="24"/>
          <w:szCs w:val="24"/>
        </w:rPr>
      </w:pPr>
      <w:r w:rsidRPr="00C84483">
        <w:rPr>
          <w:b/>
          <w:sz w:val="24"/>
          <w:szCs w:val="24"/>
        </w:rPr>
        <w:lastRenderedPageBreak/>
        <w:t>6.5</w:t>
      </w:r>
      <w:r w:rsidRPr="00C84483">
        <w:rPr>
          <w:b/>
          <w:sz w:val="24"/>
          <w:szCs w:val="24"/>
        </w:rPr>
        <w:tab/>
        <w:t>Emballagetype og pakningsstørrelser</w:t>
      </w:r>
    </w:p>
    <w:p w14:paraId="6E387229" w14:textId="268F732B" w:rsidR="00024C71" w:rsidRDefault="00024C71" w:rsidP="00024C71">
      <w:pPr>
        <w:tabs>
          <w:tab w:val="left" w:pos="851"/>
        </w:tabs>
        <w:ind w:left="851"/>
        <w:rPr>
          <w:sz w:val="24"/>
          <w:szCs w:val="24"/>
        </w:rPr>
      </w:pPr>
      <w:r>
        <w:rPr>
          <w:iCs/>
          <w:sz w:val="24"/>
          <w:szCs w:val="24"/>
        </w:rPr>
        <w:t>Lamineret</w:t>
      </w:r>
      <w:r>
        <w:rPr>
          <w:sz w:val="24"/>
          <w:szCs w:val="24"/>
        </w:rPr>
        <w:t xml:space="preserve"> brev bestående af polyethylen med lav densitet, en aluminiumsfolie, polyethylenterephthalat og papir. Breve er pakket i en æske.</w:t>
      </w:r>
    </w:p>
    <w:p w14:paraId="06807ACC" w14:textId="77777777" w:rsidR="00024C71" w:rsidRDefault="00024C71" w:rsidP="00024C71">
      <w:pPr>
        <w:tabs>
          <w:tab w:val="left" w:pos="851"/>
        </w:tabs>
        <w:ind w:left="851"/>
        <w:rPr>
          <w:sz w:val="24"/>
          <w:szCs w:val="24"/>
        </w:rPr>
      </w:pPr>
    </w:p>
    <w:p w14:paraId="3ADEF07F" w14:textId="77777777" w:rsidR="00024C71" w:rsidRPr="00024C71" w:rsidRDefault="00024C71" w:rsidP="00024C71">
      <w:pPr>
        <w:tabs>
          <w:tab w:val="left" w:pos="851"/>
        </w:tabs>
        <w:ind w:left="851"/>
        <w:rPr>
          <w:sz w:val="24"/>
          <w:szCs w:val="24"/>
          <w:u w:val="single"/>
        </w:rPr>
      </w:pPr>
      <w:r w:rsidRPr="00024C71">
        <w:rPr>
          <w:sz w:val="24"/>
          <w:szCs w:val="24"/>
          <w:u w:val="single"/>
        </w:rPr>
        <w:t>Pakningsstørrelser</w:t>
      </w:r>
    </w:p>
    <w:p w14:paraId="09F386CE" w14:textId="5DAAC897" w:rsidR="00024C71" w:rsidRDefault="00024C71" w:rsidP="00024C71">
      <w:pPr>
        <w:tabs>
          <w:tab w:val="left" w:pos="851"/>
        </w:tabs>
        <w:ind w:left="851"/>
        <w:rPr>
          <w:sz w:val="24"/>
          <w:szCs w:val="24"/>
        </w:rPr>
      </w:pPr>
      <w:r>
        <w:rPr>
          <w:sz w:val="24"/>
          <w:szCs w:val="24"/>
        </w:rPr>
        <w:t>7, 14, 28, 30 og 84 (sampakning med 3 pakninger á 28) depotplastre, individuelt forseglede i breve.</w:t>
      </w:r>
    </w:p>
    <w:p w14:paraId="5E874422" w14:textId="77777777" w:rsidR="00024C71" w:rsidRDefault="00024C71" w:rsidP="00024C71">
      <w:pPr>
        <w:tabs>
          <w:tab w:val="left" w:pos="851"/>
        </w:tabs>
        <w:ind w:left="851"/>
        <w:rPr>
          <w:sz w:val="24"/>
          <w:szCs w:val="24"/>
        </w:rPr>
      </w:pPr>
    </w:p>
    <w:p w14:paraId="064DA824" w14:textId="77777777" w:rsidR="00024C71" w:rsidRDefault="00024C71" w:rsidP="00024C71">
      <w:pPr>
        <w:tabs>
          <w:tab w:val="left" w:pos="851"/>
        </w:tabs>
        <w:ind w:left="851"/>
        <w:rPr>
          <w:sz w:val="24"/>
          <w:szCs w:val="24"/>
        </w:rPr>
      </w:pPr>
      <w:r>
        <w:rPr>
          <w:sz w:val="24"/>
          <w:szCs w:val="24"/>
        </w:rPr>
        <w:t>Ikke alle pakningsstørrelser er nødvendigvis markedsført.</w:t>
      </w:r>
    </w:p>
    <w:p w14:paraId="222FF73E" w14:textId="77777777" w:rsidR="009260DE" w:rsidRPr="00C84483" w:rsidRDefault="009260DE" w:rsidP="009260DE">
      <w:pPr>
        <w:tabs>
          <w:tab w:val="left" w:pos="851"/>
        </w:tabs>
        <w:ind w:left="851"/>
        <w:rPr>
          <w:sz w:val="24"/>
          <w:szCs w:val="24"/>
        </w:rPr>
      </w:pPr>
    </w:p>
    <w:p w14:paraId="252CCFC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04D9300" w14:textId="77777777" w:rsidR="00024C71" w:rsidRDefault="00024C71" w:rsidP="00024C71">
      <w:pPr>
        <w:tabs>
          <w:tab w:val="left" w:pos="851"/>
        </w:tabs>
        <w:ind w:left="851"/>
        <w:rPr>
          <w:sz w:val="24"/>
          <w:szCs w:val="24"/>
        </w:rPr>
      </w:pPr>
      <w:r>
        <w:rPr>
          <w:sz w:val="24"/>
          <w:szCs w:val="24"/>
        </w:rPr>
        <w:t>Efter brug indeholder plasteret stadig aktivt stof. Efter at plasteret er fjernet, bør det brugte plaster foldes på midten med den klæbende side indad, således at matrixlaget ikke er synligt, placeres i det originale brev og derefter bortskaffes.</w:t>
      </w:r>
    </w:p>
    <w:p w14:paraId="2B0D4111" w14:textId="77777777" w:rsidR="00024C71" w:rsidRDefault="00024C71" w:rsidP="00024C71">
      <w:pPr>
        <w:tabs>
          <w:tab w:val="left" w:pos="851"/>
        </w:tabs>
        <w:ind w:left="851"/>
        <w:rPr>
          <w:sz w:val="24"/>
          <w:szCs w:val="24"/>
        </w:rPr>
      </w:pPr>
    </w:p>
    <w:p w14:paraId="3685E964" w14:textId="77777777" w:rsidR="00024C71" w:rsidRDefault="00024C71" w:rsidP="00024C71">
      <w:pPr>
        <w:tabs>
          <w:tab w:val="left" w:pos="851"/>
        </w:tabs>
        <w:ind w:left="851"/>
        <w:rPr>
          <w:sz w:val="24"/>
          <w:szCs w:val="24"/>
        </w:rPr>
      </w:pPr>
      <w:r>
        <w:rPr>
          <w:sz w:val="24"/>
          <w:szCs w:val="24"/>
        </w:rPr>
        <w:t>Ikke anvendt lægemiddel samt affald heraf skal bortskaffes i henhold til lokale retningslinjer eller returneres til apoteket.</w:t>
      </w:r>
    </w:p>
    <w:p w14:paraId="4A576E5B" w14:textId="17316869" w:rsidR="00024C71" w:rsidRDefault="00024C71" w:rsidP="00024C71">
      <w:pPr>
        <w:tabs>
          <w:tab w:val="left" w:pos="851"/>
        </w:tabs>
        <w:ind w:left="851"/>
        <w:rPr>
          <w:sz w:val="24"/>
          <w:szCs w:val="24"/>
        </w:rPr>
      </w:pPr>
    </w:p>
    <w:p w14:paraId="6634163D"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D8BCBFE" w14:textId="77777777" w:rsidR="00024C71" w:rsidRDefault="00024C71" w:rsidP="00024C71">
      <w:pPr>
        <w:tabs>
          <w:tab w:val="left" w:pos="851"/>
        </w:tabs>
        <w:ind w:left="851"/>
        <w:rPr>
          <w:sz w:val="24"/>
          <w:szCs w:val="24"/>
        </w:rPr>
      </w:pPr>
      <w:r>
        <w:rPr>
          <w:sz w:val="24"/>
          <w:szCs w:val="24"/>
        </w:rPr>
        <w:t>Orion Corporation</w:t>
      </w:r>
    </w:p>
    <w:p w14:paraId="771DBC84" w14:textId="77777777" w:rsidR="00024C71" w:rsidRDefault="00024C71" w:rsidP="00024C71">
      <w:pPr>
        <w:tabs>
          <w:tab w:val="left" w:pos="851"/>
        </w:tabs>
        <w:ind w:left="851"/>
        <w:rPr>
          <w:sz w:val="24"/>
          <w:szCs w:val="24"/>
        </w:rPr>
      </w:pPr>
      <w:r>
        <w:rPr>
          <w:sz w:val="24"/>
          <w:szCs w:val="24"/>
        </w:rPr>
        <w:t>Orionintie 1</w:t>
      </w:r>
    </w:p>
    <w:p w14:paraId="4AD60DDC" w14:textId="69208DD9" w:rsidR="00024C71" w:rsidRDefault="00024C71" w:rsidP="00024C71">
      <w:pPr>
        <w:tabs>
          <w:tab w:val="left" w:pos="851"/>
        </w:tabs>
        <w:ind w:left="851"/>
        <w:rPr>
          <w:sz w:val="24"/>
          <w:szCs w:val="24"/>
          <w:lang w:val="en-US"/>
        </w:rPr>
      </w:pPr>
      <w:r>
        <w:rPr>
          <w:sz w:val="24"/>
          <w:szCs w:val="24"/>
          <w:lang w:val="en-US"/>
        </w:rPr>
        <w:t>02200 Espoo</w:t>
      </w:r>
    </w:p>
    <w:p w14:paraId="10DE9F25" w14:textId="77777777" w:rsidR="00024C71" w:rsidRDefault="00024C71" w:rsidP="00024C71">
      <w:pPr>
        <w:tabs>
          <w:tab w:val="left" w:pos="851"/>
        </w:tabs>
        <w:ind w:left="851"/>
        <w:rPr>
          <w:sz w:val="24"/>
          <w:szCs w:val="24"/>
          <w:lang w:val="sv-SE"/>
        </w:rPr>
      </w:pPr>
      <w:r>
        <w:rPr>
          <w:sz w:val="24"/>
          <w:szCs w:val="24"/>
          <w:lang w:val="en-US"/>
        </w:rPr>
        <w:t>Finland</w:t>
      </w:r>
    </w:p>
    <w:p w14:paraId="478C0956" w14:textId="77777777" w:rsidR="00024C71" w:rsidRDefault="00024C71" w:rsidP="00024C71">
      <w:pPr>
        <w:tabs>
          <w:tab w:val="left" w:pos="851"/>
        </w:tabs>
        <w:ind w:left="851"/>
        <w:rPr>
          <w:sz w:val="24"/>
          <w:szCs w:val="24"/>
          <w:lang w:val="sv-SE"/>
        </w:rPr>
      </w:pPr>
    </w:p>
    <w:p w14:paraId="624EF93D" w14:textId="77777777" w:rsidR="00024C71" w:rsidRDefault="00024C71" w:rsidP="00024C71">
      <w:pPr>
        <w:tabs>
          <w:tab w:val="left" w:pos="851"/>
        </w:tabs>
        <w:ind w:left="851"/>
        <w:rPr>
          <w:b/>
          <w:bCs/>
          <w:sz w:val="24"/>
          <w:szCs w:val="24"/>
          <w:lang w:val="en-US"/>
        </w:rPr>
      </w:pPr>
      <w:r>
        <w:rPr>
          <w:b/>
          <w:bCs/>
          <w:sz w:val="24"/>
          <w:szCs w:val="24"/>
          <w:lang w:val="en-US"/>
        </w:rPr>
        <w:t>Repræsentant</w:t>
      </w:r>
    </w:p>
    <w:p w14:paraId="0ABC8091" w14:textId="77777777" w:rsidR="00024C71" w:rsidRDefault="00024C71" w:rsidP="00024C71">
      <w:pPr>
        <w:tabs>
          <w:tab w:val="left" w:pos="851"/>
        </w:tabs>
        <w:ind w:left="851"/>
        <w:rPr>
          <w:sz w:val="24"/>
          <w:szCs w:val="24"/>
          <w:lang w:val="en-US"/>
        </w:rPr>
      </w:pPr>
      <w:r>
        <w:rPr>
          <w:sz w:val="24"/>
          <w:szCs w:val="24"/>
          <w:lang w:val="en-US"/>
        </w:rPr>
        <w:t>Orion Pharma A/S</w:t>
      </w:r>
    </w:p>
    <w:p w14:paraId="7C9CE143" w14:textId="77777777" w:rsidR="00024C71" w:rsidRDefault="00024C71" w:rsidP="00024C71">
      <w:pPr>
        <w:tabs>
          <w:tab w:val="left" w:pos="851"/>
        </w:tabs>
        <w:ind w:left="851"/>
        <w:rPr>
          <w:sz w:val="24"/>
          <w:szCs w:val="24"/>
        </w:rPr>
      </w:pPr>
      <w:r>
        <w:rPr>
          <w:sz w:val="24"/>
          <w:szCs w:val="24"/>
        </w:rPr>
        <w:t>Ørestads Boulevard 73</w:t>
      </w:r>
    </w:p>
    <w:p w14:paraId="297AB616" w14:textId="77777777" w:rsidR="00024C71" w:rsidRDefault="00024C71" w:rsidP="00024C71">
      <w:pPr>
        <w:tabs>
          <w:tab w:val="left" w:pos="851"/>
        </w:tabs>
        <w:ind w:left="851"/>
        <w:rPr>
          <w:sz w:val="24"/>
          <w:szCs w:val="24"/>
        </w:rPr>
      </w:pPr>
      <w:r>
        <w:rPr>
          <w:sz w:val="24"/>
          <w:szCs w:val="24"/>
        </w:rPr>
        <w:t>2300 København S</w:t>
      </w:r>
    </w:p>
    <w:p w14:paraId="2720D3BF" w14:textId="77777777" w:rsidR="00641C65" w:rsidRPr="00641C65" w:rsidRDefault="00641C65" w:rsidP="009260DE">
      <w:pPr>
        <w:tabs>
          <w:tab w:val="left" w:pos="851"/>
        </w:tabs>
        <w:ind w:left="851"/>
        <w:rPr>
          <w:sz w:val="24"/>
          <w:szCs w:val="24"/>
        </w:rPr>
      </w:pPr>
    </w:p>
    <w:p w14:paraId="31681A9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14C7E346" w14:textId="77777777" w:rsidR="00024C71" w:rsidRPr="00024C71" w:rsidRDefault="00024C71" w:rsidP="00024C71">
      <w:pPr>
        <w:tabs>
          <w:tab w:val="left" w:pos="851"/>
        </w:tabs>
        <w:ind w:left="851"/>
        <w:jc w:val="both"/>
        <w:rPr>
          <w:sz w:val="24"/>
          <w:szCs w:val="24"/>
        </w:rPr>
      </w:pPr>
      <w:r w:rsidRPr="00024C71">
        <w:rPr>
          <w:sz w:val="24"/>
          <w:szCs w:val="24"/>
        </w:rPr>
        <w:t xml:space="preserve">1 mg/24 timer: </w:t>
      </w:r>
      <w:r w:rsidRPr="00024C71">
        <w:rPr>
          <w:sz w:val="24"/>
          <w:szCs w:val="24"/>
          <w:lang w:val="fr-LU"/>
        </w:rPr>
        <w:t>72577</w:t>
      </w:r>
    </w:p>
    <w:p w14:paraId="5366B8C3" w14:textId="77777777" w:rsidR="00024C71" w:rsidRPr="00024C71" w:rsidRDefault="00024C71" w:rsidP="00024C71">
      <w:pPr>
        <w:tabs>
          <w:tab w:val="left" w:pos="851"/>
        </w:tabs>
        <w:ind w:left="851"/>
        <w:jc w:val="both"/>
        <w:rPr>
          <w:sz w:val="24"/>
          <w:szCs w:val="24"/>
        </w:rPr>
      </w:pPr>
      <w:r w:rsidRPr="00024C71">
        <w:rPr>
          <w:sz w:val="24"/>
          <w:szCs w:val="24"/>
        </w:rPr>
        <w:t xml:space="preserve">2 mg/24 timer: </w:t>
      </w:r>
      <w:r w:rsidRPr="00024C71">
        <w:rPr>
          <w:sz w:val="24"/>
          <w:szCs w:val="24"/>
          <w:lang w:val="fr-LU"/>
        </w:rPr>
        <w:t>72578</w:t>
      </w:r>
    </w:p>
    <w:p w14:paraId="26CB03DB" w14:textId="77777777" w:rsidR="00024C71" w:rsidRPr="00024C71" w:rsidRDefault="00024C71" w:rsidP="00024C71">
      <w:pPr>
        <w:tabs>
          <w:tab w:val="left" w:pos="851"/>
        </w:tabs>
        <w:ind w:left="851"/>
        <w:jc w:val="both"/>
        <w:rPr>
          <w:sz w:val="24"/>
          <w:szCs w:val="24"/>
        </w:rPr>
      </w:pPr>
      <w:r w:rsidRPr="00024C71">
        <w:rPr>
          <w:sz w:val="24"/>
          <w:szCs w:val="24"/>
        </w:rPr>
        <w:t xml:space="preserve">3 mg/24 timer: </w:t>
      </w:r>
      <w:r w:rsidRPr="00024C71">
        <w:rPr>
          <w:sz w:val="24"/>
          <w:szCs w:val="24"/>
          <w:lang w:val="fr-LU"/>
        </w:rPr>
        <w:t>72579</w:t>
      </w:r>
    </w:p>
    <w:p w14:paraId="555FBB6E" w14:textId="77777777" w:rsidR="00024C71" w:rsidRPr="00024C71" w:rsidRDefault="00024C71" w:rsidP="00024C71">
      <w:pPr>
        <w:tabs>
          <w:tab w:val="left" w:pos="851"/>
        </w:tabs>
        <w:ind w:left="851"/>
        <w:jc w:val="both"/>
        <w:rPr>
          <w:sz w:val="24"/>
          <w:szCs w:val="24"/>
        </w:rPr>
      </w:pPr>
      <w:r w:rsidRPr="00024C71">
        <w:rPr>
          <w:sz w:val="24"/>
          <w:szCs w:val="24"/>
        </w:rPr>
        <w:t xml:space="preserve">4 mg/24 timer: </w:t>
      </w:r>
      <w:r w:rsidRPr="00024C71">
        <w:rPr>
          <w:sz w:val="24"/>
          <w:szCs w:val="24"/>
          <w:lang w:val="fr-LU"/>
        </w:rPr>
        <w:t>72580</w:t>
      </w:r>
    </w:p>
    <w:p w14:paraId="54A640C1" w14:textId="77777777" w:rsidR="00024C71" w:rsidRPr="00024C71" w:rsidRDefault="00024C71" w:rsidP="00024C71">
      <w:pPr>
        <w:tabs>
          <w:tab w:val="left" w:pos="851"/>
        </w:tabs>
        <w:ind w:left="851"/>
        <w:jc w:val="both"/>
        <w:rPr>
          <w:sz w:val="24"/>
          <w:szCs w:val="24"/>
        </w:rPr>
      </w:pPr>
      <w:r w:rsidRPr="00024C71">
        <w:rPr>
          <w:sz w:val="24"/>
          <w:szCs w:val="24"/>
        </w:rPr>
        <w:t xml:space="preserve">6 mg/24 timer: </w:t>
      </w:r>
      <w:r w:rsidRPr="00024C71">
        <w:rPr>
          <w:sz w:val="24"/>
          <w:szCs w:val="24"/>
          <w:lang w:val="fr-LU"/>
        </w:rPr>
        <w:t>72581</w:t>
      </w:r>
    </w:p>
    <w:p w14:paraId="090F0522" w14:textId="77777777" w:rsidR="00024C71" w:rsidRPr="00024C71" w:rsidRDefault="00024C71" w:rsidP="00024C71">
      <w:pPr>
        <w:tabs>
          <w:tab w:val="left" w:pos="851"/>
        </w:tabs>
        <w:ind w:left="851"/>
        <w:jc w:val="both"/>
        <w:rPr>
          <w:sz w:val="24"/>
          <w:szCs w:val="24"/>
        </w:rPr>
      </w:pPr>
      <w:r w:rsidRPr="00024C71">
        <w:rPr>
          <w:sz w:val="24"/>
          <w:szCs w:val="24"/>
        </w:rPr>
        <w:t xml:space="preserve">8 mg/24 timer: </w:t>
      </w:r>
      <w:r w:rsidRPr="00024C71">
        <w:rPr>
          <w:sz w:val="24"/>
          <w:szCs w:val="24"/>
          <w:lang w:val="fr-LU"/>
        </w:rPr>
        <w:t>72582</w:t>
      </w:r>
    </w:p>
    <w:p w14:paraId="5F05A69D" w14:textId="77777777" w:rsidR="009260DE" w:rsidRPr="00C84483" w:rsidRDefault="009260DE" w:rsidP="009260DE">
      <w:pPr>
        <w:tabs>
          <w:tab w:val="left" w:pos="851"/>
        </w:tabs>
        <w:ind w:left="851"/>
        <w:jc w:val="both"/>
        <w:rPr>
          <w:sz w:val="24"/>
          <w:szCs w:val="24"/>
        </w:rPr>
      </w:pPr>
    </w:p>
    <w:p w14:paraId="76D5AD86"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E6EF260" w14:textId="2B7CC138" w:rsidR="009260DE" w:rsidRPr="00C84483" w:rsidRDefault="00ED5835" w:rsidP="009260DE">
      <w:pPr>
        <w:tabs>
          <w:tab w:val="left" w:pos="851"/>
        </w:tabs>
        <w:ind w:left="851"/>
        <w:rPr>
          <w:sz w:val="24"/>
          <w:szCs w:val="24"/>
        </w:rPr>
      </w:pPr>
      <w:r>
        <w:rPr>
          <w:sz w:val="24"/>
          <w:szCs w:val="24"/>
        </w:rPr>
        <w:t>22. januar 2026</w:t>
      </w:r>
    </w:p>
    <w:p w14:paraId="01554118" w14:textId="77777777" w:rsidR="009260DE" w:rsidRPr="00C84483" w:rsidRDefault="009260DE" w:rsidP="009260DE">
      <w:pPr>
        <w:tabs>
          <w:tab w:val="left" w:pos="851"/>
        </w:tabs>
        <w:ind w:left="851"/>
        <w:rPr>
          <w:sz w:val="24"/>
          <w:szCs w:val="24"/>
        </w:rPr>
      </w:pPr>
    </w:p>
    <w:p w14:paraId="3EAEDEB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5A286F1" w14:textId="37270408" w:rsidR="009260DE" w:rsidRPr="00C84483" w:rsidRDefault="00024C71"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2F55C" w14:textId="77777777" w:rsidR="00125216" w:rsidRDefault="00125216">
      <w:r>
        <w:separator/>
      </w:r>
    </w:p>
  </w:endnote>
  <w:endnote w:type="continuationSeparator" w:id="0">
    <w:p w14:paraId="43E110CA" w14:textId="77777777" w:rsidR="00125216" w:rsidRDefault="0012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03DE" w14:textId="77777777" w:rsidR="00125216" w:rsidRDefault="00125216">
    <w:pPr>
      <w:pStyle w:val="Sidefod"/>
      <w:pBdr>
        <w:bottom w:val="single" w:sz="6" w:space="1" w:color="auto"/>
      </w:pBdr>
    </w:pPr>
  </w:p>
  <w:p w14:paraId="17A445E6" w14:textId="77777777" w:rsidR="00125216" w:rsidRDefault="00125216" w:rsidP="00C42586">
    <w:pPr>
      <w:pStyle w:val="Sidefod"/>
      <w:tabs>
        <w:tab w:val="clear" w:pos="4819"/>
        <w:tab w:val="left" w:pos="8505"/>
      </w:tabs>
      <w:rPr>
        <w:i/>
        <w:sz w:val="18"/>
        <w:szCs w:val="18"/>
      </w:rPr>
    </w:pPr>
  </w:p>
  <w:p w14:paraId="141A51C3" w14:textId="1C33256F" w:rsidR="00125216" w:rsidRPr="00B373D7" w:rsidRDefault="0012521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Kinparlev, depotplastre 1 mg-24 timer, 2 mg-24 timer, 3 mg-24 timer, 4 mg-24 timer, 6 mg-24 timer og 8 mg-24 timer</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588A2" w14:textId="77777777" w:rsidR="00125216" w:rsidRDefault="00125216">
      <w:r>
        <w:separator/>
      </w:r>
    </w:p>
  </w:footnote>
  <w:footnote w:type="continuationSeparator" w:id="0">
    <w:p w14:paraId="583C12F7" w14:textId="77777777" w:rsidR="00125216" w:rsidRDefault="00125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24"/>
    <w:rsid w:val="00024C71"/>
    <w:rsid w:val="000259B9"/>
    <w:rsid w:val="00041491"/>
    <w:rsid w:val="00050D16"/>
    <w:rsid w:val="000730CA"/>
    <w:rsid w:val="00074F2A"/>
    <w:rsid w:val="000A1CA8"/>
    <w:rsid w:val="000A466B"/>
    <w:rsid w:val="000B058C"/>
    <w:rsid w:val="000D68B0"/>
    <w:rsid w:val="000E4EE6"/>
    <w:rsid w:val="00125216"/>
    <w:rsid w:val="001454E2"/>
    <w:rsid w:val="00160861"/>
    <w:rsid w:val="00206CE8"/>
    <w:rsid w:val="0021526C"/>
    <w:rsid w:val="00252971"/>
    <w:rsid w:val="00283A2B"/>
    <w:rsid w:val="002B30AD"/>
    <w:rsid w:val="002C1EC0"/>
    <w:rsid w:val="002C2C01"/>
    <w:rsid w:val="003A29AE"/>
    <w:rsid w:val="003A32D7"/>
    <w:rsid w:val="003B4074"/>
    <w:rsid w:val="003C769A"/>
    <w:rsid w:val="003D3A90"/>
    <w:rsid w:val="003F1838"/>
    <w:rsid w:val="00402B00"/>
    <w:rsid w:val="004251C1"/>
    <w:rsid w:val="0045746C"/>
    <w:rsid w:val="0049104B"/>
    <w:rsid w:val="004E3B12"/>
    <w:rsid w:val="00532310"/>
    <w:rsid w:val="0054190B"/>
    <w:rsid w:val="00565F0F"/>
    <w:rsid w:val="00594A86"/>
    <w:rsid w:val="00596D86"/>
    <w:rsid w:val="00637F5A"/>
    <w:rsid w:val="00641C65"/>
    <w:rsid w:val="006560B1"/>
    <w:rsid w:val="00660899"/>
    <w:rsid w:val="0066532D"/>
    <w:rsid w:val="006756DD"/>
    <w:rsid w:val="0071241E"/>
    <w:rsid w:val="00737275"/>
    <w:rsid w:val="00740EEC"/>
    <w:rsid w:val="0078011A"/>
    <w:rsid w:val="00782AF4"/>
    <w:rsid w:val="00790EE7"/>
    <w:rsid w:val="007B6649"/>
    <w:rsid w:val="0082576E"/>
    <w:rsid w:val="0089346F"/>
    <w:rsid w:val="008F30A9"/>
    <w:rsid w:val="00907F75"/>
    <w:rsid w:val="009260DE"/>
    <w:rsid w:val="0093258A"/>
    <w:rsid w:val="009A130B"/>
    <w:rsid w:val="009C7BA3"/>
    <w:rsid w:val="009D1F5A"/>
    <w:rsid w:val="00A10294"/>
    <w:rsid w:val="00B003BF"/>
    <w:rsid w:val="00B373D7"/>
    <w:rsid w:val="00B55271"/>
    <w:rsid w:val="00BD7931"/>
    <w:rsid w:val="00BF6243"/>
    <w:rsid w:val="00C36276"/>
    <w:rsid w:val="00C42586"/>
    <w:rsid w:val="00C45F6B"/>
    <w:rsid w:val="00C60CCD"/>
    <w:rsid w:val="00C71195"/>
    <w:rsid w:val="00C821D5"/>
    <w:rsid w:val="00C84483"/>
    <w:rsid w:val="00C95551"/>
    <w:rsid w:val="00CB20D7"/>
    <w:rsid w:val="00D020B0"/>
    <w:rsid w:val="00D11748"/>
    <w:rsid w:val="00D237F6"/>
    <w:rsid w:val="00D34D98"/>
    <w:rsid w:val="00D366CF"/>
    <w:rsid w:val="00D93992"/>
    <w:rsid w:val="00E108AA"/>
    <w:rsid w:val="00E3749A"/>
    <w:rsid w:val="00E7437F"/>
    <w:rsid w:val="00E865B8"/>
    <w:rsid w:val="00EA4E24"/>
    <w:rsid w:val="00EC0B9B"/>
    <w:rsid w:val="00ED5835"/>
    <w:rsid w:val="00ED5E9F"/>
    <w:rsid w:val="00F4259E"/>
    <w:rsid w:val="00F66D4F"/>
    <w:rsid w:val="00F87B15"/>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596FA"/>
  <w15:chartTrackingRefBased/>
  <w15:docId w15:val="{E15EDBE6-B67B-4803-AF18-683FC96A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C7119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0632">
      <w:bodyDiv w:val="1"/>
      <w:marLeft w:val="0"/>
      <w:marRight w:val="0"/>
      <w:marTop w:val="0"/>
      <w:marBottom w:val="0"/>
      <w:divBdr>
        <w:top w:val="none" w:sz="0" w:space="0" w:color="auto"/>
        <w:left w:val="none" w:sz="0" w:space="0" w:color="auto"/>
        <w:bottom w:val="none" w:sz="0" w:space="0" w:color="auto"/>
        <w:right w:val="none" w:sz="0" w:space="0" w:color="auto"/>
      </w:divBdr>
    </w:div>
    <w:div w:id="76441745">
      <w:bodyDiv w:val="1"/>
      <w:marLeft w:val="0"/>
      <w:marRight w:val="0"/>
      <w:marTop w:val="0"/>
      <w:marBottom w:val="0"/>
      <w:divBdr>
        <w:top w:val="none" w:sz="0" w:space="0" w:color="auto"/>
        <w:left w:val="none" w:sz="0" w:space="0" w:color="auto"/>
        <w:bottom w:val="none" w:sz="0" w:space="0" w:color="auto"/>
        <w:right w:val="none" w:sz="0" w:space="0" w:color="auto"/>
      </w:divBdr>
    </w:div>
    <w:div w:id="15337936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8152907">
      <w:bodyDiv w:val="1"/>
      <w:marLeft w:val="0"/>
      <w:marRight w:val="0"/>
      <w:marTop w:val="0"/>
      <w:marBottom w:val="0"/>
      <w:divBdr>
        <w:top w:val="none" w:sz="0" w:space="0" w:color="auto"/>
        <w:left w:val="none" w:sz="0" w:space="0" w:color="auto"/>
        <w:bottom w:val="none" w:sz="0" w:space="0" w:color="auto"/>
        <w:right w:val="none" w:sz="0" w:space="0" w:color="auto"/>
      </w:divBdr>
    </w:div>
    <w:div w:id="225653761">
      <w:bodyDiv w:val="1"/>
      <w:marLeft w:val="0"/>
      <w:marRight w:val="0"/>
      <w:marTop w:val="0"/>
      <w:marBottom w:val="0"/>
      <w:divBdr>
        <w:top w:val="none" w:sz="0" w:space="0" w:color="auto"/>
        <w:left w:val="none" w:sz="0" w:space="0" w:color="auto"/>
        <w:bottom w:val="none" w:sz="0" w:space="0" w:color="auto"/>
        <w:right w:val="none" w:sz="0" w:space="0" w:color="auto"/>
      </w:divBdr>
    </w:div>
    <w:div w:id="231045885">
      <w:bodyDiv w:val="1"/>
      <w:marLeft w:val="0"/>
      <w:marRight w:val="0"/>
      <w:marTop w:val="0"/>
      <w:marBottom w:val="0"/>
      <w:divBdr>
        <w:top w:val="none" w:sz="0" w:space="0" w:color="auto"/>
        <w:left w:val="none" w:sz="0" w:space="0" w:color="auto"/>
        <w:bottom w:val="none" w:sz="0" w:space="0" w:color="auto"/>
        <w:right w:val="none" w:sz="0" w:space="0" w:color="auto"/>
      </w:divBdr>
    </w:div>
    <w:div w:id="264922146">
      <w:bodyDiv w:val="1"/>
      <w:marLeft w:val="0"/>
      <w:marRight w:val="0"/>
      <w:marTop w:val="0"/>
      <w:marBottom w:val="0"/>
      <w:divBdr>
        <w:top w:val="none" w:sz="0" w:space="0" w:color="auto"/>
        <w:left w:val="none" w:sz="0" w:space="0" w:color="auto"/>
        <w:bottom w:val="none" w:sz="0" w:space="0" w:color="auto"/>
        <w:right w:val="none" w:sz="0" w:space="0" w:color="auto"/>
      </w:divBdr>
    </w:div>
    <w:div w:id="271329715">
      <w:bodyDiv w:val="1"/>
      <w:marLeft w:val="0"/>
      <w:marRight w:val="0"/>
      <w:marTop w:val="0"/>
      <w:marBottom w:val="0"/>
      <w:divBdr>
        <w:top w:val="none" w:sz="0" w:space="0" w:color="auto"/>
        <w:left w:val="none" w:sz="0" w:space="0" w:color="auto"/>
        <w:bottom w:val="none" w:sz="0" w:space="0" w:color="auto"/>
        <w:right w:val="none" w:sz="0" w:space="0" w:color="auto"/>
      </w:divBdr>
    </w:div>
    <w:div w:id="383020994">
      <w:bodyDiv w:val="1"/>
      <w:marLeft w:val="0"/>
      <w:marRight w:val="0"/>
      <w:marTop w:val="0"/>
      <w:marBottom w:val="0"/>
      <w:divBdr>
        <w:top w:val="none" w:sz="0" w:space="0" w:color="auto"/>
        <w:left w:val="none" w:sz="0" w:space="0" w:color="auto"/>
        <w:bottom w:val="none" w:sz="0" w:space="0" w:color="auto"/>
        <w:right w:val="none" w:sz="0" w:space="0" w:color="auto"/>
      </w:divBdr>
    </w:div>
    <w:div w:id="405954824">
      <w:bodyDiv w:val="1"/>
      <w:marLeft w:val="0"/>
      <w:marRight w:val="0"/>
      <w:marTop w:val="0"/>
      <w:marBottom w:val="0"/>
      <w:divBdr>
        <w:top w:val="none" w:sz="0" w:space="0" w:color="auto"/>
        <w:left w:val="none" w:sz="0" w:space="0" w:color="auto"/>
        <w:bottom w:val="none" w:sz="0" w:space="0" w:color="auto"/>
        <w:right w:val="none" w:sz="0" w:space="0" w:color="auto"/>
      </w:divBdr>
    </w:div>
    <w:div w:id="500120236">
      <w:bodyDiv w:val="1"/>
      <w:marLeft w:val="0"/>
      <w:marRight w:val="0"/>
      <w:marTop w:val="0"/>
      <w:marBottom w:val="0"/>
      <w:divBdr>
        <w:top w:val="none" w:sz="0" w:space="0" w:color="auto"/>
        <w:left w:val="none" w:sz="0" w:space="0" w:color="auto"/>
        <w:bottom w:val="none" w:sz="0" w:space="0" w:color="auto"/>
        <w:right w:val="none" w:sz="0" w:space="0" w:color="auto"/>
      </w:divBdr>
    </w:div>
    <w:div w:id="526065040">
      <w:bodyDiv w:val="1"/>
      <w:marLeft w:val="0"/>
      <w:marRight w:val="0"/>
      <w:marTop w:val="0"/>
      <w:marBottom w:val="0"/>
      <w:divBdr>
        <w:top w:val="none" w:sz="0" w:space="0" w:color="auto"/>
        <w:left w:val="none" w:sz="0" w:space="0" w:color="auto"/>
        <w:bottom w:val="none" w:sz="0" w:space="0" w:color="auto"/>
        <w:right w:val="none" w:sz="0" w:space="0" w:color="auto"/>
      </w:divBdr>
    </w:div>
    <w:div w:id="649360280">
      <w:bodyDiv w:val="1"/>
      <w:marLeft w:val="0"/>
      <w:marRight w:val="0"/>
      <w:marTop w:val="0"/>
      <w:marBottom w:val="0"/>
      <w:divBdr>
        <w:top w:val="none" w:sz="0" w:space="0" w:color="auto"/>
        <w:left w:val="none" w:sz="0" w:space="0" w:color="auto"/>
        <w:bottom w:val="none" w:sz="0" w:space="0" w:color="auto"/>
        <w:right w:val="none" w:sz="0" w:space="0" w:color="auto"/>
      </w:divBdr>
    </w:div>
    <w:div w:id="654458306">
      <w:bodyDiv w:val="1"/>
      <w:marLeft w:val="0"/>
      <w:marRight w:val="0"/>
      <w:marTop w:val="0"/>
      <w:marBottom w:val="0"/>
      <w:divBdr>
        <w:top w:val="none" w:sz="0" w:space="0" w:color="auto"/>
        <w:left w:val="none" w:sz="0" w:space="0" w:color="auto"/>
        <w:bottom w:val="none" w:sz="0" w:space="0" w:color="auto"/>
        <w:right w:val="none" w:sz="0" w:space="0" w:color="auto"/>
      </w:divBdr>
    </w:div>
    <w:div w:id="711150700">
      <w:bodyDiv w:val="1"/>
      <w:marLeft w:val="0"/>
      <w:marRight w:val="0"/>
      <w:marTop w:val="0"/>
      <w:marBottom w:val="0"/>
      <w:divBdr>
        <w:top w:val="none" w:sz="0" w:space="0" w:color="auto"/>
        <w:left w:val="none" w:sz="0" w:space="0" w:color="auto"/>
        <w:bottom w:val="none" w:sz="0" w:space="0" w:color="auto"/>
        <w:right w:val="none" w:sz="0" w:space="0" w:color="auto"/>
      </w:divBdr>
    </w:div>
    <w:div w:id="802889451">
      <w:bodyDiv w:val="1"/>
      <w:marLeft w:val="0"/>
      <w:marRight w:val="0"/>
      <w:marTop w:val="0"/>
      <w:marBottom w:val="0"/>
      <w:divBdr>
        <w:top w:val="none" w:sz="0" w:space="0" w:color="auto"/>
        <w:left w:val="none" w:sz="0" w:space="0" w:color="auto"/>
        <w:bottom w:val="none" w:sz="0" w:space="0" w:color="auto"/>
        <w:right w:val="none" w:sz="0" w:space="0" w:color="auto"/>
      </w:divBdr>
    </w:div>
    <w:div w:id="884411628">
      <w:bodyDiv w:val="1"/>
      <w:marLeft w:val="0"/>
      <w:marRight w:val="0"/>
      <w:marTop w:val="0"/>
      <w:marBottom w:val="0"/>
      <w:divBdr>
        <w:top w:val="none" w:sz="0" w:space="0" w:color="auto"/>
        <w:left w:val="none" w:sz="0" w:space="0" w:color="auto"/>
        <w:bottom w:val="none" w:sz="0" w:space="0" w:color="auto"/>
        <w:right w:val="none" w:sz="0" w:space="0" w:color="auto"/>
      </w:divBdr>
    </w:div>
    <w:div w:id="908228555">
      <w:bodyDiv w:val="1"/>
      <w:marLeft w:val="0"/>
      <w:marRight w:val="0"/>
      <w:marTop w:val="0"/>
      <w:marBottom w:val="0"/>
      <w:divBdr>
        <w:top w:val="none" w:sz="0" w:space="0" w:color="auto"/>
        <w:left w:val="none" w:sz="0" w:space="0" w:color="auto"/>
        <w:bottom w:val="none" w:sz="0" w:space="0" w:color="auto"/>
        <w:right w:val="none" w:sz="0" w:space="0" w:color="auto"/>
      </w:divBdr>
    </w:div>
    <w:div w:id="958222180">
      <w:bodyDiv w:val="1"/>
      <w:marLeft w:val="0"/>
      <w:marRight w:val="0"/>
      <w:marTop w:val="0"/>
      <w:marBottom w:val="0"/>
      <w:divBdr>
        <w:top w:val="none" w:sz="0" w:space="0" w:color="auto"/>
        <w:left w:val="none" w:sz="0" w:space="0" w:color="auto"/>
        <w:bottom w:val="none" w:sz="0" w:space="0" w:color="auto"/>
        <w:right w:val="none" w:sz="0" w:space="0" w:color="auto"/>
      </w:divBdr>
    </w:div>
    <w:div w:id="1021662916">
      <w:bodyDiv w:val="1"/>
      <w:marLeft w:val="0"/>
      <w:marRight w:val="0"/>
      <w:marTop w:val="0"/>
      <w:marBottom w:val="0"/>
      <w:divBdr>
        <w:top w:val="none" w:sz="0" w:space="0" w:color="auto"/>
        <w:left w:val="none" w:sz="0" w:space="0" w:color="auto"/>
        <w:bottom w:val="none" w:sz="0" w:space="0" w:color="auto"/>
        <w:right w:val="none" w:sz="0" w:space="0" w:color="auto"/>
      </w:divBdr>
    </w:div>
    <w:div w:id="1061060102">
      <w:bodyDiv w:val="1"/>
      <w:marLeft w:val="0"/>
      <w:marRight w:val="0"/>
      <w:marTop w:val="0"/>
      <w:marBottom w:val="0"/>
      <w:divBdr>
        <w:top w:val="none" w:sz="0" w:space="0" w:color="auto"/>
        <w:left w:val="none" w:sz="0" w:space="0" w:color="auto"/>
        <w:bottom w:val="none" w:sz="0" w:space="0" w:color="auto"/>
        <w:right w:val="none" w:sz="0" w:space="0" w:color="auto"/>
      </w:divBdr>
    </w:div>
    <w:div w:id="1156146497">
      <w:bodyDiv w:val="1"/>
      <w:marLeft w:val="0"/>
      <w:marRight w:val="0"/>
      <w:marTop w:val="0"/>
      <w:marBottom w:val="0"/>
      <w:divBdr>
        <w:top w:val="none" w:sz="0" w:space="0" w:color="auto"/>
        <w:left w:val="none" w:sz="0" w:space="0" w:color="auto"/>
        <w:bottom w:val="none" w:sz="0" w:space="0" w:color="auto"/>
        <w:right w:val="none" w:sz="0" w:space="0" w:color="auto"/>
      </w:divBdr>
    </w:div>
    <w:div w:id="1217085624">
      <w:bodyDiv w:val="1"/>
      <w:marLeft w:val="0"/>
      <w:marRight w:val="0"/>
      <w:marTop w:val="0"/>
      <w:marBottom w:val="0"/>
      <w:divBdr>
        <w:top w:val="none" w:sz="0" w:space="0" w:color="auto"/>
        <w:left w:val="none" w:sz="0" w:space="0" w:color="auto"/>
        <w:bottom w:val="none" w:sz="0" w:space="0" w:color="auto"/>
        <w:right w:val="none" w:sz="0" w:space="0" w:color="auto"/>
      </w:divBdr>
    </w:div>
    <w:div w:id="1277180952">
      <w:bodyDiv w:val="1"/>
      <w:marLeft w:val="0"/>
      <w:marRight w:val="0"/>
      <w:marTop w:val="0"/>
      <w:marBottom w:val="0"/>
      <w:divBdr>
        <w:top w:val="none" w:sz="0" w:space="0" w:color="auto"/>
        <w:left w:val="none" w:sz="0" w:space="0" w:color="auto"/>
        <w:bottom w:val="none" w:sz="0" w:space="0" w:color="auto"/>
        <w:right w:val="none" w:sz="0" w:space="0" w:color="auto"/>
      </w:divBdr>
    </w:div>
    <w:div w:id="1491403011">
      <w:bodyDiv w:val="1"/>
      <w:marLeft w:val="0"/>
      <w:marRight w:val="0"/>
      <w:marTop w:val="0"/>
      <w:marBottom w:val="0"/>
      <w:divBdr>
        <w:top w:val="none" w:sz="0" w:space="0" w:color="auto"/>
        <w:left w:val="none" w:sz="0" w:space="0" w:color="auto"/>
        <w:bottom w:val="none" w:sz="0" w:space="0" w:color="auto"/>
        <w:right w:val="none" w:sz="0" w:space="0" w:color="auto"/>
      </w:divBdr>
    </w:div>
    <w:div w:id="1503200367">
      <w:bodyDiv w:val="1"/>
      <w:marLeft w:val="0"/>
      <w:marRight w:val="0"/>
      <w:marTop w:val="0"/>
      <w:marBottom w:val="0"/>
      <w:divBdr>
        <w:top w:val="none" w:sz="0" w:space="0" w:color="auto"/>
        <w:left w:val="none" w:sz="0" w:space="0" w:color="auto"/>
        <w:bottom w:val="none" w:sz="0" w:space="0" w:color="auto"/>
        <w:right w:val="none" w:sz="0" w:space="0" w:color="auto"/>
      </w:divBdr>
    </w:div>
    <w:div w:id="1620530779">
      <w:bodyDiv w:val="1"/>
      <w:marLeft w:val="0"/>
      <w:marRight w:val="0"/>
      <w:marTop w:val="0"/>
      <w:marBottom w:val="0"/>
      <w:divBdr>
        <w:top w:val="none" w:sz="0" w:space="0" w:color="auto"/>
        <w:left w:val="none" w:sz="0" w:space="0" w:color="auto"/>
        <w:bottom w:val="none" w:sz="0" w:space="0" w:color="auto"/>
        <w:right w:val="none" w:sz="0" w:space="0" w:color="auto"/>
      </w:divBdr>
    </w:div>
    <w:div w:id="1652253530">
      <w:bodyDiv w:val="1"/>
      <w:marLeft w:val="0"/>
      <w:marRight w:val="0"/>
      <w:marTop w:val="0"/>
      <w:marBottom w:val="0"/>
      <w:divBdr>
        <w:top w:val="none" w:sz="0" w:space="0" w:color="auto"/>
        <w:left w:val="none" w:sz="0" w:space="0" w:color="auto"/>
        <w:bottom w:val="none" w:sz="0" w:space="0" w:color="auto"/>
        <w:right w:val="none" w:sz="0" w:space="0" w:color="auto"/>
      </w:divBdr>
    </w:div>
    <w:div w:id="1728918652">
      <w:bodyDiv w:val="1"/>
      <w:marLeft w:val="0"/>
      <w:marRight w:val="0"/>
      <w:marTop w:val="0"/>
      <w:marBottom w:val="0"/>
      <w:divBdr>
        <w:top w:val="none" w:sz="0" w:space="0" w:color="auto"/>
        <w:left w:val="none" w:sz="0" w:space="0" w:color="auto"/>
        <w:bottom w:val="none" w:sz="0" w:space="0" w:color="auto"/>
        <w:right w:val="none" w:sz="0" w:space="0" w:color="auto"/>
      </w:divBdr>
    </w:div>
    <w:div w:id="1729301269">
      <w:bodyDiv w:val="1"/>
      <w:marLeft w:val="0"/>
      <w:marRight w:val="0"/>
      <w:marTop w:val="0"/>
      <w:marBottom w:val="0"/>
      <w:divBdr>
        <w:top w:val="none" w:sz="0" w:space="0" w:color="auto"/>
        <w:left w:val="none" w:sz="0" w:space="0" w:color="auto"/>
        <w:bottom w:val="none" w:sz="0" w:space="0" w:color="auto"/>
        <w:right w:val="none" w:sz="0" w:space="0" w:color="auto"/>
      </w:divBdr>
    </w:div>
    <w:div w:id="1733842695">
      <w:bodyDiv w:val="1"/>
      <w:marLeft w:val="0"/>
      <w:marRight w:val="0"/>
      <w:marTop w:val="0"/>
      <w:marBottom w:val="0"/>
      <w:divBdr>
        <w:top w:val="none" w:sz="0" w:space="0" w:color="auto"/>
        <w:left w:val="none" w:sz="0" w:space="0" w:color="auto"/>
        <w:bottom w:val="none" w:sz="0" w:space="0" w:color="auto"/>
        <w:right w:val="none" w:sz="0" w:space="0" w:color="auto"/>
      </w:divBdr>
    </w:div>
    <w:div w:id="1774668346">
      <w:bodyDiv w:val="1"/>
      <w:marLeft w:val="0"/>
      <w:marRight w:val="0"/>
      <w:marTop w:val="0"/>
      <w:marBottom w:val="0"/>
      <w:divBdr>
        <w:top w:val="none" w:sz="0" w:space="0" w:color="auto"/>
        <w:left w:val="none" w:sz="0" w:space="0" w:color="auto"/>
        <w:bottom w:val="none" w:sz="0" w:space="0" w:color="auto"/>
        <w:right w:val="none" w:sz="0" w:space="0" w:color="auto"/>
      </w:divBdr>
    </w:div>
    <w:div w:id="1797484152">
      <w:bodyDiv w:val="1"/>
      <w:marLeft w:val="0"/>
      <w:marRight w:val="0"/>
      <w:marTop w:val="0"/>
      <w:marBottom w:val="0"/>
      <w:divBdr>
        <w:top w:val="none" w:sz="0" w:space="0" w:color="auto"/>
        <w:left w:val="none" w:sz="0" w:space="0" w:color="auto"/>
        <w:bottom w:val="none" w:sz="0" w:space="0" w:color="auto"/>
        <w:right w:val="none" w:sz="0" w:space="0" w:color="auto"/>
      </w:divBdr>
    </w:div>
    <w:div w:id="1820414638">
      <w:bodyDiv w:val="1"/>
      <w:marLeft w:val="0"/>
      <w:marRight w:val="0"/>
      <w:marTop w:val="0"/>
      <w:marBottom w:val="0"/>
      <w:divBdr>
        <w:top w:val="none" w:sz="0" w:space="0" w:color="auto"/>
        <w:left w:val="none" w:sz="0" w:space="0" w:color="auto"/>
        <w:bottom w:val="none" w:sz="0" w:space="0" w:color="auto"/>
        <w:right w:val="none" w:sz="0" w:space="0" w:color="auto"/>
      </w:divBdr>
    </w:div>
    <w:div w:id="1931542547">
      <w:bodyDiv w:val="1"/>
      <w:marLeft w:val="0"/>
      <w:marRight w:val="0"/>
      <w:marTop w:val="0"/>
      <w:marBottom w:val="0"/>
      <w:divBdr>
        <w:top w:val="none" w:sz="0" w:space="0" w:color="auto"/>
        <w:left w:val="none" w:sz="0" w:space="0" w:color="auto"/>
        <w:bottom w:val="none" w:sz="0" w:space="0" w:color="auto"/>
        <w:right w:val="none" w:sz="0" w:space="0" w:color="auto"/>
      </w:divBdr>
    </w:div>
    <w:div w:id="1946688164">
      <w:bodyDiv w:val="1"/>
      <w:marLeft w:val="0"/>
      <w:marRight w:val="0"/>
      <w:marTop w:val="0"/>
      <w:marBottom w:val="0"/>
      <w:divBdr>
        <w:top w:val="none" w:sz="0" w:space="0" w:color="auto"/>
        <w:left w:val="none" w:sz="0" w:space="0" w:color="auto"/>
        <w:bottom w:val="none" w:sz="0" w:space="0" w:color="auto"/>
        <w:right w:val="none" w:sz="0" w:space="0" w:color="auto"/>
      </w:divBdr>
    </w:div>
    <w:div w:id="1964069371">
      <w:bodyDiv w:val="1"/>
      <w:marLeft w:val="0"/>
      <w:marRight w:val="0"/>
      <w:marTop w:val="0"/>
      <w:marBottom w:val="0"/>
      <w:divBdr>
        <w:top w:val="none" w:sz="0" w:space="0" w:color="auto"/>
        <w:left w:val="none" w:sz="0" w:space="0" w:color="auto"/>
        <w:bottom w:val="none" w:sz="0" w:space="0" w:color="auto"/>
        <w:right w:val="none" w:sz="0" w:space="0" w:color="auto"/>
      </w:divBdr>
    </w:div>
    <w:div w:id="19940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127</TotalTime>
  <Pages>21</Pages>
  <Words>6582</Words>
  <Characters>41970</Characters>
  <Application>Microsoft Office Word</Application>
  <DocSecurity>0</DocSecurity>
  <Lines>349</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2024094347 mt</dc:description>
  <cp:lastModifiedBy>Hanne Thy Iversen</cp:lastModifiedBy>
  <cp:revision>12</cp:revision>
  <cp:lastPrinted>2012-08-22T08:53:00Z</cp:lastPrinted>
  <dcterms:created xsi:type="dcterms:W3CDTF">2026-01-22T10:03:00Z</dcterms:created>
  <dcterms:modified xsi:type="dcterms:W3CDTF">2026-01-22T12:33:00Z</dcterms:modified>
</cp:coreProperties>
</file>