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2B" w:rsidRPr="00955972" w:rsidRDefault="004B552B" w:rsidP="004B552B">
      <w:r>
        <w:rPr>
          <w:noProof/>
          <w:lang w:eastAsia="da-DK"/>
        </w:rPr>
        <w:drawing>
          <wp:inline distT="0" distB="0" distL="0" distR="0" wp14:anchorId="32D9F788" wp14:editId="6EF9DBA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97EDC" w:rsidRDefault="00497EDC" w:rsidP="00497EDC">
      <w:pPr>
        <w:tabs>
          <w:tab w:val="right" w:pos="9356"/>
        </w:tabs>
        <w:rPr>
          <w:sz w:val="24"/>
          <w:szCs w:val="24"/>
        </w:rPr>
      </w:pPr>
    </w:p>
    <w:p w:rsidR="00B81614" w:rsidRDefault="00B81614" w:rsidP="004B552B">
      <w:pPr>
        <w:tabs>
          <w:tab w:val="right" w:pos="9356"/>
        </w:tabs>
        <w:jc w:val="right"/>
        <w:rPr>
          <w:b/>
          <w:sz w:val="24"/>
          <w:szCs w:val="24"/>
        </w:rPr>
      </w:pPr>
    </w:p>
    <w:p w:rsidR="004B552B" w:rsidRDefault="00B81614" w:rsidP="004B552B">
      <w:pPr>
        <w:tabs>
          <w:tab w:val="right" w:pos="9356"/>
        </w:tabs>
        <w:jc w:val="right"/>
        <w:rPr>
          <w:b/>
          <w:sz w:val="24"/>
          <w:szCs w:val="24"/>
        </w:rPr>
      </w:pPr>
      <w:r>
        <w:rPr>
          <w:b/>
          <w:sz w:val="24"/>
          <w:szCs w:val="24"/>
        </w:rPr>
        <w:t>14. december 2024</w:t>
      </w:r>
    </w:p>
    <w:p w:rsidR="004B552B" w:rsidRPr="004B552B" w:rsidRDefault="004B552B" w:rsidP="00497EDC">
      <w:pPr>
        <w:tabs>
          <w:tab w:val="right" w:pos="9356"/>
        </w:tabs>
        <w:rPr>
          <w:sz w:val="24"/>
          <w:szCs w:val="24"/>
        </w:rPr>
      </w:pPr>
    </w:p>
    <w:p w:rsidR="004B552B" w:rsidRPr="004B552B" w:rsidRDefault="004B552B" w:rsidP="00497EDC">
      <w:pPr>
        <w:tabs>
          <w:tab w:val="right" w:pos="9356"/>
        </w:tabs>
        <w:rPr>
          <w:sz w:val="24"/>
          <w:szCs w:val="24"/>
        </w:rPr>
      </w:pPr>
    </w:p>
    <w:p w:rsidR="004B552B" w:rsidRPr="004B552B" w:rsidRDefault="004B552B" w:rsidP="00497EDC">
      <w:pPr>
        <w:tabs>
          <w:tab w:val="right" w:pos="9356"/>
        </w:tabs>
        <w:rPr>
          <w:sz w:val="24"/>
          <w:szCs w:val="24"/>
        </w:rPr>
      </w:pPr>
    </w:p>
    <w:p w:rsidR="00497EDC" w:rsidRPr="00C84483" w:rsidRDefault="00497EDC" w:rsidP="00497EDC">
      <w:pPr>
        <w:jc w:val="center"/>
        <w:rPr>
          <w:b/>
          <w:sz w:val="24"/>
          <w:szCs w:val="24"/>
        </w:rPr>
      </w:pPr>
      <w:r w:rsidRPr="00C84483">
        <w:rPr>
          <w:b/>
          <w:sz w:val="24"/>
          <w:szCs w:val="24"/>
        </w:rPr>
        <w:t>PRODUKTRESUMÉ</w:t>
      </w:r>
    </w:p>
    <w:p w:rsidR="00497EDC" w:rsidRPr="00C84483" w:rsidRDefault="00497EDC" w:rsidP="00497EDC">
      <w:pPr>
        <w:jc w:val="center"/>
        <w:rPr>
          <w:b/>
          <w:sz w:val="24"/>
          <w:szCs w:val="24"/>
        </w:rPr>
      </w:pPr>
    </w:p>
    <w:p w:rsidR="00497EDC" w:rsidRDefault="00497EDC" w:rsidP="00497EDC">
      <w:pPr>
        <w:jc w:val="center"/>
        <w:rPr>
          <w:b/>
          <w:sz w:val="24"/>
          <w:szCs w:val="24"/>
        </w:rPr>
      </w:pPr>
      <w:r w:rsidRPr="00C84483">
        <w:rPr>
          <w:b/>
          <w:sz w:val="24"/>
          <w:szCs w:val="24"/>
        </w:rPr>
        <w:t>for</w:t>
      </w:r>
    </w:p>
    <w:p w:rsidR="00497EDC" w:rsidRPr="00C84483" w:rsidRDefault="00497EDC" w:rsidP="00497EDC">
      <w:pPr>
        <w:jc w:val="center"/>
        <w:rPr>
          <w:b/>
          <w:sz w:val="24"/>
          <w:szCs w:val="24"/>
        </w:rPr>
      </w:pPr>
    </w:p>
    <w:p w:rsidR="00497EDC" w:rsidRPr="00C84483" w:rsidRDefault="00C55280" w:rsidP="00497EDC">
      <w:pPr>
        <w:jc w:val="center"/>
        <w:rPr>
          <w:b/>
          <w:sz w:val="24"/>
          <w:szCs w:val="24"/>
        </w:rPr>
      </w:pPr>
      <w:r>
        <w:rPr>
          <w:b/>
          <w:sz w:val="24"/>
          <w:szCs w:val="24"/>
        </w:rPr>
        <w:t>Kreon</w:t>
      </w:r>
      <w:r w:rsidR="00497EDC">
        <w:rPr>
          <w:b/>
          <w:sz w:val="24"/>
          <w:szCs w:val="24"/>
        </w:rPr>
        <w:t xml:space="preserve"> 35.000, hårde enterokapsler</w:t>
      </w:r>
      <w:r>
        <w:rPr>
          <w:b/>
          <w:sz w:val="24"/>
          <w:szCs w:val="24"/>
        </w:rPr>
        <w:t xml:space="preserve"> (2care4)</w:t>
      </w:r>
    </w:p>
    <w:p w:rsidR="00497EDC" w:rsidRDefault="00497EDC" w:rsidP="00497EDC">
      <w:pPr>
        <w:jc w:val="both"/>
        <w:rPr>
          <w:sz w:val="24"/>
          <w:szCs w:val="24"/>
        </w:rPr>
      </w:pPr>
    </w:p>
    <w:p w:rsidR="004B552B" w:rsidRPr="00C84483" w:rsidRDefault="004B552B" w:rsidP="00497EDC">
      <w:pPr>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0.</w:t>
      </w:r>
      <w:r w:rsidRPr="00C84483">
        <w:rPr>
          <w:b/>
          <w:sz w:val="24"/>
          <w:szCs w:val="24"/>
        </w:rPr>
        <w:tab/>
        <w:t>D.SP.NR.</w:t>
      </w:r>
    </w:p>
    <w:p w:rsidR="00497EDC" w:rsidRPr="00C84483" w:rsidRDefault="00497EDC" w:rsidP="00497EDC">
      <w:pPr>
        <w:tabs>
          <w:tab w:val="left" w:pos="851"/>
        </w:tabs>
        <w:ind w:left="851"/>
        <w:rPr>
          <w:sz w:val="24"/>
          <w:szCs w:val="24"/>
        </w:rPr>
      </w:pPr>
      <w:r>
        <w:rPr>
          <w:sz w:val="24"/>
          <w:szCs w:val="24"/>
        </w:rPr>
        <w:t>00818</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w:t>
      </w:r>
      <w:r w:rsidRPr="00C84483">
        <w:rPr>
          <w:b/>
          <w:sz w:val="24"/>
          <w:szCs w:val="24"/>
        </w:rPr>
        <w:tab/>
        <w:t>LÆGEMIDLETS NAVN</w:t>
      </w:r>
    </w:p>
    <w:p w:rsidR="00497EDC" w:rsidRPr="00C84483" w:rsidRDefault="00C55280" w:rsidP="00497EDC">
      <w:pPr>
        <w:tabs>
          <w:tab w:val="left" w:pos="851"/>
        </w:tabs>
        <w:ind w:left="851"/>
        <w:rPr>
          <w:sz w:val="24"/>
          <w:szCs w:val="24"/>
        </w:rPr>
      </w:pPr>
      <w:r>
        <w:rPr>
          <w:sz w:val="24"/>
          <w:szCs w:val="24"/>
        </w:rPr>
        <w:t xml:space="preserve">Kreon </w:t>
      </w:r>
      <w:r w:rsidR="00497EDC">
        <w:rPr>
          <w:sz w:val="24"/>
          <w:szCs w:val="24"/>
        </w:rPr>
        <w:t>35.000</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97EDC" w:rsidRPr="00B05A27" w:rsidRDefault="00497EDC" w:rsidP="00497EDC">
      <w:pPr>
        <w:tabs>
          <w:tab w:val="left" w:pos="851"/>
        </w:tabs>
        <w:ind w:left="851"/>
        <w:rPr>
          <w:sz w:val="24"/>
          <w:szCs w:val="24"/>
        </w:rPr>
      </w:pPr>
      <w:r w:rsidRPr="00B05A27">
        <w:rPr>
          <w:sz w:val="24"/>
          <w:szCs w:val="24"/>
        </w:rPr>
        <w:t xml:space="preserve">1 kapsel indeholder </w:t>
      </w:r>
      <w:r>
        <w:rPr>
          <w:sz w:val="24"/>
          <w:szCs w:val="24"/>
        </w:rPr>
        <w:t>420</w:t>
      </w:r>
      <w:r w:rsidRPr="00B05A27">
        <w:rPr>
          <w:sz w:val="24"/>
          <w:szCs w:val="24"/>
        </w:rPr>
        <w:t xml:space="preserve"> mg pancreaspulver* svarende til</w:t>
      </w:r>
    </w:p>
    <w:p w:rsidR="00497EDC" w:rsidRPr="00B05A27" w:rsidRDefault="00497EDC" w:rsidP="00497EDC">
      <w:pPr>
        <w:tabs>
          <w:tab w:val="left" w:pos="851"/>
          <w:tab w:val="left" w:pos="1985"/>
        </w:tabs>
        <w:ind w:left="851"/>
        <w:rPr>
          <w:sz w:val="24"/>
          <w:szCs w:val="24"/>
        </w:rPr>
      </w:pPr>
      <w:proofErr w:type="spellStart"/>
      <w:r>
        <w:rPr>
          <w:sz w:val="24"/>
          <w:szCs w:val="24"/>
        </w:rPr>
        <w:t>Lipase</w:t>
      </w:r>
      <w:proofErr w:type="spellEnd"/>
      <w:r>
        <w:rPr>
          <w:sz w:val="24"/>
          <w:szCs w:val="24"/>
        </w:rPr>
        <w:tab/>
        <w:t>35</w:t>
      </w:r>
      <w:r w:rsidRPr="00B05A27">
        <w:rPr>
          <w:sz w:val="24"/>
          <w:szCs w:val="24"/>
        </w:rPr>
        <w:t xml:space="preserve">.000 </w:t>
      </w:r>
      <w:proofErr w:type="spellStart"/>
      <w:r w:rsidRPr="00B05A27">
        <w:rPr>
          <w:sz w:val="24"/>
          <w:szCs w:val="24"/>
        </w:rPr>
        <w:t>Ph.Eur</w:t>
      </w:r>
      <w:proofErr w:type="spellEnd"/>
      <w:r w:rsidRPr="00B05A27">
        <w:rPr>
          <w:sz w:val="24"/>
          <w:szCs w:val="24"/>
        </w:rPr>
        <w:t>. enheder</w:t>
      </w:r>
    </w:p>
    <w:p w:rsidR="00497EDC" w:rsidRPr="00B05A27" w:rsidRDefault="00497EDC" w:rsidP="00497EDC">
      <w:pPr>
        <w:tabs>
          <w:tab w:val="left" w:pos="851"/>
          <w:tab w:val="left" w:pos="1985"/>
        </w:tabs>
        <w:ind w:left="851"/>
        <w:rPr>
          <w:sz w:val="24"/>
          <w:szCs w:val="24"/>
        </w:rPr>
      </w:pPr>
      <w:r w:rsidRPr="00B05A27">
        <w:rPr>
          <w:sz w:val="24"/>
          <w:szCs w:val="24"/>
        </w:rPr>
        <w:t>Amylase</w:t>
      </w:r>
      <w:r w:rsidRPr="00B05A27">
        <w:rPr>
          <w:sz w:val="24"/>
          <w:szCs w:val="24"/>
        </w:rPr>
        <w:tab/>
      </w:r>
      <w:r>
        <w:rPr>
          <w:sz w:val="24"/>
          <w:szCs w:val="24"/>
        </w:rPr>
        <w:t>25</w:t>
      </w:r>
      <w:r w:rsidRPr="00B05A27">
        <w:rPr>
          <w:sz w:val="24"/>
          <w:szCs w:val="24"/>
        </w:rPr>
        <w:t>.</w:t>
      </w:r>
      <w:r w:rsidR="004B552B">
        <w:rPr>
          <w:sz w:val="24"/>
          <w:szCs w:val="24"/>
        </w:rPr>
        <w:t>2</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roofErr w:type="spellStart"/>
      <w:r>
        <w:rPr>
          <w:sz w:val="24"/>
          <w:szCs w:val="24"/>
        </w:rPr>
        <w:t>Protease</w:t>
      </w:r>
      <w:proofErr w:type="spellEnd"/>
      <w:r>
        <w:rPr>
          <w:sz w:val="24"/>
          <w:szCs w:val="24"/>
        </w:rPr>
        <w:tab/>
        <w:t>1.4</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
    <w:p w:rsidR="00497EDC" w:rsidRDefault="00497EDC" w:rsidP="00497EDC">
      <w:pPr>
        <w:tabs>
          <w:tab w:val="left" w:pos="851"/>
          <w:tab w:val="left" w:pos="1985"/>
        </w:tabs>
        <w:ind w:left="851"/>
        <w:rPr>
          <w:sz w:val="20"/>
        </w:rPr>
      </w:pPr>
      <w:r w:rsidRPr="00926698">
        <w:rPr>
          <w:sz w:val="20"/>
        </w:rPr>
        <w:t xml:space="preserve">*Fremstillet af </w:t>
      </w:r>
      <w:proofErr w:type="spellStart"/>
      <w:r w:rsidRPr="00926698">
        <w:rPr>
          <w:sz w:val="20"/>
        </w:rPr>
        <w:t>porcint</w:t>
      </w:r>
      <w:proofErr w:type="spellEnd"/>
      <w:r w:rsidRPr="00926698">
        <w:rPr>
          <w:sz w:val="20"/>
        </w:rPr>
        <w:t xml:space="preserve"> pancreasvæv.</w:t>
      </w:r>
    </w:p>
    <w:p w:rsidR="00497EDC" w:rsidRPr="00926698" w:rsidRDefault="00497EDC" w:rsidP="00497EDC">
      <w:pPr>
        <w:tabs>
          <w:tab w:val="left" w:pos="851"/>
          <w:tab w:val="left" w:pos="1985"/>
        </w:tabs>
        <w:ind w:left="851"/>
        <w:rPr>
          <w:sz w:val="20"/>
        </w:rPr>
      </w:pPr>
    </w:p>
    <w:p w:rsidR="00497EDC" w:rsidRPr="00B05A27" w:rsidRDefault="00497EDC" w:rsidP="00497EDC">
      <w:pPr>
        <w:tabs>
          <w:tab w:val="left" w:pos="851"/>
          <w:tab w:val="left" w:pos="1985"/>
        </w:tabs>
        <w:ind w:left="851"/>
        <w:rPr>
          <w:sz w:val="24"/>
          <w:szCs w:val="24"/>
        </w:rPr>
      </w:pPr>
      <w:r w:rsidRPr="00B05A27">
        <w:rPr>
          <w:sz w:val="24"/>
          <w:szCs w:val="24"/>
        </w:rPr>
        <w:t>Alle hjælpestoffer er anført under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3.</w:t>
      </w:r>
      <w:r w:rsidRPr="00C84483">
        <w:rPr>
          <w:b/>
          <w:sz w:val="24"/>
          <w:szCs w:val="24"/>
        </w:rPr>
        <w:tab/>
        <w:t>LÆGEMIDDELFORM</w:t>
      </w:r>
    </w:p>
    <w:p w:rsidR="00497EDC" w:rsidRDefault="00497EDC" w:rsidP="00497EDC">
      <w:pPr>
        <w:tabs>
          <w:tab w:val="left" w:pos="851"/>
        </w:tabs>
        <w:ind w:left="851"/>
        <w:rPr>
          <w:sz w:val="24"/>
          <w:szCs w:val="24"/>
        </w:rPr>
      </w:pPr>
      <w:r>
        <w:rPr>
          <w:sz w:val="24"/>
          <w:szCs w:val="24"/>
        </w:rPr>
        <w:t>Hårde enterokapsler</w:t>
      </w:r>
      <w:r w:rsidR="00C55280">
        <w:rPr>
          <w:sz w:val="24"/>
          <w:szCs w:val="24"/>
        </w:rPr>
        <w:t xml:space="preserve"> (2care4)</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w:t>
      </w:r>
      <w:r w:rsidRPr="00C84483">
        <w:rPr>
          <w:b/>
          <w:sz w:val="24"/>
          <w:szCs w:val="24"/>
        </w:rPr>
        <w:tab/>
        <w:t>KLINISKE OPLYSNINGER</w:t>
      </w:r>
    </w:p>
    <w:p w:rsidR="00497EDC" w:rsidRPr="00C84483" w:rsidRDefault="00497EDC" w:rsidP="00497EDC">
      <w:pPr>
        <w:tabs>
          <w:tab w:val="left" w:pos="851"/>
        </w:tabs>
        <w:ind w:left="851"/>
        <w:rPr>
          <w:b/>
          <w:sz w:val="24"/>
          <w:szCs w:val="24"/>
        </w:rPr>
      </w:pPr>
    </w:p>
    <w:p w:rsidR="00497EDC" w:rsidRPr="00C84483" w:rsidRDefault="00497EDC" w:rsidP="00497ED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97EDC" w:rsidRDefault="00497EDC" w:rsidP="00497EDC">
      <w:pPr>
        <w:ind w:left="851"/>
        <w:rPr>
          <w:noProof/>
          <w:sz w:val="24"/>
          <w:szCs w:val="24"/>
        </w:rPr>
      </w:pPr>
      <w:r>
        <w:rPr>
          <w:sz w:val="24"/>
          <w:szCs w:val="24"/>
        </w:rPr>
        <w:t xml:space="preserve">Pancreasenzymsubstitutionsterapi ved </w:t>
      </w:r>
      <w:proofErr w:type="spellStart"/>
      <w:r>
        <w:rPr>
          <w:sz w:val="24"/>
          <w:szCs w:val="24"/>
        </w:rPr>
        <w:t>exokrin</w:t>
      </w:r>
      <w:proofErr w:type="spellEnd"/>
      <w:r>
        <w:rPr>
          <w:sz w:val="24"/>
          <w:szCs w:val="24"/>
        </w:rPr>
        <w:t xml:space="preserve"> pancreasinsufficiens som følge af cystisk fibrose eller andre tilstande (f.eks. kronisk </w:t>
      </w:r>
      <w:proofErr w:type="spellStart"/>
      <w:r>
        <w:rPr>
          <w:sz w:val="24"/>
          <w:szCs w:val="24"/>
        </w:rPr>
        <w:t>pancreatitis</w:t>
      </w:r>
      <w:proofErr w:type="spellEnd"/>
      <w:r>
        <w:rPr>
          <w:sz w:val="24"/>
          <w:szCs w:val="24"/>
        </w:rPr>
        <w:t xml:space="preserve">, </w:t>
      </w:r>
      <w:proofErr w:type="spellStart"/>
      <w:r>
        <w:rPr>
          <w:sz w:val="24"/>
          <w:szCs w:val="24"/>
        </w:rPr>
        <w:t>pancreasektomi</w:t>
      </w:r>
      <w:proofErr w:type="spellEnd"/>
      <w:r>
        <w:rPr>
          <w:sz w:val="24"/>
          <w:szCs w:val="24"/>
        </w:rPr>
        <w:t xml:space="preserve"> eller pancreascancer).</w:t>
      </w:r>
    </w:p>
    <w:p w:rsidR="00497EDC" w:rsidRDefault="00497EDC" w:rsidP="00497EDC">
      <w:pPr>
        <w:ind w:left="851"/>
        <w:rPr>
          <w:noProof/>
          <w:sz w:val="24"/>
          <w:szCs w:val="24"/>
        </w:rPr>
      </w:pPr>
    </w:p>
    <w:p w:rsidR="00497EDC" w:rsidRDefault="00C55280" w:rsidP="00497EDC">
      <w:pPr>
        <w:ind w:left="851"/>
        <w:rPr>
          <w:noProof/>
          <w:sz w:val="24"/>
          <w:szCs w:val="24"/>
        </w:rPr>
      </w:pPr>
      <w:r>
        <w:rPr>
          <w:noProof/>
          <w:sz w:val="24"/>
          <w:szCs w:val="24"/>
        </w:rPr>
        <w:t>Kreon</w:t>
      </w:r>
      <w:r w:rsidR="00497EDC">
        <w:rPr>
          <w:noProof/>
          <w:sz w:val="24"/>
          <w:szCs w:val="24"/>
        </w:rPr>
        <w:t xml:space="preserve"> enterokapsler er indiceret til børn, unge og voksne.</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97EDC" w:rsidRPr="00AE00FE" w:rsidRDefault="00497EDC" w:rsidP="00497EDC">
      <w:pPr>
        <w:ind w:left="851"/>
        <w:rPr>
          <w:noProof/>
          <w:sz w:val="24"/>
          <w:szCs w:val="24"/>
        </w:rPr>
      </w:pPr>
    </w:p>
    <w:p w:rsidR="00497EDC" w:rsidRPr="00AE00FE" w:rsidRDefault="00497EDC" w:rsidP="00497EDC">
      <w:pPr>
        <w:ind w:left="851"/>
        <w:rPr>
          <w:b/>
          <w:noProof/>
          <w:sz w:val="24"/>
          <w:szCs w:val="24"/>
        </w:rPr>
      </w:pPr>
      <w:r w:rsidRPr="00AE00FE">
        <w:rPr>
          <w:b/>
          <w:noProof/>
          <w:sz w:val="24"/>
          <w:szCs w:val="24"/>
        </w:rPr>
        <w:t>Dosering</w:t>
      </w:r>
    </w:p>
    <w:p w:rsidR="00497EDC" w:rsidRPr="00AE00FE" w:rsidRDefault="00497EDC" w:rsidP="00497EDC">
      <w:pPr>
        <w:ind w:left="851"/>
        <w:rPr>
          <w:noProof/>
          <w:sz w:val="24"/>
          <w:szCs w:val="24"/>
        </w:rPr>
      </w:pPr>
      <w:r w:rsidRPr="00AE00FE">
        <w:rPr>
          <w:noProof/>
          <w:sz w:val="24"/>
          <w:szCs w:val="24"/>
        </w:rPr>
        <w:t>Doseringen er rettet mod individuelle behov og afhænger af sygdommens sværhedsgrad og sammensætningen af fødevarer.</w:t>
      </w:r>
    </w:p>
    <w:p w:rsidR="00497EDC" w:rsidRPr="00AE00FE" w:rsidRDefault="00497EDC" w:rsidP="00497EDC">
      <w:pPr>
        <w:ind w:left="851"/>
        <w:rPr>
          <w:noProof/>
          <w:sz w:val="24"/>
          <w:szCs w:val="24"/>
        </w:rPr>
      </w:pPr>
      <w:r w:rsidRPr="00AE00FE">
        <w:rPr>
          <w:noProof/>
          <w:sz w:val="24"/>
          <w:szCs w:val="24"/>
        </w:rPr>
        <w:lastRenderedPageBreak/>
        <w:t>Behandlingen bør indledes med den laveste anbefalede dosis og gradvist øges med omhyggelig overvågning af patientens respons, symptomer og ernæringsstatus. Patienterne bør instrueres i ikke at øge doseringen på egen hånd.</w:t>
      </w:r>
    </w:p>
    <w:p w:rsidR="00497EDC" w:rsidRPr="00AE00FE" w:rsidRDefault="00497EDC" w:rsidP="00497EDC">
      <w:pPr>
        <w:ind w:left="851"/>
        <w:rPr>
          <w:sz w:val="24"/>
          <w:szCs w:val="24"/>
        </w:rPr>
      </w:pPr>
      <w:r w:rsidRPr="00AE00FE">
        <w:rPr>
          <w:noProof/>
          <w:sz w:val="24"/>
          <w:szCs w:val="24"/>
        </w:rPr>
        <w:t>Ændringer i dosering kan kræve en justeringsperiode på flere dage.</w:t>
      </w:r>
    </w:p>
    <w:p w:rsidR="00497EDC" w:rsidRPr="00AE00FE" w:rsidRDefault="00497EDC" w:rsidP="00497EDC">
      <w:pPr>
        <w:ind w:left="851"/>
        <w:rPr>
          <w:sz w:val="24"/>
          <w:szCs w:val="24"/>
        </w:rPr>
      </w:pPr>
    </w:p>
    <w:p w:rsidR="00497EDC" w:rsidRPr="00AE00FE" w:rsidRDefault="00497EDC" w:rsidP="00497EDC">
      <w:pPr>
        <w:ind w:left="851"/>
        <w:rPr>
          <w:noProof/>
          <w:sz w:val="24"/>
          <w:szCs w:val="24"/>
          <w:u w:val="single"/>
        </w:rPr>
      </w:pPr>
      <w:r w:rsidRPr="00AE00FE">
        <w:rPr>
          <w:noProof/>
          <w:sz w:val="24"/>
          <w:szCs w:val="24"/>
          <w:u w:val="single"/>
        </w:rPr>
        <w:t>Dosering hos patienter med cystisk fibrose</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Børn</w:t>
      </w:r>
    </w:p>
    <w:p w:rsidR="00497EDC" w:rsidRPr="00AE00FE" w:rsidRDefault="00497EDC" w:rsidP="00497EDC">
      <w:pPr>
        <w:ind w:left="851"/>
        <w:rPr>
          <w:noProof/>
          <w:sz w:val="24"/>
          <w:szCs w:val="24"/>
        </w:rPr>
      </w:pPr>
      <w:r w:rsidRPr="00AE00FE">
        <w:rPr>
          <w:noProof/>
          <w:sz w:val="24"/>
          <w:szCs w:val="24"/>
        </w:rPr>
        <w:t>Styrkerne på 20.000 og 35.000 Ph.Eur. lipase enheder er muligvis ikke egnet som initialbehandling hos patienter under en vis legemsvægt, afhængig af alder.</w:t>
      </w:r>
    </w:p>
    <w:p w:rsidR="00497EDC" w:rsidRPr="00AE00FE" w:rsidRDefault="00497EDC" w:rsidP="00497EDC">
      <w:pPr>
        <w:ind w:left="851"/>
        <w:rPr>
          <w:noProof/>
          <w:sz w:val="24"/>
          <w:szCs w:val="24"/>
        </w:rPr>
      </w:pPr>
      <w:r w:rsidRPr="00AE00FE">
        <w:rPr>
          <w:noProof/>
          <w:sz w:val="24"/>
          <w:szCs w:val="24"/>
        </w:rPr>
        <w:t xml:space="preserve">I den pædiatriske aldersgruppe anbefales at starte med 1.000 Ph.Eur. lipase enheder/kg legemsvægt pr. måltid hos børn under 4 år og med 500 Ph.Eur. lipase enheder/kg legemsvægt pr. måltid hos børn på 4 år og derover. </w:t>
      </w:r>
    </w:p>
    <w:p w:rsidR="00497EDC" w:rsidRPr="00AE00FE" w:rsidRDefault="00497EDC" w:rsidP="00497EDC">
      <w:pPr>
        <w:ind w:left="851"/>
        <w:rPr>
          <w:noProof/>
          <w:sz w:val="24"/>
          <w:szCs w:val="24"/>
        </w:rPr>
      </w:pPr>
      <w:r w:rsidRPr="00AE00FE">
        <w:rPr>
          <w:noProof/>
          <w:sz w:val="24"/>
          <w:szCs w:val="24"/>
        </w:rPr>
        <w:t>Den nødvendige dosis i denne population må derfor etableres med doseringsformer, der indeholder færre lipase enheder (f.eks. 10.000 eller 5.000 Ph.Eur. lipase enheder).</w:t>
      </w:r>
    </w:p>
    <w:p w:rsidR="00497EDC" w:rsidRPr="00AE00FE" w:rsidRDefault="00497EDC" w:rsidP="00497EDC">
      <w:pPr>
        <w:ind w:left="851"/>
        <w:rPr>
          <w:noProof/>
          <w:sz w:val="24"/>
          <w:szCs w:val="24"/>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noProof/>
          <w:sz w:val="24"/>
          <w:szCs w:val="24"/>
        </w:rPr>
      </w:pPr>
      <w:r w:rsidRPr="00AE00FE">
        <w:rPr>
          <w:noProof/>
          <w:sz w:val="24"/>
          <w:szCs w:val="24"/>
        </w:rPr>
        <w:t>Vægtbaseret enzymdosering skal begynde med 500 Ph.Eur. lipase enheder/kg legemsvægt pr. måltid.</w:t>
      </w:r>
    </w:p>
    <w:p w:rsidR="00497EDC" w:rsidRPr="00AE00FE"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Alle aldersgrupper</w:t>
      </w:r>
    </w:p>
    <w:p w:rsidR="00497EDC" w:rsidRPr="00AE00FE" w:rsidRDefault="00497EDC" w:rsidP="00497EDC">
      <w:pPr>
        <w:ind w:left="851"/>
        <w:rPr>
          <w:noProof/>
          <w:sz w:val="24"/>
          <w:szCs w:val="24"/>
        </w:rPr>
      </w:pPr>
      <w:r w:rsidRPr="00AE00FE">
        <w:rPr>
          <w:noProof/>
          <w:sz w:val="24"/>
          <w:szCs w:val="24"/>
        </w:rPr>
        <w:t>Dosering bør justeres i henhold til sygdommens sværhedsgrad, kontrol med steatorrhea og vedligeholdelse af god ernæringsstatus.</w:t>
      </w:r>
    </w:p>
    <w:p w:rsidR="00497EDC" w:rsidRPr="00AE00FE" w:rsidRDefault="00497EDC" w:rsidP="00497EDC">
      <w:pPr>
        <w:ind w:left="851"/>
        <w:rPr>
          <w:noProof/>
          <w:sz w:val="24"/>
          <w:szCs w:val="24"/>
          <w:u w:val="single"/>
        </w:rPr>
      </w:pPr>
      <w:r w:rsidRPr="00AE00FE">
        <w:rPr>
          <w:noProof/>
          <w:sz w:val="24"/>
          <w:szCs w:val="24"/>
        </w:rPr>
        <w:t>Patienterne må ikke overstige 2.500 Ph.Eur. lipase enheder/kg legemsvægt pr. måltid eller 10.000 Ph.Eur. enheder lipase pr. kilo legemsvægt pr. dag eller 4.000 Ph.Eur. lipase enheder pr. gram fedtindtag. Fibroserende colonpati er blevet rapporteret hos patienter med cystisk fibrose, der tog over 10.000 lipase enheder/kg legemsvægt pr. dag (se pkt. 4.4).</w:t>
      </w:r>
    </w:p>
    <w:p w:rsidR="00497EDC" w:rsidRPr="00AE00FE" w:rsidRDefault="00497EDC" w:rsidP="00497EDC">
      <w:pPr>
        <w:ind w:left="851"/>
        <w:rPr>
          <w:noProof/>
          <w:sz w:val="24"/>
          <w:szCs w:val="24"/>
          <w:u w:val="single"/>
        </w:rPr>
      </w:pPr>
    </w:p>
    <w:p w:rsidR="00497EDC" w:rsidRPr="00AE00FE" w:rsidRDefault="00497EDC" w:rsidP="00497EDC">
      <w:pPr>
        <w:ind w:left="851"/>
        <w:rPr>
          <w:sz w:val="24"/>
          <w:szCs w:val="24"/>
          <w:u w:val="single"/>
        </w:rPr>
      </w:pPr>
      <w:r w:rsidRPr="00AE00FE">
        <w:rPr>
          <w:sz w:val="24"/>
          <w:szCs w:val="24"/>
          <w:u w:val="single"/>
        </w:rPr>
        <w:t xml:space="preserve">Dosering under andre forhold forbundet med </w:t>
      </w:r>
      <w:proofErr w:type="spellStart"/>
      <w:r w:rsidRPr="00AE00FE">
        <w:rPr>
          <w:sz w:val="24"/>
          <w:szCs w:val="24"/>
          <w:u w:val="single"/>
        </w:rPr>
        <w:t>exokrin</w:t>
      </w:r>
      <w:proofErr w:type="spellEnd"/>
      <w:r w:rsidRPr="00AE00FE">
        <w:rPr>
          <w:sz w:val="24"/>
          <w:szCs w:val="24"/>
          <w:u w:val="single"/>
        </w:rPr>
        <w:t xml:space="preserve"> pancreasinsufficiens</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sz w:val="24"/>
          <w:szCs w:val="24"/>
        </w:rPr>
      </w:pPr>
      <w:r w:rsidRPr="00AE00FE">
        <w:rPr>
          <w:sz w:val="24"/>
          <w:szCs w:val="24"/>
        </w:rPr>
        <w:t xml:space="preserve">Doseringen bør individualiseres af patienterne i henhold til graden af </w:t>
      </w:r>
      <w:proofErr w:type="spellStart"/>
      <w:r w:rsidRPr="00AE00FE">
        <w:rPr>
          <w:sz w:val="24"/>
          <w:szCs w:val="24"/>
        </w:rPr>
        <w:t>maldigestion</w:t>
      </w:r>
      <w:proofErr w:type="spellEnd"/>
      <w:r w:rsidRPr="00AE00FE">
        <w:rPr>
          <w:sz w:val="24"/>
          <w:szCs w:val="24"/>
        </w:rPr>
        <w:t xml:space="preserve"> og måltidets fedtindhold. Den krævede dosis til et måltid varierer fra ca. 25.000 til 80.000 </w:t>
      </w:r>
      <w:proofErr w:type="spellStart"/>
      <w:r w:rsidRPr="00AE00FE">
        <w:rPr>
          <w:sz w:val="24"/>
          <w:szCs w:val="24"/>
        </w:rPr>
        <w:t>Ph.Eur</w:t>
      </w:r>
      <w:proofErr w:type="spellEnd"/>
      <w:r w:rsidRPr="00AE00FE">
        <w:rPr>
          <w:sz w:val="24"/>
          <w:szCs w:val="24"/>
        </w:rPr>
        <w:t xml:space="preserve">. enheder af </w:t>
      </w:r>
      <w:proofErr w:type="spellStart"/>
      <w:r w:rsidRPr="00AE00FE">
        <w:rPr>
          <w:sz w:val="24"/>
          <w:szCs w:val="24"/>
        </w:rPr>
        <w:t>lipase</w:t>
      </w:r>
      <w:proofErr w:type="spellEnd"/>
      <w:r w:rsidRPr="00AE00FE">
        <w:rPr>
          <w:sz w:val="24"/>
          <w:szCs w:val="24"/>
        </w:rPr>
        <w:t xml:space="preserve"> og halvdelen af den individuelle dosis til mellemmåltider.</w:t>
      </w:r>
    </w:p>
    <w:p w:rsidR="00497EDC" w:rsidRPr="00AE00FE" w:rsidRDefault="00497EDC" w:rsidP="00497EDC">
      <w:pPr>
        <w:ind w:left="851"/>
        <w:rPr>
          <w:sz w:val="24"/>
          <w:szCs w:val="24"/>
        </w:rPr>
      </w:pPr>
    </w:p>
    <w:p w:rsidR="00497EDC" w:rsidRPr="00AE00FE" w:rsidRDefault="00497EDC" w:rsidP="00497EDC">
      <w:pPr>
        <w:ind w:left="851"/>
        <w:rPr>
          <w:b/>
          <w:sz w:val="24"/>
          <w:szCs w:val="24"/>
        </w:rPr>
      </w:pPr>
      <w:r w:rsidRPr="00AE00FE">
        <w:rPr>
          <w:b/>
          <w:sz w:val="24"/>
          <w:szCs w:val="24"/>
        </w:rPr>
        <w:t>Administration</w:t>
      </w:r>
    </w:p>
    <w:p w:rsidR="00497EDC" w:rsidRPr="00AE00FE" w:rsidRDefault="00497EDC" w:rsidP="00497EDC">
      <w:pPr>
        <w:ind w:left="851"/>
        <w:rPr>
          <w:noProof/>
          <w:sz w:val="24"/>
          <w:szCs w:val="24"/>
        </w:rPr>
      </w:pPr>
      <w:r w:rsidRPr="00AE00FE">
        <w:rPr>
          <w:noProof/>
          <w:sz w:val="24"/>
          <w:szCs w:val="24"/>
        </w:rPr>
        <w:t>Til oral brug.</w:t>
      </w:r>
    </w:p>
    <w:p w:rsidR="00497EDC" w:rsidRPr="00AE00FE" w:rsidRDefault="00497EDC" w:rsidP="00497EDC">
      <w:pPr>
        <w:ind w:left="851"/>
        <w:rPr>
          <w:noProof/>
          <w:sz w:val="24"/>
          <w:szCs w:val="24"/>
        </w:rPr>
      </w:pPr>
    </w:p>
    <w:p w:rsidR="00497EDC" w:rsidRPr="00AE00FE" w:rsidRDefault="00497EDC" w:rsidP="00497EDC">
      <w:pPr>
        <w:ind w:left="851"/>
        <w:rPr>
          <w:noProof/>
          <w:sz w:val="24"/>
          <w:szCs w:val="24"/>
        </w:rPr>
      </w:pPr>
      <w:r w:rsidRPr="00AE00FE">
        <w:rPr>
          <w:noProof/>
          <w:sz w:val="24"/>
          <w:szCs w:val="24"/>
        </w:rPr>
        <w:t>Det anbefales at tage enzymerne i løbet af eller umiddelbart efter måltiderne.</w:t>
      </w:r>
    </w:p>
    <w:p w:rsidR="00497EDC" w:rsidRPr="00AE00FE" w:rsidRDefault="00497EDC" w:rsidP="00497EDC">
      <w:pPr>
        <w:ind w:left="851"/>
        <w:rPr>
          <w:noProof/>
          <w:sz w:val="24"/>
          <w:szCs w:val="24"/>
        </w:rPr>
      </w:pPr>
      <w:r w:rsidRPr="00AE00FE">
        <w:rPr>
          <w:noProof/>
          <w:sz w:val="24"/>
          <w:szCs w:val="24"/>
        </w:rPr>
        <w:t>Kapslerne skal sluges hele, uden at knuse eller tygge, med tilstrækkelig væske, under eller efter hvert måltid eller mellemmåltid.</w:t>
      </w:r>
    </w:p>
    <w:p w:rsidR="00497EDC" w:rsidRPr="00AE00FE" w:rsidRDefault="00497EDC" w:rsidP="00497EDC">
      <w:pPr>
        <w:ind w:left="851"/>
        <w:rPr>
          <w:noProof/>
          <w:sz w:val="24"/>
          <w:szCs w:val="24"/>
        </w:rPr>
      </w:pPr>
      <w:r w:rsidRPr="00AE00FE">
        <w:rPr>
          <w:noProof/>
          <w:sz w:val="24"/>
          <w:szCs w:val="24"/>
        </w:rPr>
        <w:t xml:space="preserve">Når patienterne har svært ved at sluge kapsler (f.eks. små børn eller ældre patienter), kan kapslerne åbnes forsigtigt, og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tilsættes til sur, blød mad [pH &lt;5,5], der ikke kræver tygning eller til sur væske [pH &lt;5,5] . Dette kunne være æblemos, yoghurt eller frugtjuice med en pH på mindre end 5,5, f.eks. æble-, appelsin- eller ananasjuice. Denne blanding bør ikke opbevares.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må ikke blandes med vand, mælk eller varm mad.</w:t>
      </w:r>
    </w:p>
    <w:p w:rsidR="00497EDC" w:rsidRPr="00AE00FE" w:rsidRDefault="00497EDC" w:rsidP="00497EDC">
      <w:pPr>
        <w:ind w:left="851"/>
        <w:rPr>
          <w:noProof/>
          <w:sz w:val="24"/>
          <w:szCs w:val="24"/>
        </w:rPr>
      </w:pPr>
      <w:r w:rsidRPr="00AE00FE">
        <w:rPr>
          <w:noProof/>
          <w:sz w:val="24"/>
          <w:szCs w:val="24"/>
        </w:rPr>
        <w:t xml:space="preserve">Den bløde mad eller væskeblanding skal indtages straks uden at tygge og efterfølges med vand eller juice for at sikre fuldstændig indtagelse. Knusning og tygning af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eller blanding med mad eller væske med en pH over 5,5 kan ødelægge </w:t>
      </w:r>
      <w:r w:rsidRPr="00AE00FE">
        <w:rPr>
          <w:noProof/>
          <w:sz w:val="24"/>
          <w:szCs w:val="24"/>
        </w:rPr>
        <w:lastRenderedPageBreak/>
        <w:t>det beskyttende lag. Dette kan resultere i tidlig frigivelse af enzymer i mundhulen og kan føre til nedsat virkning og irritation af slimhinderne.</w:t>
      </w:r>
    </w:p>
    <w:p w:rsidR="00497EDC" w:rsidRPr="00C84483" w:rsidRDefault="00497EDC" w:rsidP="00497EDC">
      <w:pPr>
        <w:ind w:left="851"/>
        <w:rPr>
          <w:noProof/>
          <w:sz w:val="24"/>
          <w:szCs w:val="24"/>
        </w:rPr>
      </w:pPr>
      <w:r w:rsidRPr="00AE00FE">
        <w:rPr>
          <w:noProof/>
          <w:sz w:val="24"/>
          <w:szCs w:val="24"/>
        </w:rPr>
        <w:t>Vær opmærksom på, at der ikke bliver noget tilbage i munden.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4.3</w:t>
      </w:r>
      <w:r w:rsidRPr="00C84483">
        <w:rPr>
          <w:b/>
          <w:sz w:val="24"/>
          <w:szCs w:val="24"/>
        </w:rPr>
        <w:tab/>
        <w:t>Kontraindikationer</w:t>
      </w:r>
    </w:p>
    <w:p w:rsidR="00497EDC" w:rsidRPr="00EA0DC3" w:rsidRDefault="00497EDC" w:rsidP="00497EDC">
      <w:pPr>
        <w:ind w:left="851"/>
        <w:rPr>
          <w:sz w:val="24"/>
          <w:szCs w:val="24"/>
        </w:rPr>
      </w:pPr>
      <w:r w:rsidRPr="00EA0DC3">
        <w:rPr>
          <w:sz w:val="24"/>
          <w:szCs w:val="24"/>
        </w:rPr>
        <w:t>Overfølsomhed over for de aktive stoffer eller over for et eller flere af hjælpestofferne anført i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97EDC" w:rsidRPr="00785CAE" w:rsidRDefault="00497EDC" w:rsidP="00497EDC">
      <w:pPr>
        <w:suppressAutoHyphens/>
        <w:ind w:left="851"/>
        <w:rPr>
          <w:sz w:val="24"/>
          <w:szCs w:val="24"/>
        </w:rPr>
      </w:pPr>
    </w:p>
    <w:p w:rsidR="00497EDC" w:rsidRPr="00785CAE" w:rsidRDefault="00497EDC" w:rsidP="00497EDC">
      <w:pPr>
        <w:ind w:left="851"/>
        <w:rPr>
          <w:sz w:val="24"/>
          <w:szCs w:val="24"/>
          <w:u w:val="single"/>
        </w:rPr>
      </w:pPr>
      <w:r w:rsidRPr="00785CAE">
        <w:rPr>
          <w:noProof/>
          <w:sz w:val="24"/>
          <w:szCs w:val="24"/>
          <w:u w:val="single"/>
        </w:rPr>
        <w:t>Fibroserende colonsygdom</w:t>
      </w:r>
    </w:p>
    <w:p w:rsidR="00497EDC" w:rsidRPr="00785CAE" w:rsidRDefault="00497EDC" w:rsidP="00497EDC">
      <w:pPr>
        <w:ind w:left="851"/>
        <w:rPr>
          <w:sz w:val="24"/>
          <w:szCs w:val="24"/>
        </w:rPr>
      </w:pPr>
      <w:r w:rsidRPr="00785CAE">
        <w:rPr>
          <w:sz w:val="24"/>
          <w:szCs w:val="24"/>
        </w:rPr>
        <w:t xml:space="preserve">Strikturer i </w:t>
      </w:r>
      <w:proofErr w:type="spellStart"/>
      <w:r w:rsidRPr="00785CAE">
        <w:rPr>
          <w:sz w:val="24"/>
          <w:szCs w:val="24"/>
        </w:rPr>
        <w:t>ileo-cecalregionen</w:t>
      </w:r>
      <w:proofErr w:type="spellEnd"/>
      <w:r w:rsidRPr="00785CAE">
        <w:rPr>
          <w:sz w:val="24"/>
          <w:szCs w:val="24"/>
        </w:rPr>
        <w:t xml:space="preserve"> og </w:t>
      </w:r>
      <w:proofErr w:type="spellStart"/>
      <w:r w:rsidRPr="00785CAE">
        <w:rPr>
          <w:sz w:val="24"/>
          <w:szCs w:val="24"/>
        </w:rPr>
        <w:t>colon</w:t>
      </w:r>
      <w:proofErr w:type="spellEnd"/>
      <w:r w:rsidRPr="00785CAE">
        <w:rPr>
          <w:sz w:val="24"/>
          <w:szCs w:val="24"/>
        </w:rPr>
        <w:t xml:space="preserve">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er blevet rapporteret hos patienter med cystisk fibrose under anvendelse af høje doser af </w:t>
      </w:r>
      <w:proofErr w:type="spellStart"/>
      <w:r w:rsidRPr="00785CAE">
        <w:rPr>
          <w:sz w:val="24"/>
          <w:szCs w:val="24"/>
        </w:rPr>
        <w:t>pancreatinpræparater</w:t>
      </w:r>
      <w:proofErr w:type="spellEnd"/>
      <w:r w:rsidRPr="00785CAE">
        <w:rPr>
          <w:sz w:val="24"/>
          <w:szCs w:val="24"/>
        </w:rPr>
        <w:t xml:space="preserve">. Som en sikkerhedsforanstaltning bør usædvanlige </w:t>
      </w:r>
      <w:proofErr w:type="spellStart"/>
      <w:r w:rsidRPr="00785CAE">
        <w:rPr>
          <w:sz w:val="24"/>
          <w:szCs w:val="24"/>
        </w:rPr>
        <w:t>abdominale</w:t>
      </w:r>
      <w:proofErr w:type="spellEnd"/>
      <w:r w:rsidRPr="00785CAE">
        <w:rPr>
          <w:sz w:val="24"/>
          <w:szCs w:val="24"/>
        </w:rPr>
        <w:t xml:space="preserve"> symptomer eller ændringer i </w:t>
      </w:r>
      <w:proofErr w:type="spellStart"/>
      <w:r w:rsidRPr="00785CAE">
        <w:rPr>
          <w:sz w:val="24"/>
          <w:szCs w:val="24"/>
        </w:rPr>
        <w:t>abdominale</w:t>
      </w:r>
      <w:proofErr w:type="spellEnd"/>
      <w:r w:rsidRPr="00785CAE">
        <w:rPr>
          <w:sz w:val="24"/>
          <w:szCs w:val="24"/>
        </w:rPr>
        <w:t xml:space="preserve"> symptomer vurderes medicinsk med det formål at udelukke muligheden for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især hvis patienten tager over 10.000 </w:t>
      </w:r>
      <w:proofErr w:type="spellStart"/>
      <w:r w:rsidRPr="00785CAE">
        <w:rPr>
          <w:sz w:val="24"/>
          <w:szCs w:val="24"/>
        </w:rPr>
        <w:t>Ph.Eur</w:t>
      </w:r>
      <w:proofErr w:type="spellEnd"/>
      <w:r w:rsidRPr="00785CAE">
        <w:rPr>
          <w:sz w:val="24"/>
          <w:szCs w:val="24"/>
        </w:rPr>
        <w:t xml:space="preserve">. </w:t>
      </w:r>
      <w:proofErr w:type="spellStart"/>
      <w:r w:rsidRPr="00785CAE">
        <w:rPr>
          <w:sz w:val="24"/>
          <w:szCs w:val="24"/>
        </w:rPr>
        <w:t>lipase</w:t>
      </w:r>
      <w:proofErr w:type="spellEnd"/>
      <w:r w:rsidRPr="00785CAE">
        <w:rPr>
          <w:sz w:val="24"/>
          <w:szCs w:val="24"/>
        </w:rPr>
        <w:t xml:space="preserve"> enheder/pr. kg legemsvægt pr. dag.</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proofErr w:type="spellStart"/>
      <w:r w:rsidRPr="00785CAE">
        <w:rPr>
          <w:sz w:val="24"/>
          <w:szCs w:val="24"/>
          <w:u w:val="single"/>
        </w:rPr>
        <w:t>Anafylaktiske</w:t>
      </w:r>
      <w:proofErr w:type="spellEnd"/>
      <w:r w:rsidRPr="00785CAE">
        <w:rPr>
          <w:sz w:val="24"/>
          <w:szCs w:val="24"/>
          <w:u w:val="single"/>
        </w:rPr>
        <w:t xml:space="preserve"> reaktioner</w:t>
      </w:r>
    </w:p>
    <w:p w:rsidR="00497EDC" w:rsidRPr="00785CAE" w:rsidRDefault="00497EDC" w:rsidP="00497EDC">
      <w:pPr>
        <w:ind w:left="851"/>
        <w:rPr>
          <w:sz w:val="24"/>
          <w:szCs w:val="24"/>
        </w:rPr>
      </w:pPr>
      <w:proofErr w:type="spellStart"/>
      <w:r w:rsidRPr="00785CAE">
        <w:rPr>
          <w:sz w:val="24"/>
          <w:szCs w:val="24"/>
        </w:rPr>
        <w:t>Anafylaktiske</w:t>
      </w:r>
      <w:proofErr w:type="spellEnd"/>
      <w:r w:rsidRPr="00785CAE">
        <w:rPr>
          <w:sz w:val="24"/>
          <w:szCs w:val="24"/>
        </w:rPr>
        <w:t xml:space="preserve"> reaktioner er sjældent blevet rapporteret med pancreasenzymprodukter. Hvis denne reaktion opstår, bør patienterne opfordres til straks at afbryde behandlingen og søge akut lægehjælp. </w:t>
      </w:r>
    </w:p>
    <w:p w:rsidR="00497EDC" w:rsidRPr="00785CAE" w:rsidRDefault="00497EDC" w:rsidP="00497EDC">
      <w:pPr>
        <w:ind w:left="851"/>
        <w:rPr>
          <w:sz w:val="24"/>
          <w:szCs w:val="24"/>
        </w:rPr>
      </w:pPr>
      <w:r w:rsidRPr="00785CAE">
        <w:rPr>
          <w:sz w:val="24"/>
          <w:szCs w:val="24"/>
        </w:rPr>
        <w:t>For at mindske risikoen for bivirkninger som følge af overfølsomhed, anbefales det at behandle patienter med allergi overfor svineproteiner med forsigtighed.</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r w:rsidRPr="00785CAE">
        <w:rPr>
          <w:sz w:val="24"/>
          <w:szCs w:val="24"/>
          <w:u w:val="single"/>
        </w:rPr>
        <w:t>Irritation af mundslimhinden</w:t>
      </w:r>
    </w:p>
    <w:p w:rsidR="00497EDC" w:rsidRPr="00785CAE" w:rsidRDefault="00497EDC" w:rsidP="00497EDC">
      <w:pPr>
        <w:ind w:left="851"/>
        <w:rPr>
          <w:sz w:val="24"/>
          <w:szCs w:val="24"/>
        </w:rPr>
      </w:pPr>
      <w:r w:rsidRPr="00785CAE">
        <w:rPr>
          <w:sz w:val="24"/>
          <w:szCs w:val="24"/>
        </w:rPr>
        <w:t>Oral smerte, irritation (</w:t>
      </w:r>
      <w:proofErr w:type="spellStart"/>
      <w:r w:rsidRPr="00785CAE">
        <w:rPr>
          <w:sz w:val="24"/>
          <w:szCs w:val="24"/>
        </w:rPr>
        <w:t>stomatitis</w:t>
      </w:r>
      <w:proofErr w:type="spellEnd"/>
      <w:r w:rsidRPr="00785CAE">
        <w:rPr>
          <w:sz w:val="24"/>
          <w:szCs w:val="24"/>
        </w:rPr>
        <w:t>), blødning og sårdannelse i munden kan forekomme, hvis kapslerne tygges og/eller holdes for længe i munden. Skylning af munden og drikke et glas vand kan hjælpe, hvis der er indledende tegn på mundirritation.</w:t>
      </w:r>
    </w:p>
    <w:p w:rsidR="00497EDC" w:rsidRPr="00785CAE" w:rsidRDefault="00497EDC" w:rsidP="00497EDC">
      <w:pPr>
        <w:ind w:left="851"/>
        <w:rPr>
          <w:sz w:val="24"/>
          <w:szCs w:val="24"/>
        </w:rPr>
      </w:pPr>
    </w:p>
    <w:p w:rsidR="00497EDC" w:rsidRPr="00C84483" w:rsidRDefault="00497EDC" w:rsidP="00497EDC">
      <w:pPr>
        <w:ind w:left="851"/>
        <w:rPr>
          <w:sz w:val="24"/>
          <w:szCs w:val="24"/>
        </w:rPr>
      </w:pPr>
      <w:r w:rsidRPr="00785CAE">
        <w:rPr>
          <w:sz w:val="24"/>
          <w:szCs w:val="24"/>
        </w:rPr>
        <w:t>Dette lægemiddel indeholder mindre end 1 mmol (23 mg) natrium pr. doseringsenhed, dvs. det er i det væsentlige natriumfrit.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97EDC" w:rsidRPr="00C84483" w:rsidRDefault="00497EDC" w:rsidP="00497EDC">
      <w:pPr>
        <w:ind w:left="851"/>
        <w:rPr>
          <w:noProof/>
          <w:sz w:val="24"/>
          <w:szCs w:val="24"/>
        </w:rPr>
      </w:pPr>
      <w:r w:rsidRPr="00785CAE">
        <w:rPr>
          <w:noProof/>
          <w:sz w:val="24"/>
          <w:szCs w:val="24"/>
        </w:rPr>
        <w:t>Der er ikke udført interaktionsstudier.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497EDC" w:rsidRPr="00061D68" w:rsidRDefault="00497EDC" w:rsidP="00497EDC">
      <w:pPr>
        <w:ind w:left="851"/>
        <w:rPr>
          <w:sz w:val="24"/>
          <w:szCs w:val="24"/>
        </w:rPr>
      </w:pPr>
    </w:p>
    <w:p w:rsidR="00497EDC" w:rsidRPr="00061D68" w:rsidRDefault="00497EDC" w:rsidP="00497EDC">
      <w:pPr>
        <w:ind w:left="851"/>
        <w:rPr>
          <w:noProof/>
          <w:sz w:val="24"/>
          <w:szCs w:val="24"/>
          <w:u w:val="single"/>
        </w:rPr>
      </w:pPr>
      <w:r w:rsidRPr="00061D68">
        <w:rPr>
          <w:noProof/>
          <w:sz w:val="24"/>
          <w:szCs w:val="24"/>
          <w:u w:val="single"/>
        </w:rPr>
        <w:t>Graviditet</w:t>
      </w:r>
    </w:p>
    <w:p w:rsidR="00497EDC" w:rsidRPr="00061D68" w:rsidRDefault="00497EDC" w:rsidP="00497EDC">
      <w:pPr>
        <w:ind w:left="851"/>
        <w:rPr>
          <w:noProof/>
          <w:sz w:val="24"/>
          <w:szCs w:val="24"/>
        </w:rPr>
      </w:pPr>
      <w:r w:rsidRPr="00061D68">
        <w:rPr>
          <w:noProof/>
          <w:sz w:val="24"/>
          <w:szCs w:val="24"/>
        </w:rPr>
        <w:t>Der er ingen eller begrænsede data (mindre end 300 graviditetsresultater) fra brugen af porcine pancreasenzymer hos gravide kvinder. Der er ingen data fra dyreforsøg med hensyn til reproduktionstoksicitet (se pkt. 5.3), men dyreforsøg giver ingen evidens for absorption af porcine pancreasenzymer. Der er derfor ingen forventet reproduktions- eller udviklingstoksicitet.</w:t>
      </w:r>
    </w:p>
    <w:p w:rsidR="00497EDC" w:rsidRPr="00061D68" w:rsidRDefault="00497EDC" w:rsidP="00497EDC">
      <w:pPr>
        <w:ind w:left="851"/>
        <w:rPr>
          <w:noProof/>
          <w:sz w:val="24"/>
          <w:szCs w:val="24"/>
        </w:rPr>
      </w:pPr>
      <w:r w:rsidRPr="00061D68">
        <w:rPr>
          <w:noProof/>
          <w:sz w:val="24"/>
          <w:szCs w:val="24"/>
        </w:rPr>
        <w:t>Dette lægemiddel kan anvendes under graviditet hvis nødvendigt for at sikre adækvat ernæringsmæssig støtte til en gravid kvinde med exokrin pancreasinsufficiens.</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Amning</w:t>
      </w:r>
    </w:p>
    <w:p w:rsidR="00497EDC" w:rsidRPr="00061D68" w:rsidRDefault="00497EDC" w:rsidP="00497EDC">
      <w:pPr>
        <w:ind w:left="851"/>
        <w:rPr>
          <w:noProof/>
          <w:sz w:val="24"/>
          <w:szCs w:val="24"/>
        </w:rPr>
      </w:pPr>
      <w:r w:rsidRPr="00061D68">
        <w:rPr>
          <w:noProof/>
          <w:sz w:val="24"/>
          <w:szCs w:val="24"/>
        </w:rPr>
        <w:t>Der forventes ingen effekt på ammede nyfødte/spædbørn, da den systemiske eksponering af den ammende kvinde over for porcine pancreasenzymer er ubetydelig.</w:t>
      </w:r>
    </w:p>
    <w:p w:rsidR="00497EDC" w:rsidRPr="00061D68" w:rsidRDefault="00C55280" w:rsidP="00497EDC">
      <w:pPr>
        <w:ind w:left="851"/>
        <w:rPr>
          <w:noProof/>
          <w:sz w:val="24"/>
          <w:szCs w:val="24"/>
        </w:rPr>
      </w:pPr>
      <w:r>
        <w:rPr>
          <w:noProof/>
          <w:sz w:val="24"/>
          <w:szCs w:val="24"/>
        </w:rPr>
        <w:t>Kreon</w:t>
      </w:r>
      <w:r w:rsidR="00497EDC" w:rsidRPr="00061D68">
        <w:rPr>
          <w:noProof/>
          <w:sz w:val="24"/>
          <w:szCs w:val="24"/>
        </w:rPr>
        <w:t xml:space="preserve"> kan anvendes under amning.</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Fertilitet</w:t>
      </w:r>
    </w:p>
    <w:p w:rsidR="00497EDC" w:rsidRPr="00C84483" w:rsidRDefault="00497EDC" w:rsidP="00497EDC">
      <w:pPr>
        <w:ind w:left="851"/>
        <w:rPr>
          <w:noProof/>
          <w:sz w:val="24"/>
          <w:szCs w:val="24"/>
        </w:rPr>
      </w:pPr>
      <w:r w:rsidRPr="00061D68">
        <w:rPr>
          <w:noProof/>
          <w:sz w:val="24"/>
          <w:szCs w:val="24"/>
        </w:rPr>
        <w:t>Der forventes ingen effekt på fertilitet, da pancreasenzymer ikke absorberes fra mave-tarm-kanalen.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97EDC" w:rsidRDefault="00497EDC" w:rsidP="00497EDC">
      <w:pPr>
        <w:ind w:left="851"/>
        <w:rPr>
          <w:sz w:val="24"/>
          <w:szCs w:val="24"/>
        </w:rPr>
      </w:pPr>
      <w:r>
        <w:rPr>
          <w:sz w:val="24"/>
          <w:szCs w:val="24"/>
        </w:rPr>
        <w:t>Ikke mærkning.</w:t>
      </w:r>
    </w:p>
    <w:p w:rsidR="00497EDC" w:rsidRDefault="00C55280" w:rsidP="00497EDC">
      <w:pPr>
        <w:ind w:left="851"/>
        <w:rPr>
          <w:sz w:val="24"/>
          <w:szCs w:val="24"/>
        </w:rPr>
      </w:pPr>
      <w:r>
        <w:rPr>
          <w:sz w:val="24"/>
          <w:szCs w:val="24"/>
        </w:rPr>
        <w:t>Kreon</w:t>
      </w:r>
      <w:r w:rsidR="00497EDC">
        <w:rPr>
          <w:sz w:val="24"/>
          <w:szCs w:val="24"/>
        </w:rPr>
        <w:t xml:space="preserve"> påvirker ikke eller kun i ubetydelig grad evnen til at føre motorkøretøj og betjene maskiner.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4.8</w:t>
      </w:r>
      <w:r w:rsidRPr="00C84483">
        <w:rPr>
          <w:b/>
          <w:sz w:val="24"/>
          <w:szCs w:val="24"/>
        </w:rPr>
        <w:tab/>
        <w:t>Bivirkninger</w:t>
      </w:r>
    </w:p>
    <w:p w:rsidR="00497EDC" w:rsidRPr="009D445C" w:rsidRDefault="00497EDC" w:rsidP="00497EDC">
      <w:pPr>
        <w:ind w:left="851"/>
        <w:rPr>
          <w:noProof/>
          <w:sz w:val="24"/>
          <w:szCs w:val="24"/>
        </w:rPr>
      </w:pPr>
      <w:r w:rsidRPr="009D445C">
        <w:rPr>
          <w:noProof/>
          <w:sz w:val="24"/>
          <w:szCs w:val="24"/>
        </w:rPr>
        <w:t xml:space="preserve">De vigtigste alvorlige bivirkninger, der er observeret med </w:t>
      </w:r>
      <w:r w:rsidRPr="009D445C">
        <w:rPr>
          <w:sz w:val="24"/>
          <w:szCs w:val="24"/>
        </w:rPr>
        <w:t>pancreasenzymprodukter</w:t>
      </w:r>
      <w:r w:rsidRPr="009D445C">
        <w:rPr>
          <w:noProof/>
          <w:sz w:val="24"/>
          <w:szCs w:val="24"/>
        </w:rPr>
        <w:t xml:space="preserve">, er anafylaktiske reaktioner (se pkt. 4.4) og </w:t>
      </w:r>
      <w:proofErr w:type="spellStart"/>
      <w:r w:rsidRPr="009D445C">
        <w:rPr>
          <w:sz w:val="24"/>
          <w:szCs w:val="24"/>
        </w:rPr>
        <w:t>f</w:t>
      </w:r>
      <w:r w:rsidRPr="009D445C">
        <w:rPr>
          <w:noProof/>
          <w:sz w:val="24"/>
          <w:szCs w:val="24"/>
        </w:rPr>
        <w:t>ibroserende</w:t>
      </w:r>
      <w:proofErr w:type="spellEnd"/>
      <w:r w:rsidRPr="009D445C">
        <w:rPr>
          <w:noProof/>
          <w:sz w:val="24"/>
          <w:szCs w:val="24"/>
        </w:rPr>
        <w:t xml:space="preserve"> colonsygdom (se pkt. 4.4).</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rPr>
      </w:pPr>
      <w:r w:rsidRPr="009D445C">
        <w:rPr>
          <w:noProof/>
          <w:sz w:val="24"/>
          <w:szCs w:val="24"/>
        </w:rPr>
        <w:t xml:space="preserve">I kliniske forsøg blev mere end 1000 patienter udsat for </w:t>
      </w:r>
      <w:r w:rsidR="00C55280">
        <w:rPr>
          <w:noProof/>
          <w:sz w:val="24"/>
          <w:szCs w:val="24"/>
        </w:rPr>
        <w:t>Kreon</w:t>
      </w:r>
      <w:r w:rsidRPr="009D445C">
        <w:rPr>
          <w:noProof/>
          <w:sz w:val="24"/>
          <w:szCs w:val="24"/>
        </w:rPr>
        <w:t>.</w:t>
      </w:r>
    </w:p>
    <w:p w:rsidR="00497EDC" w:rsidRDefault="00497EDC" w:rsidP="00497EDC">
      <w:pPr>
        <w:ind w:left="851"/>
        <w:rPr>
          <w:noProof/>
          <w:sz w:val="24"/>
          <w:szCs w:val="24"/>
        </w:rPr>
      </w:pPr>
      <w:r w:rsidRPr="009D445C">
        <w:rPr>
          <w:noProof/>
          <w:sz w:val="24"/>
          <w:szCs w:val="24"/>
        </w:rPr>
        <w:t>De hyppigst rapporterede bivirkninger var gastrointestinale lidelser og var primært lette eller moderate i sværhedsgrad.</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u w:val="single"/>
        </w:rPr>
      </w:pPr>
      <w:r w:rsidRPr="009D445C">
        <w:rPr>
          <w:noProof/>
          <w:sz w:val="24"/>
          <w:szCs w:val="24"/>
          <w:u w:val="single"/>
        </w:rPr>
        <w:t xml:space="preserve">Følgende bivirkninger er blevet observeret med </w:t>
      </w:r>
      <w:r>
        <w:rPr>
          <w:noProof/>
          <w:sz w:val="24"/>
          <w:szCs w:val="24"/>
          <w:u w:val="single"/>
        </w:rPr>
        <w:t>nedenstående angivne frekvenser</w:t>
      </w:r>
    </w:p>
    <w:p w:rsidR="00497EDC" w:rsidRPr="009D445C" w:rsidRDefault="00497EDC" w:rsidP="00497EDC">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768"/>
        <w:gridCol w:w="1972"/>
        <w:gridCol w:w="1768"/>
        <w:gridCol w:w="2187"/>
      </w:tblGrid>
      <w:tr w:rsidR="00497EDC" w:rsidRPr="009D445C" w:rsidTr="00EC1756">
        <w:trPr>
          <w:trHeight w:val="706"/>
        </w:trPr>
        <w:tc>
          <w:tcPr>
            <w:tcW w:w="1004" w:type="pct"/>
          </w:tcPr>
          <w:p w:rsidR="00497EDC" w:rsidRPr="009D445C" w:rsidRDefault="00497EDC" w:rsidP="003B4BCE">
            <w:pPr>
              <w:ind w:left="29"/>
              <w:rPr>
                <w:b/>
                <w:sz w:val="24"/>
                <w:szCs w:val="24"/>
              </w:rPr>
            </w:pPr>
            <w:r w:rsidRPr="009D445C">
              <w:rPr>
                <w:b/>
                <w:sz w:val="24"/>
                <w:szCs w:val="24"/>
              </w:rPr>
              <w:t>Organsystem</w:t>
            </w:r>
          </w:p>
        </w:tc>
        <w:tc>
          <w:tcPr>
            <w:tcW w:w="918" w:type="pct"/>
          </w:tcPr>
          <w:p w:rsidR="00497EDC" w:rsidRPr="009D445C" w:rsidRDefault="00497EDC" w:rsidP="003B4BCE">
            <w:pPr>
              <w:rPr>
                <w:b/>
                <w:sz w:val="24"/>
                <w:szCs w:val="24"/>
              </w:rPr>
            </w:pPr>
            <w:r w:rsidRPr="009D445C">
              <w:rPr>
                <w:b/>
                <w:sz w:val="24"/>
                <w:szCs w:val="24"/>
              </w:rPr>
              <w:t>Meget almindelig</w:t>
            </w:r>
          </w:p>
          <w:p w:rsidR="00497EDC" w:rsidRPr="009D445C" w:rsidRDefault="00497EDC" w:rsidP="003B4BCE">
            <w:pPr>
              <w:rPr>
                <w:b/>
                <w:sz w:val="24"/>
                <w:szCs w:val="24"/>
              </w:rPr>
            </w:pPr>
            <w:r w:rsidRPr="009D445C">
              <w:rPr>
                <w:b/>
                <w:sz w:val="24"/>
                <w:szCs w:val="24"/>
              </w:rPr>
              <w:t>≥ 1/10</w:t>
            </w:r>
          </w:p>
        </w:tc>
        <w:tc>
          <w:tcPr>
            <w:tcW w:w="1024" w:type="pct"/>
          </w:tcPr>
          <w:p w:rsidR="00497EDC" w:rsidRPr="009D445C" w:rsidRDefault="00497EDC" w:rsidP="003B4BCE">
            <w:pPr>
              <w:rPr>
                <w:b/>
                <w:sz w:val="24"/>
                <w:szCs w:val="24"/>
              </w:rPr>
            </w:pPr>
            <w:r w:rsidRPr="009D445C">
              <w:rPr>
                <w:b/>
                <w:sz w:val="24"/>
                <w:szCs w:val="24"/>
              </w:rPr>
              <w:t>Almindelig</w:t>
            </w:r>
          </w:p>
          <w:p w:rsidR="00497EDC" w:rsidRPr="009D445C" w:rsidRDefault="00497EDC" w:rsidP="003B4BCE">
            <w:pPr>
              <w:rPr>
                <w:b/>
                <w:sz w:val="24"/>
                <w:szCs w:val="24"/>
              </w:rPr>
            </w:pPr>
            <w:r w:rsidRPr="009D445C">
              <w:rPr>
                <w:b/>
                <w:sz w:val="24"/>
                <w:szCs w:val="24"/>
              </w:rPr>
              <w:t>≥ 1/100 til &lt; 1/10</w:t>
            </w:r>
          </w:p>
        </w:tc>
        <w:tc>
          <w:tcPr>
            <w:tcW w:w="918" w:type="pct"/>
          </w:tcPr>
          <w:p w:rsidR="00497EDC" w:rsidRPr="009D445C" w:rsidRDefault="00497EDC" w:rsidP="003B4BCE">
            <w:pPr>
              <w:rPr>
                <w:b/>
                <w:sz w:val="24"/>
                <w:szCs w:val="24"/>
              </w:rPr>
            </w:pPr>
            <w:r w:rsidRPr="009D445C">
              <w:rPr>
                <w:b/>
                <w:sz w:val="24"/>
                <w:szCs w:val="24"/>
              </w:rPr>
              <w:t>Ikke almindelig</w:t>
            </w:r>
          </w:p>
          <w:p w:rsidR="00497EDC" w:rsidRPr="009D445C" w:rsidRDefault="00497EDC" w:rsidP="003B4BCE">
            <w:pPr>
              <w:rPr>
                <w:b/>
                <w:sz w:val="24"/>
                <w:szCs w:val="24"/>
              </w:rPr>
            </w:pPr>
            <w:r w:rsidRPr="009D445C">
              <w:rPr>
                <w:b/>
                <w:sz w:val="24"/>
                <w:szCs w:val="24"/>
              </w:rPr>
              <w:t>≥ 1/1.000 til</w:t>
            </w:r>
          </w:p>
          <w:p w:rsidR="00497EDC" w:rsidRPr="009D445C" w:rsidRDefault="00497EDC" w:rsidP="003B4BCE">
            <w:pPr>
              <w:rPr>
                <w:b/>
                <w:sz w:val="24"/>
                <w:szCs w:val="24"/>
              </w:rPr>
            </w:pPr>
            <w:r w:rsidRPr="009D445C">
              <w:rPr>
                <w:b/>
                <w:sz w:val="24"/>
                <w:szCs w:val="24"/>
              </w:rPr>
              <w:t xml:space="preserve"> &lt; 1/100</w:t>
            </w:r>
          </w:p>
        </w:tc>
        <w:tc>
          <w:tcPr>
            <w:tcW w:w="1136" w:type="pct"/>
          </w:tcPr>
          <w:p w:rsidR="00497EDC" w:rsidRPr="009D445C" w:rsidRDefault="00497EDC" w:rsidP="003B4BCE">
            <w:pPr>
              <w:ind w:left="24"/>
              <w:rPr>
                <w:b/>
                <w:sz w:val="24"/>
                <w:szCs w:val="24"/>
              </w:rPr>
            </w:pPr>
            <w:r w:rsidRPr="009D445C">
              <w:rPr>
                <w:b/>
                <w:sz w:val="24"/>
                <w:szCs w:val="24"/>
              </w:rPr>
              <w:t>Frekvens ikke kendt (kan ikke estimeres ud fra forhåndenværende data)</w:t>
            </w:r>
          </w:p>
        </w:tc>
      </w:tr>
      <w:tr w:rsidR="00497EDC" w:rsidRPr="009D445C" w:rsidTr="00EC1756">
        <w:trPr>
          <w:trHeight w:val="655"/>
        </w:trPr>
        <w:tc>
          <w:tcPr>
            <w:tcW w:w="1004" w:type="pct"/>
          </w:tcPr>
          <w:p w:rsidR="00497EDC" w:rsidRPr="009D445C" w:rsidRDefault="00497EDC" w:rsidP="003B4BCE">
            <w:pPr>
              <w:ind w:left="29"/>
              <w:rPr>
                <w:b/>
                <w:sz w:val="24"/>
                <w:szCs w:val="24"/>
              </w:rPr>
            </w:pPr>
            <w:r w:rsidRPr="009D445C">
              <w:rPr>
                <w:b/>
                <w:sz w:val="24"/>
                <w:szCs w:val="24"/>
              </w:rPr>
              <w:t>Immunsystemet</w:t>
            </w:r>
          </w:p>
        </w:tc>
        <w:tc>
          <w:tcPr>
            <w:tcW w:w="918" w:type="pct"/>
          </w:tcPr>
          <w:p w:rsidR="00497EDC" w:rsidRPr="009D445C" w:rsidRDefault="00497EDC" w:rsidP="003B4BCE">
            <w:pPr>
              <w:rPr>
                <w:sz w:val="24"/>
                <w:szCs w:val="24"/>
              </w:rPr>
            </w:pPr>
          </w:p>
        </w:tc>
        <w:tc>
          <w:tcPr>
            <w:tcW w:w="1024" w:type="pct"/>
          </w:tcPr>
          <w:p w:rsidR="00497EDC" w:rsidRPr="009D445C" w:rsidRDefault="00497EDC" w:rsidP="003B4BCE">
            <w:pPr>
              <w:rPr>
                <w:sz w:val="24"/>
                <w:szCs w:val="24"/>
              </w:rPr>
            </w:pPr>
          </w:p>
        </w:tc>
        <w:tc>
          <w:tcPr>
            <w:tcW w:w="918" w:type="pct"/>
          </w:tcPr>
          <w:p w:rsidR="00497EDC" w:rsidRPr="009D445C" w:rsidRDefault="00497EDC" w:rsidP="003B4BCE">
            <w:pPr>
              <w:rPr>
                <w:sz w:val="24"/>
                <w:szCs w:val="24"/>
              </w:rPr>
            </w:pPr>
          </w:p>
        </w:tc>
        <w:tc>
          <w:tcPr>
            <w:tcW w:w="1136" w:type="pct"/>
          </w:tcPr>
          <w:p w:rsidR="00497EDC" w:rsidRPr="009D445C" w:rsidRDefault="00497EDC" w:rsidP="003B4BCE">
            <w:pPr>
              <w:ind w:left="24"/>
              <w:rPr>
                <w:sz w:val="24"/>
                <w:szCs w:val="24"/>
              </w:rPr>
            </w:pPr>
            <w:r w:rsidRPr="009D445C">
              <w:rPr>
                <w:sz w:val="24"/>
                <w:szCs w:val="24"/>
              </w:rPr>
              <w:t xml:space="preserve">Overfølsomhed*, </w:t>
            </w:r>
            <w:proofErr w:type="spellStart"/>
            <w:r w:rsidRPr="009D445C">
              <w:rPr>
                <w:sz w:val="24"/>
                <w:szCs w:val="24"/>
              </w:rPr>
              <w:t>anafylaktiske</w:t>
            </w:r>
            <w:proofErr w:type="spellEnd"/>
            <w:r w:rsidRPr="009D445C">
              <w:rPr>
                <w:sz w:val="24"/>
                <w:szCs w:val="24"/>
              </w:rPr>
              <w:t xml:space="preserve"> reaktioner *</w:t>
            </w:r>
          </w:p>
        </w:tc>
      </w:tr>
      <w:tr w:rsidR="00497EDC" w:rsidRPr="009D445C" w:rsidTr="00EC1756">
        <w:trPr>
          <w:trHeight w:val="1171"/>
        </w:trPr>
        <w:tc>
          <w:tcPr>
            <w:tcW w:w="1004" w:type="pct"/>
          </w:tcPr>
          <w:p w:rsidR="00497EDC" w:rsidRPr="009D445C" w:rsidRDefault="00497EDC" w:rsidP="003B4BCE">
            <w:pPr>
              <w:ind w:left="29"/>
              <w:rPr>
                <w:b/>
                <w:sz w:val="24"/>
                <w:szCs w:val="24"/>
              </w:rPr>
            </w:pPr>
            <w:r w:rsidRPr="009D445C">
              <w:rPr>
                <w:b/>
                <w:sz w:val="24"/>
                <w:szCs w:val="24"/>
              </w:rPr>
              <w:t>Mave-tarm-kanalen</w:t>
            </w:r>
          </w:p>
        </w:tc>
        <w:tc>
          <w:tcPr>
            <w:tcW w:w="918" w:type="pct"/>
          </w:tcPr>
          <w:p w:rsidR="00497EDC" w:rsidRPr="009D445C" w:rsidRDefault="00497EDC" w:rsidP="003B4BCE">
            <w:pPr>
              <w:rPr>
                <w:sz w:val="24"/>
                <w:szCs w:val="24"/>
              </w:rPr>
            </w:pPr>
            <w:r w:rsidRPr="009D445C">
              <w:rPr>
                <w:sz w:val="24"/>
                <w:szCs w:val="24"/>
              </w:rPr>
              <w:t>Mavesmerter</w:t>
            </w:r>
          </w:p>
        </w:tc>
        <w:tc>
          <w:tcPr>
            <w:tcW w:w="1024" w:type="pct"/>
          </w:tcPr>
          <w:p w:rsidR="00497EDC" w:rsidRPr="009D445C" w:rsidRDefault="00497EDC" w:rsidP="003B4BCE">
            <w:pPr>
              <w:rPr>
                <w:sz w:val="24"/>
                <w:szCs w:val="24"/>
              </w:rPr>
            </w:pPr>
            <w:r w:rsidRPr="009D445C">
              <w:rPr>
                <w:sz w:val="24"/>
                <w:szCs w:val="24"/>
              </w:rPr>
              <w:t>Kvalme,</w:t>
            </w:r>
          </w:p>
          <w:p w:rsidR="00497EDC" w:rsidRPr="009D445C" w:rsidRDefault="00497EDC" w:rsidP="003B4BCE">
            <w:pPr>
              <w:rPr>
                <w:sz w:val="24"/>
                <w:szCs w:val="24"/>
              </w:rPr>
            </w:pPr>
            <w:r w:rsidRPr="009D445C">
              <w:rPr>
                <w:sz w:val="24"/>
                <w:szCs w:val="24"/>
              </w:rPr>
              <w:t>opkastning,</w:t>
            </w:r>
          </w:p>
          <w:p w:rsidR="00497EDC" w:rsidRPr="009D445C" w:rsidRDefault="00497EDC" w:rsidP="003B4BCE">
            <w:pPr>
              <w:rPr>
                <w:sz w:val="24"/>
                <w:szCs w:val="24"/>
              </w:rPr>
            </w:pPr>
            <w:r w:rsidRPr="009D445C">
              <w:rPr>
                <w:sz w:val="24"/>
                <w:szCs w:val="24"/>
              </w:rPr>
              <w:t>obstipation, oppustet abdomen, diarré</w:t>
            </w:r>
          </w:p>
        </w:tc>
        <w:tc>
          <w:tcPr>
            <w:tcW w:w="918" w:type="pct"/>
          </w:tcPr>
          <w:p w:rsidR="00497EDC" w:rsidRPr="009D445C" w:rsidRDefault="00497EDC" w:rsidP="003B4BCE">
            <w:pPr>
              <w:rPr>
                <w:sz w:val="24"/>
                <w:szCs w:val="24"/>
              </w:rPr>
            </w:pPr>
          </w:p>
        </w:tc>
        <w:tc>
          <w:tcPr>
            <w:tcW w:w="1136" w:type="pct"/>
          </w:tcPr>
          <w:p w:rsidR="00497EDC" w:rsidRPr="009D445C" w:rsidRDefault="00497EDC" w:rsidP="003B4BCE">
            <w:pPr>
              <w:ind w:left="24"/>
              <w:rPr>
                <w:sz w:val="24"/>
                <w:szCs w:val="24"/>
              </w:rPr>
            </w:pPr>
            <w:r w:rsidRPr="009D445C">
              <w:rPr>
                <w:sz w:val="24"/>
                <w:szCs w:val="24"/>
              </w:rPr>
              <w:t xml:space="preserve">Strikturer i </w:t>
            </w:r>
            <w:proofErr w:type="spellStart"/>
            <w:r w:rsidRPr="009D445C">
              <w:rPr>
                <w:sz w:val="24"/>
                <w:szCs w:val="24"/>
              </w:rPr>
              <w:t>ileo-cecalregionen</w:t>
            </w:r>
            <w:proofErr w:type="spellEnd"/>
            <w:r w:rsidRPr="009D445C">
              <w:rPr>
                <w:sz w:val="24"/>
                <w:szCs w:val="24"/>
              </w:rPr>
              <w:t xml:space="preserve"> og </w:t>
            </w:r>
            <w:proofErr w:type="spellStart"/>
            <w:r w:rsidRPr="009D445C">
              <w:rPr>
                <w:sz w:val="24"/>
                <w:szCs w:val="24"/>
              </w:rPr>
              <w:t>colon</w:t>
            </w:r>
            <w:proofErr w:type="spellEnd"/>
            <w:r w:rsidRPr="009D445C">
              <w:rPr>
                <w:sz w:val="24"/>
                <w:szCs w:val="24"/>
              </w:rPr>
              <w:t xml:space="preserve"> (</w:t>
            </w:r>
            <w:proofErr w:type="spellStart"/>
            <w:r w:rsidRPr="009D445C">
              <w:rPr>
                <w:sz w:val="24"/>
                <w:szCs w:val="24"/>
              </w:rPr>
              <w:t>fibroserende</w:t>
            </w:r>
            <w:proofErr w:type="spellEnd"/>
            <w:r w:rsidRPr="009D445C">
              <w:rPr>
                <w:sz w:val="24"/>
                <w:szCs w:val="24"/>
              </w:rPr>
              <w:t xml:space="preserve"> </w:t>
            </w:r>
            <w:proofErr w:type="spellStart"/>
            <w:r w:rsidRPr="009D445C">
              <w:rPr>
                <w:sz w:val="24"/>
                <w:szCs w:val="24"/>
              </w:rPr>
              <w:t>colonopati</w:t>
            </w:r>
            <w:proofErr w:type="spellEnd"/>
            <w:r w:rsidRPr="009D445C">
              <w:rPr>
                <w:sz w:val="24"/>
                <w:szCs w:val="24"/>
              </w:rPr>
              <w:t>)</w:t>
            </w:r>
          </w:p>
        </w:tc>
      </w:tr>
      <w:tr w:rsidR="00497EDC" w:rsidRPr="009D445C" w:rsidTr="00EC1756">
        <w:trPr>
          <w:trHeight w:val="693"/>
        </w:trPr>
        <w:tc>
          <w:tcPr>
            <w:tcW w:w="1004" w:type="pct"/>
          </w:tcPr>
          <w:p w:rsidR="00497EDC" w:rsidRPr="009D445C" w:rsidRDefault="00497EDC" w:rsidP="003B4BCE">
            <w:pPr>
              <w:ind w:left="29"/>
              <w:rPr>
                <w:b/>
                <w:sz w:val="24"/>
                <w:szCs w:val="24"/>
              </w:rPr>
            </w:pPr>
            <w:r w:rsidRPr="009D445C">
              <w:rPr>
                <w:b/>
                <w:sz w:val="24"/>
                <w:szCs w:val="24"/>
              </w:rPr>
              <w:t>Hud og subkutane væv</w:t>
            </w:r>
          </w:p>
        </w:tc>
        <w:tc>
          <w:tcPr>
            <w:tcW w:w="918" w:type="pct"/>
          </w:tcPr>
          <w:p w:rsidR="00497EDC" w:rsidRPr="009D445C" w:rsidRDefault="00497EDC" w:rsidP="003B4BCE">
            <w:pPr>
              <w:rPr>
                <w:sz w:val="24"/>
                <w:szCs w:val="24"/>
              </w:rPr>
            </w:pPr>
          </w:p>
        </w:tc>
        <w:tc>
          <w:tcPr>
            <w:tcW w:w="1024" w:type="pct"/>
          </w:tcPr>
          <w:p w:rsidR="00497EDC" w:rsidRPr="009D445C" w:rsidRDefault="00497EDC" w:rsidP="003B4BCE">
            <w:pPr>
              <w:rPr>
                <w:sz w:val="24"/>
                <w:szCs w:val="24"/>
              </w:rPr>
            </w:pPr>
          </w:p>
        </w:tc>
        <w:tc>
          <w:tcPr>
            <w:tcW w:w="918" w:type="pct"/>
          </w:tcPr>
          <w:p w:rsidR="00497EDC" w:rsidRPr="009D445C" w:rsidRDefault="00497EDC" w:rsidP="003B4BCE">
            <w:pPr>
              <w:rPr>
                <w:sz w:val="24"/>
                <w:szCs w:val="24"/>
              </w:rPr>
            </w:pPr>
            <w:r w:rsidRPr="009D445C">
              <w:rPr>
                <w:sz w:val="24"/>
                <w:szCs w:val="24"/>
              </w:rPr>
              <w:t>Udslæt</w:t>
            </w:r>
          </w:p>
        </w:tc>
        <w:tc>
          <w:tcPr>
            <w:tcW w:w="1136" w:type="pct"/>
          </w:tcPr>
          <w:p w:rsidR="00497EDC" w:rsidRPr="009D445C" w:rsidRDefault="00497EDC" w:rsidP="003B4BCE">
            <w:pPr>
              <w:ind w:left="24"/>
              <w:rPr>
                <w:sz w:val="24"/>
                <w:szCs w:val="24"/>
              </w:rPr>
            </w:pPr>
            <w:proofErr w:type="spellStart"/>
            <w:r w:rsidRPr="009D445C">
              <w:rPr>
                <w:sz w:val="24"/>
                <w:szCs w:val="24"/>
              </w:rPr>
              <w:t>Pruritus</w:t>
            </w:r>
            <w:proofErr w:type="spellEnd"/>
            <w:r w:rsidRPr="009D445C">
              <w:rPr>
                <w:sz w:val="24"/>
                <w:szCs w:val="24"/>
              </w:rPr>
              <w:t>,</w:t>
            </w:r>
          </w:p>
          <w:p w:rsidR="00497EDC" w:rsidRPr="009D445C" w:rsidRDefault="00497EDC" w:rsidP="003B4BCE">
            <w:pPr>
              <w:ind w:left="24"/>
              <w:rPr>
                <w:sz w:val="24"/>
                <w:szCs w:val="24"/>
              </w:rPr>
            </w:pPr>
            <w:proofErr w:type="spellStart"/>
            <w:r w:rsidRPr="009D445C">
              <w:rPr>
                <w:sz w:val="24"/>
                <w:szCs w:val="24"/>
              </w:rPr>
              <w:t>urticaria</w:t>
            </w:r>
            <w:proofErr w:type="spellEnd"/>
          </w:p>
        </w:tc>
      </w:tr>
    </w:tbl>
    <w:p w:rsidR="00497EDC" w:rsidRPr="009D445C" w:rsidRDefault="00497EDC" w:rsidP="00497EDC">
      <w:pPr>
        <w:ind w:left="851"/>
        <w:rPr>
          <w:noProof/>
          <w:sz w:val="24"/>
          <w:szCs w:val="24"/>
        </w:rPr>
      </w:pPr>
    </w:p>
    <w:p w:rsidR="00497EDC" w:rsidRPr="009D445C" w:rsidRDefault="00497EDC" w:rsidP="00497EDC">
      <w:pPr>
        <w:tabs>
          <w:tab w:val="left" w:pos="284"/>
        </w:tabs>
        <w:autoSpaceDE w:val="0"/>
        <w:autoSpaceDN w:val="0"/>
        <w:adjustRightInd w:val="0"/>
        <w:ind w:left="1134" w:hanging="283"/>
        <w:rPr>
          <w:noProof/>
          <w:sz w:val="20"/>
        </w:rPr>
      </w:pPr>
      <w:r w:rsidRPr="009D445C">
        <w:rPr>
          <w:sz w:val="20"/>
        </w:rPr>
        <w:t>*</w:t>
      </w:r>
      <w:r>
        <w:rPr>
          <w:sz w:val="20"/>
        </w:rPr>
        <w:tab/>
      </w:r>
      <w:r w:rsidRPr="009D445C">
        <w:rPr>
          <w:noProof/>
          <w:sz w:val="20"/>
        </w:rPr>
        <w:t>Følgende symptomer på overfølsomhed er observeret under brug efter godkendelse:</w:t>
      </w:r>
    </w:p>
    <w:p w:rsidR="00497EDC" w:rsidRPr="009D445C" w:rsidRDefault="00497EDC" w:rsidP="00497EDC">
      <w:pPr>
        <w:ind w:left="1134"/>
        <w:rPr>
          <w:noProof/>
          <w:sz w:val="20"/>
        </w:rPr>
      </w:pPr>
      <w:r w:rsidRPr="009D445C">
        <w:rPr>
          <w:noProof/>
          <w:sz w:val="20"/>
        </w:rPr>
        <w:t>Generaliseret udslæt, angioødem, hævelse af læber, mundslimhinder og ansigt, brændende fornemmelse og hævelse omkring øjnene samt astmatiske symptomer. Derudover er takykardi og hypotension rapporteret under en tilstand af anafylaktisk shock.</w:t>
      </w:r>
    </w:p>
    <w:p w:rsidR="00497EDC" w:rsidRPr="009D445C" w:rsidRDefault="00497EDC" w:rsidP="00497EDC">
      <w:pPr>
        <w:autoSpaceDE w:val="0"/>
        <w:autoSpaceDN w:val="0"/>
        <w:adjustRightInd w:val="0"/>
        <w:ind w:left="851"/>
        <w:rPr>
          <w:noProof/>
          <w:sz w:val="24"/>
          <w:szCs w:val="24"/>
        </w:rPr>
      </w:pPr>
    </w:p>
    <w:p w:rsidR="00497EDC" w:rsidRPr="009D445C" w:rsidRDefault="00497EDC" w:rsidP="00497EDC">
      <w:pPr>
        <w:autoSpaceDE w:val="0"/>
        <w:autoSpaceDN w:val="0"/>
        <w:adjustRightInd w:val="0"/>
        <w:ind w:left="851"/>
        <w:rPr>
          <w:noProof/>
          <w:sz w:val="24"/>
          <w:szCs w:val="24"/>
          <w:u w:val="single"/>
        </w:rPr>
      </w:pPr>
      <w:r w:rsidRPr="009D445C">
        <w:rPr>
          <w:noProof/>
          <w:sz w:val="24"/>
          <w:szCs w:val="24"/>
          <w:u w:val="single"/>
        </w:rPr>
        <w:t>Pædiatrisk population</w:t>
      </w:r>
    </w:p>
    <w:p w:rsidR="00497EDC" w:rsidRPr="009D445C" w:rsidRDefault="00497EDC" w:rsidP="00497EDC">
      <w:pPr>
        <w:autoSpaceDE w:val="0"/>
        <w:autoSpaceDN w:val="0"/>
        <w:adjustRightInd w:val="0"/>
        <w:ind w:left="851"/>
        <w:rPr>
          <w:noProof/>
          <w:sz w:val="24"/>
          <w:szCs w:val="24"/>
        </w:rPr>
      </w:pPr>
      <w:r w:rsidRPr="009D445C">
        <w:rPr>
          <w:noProof/>
          <w:sz w:val="24"/>
          <w:szCs w:val="24"/>
        </w:rPr>
        <w:t>Der er ikke identificeret specifikke bivirkninger hos børn. Bivirkningernes frekvens, type og sværhedsgrad var de samme hos børn med cystisk fibrose som hos voksne.</w:t>
      </w:r>
    </w:p>
    <w:p w:rsidR="00497EDC" w:rsidRPr="009D445C" w:rsidRDefault="00497EDC" w:rsidP="00497EDC">
      <w:pPr>
        <w:autoSpaceDE w:val="0"/>
        <w:autoSpaceDN w:val="0"/>
        <w:adjustRightInd w:val="0"/>
        <w:ind w:left="851"/>
        <w:rPr>
          <w:noProof/>
          <w:sz w:val="24"/>
          <w:szCs w:val="24"/>
        </w:rPr>
      </w:pPr>
    </w:p>
    <w:p w:rsidR="00497EDC" w:rsidRPr="008F49E1" w:rsidRDefault="00497EDC" w:rsidP="00497EDC">
      <w:pPr>
        <w:autoSpaceDE w:val="0"/>
        <w:autoSpaceDN w:val="0"/>
        <w:ind w:left="851"/>
        <w:rPr>
          <w:sz w:val="24"/>
          <w:szCs w:val="24"/>
          <w:u w:val="single"/>
          <w:lang w:eastAsia="da-DK"/>
        </w:rPr>
      </w:pPr>
      <w:bookmarkStart w:id="0" w:name="_Hlk31294671"/>
      <w:r w:rsidRPr="008F49E1">
        <w:rPr>
          <w:sz w:val="24"/>
          <w:szCs w:val="24"/>
          <w:u w:val="single"/>
          <w:lang w:eastAsia="da-DK"/>
        </w:rPr>
        <w:t>Indberetning af formodede bivirkninger</w:t>
      </w:r>
    </w:p>
    <w:p w:rsidR="00497EDC" w:rsidRPr="008F49E1" w:rsidRDefault="00497EDC" w:rsidP="00497ED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16A0C">
        <w:rPr>
          <w:sz w:val="24"/>
          <w:szCs w:val="24"/>
          <w:lang w:eastAsia="da-DK"/>
        </w:rPr>
        <w:t>S</w:t>
      </w:r>
      <w:r w:rsidRPr="008F49E1">
        <w:rPr>
          <w:sz w:val="24"/>
          <w:szCs w:val="24"/>
          <w:lang w:eastAsia="da-DK"/>
        </w:rPr>
        <w:t>undhedsperson</w:t>
      </w:r>
      <w:r w:rsidR="00716A0C">
        <w:rPr>
          <w:sz w:val="24"/>
          <w:szCs w:val="24"/>
          <w:lang w:eastAsia="da-DK"/>
        </w:rPr>
        <w:t>er</w:t>
      </w:r>
      <w:r w:rsidRPr="008F49E1">
        <w:rPr>
          <w:sz w:val="24"/>
          <w:szCs w:val="24"/>
          <w:lang w:eastAsia="da-DK"/>
        </w:rPr>
        <w:t xml:space="preserve"> anmodes om at indberette alle formodede bivirkninger via:</w:t>
      </w:r>
    </w:p>
    <w:p w:rsidR="00686A79" w:rsidRDefault="00686A79">
      <w:pPr>
        <w:rPr>
          <w:sz w:val="24"/>
          <w:szCs w:val="24"/>
          <w:lang w:eastAsia="da-DK"/>
        </w:rPr>
      </w:pPr>
      <w:r>
        <w:rPr>
          <w:sz w:val="24"/>
          <w:szCs w:val="24"/>
          <w:lang w:eastAsia="da-DK"/>
        </w:rPr>
        <w:br w:type="page"/>
      </w:r>
    </w:p>
    <w:p w:rsidR="00497EDC" w:rsidRDefault="00497EDC" w:rsidP="00497EDC">
      <w:pPr>
        <w:ind w:left="851"/>
        <w:rPr>
          <w:sz w:val="24"/>
          <w:szCs w:val="24"/>
          <w:lang w:eastAsia="da-DK"/>
        </w:rPr>
      </w:pPr>
    </w:p>
    <w:p w:rsidR="00497EDC" w:rsidRPr="007A276A" w:rsidRDefault="00497EDC" w:rsidP="00497EDC">
      <w:pPr>
        <w:ind w:left="851"/>
        <w:rPr>
          <w:sz w:val="24"/>
          <w:szCs w:val="24"/>
          <w:lang w:eastAsia="da-DK"/>
        </w:rPr>
      </w:pPr>
      <w:r w:rsidRPr="007A276A">
        <w:rPr>
          <w:sz w:val="24"/>
          <w:szCs w:val="24"/>
          <w:lang w:eastAsia="da-DK"/>
        </w:rPr>
        <w:t>Lægemiddelstyrelsen</w:t>
      </w:r>
    </w:p>
    <w:p w:rsidR="00497EDC" w:rsidRPr="007A276A" w:rsidRDefault="00497EDC" w:rsidP="00497EDC">
      <w:pPr>
        <w:ind w:left="851"/>
        <w:rPr>
          <w:sz w:val="24"/>
          <w:szCs w:val="24"/>
          <w:lang w:eastAsia="da-DK"/>
        </w:rPr>
      </w:pPr>
      <w:r w:rsidRPr="007A276A">
        <w:rPr>
          <w:sz w:val="24"/>
          <w:szCs w:val="24"/>
          <w:lang w:eastAsia="da-DK"/>
        </w:rPr>
        <w:t>Axel Heides Gade 1</w:t>
      </w:r>
    </w:p>
    <w:p w:rsidR="00497EDC" w:rsidRPr="007A276A" w:rsidRDefault="00497EDC" w:rsidP="00497EDC">
      <w:pPr>
        <w:ind w:left="851"/>
        <w:rPr>
          <w:sz w:val="24"/>
          <w:szCs w:val="24"/>
          <w:lang w:eastAsia="da-DK"/>
        </w:rPr>
      </w:pPr>
      <w:r w:rsidRPr="007A276A">
        <w:rPr>
          <w:sz w:val="24"/>
          <w:szCs w:val="24"/>
          <w:lang w:eastAsia="da-DK"/>
        </w:rPr>
        <w:t>DK-2300 København S</w:t>
      </w:r>
    </w:p>
    <w:p w:rsidR="00497EDC" w:rsidRDefault="00497EDC" w:rsidP="00497EDC">
      <w:pPr>
        <w:ind w:left="851"/>
        <w:rPr>
          <w:sz w:val="24"/>
          <w:lang w:eastAsia="da-DK"/>
        </w:rPr>
      </w:pPr>
      <w:r w:rsidRPr="002054AE">
        <w:rPr>
          <w:sz w:val="24"/>
          <w:szCs w:val="24"/>
          <w:lang w:eastAsia="da-DK"/>
        </w:rPr>
        <w:t xml:space="preserve">Websted: </w:t>
      </w:r>
      <w:hyperlink r:id="rId8" w:history="1">
        <w:r w:rsidR="00716A0C" w:rsidRPr="007171DF">
          <w:rPr>
            <w:rStyle w:val="Hyperlink"/>
            <w:sz w:val="24"/>
            <w:lang w:eastAsia="da-DK"/>
          </w:rPr>
          <w:t>www.meldenbivirkning.dk</w:t>
        </w:r>
      </w:hyperlink>
      <w:r w:rsidR="00716A0C">
        <w:rPr>
          <w:sz w:val="24"/>
          <w:lang w:eastAsia="da-DK"/>
        </w:rPr>
        <w:t xml:space="preserve"> </w:t>
      </w:r>
    </w:p>
    <w:bookmarkEnd w:id="0"/>
    <w:p w:rsidR="00497EDC" w:rsidRPr="0041475E" w:rsidRDefault="00497EDC" w:rsidP="00497EDC">
      <w:pPr>
        <w:pStyle w:val="Sidehoved"/>
        <w:tabs>
          <w:tab w:val="left" w:pos="851"/>
        </w:tabs>
        <w:ind w:left="851"/>
        <w:rPr>
          <w:szCs w:val="24"/>
        </w:rPr>
      </w:pPr>
    </w:p>
    <w:p w:rsidR="00497EDC" w:rsidRPr="00C84483" w:rsidRDefault="00497EDC" w:rsidP="00497EDC">
      <w:pPr>
        <w:tabs>
          <w:tab w:val="left" w:pos="851"/>
        </w:tabs>
        <w:ind w:left="851" w:hanging="851"/>
        <w:rPr>
          <w:b/>
          <w:sz w:val="24"/>
          <w:szCs w:val="24"/>
        </w:rPr>
      </w:pPr>
      <w:r w:rsidRPr="00C84483">
        <w:rPr>
          <w:b/>
          <w:sz w:val="24"/>
          <w:szCs w:val="24"/>
        </w:rPr>
        <w:t>4.9</w:t>
      </w:r>
      <w:r w:rsidRPr="00C84483">
        <w:rPr>
          <w:b/>
          <w:sz w:val="24"/>
          <w:szCs w:val="24"/>
        </w:rPr>
        <w:tab/>
        <w:t>Overdosering</w:t>
      </w:r>
    </w:p>
    <w:p w:rsidR="00497EDC" w:rsidRPr="00322EBE" w:rsidRDefault="00497EDC" w:rsidP="00497EDC">
      <w:pPr>
        <w:ind w:left="851"/>
        <w:rPr>
          <w:sz w:val="24"/>
          <w:szCs w:val="24"/>
        </w:rPr>
      </w:pPr>
      <w:r w:rsidRPr="00322EBE">
        <w:rPr>
          <w:sz w:val="24"/>
          <w:szCs w:val="24"/>
        </w:rPr>
        <w:t xml:space="preserve">Kronisk høje doser af pancreasenzymprodukter har været associeret med </w:t>
      </w:r>
      <w:proofErr w:type="spellStart"/>
      <w:r w:rsidRPr="00322EBE">
        <w:rPr>
          <w:sz w:val="24"/>
          <w:szCs w:val="24"/>
        </w:rPr>
        <w:t>f</w:t>
      </w:r>
      <w:r w:rsidRPr="00322EBE">
        <w:rPr>
          <w:noProof/>
          <w:sz w:val="24"/>
          <w:szCs w:val="24"/>
        </w:rPr>
        <w:t>ibroserende</w:t>
      </w:r>
      <w:proofErr w:type="spellEnd"/>
      <w:r w:rsidRPr="00322EBE">
        <w:rPr>
          <w:noProof/>
          <w:sz w:val="24"/>
          <w:szCs w:val="24"/>
        </w:rPr>
        <w:t xml:space="preserve"> colonsygdom</w:t>
      </w:r>
      <w:r w:rsidRPr="00322EBE">
        <w:rPr>
          <w:sz w:val="24"/>
          <w:szCs w:val="24"/>
        </w:rPr>
        <w:t xml:space="preserve"> og som følge heraf i nogle tilfælde </w:t>
      </w:r>
      <w:proofErr w:type="spellStart"/>
      <w:r w:rsidRPr="00322EBE">
        <w:rPr>
          <w:sz w:val="24"/>
          <w:szCs w:val="24"/>
        </w:rPr>
        <w:t>colonstrikturer</w:t>
      </w:r>
      <w:proofErr w:type="spellEnd"/>
      <w:r w:rsidRPr="00322EBE">
        <w:rPr>
          <w:sz w:val="24"/>
          <w:szCs w:val="24"/>
        </w:rPr>
        <w:t xml:space="preserve"> (se pkt. 4.2 og 4.4).</w:t>
      </w:r>
    </w:p>
    <w:p w:rsidR="00497EDC" w:rsidRPr="00C84483" w:rsidRDefault="00497EDC" w:rsidP="00497EDC">
      <w:pPr>
        <w:ind w:left="851"/>
        <w:rPr>
          <w:sz w:val="24"/>
          <w:szCs w:val="24"/>
        </w:rPr>
      </w:pPr>
      <w:r w:rsidRPr="00322EBE">
        <w:rPr>
          <w:sz w:val="24"/>
          <w:szCs w:val="24"/>
        </w:rPr>
        <w:t xml:space="preserve">Det er rapporteret, at ekstremt høje doser </w:t>
      </w:r>
      <w:proofErr w:type="spellStart"/>
      <w:r w:rsidRPr="00322EBE">
        <w:rPr>
          <w:sz w:val="24"/>
          <w:szCs w:val="24"/>
        </w:rPr>
        <w:t>pankreatin</w:t>
      </w:r>
      <w:proofErr w:type="spellEnd"/>
      <w:r w:rsidRPr="00322EBE">
        <w:rPr>
          <w:sz w:val="24"/>
          <w:szCs w:val="24"/>
        </w:rPr>
        <w:t xml:space="preserve"> har været associeret med </w:t>
      </w:r>
      <w:proofErr w:type="spellStart"/>
      <w:r w:rsidRPr="00322EBE">
        <w:rPr>
          <w:sz w:val="24"/>
          <w:szCs w:val="24"/>
        </w:rPr>
        <w:t>hyperurikosuri</w:t>
      </w:r>
      <w:proofErr w:type="spellEnd"/>
      <w:r w:rsidRPr="00322EBE">
        <w:rPr>
          <w:sz w:val="24"/>
          <w:szCs w:val="24"/>
        </w:rPr>
        <w:t xml:space="preserve"> og </w:t>
      </w:r>
      <w:proofErr w:type="spellStart"/>
      <w:r w:rsidRPr="00322EBE">
        <w:rPr>
          <w:sz w:val="24"/>
          <w:szCs w:val="24"/>
        </w:rPr>
        <w:t>hyperurikæmi</w:t>
      </w:r>
      <w:proofErr w:type="spellEnd"/>
      <w:r w:rsidRPr="00322EBE">
        <w:rPr>
          <w:sz w:val="24"/>
          <w:szCs w:val="24"/>
        </w:rPr>
        <w: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4.10</w:t>
      </w:r>
      <w:r w:rsidRPr="00C84483">
        <w:rPr>
          <w:b/>
          <w:sz w:val="24"/>
          <w:szCs w:val="24"/>
        </w:rPr>
        <w:tab/>
        <w:t>Udlevering</w:t>
      </w:r>
    </w:p>
    <w:p w:rsidR="00497EDC" w:rsidRPr="00C84483" w:rsidRDefault="00497EDC" w:rsidP="00497EDC">
      <w:pPr>
        <w:tabs>
          <w:tab w:val="left" w:pos="851"/>
        </w:tabs>
        <w:ind w:left="851"/>
        <w:rPr>
          <w:sz w:val="24"/>
          <w:szCs w:val="24"/>
        </w:rPr>
      </w:pPr>
      <w:r>
        <w:rPr>
          <w:sz w:val="24"/>
          <w:szCs w:val="24"/>
        </w:rPr>
        <w:t>HA</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97EDC" w:rsidRPr="002F727F" w:rsidRDefault="00497EDC" w:rsidP="00497EDC">
      <w:pPr>
        <w:tabs>
          <w:tab w:val="left" w:pos="851"/>
        </w:tabs>
        <w:ind w:left="851"/>
        <w:rPr>
          <w:sz w:val="24"/>
          <w:szCs w:val="24"/>
          <w:lang w:val="en-US"/>
        </w:rPr>
      </w:pPr>
      <w:bookmarkStart w:id="1" w:name="_Hlk524430483"/>
      <w:r w:rsidRPr="002F727F">
        <w:rPr>
          <w:sz w:val="24"/>
          <w:szCs w:val="24"/>
          <w:lang w:val="en-US"/>
        </w:rPr>
        <w:t>ATC-</w:t>
      </w:r>
      <w:proofErr w:type="spellStart"/>
      <w:r w:rsidRPr="002F727F">
        <w:rPr>
          <w:sz w:val="24"/>
          <w:szCs w:val="24"/>
          <w:lang w:val="en-US"/>
        </w:rPr>
        <w:t>kode</w:t>
      </w:r>
      <w:proofErr w:type="spellEnd"/>
      <w:r w:rsidRPr="002F727F">
        <w:rPr>
          <w:sz w:val="24"/>
          <w:szCs w:val="24"/>
          <w:lang w:val="en-US"/>
        </w:rPr>
        <w:t>: A 09 AA 02</w:t>
      </w:r>
      <w:r>
        <w:rPr>
          <w:sz w:val="24"/>
          <w:szCs w:val="24"/>
          <w:lang w:val="en-US"/>
        </w:rPr>
        <w:t xml:space="preserve">. </w:t>
      </w:r>
      <w:proofErr w:type="spellStart"/>
      <w:r w:rsidRPr="002F727F">
        <w:rPr>
          <w:sz w:val="24"/>
          <w:szCs w:val="24"/>
          <w:lang w:val="en-US"/>
        </w:rPr>
        <w:t>Multienzymer</w:t>
      </w:r>
      <w:proofErr w:type="spellEnd"/>
      <w:r w:rsidRPr="002F727F">
        <w:rPr>
          <w:sz w:val="24"/>
          <w:szCs w:val="24"/>
          <w:lang w:val="en-US"/>
        </w:rPr>
        <w:t xml:space="preserve"> (amylase, lipase, protease)</w:t>
      </w:r>
      <w:bookmarkEnd w:id="1"/>
      <w:r>
        <w:rPr>
          <w:sz w:val="24"/>
          <w:szCs w:val="24"/>
          <w:lang w:val="en-US"/>
        </w:rPr>
        <w:t>.</w:t>
      </w:r>
    </w:p>
    <w:p w:rsidR="00497EDC" w:rsidRPr="002F727F" w:rsidRDefault="00497EDC" w:rsidP="00497EDC">
      <w:pPr>
        <w:tabs>
          <w:tab w:val="left" w:pos="851"/>
        </w:tabs>
        <w:ind w:left="851"/>
        <w:rPr>
          <w:sz w:val="24"/>
          <w:szCs w:val="24"/>
          <w:lang w:val="en-US"/>
        </w:rPr>
      </w:pPr>
    </w:p>
    <w:p w:rsidR="00497EDC" w:rsidRPr="00C84483" w:rsidRDefault="00497EDC" w:rsidP="00497ED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97EDC" w:rsidRPr="00524695" w:rsidRDefault="00497EDC" w:rsidP="00497EDC">
      <w:pPr>
        <w:suppressAutoHyphens/>
        <w:ind w:left="851"/>
        <w:rPr>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Virkningsmekanisme</w:t>
      </w:r>
    </w:p>
    <w:p w:rsidR="00497EDC" w:rsidRPr="00524695" w:rsidRDefault="00C55280" w:rsidP="00497EDC">
      <w:pPr>
        <w:suppressAutoHyphens/>
        <w:ind w:left="851"/>
        <w:rPr>
          <w:bCs/>
          <w:noProof/>
          <w:sz w:val="24"/>
          <w:szCs w:val="24"/>
        </w:rPr>
      </w:pPr>
      <w:r>
        <w:rPr>
          <w:bCs/>
          <w:noProof/>
          <w:sz w:val="24"/>
          <w:szCs w:val="24"/>
        </w:rPr>
        <w:t>Kreon</w:t>
      </w:r>
      <w:r w:rsidR="00497EDC" w:rsidRPr="00524695">
        <w:rPr>
          <w:bCs/>
          <w:noProof/>
          <w:sz w:val="24"/>
          <w:szCs w:val="24"/>
        </w:rPr>
        <w:t xml:space="preserve"> indeholder porcint pancreaspulver (pancreatin) formuleret som entero-overtrukne pellets (minimikrosfærer) i en gelatinekapsel.</w:t>
      </w:r>
    </w:p>
    <w:p w:rsidR="00497EDC" w:rsidRPr="00524695" w:rsidRDefault="00497EDC" w:rsidP="00497EDC">
      <w:pPr>
        <w:suppressAutoHyphens/>
        <w:ind w:left="851"/>
        <w:rPr>
          <w:bCs/>
          <w:noProof/>
          <w:sz w:val="24"/>
          <w:szCs w:val="24"/>
        </w:rPr>
      </w:pPr>
      <w:r w:rsidRPr="00524695">
        <w:rPr>
          <w:bCs/>
          <w:noProof/>
          <w:sz w:val="24"/>
          <w:szCs w:val="24"/>
        </w:rPr>
        <w:t>Kapslerne opløses hurtigt i maven, og der frigivees mange entero-overtrukne pellets. Det er et multidosisprincip, der er designet til at opnå god blanding med chymus, tømmes fra maven sammen med chymus og giver, efter frigivelse, en god fordeling af enzymer i chymus.</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Klinisk virkning</w:t>
      </w:r>
    </w:p>
    <w:p w:rsidR="00497EDC" w:rsidRPr="00524695" w:rsidRDefault="00497EDC" w:rsidP="00497EDC">
      <w:pPr>
        <w:suppressAutoHyphens/>
        <w:ind w:left="851"/>
        <w:rPr>
          <w:bCs/>
          <w:noProof/>
          <w:sz w:val="24"/>
          <w:szCs w:val="24"/>
        </w:rPr>
      </w:pPr>
      <w:r w:rsidRPr="00524695">
        <w:rPr>
          <w:bCs/>
          <w:noProof/>
          <w:sz w:val="24"/>
          <w:szCs w:val="24"/>
        </w:rPr>
        <w:t xml:space="preserve">Samlet set er der udført 33 studier af effekten af </w:t>
      </w:r>
      <w:r w:rsidR="00C55280">
        <w:rPr>
          <w:bCs/>
          <w:noProof/>
          <w:sz w:val="24"/>
          <w:szCs w:val="24"/>
        </w:rPr>
        <w:t>Kreon</w:t>
      </w:r>
      <w:r w:rsidRPr="00524695">
        <w:rPr>
          <w:bCs/>
          <w:noProof/>
          <w:sz w:val="24"/>
          <w:szCs w:val="24"/>
        </w:rPr>
        <w:t xml:space="preserve"> (</w:t>
      </w:r>
      <w:r w:rsidR="00C55280">
        <w:rPr>
          <w:bCs/>
          <w:noProof/>
          <w:sz w:val="24"/>
          <w:szCs w:val="24"/>
        </w:rPr>
        <w:t>Kreon</w:t>
      </w:r>
      <w:r w:rsidRPr="00524695">
        <w:rPr>
          <w:bCs/>
          <w:noProof/>
          <w:sz w:val="24"/>
          <w:szCs w:val="24"/>
        </w:rPr>
        <w:t xml:space="preserve">-kapsler med 10.000, 25.000 eller 40.000 Ph.Eur. lipase enheder og </w:t>
      </w:r>
      <w:r w:rsidR="00C55280">
        <w:rPr>
          <w:bCs/>
          <w:noProof/>
          <w:sz w:val="24"/>
          <w:szCs w:val="24"/>
        </w:rPr>
        <w:t>Kreon</w:t>
      </w:r>
      <w:r w:rsidRPr="00524695">
        <w:rPr>
          <w:bCs/>
          <w:noProof/>
          <w:sz w:val="24"/>
          <w:szCs w:val="24"/>
        </w:rPr>
        <w:t xml:space="preserve"> 5.000) hos patienter med </w:t>
      </w:r>
      <w:r w:rsidRPr="00524695">
        <w:rPr>
          <w:noProof/>
          <w:sz w:val="24"/>
          <w:szCs w:val="24"/>
        </w:rPr>
        <w:t>exokrin pancreasinsufficiens</w:t>
      </w:r>
      <w:r w:rsidRPr="00524695">
        <w:rPr>
          <w:bCs/>
          <w:noProof/>
          <w:sz w:val="24"/>
          <w:szCs w:val="24"/>
        </w:rPr>
        <w:t>. Elleve af disse var placebokontrollerede studier, der blev udført hos patienter med cystisk fibrose, kronisk pankreatitis eller postkirurgiske tilstande.</w:t>
      </w:r>
    </w:p>
    <w:p w:rsidR="00497EDC" w:rsidRPr="00524695" w:rsidRDefault="00497EDC" w:rsidP="00497EDC">
      <w:pPr>
        <w:suppressAutoHyphens/>
        <w:ind w:left="851"/>
        <w:rPr>
          <w:bCs/>
          <w:noProof/>
          <w:sz w:val="24"/>
          <w:szCs w:val="24"/>
        </w:rPr>
      </w:pPr>
      <w:r w:rsidRPr="00524695">
        <w:rPr>
          <w:bCs/>
          <w:noProof/>
          <w:sz w:val="24"/>
          <w:szCs w:val="24"/>
        </w:rPr>
        <w:t xml:space="preserve">I alle randomiserede, placebokontrollerede, effektstudier var det foruddefinerede primære mål at vise </w:t>
      </w:r>
      <w:r w:rsidR="00C55280">
        <w:rPr>
          <w:bCs/>
          <w:noProof/>
          <w:sz w:val="24"/>
          <w:szCs w:val="24"/>
        </w:rPr>
        <w:t>Kreon</w:t>
      </w:r>
      <w:r w:rsidRPr="00524695">
        <w:rPr>
          <w:bCs/>
          <w:noProof/>
          <w:sz w:val="24"/>
          <w:szCs w:val="24"/>
        </w:rPr>
        <w:t>s overlegenhed over for placebo på den primære effektparameter, fedtabsorptionskoefficienten (CFA).</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rPr>
      </w:pPr>
      <w:r w:rsidRPr="00524695">
        <w:rPr>
          <w:bCs/>
          <w:noProof/>
          <w:sz w:val="24"/>
          <w:szCs w:val="24"/>
        </w:rPr>
        <w:t>Fedtabsorptionskoefficienten bestemmer den procentdel af fedt, der absorberes i kroppen under hensyntagen til fedtindtag og fekal fedtudskillelse. I de placebokontrollerede PEI-studier var den gennemsnitlige CFA (</w:t>
      </w:r>
      <w:r>
        <w:rPr>
          <w:bCs/>
          <w:noProof/>
          <w:sz w:val="24"/>
          <w:szCs w:val="24"/>
        </w:rPr>
        <w:t xml:space="preserve"> %</w:t>
      </w:r>
      <w:r w:rsidRPr="00524695">
        <w:rPr>
          <w:bCs/>
          <w:noProof/>
          <w:sz w:val="24"/>
          <w:szCs w:val="24"/>
        </w:rPr>
        <w:t xml:space="preserve">) højere ved behandling med </w:t>
      </w:r>
      <w:r w:rsidR="00C55280">
        <w:rPr>
          <w:bCs/>
          <w:noProof/>
          <w:sz w:val="24"/>
          <w:szCs w:val="24"/>
        </w:rPr>
        <w:t>Kreon</w:t>
      </w:r>
      <w:r w:rsidRPr="00524695">
        <w:rPr>
          <w:bCs/>
          <w:noProof/>
          <w:sz w:val="24"/>
          <w:szCs w:val="24"/>
        </w:rPr>
        <w:t xml:space="preserve"> (83,0</w:t>
      </w:r>
      <w:r>
        <w:rPr>
          <w:bCs/>
          <w:noProof/>
          <w:sz w:val="24"/>
          <w:szCs w:val="24"/>
        </w:rPr>
        <w:t xml:space="preserve"> %</w:t>
      </w:r>
      <w:r w:rsidRPr="00524695">
        <w:rPr>
          <w:bCs/>
          <w:noProof/>
          <w:sz w:val="24"/>
          <w:szCs w:val="24"/>
        </w:rPr>
        <w:t>) sammenlignet med placebo (59,1</w:t>
      </w:r>
      <w:r>
        <w:rPr>
          <w:bCs/>
          <w:noProof/>
          <w:sz w:val="24"/>
          <w:szCs w:val="24"/>
        </w:rPr>
        <w:t xml:space="preserve"> %</w:t>
      </w:r>
      <w:r w:rsidRPr="00524695">
        <w:rPr>
          <w:bCs/>
          <w:noProof/>
          <w:sz w:val="24"/>
          <w:szCs w:val="24"/>
        </w:rPr>
        <w:t>). I alle studier svarede den gennemsnitlige CFA (</w:t>
      </w:r>
      <w:r>
        <w:rPr>
          <w:bCs/>
          <w:noProof/>
          <w:sz w:val="24"/>
          <w:szCs w:val="24"/>
        </w:rPr>
        <w:t xml:space="preserve"> %</w:t>
      </w:r>
      <w:r w:rsidRPr="00524695">
        <w:rPr>
          <w:bCs/>
          <w:noProof/>
          <w:sz w:val="24"/>
          <w:szCs w:val="24"/>
        </w:rPr>
        <w:t xml:space="preserve">) ved behandlingens slutning med </w:t>
      </w:r>
      <w:r w:rsidR="00C55280">
        <w:rPr>
          <w:bCs/>
          <w:noProof/>
          <w:sz w:val="24"/>
          <w:szCs w:val="24"/>
        </w:rPr>
        <w:t>Kreon</w:t>
      </w:r>
      <w:r w:rsidRPr="00524695">
        <w:rPr>
          <w:bCs/>
          <w:noProof/>
          <w:sz w:val="24"/>
          <w:szCs w:val="24"/>
        </w:rPr>
        <w:t xml:space="preserve">, uanset design, til de gennemsnitlige CFA-værdier for </w:t>
      </w:r>
      <w:r w:rsidR="00C55280">
        <w:rPr>
          <w:bCs/>
          <w:noProof/>
          <w:sz w:val="24"/>
          <w:szCs w:val="24"/>
        </w:rPr>
        <w:t>Kreon</w:t>
      </w:r>
      <w:r w:rsidRPr="00524695">
        <w:rPr>
          <w:bCs/>
          <w:noProof/>
          <w:sz w:val="24"/>
          <w:szCs w:val="24"/>
        </w:rPr>
        <w:t xml:space="preserve"> i de placebokontrollerede studier.</w:t>
      </w:r>
    </w:p>
    <w:p w:rsidR="00497EDC" w:rsidRPr="00524695" w:rsidRDefault="00497EDC" w:rsidP="00497EDC">
      <w:pPr>
        <w:suppressAutoHyphens/>
        <w:ind w:left="851"/>
        <w:rPr>
          <w:bCs/>
          <w:noProof/>
          <w:sz w:val="24"/>
          <w:szCs w:val="24"/>
        </w:rPr>
      </w:pPr>
      <w:r w:rsidRPr="00524695">
        <w:rPr>
          <w:bCs/>
          <w:noProof/>
          <w:sz w:val="24"/>
          <w:szCs w:val="24"/>
        </w:rPr>
        <w:t xml:space="preserve">Behandling med </w:t>
      </w:r>
      <w:r w:rsidR="00C55280">
        <w:rPr>
          <w:bCs/>
          <w:noProof/>
          <w:sz w:val="24"/>
          <w:szCs w:val="24"/>
        </w:rPr>
        <w:t>Kreon</w:t>
      </w:r>
      <w:r w:rsidRPr="00524695">
        <w:rPr>
          <w:bCs/>
          <w:noProof/>
          <w:sz w:val="24"/>
          <w:szCs w:val="24"/>
        </w:rPr>
        <w:t xml:space="preserve"> forbedrer signifikant symptomerne på exokrin pancreasinsufficiens, herunder afføringens konsistens, mavesmerter, flatulens og afføringshyppighed, uafhængig af den underliggende sygdom.</w:t>
      </w:r>
    </w:p>
    <w:p w:rsidR="00686A79" w:rsidRDefault="00686A79">
      <w:pPr>
        <w:rPr>
          <w:bCs/>
          <w:noProof/>
          <w:sz w:val="24"/>
          <w:szCs w:val="24"/>
        </w:rPr>
      </w:pPr>
      <w:r>
        <w:rPr>
          <w:bCs/>
          <w:noProof/>
          <w:sz w:val="24"/>
          <w:szCs w:val="24"/>
        </w:rPr>
        <w:br w:type="page"/>
      </w:r>
    </w:p>
    <w:p w:rsidR="00497EDC" w:rsidRPr="00524695" w:rsidRDefault="00497EDC" w:rsidP="00497EDC">
      <w:pPr>
        <w:suppressAutoHyphens/>
        <w:ind w:left="851"/>
        <w:rPr>
          <w:bCs/>
          <w:noProof/>
          <w:sz w:val="24"/>
          <w:szCs w:val="24"/>
        </w:rPr>
      </w:pPr>
    </w:p>
    <w:p w:rsidR="00497EDC" w:rsidRPr="00800AFF" w:rsidRDefault="00497EDC" w:rsidP="00800AFF">
      <w:pPr>
        <w:ind w:left="851"/>
        <w:rPr>
          <w:noProof/>
          <w:sz w:val="24"/>
          <w:szCs w:val="24"/>
          <w:u w:val="single"/>
        </w:rPr>
      </w:pPr>
      <w:r w:rsidRPr="00800AFF">
        <w:rPr>
          <w:noProof/>
          <w:sz w:val="24"/>
          <w:szCs w:val="24"/>
          <w:u w:val="single"/>
        </w:rPr>
        <w:t>Pædiatrisk population</w:t>
      </w:r>
    </w:p>
    <w:p w:rsidR="00497EDC" w:rsidRPr="00C84483" w:rsidRDefault="00497EDC" w:rsidP="00497EDC">
      <w:pPr>
        <w:ind w:left="851"/>
        <w:rPr>
          <w:noProof/>
          <w:sz w:val="24"/>
          <w:szCs w:val="24"/>
        </w:rPr>
      </w:pPr>
      <w:r w:rsidRPr="00524695">
        <w:rPr>
          <w:noProof/>
          <w:sz w:val="24"/>
          <w:szCs w:val="24"/>
        </w:rPr>
        <w:t xml:space="preserve">Ved cystisk fibrose blev </w:t>
      </w:r>
      <w:r w:rsidR="00C55280">
        <w:rPr>
          <w:noProof/>
          <w:sz w:val="24"/>
          <w:szCs w:val="24"/>
        </w:rPr>
        <w:t>Kreon</w:t>
      </w:r>
      <w:r w:rsidRPr="00524695">
        <w:rPr>
          <w:noProof/>
          <w:sz w:val="24"/>
          <w:szCs w:val="24"/>
        </w:rPr>
        <w:t>s effekt vist hos 340 pædiatriske patienter dækkende en aldersgruppe fra nyfødte til unge patienter. I alle studier var den gennemsnitlige end-of-treatment CFA over 80</w:t>
      </w:r>
      <w:r>
        <w:rPr>
          <w:noProof/>
          <w:sz w:val="24"/>
          <w:szCs w:val="24"/>
        </w:rPr>
        <w:t xml:space="preserve"> %</w:t>
      </w:r>
      <w:r w:rsidRPr="00524695">
        <w:rPr>
          <w:noProof/>
          <w:sz w:val="24"/>
          <w:szCs w:val="24"/>
        </w:rPr>
        <w:t xml:space="preserve"> for </w:t>
      </w:r>
      <w:r w:rsidR="00C55280">
        <w:rPr>
          <w:noProof/>
          <w:sz w:val="24"/>
          <w:szCs w:val="24"/>
        </w:rPr>
        <w:t>Kreon</w:t>
      </w:r>
      <w:r w:rsidRPr="00524695">
        <w:rPr>
          <w:noProof/>
          <w:sz w:val="24"/>
          <w:szCs w:val="24"/>
        </w:rPr>
        <w:t xml:space="preserve"> for alle pædiatriske aldersgrupper.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97EDC" w:rsidRPr="00C84483" w:rsidRDefault="00497EDC" w:rsidP="00497EDC">
      <w:pPr>
        <w:ind w:left="851"/>
        <w:rPr>
          <w:sz w:val="24"/>
          <w:szCs w:val="24"/>
        </w:rPr>
      </w:pPr>
      <w:r w:rsidRPr="00FF5622">
        <w:rPr>
          <w:sz w:val="24"/>
          <w:szCs w:val="24"/>
        </w:rPr>
        <w:t xml:space="preserve">Dyreforsøg har ikke vist tegn på absorption af intakte enzymer, og der er derfor ikke udført klassiske farmakokinetik studier. Pancreasenzymtilskud kræver ikke absorption for at udøve effekt. Tværtimod udøves deres fulde terapeutiske aktivitet i mave-tarm-kanalens lumen. Derudover er de proteiner og undergår derfor </w:t>
      </w:r>
      <w:proofErr w:type="spellStart"/>
      <w:r w:rsidRPr="00FF5622">
        <w:rPr>
          <w:sz w:val="24"/>
          <w:szCs w:val="24"/>
        </w:rPr>
        <w:t>proteolytisk</w:t>
      </w:r>
      <w:proofErr w:type="spellEnd"/>
      <w:r w:rsidRPr="00FF5622">
        <w:rPr>
          <w:sz w:val="24"/>
          <w:szCs w:val="24"/>
        </w:rPr>
        <w:t xml:space="preserve"> nedbrydning under passagen i mave-tarm-kanalen, før de absorberes som peptider og aminosyrer.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97EDC" w:rsidRPr="00C84483" w:rsidRDefault="00497EDC" w:rsidP="00497EDC">
      <w:pPr>
        <w:numPr>
          <w:ilvl w:val="12"/>
          <w:numId w:val="0"/>
        </w:numPr>
        <w:ind w:left="851" w:right="11"/>
        <w:rPr>
          <w:sz w:val="24"/>
          <w:szCs w:val="24"/>
        </w:rPr>
      </w:pPr>
      <w:r w:rsidRPr="00FF5622">
        <w:rPr>
          <w:sz w:val="24"/>
          <w:szCs w:val="24"/>
        </w:rPr>
        <w:t xml:space="preserve">Prækliniske data viser ingen relevant toksicitet efter gentagne doser. Dyrestudier viser ikke evidens for absorption af </w:t>
      </w:r>
      <w:r w:rsidRPr="00FF5622">
        <w:rPr>
          <w:noProof/>
          <w:sz w:val="24"/>
          <w:szCs w:val="24"/>
        </w:rPr>
        <w:t>porcine pancreasenzymer</w:t>
      </w:r>
      <w:r w:rsidRPr="00FF5622">
        <w:rPr>
          <w:sz w:val="24"/>
          <w:szCs w:val="24"/>
        </w:rPr>
        <w:t xml:space="preserve"> fra mave-tarm-kanalen efter oral administration. Der er ikke udført studier vedrørende genotoksicitet, </w:t>
      </w:r>
      <w:proofErr w:type="spellStart"/>
      <w:r w:rsidRPr="00FF5622">
        <w:rPr>
          <w:sz w:val="24"/>
          <w:szCs w:val="24"/>
        </w:rPr>
        <w:t>karcinogenicitet</w:t>
      </w:r>
      <w:proofErr w:type="spellEnd"/>
      <w:r w:rsidRPr="00FF5622">
        <w:rPr>
          <w:sz w:val="24"/>
          <w:szCs w:val="24"/>
        </w:rPr>
        <w:t xml:space="preserve"> eller reproduktionstoksicitet.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97EDC" w:rsidRPr="00BA09F1"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6.1</w:t>
      </w:r>
      <w:r w:rsidRPr="00C84483">
        <w:rPr>
          <w:b/>
          <w:sz w:val="24"/>
          <w:szCs w:val="24"/>
        </w:rPr>
        <w:tab/>
        <w:t>Hjælpestoffer</w:t>
      </w:r>
    </w:p>
    <w:p w:rsidR="00497EDC" w:rsidRPr="003D4F91" w:rsidRDefault="00497EDC" w:rsidP="00497EDC">
      <w:pPr>
        <w:ind w:left="851"/>
        <w:rPr>
          <w:sz w:val="24"/>
          <w:szCs w:val="24"/>
        </w:rPr>
      </w:pPr>
    </w:p>
    <w:p w:rsidR="00497EDC" w:rsidRPr="00AD28F5" w:rsidRDefault="00497EDC" w:rsidP="00497EDC">
      <w:pPr>
        <w:ind w:left="851"/>
        <w:rPr>
          <w:sz w:val="24"/>
          <w:szCs w:val="24"/>
          <w:u w:val="single"/>
        </w:rPr>
      </w:pPr>
      <w:r w:rsidRPr="00AD28F5">
        <w:rPr>
          <w:sz w:val="24"/>
          <w:szCs w:val="24"/>
          <w:u w:val="single"/>
        </w:rPr>
        <w:t>Kapselindhold</w:t>
      </w:r>
    </w:p>
    <w:p w:rsidR="00497EDC" w:rsidRPr="00AD28F5" w:rsidRDefault="00497EDC" w:rsidP="00497EDC">
      <w:pPr>
        <w:ind w:left="851"/>
        <w:rPr>
          <w:sz w:val="24"/>
          <w:szCs w:val="24"/>
        </w:rPr>
      </w:pPr>
      <w:proofErr w:type="spellStart"/>
      <w:r w:rsidRPr="00AD28F5">
        <w:rPr>
          <w:sz w:val="24"/>
          <w:szCs w:val="24"/>
        </w:rPr>
        <w:t>Hypromellosephtalat</w:t>
      </w:r>
      <w:proofErr w:type="spellEnd"/>
    </w:p>
    <w:p w:rsidR="00497EDC" w:rsidRPr="00AD28F5" w:rsidRDefault="00497EDC" w:rsidP="00497EDC">
      <w:pPr>
        <w:ind w:left="851"/>
        <w:rPr>
          <w:sz w:val="24"/>
          <w:szCs w:val="24"/>
        </w:rPr>
      </w:pPr>
      <w:proofErr w:type="spellStart"/>
      <w:r w:rsidRPr="00AD28F5">
        <w:rPr>
          <w:sz w:val="24"/>
          <w:szCs w:val="24"/>
        </w:rPr>
        <w:t>Macrogol</w:t>
      </w:r>
      <w:proofErr w:type="spellEnd"/>
      <w:r w:rsidRPr="00AD28F5">
        <w:rPr>
          <w:sz w:val="24"/>
          <w:szCs w:val="24"/>
        </w:rPr>
        <w:t xml:space="preserve"> 4000</w:t>
      </w:r>
    </w:p>
    <w:p w:rsidR="00497EDC" w:rsidRPr="00AD28F5" w:rsidRDefault="00497EDC" w:rsidP="00497EDC">
      <w:pPr>
        <w:ind w:left="851"/>
        <w:rPr>
          <w:sz w:val="24"/>
          <w:szCs w:val="24"/>
        </w:rPr>
      </w:pPr>
      <w:proofErr w:type="spellStart"/>
      <w:r w:rsidRPr="00AD28F5">
        <w:rPr>
          <w:sz w:val="24"/>
          <w:szCs w:val="24"/>
        </w:rPr>
        <w:t>Triethylcitrat</w:t>
      </w:r>
      <w:proofErr w:type="spellEnd"/>
    </w:p>
    <w:p w:rsidR="00497EDC" w:rsidRPr="00AD28F5" w:rsidRDefault="00497EDC" w:rsidP="00497EDC">
      <w:pPr>
        <w:ind w:left="851"/>
        <w:rPr>
          <w:sz w:val="24"/>
          <w:szCs w:val="24"/>
        </w:rPr>
      </w:pPr>
      <w:proofErr w:type="spellStart"/>
      <w:r w:rsidRPr="00AD28F5">
        <w:rPr>
          <w:sz w:val="24"/>
          <w:szCs w:val="24"/>
        </w:rPr>
        <w:t>Dimeticon</w:t>
      </w:r>
      <w:proofErr w:type="spellEnd"/>
      <w:r w:rsidRPr="00AD28F5">
        <w:rPr>
          <w:sz w:val="24"/>
          <w:szCs w:val="24"/>
        </w:rPr>
        <w:t xml:space="preserve"> 1000</w:t>
      </w:r>
    </w:p>
    <w:p w:rsidR="00497EDC" w:rsidRPr="003D4F91" w:rsidRDefault="00497EDC" w:rsidP="00497EDC">
      <w:pPr>
        <w:ind w:left="851"/>
        <w:rPr>
          <w:sz w:val="24"/>
          <w:szCs w:val="24"/>
        </w:rPr>
      </w:pPr>
      <w:proofErr w:type="spellStart"/>
      <w:r w:rsidRPr="003D4F91">
        <w:rPr>
          <w:sz w:val="24"/>
          <w:szCs w:val="24"/>
        </w:rPr>
        <w:t>Cetylalkohol</w:t>
      </w:r>
      <w:proofErr w:type="spellEnd"/>
    </w:p>
    <w:p w:rsidR="00497EDC" w:rsidRPr="003D4F91" w:rsidRDefault="00497EDC" w:rsidP="00497EDC">
      <w:pPr>
        <w:ind w:left="851"/>
        <w:rPr>
          <w:sz w:val="24"/>
          <w:szCs w:val="24"/>
        </w:rPr>
      </w:pPr>
    </w:p>
    <w:p w:rsidR="00497EDC" w:rsidRPr="003D4F91" w:rsidRDefault="00497EDC" w:rsidP="00497EDC">
      <w:pPr>
        <w:ind w:left="851"/>
        <w:rPr>
          <w:sz w:val="24"/>
          <w:szCs w:val="24"/>
          <w:u w:val="single"/>
        </w:rPr>
      </w:pPr>
      <w:r w:rsidRPr="003D4F91">
        <w:rPr>
          <w:sz w:val="24"/>
          <w:szCs w:val="24"/>
          <w:u w:val="single"/>
        </w:rPr>
        <w:t>Kapselskal</w:t>
      </w:r>
    </w:p>
    <w:p w:rsidR="00497EDC" w:rsidRPr="003D4F91" w:rsidRDefault="00497EDC" w:rsidP="00497EDC">
      <w:pPr>
        <w:ind w:left="851"/>
        <w:rPr>
          <w:sz w:val="24"/>
          <w:szCs w:val="24"/>
        </w:rPr>
      </w:pPr>
      <w:r w:rsidRPr="003D4F91">
        <w:rPr>
          <w:sz w:val="24"/>
          <w:szCs w:val="24"/>
        </w:rPr>
        <w:t>Gelatine</w:t>
      </w:r>
    </w:p>
    <w:p w:rsidR="00497EDC" w:rsidRPr="003D4F91" w:rsidRDefault="00497EDC" w:rsidP="00497EDC">
      <w:pPr>
        <w:ind w:left="851"/>
        <w:rPr>
          <w:sz w:val="24"/>
          <w:szCs w:val="24"/>
        </w:rPr>
      </w:pPr>
      <w:r w:rsidRPr="003D4F91">
        <w:rPr>
          <w:sz w:val="24"/>
          <w:szCs w:val="24"/>
        </w:rPr>
        <w:t>Jernoxid, rød</w:t>
      </w:r>
      <w:r w:rsidR="00B81614">
        <w:rPr>
          <w:sz w:val="24"/>
          <w:szCs w:val="24"/>
        </w:rPr>
        <w:t xml:space="preserve"> og</w:t>
      </w:r>
      <w:r w:rsidRPr="003D4F91">
        <w:rPr>
          <w:sz w:val="24"/>
          <w:szCs w:val="24"/>
        </w:rPr>
        <w:t xml:space="preserve"> gul (E172)</w:t>
      </w:r>
    </w:p>
    <w:p w:rsidR="00497EDC" w:rsidRPr="003D4F91" w:rsidRDefault="00497EDC" w:rsidP="00497EDC">
      <w:pPr>
        <w:ind w:left="851"/>
        <w:rPr>
          <w:sz w:val="24"/>
          <w:szCs w:val="24"/>
        </w:rPr>
      </w:pPr>
      <w:proofErr w:type="spellStart"/>
      <w:r w:rsidRPr="003D4F91">
        <w:rPr>
          <w:sz w:val="24"/>
          <w:szCs w:val="24"/>
        </w:rPr>
        <w:t>Natriumlaurylsulfat</w:t>
      </w:r>
      <w:proofErr w:type="spellEnd"/>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6.2</w:t>
      </w:r>
      <w:r w:rsidRPr="00C84483">
        <w:rPr>
          <w:b/>
          <w:sz w:val="24"/>
          <w:szCs w:val="24"/>
        </w:rPr>
        <w:tab/>
        <w:t>Uforligeligheder</w:t>
      </w:r>
    </w:p>
    <w:p w:rsidR="00497EDC" w:rsidRPr="00C84483" w:rsidRDefault="00497EDC" w:rsidP="00497EDC">
      <w:pPr>
        <w:tabs>
          <w:tab w:val="left" w:pos="851"/>
        </w:tabs>
        <w:ind w:left="851"/>
        <w:rPr>
          <w:sz w:val="24"/>
          <w:szCs w:val="24"/>
        </w:rPr>
      </w:pPr>
      <w:r>
        <w:rPr>
          <w:sz w:val="24"/>
          <w:szCs w:val="24"/>
        </w:rPr>
        <w:t>Ikke relevant.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6.3</w:t>
      </w:r>
      <w:r w:rsidRPr="00C84483">
        <w:rPr>
          <w:b/>
          <w:sz w:val="24"/>
          <w:szCs w:val="24"/>
        </w:rPr>
        <w:tab/>
        <w:t>Opbevaringstid</w:t>
      </w:r>
    </w:p>
    <w:p w:rsidR="00497EDC" w:rsidRDefault="00497EDC" w:rsidP="00497EDC">
      <w:pPr>
        <w:ind w:left="851"/>
        <w:rPr>
          <w:sz w:val="24"/>
          <w:szCs w:val="24"/>
        </w:rPr>
      </w:pPr>
      <w:r>
        <w:rPr>
          <w:sz w:val="24"/>
          <w:szCs w:val="24"/>
        </w:rPr>
        <w:t>2 å</w:t>
      </w:r>
      <w:r w:rsidRPr="009844CC">
        <w:rPr>
          <w:sz w:val="24"/>
          <w:szCs w:val="24"/>
        </w:rPr>
        <w:t>r</w:t>
      </w:r>
      <w:r>
        <w:rPr>
          <w:sz w:val="24"/>
          <w:szCs w:val="24"/>
        </w:rPr>
        <w:t>.</w:t>
      </w:r>
    </w:p>
    <w:p w:rsidR="00497EDC" w:rsidRDefault="00497EDC" w:rsidP="00497EDC">
      <w:pPr>
        <w:ind w:left="851"/>
        <w:rPr>
          <w:sz w:val="24"/>
          <w:szCs w:val="24"/>
        </w:rPr>
      </w:pPr>
    </w:p>
    <w:p w:rsidR="00497EDC" w:rsidRPr="00BA2948" w:rsidRDefault="00497EDC" w:rsidP="00497EDC">
      <w:pPr>
        <w:ind w:left="851"/>
        <w:rPr>
          <w:sz w:val="24"/>
          <w:szCs w:val="24"/>
          <w:u w:val="single"/>
        </w:rPr>
      </w:pPr>
      <w:r w:rsidRPr="00BA2948">
        <w:rPr>
          <w:sz w:val="24"/>
          <w:szCs w:val="24"/>
          <w:u w:val="single"/>
        </w:rPr>
        <w:t>Efter anbrud</w:t>
      </w:r>
    </w:p>
    <w:p w:rsidR="00497EDC" w:rsidRDefault="00497EDC" w:rsidP="00497EDC">
      <w:pPr>
        <w:ind w:left="851"/>
        <w:rPr>
          <w:spacing w:val="-3"/>
          <w:sz w:val="24"/>
          <w:szCs w:val="24"/>
        </w:rPr>
      </w:pPr>
      <w:r>
        <w:rPr>
          <w:spacing w:val="-3"/>
          <w:sz w:val="24"/>
          <w:szCs w:val="24"/>
        </w:rPr>
        <w:t>6 måneder.</w:t>
      </w:r>
    </w:p>
    <w:p w:rsidR="00497EDC" w:rsidRPr="009844CC" w:rsidRDefault="00497EDC" w:rsidP="00497EDC">
      <w:pPr>
        <w:ind w:left="851"/>
        <w:rPr>
          <w:spacing w:val="-3"/>
          <w:sz w:val="24"/>
          <w:szCs w:val="24"/>
        </w:rPr>
      </w:pPr>
      <w:r w:rsidRPr="009844CC">
        <w:rPr>
          <w:spacing w:val="-3"/>
          <w:sz w:val="24"/>
          <w:szCs w:val="24"/>
        </w:rPr>
        <w:t xml:space="preserve">Må ikke opbevares over </w:t>
      </w:r>
      <w:r w:rsidRPr="009844CC">
        <w:rPr>
          <w:noProof/>
          <w:sz w:val="24"/>
          <w:szCs w:val="24"/>
        </w:rPr>
        <w:t>25 °C</w:t>
      </w:r>
      <w:r w:rsidRPr="009844CC">
        <w:rPr>
          <w:spacing w:val="-3"/>
          <w:sz w:val="24"/>
          <w:szCs w:val="24"/>
        </w:rPr>
        <w:t xml:space="preserve">. </w:t>
      </w:r>
    </w:p>
    <w:p w:rsidR="00497EDC" w:rsidRPr="00E77220" w:rsidRDefault="00497EDC" w:rsidP="00497EDC">
      <w:pPr>
        <w:ind w:left="851"/>
        <w:rPr>
          <w:spacing w:val="-3"/>
          <w:sz w:val="24"/>
          <w:szCs w:val="24"/>
        </w:rPr>
      </w:pPr>
      <w:r w:rsidRPr="009844CC">
        <w:rPr>
          <w:spacing w:val="-3"/>
          <w:sz w:val="24"/>
          <w:szCs w:val="24"/>
        </w:rPr>
        <w:t>Hold beholderen tæt tillukket for at beskytte mod fugt.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97EDC" w:rsidRDefault="00497EDC" w:rsidP="00497EDC">
      <w:pPr>
        <w:ind w:left="851"/>
        <w:rPr>
          <w:noProof/>
          <w:sz w:val="24"/>
          <w:szCs w:val="24"/>
        </w:rPr>
      </w:pPr>
      <w:r w:rsidRPr="009844CC">
        <w:rPr>
          <w:noProof/>
          <w:sz w:val="24"/>
          <w:szCs w:val="24"/>
        </w:rPr>
        <w:t>Må ikke opbevares over 25 °C.</w:t>
      </w:r>
    </w:p>
    <w:p w:rsidR="00497EDC" w:rsidRPr="009844CC" w:rsidRDefault="00497EDC" w:rsidP="00497EDC">
      <w:pPr>
        <w:ind w:left="851"/>
        <w:rPr>
          <w:noProof/>
          <w:sz w:val="24"/>
          <w:szCs w:val="24"/>
        </w:rPr>
      </w:pPr>
    </w:p>
    <w:p w:rsidR="00497EDC" w:rsidRPr="009844CC" w:rsidRDefault="00497EDC" w:rsidP="00497EDC">
      <w:pPr>
        <w:ind w:left="851"/>
        <w:rPr>
          <w:sz w:val="24"/>
          <w:szCs w:val="24"/>
          <w:highlight w:val="yellow"/>
        </w:rPr>
      </w:pPr>
      <w:r w:rsidRPr="009844CC">
        <w:rPr>
          <w:noProof/>
          <w:sz w:val="24"/>
          <w:szCs w:val="24"/>
        </w:rPr>
        <w:t>Opbevaringsforhold efter anbrud af lægemidlet, se pkt. 6.3.</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497EDC" w:rsidRDefault="00497EDC" w:rsidP="00497EDC">
      <w:pPr>
        <w:suppressAutoHyphens/>
        <w:ind w:left="851"/>
        <w:rPr>
          <w:sz w:val="24"/>
          <w:szCs w:val="24"/>
        </w:rPr>
      </w:pPr>
      <w:r w:rsidRPr="009844CC">
        <w:rPr>
          <w:sz w:val="24"/>
          <w:szCs w:val="24"/>
        </w:rPr>
        <w:t>Tabletbeholder af</w:t>
      </w:r>
      <w:r>
        <w:rPr>
          <w:sz w:val="24"/>
          <w:szCs w:val="24"/>
        </w:rPr>
        <w:t xml:space="preserve"> plast med skruel</w:t>
      </w:r>
      <w:r w:rsidR="00EC1756">
        <w:rPr>
          <w:sz w:val="24"/>
          <w:szCs w:val="24"/>
        </w:rPr>
        <w:t>å</w:t>
      </w:r>
      <w:r>
        <w:rPr>
          <w:sz w:val="24"/>
          <w:szCs w:val="24"/>
        </w:rPr>
        <w:t>g</w:t>
      </w:r>
      <w:r w:rsidR="00C55280">
        <w:rPr>
          <w:sz w:val="24"/>
          <w:szCs w:val="24"/>
        </w:rPr>
        <w:t>.</w:t>
      </w:r>
    </w:p>
    <w:p w:rsidR="00C55280" w:rsidRPr="00C84483" w:rsidRDefault="00C55280"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97EDC" w:rsidRPr="00C84483" w:rsidRDefault="00497EDC" w:rsidP="00497EDC">
      <w:pPr>
        <w:ind w:left="851"/>
        <w:rPr>
          <w:sz w:val="24"/>
          <w:szCs w:val="24"/>
        </w:rPr>
      </w:pPr>
      <w:r w:rsidRPr="009844CC">
        <w:rPr>
          <w:sz w:val="24"/>
          <w:szCs w:val="24"/>
        </w:rPr>
        <w:t>Ikke anvendt lægemiddel samt affald heraf skal bortskaffes i henhold til lokale retningslinjer.</w:t>
      </w:r>
    </w:p>
    <w:p w:rsidR="00497EDC" w:rsidRPr="00C84483" w:rsidRDefault="00497EDC" w:rsidP="00497EDC">
      <w:pPr>
        <w:tabs>
          <w:tab w:val="left" w:pos="851"/>
        </w:tabs>
        <w:ind w:left="851"/>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55280" w:rsidRPr="00EC1756" w:rsidRDefault="00C55280" w:rsidP="00C55280">
      <w:pPr>
        <w:ind w:left="851"/>
        <w:rPr>
          <w:sz w:val="24"/>
          <w:szCs w:val="24"/>
          <w:lang w:eastAsia="da-DK"/>
        </w:rPr>
      </w:pPr>
      <w:r w:rsidRPr="00EC1756">
        <w:rPr>
          <w:sz w:val="24"/>
          <w:szCs w:val="24"/>
          <w:lang w:eastAsia="da-DK"/>
        </w:rPr>
        <w:t>2care4 ApS</w:t>
      </w:r>
    </w:p>
    <w:p w:rsidR="00C55280" w:rsidRPr="00EC1756" w:rsidRDefault="00C55280" w:rsidP="00C55280">
      <w:pPr>
        <w:ind w:left="851"/>
        <w:rPr>
          <w:sz w:val="24"/>
          <w:szCs w:val="24"/>
          <w:lang w:eastAsia="da-DK"/>
        </w:rPr>
      </w:pPr>
      <w:r w:rsidRPr="00EC1756">
        <w:rPr>
          <w:sz w:val="24"/>
          <w:szCs w:val="24"/>
          <w:lang w:eastAsia="da-DK"/>
        </w:rPr>
        <w:t>Stenhuggervej 12</w:t>
      </w:r>
    </w:p>
    <w:p w:rsidR="00C55280" w:rsidRPr="00EC1756" w:rsidRDefault="00C55280" w:rsidP="00C55280">
      <w:pPr>
        <w:ind w:left="851"/>
        <w:rPr>
          <w:sz w:val="24"/>
          <w:szCs w:val="24"/>
          <w:lang w:eastAsia="da-DK"/>
        </w:rPr>
      </w:pPr>
      <w:r w:rsidRPr="00EC1756">
        <w:rPr>
          <w:sz w:val="24"/>
          <w:szCs w:val="24"/>
          <w:lang w:eastAsia="da-DK"/>
        </w:rPr>
        <w:t>6710 Esbjerg V</w:t>
      </w:r>
    </w:p>
    <w:p w:rsidR="00497EDC" w:rsidRPr="00EC1756"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497EDC" w:rsidRPr="00C84483" w:rsidRDefault="00C55280" w:rsidP="00497EDC">
      <w:pPr>
        <w:tabs>
          <w:tab w:val="left" w:pos="851"/>
        </w:tabs>
        <w:ind w:left="851"/>
        <w:rPr>
          <w:sz w:val="24"/>
          <w:szCs w:val="24"/>
        </w:rPr>
      </w:pPr>
      <w:r>
        <w:rPr>
          <w:sz w:val="24"/>
          <w:szCs w:val="24"/>
        </w:rPr>
        <w:t>66277</w:t>
      </w:r>
    </w:p>
    <w:p w:rsidR="00497EDC" w:rsidRPr="00C84483" w:rsidRDefault="00497EDC" w:rsidP="00497EDC">
      <w:pPr>
        <w:tabs>
          <w:tab w:val="left" w:pos="851"/>
        </w:tabs>
        <w:ind w:left="851"/>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97EDC" w:rsidRDefault="00C55280" w:rsidP="00497EDC">
      <w:pPr>
        <w:tabs>
          <w:tab w:val="left" w:pos="851"/>
        </w:tabs>
        <w:ind w:left="851"/>
        <w:rPr>
          <w:sz w:val="24"/>
          <w:szCs w:val="24"/>
        </w:rPr>
      </w:pPr>
      <w:r>
        <w:rPr>
          <w:sz w:val="24"/>
          <w:szCs w:val="24"/>
        </w:rPr>
        <w:t>3. december 2021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97EDC" w:rsidRDefault="00B81614" w:rsidP="00800AFF">
      <w:pPr>
        <w:tabs>
          <w:tab w:val="left" w:pos="851"/>
        </w:tabs>
        <w:ind w:left="851"/>
      </w:pPr>
      <w:r>
        <w:rPr>
          <w:sz w:val="24"/>
          <w:szCs w:val="24"/>
        </w:rPr>
        <w:t>14. december 2024</w:t>
      </w:r>
      <w:bookmarkStart w:id="2" w:name="_GoBack"/>
      <w:bookmarkEnd w:id="2"/>
    </w:p>
    <w:sectPr w:rsidR="009260DE" w:rsidRPr="00497ED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DC" w:rsidRDefault="00497EDC">
      <w:r>
        <w:separator/>
      </w:r>
    </w:p>
  </w:endnote>
  <w:endnote w:type="continuationSeparator" w:id="0">
    <w:p w:rsidR="00497EDC" w:rsidRDefault="0049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52B" w:rsidRDefault="004B552B" w:rsidP="004B552B">
    <w:pPr>
      <w:pStyle w:val="Sidefod"/>
      <w:pBdr>
        <w:bottom w:val="single" w:sz="6" w:space="1" w:color="auto"/>
      </w:pBdr>
    </w:pPr>
  </w:p>
  <w:p w:rsidR="004B552B" w:rsidRDefault="004B552B" w:rsidP="004B552B">
    <w:pPr>
      <w:pStyle w:val="Sidefod"/>
      <w:tabs>
        <w:tab w:val="clear" w:pos="4819"/>
        <w:tab w:val="left" w:pos="8505"/>
      </w:tabs>
      <w:rPr>
        <w:i/>
        <w:sz w:val="18"/>
        <w:szCs w:val="18"/>
      </w:rPr>
    </w:pPr>
  </w:p>
  <w:p w:rsidR="000259B9" w:rsidRPr="004B552B" w:rsidRDefault="004B552B" w:rsidP="004B552B">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86A79">
      <w:rPr>
        <w:i/>
        <w:noProof/>
        <w:sz w:val="18"/>
        <w:szCs w:val="18"/>
      </w:rPr>
      <w:t>Kreon (2care4), hårde enterokapsler Lipase 35.000 EP-e (MTnr. 66277).docx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DC" w:rsidRDefault="00497EDC">
      <w:r>
        <w:separator/>
      </w:r>
    </w:p>
  </w:footnote>
  <w:footnote w:type="continuationSeparator" w:id="0">
    <w:p w:rsidR="00497EDC" w:rsidRDefault="0049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DC"/>
    <w:rsid w:val="000259B9"/>
    <w:rsid w:val="00041491"/>
    <w:rsid w:val="00050D16"/>
    <w:rsid w:val="00074F2A"/>
    <w:rsid w:val="000A1CA8"/>
    <w:rsid w:val="000A466B"/>
    <w:rsid w:val="000B058C"/>
    <w:rsid w:val="000E4EE6"/>
    <w:rsid w:val="000F442E"/>
    <w:rsid w:val="001454E2"/>
    <w:rsid w:val="00206CE8"/>
    <w:rsid w:val="0021526C"/>
    <w:rsid w:val="0026010D"/>
    <w:rsid w:val="0026319E"/>
    <w:rsid w:val="00283A2B"/>
    <w:rsid w:val="002B30AD"/>
    <w:rsid w:val="002C2C01"/>
    <w:rsid w:val="003A29AE"/>
    <w:rsid w:val="003A32D7"/>
    <w:rsid w:val="003B4074"/>
    <w:rsid w:val="003C769A"/>
    <w:rsid w:val="003F1838"/>
    <w:rsid w:val="0045746C"/>
    <w:rsid w:val="0049104B"/>
    <w:rsid w:val="00497EDC"/>
    <w:rsid w:val="004B552B"/>
    <w:rsid w:val="004E3B12"/>
    <w:rsid w:val="00532310"/>
    <w:rsid w:val="00540AD3"/>
    <w:rsid w:val="00560ECC"/>
    <w:rsid w:val="00565F0F"/>
    <w:rsid w:val="00594A86"/>
    <w:rsid w:val="00596D86"/>
    <w:rsid w:val="00637F5A"/>
    <w:rsid w:val="006560B1"/>
    <w:rsid w:val="006756DD"/>
    <w:rsid w:val="00686A79"/>
    <w:rsid w:val="00716A0C"/>
    <w:rsid w:val="00737275"/>
    <w:rsid w:val="00740EEC"/>
    <w:rsid w:val="0078011A"/>
    <w:rsid w:val="00782AF4"/>
    <w:rsid w:val="00790EE7"/>
    <w:rsid w:val="007B6649"/>
    <w:rsid w:val="00800AFF"/>
    <w:rsid w:val="0081546F"/>
    <w:rsid w:val="0082576E"/>
    <w:rsid w:val="00907F75"/>
    <w:rsid w:val="009260DE"/>
    <w:rsid w:val="0093258A"/>
    <w:rsid w:val="009C7BA3"/>
    <w:rsid w:val="009D1F5A"/>
    <w:rsid w:val="00A00B91"/>
    <w:rsid w:val="00A150B9"/>
    <w:rsid w:val="00A70FAC"/>
    <w:rsid w:val="00B003BF"/>
    <w:rsid w:val="00B373D7"/>
    <w:rsid w:val="00B81614"/>
    <w:rsid w:val="00C20463"/>
    <w:rsid w:val="00C36276"/>
    <w:rsid w:val="00C42586"/>
    <w:rsid w:val="00C55280"/>
    <w:rsid w:val="00C60CCD"/>
    <w:rsid w:val="00C74F8D"/>
    <w:rsid w:val="00C84483"/>
    <w:rsid w:val="00C95551"/>
    <w:rsid w:val="00CB20D7"/>
    <w:rsid w:val="00D020B0"/>
    <w:rsid w:val="00D11748"/>
    <w:rsid w:val="00D366CF"/>
    <w:rsid w:val="00E108AA"/>
    <w:rsid w:val="00E31812"/>
    <w:rsid w:val="00E3749A"/>
    <w:rsid w:val="00E65500"/>
    <w:rsid w:val="00E7437F"/>
    <w:rsid w:val="00E865B8"/>
    <w:rsid w:val="00EC0B9B"/>
    <w:rsid w:val="00EC1756"/>
    <w:rsid w:val="00ED5E9F"/>
    <w:rsid w:val="00F66D4F"/>
    <w:rsid w:val="00FB6D01"/>
    <w:rsid w:val="00FE5C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9F8B2"/>
  <w15:chartTrackingRefBased/>
  <w15:docId w15:val="{329BFC9C-5EA9-4E3E-AB90-081A077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16A0C"/>
    <w:rPr>
      <w:color w:val="0563C1" w:themeColor="hyperlink"/>
      <w:u w:val="single"/>
    </w:rPr>
  </w:style>
  <w:style w:type="character" w:styleId="Ulstomtale">
    <w:name w:val="Unresolved Mention"/>
    <w:basedOn w:val="Standardskrifttypeiafsnit"/>
    <w:uiPriority w:val="99"/>
    <w:semiHidden/>
    <w:unhideWhenUsed/>
    <w:rsid w:val="0071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10955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2024122487 - 6.1</dc:description>
  <cp:lastModifiedBy>Annette Malmros</cp:lastModifiedBy>
  <cp:revision>3</cp:revision>
  <cp:lastPrinted>2012-08-22T08:53:00Z</cp:lastPrinted>
  <dcterms:created xsi:type="dcterms:W3CDTF">2024-12-14T19:27:00Z</dcterms:created>
  <dcterms:modified xsi:type="dcterms:W3CDTF">2024-12-14T19:29:00Z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