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D4" w:rsidRDefault="00604ED4" w:rsidP="00604ED4">
      <w:r>
        <w:rPr>
          <w:noProof/>
          <w:lang w:eastAsia="da-DK"/>
        </w:rPr>
        <w:drawing>
          <wp:inline distT="0" distB="0" distL="0" distR="0" wp14:anchorId="2AB1BDAC" wp14:editId="7FC6341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04ED4" w:rsidRDefault="00604ED4" w:rsidP="00604ED4">
      <w:pPr>
        <w:pStyle w:val="Titel"/>
        <w:tabs>
          <w:tab w:val="right" w:pos="9356"/>
        </w:tabs>
        <w:jc w:val="left"/>
        <w:rPr>
          <w:b w:val="0"/>
          <w:sz w:val="23"/>
          <w:lang w:eastAsia="en-US"/>
        </w:rPr>
      </w:pPr>
    </w:p>
    <w:p w:rsidR="00604ED4" w:rsidRPr="00071623" w:rsidRDefault="004E22F5" w:rsidP="00604ED4">
      <w:pPr>
        <w:pStyle w:val="Titel"/>
        <w:tabs>
          <w:tab w:val="right" w:pos="9356"/>
        </w:tabs>
        <w:jc w:val="right"/>
        <w:rPr>
          <w:szCs w:val="24"/>
          <w:lang w:eastAsia="en-US"/>
        </w:rPr>
      </w:pPr>
      <w:r>
        <w:rPr>
          <w:szCs w:val="24"/>
          <w:lang w:eastAsia="en-US"/>
        </w:rPr>
        <w:t>4</w:t>
      </w:r>
      <w:r w:rsidR="00604ED4">
        <w:rPr>
          <w:szCs w:val="24"/>
          <w:lang w:eastAsia="en-US"/>
        </w:rPr>
        <w:t xml:space="preserve">. </w:t>
      </w:r>
      <w:r>
        <w:rPr>
          <w:szCs w:val="24"/>
          <w:lang w:eastAsia="en-US"/>
        </w:rPr>
        <w:t>november</w:t>
      </w:r>
      <w:r w:rsidR="004649A5">
        <w:rPr>
          <w:szCs w:val="24"/>
          <w:lang w:eastAsia="en-US"/>
        </w:rPr>
        <w:t xml:space="preserve"> 2024</w:t>
      </w:r>
    </w:p>
    <w:p w:rsidR="00604ED4" w:rsidRDefault="00604ED4" w:rsidP="00604ED4">
      <w:pPr>
        <w:pStyle w:val="Titel"/>
        <w:jc w:val="left"/>
        <w:rPr>
          <w:b w:val="0"/>
        </w:rPr>
      </w:pPr>
    </w:p>
    <w:p w:rsidR="00604ED4" w:rsidRDefault="00604ED4" w:rsidP="00604ED4">
      <w:pPr>
        <w:pStyle w:val="Titel"/>
        <w:jc w:val="left"/>
        <w:rPr>
          <w:b w:val="0"/>
        </w:rPr>
      </w:pPr>
    </w:p>
    <w:p w:rsidR="00604ED4" w:rsidRPr="00EC0B9B" w:rsidRDefault="00604ED4" w:rsidP="00604ED4">
      <w:pPr>
        <w:jc w:val="center"/>
        <w:rPr>
          <w:b/>
          <w:sz w:val="24"/>
          <w:szCs w:val="24"/>
        </w:rPr>
      </w:pPr>
      <w:r w:rsidRPr="00EC0B9B">
        <w:rPr>
          <w:b/>
          <w:sz w:val="24"/>
          <w:szCs w:val="24"/>
        </w:rPr>
        <w:t>PRODUKTRESUMÉ</w:t>
      </w:r>
    </w:p>
    <w:p w:rsidR="00604ED4" w:rsidRPr="00EC0B9B" w:rsidRDefault="00604ED4" w:rsidP="00604ED4">
      <w:pPr>
        <w:jc w:val="center"/>
        <w:rPr>
          <w:b/>
          <w:sz w:val="24"/>
          <w:szCs w:val="24"/>
        </w:rPr>
      </w:pPr>
    </w:p>
    <w:p w:rsidR="00604ED4" w:rsidRPr="00EC0B9B" w:rsidRDefault="00604ED4" w:rsidP="00604ED4">
      <w:pPr>
        <w:jc w:val="center"/>
        <w:rPr>
          <w:b/>
          <w:sz w:val="24"/>
          <w:szCs w:val="24"/>
        </w:rPr>
      </w:pPr>
      <w:r w:rsidRPr="00EC0B9B">
        <w:rPr>
          <w:b/>
          <w:sz w:val="24"/>
          <w:szCs w:val="24"/>
        </w:rPr>
        <w:t>for</w:t>
      </w:r>
    </w:p>
    <w:p w:rsidR="00604ED4" w:rsidRPr="00EC0B9B" w:rsidRDefault="00604ED4" w:rsidP="00604ED4">
      <w:pPr>
        <w:jc w:val="center"/>
        <w:rPr>
          <w:b/>
          <w:sz w:val="24"/>
          <w:szCs w:val="24"/>
        </w:rPr>
      </w:pPr>
    </w:p>
    <w:p w:rsidR="00604ED4" w:rsidRPr="0049104B" w:rsidRDefault="00604ED4" w:rsidP="00604ED4">
      <w:pPr>
        <w:jc w:val="center"/>
        <w:rPr>
          <w:b/>
          <w:sz w:val="24"/>
          <w:szCs w:val="24"/>
        </w:rPr>
      </w:pPr>
      <w:proofErr w:type="spellStart"/>
      <w:r>
        <w:rPr>
          <w:b/>
          <w:sz w:val="24"/>
          <w:szCs w:val="24"/>
        </w:rPr>
        <w:t>Lamivudine</w:t>
      </w:r>
      <w:proofErr w:type="spellEnd"/>
      <w:r>
        <w:rPr>
          <w:b/>
          <w:sz w:val="24"/>
          <w:szCs w:val="24"/>
        </w:rPr>
        <w:t xml:space="preserve"> ”Sandoz”, filmovertrukne tabletter 300 mg</w:t>
      </w:r>
    </w:p>
    <w:p w:rsidR="00604ED4" w:rsidRPr="00EC0B9B" w:rsidRDefault="00604ED4" w:rsidP="00604ED4">
      <w:pPr>
        <w:jc w:val="both"/>
        <w:rPr>
          <w:sz w:val="24"/>
          <w:szCs w:val="24"/>
        </w:rPr>
      </w:pPr>
    </w:p>
    <w:p w:rsidR="00604ED4" w:rsidRPr="002250CB" w:rsidRDefault="00604ED4" w:rsidP="00604ED4">
      <w:pPr>
        <w:ind w:left="851" w:hanging="851"/>
        <w:jc w:val="both"/>
        <w:rPr>
          <w:sz w:val="24"/>
          <w:szCs w:val="24"/>
        </w:rPr>
      </w:pPr>
    </w:p>
    <w:p w:rsidR="00604ED4" w:rsidRPr="002250CB" w:rsidRDefault="00604ED4" w:rsidP="00604ED4">
      <w:pPr>
        <w:ind w:left="851" w:hanging="851"/>
        <w:rPr>
          <w:b/>
          <w:sz w:val="24"/>
          <w:szCs w:val="24"/>
        </w:rPr>
      </w:pPr>
      <w:r w:rsidRPr="002250CB">
        <w:rPr>
          <w:b/>
          <w:sz w:val="24"/>
          <w:szCs w:val="24"/>
        </w:rPr>
        <w:t>0.</w:t>
      </w:r>
      <w:r w:rsidRPr="002250CB">
        <w:rPr>
          <w:b/>
          <w:sz w:val="24"/>
          <w:szCs w:val="24"/>
        </w:rPr>
        <w:tab/>
        <w:t>D.SP.NR.</w:t>
      </w:r>
    </w:p>
    <w:p w:rsidR="00604ED4" w:rsidRPr="002250CB" w:rsidRDefault="00604ED4" w:rsidP="00604ED4">
      <w:pPr>
        <w:ind w:left="851" w:hanging="851"/>
        <w:rPr>
          <w:sz w:val="24"/>
          <w:szCs w:val="24"/>
        </w:rPr>
      </w:pPr>
      <w:r w:rsidRPr="002250CB">
        <w:rPr>
          <w:sz w:val="24"/>
          <w:szCs w:val="24"/>
        </w:rPr>
        <w:tab/>
        <w:t>28407</w:t>
      </w:r>
    </w:p>
    <w:p w:rsidR="00604ED4" w:rsidRDefault="00604ED4" w:rsidP="00604ED4">
      <w:pPr>
        <w:ind w:left="851" w:hanging="851"/>
        <w:rPr>
          <w:sz w:val="24"/>
          <w:szCs w:val="24"/>
        </w:rPr>
      </w:pPr>
    </w:p>
    <w:p w:rsidR="00BE4824" w:rsidRPr="002250CB" w:rsidRDefault="00BE482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1.</w:t>
      </w:r>
      <w:r w:rsidRPr="002250CB">
        <w:rPr>
          <w:b/>
          <w:sz w:val="24"/>
          <w:szCs w:val="24"/>
        </w:rPr>
        <w:tab/>
        <w:t>LÆGEMIDLETS NAVN</w:t>
      </w:r>
    </w:p>
    <w:p w:rsidR="00604ED4" w:rsidRPr="002250CB" w:rsidRDefault="00604ED4" w:rsidP="00604ED4">
      <w:pPr>
        <w:ind w:left="851" w:hanging="851"/>
        <w:rPr>
          <w:sz w:val="24"/>
          <w:szCs w:val="24"/>
        </w:rPr>
      </w:pPr>
      <w:r w:rsidRPr="002250CB">
        <w:rPr>
          <w:sz w:val="24"/>
          <w:szCs w:val="24"/>
        </w:rPr>
        <w:tab/>
      </w:r>
      <w:proofErr w:type="spellStart"/>
      <w:r w:rsidRPr="002250CB">
        <w:rPr>
          <w:sz w:val="24"/>
          <w:szCs w:val="24"/>
        </w:rPr>
        <w:t>Lamivudine</w:t>
      </w:r>
      <w:proofErr w:type="spellEnd"/>
      <w:r w:rsidRPr="002250CB">
        <w:rPr>
          <w:sz w:val="24"/>
          <w:szCs w:val="24"/>
        </w:rPr>
        <w:t xml:space="preserve"> ”Sandoz”</w:t>
      </w:r>
    </w:p>
    <w:p w:rsidR="00BE4824" w:rsidRDefault="00BE4824" w:rsidP="00604ED4">
      <w:pPr>
        <w:ind w:left="851" w:hanging="851"/>
        <w:rPr>
          <w:sz w:val="24"/>
          <w:szCs w:val="24"/>
        </w:rPr>
      </w:pPr>
    </w:p>
    <w:p w:rsidR="00604ED4" w:rsidRPr="002250CB" w:rsidRDefault="00604ED4" w:rsidP="00604ED4">
      <w:pPr>
        <w:ind w:left="851" w:hanging="851"/>
        <w:rPr>
          <w:sz w:val="24"/>
          <w:szCs w:val="24"/>
        </w:rPr>
      </w:pPr>
      <w:r w:rsidRPr="002250CB">
        <w:rPr>
          <w:sz w:val="24"/>
          <w:szCs w:val="24"/>
        </w:rPr>
        <w:tab/>
      </w:r>
    </w:p>
    <w:p w:rsidR="00604ED4" w:rsidRPr="002250CB" w:rsidRDefault="00604ED4" w:rsidP="00604ED4">
      <w:pPr>
        <w:ind w:left="851" w:hanging="851"/>
        <w:rPr>
          <w:b/>
          <w:sz w:val="24"/>
          <w:szCs w:val="24"/>
        </w:rPr>
      </w:pPr>
      <w:r w:rsidRPr="002250CB">
        <w:rPr>
          <w:b/>
          <w:sz w:val="24"/>
          <w:szCs w:val="24"/>
        </w:rPr>
        <w:t>2.</w:t>
      </w:r>
      <w:r w:rsidRPr="002250CB">
        <w:rPr>
          <w:b/>
          <w:sz w:val="24"/>
          <w:szCs w:val="24"/>
        </w:rPr>
        <w:tab/>
        <w:t>KVALITATIV OG KVANTITATIV SAMMENSÆTNING</w:t>
      </w:r>
    </w:p>
    <w:p w:rsidR="00604ED4" w:rsidRPr="002250CB" w:rsidRDefault="00604ED4" w:rsidP="00604ED4">
      <w:pPr>
        <w:ind w:left="851" w:hanging="851"/>
        <w:rPr>
          <w:sz w:val="24"/>
          <w:szCs w:val="24"/>
        </w:rPr>
      </w:pPr>
      <w:r w:rsidRPr="002250CB">
        <w:rPr>
          <w:sz w:val="24"/>
          <w:szCs w:val="24"/>
        </w:rPr>
        <w:tab/>
      </w:r>
      <w:r>
        <w:rPr>
          <w:sz w:val="24"/>
          <w:szCs w:val="24"/>
        </w:rPr>
        <w:t>Hver filmovertrukken</w:t>
      </w:r>
      <w:r w:rsidRPr="002250CB">
        <w:rPr>
          <w:sz w:val="24"/>
          <w:szCs w:val="24"/>
        </w:rPr>
        <w:t xml:space="preserve"> tablet indeholder 300 mg </w:t>
      </w:r>
      <w:proofErr w:type="spellStart"/>
      <w:r w:rsidRPr="002250CB">
        <w:rPr>
          <w:sz w:val="24"/>
          <w:szCs w:val="24"/>
        </w:rPr>
        <w:t>lamivudin</w:t>
      </w:r>
      <w:proofErr w:type="spellEnd"/>
      <w:r w:rsidRPr="002250CB">
        <w:rPr>
          <w:sz w:val="24"/>
          <w:szCs w:val="24"/>
        </w:rPr>
        <w:t>.</w:t>
      </w:r>
    </w:p>
    <w:p w:rsidR="00604ED4" w:rsidRPr="002250CB"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r w:rsidRPr="002250CB">
        <w:rPr>
          <w:sz w:val="24"/>
          <w:szCs w:val="24"/>
        </w:rPr>
        <w:t xml:space="preserve">Hjælpestof, som behandleren skal være opmærksom på: </w:t>
      </w:r>
    </w:p>
    <w:p w:rsidR="00604ED4" w:rsidRDefault="00604ED4" w:rsidP="00604ED4">
      <w:pPr>
        <w:ind w:left="851"/>
        <w:rPr>
          <w:sz w:val="24"/>
          <w:szCs w:val="24"/>
        </w:rPr>
      </w:pPr>
      <w:r>
        <w:rPr>
          <w:sz w:val="24"/>
          <w:szCs w:val="24"/>
        </w:rPr>
        <w:t xml:space="preserve">Hver filmovertrukken tablet indeholder 522 mg </w:t>
      </w:r>
      <w:proofErr w:type="spellStart"/>
      <w:r>
        <w:rPr>
          <w:sz w:val="24"/>
          <w:szCs w:val="24"/>
        </w:rPr>
        <w:t>isomalt</w:t>
      </w:r>
      <w:proofErr w:type="spellEnd"/>
      <w:r>
        <w:rPr>
          <w:sz w:val="24"/>
          <w:szCs w:val="24"/>
        </w:rPr>
        <w:t xml:space="preserve"> (E 953)</w:t>
      </w:r>
    </w:p>
    <w:p w:rsidR="00604ED4" w:rsidRDefault="00604ED4" w:rsidP="00604ED4">
      <w:pPr>
        <w:ind w:left="851" w:hanging="851"/>
        <w:rPr>
          <w:sz w:val="24"/>
          <w:szCs w:val="24"/>
        </w:rPr>
      </w:pPr>
    </w:p>
    <w:p w:rsidR="00604ED4" w:rsidRPr="002250CB" w:rsidRDefault="00604ED4" w:rsidP="00604ED4">
      <w:pPr>
        <w:ind w:left="851" w:hanging="851"/>
        <w:rPr>
          <w:sz w:val="24"/>
          <w:szCs w:val="24"/>
        </w:rPr>
      </w:pPr>
      <w:r>
        <w:rPr>
          <w:sz w:val="24"/>
          <w:szCs w:val="24"/>
        </w:rPr>
        <w:tab/>
      </w:r>
      <w:r w:rsidRPr="002250CB">
        <w:rPr>
          <w:sz w:val="24"/>
          <w:szCs w:val="24"/>
        </w:rPr>
        <w:t>Alle hjælpestoffer er anført under pkt. 6.1.</w:t>
      </w:r>
    </w:p>
    <w:p w:rsidR="00604ED4" w:rsidRDefault="00604ED4" w:rsidP="00604ED4">
      <w:pPr>
        <w:ind w:left="851" w:hanging="851"/>
        <w:rPr>
          <w:sz w:val="24"/>
          <w:szCs w:val="24"/>
        </w:rPr>
      </w:pPr>
    </w:p>
    <w:p w:rsidR="00BE4824" w:rsidRPr="002250CB" w:rsidRDefault="00BE482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3.</w:t>
      </w:r>
      <w:r w:rsidRPr="002250CB">
        <w:rPr>
          <w:b/>
          <w:sz w:val="24"/>
          <w:szCs w:val="24"/>
        </w:rPr>
        <w:tab/>
        <w:t>LÆGEMIDDELFORM</w:t>
      </w:r>
    </w:p>
    <w:p w:rsidR="00604ED4" w:rsidRPr="002250CB" w:rsidRDefault="00604ED4" w:rsidP="00604ED4">
      <w:pPr>
        <w:ind w:left="851" w:hanging="851"/>
        <w:rPr>
          <w:sz w:val="24"/>
          <w:szCs w:val="24"/>
        </w:rPr>
      </w:pPr>
      <w:r w:rsidRPr="002250CB">
        <w:rPr>
          <w:sz w:val="24"/>
          <w:szCs w:val="24"/>
        </w:rPr>
        <w:tab/>
        <w:t>Filmovertruk</w:t>
      </w:r>
      <w:r>
        <w:rPr>
          <w:sz w:val="24"/>
          <w:szCs w:val="24"/>
        </w:rPr>
        <w:t>ne</w:t>
      </w:r>
      <w:r w:rsidRPr="002250CB">
        <w:rPr>
          <w:sz w:val="24"/>
          <w:szCs w:val="24"/>
        </w:rPr>
        <w:t xml:space="preserve"> tablet</w:t>
      </w:r>
      <w:r>
        <w:rPr>
          <w:sz w:val="24"/>
          <w:szCs w:val="24"/>
        </w:rPr>
        <w:t>ter</w:t>
      </w:r>
      <w:r w:rsidRPr="002250CB">
        <w:rPr>
          <w:sz w:val="24"/>
          <w:szCs w:val="24"/>
        </w:rPr>
        <w:t>.</w:t>
      </w:r>
    </w:p>
    <w:p w:rsidR="00604ED4" w:rsidRPr="002250CB" w:rsidRDefault="00604ED4" w:rsidP="00604ED4">
      <w:pPr>
        <w:ind w:left="851" w:hanging="851"/>
        <w:rPr>
          <w:sz w:val="24"/>
          <w:szCs w:val="24"/>
        </w:rPr>
      </w:pPr>
    </w:p>
    <w:p w:rsidR="00604ED4" w:rsidRPr="002250CB" w:rsidRDefault="00604ED4" w:rsidP="00604ED4">
      <w:pPr>
        <w:ind w:left="851" w:hanging="851"/>
        <w:rPr>
          <w:sz w:val="24"/>
          <w:szCs w:val="24"/>
        </w:rPr>
      </w:pPr>
      <w:r>
        <w:rPr>
          <w:sz w:val="24"/>
          <w:szCs w:val="24"/>
        </w:rPr>
        <w:tab/>
      </w:r>
      <w:r w:rsidRPr="002250CB">
        <w:rPr>
          <w:sz w:val="24"/>
          <w:szCs w:val="24"/>
        </w:rPr>
        <w:t>Hvid</w:t>
      </w:r>
      <w:r>
        <w:rPr>
          <w:sz w:val="24"/>
          <w:szCs w:val="24"/>
        </w:rPr>
        <w:t>e</w:t>
      </w:r>
      <w:r w:rsidRPr="002250CB">
        <w:rPr>
          <w:sz w:val="24"/>
          <w:szCs w:val="24"/>
        </w:rPr>
        <w:t>, kapselforme</w:t>
      </w:r>
      <w:r>
        <w:rPr>
          <w:sz w:val="24"/>
          <w:szCs w:val="24"/>
        </w:rPr>
        <w:t>de</w:t>
      </w:r>
      <w:r w:rsidRPr="002250CB">
        <w:rPr>
          <w:sz w:val="24"/>
          <w:szCs w:val="24"/>
        </w:rPr>
        <w:t xml:space="preserve">, </w:t>
      </w:r>
      <w:proofErr w:type="spellStart"/>
      <w:r w:rsidRPr="002250CB">
        <w:rPr>
          <w:sz w:val="24"/>
          <w:szCs w:val="24"/>
        </w:rPr>
        <w:t>bikonveks</w:t>
      </w:r>
      <w:r>
        <w:rPr>
          <w:sz w:val="24"/>
          <w:szCs w:val="24"/>
        </w:rPr>
        <w:t>e</w:t>
      </w:r>
      <w:proofErr w:type="spellEnd"/>
      <w:r w:rsidRPr="002250CB">
        <w:rPr>
          <w:sz w:val="24"/>
          <w:szCs w:val="24"/>
        </w:rPr>
        <w:t>, filmovertruk</w:t>
      </w:r>
      <w:r>
        <w:rPr>
          <w:sz w:val="24"/>
          <w:szCs w:val="24"/>
        </w:rPr>
        <w:t>ne</w:t>
      </w:r>
      <w:r w:rsidRPr="002250CB">
        <w:rPr>
          <w:sz w:val="24"/>
          <w:szCs w:val="24"/>
        </w:rPr>
        <w:t xml:space="preserve"> tablet</w:t>
      </w:r>
      <w:r>
        <w:rPr>
          <w:sz w:val="24"/>
          <w:szCs w:val="24"/>
        </w:rPr>
        <w:t>ter</w:t>
      </w:r>
      <w:r w:rsidRPr="002250CB">
        <w:rPr>
          <w:sz w:val="24"/>
          <w:szCs w:val="24"/>
        </w:rPr>
        <w:t>, der er præget med J på den ene side og 17 på den anden side. Dimensioner: 19,1 x 8,9 mm.</w:t>
      </w:r>
    </w:p>
    <w:p w:rsidR="00604ED4" w:rsidRPr="002250CB" w:rsidRDefault="00604ED4" w:rsidP="00604ED4">
      <w:pPr>
        <w:ind w:left="851" w:hanging="851"/>
        <w:rPr>
          <w:sz w:val="24"/>
          <w:szCs w:val="24"/>
        </w:rPr>
      </w:pP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4.</w:t>
      </w:r>
      <w:r w:rsidRPr="002250CB">
        <w:rPr>
          <w:b/>
          <w:sz w:val="24"/>
          <w:szCs w:val="24"/>
        </w:rPr>
        <w:tab/>
        <w:t>KLINISKE OPLYSNINGER</w:t>
      </w:r>
    </w:p>
    <w:p w:rsidR="00604ED4" w:rsidRPr="002250CB" w:rsidRDefault="00604ED4" w:rsidP="00604ED4">
      <w:pPr>
        <w:ind w:left="851" w:hanging="851"/>
        <w:rPr>
          <w:b/>
          <w:sz w:val="24"/>
          <w:szCs w:val="24"/>
        </w:rPr>
      </w:pPr>
    </w:p>
    <w:p w:rsidR="00604ED4" w:rsidRPr="002250CB" w:rsidRDefault="00604ED4" w:rsidP="00604ED4">
      <w:pPr>
        <w:ind w:left="851" w:hanging="851"/>
        <w:rPr>
          <w:b/>
          <w:sz w:val="24"/>
          <w:szCs w:val="24"/>
          <w:u w:val="single"/>
        </w:rPr>
      </w:pPr>
      <w:r w:rsidRPr="002250CB">
        <w:rPr>
          <w:b/>
          <w:sz w:val="24"/>
          <w:szCs w:val="24"/>
        </w:rPr>
        <w:t>4.1</w:t>
      </w:r>
      <w:r w:rsidRPr="002250CB">
        <w:rPr>
          <w:b/>
          <w:sz w:val="24"/>
          <w:szCs w:val="24"/>
        </w:rPr>
        <w:tab/>
        <w:t>Terapeutiske indikationer</w:t>
      </w:r>
    </w:p>
    <w:p w:rsidR="00604ED4" w:rsidRPr="002250CB" w:rsidRDefault="00604ED4" w:rsidP="00604ED4">
      <w:pPr>
        <w:ind w:left="851" w:hanging="851"/>
        <w:rPr>
          <w:sz w:val="24"/>
          <w:szCs w:val="24"/>
        </w:rPr>
      </w:pPr>
      <w:r w:rsidRPr="002250CB">
        <w:rPr>
          <w:sz w:val="24"/>
          <w:szCs w:val="24"/>
        </w:rPr>
        <w:tab/>
      </w:r>
      <w:proofErr w:type="spellStart"/>
      <w:r w:rsidRPr="002250CB">
        <w:rPr>
          <w:sz w:val="24"/>
          <w:szCs w:val="24"/>
        </w:rPr>
        <w:t>Lamivudine</w:t>
      </w:r>
      <w:proofErr w:type="spellEnd"/>
      <w:r w:rsidRPr="002250CB">
        <w:rPr>
          <w:sz w:val="24"/>
          <w:szCs w:val="24"/>
        </w:rPr>
        <w:t xml:space="preserve"> </w:t>
      </w:r>
      <w:r>
        <w:rPr>
          <w:sz w:val="24"/>
          <w:szCs w:val="24"/>
        </w:rPr>
        <w:t>”Sandoz”</w:t>
      </w:r>
      <w:r w:rsidRPr="002250CB">
        <w:rPr>
          <w:sz w:val="24"/>
          <w:szCs w:val="24"/>
        </w:rPr>
        <w:t xml:space="preserve"> er indiceret som del af en </w:t>
      </w:r>
      <w:proofErr w:type="spellStart"/>
      <w:r w:rsidRPr="002250CB">
        <w:rPr>
          <w:sz w:val="24"/>
          <w:szCs w:val="24"/>
        </w:rPr>
        <w:t>antiretroviral</w:t>
      </w:r>
      <w:proofErr w:type="spellEnd"/>
      <w:r w:rsidRPr="002250CB">
        <w:rPr>
          <w:sz w:val="24"/>
          <w:szCs w:val="24"/>
        </w:rPr>
        <w:t xml:space="preserve"> kombinationsbehandling til voksne og børn, der er inficeret med humant immundefektvirus (hiv).</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Pr>
          <w:b/>
          <w:sz w:val="24"/>
          <w:szCs w:val="24"/>
        </w:rPr>
        <w:t>4.2</w:t>
      </w:r>
      <w:r>
        <w:rPr>
          <w:b/>
          <w:sz w:val="24"/>
          <w:szCs w:val="24"/>
        </w:rPr>
        <w:tab/>
        <w:t>Dosering og administration</w:t>
      </w:r>
    </w:p>
    <w:p w:rsidR="00604ED4" w:rsidRDefault="00604ED4" w:rsidP="00604ED4">
      <w:pPr>
        <w:ind w:left="851" w:hanging="851"/>
        <w:rPr>
          <w:sz w:val="24"/>
          <w:szCs w:val="24"/>
        </w:rPr>
      </w:pPr>
      <w:r w:rsidRPr="002250CB">
        <w:rPr>
          <w:sz w:val="24"/>
          <w:szCs w:val="24"/>
        </w:rPr>
        <w:tab/>
      </w:r>
      <w:r>
        <w:rPr>
          <w:sz w:val="24"/>
          <w:szCs w:val="24"/>
        </w:rPr>
        <w:t>Behandlingen bør initieres af en læge med erfaring i behandling af hiv-infektion.</w:t>
      </w:r>
    </w:p>
    <w:p w:rsidR="00604ED4" w:rsidRDefault="00604ED4" w:rsidP="00604ED4">
      <w:pPr>
        <w:ind w:left="851" w:hanging="851"/>
        <w:rPr>
          <w:sz w:val="24"/>
          <w:szCs w:val="24"/>
        </w:rPr>
      </w:pPr>
    </w:p>
    <w:p w:rsidR="00604ED4" w:rsidRDefault="00604ED4" w:rsidP="00604ED4">
      <w:pPr>
        <w:ind w:left="1702" w:hanging="851"/>
        <w:rPr>
          <w:sz w:val="24"/>
          <w:szCs w:val="24"/>
        </w:rPr>
      </w:pPr>
      <w:proofErr w:type="spellStart"/>
      <w:r>
        <w:rPr>
          <w:sz w:val="24"/>
          <w:szCs w:val="24"/>
        </w:rPr>
        <w:t>Lamivudine</w:t>
      </w:r>
      <w:proofErr w:type="spellEnd"/>
      <w:r>
        <w:rPr>
          <w:sz w:val="24"/>
          <w:szCs w:val="24"/>
        </w:rPr>
        <w:t xml:space="preserve"> ”Sandoz” kan tages med eller uden mad.</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For at sikre, at hele dosen administreres, bør tabletterne synkes hele.</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findes også som oral opløsning til børn over 3 måneder, som vejer mindre end 14 kg, eller til patienter, der ikke kan synke tabletter (se pkt. 4.4). </w:t>
      </w:r>
    </w:p>
    <w:p w:rsidR="00AC7F65" w:rsidRDefault="00AC7F65" w:rsidP="00AC7F65">
      <w:pPr>
        <w:ind w:left="851"/>
        <w:rPr>
          <w:sz w:val="24"/>
          <w:szCs w:val="24"/>
        </w:rPr>
      </w:pPr>
      <w:r>
        <w:rPr>
          <w:sz w:val="24"/>
          <w:szCs w:val="24"/>
        </w:rPr>
        <w:t xml:space="preserve">Patienter der skifter mellem </w:t>
      </w:r>
      <w:proofErr w:type="spellStart"/>
      <w:r>
        <w:rPr>
          <w:sz w:val="24"/>
          <w:szCs w:val="24"/>
        </w:rPr>
        <w:t>lamivudin</w:t>
      </w:r>
      <w:proofErr w:type="spellEnd"/>
      <w:r>
        <w:rPr>
          <w:sz w:val="24"/>
          <w:szCs w:val="24"/>
        </w:rPr>
        <w:t xml:space="preserve"> oral opløsning og </w:t>
      </w:r>
      <w:proofErr w:type="spellStart"/>
      <w:r>
        <w:rPr>
          <w:sz w:val="24"/>
          <w:szCs w:val="24"/>
        </w:rPr>
        <w:t>lamivudin</w:t>
      </w:r>
      <w:proofErr w:type="spellEnd"/>
      <w:r>
        <w:rPr>
          <w:sz w:val="24"/>
          <w:szCs w:val="24"/>
        </w:rPr>
        <w:t xml:space="preserve"> tabletter bør følge dosisanbefalingerne, der gælder for den specifikke lægemiddelform (se pkt. 5.2).</w:t>
      </w:r>
    </w:p>
    <w:p w:rsidR="00604ED4" w:rsidRDefault="00604ED4" w:rsidP="00AC7F65">
      <w:pPr>
        <w:rPr>
          <w:sz w:val="24"/>
          <w:szCs w:val="24"/>
        </w:rPr>
      </w:pPr>
    </w:p>
    <w:p w:rsidR="00604ED4" w:rsidRDefault="00604ED4" w:rsidP="00604ED4">
      <w:pPr>
        <w:ind w:left="851" w:hanging="851"/>
        <w:rPr>
          <w:sz w:val="24"/>
          <w:szCs w:val="24"/>
        </w:rPr>
      </w:pPr>
      <w:r>
        <w:rPr>
          <w:sz w:val="24"/>
          <w:szCs w:val="24"/>
        </w:rPr>
        <w:tab/>
        <w:t xml:space="preserve">Alternativt kan </w:t>
      </w:r>
      <w:r>
        <w:rPr>
          <w:rFonts w:eastAsia="Calibri"/>
          <w:sz w:val="24"/>
          <w:szCs w:val="24"/>
        </w:rPr>
        <w:t>patienter, der ikke kan synke tabletter,</w:t>
      </w:r>
      <w:r>
        <w:rPr>
          <w:sz w:val="24"/>
          <w:szCs w:val="24"/>
        </w:rPr>
        <w:t xml:space="preserve"> knuse tabletten/tabletterne, som herefter opblandes i en lille mængde halvflydende føde eller væske, og hele mængden indtages med det samme (se pkt. 5.2).</w:t>
      </w:r>
    </w:p>
    <w:p w:rsidR="00604ED4" w:rsidRDefault="00604ED4" w:rsidP="00604ED4">
      <w:pPr>
        <w:ind w:left="851" w:hanging="851"/>
        <w:rPr>
          <w:sz w:val="24"/>
          <w:szCs w:val="24"/>
        </w:rPr>
      </w:pPr>
    </w:p>
    <w:p w:rsidR="00604ED4" w:rsidRDefault="00604ED4" w:rsidP="00604ED4">
      <w:pPr>
        <w:ind w:left="851" w:hanging="851"/>
        <w:rPr>
          <w:i/>
          <w:sz w:val="24"/>
          <w:szCs w:val="24"/>
        </w:rPr>
      </w:pPr>
      <w:r>
        <w:rPr>
          <w:i/>
          <w:sz w:val="24"/>
          <w:szCs w:val="24"/>
        </w:rPr>
        <w:tab/>
        <w:t>Voksne, unge og børn (</w:t>
      </w:r>
      <w:r>
        <w:rPr>
          <w:rFonts w:eastAsia="Calibri"/>
          <w:i/>
          <w:iCs/>
          <w:sz w:val="24"/>
          <w:szCs w:val="24"/>
        </w:rPr>
        <w:t>der vejer mindst 25 kg</w:t>
      </w:r>
      <w:r>
        <w:rPr>
          <w:i/>
          <w:sz w:val="24"/>
          <w:szCs w:val="24"/>
        </w:rPr>
        <w:t xml:space="preserve">): </w:t>
      </w:r>
    </w:p>
    <w:p w:rsidR="00604ED4" w:rsidRDefault="00604ED4" w:rsidP="00604ED4">
      <w:pPr>
        <w:ind w:left="851" w:hanging="851"/>
        <w:rPr>
          <w:sz w:val="24"/>
          <w:szCs w:val="24"/>
        </w:rPr>
      </w:pPr>
      <w:r>
        <w:rPr>
          <w:i/>
          <w:sz w:val="24"/>
          <w:szCs w:val="24"/>
        </w:rPr>
        <w:tab/>
      </w:r>
      <w:r>
        <w:rPr>
          <w:sz w:val="24"/>
          <w:szCs w:val="24"/>
        </w:rPr>
        <w:t xml:space="preserve">Den anbefalede dosis af </w:t>
      </w:r>
      <w:proofErr w:type="spellStart"/>
      <w:r>
        <w:rPr>
          <w:sz w:val="24"/>
          <w:szCs w:val="24"/>
        </w:rPr>
        <w:t>Lamivudine</w:t>
      </w:r>
      <w:proofErr w:type="spellEnd"/>
      <w:r>
        <w:rPr>
          <w:sz w:val="24"/>
          <w:szCs w:val="24"/>
        </w:rPr>
        <w:t xml:space="preserve"> ”Sandoz” er 300 mg dagligt. Denne dosis kan enten administreres som 150 mg to gange dagligt eller 300 mg én gang dagligt (se pkt. 4.4). 300 mg-tabletten er kun velegnet til regimet med dosering én gang dagligt.</w:t>
      </w:r>
    </w:p>
    <w:p w:rsidR="00604ED4" w:rsidRDefault="00604ED4" w:rsidP="00604ED4">
      <w:pPr>
        <w:ind w:left="851" w:hanging="851"/>
        <w:rPr>
          <w:sz w:val="24"/>
          <w:szCs w:val="24"/>
        </w:rPr>
      </w:pPr>
    </w:p>
    <w:p w:rsidR="00604ED4" w:rsidRDefault="00604ED4" w:rsidP="00604ED4">
      <w:pPr>
        <w:ind w:left="851"/>
        <w:rPr>
          <w:i/>
          <w:sz w:val="24"/>
          <w:szCs w:val="24"/>
          <w:u w:val="single"/>
        </w:rPr>
      </w:pPr>
      <w:r>
        <w:rPr>
          <w:i/>
          <w:sz w:val="24"/>
          <w:szCs w:val="24"/>
          <w:u w:val="single"/>
        </w:rPr>
        <w:t>Børn (der vejer mindre end 25 kg):</w:t>
      </w:r>
    </w:p>
    <w:p w:rsidR="00604ED4" w:rsidRDefault="00604ED4" w:rsidP="00604ED4">
      <w:pPr>
        <w:autoSpaceDE w:val="0"/>
        <w:autoSpaceDN w:val="0"/>
        <w:adjustRightInd w:val="0"/>
        <w:ind w:left="851"/>
        <w:rPr>
          <w:rFonts w:eastAsia="Calibri"/>
          <w:iCs/>
          <w:sz w:val="24"/>
          <w:szCs w:val="24"/>
          <w:lang w:eastAsia="zh-CN"/>
        </w:rPr>
      </w:pPr>
    </w:p>
    <w:p w:rsidR="00604ED4" w:rsidRDefault="00604ED4" w:rsidP="00604ED4">
      <w:pPr>
        <w:ind w:left="851"/>
        <w:rPr>
          <w:rFonts w:eastAsia="Calibri"/>
          <w:sz w:val="24"/>
          <w:szCs w:val="24"/>
        </w:rPr>
      </w:pPr>
      <w:r>
        <w:rPr>
          <w:rFonts w:eastAsia="Calibri"/>
          <w:sz w:val="24"/>
          <w:szCs w:val="24"/>
        </w:rPr>
        <w:t xml:space="preserve">Det anbefales at dosere </w:t>
      </w:r>
      <w:proofErr w:type="spellStart"/>
      <w:r>
        <w:rPr>
          <w:sz w:val="24"/>
          <w:szCs w:val="24"/>
        </w:rPr>
        <w:t>Lamivudine</w:t>
      </w:r>
      <w:proofErr w:type="spellEnd"/>
      <w:r>
        <w:rPr>
          <w:sz w:val="24"/>
          <w:szCs w:val="24"/>
        </w:rPr>
        <w:t xml:space="preserve"> ”</w:t>
      </w:r>
      <w:proofErr w:type="spellStart"/>
      <w:r>
        <w:rPr>
          <w:sz w:val="24"/>
          <w:szCs w:val="24"/>
        </w:rPr>
        <w:t>Sandoz”-</w:t>
      </w:r>
      <w:r>
        <w:rPr>
          <w:rFonts w:eastAsia="Calibri"/>
          <w:sz w:val="24"/>
          <w:szCs w:val="24"/>
        </w:rPr>
        <w:t>tabletter</w:t>
      </w:r>
      <w:proofErr w:type="spellEnd"/>
      <w:r>
        <w:rPr>
          <w:rFonts w:eastAsia="Calibri"/>
          <w:sz w:val="24"/>
          <w:szCs w:val="24"/>
        </w:rPr>
        <w:t xml:space="preserve"> ud fra vægtgrupper.</w:t>
      </w:r>
    </w:p>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i/>
          <w:iCs/>
          <w:sz w:val="24"/>
          <w:szCs w:val="24"/>
        </w:rPr>
        <w:t xml:space="preserve">Børn, der vejer ≥ 20 kg og &lt; 25 kg: </w:t>
      </w:r>
      <w:r>
        <w:rPr>
          <w:iCs/>
          <w:sz w:val="24"/>
          <w:szCs w:val="24"/>
        </w:rPr>
        <w:t>Den anbefalede dosis er 225 mg dagligt. Denne dosis kan enten administreres som 75 mg (en halv tablet på 150 mg) om morgenen og 150 mg (en hel tablet på 150 mg) om aftenen eller 225 mg (en og en halv tablet på 150 mg) én gang dagligt.</w:t>
      </w:r>
    </w:p>
    <w:p w:rsidR="00604ED4" w:rsidRDefault="00604ED4" w:rsidP="00604ED4">
      <w:pPr>
        <w:ind w:left="851"/>
        <w:jc w:val="center"/>
        <w:rPr>
          <w:rFonts w:eastAsia="Calibri"/>
          <w:sz w:val="24"/>
          <w:szCs w:val="24"/>
        </w:rPr>
      </w:pPr>
    </w:p>
    <w:p w:rsidR="00604ED4" w:rsidRDefault="00604ED4" w:rsidP="00604ED4">
      <w:pPr>
        <w:ind w:left="851"/>
        <w:rPr>
          <w:rFonts w:eastAsia="Calibri"/>
          <w:sz w:val="24"/>
          <w:szCs w:val="24"/>
        </w:rPr>
      </w:pPr>
      <w:r>
        <w:rPr>
          <w:i/>
          <w:iCs/>
          <w:sz w:val="24"/>
          <w:szCs w:val="24"/>
        </w:rPr>
        <w:t>Børn, der vejer mellem 14 kg og &lt; 20 kg:</w:t>
      </w:r>
      <w:r>
        <w:rPr>
          <w:sz w:val="24"/>
          <w:szCs w:val="24"/>
        </w:rPr>
        <w:t xml:space="preserve"> Den anbefalede dosis er 150 mg dagligt. Denne dosis kan enten administreres som 75 mg (en halv tablet på 150 mg) to gange dagligt eller 150 mg (en hel tablet på 150 mg) én gang dagligt.</w:t>
      </w:r>
    </w:p>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i/>
          <w:iCs/>
          <w:sz w:val="24"/>
          <w:szCs w:val="24"/>
        </w:rPr>
        <w:t>Børn fra 3 måneder:</w:t>
      </w:r>
      <w:r>
        <w:rPr>
          <w:iCs/>
          <w:sz w:val="24"/>
          <w:szCs w:val="24"/>
        </w:rPr>
        <w:t xml:space="preserve"> Da der ikke kan opnås en præcis dosering med en 300 mg tablet uden delekærv i denne patientgruppe, anbefales det at bruge </w:t>
      </w:r>
      <w:proofErr w:type="spellStart"/>
      <w:r>
        <w:rPr>
          <w:iCs/>
          <w:sz w:val="24"/>
          <w:szCs w:val="24"/>
        </w:rPr>
        <w:t>Lamivudine</w:t>
      </w:r>
      <w:proofErr w:type="spellEnd"/>
      <w:r>
        <w:rPr>
          <w:iCs/>
          <w:sz w:val="24"/>
          <w:szCs w:val="24"/>
        </w:rPr>
        <w:t xml:space="preserve"> ”Sandoz” </w:t>
      </w:r>
      <w:r>
        <w:rPr>
          <w:sz w:val="24"/>
          <w:szCs w:val="24"/>
        </w:rPr>
        <w:t>150 mg tablet med delekærv og at følge den tilhørende anbefalede doseringsvejledning.</w:t>
      </w:r>
    </w:p>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rFonts w:eastAsia="Calibri"/>
          <w:i/>
          <w:iCs/>
          <w:sz w:val="24"/>
          <w:szCs w:val="24"/>
        </w:rPr>
        <w:t>Børn under 3 måneder:</w:t>
      </w:r>
      <w:r>
        <w:rPr>
          <w:rFonts w:eastAsia="Calibri"/>
          <w:sz w:val="24"/>
          <w:szCs w:val="24"/>
        </w:rPr>
        <w:t xml:space="preserve"> </w:t>
      </w:r>
      <w:r>
        <w:rPr>
          <w:rFonts w:eastAsia="Calibri"/>
          <w:iCs/>
          <w:sz w:val="24"/>
          <w:szCs w:val="24"/>
        </w:rPr>
        <w:t>De begrænsede data, der foreligger, er utilstrækkelige til at foreslå specifikke doseringsanbefalinger (se pkt. 5.2).</w:t>
      </w:r>
    </w:p>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rFonts w:eastAsia="Calibri"/>
          <w:sz w:val="24"/>
          <w:szCs w:val="24"/>
        </w:rPr>
        <w:t>Patienter, som skifter fra at tage 2 daglige doser til at tage én daglig dosis, skal tage den anbefalede ene daglige dosis (som beskrevet ovenfor) ca. 12 timer efter den seneste af de 2 daglige doser, og herefter fortsætte med at tage den anbefalede dosis én gang daglig (som beskrevet ovenfor) med ca. 24 timers mellemrum. Ved skift tilbage til 2 daglige doser skal patienten tage den første af de to anbefalede daglige doser ca. 24 timer efter den sidste dosis.</w:t>
      </w:r>
    </w:p>
    <w:p w:rsidR="00604ED4" w:rsidRDefault="00604ED4" w:rsidP="00604ED4">
      <w:pPr>
        <w:ind w:left="851"/>
        <w:rPr>
          <w:rFonts w:eastAsia="Calibri"/>
          <w:sz w:val="24"/>
          <w:szCs w:val="24"/>
        </w:rPr>
      </w:pPr>
    </w:p>
    <w:p w:rsidR="00604ED4" w:rsidRDefault="00604ED4" w:rsidP="00604ED4">
      <w:pPr>
        <w:ind w:left="851"/>
        <w:rPr>
          <w:rFonts w:eastAsia="Calibri"/>
          <w:i/>
          <w:sz w:val="24"/>
          <w:szCs w:val="24"/>
          <w:u w:val="single"/>
        </w:rPr>
      </w:pPr>
      <w:r>
        <w:rPr>
          <w:i/>
          <w:iCs/>
          <w:sz w:val="24"/>
          <w:szCs w:val="24"/>
          <w:u w:val="single"/>
        </w:rPr>
        <w:t xml:space="preserve">Særlige populationer: </w:t>
      </w:r>
    </w:p>
    <w:p w:rsidR="00604ED4" w:rsidRDefault="00604ED4" w:rsidP="00604ED4">
      <w:pPr>
        <w:ind w:left="851"/>
        <w:rPr>
          <w:rFonts w:eastAsia="Calibri"/>
          <w:sz w:val="24"/>
          <w:szCs w:val="24"/>
        </w:rPr>
      </w:pPr>
    </w:p>
    <w:p w:rsidR="00604ED4" w:rsidRDefault="00604ED4" w:rsidP="00604ED4">
      <w:pPr>
        <w:ind w:left="851"/>
        <w:rPr>
          <w:sz w:val="24"/>
          <w:szCs w:val="24"/>
        </w:rPr>
      </w:pPr>
      <w:r>
        <w:rPr>
          <w:rFonts w:eastAsia="Calibri"/>
          <w:i/>
          <w:iCs/>
          <w:sz w:val="24"/>
          <w:szCs w:val="24"/>
        </w:rPr>
        <w:t xml:space="preserve">Ældre: </w:t>
      </w:r>
      <w:r>
        <w:rPr>
          <w:rFonts w:eastAsia="Calibri"/>
          <w:iCs/>
          <w:sz w:val="24"/>
          <w:szCs w:val="24"/>
        </w:rPr>
        <w:t xml:space="preserve">Der foreligger ingen specifikke data, men det tilrådes at være ekstra forsigtig i denne </w:t>
      </w:r>
      <w:r>
        <w:rPr>
          <w:rFonts w:eastAsia="Calibri"/>
          <w:sz w:val="24"/>
          <w:szCs w:val="24"/>
        </w:rPr>
        <w:t>aldersgruppe på grund af aldersrelaterede ændringer, såsom nedsat nyrefunktion og ændring af hæmatologiske parametre.</w:t>
      </w:r>
    </w:p>
    <w:p w:rsidR="00604ED4" w:rsidRDefault="00604ED4" w:rsidP="00604ED4">
      <w:pPr>
        <w:ind w:left="851"/>
        <w:rPr>
          <w:sz w:val="24"/>
          <w:szCs w:val="24"/>
        </w:rPr>
      </w:pPr>
    </w:p>
    <w:p w:rsidR="00604ED4" w:rsidRDefault="00604ED4" w:rsidP="00604ED4">
      <w:pPr>
        <w:ind w:left="851"/>
        <w:rPr>
          <w:sz w:val="24"/>
          <w:szCs w:val="24"/>
        </w:rPr>
      </w:pPr>
      <w:r>
        <w:rPr>
          <w:i/>
          <w:sz w:val="24"/>
          <w:szCs w:val="24"/>
        </w:rPr>
        <w:t>Nedsat nyrefunktion:</w:t>
      </w:r>
      <w:r>
        <w:rPr>
          <w:sz w:val="24"/>
          <w:szCs w:val="24"/>
        </w:rPr>
        <w:t xml:space="preserve"> Koncentrationen af </w:t>
      </w:r>
      <w:proofErr w:type="spellStart"/>
      <w:r>
        <w:rPr>
          <w:sz w:val="24"/>
          <w:szCs w:val="24"/>
        </w:rPr>
        <w:t>lamivudin</w:t>
      </w:r>
      <w:proofErr w:type="spellEnd"/>
      <w:r>
        <w:rPr>
          <w:sz w:val="24"/>
          <w:szCs w:val="24"/>
        </w:rPr>
        <w:t xml:space="preserve"> er øget hos patienter med moderat til svært nedsat nyrefunktion som følge af nedsat </w:t>
      </w:r>
      <w:proofErr w:type="spellStart"/>
      <w:r>
        <w:rPr>
          <w:sz w:val="24"/>
          <w:szCs w:val="24"/>
        </w:rPr>
        <w:t>clearance</w:t>
      </w:r>
      <w:proofErr w:type="spellEnd"/>
      <w:r>
        <w:rPr>
          <w:sz w:val="24"/>
          <w:szCs w:val="24"/>
        </w:rPr>
        <w:t xml:space="preserve">. Dosis bør derfor justeres ved </w:t>
      </w:r>
      <w:r>
        <w:rPr>
          <w:sz w:val="24"/>
          <w:szCs w:val="24"/>
        </w:rPr>
        <w:lastRenderedPageBreak/>
        <w:t xml:space="preserve">anvendelse af </w:t>
      </w:r>
      <w:proofErr w:type="spellStart"/>
      <w:r>
        <w:rPr>
          <w:sz w:val="24"/>
          <w:szCs w:val="24"/>
        </w:rPr>
        <w:t>lamivudin</w:t>
      </w:r>
      <w:proofErr w:type="spellEnd"/>
      <w:r>
        <w:rPr>
          <w:sz w:val="24"/>
          <w:szCs w:val="24"/>
        </w:rPr>
        <w:t xml:space="preserve"> oral opløsning til patienter med </w:t>
      </w:r>
      <w:proofErr w:type="spellStart"/>
      <w:r>
        <w:rPr>
          <w:sz w:val="24"/>
          <w:szCs w:val="24"/>
        </w:rPr>
        <w:t>kreatininclearance</w:t>
      </w:r>
      <w:proofErr w:type="spellEnd"/>
      <w:r>
        <w:rPr>
          <w:sz w:val="24"/>
          <w:szCs w:val="24"/>
        </w:rPr>
        <w:t xml:space="preserve"> under 30 ml/min (se tabellerne).</w:t>
      </w:r>
    </w:p>
    <w:p w:rsidR="00604ED4" w:rsidRDefault="00604ED4" w:rsidP="00604ED4">
      <w:pPr>
        <w:ind w:left="851"/>
        <w:rPr>
          <w:sz w:val="24"/>
          <w:szCs w:val="24"/>
        </w:rPr>
      </w:pPr>
    </w:p>
    <w:p w:rsidR="00604ED4" w:rsidRDefault="00604ED4" w:rsidP="00604ED4">
      <w:pPr>
        <w:keepNext/>
        <w:ind w:left="851"/>
        <w:rPr>
          <w:i/>
          <w:sz w:val="24"/>
          <w:szCs w:val="24"/>
        </w:rPr>
      </w:pPr>
      <w:r>
        <w:rPr>
          <w:i/>
          <w:sz w:val="24"/>
          <w:szCs w:val="24"/>
        </w:rPr>
        <w:t>Anbefalet dosering – Voksne, unge og børn (der vejer mindst 25 kg):</w:t>
      </w:r>
    </w:p>
    <w:p w:rsidR="00604ED4" w:rsidRDefault="00604ED4" w:rsidP="00604ED4">
      <w:pPr>
        <w:keepNext/>
        <w:ind w:left="851" w:hanging="851"/>
        <w:rPr>
          <w:i/>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210"/>
        <w:gridCol w:w="3208"/>
      </w:tblGrid>
      <w:tr w:rsidR="00604ED4" w:rsidTr="00AC7F65">
        <w:tc>
          <w:tcPr>
            <w:tcW w:w="130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proofErr w:type="spellStart"/>
            <w:r>
              <w:rPr>
                <w:b/>
                <w:sz w:val="24"/>
                <w:szCs w:val="24"/>
              </w:rPr>
              <w:t>Kreatininclearance</w:t>
            </w:r>
            <w:proofErr w:type="spellEnd"/>
            <w:r>
              <w:rPr>
                <w:b/>
                <w:sz w:val="24"/>
                <w:szCs w:val="24"/>
              </w:rPr>
              <w:t xml:space="preserve"> (ml/min)</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rPr>
                <w:b/>
                <w:sz w:val="24"/>
                <w:szCs w:val="24"/>
              </w:rPr>
              <w:t>Initialdosis</w:t>
            </w:r>
          </w:p>
        </w:tc>
        <w:tc>
          <w:tcPr>
            <w:tcW w:w="1846" w:type="pct"/>
            <w:tcBorders>
              <w:top w:val="single" w:sz="4" w:space="0" w:color="auto"/>
              <w:left w:val="single" w:sz="4" w:space="0" w:color="auto"/>
              <w:bottom w:val="single" w:sz="4" w:space="0" w:color="auto"/>
              <w:right w:val="single" w:sz="4" w:space="0" w:color="auto"/>
            </w:tcBorders>
          </w:tcPr>
          <w:p w:rsidR="00604ED4" w:rsidRDefault="00604ED4" w:rsidP="00AC7F65">
            <w:pPr>
              <w:rPr>
                <w:b/>
                <w:sz w:val="24"/>
                <w:szCs w:val="24"/>
              </w:rPr>
            </w:pPr>
            <w:r>
              <w:rPr>
                <w:b/>
                <w:sz w:val="24"/>
                <w:szCs w:val="24"/>
              </w:rPr>
              <w:t>Vedligeholdelsesdosis</w:t>
            </w:r>
          </w:p>
          <w:p w:rsidR="00604ED4" w:rsidRDefault="00604ED4" w:rsidP="00AC7F65">
            <w:pPr>
              <w:rPr>
                <w:b/>
                <w:i/>
                <w:sz w:val="24"/>
                <w:szCs w:val="24"/>
              </w:rPr>
            </w:pPr>
          </w:p>
        </w:tc>
      </w:tr>
      <w:tr w:rsidR="00604ED4" w:rsidTr="00AC7F65">
        <w:tc>
          <w:tcPr>
            <w:tcW w:w="130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i/>
                <w:sz w:val="24"/>
                <w:szCs w:val="24"/>
              </w:rPr>
            </w:pPr>
            <w:r>
              <w:rPr>
                <w:sz w:val="24"/>
                <w:szCs w:val="24"/>
              </w:rPr>
              <w:t>≥ 50</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rPr>
                <w:sz w:val="24"/>
                <w:szCs w:val="24"/>
              </w:rPr>
              <w:t>300 mg</w:t>
            </w:r>
          </w:p>
          <w:p w:rsidR="00604ED4" w:rsidRDefault="00604ED4" w:rsidP="00AC7F65">
            <w:pPr>
              <w:jc w:val="center"/>
              <w:rPr>
                <w:sz w:val="24"/>
                <w:szCs w:val="24"/>
              </w:rPr>
            </w:pPr>
            <w:r>
              <w:rPr>
                <w:sz w:val="24"/>
                <w:szCs w:val="24"/>
              </w:rPr>
              <w:t>eller</w:t>
            </w:r>
          </w:p>
          <w:p w:rsidR="00604ED4" w:rsidRDefault="00604ED4" w:rsidP="00AC7F65">
            <w:pPr>
              <w:rPr>
                <w:sz w:val="24"/>
                <w:szCs w:val="24"/>
              </w:rPr>
            </w:pPr>
            <w:r>
              <w:rPr>
                <w:sz w:val="24"/>
                <w:szCs w:val="24"/>
              </w:rPr>
              <w:t>150 mg</w:t>
            </w:r>
          </w:p>
        </w:tc>
        <w:tc>
          <w:tcPr>
            <w:tcW w:w="1846" w:type="pct"/>
            <w:tcBorders>
              <w:top w:val="single" w:sz="4" w:space="0" w:color="auto"/>
              <w:left w:val="single" w:sz="4" w:space="0" w:color="auto"/>
              <w:bottom w:val="single" w:sz="4" w:space="0" w:color="auto"/>
              <w:right w:val="single" w:sz="4" w:space="0" w:color="auto"/>
            </w:tcBorders>
          </w:tcPr>
          <w:p w:rsidR="00AC7F65" w:rsidRDefault="00604ED4" w:rsidP="00AC7F65">
            <w:pPr>
              <w:rPr>
                <w:sz w:val="24"/>
                <w:szCs w:val="24"/>
              </w:rPr>
            </w:pPr>
            <w:r>
              <w:rPr>
                <w:sz w:val="24"/>
                <w:szCs w:val="24"/>
              </w:rPr>
              <w:t>300 mg én gang daglig</w:t>
            </w:r>
            <w:r w:rsidR="00AC7F65">
              <w:rPr>
                <w:sz w:val="24"/>
                <w:szCs w:val="24"/>
              </w:rPr>
              <w:t xml:space="preserve"> </w:t>
            </w:r>
          </w:p>
          <w:p w:rsidR="00604ED4" w:rsidRDefault="00AC7F65" w:rsidP="00AC7F65">
            <w:pPr>
              <w:rPr>
                <w:sz w:val="24"/>
                <w:szCs w:val="24"/>
              </w:rPr>
            </w:pPr>
            <w:r>
              <w:rPr>
                <w:sz w:val="24"/>
                <w:szCs w:val="24"/>
              </w:rPr>
              <w:t>eller</w:t>
            </w:r>
          </w:p>
          <w:p w:rsidR="00604ED4" w:rsidRDefault="00604ED4" w:rsidP="00AC7F65">
            <w:pPr>
              <w:rPr>
                <w:sz w:val="24"/>
                <w:szCs w:val="24"/>
              </w:rPr>
            </w:pPr>
            <w:r>
              <w:rPr>
                <w:sz w:val="24"/>
                <w:szCs w:val="24"/>
              </w:rPr>
              <w:t>150 mg to gange daglig</w:t>
            </w:r>
          </w:p>
          <w:p w:rsidR="00604ED4" w:rsidRDefault="00604ED4" w:rsidP="00AC7F65">
            <w:pPr>
              <w:rPr>
                <w:i/>
                <w:sz w:val="24"/>
                <w:szCs w:val="24"/>
              </w:rPr>
            </w:pPr>
          </w:p>
        </w:tc>
      </w:tr>
      <w:tr w:rsidR="00604ED4" w:rsidTr="00AC7F65">
        <w:tc>
          <w:tcPr>
            <w:tcW w:w="130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i/>
                <w:sz w:val="24"/>
                <w:szCs w:val="24"/>
              </w:rPr>
            </w:pPr>
            <w:r>
              <w:rPr>
                <w:sz w:val="24"/>
                <w:szCs w:val="24"/>
              </w:rPr>
              <w:t>30-&lt; 50</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rPr>
                <w:sz w:val="24"/>
                <w:szCs w:val="24"/>
              </w:rPr>
              <w:t>150 mg</w:t>
            </w:r>
          </w:p>
        </w:tc>
        <w:tc>
          <w:tcPr>
            <w:tcW w:w="1846" w:type="pct"/>
            <w:tcBorders>
              <w:top w:val="single" w:sz="4" w:space="0" w:color="auto"/>
              <w:left w:val="single" w:sz="4" w:space="0" w:color="auto"/>
              <w:bottom w:val="single" w:sz="4" w:space="0" w:color="auto"/>
              <w:right w:val="single" w:sz="4" w:space="0" w:color="auto"/>
            </w:tcBorders>
          </w:tcPr>
          <w:p w:rsidR="00604ED4" w:rsidRDefault="00604ED4" w:rsidP="00AC7F65">
            <w:pPr>
              <w:rPr>
                <w:sz w:val="24"/>
                <w:szCs w:val="24"/>
              </w:rPr>
            </w:pPr>
            <w:r>
              <w:rPr>
                <w:sz w:val="24"/>
                <w:szCs w:val="24"/>
              </w:rPr>
              <w:t>150 mg én gang daglig</w:t>
            </w:r>
          </w:p>
          <w:p w:rsidR="00604ED4" w:rsidRDefault="00604ED4" w:rsidP="00AC7F65">
            <w:pPr>
              <w:rPr>
                <w:i/>
                <w:sz w:val="24"/>
                <w:szCs w:val="24"/>
              </w:rPr>
            </w:pPr>
          </w:p>
        </w:tc>
      </w:tr>
      <w:tr w:rsidR="00604ED4" w:rsidTr="00AC7F65">
        <w:tc>
          <w:tcPr>
            <w:tcW w:w="130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i/>
                <w:sz w:val="24"/>
                <w:szCs w:val="24"/>
              </w:rPr>
            </w:pPr>
            <w:r>
              <w:rPr>
                <w:sz w:val="24"/>
                <w:szCs w:val="24"/>
              </w:rPr>
              <w:t>&lt; 30</w:t>
            </w:r>
          </w:p>
        </w:tc>
        <w:tc>
          <w:tcPr>
            <w:tcW w:w="3693" w:type="pct"/>
            <w:gridSpan w:val="2"/>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rPr>
                <w:sz w:val="24"/>
                <w:szCs w:val="24"/>
              </w:rPr>
              <w:t>Da der er behov for doser under 150 mg, anbefales det at anvende den orale opløsning</w:t>
            </w:r>
          </w:p>
        </w:tc>
      </w:tr>
      <w:tr w:rsidR="00604ED4" w:rsidTr="00AC7F65">
        <w:tc>
          <w:tcPr>
            <w:tcW w:w="130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15 til &lt; 30 </w:t>
            </w:r>
          </w:p>
        </w:tc>
        <w:tc>
          <w:tcPr>
            <w:tcW w:w="184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150 mg </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100 mg én gang daglig</w:t>
            </w:r>
          </w:p>
        </w:tc>
      </w:tr>
      <w:tr w:rsidR="00604ED4" w:rsidTr="00AC7F65">
        <w:tc>
          <w:tcPr>
            <w:tcW w:w="130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5 til &lt; 15 </w:t>
            </w:r>
          </w:p>
        </w:tc>
        <w:tc>
          <w:tcPr>
            <w:tcW w:w="184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150 mg </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50 mg én gang daglig</w:t>
            </w:r>
          </w:p>
        </w:tc>
      </w:tr>
      <w:tr w:rsidR="00604ED4" w:rsidTr="00AC7F65">
        <w:tc>
          <w:tcPr>
            <w:tcW w:w="130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&lt; 5 </w:t>
            </w:r>
          </w:p>
        </w:tc>
        <w:tc>
          <w:tcPr>
            <w:tcW w:w="1846"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50 mg </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t xml:space="preserve">25 mg én gang daglig </w:t>
            </w:r>
          </w:p>
        </w:tc>
      </w:tr>
    </w:tbl>
    <w:p w:rsidR="00604ED4" w:rsidRDefault="00604ED4" w:rsidP="00604ED4">
      <w:pPr>
        <w:ind w:left="851" w:hanging="851"/>
        <w:rPr>
          <w:i/>
          <w:sz w:val="24"/>
          <w:szCs w:val="24"/>
        </w:rPr>
      </w:pPr>
    </w:p>
    <w:p w:rsidR="00AC7F65" w:rsidRDefault="00604ED4" w:rsidP="00AC7F65">
      <w:pPr>
        <w:ind w:left="851" w:hanging="851"/>
        <w:rPr>
          <w:sz w:val="24"/>
          <w:szCs w:val="24"/>
        </w:rPr>
      </w:pPr>
      <w:r>
        <w:rPr>
          <w:sz w:val="24"/>
          <w:szCs w:val="24"/>
        </w:rPr>
        <w:tab/>
      </w:r>
      <w:r w:rsidR="00AC7F65">
        <w:rPr>
          <w:sz w:val="24"/>
          <w:szCs w:val="24"/>
        </w:rPr>
        <w:t xml:space="preserve">Der foreligger ingen oplysninger om brug af </w:t>
      </w:r>
      <w:proofErr w:type="spellStart"/>
      <w:r w:rsidR="00AC7F65">
        <w:rPr>
          <w:sz w:val="24"/>
          <w:szCs w:val="24"/>
        </w:rPr>
        <w:t>lamivudin</w:t>
      </w:r>
      <w:proofErr w:type="spellEnd"/>
      <w:r w:rsidR="00AC7F65">
        <w:rPr>
          <w:sz w:val="24"/>
          <w:szCs w:val="24"/>
        </w:rPr>
        <w:t xml:space="preserve"> hos børn med nedsat nyrefunktion. Ud fra den antagelse at </w:t>
      </w:r>
      <w:proofErr w:type="spellStart"/>
      <w:r w:rsidR="00AC7F65">
        <w:rPr>
          <w:sz w:val="24"/>
          <w:szCs w:val="24"/>
        </w:rPr>
        <w:t>kreatininclearance</w:t>
      </w:r>
      <w:proofErr w:type="spellEnd"/>
      <w:r w:rsidR="00AC7F65">
        <w:rPr>
          <w:sz w:val="24"/>
          <w:szCs w:val="24"/>
        </w:rPr>
        <w:t xml:space="preserve"> og </w:t>
      </w:r>
      <w:proofErr w:type="spellStart"/>
      <w:r w:rsidR="00AC7F65">
        <w:rPr>
          <w:sz w:val="24"/>
          <w:szCs w:val="24"/>
        </w:rPr>
        <w:t>lamivudinclearance</w:t>
      </w:r>
      <w:proofErr w:type="spellEnd"/>
      <w:r w:rsidR="00AC7F65">
        <w:rPr>
          <w:sz w:val="24"/>
          <w:szCs w:val="24"/>
        </w:rPr>
        <w:t xml:space="preserve"> korreleres ens hos børn og voksne, anbefales det, at dosis til børn med nedsat nyrefunktion reduceres i forhold til deres </w:t>
      </w:r>
      <w:proofErr w:type="spellStart"/>
      <w:r w:rsidR="00AC7F65">
        <w:rPr>
          <w:sz w:val="24"/>
          <w:szCs w:val="24"/>
        </w:rPr>
        <w:t>kreatininclearance</w:t>
      </w:r>
      <w:proofErr w:type="spellEnd"/>
      <w:r w:rsidR="00AC7F65">
        <w:rPr>
          <w:sz w:val="24"/>
          <w:szCs w:val="24"/>
        </w:rPr>
        <w:t xml:space="preserve"> på samme måde som hos voksne. Til børn over 3 måneder og med en vægt på mindre end 25 kg med nedsat nyrefunktion er </w:t>
      </w:r>
      <w:proofErr w:type="spellStart"/>
      <w:r w:rsidR="00AC7F65">
        <w:rPr>
          <w:rFonts w:eastAsia="Calibri"/>
          <w:sz w:val="24"/>
          <w:szCs w:val="24"/>
        </w:rPr>
        <w:t>lamivudin</w:t>
      </w:r>
      <w:proofErr w:type="spellEnd"/>
      <w:r w:rsidR="00AC7F65">
        <w:rPr>
          <w:rFonts w:eastAsia="Calibri"/>
          <w:sz w:val="24"/>
          <w:szCs w:val="24"/>
        </w:rPr>
        <w:t xml:space="preserve"> 10 mg/ml oral opløsning sandsynligvis den bedst egnede lægemiddelform til at opnå den anbefalede dosis.</w:t>
      </w:r>
    </w:p>
    <w:p w:rsidR="00604ED4" w:rsidRDefault="00604ED4" w:rsidP="00AC7F65">
      <w:pPr>
        <w:ind w:left="851" w:hanging="851"/>
        <w:rPr>
          <w:sz w:val="24"/>
          <w:szCs w:val="24"/>
        </w:rPr>
      </w:pPr>
    </w:p>
    <w:p w:rsidR="00604ED4" w:rsidRDefault="00604ED4" w:rsidP="00604ED4">
      <w:pPr>
        <w:ind w:left="851" w:hanging="851"/>
        <w:rPr>
          <w:i/>
          <w:sz w:val="24"/>
          <w:szCs w:val="24"/>
        </w:rPr>
      </w:pPr>
      <w:r>
        <w:rPr>
          <w:i/>
          <w:sz w:val="24"/>
          <w:szCs w:val="24"/>
        </w:rPr>
        <w:tab/>
        <w:t>Anbefalet dosering – Børn over 3 måneder med en vægt under 25 kg:</w:t>
      </w:r>
    </w:p>
    <w:p w:rsidR="00604ED4" w:rsidRDefault="00604ED4" w:rsidP="00604ED4">
      <w:pPr>
        <w:ind w:left="851" w:hanging="851"/>
        <w:rPr>
          <w:i/>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210"/>
        <w:gridCol w:w="3208"/>
      </w:tblGrid>
      <w:tr w:rsidR="00604ED4" w:rsidTr="00AC7F65">
        <w:tc>
          <w:tcPr>
            <w:tcW w:w="130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proofErr w:type="spellStart"/>
            <w:r>
              <w:rPr>
                <w:b/>
                <w:sz w:val="24"/>
                <w:szCs w:val="24"/>
              </w:rPr>
              <w:t>Kreatininclearance</w:t>
            </w:r>
            <w:proofErr w:type="spellEnd"/>
            <w:r>
              <w:rPr>
                <w:b/>
                <w:sz w:val="24"/>
                <w:szCs w:val="24"/>
              </w:rPr>
              <w:t xml:space="preserve"> (ml/min)</w:t>
            </w:r>
          </w:p>
        </w:tc>
        <w:tc>
          <w:tcPr>
            <w:tcW w:w="1847" w:type="pct"/>
            <w:tcBorders>
              <w:top w:val="single" w:sz="4" w:space="0" w:color="auto"/>
              <w:left w:val="single" w:sz="4" w:space="0" w:color="auto"/>
              <w:bottom w:val="single" w:sz="4" w:space="0" w:color="auto"/>
              <w:right w:val="single" w:sz="4" w:space="0" w:color="auto"/>
            </w:tcBorders>
            <w:hideMark/>
          </w:tcPr>
          <w:p w:rsidR="00604ED4" w:rsidRDefault="00604ED4" w:rsidP="00AC7F65">
            <w:pPr>
              <w:rPr>
                <w:sz w:val="24"/>
                <w:szCs w:val="24"/>
              </w:rPr>
            </w:pPr>
            <w:r>
              <w:rPr>
                <w:b/>
                <w:sz w:val="24"/>
                <w:szCs w:val="24"/>
              </w:rPr>
              <w:t>Initialdosis</w:t>
            </w:r>
          </w:p>
        </w:tc>
        <w:tc>
          <w:tcPr>
            <w:tcW w:w="1846" w:type="pct"/>
            <w:tcBorders>
              <w:top w:val="single" w:sz="4" w:space="0" w:color="auto"/>
              <w:left w:val="single" w:sz="4" w:space="0" w:color="auto"/>
              <w:bottom w:val="single" w:sz="4" w:space="0" w:color="auto"/>
              <w:right w:val="single" w:sz="4" w:space="0" w:color="auto"/>
            </w:tcBorders>
          </w:tcPr>
          <w:p w:rsidR="00604ED4" w:rsidRDefault="00604ED4" w:rsidP="00AC7F65">
            <w:pPr>
              <w:rPr>
                <w:b/>
                <w:sz w:val="24"/>
                <w:szCs w:val="24"/>
              </w:rPr>
            </w:pPr>
            <w:r>
              <w:rPr>
                <w:b/>
                <w:sz w:val="24"/>
                <w:szCs w:val="24"/>
              </w:rPr>
              <w:t>Vedligeholdelsesdosis</w:t>
            </w:r>
          </w:p>
          <w:p w:rsidR="00604ED4" w:rsidRDefault="00604ED4" w:rsidP="00AC7F65">
            <w:pPr>
              <w:rPr>
                <w:b/>
                <w:sz w:val="24"/>
                <w:szCs w:val="24"/>
              </w:rPr>
            </w:pPr>
          </w:p>
        </w:tc>
      </w:tr>
      <w:tr w:rsidR="00AC7F65" w:rsidTr="00AC7F65">
        <w:tc>
          <w:tcPr>
            <w:tcW w:w="130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 50</w:t>
            </w:r>
          </w:p>
        </w:tc>
        <w:tc>
          <w:tcPr>
            <w:tcW w:w="184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10 mg/kg</w:t>
            </w:r>
          </w:p>
          <w:p w:rsidR="00AC7F65" w:rsidRDefault="00AC7F65" w:rsidP="00AC7F65">
            <w:pPr>
              <w:jc w:val="center"/>
              <w:rPr>
                <w:sz w:val="24"/>
                <w:szCs w:val="24"/>
              </w:rPr>
            </w:pPr>
            <w:r>
              <w:rPr>
                <w:sz w:val="24"/>
                <w:szCs w:val="24"/>
              </w:rPr>
              <w:t>eller</w:t>
            </w:r>
          </w:p>
          <w:p w:rsidR="00AC7F65" w:rsidRDefault="00AC7F65" w:rsidP="00AC7F65">
            <w:pPr>
              <w:rPr>
                <w:sz w:val="24"/>
                <w:szCs w:val="24"/>
              </w:rPr>
            </w:pPr>
            <w:r>
              <w:rPr>
                <w:sz w:val="24"/>
                <w:szCs w:val="24"/>
              </w:rPr>
              <w:t>5 mg/kg</w:t>
            </w:r>
          </w:p>
        </w:tc>
        <w:tc>
          <w:tcPr>
            <w:tcW w:w="1846"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10 mg/kg én gang daglig</w:t>
            </w:r>
          </w:p>
          <w:p w:rsidR="00AC7F65" w:rsidRDefault="00AC7F65" w:rsidP="00AC7F65">
            <w:pPr>
              <w:rPr>
                <w:sz w:val="24"/>
                <w:szCs w:val="24"/>
              </w:rPr>
            </w:pPr>
            <w:r>
              <w:rPr>
                <w:sz w:val="24"/>
                <w:szCs w:val="24"/>
              </w:rPr>
              <w:t>eller</w:t>
            </w:r>
          </w:p>
          <w:p w:rsidR="00AC7F65" w:rsidRDefault="00AC7F65" w:rsidP="00AC7F65">
            <w:pPr>
              <w:rPr>
                <w:sz w:val="24"/>
                <w:szCs w:val="24"/>
              </w:rPr>
            </w:pPr>
            <w:r>
              <w:rPr>
                <w:sz w:val="24"/>
                <w:szCs w:val="24"/>
              </w:rPr>
              <w:t>5 mg/kg to gange daglig</w:t>
            </w:r>
          </w:p>
        </w:tc>
      </w:tr>
      <w:tr w:rsidR="00AC7F65" w:rsidTr="00AC7F65">
        <w:tc>
          <w:tcPr>
            <w:tcW w:w="130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30 til &lt; 50</w:t>
            </w:r>
          </w:p>
        </w:tc>
        <w:tc>
          <w:tcPr>
            <w:tcW w:w="184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5 mg/kg</w:t>
            </w:r>
          </w:p>
        </w:tc>
        <w:tc>
          <w:tcPr>
            <w:tcW w:w="1846"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5 mg/kg én gang daglig</w:t>
            </w:r>
          </w:p>
        </w:tc>
      </w:tr>
      <w:tr w:rsidR="00AC7F65" w:rsidTr="00AC7F65">
        <w:tc>
          <w:tcPr>
            <w:tcW w:w="130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15 til &lt; 30</w:t>
            </w:r>
          </w:p>
        </w:tc>
        <w:tc>
          <w:tcPr>
            <w:tcW w:w="184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5 mg/kg</w:t>
            </w:r>
          </w:p>
        </w:tc>
        <w:tc>
          <w:tcPr>
            <w:tcW w:w="1846"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3,3 mg/kg én gang daglig</w:t>
            </w:r>
          </w:p>
        </w:tc>
      </w:tr>
      <w:tr w:rsidR="00AC7F65" w:rsidTr="00AC7F65">
        <w:tc>
          <w:tcPr>
            <w:tcW w:w="130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5 til &lt; 15</w:t>
            </w:r>
          </w:p>
        </w:tc>
        <w:tc>
          <w:tcPr>
            <w:tcW w:w="184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5 mg/kg</w:t>
            </w:r>
          </w:p>
        </w:tc>
        <w:tc>
          <w:tcPr>
            <w:tcW w:w="1846"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1,6 mg/kg én gang daglig</w:t>
            </w:r>
          </w:p>
        </w:tc>
      </w:tr>
      <w:tr w:rsidR="00AC7F65" w:rsidTr="00AC7F65">
        <w:tc>
          <w:tcPr>
            <w:tcW w:w="130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&lt; 5</w:t>
            </w:r>
          </w:p>
        </w:tc>
        <w:tc>
          <w:tcPr>
            <w:tcW w:w="1847"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1,6 mg/kg</w:t>
            </w:r>
          </w:p>
        </w:tc>
        <w:tc>
          <w:tcPr>
            <w:tcW w:w="1846" w:type="pct"/>
            <w:tcBorders>
              <w:top w:val="single" w:sz="4" w:space="0" w:color="auto"/>
              <w:left w:val="single" w:sz="4" w:space="0" w:color="auto"/>
              <w:bottom w:val="single" w:sz="4" w:space="0" w:color="auto"/>
              <w:right w:val="single" w:sz="4" w:space="0" w:color="auto"/>
            </w:tcBorders>
            <w:hideMark/>
          </w:tcPr>
          <w:p w:rsidR="00AC7F65" w:rsidRDefault="00AC7F65" w:rsidP="00AC7F65">
            <w:pPr>
              <w:rPr>
                <w:sz w:val="24"/>
                <w:szCs w:val="24"/>
              </w:rPr>
            </w:pPr>
            <w:r>
              <w:rPr>
                <w:sz w:val="24"/>
                <w:szCs w:val="24"/>
              </w:rPr>
              <w:t>0,9 mg/kg én gang daglig</w:t>
            </w:r>
          </w:p>
        </w:tc>
      </w:tr>
    </w:tbl>
    <w:p w:rsidR="00604ED4" w:rsidRDefault="00604ED4" w:rsidP="00604ED4">
      <w:pPr>
        <w:ind w:left="851" w:hanging="851"/>
        <w:rPr>
          <w:sz w:val="24"/>
          <w:szCs w:val="24"/>
        </w:rPr>
      </w:pPr>
    </w:p>
    <w:p w:rsidR="00604ED4" w:rsidRDefault="00604ED4" w:rsidP="00604ED4">
      <w:pPr>
        <w:ind w:left="851" w:hanging="851"/>
        <w:rPr>
          <w:sz w:val="24"/>
          <w:szCs w:val="24"/>
        </w:rPr>
      </w:pPr>
      <w:r>
        <w:rPr>
          <w:i/>
          <w:sz w:val="24"/>
          <w:szCs w:val="24"/>
        </w:rPr>
        <w:tab/>
        <w:t>Nedsat leverfunktion:</w:t>
      </w:r>
      <w:r>
        <w:rPr>
          <w:sz w:val="24"/>
          <w:szCs w:val="24"/>
        </w:rPr>
        <w:t xml:space="preserve"> Data fra patienter med moderat til svært nedsat leverfunktion viser, at farmakokinetikken af </w:t>
      </w:r>
      <w:proofErr w:type="spellStart"/>
      <w:r>
        <w:rPr>
          <w:sz w:val="24"/>
          <w:szCs w:val="24"/>
        </w:rPr>
        <w:t>lamivudin</w:t>
      </w:r>
      <w:proofErr w:type="spellEnd"/>
      <w:r>
        <w:rPr>
          <w:sz w:val="24"/>
          <w:szCs w:val="24"/>
        </w:rPr>
        <w:t xml:space="preserve"> ikke påvirkes nævneværdigt af nedsat leverfunktion. Ud fra disse data er dosisjustering ikke nødvendig hos patienter med moderat eller svært nedsat leverfunktion, medmindre den er ledsaget af nedsat nyrefunktion.</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4.3</w:t>
      </w:r>
      <w:r w:rsidRPr="002250CB">
        <w:rPr>
          <w:b/>
          <w:sz w:val="24"/>
          <w:szCs w:val="24"/>
        </w:rPr>
        <w:tab/>
        <w:t>Kontraindikationer</w:t>
      </w:r>
    </w:p>
    <w:p w:rsidR="00604ED4" w:rsidRPr="002250CB" w:rsidRDefault="00604ED4" w:rsidP="00604ED4">
      <w:pPr>
        <w:ind w:left="851" w:hanging="851"/>
        <w:rPr>
          <w:sz w:val="24"/>
          <w:szCs w:val="24"/>
        </w:rPr>
      </w:pPr>
      <w:r w:rsidRPr="002250CB">
        <w:rPr>
          <w:sz w:val="24"/>
          <w:szCs w:val="24"/>
        </w:rPr>
        <w:tab/>
        <w:t>Overfølsomhed over for det aktive stof eller over for et eller flere af hjælpestofferne anført i pkt. 6.1.</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4.4</w:t>
      </w:r>
      <w:r w:rsidRPr="002250CB">
        <w:rPr>
          <w:b/>
          <w:sz w:val="24"/>
          <w:szCs w:val="24"/>
        </w:rPr>
        <w:tab/>
        <w:t>Særlige advarsler og forsigtighedsregler vedrørende brugen</w:t>
      </w:r>
    </w:p>
    <w:p w:rsidR="00BE4824" w:rsidRDefault="00604ED4" w:rsidP="00BE4824">
      <w:pPr>
        <w:ind w:left="851" w:hanging="851"/>
        <w:rPr>
          <w:sz w:val="24"/>
          <w:szCs w:val="24"/>
        </w:rPr>
      </w:pPr>
      <w:r w:rsidRPr="002250CB">
        <w:rPr>
          <w:sz w:val="24"/>
          <w:szCs w:val="24"/>
        </w:rPr>
        <w:tab/>
      </w:r>
    </w:p>
    <w:p w:rsidR="00BE4824" w:rsidRDefault="00BE4824" w:rsidP="00BE4824">
      <w:pPr>
        <w:ind w:left="851" w:hanging="851"/>
        <w:rPr>
          <w:sz w:val="24"/>
          <w:szCs w:val="24"/>
        </w:rPr>
      </w:pPr>
      <w:r>
        <w:rPr>
          <w:sz w:val="24"/>
          <w:szCs w:val="24"/>
        </w:rPr>
        <w:tab/>
      </w:r>
      <w:proofErr w:type="spellStart"/>
      <w:r>
        <w:rPr>
          <w:sz w:val="24"/>
          <w:szCs w:val="24"/>
        </w:rPr>
        <w:t>Lamivudine</w:t>
      </w:r>
      <w:proofErr w:type="spellEnd"/>
      <w:r>
        <w:rPr>
          <w:sz w:val="24"/>
          <w:szCs w:val="24"/>
        </w:rPr>
        <w:t xml:space="preserve"> ”Sandoz” anbefales ikke som monoterapi.</w:t>
      </w:r>
    </w:p>
    <w:p w:rsidR="00BE4824" w:rsidRDefault="00BE4824" w:rsidP="00BE4824">
      <w:pPr>
        <w:ind w:left="851" w:hanging="851"/>
        <w:rPr>
          <w:i/>
          <w:sz w:val="24"/>
          <w:szCs w:val="24"/>
        </w:rPr>
      </w:pPr>
    </w:p>
    <w:p w:rsidR="00BE4824" w:rsidRPr="0035062A" w:rsidRDefault="00BE4824" w:rsidP="00BE4824">
      <w:pPr>
        <w:ind w:firstLine="851"/>
        <w:rPr>
          <w:i/>
          <w:sz w:val="24"/>
          <w:szCs w:val="24"/>
        </w:rPr>
      </w:pPr>
      <w:r>
        <w:rPr>
          <w:i/>
          <w:sz w:val="24"/>
          <w:szCs w:val="24"/>
        </w:rPr>
        <w:t>Nedsat nyrefunktion:</w:t>
      </w:r>
      <w:r>
        <w:rPr>
          <w:sz w:val="24"/>
          <w:szCs w:val="24"/>
        </w:rPr>
        <w:t xml:space="preserve"> </w:t>
      </w:r>
    </w:p>
    <w:p w:rsidR="00BE4824" w:rsidRDefault="00BE4824" w:rsidP="00BE4824">
      <w:pPr>
        <w:ind w:left="851" w:hanging="851"/>
        <w:rPr>
          <w:sz w:val="24"/>
          <w:szCs w:val="24"/>
        </w:rPr>
      </w:pPr>
      <w:r>
        <w:rPr>
          <w:sz w:val="24"/>
          <w:szCs w:val="24"/>
        </w:rPr>
        <w:tab/>
        <w:t xml:space="preserve">Hos patienter med moderat til svært nedsat nyrefunktion er den terminale plasmahalveringstid af </w:t>
      </w:r>
      <w:proofErr w:type="spellStart"/>
      <w:r>
        <w:rPr>
          <w:sz w:val="24"/>
          <w:szCs w:val="24"/>
        </w:rPr>
        <w:t>lamivudin</w:t>
      </w:r>
      <w:proofErr w:type="spellEnd"/>
      <w:r>
        <w:rPr>
          <w:sz w:val="24"/>
          <w:szCs w:val="24"/>
        </w:rPr>
        <w:t xml:space="preserve"> øget på grund af nedsat </w:t>
      </w:r>
      <w:proofErr w:type="spellStart"/>
      <w:r>
        <w:rPr>
          <w:sz w:val="24"/>
          <w:szCs w:val="24"/>
        </w:rPr>
        <w:t>clearance</w:t>
      </w:r>
      <w:proofErr w:type="spellEnd"/>
      <w:r>
        <w:rPr>
          <w:sz w:val="24"/>
          <w:szCs w:val="24"/>
        </w:rPr>
        <w:t xml:space="preserve">. Derfor bør dosis justeres (se pkt. 4.2). </w:t>
      </w:r>
    </w:p>
    <w:p w:rsidR="00604ED4" w:rsidRDefault="00604ED4" w:rsidP="00BE4824">
      <w:pPr>
        <w:ind w:left="851" w:hanging="851"/>
        <w:rPr>
          <w:sz w:val="24"/>
          <w:szCs w:val="24"/>
        </w:rPr>
      </w:pPr>
    </w:p>
    <w:p w:rsidR="00604ED4" w:rsidRDefault="00604ED4" w:rsidP="00604ED4">
      <w:pPr>
        <w:ind w:left="851" w:hanging="851"/>
        <w:rPr>
          <w:sz w:val="24"/>
          <w:szCs w:val="24"/>
        </w:rPr>
      </w:pPr>
      <w:r>
        <w:rPr>
          <w:i/>
          <w:sz w:val="24"/>
          <w:szCs w:val="24"/>
        </w:rPr>
        <w:tab/>
      </w:r>
      <w:proofErr w:type="spellStart"/>
      <w:r>
        <w:rPr>
          <w:i/>
          <w:sz w:val="24"/>
          <w:szCs w:val="24"/>
        </w:rPr>
        <w:t>Nukleosid</w:t>
      </w:r>
      <w:proofErr w:type="spellEnd"/>
      <w:r>
        <w:rPr>
          <w:i/>
          <w:sz w:val="24"/>
          <w:szCs w:val="24"/>
        </w:rPr>
        <w:t xml:space="preserve"> trekombinationsbehandling:</w:t>
      </w:r>
      <w:r>
        <w:rPr>
          <w:sz w:val="24"/>
          <w:szCs w:val="24"/>
        </w:rPr>
        <w:t xml:space="preserve"> </w:t>
      </w:r>
    </w:p>
    <w:p w:rsidR="00604ED4" w:rsidRDefault="00604ED4" w:rsidP="00604ED4">
      <w:pPr>
        <w:ind w:left="851" w:hanging="851"/>
        <w:rPr>
          <w:sz w:val="24"/>
          <w:szCs w:val="24"/>
        </w:rPr>
      </w:pPr>
      <w:r>
        <w:rPr>
          <w:sz w:val="24"/>
          <w:szCs w:val="24"/>
        </w:rPr>
        <w:tab/>
        <w:t xml:space="preserve">Der er rapporteret om en høj hyppighed af virologisk svigt og forekomst af resistens på et tidligt stadie, når </w:t>
      </w:r>
      <w:proofErr w:type="spellStart"/>
      <w:r>
        <w:rPr>
          <w:sz w:val="24"/>
          <w:szCs w:val="24"/>
        </w:rPr>
        <w:t>lamivudin</w:t>
      </w:r>
      <w:proofErr w:type="spellEnd"/>
      <w:r>
        <w:rPr>
          <w:sz w:val="24"/>
          <w:szCs w:val="24"/>
        </w:rPr>
        <w:t xml:space="preserve"> kombineres med </w:t>
      </w:r>
      <w:proofErr w:type="spellStart"/>
      <w:r>
        <w:rPr>
          <w:sz w:val="24"/>
          <w:szCs w:val="24"/>
        </w:rPr>
        <w:t>tenofovirdisoproxilfumarat</w:t>
      </w:r>
      <w:proofErr w:type="spellEnd"/>
      <w:r>
        <w:rPr>
          <w:sz w:val="24"/>
          <w:szCs w:val="24"/>
        </w:rPr>
        <w:t xml:space="preserve"> og </w:t>
      </w:r>
      <w:proofErr w:type="spellStart"/>
      <w:r>
        <w:rPr>
          <w:sz w:val="24"/>
          <w:szCs w:val="24"/>
        </w:rPr>
        <w:t>abacavir</w:t>
      </w:r>
      <w:proofErr w:type="spellEnd"/>
      <w:r>
        <w:rPr>
          <w:sz w:val="24"/>
          <w:szCs w:val="24"/>
        </w:rPr>
        <w:t xml:space="preserve"> såvel som med </w:t>
      </w:r>
      <w:proofErr w:type="spellStart"/>
      <w:r>
        <w:rPr>
          <w:sz w:val="24"/>
          <w:szCs w:val="24"/>
        </w:rPr>
        <w:t>tenofovirdisoproxilfumarat</w:t>
      </w:r>
      <w:proofErr w:type="spellEnd"/>
      <w:r>
        <w:rPr>
          <w:sz w:val="24"/>
          <w:szCs w:val="24"/>
        </w:rPr>
        <w:t xml:space="preserve"> og </w:t>
      </w:r>
      <w:proofErr w:type="spellStart"/>
      <w:r>
        <w:rPr>
          <w:sz w:val="24"/>
          <w:szCs w:val="24"/>
        </w:rPr>
        <w:t>didanosin</w:t>
      </w:r>
      <w:proofErr w:type="spellEnd"/>
      <w:r>
        <w:rPr>
          <w:sz w:val="24"/>
          <w:szCs w:val="24"/>
        </w:rPr>
        <w:t xml:space="preserve"> i henhold til et regime med én daglig dosering. </w:t>
      </w:r>
    </w:p>
    <w:p w:rsidR="00604ED4" w:rsidRDefault="00604ED4" w:rsidP="00604ED4">
      <w:pPr>
        <w:ind w:left="851" w:hanging="851"/>
        <w:rPr>
          <w:sz w:val="24"/>
          <w:szCs w:val="24"/>
        </w:rPr>
      </w:pPr>
    </w:p>
    <w:p w:rsidR="00604ED4" w:rsidRDefault="00604ED4" w:rsidP="00604ED4">
      <w:pPr>
        <w:ind w:left="851" w:hanging="851"/>
        <w:rPr>
          <w:i/>
          <w:sz w:val="24"/>
          <w:szCs w:val="24"/>
        </w:rPr>
      </w:pPr>
      <w:r>
        <w:rPr>
          <w:i/>
          <w:sz w:val="24"/>
          <w:szCs w:val="24"/>
        </w:rPr>
        <w:tab/>
        <w:t xml:space="preserve">Opportunistiske infektioner: </w:t>
      </w:r>
    </w:p>
    <w:p w:rsidR="00604ED4" w:rsidRDefault="00604ED4" w:rsidP="00604ED4">
      <w:pPr>
        <w:ind w:left="851" w:hanging="851"/>
        <w:rPr>
          <w:sz w:val="24"/>
          <w:szCs w:val="24"/>
        </w:rPr>
      </w:pPr>
      <w:r>
        <w:rPr>
          <w:i/>
          <w:sz w:val="24"/>
          <w:szCs w:val="24"/>
        </w:rPr>
        <w:tab/>
      </w:r>
      <w:r>
        <w:rPr>
          <w:sz w:val="24"/>
          <w:szCs w:val="24"/>
        </w:rPr>
        <w:t xml:space="preserve">Patienter kan fortsat udvikle opportunistiske infektioner eller andre komplikationer af hiv-infektionen, selv om de får </w:t>
      </w:r>
      <w:proofErr w:type="spellStart"/>
      <w:r>
        <w:rPr>
          <w:sz w:val="24"/>
          <w:szCs w:val="24"/>
        </w:rPr>
        <w:t>Lamivudine</w:t>
      </w:r>
      <w:proofErr w:type="spellEnd"/>
      <w:r>
        <w:rPr>
          <w:sz w:val="24"/>
          <w:szCs w:val="24"/>
        </w:rPr>
        <w:t xml:space="preserve"> ”Sandoz” eller en anden </w:t>
      </w:r>
      <w:proofErr w:type="spellStart"/>
      <w:r>
        <w:rPr>
          <w:sz w:val="24"/>
          <w:szCs w:val="24"/>
        </w:rPr>
        <w:t>antiretroviral</w:t>
      </w:r>
      <w:proofErr w:type="spellEnd"/>
      <w:r>
        <w:rPr>
          <w:sz w:val="24"/>
          <w:szCs w:val="24"/>
        </w:rPr>
        <w:t xml:space="preserve"> behandling. De bør derfor følges tæt af læger med erfaring i behandling af patienter med ledsagende hiv-sygdomme.</w:t>
      </w:r>
    </w:p>
    <w:p w:rsidR="00604ED4" w:rsidRDefault="00604ED4" w:rsidP="00604ED4">
      <w:pPr>
        <w:ind w:left="851" w:hanging="851"/>
        <w:rPr>
          <w:sz w:val="24"/>
          <w:szCs w:val="24"/>
        </w:rPr>
      </w:pPr>
    </w:p>
    <w:p w:rsidR="00604ED4" w:rsidRDefault="00604ED4" w:rsidP="00604ED4">
      <w:pPr>
        <w:ind w:left="851" w:hanging="851"/>
        <w:rPr>
          <w:sz w:val="24"/>
          <w:szCs w:val="24"/>
        </w:rPr>
      </w:pPr>
      <w:r>
        <w:rPr>
          <w:i/>
          <w:sz w:val="24"/>
          <w:szCs w:val="24"/>
        </w:rPr>
        <w:tab/>
      </w:r>
      <w:proofErr w:type="spellStart"/>
      <w:r>
        <w:rPr>
          <w:i/>
          <w:sz w:val="24"/>
          <w:szCs w:val="24"/>
        </w:rPr>
        <w:t>Pancreatitis</w:t>
      </w:r>
      <w:proofErr w:type="spellEnd"/>
      <w:r>
        <w:rPr>
          <w:i/>
          <w:sz w:val="24"/>
          <w:szCs w:val="24"/>
        </w:rPr>
        <w:t>:</w:t>
      </w:r>
      <w:r>
        <w:rPr>
          <w:sz w:val="24"/>
          <w:szCs w:val="24"/>
        </w:rPr>
        <w:t xml:space="preserve"> </w:t>
      </w:r>
    </w:p>
    <w:p w:rsidR="00604ED4" w:rsidRDefault="00604ED4" w:rsidP="00604ED4">
      <w:pPr>
        <w:ind w:left="851" w:hanging="851"/>
        <w:rPr>
          <w:sz w:val="24"/>
          <w:szCs w:val="24"/>
        </w:rPr>
      </w:pPr>
      <w:r>
        <w:rPr>
          <w:sz w:val="24"/>
          <w:szCs w:val="24"/>
        </w:rPr>
        <w:tab/>
        <w:t xml:space="preserve">Der er i sjældne tilfælde set </w:t>
      </w:r>
      <w:proofErr w:type="spellStart"/>
      <w:r>
        <w:rPr>
          <w:sz w:val="24"/>
          <w:szCs w:val="24"/>
        </w:rPr>
        <w:t>pancreatitis</w:t>
      </w:r>
      <w:proofErr w:type="spellEnd"/>
      <w:r>
        <w:rPr>
          <w:sz w:val="24"/>
          <w:szCs w:val="24"/>
        </w:rPr>
        <w:t xml:space="preserve">. Det er dog usikkert, om disse tilfælde skyldtes den </w:t>
      </w:r>
      <w:proofErr w:type="spellStart"/>
      <w:r>
        <w:rPr>
          <w:sz w:val="24"/>
          <w:szCs w:val="24"/>
        </w:rPr>
        <w:t>antiretrovirale</w:t>
      </w:r>
      <w:proofErr w:type="spellEnd"/>
      <w:r>
        <w:rPr>
          <w:sz w:val="24"/>
          <w:szCs w:val="24"/>
        </w:rPr>
        <w:t xml:space="preserve"> behandling eller den underliggende hiv-sygdom. Behandling med </w:t>
      </w:r>
      <w:proofErr w:type="spellStart"/>
      <w:r>
        <w:rPr>
          <w:sz w:val="24"/>
          <w:szCs w:val="24"/>
        </w:rPr>
        <w:t>Lamivudine</w:t>
      </w:r>
      <w:proofErr w:type="spellEnd"/>
      <w:r>
        <w:rPr>
          <w:sz w:val="24"/>
          <w:szCs w:val="24"/>
        </w:rPr>
        <w:t xml:space="preserve"> Sandoz” bør stoppes omgående, hvis der opstår kliniske tegn, symptomer eller unormale laboratoriefund, der tyder på udvikling af </w:t>
      </w:r>
      <w:proofErr w:type="spellStart"/>
      <w:r>
        <w:rPr>
          <w:sz w:val="24"/>
          <w:szCs w:val="24"/>
        </w:rPr>
        <w:t>pancreatitis</w:t>
      </w:r>
      <w:proofErr w:type="spellEnd"/>
      <w:r>
        <w:rPr>
          <w:sz w:val="24"/>
          <w:szCs w:val="24"/>
        </w:rPr>
        <w:t>.</w:t>
      </w:r>
    </w:p>
    <w:p w:rsidR="00604ED4" w:rsidRDefault="00604ED4" w:rsidP="00604ED4">
      <w:pPr>
        <w:rPr>
          <w:i/>
          <w:sz w:val="24"/>
          <w:szCs w:val="24"/>
        </w:rPr>
      </w:pPr>
    </w:p>
    <w:p w:rsidR="00604ED4" w:rsidRDefault="00604ED4" w:rsidP="00604ED4">
      <w:pPr>
        <w:ind w:left="851" w:hanging="851"/>
        <w:rPr>
          <w:sz w:val="24"/>
          <w:szCs w:val="24"/>
        </w:rPr>
      </w:pPr>
      <w:r>
        <w:rPr>
          <w:i/>
          <w:sz w:val="24"/>
          <w:szCs w:val="24"/>
        </w:rPr>
        <w:tab/>
      </w:r>
      <w:proofErr w:type="spellStart"/>
      <w:r w:rsidR="00BE4824">
        <w:rPr>
          <w:i/>
          <w:sz w:val="24"/>
          <w:szCs w:val="24"/>
        </w:rPr>
        <w:t>Mitokondriel</w:t>
      </w:r>
      <w:proofErr w:type="spellEnd"/>
      <w:r w:rsidR="00BE4824">
        <w:rPr>
          <w:i/>
          <w:sz w:val="24"/>
          <w:szCs w:val="24"/>
        </w:rPr>
        <w:t xml:space="preserve"> dysfunktion </w:t>
      </w:r>
      <w:r w:rsidR="00BE4824">
        <w:rPr>
          <w:rFonts w:eastAsia="Calibri"/>
          <w:i/>
          <w:iCs/>
          <w:sz w:val="24"/>
          <w:szCs w:val="24"/>
        </w:rPr>
        <w:t xml:space="preserve">efter eksponering in </w:t>
      </w:r>
      <w:proofErr w:type="spellStart"/>
      <w:r w:rsidR="00BE4824">
        <w:rPr>
          <w:rFonts w:eastAsia="Calibri"/>
          <w:i/>
          <w:iCs/>
          <w:sz w:val="24"/>
          <w:szCs w:val="24"/>
        </w:rPr>
        <w:t>utero</w:t>
      </w:r>
      <w:proofErr w:type="spellEnd"/>
      <w:r w:rsidR="00BE4824">
        <w:rPr>
          <w:rFonts w:eastAsia="Calibri"/>
          <w:i/>
          <w:iCs/>
          <w:sz w:val="24"/>
          <w:szCs w:val="24"/>
        </w:rPr>
        <w:t>:</w:t>
      </w:r>
    </w:p>
    <w:p w:rsidR="00604ED4" w:rsidRDefault="00604ED4" w:rsidP="00604ED4">
      <w:pPr>
        <w:ind w:left="851" w:hanging="851"/>
        <w:rPr>
          <w:sz w:val="24"/>
          <w:szCs w:val="24"/>
        </w:rPr>
      </w:pPr>
      <w:r>
        <w:rPr>
          <w:sz w:val="24"/>
          <w:szCs w:val="24"/>
        </w:rPr>
        <w:tab/>
      </w:r>
      <w:proofErr w:type="spellStart"/>
      <w:r>
        <w:rPr>
          <w:sz w:val="24"/>
          <w:szCs w:val="24"/>
        </w:rPr>
        <w:t>Nukleosid</w:t>
      </w:r>
      <w:proofErr w:type="spellEnd"/>
      <w:r>
        <w:rPr>
          <w:sz w:val="24"/>
          <w:szCs w:val="24"/>
        </w:rPr>
        <w:t xml:space="preserve">- og </w:t>
      </w:r>
      <w:proofErr w:type="spellStart"/>
      <w:r>
        <w:rPr>
          <w:sz w:val="24"/>
          <w:szCs w:val="24"/>
        </w:rPr>
        <w:t>nukleotidanaloger</w:t>
      </w:r>
      <w:proofErr w:type="spellEnd"/>
      <w:r>
        <w:rPr>
          <w:sz w:val="24"/>
          <w:szCs w:val="24"/>
        </w:rPr>
        <w:t xml:space="preserve"> kan i forskellig udstrækning </w:t>
      </w:r>
      <w:r>
        <w:rPr>
          <w:rFonts w:eastAsia="Calibri"/>
          <w:sz w:val="24"/>
          <w:szCs w:val="24"/>
        </w:rPr>
        <w:t xml:space="preserve">påvirke mitokondriefunktionen, hvilket er mest udtalt med </w:t>
      </w:r>
      <w:proofErr w:type="spellStart"/>
      <w:r>
        <w:rPr>
          <w:rFonts w:eastAsia="Calibri"/>
          <w:sz w:val="24"/>
          <w:szCs w:val="24"/>
        </w:rPr>
        <w:t>stavudin</w:t>
      </w:r>
      <w:proofErr w:type="spellEnd"/>
      <w:r>
        <w:rPr>
          <w:rFonts w:eastAsia="Calibri"/>
          <w:sz w:val="24"/>
          <w:szCs w:val="24"/>
        </w:rPr>
        <w:t xml:space="preserve">, </w:t>
      </w:r>
      <w:proofErr w:type="spellStart"/>
      <w:r>
        <w:rPr>
          <w:rFonts w:eastAsia="Calibri"/>
          <w:sz w:val="24"/>
          <w:szCs w:val="24"/>
        </w:rPr>
        <w:t>didanosin</w:t>
      </w:r>
      <w:proofErr w:type="spellEnd"/>
      <w:r>
        <w:rPr>
          <w:rFonts w:eastAsia="Calibri"/>
          <w:sz w:val="24"/>
          <w:szCs w:val="24"/>
        </w:rPr>
        <w:t xml:space="preserve"> og </w:t>
      </w:r>
      <w:proofErr w:type="spellStart"/>
      <w:r>
        <w:rPr>
          <w:rFonts w:eastAsia="Calibri"/>
          <w:sz w:val="24"/>
          <w:szCs w:val="24"/>
        </w:rPr>
        <w:t>zidovudin</w:t>
      </w:r>
      <w:proofErr w:type="spellEnd"/>
      <w:r>
        <w:rPr>
          <w:sz w:val="24"/>
          <w:szCs w:val="24"/>
        </w:rPr>
        <w:t xml:space="preserve">. Der foreligger rapporter om </w:t>
      </w:r>
      <w:proofErr w:type="spellStart"/>
      <w:r>
        <w:rPr>
          <w:sz w:val="24"/>
          <w:szCs w:val="24"/>
        </w:rPr>
        <w:t>mitokondriel</w:t>
      </w:r>
      <w:proofErr w:type="spellEnd"/>
      <w:r>
        <w:rPr>
          <w:sz w:val="24"/>
          <w:szCs w:val="24"/>
        </w:rPr>
        <w:t xml:space="preserve"> dysfunktion hos hiv-negative spædbørn, der har været eksponeret for </w:t>
      </w:r>
      <w:proofErr w:type="spellStart"/>
      <w:r>
        <w:rPr>
          <w:sz w:val="24"/>
          <w:szCs w:val="24"/>
        </w:rPr>
        <w:t>nukleosidanaloger</w:t>
      </w:r>
      <w:proofErr w:type="spellEnd"/>
      <w:r>
        <w:rPr>
          <w:sz w:val="24"/>
          <w:szCs w:val="24"/>
        </w:rPr>
        <w:t xml:space="preserve"> </w:t>
      </w:r>
      <w:r>
        <w:rPr>
          <w:i/>
          <w:sz w:val="24"/>
          <w:szCs w:val="24"/>
        </w:rPr>
        <w:t xml:space="preserve">in </w:t>
      </w:r>
      <w:proofErr w:type="spellStart"/>
      <w:r>
        <w:rPr>
          <w:i/>
          <w:sz w:val="24"/>
          <w:szCs w:val="24"/>
        </w:rPr>
        <w:t>utero</w:t>
      </w:r>
      <w:proofErr w:type="spellEnd"/>
      <w:r>
        <w:rPr>
          <w:sz w:val="24"/>
          <w:szCs w:val="24"/>
        </w:rPr>
        <w:t xml:space="preserve"> og/eller efter fødslen. Det har hovedsageligt drejet sig om behandling med regimer indeholdende </w:t>
      </w:r>
      <w:proofErr w:type="spellStart"/>
      <w:r>
        <w:rPr>
          <w:sz w:val="24"/>
          <w:szCs w:val="24"/>
        </w:rPr>
        <w:t>zidovudin</w:t>
      </w:r>
      <w:proofErr w:type="spellEnd"/>
      <w:r>
        <w:rPr>
          <w:sz w:val="24"/>
          <w:szCs w:val="24"/>
        </w:rPr>
        <w:t>.</w:t>
      </w:r>
      <w:r>
        <w:rPr>
          <w:rFonts w:eastAsia="Calibri"/>
          <w:sz w:val="24"/>
          <w:szCs w:val="24"/>
        </w:rPr>
        <w:t xml:space="preserve"> </w:t>
      </w:r>
      <w:r>
        <w:rPr>
          <w:sz w:val="24"/>
          <w:szCs w:val="24"/>
        </w:rPr>
        <w:t xml:space="preserve">De hyppigst indberettede bivirkninger er hæmatologiske forstyrrelser (anæmi, </w:t>
      </w:r>
      <w:proofErr w:type="spellStart"/>
      <w:r>
        <w:rPr>
          <w:sz w:val="24"/>
          <w:szCs w:val="24"/>
        </w:rPr>
        <w:t>neutropeni</w:t>
      </w:r>
      <w:proofErr w:type="spellEnd"/>
      <w:r>
        <w:rPr>
          <w:sz w:val="24"/>
          <w:szCs w:val="24"/>
        </w:rPr>
        <w:t>) og metaboliske forstyrrelser (</w:t>
      </w:r>
      <w:proofErr w:type="spellStart"/>
      <w:r>
        <w:rPr>
          <w:sz w:val="24"/>
          <w:szCs w:val="24"/>
        </w:rPr>
        <w:t>hyperlactatæmi</w:t>
      </w:r>
      <w:proofErr w:type="spellEnd"/>
      <w:r>
        <w:rPr>
          <w:sz w:val="24"/>
          <w:szCs w:val="24"/>
        </w:rPr>
        <w:t xml:space="preserve">, </w:t>
      </w:r>
      <w:proofErr w:type="spellStart"/>
      <w:r>
        <w:rPr>
          <w:sz w:val="24"/>
          <w:szCs w:val="24"/>
        </w:rPr>
        <w:t>hyperlipasemi</w:t>
      </w:r>
      <w:proofErr w:type="spellEnd"/>
      <w:r>
        <w:rPr>
          <w:sz w:val="24"/>
          <w:szCs w:val="24"/>
        </w:rPr>
        <w:t xml:space="preserve">). Disse bivirkninger har ofte været forbigående. Der er </w:t>
      </w:r>
      <w:r>
        <w:rPr>
          <w:rFonts w:eastAsia="Calibri"/>
          <w:sz w:val="24"/>
          <w:szCs w:val="24"/>
        </w:rPr>
        <w:t xml:space="preserve">i sjældne tilfælde </w:t>
      </w:r>
      <w:r>
        <w:rPr>
          <w:sz w:val="24"/>
          <w:szCs w:val="24"/>
        </w:rPr>
        <w:t>rapporteret om neurologiske forstyrrelser med sen indsættelse (</w:t>
      </w:r>
      <w:proofErr w:type="spellStart"/>
      <w:r>
        <w:rPr>
          <w:sz w:val="24"/>
          <w:szCs w:val="24"/>
        </w:rPr>
        <w:t>hypertoni</w:t>
      </w:r>
      <w:proofErr w:type="spellEnd"/>
      <w:r>
        <w:rPr>
          <w:sz w:val="24"/>
          <w:szCs w:val="24"/>
        </w:rPr>
        <w:t xml:space="preserve">, kramper, usædvanlig opførsel). Det er på nuværende tidspunkt uvist, om disse neurologiske forstyrrelser er forbigående eller vedvarende. </w:t>
      </w:r>
      <w:r>
        <w:rPr>
          <w:rFonts w:eastAsia="Calibri"/>
          <w:sz w:val="24"/>
          <w:szCs w:val="24"/>
        </w:rPr>
        <w:t xml:space="preserve">Der skal tages højde for disse observationer hos </w:t>
      </w:r>
      <w:r>
        <w:rPr>
          <w:sz w:val="24"/>
          <w:szCs w:val="24"/>
        </w:rPr>
        <w:t xml:space="preserve">alle børn, som </w:t>
      </w:r>
      <w:r>
        <w:rPr>
          <w:i/>
          <w:sz w:val="24"/>
          <w:szCs w:val="24"/>
        </w:rPr>
        <w:t xml:space="preserve">in </w:t>
      </w:r>
      <w:proofErr w:type="spellStart"/>
      <w:r>
        <w:rPr>
          <w:i/>
          <w:sz w:val="24"/>
          <w:szCs w:val="24"/>
        </w:rPr>
        <w:t>utero</w:t>
      </w:r>
      <w:proofErr w:type="spellEnd"/>
      <w:r>
        <w:rPr>
          <w:sz w:val="24"/>
          <w:szCs w:val="24"/>
        </w:rPr>
        <w:t xml:space="preserve"> har været eksponeret for </w:t>
      </w:r>
      <w:proofErr w:type="spellStart"/>
      <w:r>
        <w:rPr>
          <w:sz w:val="24"/>
          <w:szCs w:val="24"/>
        </w:rPr>
        <w:t>nukleosid</w:t>
      </w:r>
      <w:proofErr w:type="spellEnd"/>
      <w:r>
        <w:rPr>
          <w:sz w:val="24"/>
          <w:szCs w:val="24"/>
        </w:rPr>
        <w:t xml:space="preserve">- og </w:t>
      </w:r>
      <w:proofErr w:type="spellStart"/>
      <w:r>
        <w:rPr>
          <w:sz w:val="24"/>
          <w:szCs w:val="24"/>
        </w:rPr>
        <w:t>nukleotidanaloger</w:t>
      </w:r>
      <w:proofErr w:type="spellEnd"/>
      <w:r>
        <w:rPr>
          <w:sz w:val="24"/>
          <w:szCs w:val="24"/>
        </w:rPr>
        <w:t xml:space="preserve"> </w:t>
      </w:r>
      <w:r>
        <w:rPr>
          <w:rFonts w:eastAsia="Calibri"/>
          <w:sz w:val="24"/>
          <w:szCs w:val="24"/>
        </w:rPr>
        <w:t>og præsenteres med alvorlige kliniske observationer af ukendt ætiologi, især neurologiske observationer</w:t>
      </w:r>
      <w:r>
        <w:rPr>
          <w:sz w:val="24"/>
          <w:szCs w:val="24"/>
        </w:rPr>
        <w:t xml:space="preserve">. Disse observationer ændrer ikke på de nuværende nationale anbefalinger vedrørende brug af </w:t>
      </w:r>
      <w:proofErr w:type="spellStart"/>
      <w:r>
        <w:rPr>
          <w:sz w:val="24"/>
          <w:szCs w:val="24"/>
        </w:rPr>
        <w:t>antiretroviral</w:t>
      </w:r>
      <w:proofErr w:type="spellEnd"/>
      <w:r>
        <w:rPr>
          <w:sz w:val="24"/>
          <w:szCs w:val="24"/>
        </w:rPr>
        <w:t xml:space="preserve"> behandling til gravide for at forebygge overførsel af hiv-smitte til barnet.</w:t>
      </w:r>
    </w:p>
    <w:p w:rsidR="00604ED4" w:rsidRDefault="00604ED4" w:rsidP="00604ED4">
      <w:pPr>
        <w:ind w:left="851" w:hanging="851"/>
        <w:rPr>
          <w:sz w:val="24"/>
          <w:szCs w:val="24"/>
        </w:rPr>
      </w:pPr>
    </w:p>
    <w:p w:rsidR="00BE4824" w:rsidRDefault="00BE4824" w:rsidP="00BE4824">
      <w:pPr>
        <w:autoSpaceDE w:val="0"/>
        <w:autoSpaceDN w:val="0"/>
        <w:adjustRightInd w:val="0"/>
        <w:ind w:left="851"/>
        <w:rPr>
          <w:i/>
          <w:sz w:val="24"/>
          <w:szCs w:val="24"/>
        </w:rPr>
      </w:pPr>
      <w:r>
        <w:rPr>
          <w:rFonts w:eastAsia="Calibri"/>
          <w:i/>
          <w:iCs/>
          <w:sz w:val="24"/>
          <w:szCs w:val="24"/>
        </w:rPr>
        <w:t>Vægt og metaboliske parametre:</w:t>
      </w:r>
    </w:p>
    <w:p w:rsidR="00604ED4" w:rsidRDefault="00604ED4" w:rsidP="00604ED4">
      <w:pPr>
        <w:ind w:left="851" w:hanging="851"/>
        <w:rPr>
          <w:i/>
          <w:sz w:val="24"/>
          <w:szCs w:val="24"/>
        </w:rPr>
      </w:pPr>
      <w:r>
        <w:rPr>
          <w:rFonts w:eastAsia="Calibri"/>
          <w:sz w:val="24"/>
          <w:szCs w:val="24"/>
        </w:rPr>
        <w:tab/>
        <w:t xml:space="preserve">Der kan forekomme </w:t>
      </w:r>
      <w:r>
        <w:rPr>
          <w:sz w:val="24"/>
          <w:szCs w:val="24"/>
        </w:rPr>
        <w:t xml:space="preserve">vægtstigning og forhøjede niveauer af lipider og </w:t>
      </w:r>
      <w:proofErr w:type="spellStart"/>
      <w:r>
        <w:rPr>
          <w:sz w:val="24"/>
          <w:szCs w:val="24"/>
        </w:rPr>
        <w:t>glucose</w:t>
      </w:r>
      <w:proofErr w:type="spellEnd"/>
      <w:r>
        <w:rPr>
          <w:sz w:val="24"/>
          <w:szCs w:val="24"/>
        </w:rPr>
        <w:t xml:space="preserve"> i blodet </w:t>
      </w:r>
      <w:r>
        <w:rPr>
          <w:rFonts w:eastAsia="Calibri"/>
          <w:sz w:val="24"/>
          <w:szCs w:val="24"/>
        </w:rPr>
        <w:t xml:space="preserve">under </w:t>
      </w:r>
      <w:proofErr w:type="spellStart"/>
      <w:r>
        <w:rPr>
          <w:rFonts w:eastAsia="Calibri"/>
          <w:sz w:val="24"/>
          <w:szCs w:val="24"/>
        </w:rPr>
        <w:t>antiretroviral</w:t>
      </w:r>
      <w:proofErr w:type="spellEnd"/>
      <w:r>
        <w:rPr>
          <w:rFonts w:eastAsia="Calibri"/>
          <w:sz w:val="24"/>
          <w:szCs w:val="24"/>
        </w:rPr>
        <w:t xml:space="preserve"> behandling. Sådanne ændringer kan </w:t>
      </w:r>
      <w:r>
        <w:rPr>
          <w:sz w:val="24"/>
          <w:szCs w:val="24"/>
        </w:rPr>
        <w:t xml:space="preserve">til dels være forbundet med </w:t>
      </w:r>
      <w:r>
        <w:rPr>
          <w:rFonts w:eastAsia="Calibri"/>
          <w:sz w:val="24"/>
          <w:szCs w:val="24"/>
        </w:rPr>
        <w:t xml:space="preserve">sygdomsbehandling og livsstil. For lipider er der i nogle tilfælde evidens for en behandlingseffekt, </w:t>
      </w:r>
      <w:r>
        <w:rPr>
          <w:sz w:val="24"/>
          <w:szCs w:val="24"/>
        </w:rPr>
        <w:t>mens der ikke er tydelig evidens for relation mellem vægtstigning og en specifik behandling</w:t>
      </w:r>
      <w:r>
        <w:rPr>
          <w:rFonts w:eastAsia="Calibri"/>
          <w:sz w:val="24"/>
          <w:szCs w:val="24"/>
        </w:rPr>
        <w:t xml:space="preserve">. Ved monitorering af lipider og </w:t>
      </w:r>
      <w:proofErr w:type="spellStart"/>
      <w:r>
        <w:rPr>
          <w:rFonts w:eastAsia="Calibri"/>
          <w:sz w:val="24"/>
          <w:szCs w:val="24"/>
        </w:rPr>
        <w:t>glucose</w:t>
      </w:r>
      <w:proofErr w:type="spellEnd"/>
      <w:r>
        <w:rPr>
          <w:rFonts w:eastAsia="Calibri"/>
          <w:sz w:val="24"/>
          <w:szCs w:val="24"/>
        </w:rPr>
        <w:t xml:space="preserve"> i blodet henvises der til fastlagte retningslinjer for hiv-behandling. Lipidforstyrrelser bør behandles </w:t>
      </w:r>
      <w:r>
        <w:rPr>
          <w:sz w:val="24"/>
          <w:szCs w:val="24"/>
        </w:rPr>
        <w:t>som klinisk indiceret</w:t>
      </w:r>
      <w:r>
        <w:rPr>
          <w:rFonts w:eastAsia="Calibri"/>
          <w:sz w:val="24"/>
          <w:szCs w:val="24"/>
        </w:rPr>
        <w:t>.</w:t>
      </w:r>
      <w:r>
        <w:rPr>
          <w:i/>
          <w:sz w:val="24"/>
          <w:szCs w:val="24"/>
        </w:rPr>
        <w:tab/>
      </w:r>
    </w:p>
    <w:p w:rsidR="00604ED4" w:rsidRPr="0035062A" w:rsidRDefault="00604ED4" w:rsidP="00604ED4">
      <w:pPr>
        <w:ind w:firstLine="851"/>
        <w:rPr>
          <w:i/>
          <w:sz w:val="24"/>
          <w:szCs w:val="24"/>
        </w:rPr>
      </w:pPr>
      <w:r>
        <w:rPr>
          <w:i/>
          <w:sz w:val="24"/>
          <w:szCs w:val="24"/>
        </w:rPr>
        <w:br w:type="page"/>
      </w:r>
      <w:r>
        <w:rPr>
          <w:i/>
          <w:sz w:val="24"/>
          <w:szCs w:val="24"/>
        </w:rPr>
        <w:lastRenderedPageBreak/>
        <w:t>Immunreaktiveringssyndrom:</w:t>
      </w:r>
      <w:r>
        <w:rPr>
          <w:sz w:val="24"/>
          <w:szCs w:val="24"/>
        </w:rPr>
        <w:t xml:space="preserve"> </w:t>
      </w:r>
    </w:p>
    <w:p w:rsidR="00604ED4" w:rsidRDefault="00604ED4" w:rsidP="00604ED4">
      <w:pPr>
        <w:ind w:left="851"/>
        <w:rPr>
          <w:sz w:val="24"/>
          <w:szCs w:val="24"/>
        </w:rPr>
      </w:pPr>
      <w:r>
        <w:rPr>
          <w:sz w:val="24"/>
          <w:szCs w:val="24"/>
        </w:rPr>
        <w:t xml:space="preserve">Hos hiv-inficerede patienter med svær immuninsufficiens kan der ved påbegyndelse af </w:t>
      </w:r>
      <w:proofErr w:type="spellStart"/>
      <w:r>
        <w:rPr>
          <w:sz w:val="24"/>
          <w:szCs w:val="24"/>
        </w:rPr>
        <w:t>antiretroviral</w:t>
      </w:r>
      <w:proofErr w:type="spellEnd"/>
      <w:r>
        <w:rPr>
          <w:sz w:val="24"/>
          <w:szCs w:val="24"/>
        </w:rPr>
        <w:t xml:space="preserve"> kombinationsbehandling (CART) opstå en inflammatorisk reaktion på asymptomatiske eller residuale opportunistiske </w:t>
      </w:r>
      <w:proofErr w:type="spellStart"/>
      <w:r>
        <w:rPr>
          <w:sz w:val="24"/>
          <w:szCs w:val="24"/>
        </w:rPr>
        <w:t>patogener</w:t>
      </w:r>
      <w:proofErr w:type="spellEnd"/>
      <w:r>
        <w:rPr>
          <w:sz w:val="24"/>
          <w:szCs w:val="24"/>
        </w:rPr>
        <w:t xml:space="preserve">, som kan forårsage alvorlige kliniske tilstande eller forværring af symptomer. Typisk er sådanne reaktioner observeret inden for de første få uger eller måneder efter påbegyndelse af CART. Relevante eksempler omfatter </w:t>
      </w:r>
      <w:proofErr w:type="spellStart"/>
      <w:r>
        <w:rPr>
          <w:sz w:val="24"/>
          <w:szCs w:val="24"/>
        </w:rPr>
        <w:t>cytomegalovirus</w:t>
      </w:r>
      <w:proofErr w:type="spellEnd"/>
      <w:r>
        <w:rPr>
          <w:sz w:val="24"/>
          <w:szCs w:val="24"/>
        </w:rPr>
        <w:t xml:space="preserve"> </w:t>
      </w:r>
      <w:proofErr w:type="spellStart"/>
      <w:r>
        <w:rPr>
          <w:sz w:val="24"/>
          <w:szCs w:val="24"/>
        </w:rPr>
        <w:t>retinitis</w:t>
      </w:r>
      <w:proofErr w:type="spellEnd"/>
      <w:r>
        <w:rPr>
          <w:sz w:val="24"/>
          <w:szCs w:val="24"/>
        </w:rPr>
        <w:t xml:space="preserve">, generaliserede og/eller </w:t>
      </w:r>
      <w:proofErr w:type="spellStart"/>
      <w:r>
        <w:rPr>
          <w:sz w:val="24"/>
          <w:szCs w:val="24"/>
        </w:rPr>
        <w:t>fokale</w:t>
      </w:r>
      <w:proofErr w:type="spellEnd"/>
      <w:r>
        <w:rPr>
          <w:sz w:val="24"/>
          <w:szCs w:val="24"/>
        </w:rPr>
        <w:t xml:space="preserve"> </w:t>
      </w:r>
      <w:proofErr w:type="spellStart"/>
      <w:r>
        <w:rPr>
          <w:sz w:val="24"/>
          <w:szCs w:val="24"/>
        </w:rPr>
        <w:t>mykobakterielle</w:t>
      </w:r>
      <w:proofErr w:type="spellEnd"/>
      <w:r>
        <w:rPr>
          <w:sz w:val="24"/>
          <w:szCs w:val="24"/>
        </w:rPr>
        <w:t xml:space="preserve"> infektioner og </w:t>
      </w:r>
      <w:proofErr w:type="spellStart"/>
      <w:r>
        <w:rPr>
          <w:i/>
          <w:sz w:val="24"/>
          <w:szCs w:val="24"/>
        </w:rPr>
        <w:t>pneumocystis</w:t>
      </w:r>
      <w:proofErr w:type="spellEnd"/>
      <w:r>
        <w:rPr>
          <w:i/>
          <w:sz w:val="24"/>
          <w:szCs w:val="24"/>
        </w:rPr>
        <w:t xml:space="preserve"> </w:t>
      </w:r>
      <w:proofErr w:type="spellStart"/>
      <w:r>
        <w:rPr>
          <w:i/>
          <w:sz w:val="24"/>
          <w:szCs w:val="24"/>
        </w:rPr>
        <w:t>jirovecii</w:t>
      </w:r>
      <w:proofErr w:type="spellEnd"/>
      <w:r>
        <w:rPr>
          <w:sz w:val="24"/>
          <w:szCs w:val="24"/>
        </w:rPr>
        <w:t>-pneumoni (ofte omtalt som PCP). Alle inflammatoriske symptomer bør vurderes og behandling påbegyndes efter behov. Autoimmune lidelser (såsom Graves sygdom og autoimmun hepatitis) er også rapporteret at forekomme i forbindelse med immunreaktivering. Tiden til udbrud er imidlertid mere variabel og kan være mange måneder efter initiering af behandling.</w:t>
      </w:r>
    </w:p>
    <w:p w:rsidR="00604ED4" w:rsidRDefault="00604ED4" w:rsidP="00604ED4">
      <w:pPr>
        <w:ind w:left="851" w:hanging="851"/>
        <w:rPr>
          <w:sz w:val="24"/>
          <w:szCs w:val="24"/>
        </w:rPr>
      </w:pPr>
    </w:p>
    <w:p w:rsidR="00604ED4" w:rsidRDefault="00604ED4" w:rsidP="00604ED4">
      <w:pPr>
        <w:ind w:left="851" w:hanging="851"/>
        <w:rPr>
          <w:sz w:val="24"/>
          <w:szCs w:val="24"/>
        </w:rPr>
      </w:pPr>
      <w:r>
        <w:rPr>
          <w:i/>
          <w:sz w:val="24"/>
          <w:szCs w:val="24"/>
        </w:rPr>
        <w:tab/>
        <w:t>Leversygdom:</w:t>
      </w:r>
      <w:r>
        <w:rPr>
          <w:sz w:val="24"/>
          <w:szCs w:val="24"/>
        </w:rPr>
        <w:t xml:space="preserve"> </w:t>
      </w:r>
    </w:p>
    <w:p w:rsidR="00604ED4" w:rsidRDefault="00604ED4" w:rsidP="00604ED4">
      <w:pPr>
        <w:ind w:left="851" w:hanging="851"/>
        <w:rPr>
          <w:sz w:val="24"/>
          <w:szCs w:val="24"/>
        </w:rPr>
      </w:pPr>
      <w:r>
        <w:rPr>
          <w:sz w:val="24"/>
          <w:szCs w:val="24"/>
        </w:rPr>
        <w:tab/>
        <w:t xml:space="preserve">Hvis </w:t>
      </w:r>
      <w:proofErr w:type="spellStart"/>
      <w:r>
        <w:rPr>
          <w:sz w:val="24"/>
          <w:szCs w:val="24"/>
        </w:rPr>
        <w:t>lamivudin</w:t>
      </w:r>
      <w:proofErr w:type="spellEnd"/>
      <w:r>
        <w:rPr>
          <w:sz w:val="24"/>
          <w:szCs w:val="24"/>
        </w:rPr>
        <w:t xml:space="preserve"> anvendes samtidig til behandling af såvel hiv som HBV, kan der findes yderligere information i produktresumeet for </w:t>
      </w:r>
      <w:proofErr w:type="spellStart"/>
      <w:r>
        <w:rPr>
          <w:sz w:val="24"/>
          <w:szCs w:val="24"/>
        </w:rPr>
        <w:t>Lamivudine</w:t>
      </w:r>
      <w:proofErr w:type="spellEnd"/>
      <w:r>
        <w:rPr>
          <w:sz w:val="24"/>
          <w:szCs w:val="24"/>
        </w:rPr>
        <w:t xml:space="preserve"> ”Sandoz” 100 mg filmovertrukne tabletter vedrørende brug af </w:t>
      </w:r>
      <w:proofErr w:type="spellStart"/>
      <w:r>
        <w:rPr>
          <w:sz w:val="24"/>
          <w:szCs w:val="24"/>
        </w:rPr>
        <w:t>lamivudin</w:t>
      </w:r>
      <w:proofErr w:type="spellEnd"/>
      <w:r>
        <w:rPr>
          <w:sz w:val="24"/>
          <w:szCs w:val="24"/>
        </w:rPr>
        <w:t xml:space="preserve"> til behandling af hepatitis B.</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Patienter med kronisk hepatitis B eller C behandlet med </w:t>
      </w:r>
      <w:proofErr w:type="spellStart"/>
      <w:r>
        <w:rPr>
          <w:sz w:val="24"/>
          <w:szCs w:val="24"/>
        </w:rPr>
        <w:t>antiretroviral</w:t>
      </w:r>
      <w:proofErr w:type="spellEnd"/>
      <w:r>
        <w:rPr>
          <w:sz w:val="24"/>
          <w:szCs w:val="24"/>
        </w:rPr>
        <w:t xml:space="preserve"> kombinationsbehandling har større risiko for alvorlige og potentielt fatale leverpåvirkninger. I tilfælde af samtidig antiviral behandling af hepatitis B eller C henvises der desuden til den relevante produktinformation for de pågældende lægemidler.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Hvis </w:t>
      </w:r>
      <w:proofErr w:type="spellStart"/>
      <w:r>
        <w:rPr>
          <w:sz w:val="24"/>
          <w:szCs w:val="24"/>
        </w:rPr>
        <w:t>Lamivudine</w:t>
      </w:r>
      <w:proofErr w:type="spellEnd"/>
      <w:r>
        <w:rPr>
          <w:sz w:val="24"/>
          <w:szCs w:val="24"/>
        </w:rPr>
        <w:t xml:space="preserve"> ”Sandoz” seponeres hos patienter med samtidig hepatitis B-virusinfektion, anbefales det at foretage periodisk monitorering af leverfunktionen og markører for HBV-replikation, idet </w:t>
      </w:r>
      <w:proofErr w:type="spellStart"/>
      <w:r>
        <w:rPr>
          <w:sz w:val="24"/>
          <w:szCs w:val="24"/>
        </w:rPr>
        <w:t>seponering</w:t>
      </w:r>
      <w:proofErr w:type="spellEnd"/>
      <w:r>
        <w:rPr>
          <w:sz w:val="24"/>
          <w:szCs w:val="24"/>
        </w:rPr>
        <w:t xml:space="preserve"> af </w:t>
      </w:r>
      <w:proofErr w:type="spellStart"/>
      <w:r>
        <w:rPr>
          <w:sz w:val="24"/>
          <w:szCs w:val="24"/>
        </w:rPr>
        <w:t>lamivudin</w:t>
      </w:r>
      <w:proofErr w:type="spellEnd"/>
      <w:r>
        <w:rPr>
          <w:sz w:val="24"/>
          <w:szCs w:val="24"/>
        </w:rPr>
        <w:t xml:space="preserve"> kan medføre akut forværring af hepatitis (se produktresuméet for </w:t>
      </w:r>
      <w:proofErr w:type="spellStart"/>
      <w:r>
        <w:rPr>
          <w:sz w:val="24"/>
          <w:szCs w:val="24"/>
        </w:rPr>
        <w:t>Lamivudine</w:t>
      </w:r>
      <w:proofErr w:type="spellEnd"/>
      <w:r>
        <w:rPr>
          <w:sz w:val="24"/>
          <w:szCs w:val="24"/>
        </w:rPr>
        <w:t xml:space="preserve"> ”Sandoz” 100 mg filmovertrukne tabletter).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Hos patienter med eksisterende leverinsufficiens, herunder kronisk aktiv hepatitis, er der en øget hyppighed af abnorm leverfunktion under </w:t>
      </w:r>
      <w:proofErr w:type="spellStart"/>
      <w:r>
        <w:rPr>
          <w:sz w:val="24"/>
          <w:szCs w:val="24"/>
        </w:rPr>
        <w:t>antiretroviral</w:t>
      </w:r>
      <w:proofErr w:type="spellEnd"/>
      <w:r>
        <w:rPr>
          <w:sz w:val="24"/>
          <w:szCs w:val="24"/>
        </w:rPr>
        <w:t xml:space="preserve"> behandling, og disse patienter skal monitoreres i henhold til standardpraksis. Hvis der er tegn på forværring af leversygdommen hos sådanne patienter, bør det overvejes at afbryde eller seponere behandlingen (se pkt. 4.8). </w:t>
      </w:r>
    </w:p>
    <w:p w:rsidR="00AC7F65" w:rsidRDefault="00AC7F65" w:rsidP="00604ED4">
      <w:pPr>
        <w:ind w:left="851" w:hanging="851"/>
        <w:rPr>
          <w:sz w:val="24"/>
          <w:szCs w:val="24"/>
        </w:rPr>
      </w:pPr>
    </w:p>
    <w:p w:rsidR="00AC7F65" w:rsidRPr="000913EC" w:rsidRDefault="00AC7F65" w:rsidP="00AC7F65">
      <w:pPr>
        <w:ind w:left="851"/>
        <w:rPr>
          <w:i/>
          <w:iCs/>
          <w:sz w:val="24"/>
          <w:szCs w:val="24"/>
        </w:rPr>
      </w:pPr>
      <w:r w:rsidRPr="000913EC">
        <w:rPr>
          <w:i/>
          <w:iCs/>
          <w:sz w:val="24"/>
          <w:szCs w:val="24"/>
        </w:rPr>
        <w:t>Pædiatrisk population:</w:t>
      </w:r>
    </w:p>
    <w:p w:rsidR="00AC7F65" w:rsidRDefault="00AC7F65" w:rsidP="00AC7F65">
      <w:pPr>
        <w:ind w:left="851"/>
        <w:rPr>
          <w:sz w:val="24"/>
          <w:szCs w:val="24"/>
        </w:rPr>
      </w:pPr>
      <w:r w:rsidRPr="000913EC">
        <w:rPr>
          <w:sz w:val="24"/>
          <w:szCs w:val="24"/>
        </w:rPr>
        <w:t xml:space="preserve">I et studie af pædiatriske patienter (se pkt. 5.1 </w:t>
      </w:r>
      <w:proofErr w:type="gramStart"/>
      <w:r w:rsidRPr="000913EC">
        <w:rPr>
          <w:sz w:val="24"/>
          <w:szCs w:val="24"/>
        </w:rPr>
        <w:t>ARROW studie</w:t>
      </w:r>
      <w:proofErr w:type="gramEnd"/>
      <w:r w:rsidRPr="000913EC">
        <w:rPr>
          <w:sz w:val="24"/>
          <w:szCs w:val="24"/>
        </w:rPr>
        <w:t xml:space="preserve">) blev der rapporteret lavere virologisk responsrater og hyppigere viral resistens hos børn, der fik oral opløsning af </w:t>
      </w:r>
      <w:proofErr w:type="spellStart"/>
      <w:r w:rsidRPr="000913EC">
        <w:rPr>
          <w:sz w:val="24"/>
          <w:szCs w:val="24"/>
        </w:rPr>
        <w:t>lamivudin</w:t>
      </w:r>
      <w:proofErr w:type="spellEnd"/>
      <w:r w:rsidRPr="000913EC">
        <w:rPr>
          <w:sz w:val="24"/>
          <w:szCs w:val="24"/>
        </w:rPr>
        <w:t xml:space="preserve"> sammenlignet med dem, der fik tabletformuleringen. Ved behandling af børn med </w:t>
      </w:r>
      <w:proofErr w:type="spellStart"/>
      <w:r w:rsidRPr="000913EC">
        <w:rPr>
          <w:sz w:val="24"/>
          <w:szCs w:val="24"/>
        </w:rPr>
        <w:t>lamivudin</w:t>
      </w:r>
      <w:proofErr w:type="spellEnd"/>
      <w:r w:rsidRPr="000913EC">
        <w:rPr>
          <w:sz w:val="24"/>
          <w:szCs w:val="24"/>
        </w:rPr>
        <w:t>, skal tabletformuleringen anvendes, hvor muligt</w:t>
      </w:r>
      <w:r>
        <w:rPr>
          <w:sz w:val="24"/>
          <w:szCs w:val="24"/>
        </w:rPr>
        <w:t>.</w:t>
      </w:r>
    </w:p>
    <w:p w:rsidR="00604ED4" w:rsidRDefault="00604ED4" w:rsidP="00604ED4">
      <w:pPr>
        <w:ind w:left="851" w:hanging="851"/>
        <w:rPr>
          <w:sz w:val="24"/>
          <w:szCs w:val="24"/>
        </w:rPr>
      </w:pPr>
    </w:p>
    <w:p w:rsidR="00604ED4" w:rsidRDefault="00604ED4" w:rsidP="00604ED4">
      <w:pPr>
        <w:ind w:left="851" w:hanging="851"/>
        <w:rPr>
          <w:i/>
          <w:sz w:val="24"/>
          <w:szCs w:val="24"/>
        </w:rPr>
      </w:pPr>
      <w:r>
        <w:rPr>
          <w:i/>
          <w:sz w:val="24"/>
          <w:szCs w:val="24"/>
        </w:rPr>
        <w:tab/>
      </w:r>
      <w:proofErr w:type="spellStart"/>
      <w:r>
        <w:rPr>
          <w:i/>
          <w:sz w:val="24"/>
          <w:szCs w:val="24"/>
        </w:rPr>
        <w:t>Osteonekrose</w:t>
      </w:r>
      <w:proofErr w:type="spellEnd"/>
      <w:r>
        <w:rPr>
          <w:i/>
          <w:sz w:val="24"/>
          <w:szCs w:val="24"/>
        </w:rPr>
        <w:t xml:space="preserve">: </w:t>
      </w:r>
    </w:p>
    <w:p w:rsidR="00604ED4" w:rsidRDefault="00604ED4" w:rsidP="00604ED4">
      <w:pPr>
        <w:ind w:left="851" w:hanging="851"/>
        <w:rPr>
          <w:sz w:val="24"/>
          <w:szCs w:val="24"/>
        </w:rPr>
      </w:pPr>
      <w:r>
        <w:rPr>
          <w:i/>
          <w:sz w:val="24"/>
          <w:szCs w:val="24"/>
        </w:rPr>
        <w:tab/>
      </w:r>
      <w:r>
        <w:rPr>
          <w:sz w:val="24"/>
          <w:szCs w:val="24"/>
        </w:rPr>
        <w:t xml:space="preserve">Selvom ætiologien anses for at være </w:t>
      </w:r>
      <w:proofErr w:type="spellStart"/>
      <w:r>
        <w:rPr>
          <w:sz w:val="24"/>
          <w:szCs w:val="24"/>
        </w:rPr>
        <w:t>multifaktoriel</w:t>
      </w:r>
      <w:proofErr w:type="spellEnd"/>
      <w:r>
        <w:rPr>
          <w:sz w:val="24"/>
          <w:szCs w:val="24"/>
        </w:rPr>
        <w:t xml:space="preserve"> (omfattende anvendelse af </w:t>
      </w:r>
      <w:proofErr w:type="spellStart"/>
      <w:r>
        <w:rPr>
          <w:sz w:val="24"/>
          <w:szCs w:val="24"/>
        </w:rPr>
        <w:t>kortikosteroider</w:t>
      </w:r>
      <w:proofErr w:type="spellEnd"/>
      <w:r>
        <w:rPr>
          <w:sz w:val="24"/>
          <w:szCs w:val="24"/>
        </w:rPr>
        <w:t xml:space="preserve">, alkoholforbrug, svær </w:t>
      </w:r>
      <w:proofErr w:type="spellStart"/>
      <w:r>
        <w:rPr>
          <w:sz w:val="24"/>
          <w:szCs w:val="24"/>
        </w:rPr>
        <w:t>immunosuppression</w:t>
      </w:r>
      <w:proofErr w:type="spellEnd"/>
      <w:r>
        <w:rPr>
          <w:sz w:val="24"/>
          <w:szCs w:val="24"/>
        </w:rPr>
        <w:t xml:space="preserve">, højere Body Mass Index (BMI)), er der rapporteret om tilfælde af </w:t>
      </w:r>
      <w:proofErr w:type="spellStart"/>
      <w:r>
        <w:rPr>
          <w:sz w:val="24"/>
          <w:szCs w:val="24"/>
        </w:rPr>
        <w:t>osteonekrose</w:t>
      </w:r>
      <w:proofErr w:type="spellEnd"/>
      <w:r>
        <w:rPr>
          <w:sz w:val="24"/>
          <w:szCs w:val="24"/>
        </w:rPr>
        <w:t xml:space="preserve">, særligt hos patienter med fremskreden hiv-sygdom og/eller langvarig eksponering for </w:t>
      </w:r>
      <w:proofErr w:type="spellStart"/>
      <w:r>
        <w:rPr>
          <w:sz w:val="24"/>
          <w:szCs w:val="24"/>
        </w:rPr>
        <w:t>antiretroviral</w:t>
      </w:r>
      <w:proofErr w:type="spellEnd"/>
      <w:r>
        <w:rPr>
          <w:sz w:val="24"/>
          <w:szCs w:val="24"/>
        </w:rPr>
        <w:t xml:space="preserve"> kombinationsbehandling (CART). Patienter bør rådes til at søge læge, hvis de oplever ømme og smertende led, </w:t>
      </w:r>
      <w:proofErr w:type="spellStart"/>
      <w:r>
        <w:rPr>
          <w:sz w:val="24"/>
          <w:szCs w:val="24"/>
        </w:rPr>
        <w:t>ledstivhed</w:t>
      </w:r>
      <w:proofErr w:type="spellEnd"/>
      <w:r>
        <w:rPr>
          <w:sz w:val="24"/>
          <w:szCs w:val="24"/>
        </w:rPr>
        <w:t xml:space="preserve"> eller bevægelsesbesvær. </w:t>
      </w:r>
    </w:p>
    <w:p w:rsidR="00604ED4" w:rsidRDefault="00604ED4" w:rsidP="00604ED4">
      <w:pPr>
        <w:ind w:left="851" w:hanging="851"/>
        <w:rPr>
          <w:sz w:val="24"/>
          <w:szCs w:val="24"/>
        </w:rPr>
      </w:pPr>
    </w:p>
    <w:p w:rsidR="006C3927" w:rsidRDefault="00604ED4" w:rsidP="006C3927">
      <w:pPr>
        <w:ind w:left="851" w:hanging="851"/>
        <w:rPr>
          <w:i/>
          <w:sz w:val="24"/>
          <w:szCs w:val="24"/>
        </w:rPr>
      </w:pPr>
      <w:r>
        <w:rPr>
          <w:i/>
          <w:sz w:val="24"/>
          <w:szCs w:val="24"/>
        </w:rPr>
        <w:tab/>
      </w:r>
    </w:p>
    <w:p w:rsidR="006C3927" w:rsidRDefault="006C3927" w:rsidP="006C3927">
      <w:pPr>
        <w:ind w:left="851" w:hanging="851"/>
        <w:rPr>
          <w:i/>
          <w:iCs/>
          <w:sz w:val="24"/>
          <w:szCs w:val="24"/>
        </w:rPr>
      </w:pPr>
    </w:p>
    <w:p w:rsidR="00604ED4" w:rsidRPr="00A06011" w:rsidRDefault="00604ED4" w:rsidP="006C3927">
      <w:pPr>
        <w:ind w:left="851"/>
        <w:rPr>
          <w:i/>
          <w:iCs/>
          <w:sz w:val="24"/>
          <w:szCs w:val="24"/>
        </w:rPr>
      </w:pPr>
      <w:r w:rsidRPr="00A06011">
        <w:rPr>
          <w:i/>
          <w:iCs/>
          <w:sz w:val="24"/>
          <w:szCs w:val="24"/>
        </w:rPr>
        <w:lastRenderedPageBreak/>
        <w:t>Lægemiddelinteraktioner:</w:t>
      </w:r>
    </w:p>
    <w:p w:rsidR="00604ED4" w:rsidRDefault="00604ED4" w:rsidP="00604ED4">
      <w:pPr>
        <w:ind w:left="851"/>
        <w:rPr>
          <w:sz w:val="24"/>
          <w:szCs w:val="24"/>
        </w:rPr>
      </w:pPr>
      <w:proofErr w:type="spellStart"/>
      <w:r>
        <w:rPr>
          <w:sz w:val="24"/>
          <w:szCs w:val="24"/>
        </w:rPr>
        <w:t>Lamivudine</w:t>
      </w:r>
      <w:proofErr w:type="spellEnd"/>
      <w:r>
        <w:rPr>
          <w:sz w:val="24"/>
          <w:szCs w:val="24"/>
        </w:rPr>
        <w:t xml:space="preserve"> ”Sandoz” må ikke tages sammen med andre lægemidler, der indeholder </w:t>
      </w:r>
      <w:proofErr w:type="spellStart"/>
      <w:r>
        <w:rPr>
          <w:sz w:val="24"/>
          <w:szCs w:val="24"/>
        </w:rPr>
        <w:t>lamivudin</w:t>
      </w:r>
      <w:proofErr w:type="spellEnd"/>
      <w:r>
        <w:rPr>
          <w:sz w:val="24"/>
          <w:szCs w:val="24"/>
        </w:rPr>
        <w:t xml:space="preserve"> eller </w:t>
      </w:r>
      <w:proofErr w:type="spellStart"/>
      <w:r>
        <w:rPr>
          <w:sz w:val="24"/>
          <w:szCs w:val="24"/>
        </w:rPr>
        <w:t>emtricitabin</w:t>
      </w:r>
      <w:proofErr w:type="spellEnd"/>
      <w:r>
        <w:rPr>
          <w:sz w:val="24"/>
          <w:szCs w:val="24"/>
        </w:rPr>
        <w:t xml:space="preserve"> (se pkt. 4.5).</w:t>
      </w:r>
    </w:p>
    <w:p w:rsidR="00604ED4" w:rsidRDefault="00604ED4" w:rsidP="00604ED4">
      <w:pPr>
        <w:ind w:left="851" w:hanging="851"/>
        <w:rPr>
          <w:sz w:val="24"/>
          <w:szCs w:val="24"/>
        </w:rPr>
      </w:pPr>
    </w:p>
    <w:p w:rsidR="00604ED4" w:rsidRDefault="00604ED4" w:rsidP="00604ED4">
      <w:pPr>
        <w:ind w:left="851" w:hanging="851"/>
        <w:rPr>
          <w:rFonts w:eastAsia="Calibri"/>
          <w:sz w:val="24"/>
          <w:szCs w:val="24"/>
          <w:lang w:eastAsia="zh-CN"/>
        </w:rPr>
      </w:pPr>
      <w:r>
        <w:rPr>
          <w:rFonts w:eastAsia="Calibri"/>
          <w:sz w:val="24"/>
          <w:szCs w:val="24"/>
          <w:lang w:eastAsia="zh-CN"/>
        </w:rPr>
        <w:tab/>
        <w:t xml:space="preserve">Kombination af </w:t>
      </w:r>
      <w:proofErr w:type="spellStart"/>
      <w:r>
        <w:rPr>
          <w:rFonts w:eastAsia="Calibri"/>
          <w:sz w:val="24"/>
          <w:szCs w:val="24"/>
          <w:lang w:eastAsia="zh-CN"/>
        </w:rPr>
        <w:t>lamivudin</w:t>
      </w:r>
      <w:proofErr w:type="spellEnd"/>
      <w:r>
        <w:rPr>
          <w:rFonts w:eastAsia="Calibri"/>
          <w:sz w:val="24"/>
          <w:szCs w:val="24"/>
          <w:lang w:eastAsia="zh-CN"/>
        </w:rPr>
        <w:t xml:space="preserve"> med </w:t>
      </w:r>
      <w:proofErr w:type="spellStart"/>
      <w:r>
        <w:rPr>
          <w:rFonts w:eastAsia="Calibri"/>
          <w:sz w:val="24"/>
          <w:szCs w:val="24"/>
          <w:lang w:eastAsia="zh-CN"/>
        </w:rPr>
        <w:t>cladribin</w:t>
      </w:r>
      <w:proofErr w:type="spellEnd"/>
      <w:r>
        <w:rPr>
          <w:rFonts w:eastAsia="Calibri"/>
          <w:sz w:val="24"/>
          <w:szCs w:val="24"/>
          <w:lang w:eastAsia="zh-CN"/>
        </w:rPr>
        <w:t xml:space="preserve"> anbefales ikke (se pkt. 4.5).</w:t>
      </w:r>
    </w:p>
    <w:p w:rsidR="006C3927" w:rsidRDefault="006C3927" w:rsidP="00604ED4">
      <w:pPr>
        <w:ind w:left="851" w:hanging="851"/>
        <w:rPr>
          <w:rFonts w:eastAsia="Calibri"/>
          <w:sz w:val="24"/>
          <w:szCs w:val="24"/>
          <w:lang w:eastAsia="zh-CN"/>
        </w:rPr>
      </w:pPr>
    </w:p>
    <w:p w:rsidR="006C3927" w:rsidRPr="00AC0816" w:rsidRDefault="006C3927" w:rsidP="006C3927">
      <w:pPr>
        <w:ind w:left="1701" w:hanging="851"/>
        <w:rPr>
          <w:sz w:val="24"/>
          <w:szCs w:val="24"/>
          <w:u w:val="single"/>
        </w:rPr>
      </w:pPr>
      <w:proofErr w:type="spellStart"/>
      <w:r w:rsidRPr="00AC0816">
        <w:rPr>
          <w:sz w:val="24"/>
          <w:szCs w:val="24"/>
          <w:u w:val="single"/>
        </w:rPr>
        <w:t>Lamivudine</w:t>
      </w:r>
      <w:proofErr w:type="spellEnd"/>
      <w:r w:rsidRPr="00AC0816">
        <w:rPr>
          <w:sz w:val="24"/>
          <w:szCs w:val="24"/>
          <w:u w:val="single"/>
        </w:rPr>
        <w:t xml:space="preserve"> ”Sandoz” indeholder </w:t>
      </w:r>
      <w:proofErr w:type="spellStart"/>
      <w:r w:rsidRPr="00AC0816">
        <w:rPr>
          <w:sz w:val="24"/>
          <w:szCs w:val="24"/>
          <w:u w:val="single"/>
        </w:rPr>
        <w:t>isomalt</w:t>
      </w:r>
      <w:proofErr w:type="spellEnd"/>
      <w:r w:rsidRPr="00AC0816">
        <w:rPr>
          <w:sz w:val="24"/>
          <w:szCs w:val="24"/>
          <w:u w:val="single"/>
        </w:rPr>
        <w:t xml:space="preserve"> </w:t>
      </w:r>
    </w:p>
    <w:p w:rsidR="006C3927" w:rsidRPr="00AC0816" w:rsidRDefault="006C3927" w:rsidP="006C3927">
      <w:pPr>
        <w:ind w:left="851" w:hanging="1"/>
        <w:rPr>
          <w:sz w:val="24"/>
          <w:szCs w:val="24"/>
        </w:rPr>
      </w:pPr>
      <w:r>
        <w:rPr>
          <w:sz w:val="24"/>
          <w:szCs w:val="24"/>
        </w:rPr>
        <w:t xml:space="preserve">Patienter med hereditær </w:t>
      </w:r>
      <w:proofErr w:type="spellStart"/>
      <w:r>
        <w:rPr>
          <w:sz w:val="24"/>
          <w:szCs w:val="24"/>
        </w:rPr>
        <w:t>fructoseintolerans</w:t>
      </w:r>
      <w:proofErr w:type="spellEnd"/>
      <w:r>
        <w:rPr>
          <w:sz w:val="24"/>
          <w:szCs w:val="24"/>
        </w:rPr>
        <w:t xml:space="preserve"> bør ikke anvende dette lægemiddel.</w:t>
      </w:r>
    </w:p>
    <w:p w:rsidR="00604ED4" w:rsidRPr="002250CB" w:rsidRDefault="00604ED4" w:rsidP="00604ED4">
      <w:pPr>
        <w:rPr>
          <w:sz w:val="24"/>
          <w:szCs w:val="24"/>
        </w:rPr>
      </w:pPr>
    </w:p>
    <w:p w:rsidR="00604ED4" w:rsidRPr="002250CB" w:rsidRDefault="00604ED4" w:rsidP="00604ED4">
      <w:pPr>
        <w:ind w:left="851" w:hanging="851"/>
        <w:rPr>
          <w:b/>
          <w:sz w:val="24"/>
          <w:szCs w:val="24"/>
        </w:rPr>
      </w:pPr>
      <w:r w:rsidRPr="002250CB">
        <w:rPr>
          <w:b/>
          <w:sz w:val="24"/>
          <w:szCs w:val="24"/>
        </w:rPr>
        <w:t>4.5</w:t>
      </w:r>
      <w:r w:rsidRPr="002250CB">
        <w:rPr>
          <w:b/>
          <w:sz w:val="24"/>
          <w:szCs w:val="24"/>
        </w:rPr>
        <w:tab/>
        <w:t>Interaktion med andre lægemidler og andre former for interaktion</w:t>
      </w:r>
    </w:p>
    <w:p w:rsidR="00604ED4" w:rsidRDefault="00604ED4" w:rsidP="00604ED4">
      <w:pPr>
        <w:ind w:left="851" w:hanging="851"/>
        <w:rPr>
          <w:sz w:val="24"/>
          <w:szCs w:val="24"/>
        </w:rPr>
      </w:pPr>
      <w:r w:rsidRPr="002250CB">
        <w:rPr>
          <w:sz w:val="24"/>
          <w:szCs w:val="24"/>
        </w:rPr>
        <w:tab/>
      </w:r>
      <w:r>
        <w:rPr>
          <w:sz w:val="24"/>
          <w:szCs w:val="24"/>
        </w:rPr>
        <w:t>Interaktionsstudier er kun udført hos voksne.</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Sandsynligheden for metaboliske interaktioner er lav som følge af begrænset metabolisme og plasmaproteinbinding og næsten fuldstændig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Administration af </w:t>
      </w:r>
      <w:proofErr w:type="spellStart"/>
      <w:r>
        <w:rPr>
          <w:sz w:val="24"/>
          <w:szCs w:val="24"/>
        </w:rPr>
        <w:t>trimethoprim</w:t>
      </w:r>
      <w:proofErr w:type="spellEnd"/>
      <w:r>
        <w:rPr>
          <w:sz w:val="24"/>
          <w:szCs w:val="24"/>
        </w:rPr>
        <w:t>/</w:t>
      </w:r>
      <w:proofErr w:type="spellStart"/>
      <w:r>
        <w:rPr>
          <w:sz w:val="24"/>
          <w:szCs w:val="24"/>
        </w:rPr>
        <w:t>sulfamethoxazol</w:t>
      </w:r>
      <w:proofErr w:type="spellEnd"/>
      <w:r>
        <w:rPr>
          <w:sz w:val="24"/>
          <w:szCs w:val="24"/>
        </w:rPr>
        <w:t xml:space="preserve"> 160 mg/800 mg øger eksponeringen for </w:t>
      </w:r>
      <w:proofErr w:type="spellStart"/>
      <w:r>
        <w:rPr>
          <w:sz w:val="24"/>
          <w:szCs w:val="24"/>
        </w:rPr>
        <w:t>lamivudin</w:t>
      </w:r>
      <w:proofErr w:type="spellEnd"/>
      <w:r>
        <w:rPr>
          <w:sz w:val="24"/>
          <w:szCs w:val="24"/>
        </w:rPr>
        <w:t xml:space="preserve"> med 40 % på grund af </w:t>
      </w:r>
      <w:proofErr w:type="spellStart"/>
      <w:r>
        <w:rPr>
          <w:sz w:val="24"/>
          <w:szCs w:val="24"/>
        </w:rPr>
        <w:t>trimethoprimdelen</w:t>
      </w:r>
      <w:proofErr w:type="spellEnd"/>
      <w:r>
        <w:rPr>
          <w:sz w:val="24"/>
          <w:szCs w:val="24"/>
        </w:rPr>
        <w:t xml:space="preserve">. </w:t>
      </w:r>
      <w:proofErr w:type="spellStart"/>
      <w:r>
        <w:rPr>
          <w:sz w:val="24"/>
          <w:szCs w:val="24"/>
        </w:rPr>
        <w:t>Sulmethxoazoldelen</w:t>
      </w:r>
      <w:proofErr w:type="spellEnd"/>
      <w:r>
        <w:rPr>
          <w:sz w:val="24"/>
          <w:szCs w:val="24"/>
        </w:rPr>
        <w:t xml:space="preserve"> interagerer ikke. Dosisjustering af </w:t>
      </w:r>
      <w:proofErr w:type="spellStart"/>
      <w:r>
        <w:rPr>
          <w:sz w:val="24"/>
          <w:szCs w:val="24"/>
        </w:rPr>
        <w:t>lamivudin</w:t>
      </w:r>
      <w:proofErr w:type="spellEnd"/>
      <w:r>
        <w:rPr>
          <w:sz w:val="24"/>
          <w:szCs w:val="24"/>
        </w:rPr>
        <w:t xml:space="preserve"> er dog ikke nødvendig, medmindre patienten har nedsat nyrefunktion (se pkt. 4.2). </w:t>
      </w:r>
      <w:proofErr w:type="spellStart"/>
      <w:r>
        <w:rPr>
          <w:sz w:val="24"/>
          <w:szCs w:val="24"/>
        </w:rPr>
        <w:t>Lamivudin</w:t>
      </w:r>
      <w:proofErr w:type="spellEnd"/>
      <w:r>
        <w:rPr>
          <w:sz w:val="24"/>
          <w:szCs w:val="24"/>
        </w:rPr>
        <w:t xml:space="preserve"> påvirker ikke farmakokinetikken af </w:t>
      </w:r>
      <w:proofErr w:type="spellStart"/>
      <w:r>
        <w:rPr>
          <w:sz w:val="24"/>
          <w:szCs w:val="24"/>
        </w:rPr>
        <w:t>trimethoprim</w:t>
      </w:r>
      <w:proofErr w:type="spellEnd"/>
      <w:r>
        <w:rPr>
          <w:sz w:val="24"/>
          <w:szCs w:val="24"/>
        </w:rPr>
        <w:t xml:space="preserve"> eller </w:t>
      </w:r>
      <w:proofErr w:type="spellStart"/>
      <w:r>
        <w:rPr>
          <w:sz w:val="24"/>
          <w:szCs w:val="24"/>
        </w:rPr>
        <w:t>sulfamethoxazol</w:t>
      </w:r>
      <w:proofErr w:type="spellEnd"/>
      <w:r>
        <w:rPr>
          <w:sz w:val="24"/>
          <w:szCs w:val="24"/>
        </w:rPr>
        <w:t xml:space="preserve">. Patienter bør monitoreres klinisk, når samtidig administration med </w:t>
      </w:r>
      <w:proofErr w:type="spellStart"/>
      <w:r>
        <w:rPr>
          <w:sz w:val="24"/>
          <w:szCs w:val="24"/>
        </w:rPr>
        <w:t>trimethoprim</w:t>
      </w:r>
      <w:proofErr w:type="spellEnd"/>
      <w:r>
        <w:rPr>
          <w:sz w:val="24"/>
          <w:szCs w:val="24"/>
        </w:rPr>
        <w:t>/</w:t>
      </w:r>
      <w:proofErr w:type="spellStart"/>
      <w:r>
        <w:rPr>
          <w:sz w:val="24"/>
          <w:szCs w:val="24"/>
        </w:rPr>
        <w:t>sulfamethoxazol</w:t>
      </w:r>
      <w:proofErr w:type="spellEnd"/>
      <w:r>
        <w:rPr>
          <w:sz w:val="24"/>
          <w:szCs w:val="24"/>
        </w:rPr>
        <w:t xml:space="preserve"> er påkrævet. Samtidig administration af </w:t>
      </w:r>
      <w:proofErr w:type="spellStart"/>
      <w:r>
        <w:rPr>
          <w:sz w:val="24"/>
          <w:szCs w:val="24"/>
        </w:rPr>
        <w:t>lamivudin</w:t>
      </w:r>
      <w:proofErr w:type="spellEnd"/>
      <w:r>
        <w:rPr>
          <w:sz w:val="24"/>
          <w:szCs w:val="24"/>
        </w:rPr>
        <w:t xml:space="preserve"> og høje doser af </w:t>
      </w:r>
      <w:proofErr w:type="spellStart"/>
      <w:r>
        <w:rPr>
          <w:sz w:val="24"/>
          <w:szCs w:val="24"/>
        </w:rPr>
        <w:t>co-trimoxazol</w:t>
      </w:r>
      <w:proofErr w:type="spellEnd"/>
      <w:r>
        <w:rPr>
          <w:sz w:val="24"/>
          <w:szCs w:val="24"/>
        </w:rPr>
        <w:t xml:space="preserve"> til behandling af </w:t>
      </w:r>
      <w:proofErr w:type="spellStart"/>
      <w:r>
        <w:rPr>
          <w:i/>
          <w:sz w:val="24"/>
          <w:szCs w:val="24"/>
        </w:rPr>
        <w:t>Pneumocystis</w:t>
      </w:r>
      <w:proofErr w:type="spellEnd"/>
      <w:r>
        <w:rPr>
          <w:i/>
          <w:sz w:val="24"/>
          <w:szCs w:val="24"/>
        </w:rPr>
        <w:t xml:space="preserve"> </w:t>
      </w:r>
      <w:proofErr w:type="spellStart"/>
      <w:r>
        <w:rPr>
          <w:i/>
          <w:sz w:val="24"/>
          <w:szCs w:val="24"/>
        </w:rPr>
        <w:t>jirovecii</w:t>
      </w:r>
      <w:proofErr w:type="spellEnd"/>
      <w:r>
        <w:rPr>
          <w:sz w:val="24"/>
          <w:szCs w:val="24"/>
        </w:rPr>
        <w:t xml:space="preserve">-pneumoni (PCP) og </w:t>
      </w:r>
      <w:proofErr w:type="spellStart"/>
      <w:r>
        <w:rPr>
          <w:sz w:val="24"/>
          <w:szCs w:val="24"/>
        </w:rPr>
        <w:t>toxoplasmose</w:t>
      </w:r>
      <w:proofErr w:type="spellEnd"/>
      <w:r>
        <w:rPr>
          <w:sz w:val="24"/>
          <w:szCs w:val="24"/>
        </w:rPr>
        <w:t xml:space="preserve"> bør undgås.</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Muligheden for interaktioner med andre samtidigt administrerede lægemidler bør overvejes; særligt hvis udskillelsen primært sker ved aktiv </w:t>
      </w:r>
      <w:proofErr w:type="spellStart"/>
      <w:r>
        <w:rPr>
          <w:sz w:val="24"/>
          <w:szCs w:val="24"/>
        </w:rPr>
        <w:t>renal</w:t>
      </w:r>
      <w:proofErr w:type="spellEnd"/>
      <w:r>
        <w:rPr>
          <w:sz w:val="24"/>
          <w:szCs w:val="24"/>
        </w:rPr>
        <w:t xml:space="preserve"> sekretion via det organiske </w:t>
      </w:r>
      <w:proofErr w:type="spellStart"/>
      <w:r>
        <w:rPr>
          <w:sz w:val="24"/>
          <w:szCs w:val="24"/>
        </w:rPr>
        <w:t>kationiske</w:t>
      </w:r>
      <w:proofErr w:type="spellEnd"/>
      <w:r>
        <w:rPr>
          <w:sz w:val="24"/>
          <w:szCs w:val="24"/>
        </w:rPr>
        <w:t xml:space="preserve"> transportsystem, f.eks. </w:t>
      </w:r>
      <w:proofErr w:type="spellStart"/>
      <w:r>
        <w:rPr>
          <w:sz w:val="24"/>
          <w:szCs w:val="24"/>
        </w:rPr>
        <w:t>trimethoprim</w:t>
      </w:r>
      <w:proofErr w:type="spellEnd"/>
      <w:r>
        <w:rPr>
          <w:sz w:val="24"/>
          <w:szCs w:val="24"/>
        </w:rPr>
        <w:t xml:space="preserve">. Andre lægemidler (f.eks. </w:t>
      </w:r>
      <w:proofErr w:type="spellStart"/>
      <w:r>
        <w:rPr>
          <w:sz w:val="24"/>
          <w:szCs w:val="24"/>
        </w:rPr>
        <w:t>ranitidin</w:t>
      </w:r>
      <w:proofErr w:type="spellEnd"/>
      <w:r>
        <w:rPr>
          <w:sz w:val="24"/>
          <w:szCs w:val="24"/>
        </w:rPr>
        <w:t xml:space="preserve">, </w:t>
      </w:r>
      <w:proofErr w:type="spellStart"/>
      <w:r>
        <w:rPr>
          <w:sz w:val="24"/>
          <w:szCs w:val="24"/>
        </w:rPr>
        <w:t>cimetidin</w:t>
      </w:r>
      <w:proofErr w:type="spellEnd"/>
      <w:r>
        <w:rPr>
          <w:sz w:val="24"/>
          <w:szCs w:val="24"/>
        </w:rPr>
        <w:t xml:space="preserve">) udskilles kun delvist ved denne mekanisme og har vist sig ikke at interagere med </w:t>
      </w:r>
      <w:proofErr w:type="spellStart"/>
      <w:r>
        <w:rPr>
          <w:sz w:val="24"/>
          <w:szCs w:val="24"/>
        </w:rPr>
        <w:t>lamivudin</w:t>
      </w:r>
      <w:proofErr w:type="spellEnd"/>
      <w:r>
        <w:rPr>
          <w:sz w:val="24"/>
          <w:szCs w:val="24"/>
        </w:rPr>
        <w:t xml:space="preserve">. </w:t>
      </w:r>
      <w:proofErr w:type="spellStart"/>
      <w:r>
        <w:rPr>
          <w:sz w:val="24"/>
          <w:szCs w:val="24"/>
        </w:rPr>
        <w:t>Nukleosidanalogerne</w:t>
      </w:r>
      <w:proofErr w:type="spellEnd"/>
      <w:r>
        <w:rPr>
          <w:sz w:val="24"/>
          <w:szCs w:val="24"/>
        </w:rPr>
        <w:t xml:space="preserve"> (f.eks. </w:t>
      </w:r>
      <w:proofErr w:type="spellStart"/>
      <w:r>
        <w:rPr>
          <w:sz w:val="24"/>
          <w:szCs w:val="24"/>
        </w:rPr>
        <w:t>didanosin</w:t>
      </w:r>
      <w:proofErr w:type="spellEnd"/>
      <w:r>
        <w:rPr>
          <w:sz w:val="24"/>
          <w:szCs w:val="24"/>
        </w:rPr>
        <w:t xml:space="preserve">) såsom </w:t>
      </w:r>
      <w:proofErr w:type="spellStart"/>
      <w:r>
        <w:rPr>
          <w:sz w:val="24"/>
          <w:szCs w:val="24"/>
        </w:rPr>
        <w:t>zidovudin</w:t>
      </w:r>
      <w:proofErr w:type="spellEnd"/>
      <w:r>
        <w:rPr>
          <w:sz w:val="24"/>
          <w:szCs w:val="24"/>
        </w:rPr>
        <w:t xml:space="preserve"> elimineres ikke ved denne mekanisme og interagerer sandsynligvis ikke med </w:t>
      </w:r>
      <w:proofErr w:type="spellStart"/>
      <w:r>
        <w:rPr>
          <w:sz w:val="24"/>
          <w:szCs w:val="24"/>
        </w:rPr>
        <w:t>lamivudin</w:t>
      </w:r>
      <w:proofErr w:type="spellEnd"/>
      <w:r>
        <w:rPr>
          <w:sz w:val="24"/>
          <w:szCs w:val="24"/>
        </w:rPr>
        <w:t xml:space="preserve">.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Der blev set en beskeden stigning i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(28 %) af </w:t>
      </w:r>
      <w:proofErr w:type="spellStart"/>
      <w:r>
        <w:rPr>
          <w:sz w:val="24"/>
          <w:szCs w:val="24"/>
        </w:rPr>
        <w:t>zidovudin</w:t>
      </w:r>
      <w:proofErr w:type="spellEnd"/>
      <w:r>
        <w:rPr>
          <w:sz w:val="24"/>
          <w:szCs w:val="24"/>
        </w:rPr>
        <w:t xml:space="preserve">, når det blev administreret sammen med </w:t>
      </w:r>
      <w:proofErr w:type="spellStart"/>
      <w:r>
        <w:rPr>
          <w:sz w:val="24"/>
          <w:szCs w:val="24"/>
        </w:rPr>
        <w:t>lamivudin</w:t>
      </w:r>
      <w:proofErr w:type="spellEnd"/>
      <w:r>
        <w:rPr>
          <w:sz w:val="24"/>
          <w:szCs w:val="24"/>
        </w:rPr>
        <w:t xml:space="preserve">, men den samlede eksponering (AUC) ændres ikke signifikant. </w:t>
      </w:r>
      <w:proofErr w:type="spellStart"/>
      <w:r>
        <w:rPr>
          <w:sz w:val="24"/>
          <w:szCs w:val="24"/>
        </w:rPr>
        <w:t>Zidovudin</w:t>
      </w:r>
      <w:proofErr w:type="spellEnd"/>
      <w:r>
        <w:rPr>
          <w:sz w:val="24"/>
          <w:szCs w:val="24"/>
        </w:rPr>
        <w:t xml:space="preserve"> har ingen indvirkning på </w:t>
      </w:r>
      <w:proofErr w:type="spellStart"/>
      <w:r>
        <w:rPr>
          <w:sz w:val="24"/>
          <w:szCs w:val="24"/>
        </w:rPr>
        <w:t>lamivudins</w:t>
      </w:r>
      <w:proofErr w:type="spellEnd"/>
      <w:r>
        <w:rPr>
          <w:sz w:val="24"/>
          <w:szCs w:val="24"/>
        </w:rPr>
        <w:t xml:space="preserve"> farmakokinetik (se pkt. 5.2).</w:t>
      </w:r>
    </w:p>
    <w:p w:rsidR="00604ED4" w:rsidRDefault="00604ED4" w:rsidP="00604ED4">
      <w:pPr>
        <w:ind w:left="851" w:hanging="851"/>
        <w:rPr>
          <w:sz w:val="24"/>
          <w:szCs w:val="24"/>
        </w:rPr>
      </w:pPr>
    </w:p>
    <w:p w:rsidR="00604ED4" w:rsidRDefault="00604ED4" w:rsidP="00604ED4">
      <w:pPr>
        <w:ind w:left="851"/>
        <w:rPr>
          <w:rFonts w:eastAsia="Calibri"/>
          <w:sz w:val="24"/>
          <w:szCs w:val="24"/>
        </w:rPr>
      </w:pPr>
      <w:r>
        <w:rPr>
          <w:rFonts w:eastAsia="Calibri"/>
          <w:sz w:val="24"/>
          <w:szCs w:val="24"/>
        </w:rPr>
        <w:t xml:space="preserve">På grund af ligheder bør </w:t>
      </w:r>
      <w:proofErr w:type="spellStart"/>
      <w:r>
        <w:rPr>
          <w:rFonts w:eastAsia="Calibri"/>
          <w:sz w:val="24"/>
          <w:szCs w:val="24"/>
        </w:rPr>
        <w:t>lamivudin</w:t>
      </w:r>
      <w:proofErr w:type="spellEnd"/>
      <w:r>
        <w:rPr>
          <w:rFonts w:eastAsia="Calibri"/>
          <w:sz w:val="24"/>
          <w:szCs w:val="24"/>
        </w:rPr>
        <w:t xml:space="preserve"> ikke administreres sammen med andre </w:t>
      </w:r>
      <w:proofErr w:type="spellStart"/>
      <w:r>
        <w:rPr>
          <w:rFonts w:eastAsia="Calibri"/>
          <w:sz w:val="24"/>
          <w:szCs w:val="24"/>
        </w:rPr>
        <w:t>cytidinanaloger</w:t>
      </w:r>
      <w:proofErr w:type="spellEnd"/>
      <w:r>
        <w:rPr>
          <w:rFonts w:eastAsia="Calibri"/>
          <w:sz w:val="24"/>
          <w:szCs w:val="24"/>
        </w:rPr>
        <w:t xml:space="preserve">, såsom </w:t>
      </w:r>
      <w:proofErr w:type="spellStart"/>
      <w:r>
        <w:rPr>
          <w:rFonts w:eastAsia="Calibri"/>
          <w:sz w:val="24"/>
          <w:szCs w:val="24"/>
        </w:rPr>
        <w:t>emtricitabin</w:t>
      </w:r>
      <w:proofErr w:type="spellEnd"/>
      <w:r>
        <w:rPr>
          <w:rFonts w:eastAsia="Calibri"/>
          <w:sz w:val="24"/>
          <w:szCs w:val="24"/>
        </w:rPr>
        <w:t xml:space="preserve">. Derudover bør </w:t>
      </w:r>
      <w:proofErr w:type="spellStart"/>
      <w:r>
        <w:rPr>
          <w:rFonts w:eastAsia="Calibri"/>
          <w:sz w:val="24"/>
          <w:szCs w:val="24"/>
        </w:rPr>
        <w:t>lamivudin</w:t>
      </w:r>
      <w:proofErr w:type="spellEnd"/>
      <w:r>
        <w:rPr>
          <w:rFonts w:eastAsia="Calibri"/>
          <w:sz w:val="24"/>
          <w:szCs w:val="24"/>
        </w:rPr>
        <w:t xml:space="preserve"> ikke tages sammen med andre lægemidler, der indeholder </w:t>
      </w:r>
      <w:proofErr w:type="spellStart"/>
      <w:r>
        <w:rPr>
          <w:rFonts w:eastAsia="Calibri"/>
          <w:sz w:val="24"/>
          <w:szCs w:val="24"/>
        </w:rPr>
        <w:t>lamivudin</w:t>
      </w:r>
      <w:proofErr w:type="spellEnd"/>
      <w:r>
        <w:rPr>
          <w:rFonts w:eastAsia="Calibri"/>
          <w:sz w:val="24"/>
          <w:szCs w:val="24"/>
        </w:rPr>
        <w:t xml:space="preserve"> (se pkt. 4.4).</w:t>
      </w:r>
    </w:p>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rFonts w:eastAsia="Calibri"/>
          <w:i/>
          <w:iCs/>
          <w:sz w:val="24"/>
          <w:szCs w:val="24"/>
        </w:rPr>
        <w:t xml:space="preserve">In </w:t>
      </w:r>
      <w:proofErr w:type="spellStart"/>
      <w:r>
        <w:rPr>
          <w:rFonts w:eastAsia="Calibri"/>
          <w:i/>
          <w:iCs/>
          <w:sz w:val="24"/>
          <w:szCs w:val="24"/>
        </w:rPr>
        <w:t>vitro</w:t>
      </w:r>
      <w:proofErr w:type="spellEnd"/>
      <w:r>
        <w:rPr>
          <w:rFonts w:eastAsia="Calibri"/>
          <w:i/>
          <w:iCs/>
          <w:sz w:val="24"/>
          <w:szCs w:val="24"/>
        </w:rPr>
        <w:t xml:space="preserve"> </w:t>
      </w:r>
      <w:r>
        <w:rPr>
          <w:rFonts w:eastAsia="Calibri"/>
          <w:sz w:val="24"/>
          <w:szCs w:val="24"/>
        </w:rPr>
        <w:t xml:space="preserve">hæmmer </w:t>
      </w:r>
      <w:proofErr w:type="spellStart"/>
      <w:r>
        <w:rPr>
          <w:rFonts w:eastAsia="Calibri"/>
          <w:sz w:val="24"/>
          <w:szCs w:val="24"/>
        </w:rPr>
        <w:t>lamivudin</w:t>
      </w:r>
      <w:proofErr w:type="spellEnd"/>
      <w:r>
        <w:rPr>
          <w:rFonts w:eastAsia="Calibri"/>
          <w:sz w:val="24"/>
          <w:szCs w:val="24"/>
        </w:rPr>
        <w:t xml:space="preserve"> den intracellulære </w:t>
      </w:r>
      <w:proofErr w:type="spellStart"/>
      <w:r>
        <w:rPr>
          <w:rFonts w:eastAsia="Calibri"/>
          <w:sz w:val="24"/>
          <w:szCs w:val="24"/>
        </w:rPr>
        <w:t>fosforylering</w:t>
      </w:r>
      <w:proofErr w:type="spellEnd"/>
      <w:r>
        <w:rPr>
          <w:rFonts w:eastAsia="Calibri"/>
          <w:sz w:val="24"/>
          <w:szCs w:val="24"/>
        </w:rPr>
        <w:t xml:space="preserve"> af </w:t>
      </w:r>
      <w:proofErr w:type="spellStart"/>
      <w:r>
        <w:rPr>
          <w:rFonts w:eastAsia="Calibri"/>
          <w:sz w:val="24"/>
          <w:szCs w:val="24"/>
        </w:rPr>
        <w:t>cladribin</w:t>
      </w:r>
      <w:proofErr w:type="spellEnd"/>
      <w:r>
        <w:rPr>
          <w:rFonts w:eastAsia="Calibri"/>
          <w:sz w:val="24"/>
          <w:szCs w:val="24"/>
        </w:rPr>
        <w:t xml:space="preserve">, hvilket kan medføre en potentiel risiko for manglende effekt af </w:t>
      </w:r>
      <w:proofErr w:type="spellStart"/>
      <w:r>
        <w:rPr>
          <w:rFonts w:eastAsia="Calibri"/>
          <w:sz w:val="24"/>
          <w:szCs w:val="24"/>
        </w:rPr>
        <w:t>cladribin</w:t>
      </w:r>
      <w:proofErr w:type="spellEnd"/>
      <w:r>
        <w:rPr>
          <w:rFonts w:eastAsia="Calibri"/>
          <w:sz w:val="24"/>
          <w:szCs w:val="24"/>
        </w:rPr>
        <w:t xml:space="preserve">, hvis kombinationen anvendes klinisk. Nogle kliniske fund understøtter også en mulig interaktion mellem </w:t>
      </w:r>
      <w:proofErr w:type="spellStart"/>
      <w:r>
        <w:rPr>
          <w:rFonts w:eastAsia="Calibri"/>
          <w:sz w:val="24"/>
          <w:szCs w:val="24"/>
        </w:rPr>
        <w:t>lamivudin</w:t>
      </w:r>
      <w:proofErr w:type="spellEnd"/>
      <w:r>
        <w:rPr>
          <w:rFonts w:eastAsia="Calibri"/>
          <w:sz w:val="24"/>
          <w:szCs w:val="24"/>
        </w:rPr>
        <w:t xml:space="preserve"> og </w:t>
      </w:r>
      <w:proofErr w:type="spellStart"/>
      <w:r>
        <w:rPr>
          <w:rFonts w:eastAsia="Calibri"/>
          <w:sz w:val="24"/>
          <w:szCs w:val="24"/>
        </w:rPr>
        <w:t>cladribin</w:t>
      </w:r>
      <w:proofErr w:type="spellEnd"/>
      <w:r>
        <w:rPr>
          <w:rFonts w:eastAsia="Calibri"/>
          <w:sz w:val="24"/>
          <w:szCs w:val="24"/>
        </w:rPr>
        <w:t xml:space="preserve">. Derfor frarådes samtidig brug af </w:t>
      </w:r>
      <w:proofErr w:type="spellStart"/>
      <w:r>
        <w:rPr>
          <w:rFonts w:eastAsia="Calibri"/>
          <w:sz w:val="24"/>
          <w:szCs w:val="24"/>
        </w:rPr>
        <w:t>lamivudin</w:t>
      </w:r>
      <w:proofErr w:type="spellEnd"/>
      <w:r>
        <w:rPr>
          <w:rFonts w:eastAsia="Calibri"/>
          <w:sz w:val="24"/>
          <w:szCs w:val="24"/>
        </w:rPr>
        <w:t xml:space="preserve"> og </w:t>
      </w:r>
      <w:proofErr w:type="spellStart"/>
      <w:r>
        <w:rPr>
          <w:rFonts w:eastAsia="Calibri"/>
          <w:sz w:val="24"/>
          <w:szCs w:val="24"/>
        </w:rPr>
        <w:t>cladribin</w:t>
      </w:r>
      <w:proofErr w:type="spellEnd"/>
      <w:r>
        <w:rPr>
          <w:rFonts w:eastAsia="Calibri"/>
          <w:sz w:val="24"/>
          <w:szCs w:val="24"/>
        </w:rPr>
        <w:t xml:space="preserve"> (se pkt. 4.4).</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Metabolismen af </w:t>
      </w:r>
      <w:proofErr w:type="spellStart"/>
      <w:r>
        <w:rPr>
          <w:sz w:val="24"/>
          <w:szCs w:val="24"/>
        </w:rPr>
        <w:t>lamivudin</w:t>
      </w:r>
      <w:proofErr w:type="spellEnd"/>
      <w:r>
        <w:rPr>
          <w:sz w:val="24"/>
          <w:szCs w:val="24"/>
        </w:rPr>
        <w:t xml:space="preserve"> involverer ikke CYP3A, hvilket gør interaktioner med andre lægemidler, som </w:t>
      </w:r>
      <w:proofErr w:type="spellStart"/>
      <w:r>
        <w:rPr>
          <w:sz w:val="24"/>
          <w:szCs w:val="24"/>
        </w:rPr>
        <w:t>metaboliseres</w:t>
      </w:r>
      <w:proofErr w:type="spellEnd"/>
      <w:r>
        <w:rPr>
          <w:sz w:val="24"/>
          <w:szCs w:val="24"/>
        </w:rPr>
        <w:t xml:space="preserve"> via dette system (f.eks. </w:t>
      </w:r>
      <w:proofErr w:type="spellStart"/>
      <w:r>
        <w:rPr>
          <w:sz w:val="24"/>
          <w:szCs w:val="24"/>
        </w:rPr>
        <w:t>PI’er</w:t>
      </w:r>
      <w:proofErr w:type="spellEnd"/>
      <w:r>
        <w:rPr>
          <w:sz w:val="24"/>
          <w:szCs w:val="24"/>
        </w:rPr>
        <w:t>), usandsynlige.</w:t>
      </w:r>
    </w:p>
    <w:p w:rsidR="00604ED4" w:rsidRDefault="00604ED4" w:rsidP="00604ED4">
      <w:pPr>
        <w:ind w:left="851" w:hanging="851"/>
        <w:rPr>
          <w:sz w:val="24"/>
          <w:szCs w:val="24"/>
        </w:rPr>
      </w:pPr>
    </w:p>
    <w:p w:rsidR="00604ED4" w:rsidRDefault="00604ED4" w:rsidP="00604ED4">
      <w:pPr>
        <w:ind w:left="851"/>
        <w:rPr>
          <w:sz w:val="24"/>
          <w:szCs w:val="24"/>
        </w:rPr>
      </w:pPr>
      <w:r>
        <w:rPr>
          <w:sz w:val="24"/>
          <w:szCs w:val="24"/>
        </w:rPr>
        <w:t xml:space="preserve">Samtidig administration af sorbitolopløsning (3,2 g, 10,2 g, 13,4 g) med en enkelt 300 mg dosis </w:t>
      </w:r>
      <w:proofErr w:type="spellStart"/>
      <w:r>
        <w:rPr>
          <w:sz w:val="24"/>
          <w:szCs w:val="24"/>
        </w:rPr>
        <w:t>lamivudin</w:t>
      </w:r>
      <w:proofErr w:type="spellEnd"/>
      <w:r>
        <w:rPr>
          <w:sz w:val="24"/>
          <w:szCs w:val="24"/>
        </w:rPr>
        <w:t xml:space="preserve"> oral opløsning resulterede i dosisafhængige fald på 14 %, 32 % og 36 % i </w:t>
      </w:r>
      <w:proofErr w:type="spellStart"/>
      <w:r>
        <w:rPr>
          <w:sz w:val="24"/>
          <w:szCs w:val="24"/>
        </w:rPr>
        <w:t>lamivudineksponering</w:t>
      </w:r>
      <w:proofErr w:type="spellEnd"/>
      <w:r>
        <w:rPr>
          <w:sz w:val="24"/>
          <w:szCs w:val="24"/>
        </w:rPr>
        <w:t xml:space="preserve"> (AUC</w:t>
      </w:r>
      <w:r>
        <w:rPr>
          <w:sz w:val="24"/>
          <w:szCs w:val="24"/>
          <w:vertAlign w:val="subscript"/>
        </w:rPr>
        <w:t>∞</w:t>
      </w:r>
      <w:r>
        <w:rPr>
          <w:sz w:val="24"/>
          <w:szCs w:val="24"/>
        </w:rPr>
        <w:t xml:space="preserve">) og 28 </w:t>
      </w:r>
      <w:proofErr w:type="gramStart"/>
      <w:r>
        <w:rPr>
          <w:sz w:val="24"/>
          <w:szCs w:val="24"/>
        </w:rPr>
        <w:t>% ,</w:t>
      </w:r>
      <w:proofErr w:type="gramEnd"/>
      <w:r>
        <w:rPr>
          <w:sz w:val="24"/>
          <w:szCs w:val="24"/>
        </w:rPr>
        <w:t xml:space="preserve"> 52 % og 55 % fald i </w:t>
      </w:r>
      <w:proofErr w:type="spellStart"/>
      <w:r>
        <w:rPr>
          <w:sz w:val="24"/>
          <w:szCs w:val="24"/>
        </w:rPr>
        <w:t>lamivudins</w:t>
      </w:r>
      <w:proofErr w:type="spellEnd"/>
      <w:r>
        <w:rPr>
          <w:sz w:val="24"/>
          <w:szCs w:val="24"/>
        </w:rPr>
        <w:t xml:space="preserve"> </w:t>
      </w:r>
      <w:proofErr w:type="spellStart"/>
      <w:r>
        <w:rPr>
          <w:sz w:val="24"/>
          <w:szCs w:val="24"/>
        </w:rPr>
        <w:t>Cmax</w:t>
      </w:r>
      <w:proofErr w:type="spellEnd"/>
      <w:r>
        <w:rPr>
          <w:sz w:val="24"/>
          <w:szCs w:val="24"/>
        </w:rPr>
        <w:t xml:space="preserve"> hos </w:t>
      </w:r>
      <w:r>
        <w:rPr>
          <w:sz w:val="24"/>
          <w:szCs w:val="24"/>
        </w:rPr>
        <w:lastRenderedPageBreak/>
        <w:t xml:space="preserve">voksne. Undgå vedvarende anvendelse af </w:t>
      </w:r>
      <w:proofErr w:type="spellStart"/>
      <w:r>
        <w:rPr>
          <w:sz w:val="24"/>
          <w:szCs w:val="24"/>
        </w:rPr>
        <w:t>lamivudine</w:t>
      </w:r>
      <w:proofErr w:type="spellEnd"/>
      <w:r>
        <w:rPr>
          <w:sz w:val="24"/>
          <w:szCs w:val="24"/>
        </w:rPr>
        <w:t xml:space="preserve"> sammen med sorbitolholdige lægemidler eller andre osmotisk virkende polyalkoholer eller </w:t>
      </w:r>
      <w:proofErr w:type="spellStart"/>
      <w:r>
        <w:rPr>
          <w:sz w:val="24"/>
          <w:szCs w:val="24"/>
        </w:rPr>
        <w:t>monosaccaharidalkoholer</w:t>
      </w:r>
      <w:proofErr w:type="spellEnd"/>
      <w:r>
        <w:rPr>
          <w:sz w:val="24"/>
          <w:szCs w:val="24"/>
        </w:rPr>
        <w:t xml:space="preserve"> (f.eks. </w:t>
      </w:r>
      <w:proofErr w:type="spellStart"/>
      <w:r>
        <w:rPr>
          <w:sz w:val="24"/>
          <w:szCs w:val="24"/>
        </w:rPr>
        <w:t>xylitol</w:t>
      </w:r>
      <w:proofErr w:type="spellEnd"/>
      <w:r>
        <w:rPr>
          <w:sz w:val="24"/>
          <w:szCs w:val="24"/>
        </w:rPr>
        <w:t xml:space="preserve">, </w:t>
      </w:r>
      <w:proofErr w:type="spellStart"/>
      <w:r>
        <w:rPr>
          <w:sz w:val="24"/>
          <w:szCs w:val="24"/>
        </w:rPr>
        <w:t>mannitol</w:t>
      </w:r>
      <w:proofErr w:type="spellEnd"/>
      <w:r>
        <w:rPr>
          <w:sz w:val="24"/>
          <w:szCs w:val="24"/>
        </w:rPr>
        <w:t xml:space="preserve">, </w:t>
      </w:r>
      <w:proofErr w:type="spellStart"/>
      <w:r>
        <w:rPr>
          <w:sz w:val="24"/>
          <w:szCs w:val="24"/>
        </w:rPr>
        <w:t>lactitol</w:t>
      </w:r>
      <w:proofErr w:type="spellEnd"/>
      <w:r>
        <w:rPr>
          <w:sz w:val="24"/>
          <w:szCs w:val="24"/>
        </w:rPr>
        <w:t xml:space="preserve">, </w:t>
      </w:r>
      <w:proofErr w:type="spellStart"/>
      <w:r>
        <w:rPr>
          <w:sz w:val="24"/>
          <w:szCs w:val="24"/>
        </w:rPr>
        <w:t>maltitol</w:t>
      </w:r>
      <w:proofErr w:type="spellEnd"/>
      <w:r>
        <w:rPr>
          <w:sz w:val="24"/>
          <w:szCs w:val="24"/>
        </w:rPr>
        <w:t xml:space="preserve">), når det er muligt. Overvej hyppigere overvågning af HIV-1 virusmængde, når vedvarende samtidig administration ikke kan undgås. </w:t>
      </w:r>
    </w:p>
    <w:p w:rsidR="00604ED4" w:rsidRPr="002250CB" w:rsidRDefault="00604ED4" w:rsidP="00604ED4">
      <w:pPr>
        <w:ind w:left="851"/>
        <w:rPr>
          <w:sz w:val="24"/>
          <w:szCs w:val="24"/>
        </w:rPr>
      </w:pPr>
    </w:p>
    <w:p w:rsidR="00604ED4" w:rsidRPr="002250CB" w:rsidRDefault="00604ED4" w:rsidP="00604ED4">
      <w:pPr>
        <w:ind w:left="851" w:hanging="851"/>
        <w:rPr>
          <w:b/>
          <w:sz w:val="24"/>
          <w:szCs w:val="24"/>
        </w:rPr>
      </w:pPr>
      <w:r w:rsidRPr="002250CB">
        <w:rPr>
          <w:b/>
          <w:sz w:val="24"/>
          <w:szCs w:val="24"/>
        </w:rPr>
        <w:t>4.6</w:t>
      </w:r>
      <w:r w:rsidRPr="002250CB">
        <w:rPr>
          <w:b/>
          <w:sz w:val="24"/>
          <w:szCs w:val="24"/>
        </w:rPr>
        <w:tab/>
      </w:r>
      <w:r w:rsidR="006C3927">
        <w:rPr>
          <w:b/>
          <w:sz w:val="24"/>
          <w:szCs w:val="24"/>
        </w:rPr>
        <w:t>Fertilitet, g</w:t>
      </w:r>
      <w:r w:rsidRPr="002250CB">
        <w:rPr>
          <w:b/>
          <w:sz w:val="24"/>
          <w:szCs w:val="24"/>
        </w:rPr>
        <w:t>raviditet og amning</w:t>
      </w:r>
    </w:p>
    <w:p w:rsidR="00604ED4" w:rsidRPr="00BE4824" w:rsidRDefault="00604ED4" w:rsidP="00604ED4">
      <w:pPr>
        <w:ind w:left="851"/>
        <w:rPr>
          <w:sz w:val="24"/>
          <w:szCs w:val="24"/>
          <w:u w:val="single"/>
        </w:rPr>
      </w:pPr>
      <w:r w:rsidRPr="00BE4824">
        <w:rPr>
          <w:rFonts w:eastAsia="Calibri"/>
          <w:iCs/>
          <w:sz w:val="24"/>
          <w:szCs w:val="24"/>
          <w:u w:val="single"/>
        </w:rPr>
        <w:t>Graviditet</w:t>
      </w:r>
    </w:p>
    <w:p w:rsidR="00604ED4" w:rsidRDefault="00604ED4" w:rsidP="00604ED4">
      <w:pPr>
        <w:ind w:left="851"/>
        <w:rPr>
          <w:sz w:val="24"/>
          <w:szCs w:val="24"/>
        </w:rPr>
      </w:pPr>
      <w:r>
        <w:rPr>
          <w:rFonts w:eastAsia="Calibri"/>
          <w:sz w:val="24"/>
          <w:szCs w:val="24"/>
        </w:rPr>
        <w:t xml:space="preserve">Som en generel regel bør data fra dyrestudier så vel som den kliniske erfaring fra gravide kvinder vurderes, når det besluttes at anvende </w:t>
      </w:r>
      <w:proofErr w:type="spellStart"/>
      <w:r>
        <w:rPr>
          <w:rFonts w:eastAsia="Calibri"/>
          <w:sz w:val="24"/>
          <w:szCs w:val="24"/>
        </w:rPr>
        <w:t>antiretrovirale</w:t>
      </w:r>
      <w:proofErr w:type="spellEnd"/>
      <w:r>
        <w:rPr>
          <w:rFonts w:eastAsia="Calibri"/>
          <w:sz w:val="24"/>
          <w:szCs w:val="24"/>
        </w:rPr>
        <w:t xml:space="preserve"> midler til behandling af hiv-infektion hos gravide kvinder og som konsekvens heraf reducere risikoen for overførsel af hiv til det nyfødte barn.</w:t>
      </w:r>
    </w:p>
    <w:p w:rsidR="00604ED4" w:rsidRDefault="00604ED4" w:rsidP="00604ED4">
      <w:pPr>
        <w:ind w:left="851"/>
        <w:rPr>
          <w:sz w:val="24"/>
          <w:szCs w:val="24"/>
        </w:rPr>
      </w:pPr>
    </w:p>
    <w:p w:rsidR="00604ED4" w:rsidRDefault="00604ED4" w:rsidP="00604ED4">
      <w:pPr>
        <w:ind w:left="851"/>
        <w:rPr>
          <w:rFonts w:eastAsia="Calibri"/>
          <w:sz w:val="24"/>
          <w:szCs w:val="24"/>
        </w:rPr>
      </w:pPr>
      <w:r>
        <w:rPr>
          <w:rFonts w:eastAsia="Calibri"/>
          <w:sz w:val="24"/>
          <w:szCs w:val="24"/>
        </w:rPr>
        <w:t xml:space="preserve">Dyrestudier med </w:t>
      </w:r>
      <w:proofErr w:type="spellStart"/>
      <w:r>
        <w:rPr>
          <w:rFonts w:eastAsia="Calibri"/>
          <w:sz w:val="24"/>
          <w:szCs w:val="24"/>
        </w:rPr>
        <w:t>lamivudin</w:t>
      </w:r>
      <w:proofErr w:type="spellEnd"/>
      <w:r>
        <w:rPr>
          <w:rFonts w:eastAsia="Calibri"/>
          <w:sz w:val="24"/>
          <w:szCs w:val="24"/>
        </w:rPr>
        <w:t xml:space="preserve"> viste en stigning i tidlig embryonisk mortalitet hos kaniner, men ikke hos rotter (se pkt. 5.3). Overførsel af </w:t>
      </w:r>
      <w:proofErr w:type="spellStart"/>
      <w:r>
        <w:rPr>
          <w:rFonts w:eastAsia="Calibri"/>
          <w:sz w:val="24"/>
          <w:szCs w:val="24"/>
        </w:rPr>
        <w:t>lamivudin</w:t>
      </w:r>
      <w:proofErr w:type="spellEnd"/>
      <w:r>
        <w:rPr>
          <w:rFonts w:eastAsia="Calibri"/>
          <w:sz w:val="24"/>
          <w:szCs w:val="24"/>
        </w:rPr>
        <w:t xml:space="preserve"> gennem placenta er set hos mennesker.</w:t>
      </w:r>
    </w:p>
    <w:p w:rsidR="00604ED4" w:rsidRDefault="00604ED4" w:rsidP="00604ED4">
      <w:pPr>
        <w:ind w:left="851"/>
        <w:rPr>
          <w:rFonts w:eastAsia="Calibri"/>
          <w:sz w:val="24"/>
          <w:szCs w:val="24"/>
        </w:rPr>
      </w:pPr>
    </w:p>
    <w:p w:rsidR="00604ED4" w:rsidRDefault="00604ED4" w:rsidP="00604ED4">
      <w:pPr>
        <w:ind w:left="851" w:hanging="851"/>
        <w:rPr>
          <w:sz w:val="24"/>
          <w:szCs w:val="24"/>
        </w:rPr>
      </w:pPr>
      <w:r>
        <w:rPr>
          <w:rFonts w:eastAsia="Calibri"/>
          <w:sz w:val="24"/>
          <w:szCs w:val="24"/>
        </w:rPr>
        <w:tab/>
        <w:t xml:space="preserve">Udfaldet af flere end 1.000 eksponeringer i første trimester og flere end 1.000 eksponeringer i andet og tredje trimester hos gravide kvinder indikerede ingen misdannelser eller </w:t>
      </w:r>
      <w:proofErr w:type="spellStart"/>
      <w:r>
        <w:rPr>
          <w:rFonts w:eastAsia="Calibri"/>
          <w:sz w:val="24"/>
          <w:szCs w:val="24"/>
        </w:rPr>
        <w:t>føtal</w:t>
      </w:r>
      <w:proofErr w:type="spellEnd"/>
      <w:r>
        <w:rPr>
          <w:rFonts w:eastAsia="Calibri"/>
          <w:sz w:val="24"/>
          <w:szCs w:val="24"/>
        </w:rPr>
        <w:t xml:space="preserve">/neonatal toksicitet. Hvis det er klinisk nødvendigt, kan </w:t>
      </w:r>
      <w:proofErr w:type="spellStart"/>
      <w:r>
        <w:rPr>
          <w:sz w:val="24"/>
          <w:szCs w:val="24"/>
        </w:rPr>
        <w:t>Lamivudine</w:t>
      </w:r>
      <w:proofErr w:type="spellEnd"/>
      <w:r>
        <w:rPr>
          <w:sz w:val="24"/>
          <w:szCs w:val="24"/>
        </w:rPr>
        <w:t xml:space="preserve"> ”Sandoz” </w:t>
      </w:r>
      <w:r>
        <w:rPr>
          <w:rFonts w:eastAsia="Calibri"/>
          <w:sz w:val="24"/>
          <w:szCs w:val="24"/>
        </w:rPr>
        <w:t>anvendes under graviditet. Baseret på disse data er risikoen for misdannelser usandsynlig hos mennesker.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Hos patienter, som også er smittet med hepatitis, og som bliver gravide under behandling med </w:t>
      </w:r>
      <w:proofErr w:type="spellStart"/>
      <w:r>
        <w:rPr>
          <w:sz w:val="24"/>
          <w:szCs w:val="24"/>
        </w:rPr>
        <w:t>lamivudin</w:t>
      </w:r>
      <w:proofErr w:type="spellEnd"/>
      <w:r>
        <w:rPr>
          <w:sz w:val="24"/>
          <w:szCs w:val="24"/>
        </w:rPr>
        <w:t xml:space="preserve">, bør det vurderes, om der er en risiko for tilbagevenden af hepatitis ved </w:t>
      </w:r>
      <w:proofErr w:type="spellStart"/>
      <w:r>
        <w:rPr>
          <w:sz w:val="24"/>
          <w:szCs w:val="24"/>
        </w:rPr>
        <w:t>seponering</w:t>
      </w:r>
      <w:proofErr w:type="spellEnd"/>
      <w:r>
        <w:rPr>
          <w:sz w:val="24"/>
          <w:szCs w:val="24"/>
        </w:rPr>
        <w:t xml:space="preserve"> af </w:t>
      </w:r>
      <w:proofErr w:type="spellStart"/>
      <w:r>
        <w:rPr>
          <w:sz w:val="24"/>
          <w:szCs w:val="24"/>
        </w:rPr>
        <w:t>lamivudin</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Mitokondriel</w:t>
      </w:r>
      <w:proofErr w:type="spellEnd"/>
      <w:r>
        <w:rPr>
          <w:sz w:val="24"/>
          <w:szCs w:val="24"/>
        </w:rPr>
        <w:t xml:space="preserve"> dysfunktion:</w:t>
      </w:r>
    </w:p>
    <w:p w:rsidR="00604ED4" w:rsidRDefault="00604ED4" w:rsidP="00604ED4">
      <w:pPr>
        <w:ind w:left="851" w:hanging="851"/>
        <w:rPr>
          <w:sz w:val="24"/>
          <w:szCs w:val="24"/>
        </w:rPr>
      </w:pPr>
      <w:r>
        <w:rPr>
          <w:sz w:val="24"/>
          <w:szCs w:val="24"/>
        </w:rPr>
        <w:tab/>
        <w:t xml:space="preserve">Det er påvist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at </w:t>
      </w:r>
      <w:proofErr w:type="spellStart"/>
      <w:r>
        <w:rPr>
          <w:sz w:val="24"/>
          <w:szCs w:val="24"/>
        </w:rPr>
        <w:t>nukleosid</w:t>
      </w:r>
      <w:proofErr w:type="spellEnd"/>
      <w:r>
        <w:rPr>
          <w:sz w:val="24"/>
          <w:szCs w:val="24"/>
        </w:rPr>
        <w:t xml:space="preserve">- og </w:t>
      </w:r>
      <w:proofErr w:type="spellStart"/>
      <w:r>
        <w:rPr>
          <w:sz w:val="24"/>
          <w:szCs w:val="24"/>
        </w:rPr>
        <w:t>nukleotidanaloger</w:t>
      </w:r>
      <w:proofErr w:type="spellEnd"/>
      <w:r>
        <w:rPr>
          <w:sz w:val="24"/>
          <w:szCs w:val="24"/>
        </w:rPr>
        <w:t xml:space="preserve"> i forskellig udstrækning forårsager skader på mitokondrierne. Der foreligger rapporter om </w:t>
      </w:r>
      <w:proofErr w:type="spellStart"/>
      <w:r>
        <w:rPr>
          <w:sz w:val="24"/>
          <w:szCs w:val="24"/>
        </w:rPr>
        <w:t>mitokondriel</w:t>
      </w:r>
      <w:proofErr w:type="spellEnd"/>
      <w:r>
        <w:rPr>
          <w:sz w:val="24"/>
          <w:szCs w:val="24"/>
        </w:rPr>
        <w:t xml:space="preserve"> dysfunktion hos spædbørn, som har været eksponeret for </w:t>
      </w:r>
      <w:proofErr w:type="spellStart"/>
      <w:r>
        <w:rPr>
          <w:sz w:val="24"/>
          <w:szCs w:val="24"/>
        </w:rPr>
        <w:t>nukleosidanaloger</w:t>
      </w:r>
      <w:proofErr w:type="spellEnd"/>
      <w:r>
        <w:rPr>
          <w:sz w:val="24"/>
          <w:szCs w:val="24"/>
        </w:rPr>
        <w:t xml:space="preserve"> </w:t>
      </w:r>
      <w:r>
        <w:rPr>
          <w:i/>
          <w:sz w:val="24"/>
          <w:szCs w:val="24"/>
        </w:rPr>
        <w:t xml:space="preserve">in </w:t>
      </w:r>
      <w:proofErr w:type="spellStart"/>
      <w:r>
        <w:rPr>
          <w:i/>
          <w:sz w:val="24"/>
          <w:szCs w:val="24"/>
        </w:rPr>
        <w:t>utero</w:t>
      </w:r>
      <w:proofErr w:type="spellEnd"/>
      <w:r>
        <w:rPr>
          <w:sz w:val="24"/>
          <w:szCs w:val="24"/>
        </w:rPr>
        <w:t xml:space="preserve"> og/eller efter fødslen (se pkt. 4.4). </w:t>
      </w:r>
    </w:p>
    <w:p w:rsidR="00604ED4" w:rsidRDefault="00604ED4" w:rsidP="00604ED4">
      <w:pPr>
        <w:ind w:left="851" w:hanging="851"/>
        <w:rPr>
          <w:sz w:val="24"/>
          <w:szCs w:val="24"/>
        </w:rPr>
      </w:pPr>
    </w:p>
    <w:p w:rsidR="00604ED4" w:rsidRPr="00BE4824" w:rsidRDefault="00604ED4" w:rsidP="00604ED4">
      <w:pPr>
        <w:ind w:left="851"/>
        <w:rPr>
          <w:sz w:val="24"/>
          <w:szCs w:val="24"/>
          <w:u w:val="single"/>
        </w:rPr>
      </w:pPr>
      <w:r w:rsidRPr="00BE4824">
        <w:rPr>
          <w:sz w:val="24"/>
          <w:szCs w:val="24"/>
          <w:u w:val="single"/>
        </w:rPr>
        <w:t>Amning</w:t>
      </w:r>
    </w:p>
    <w:p w:rsidR="00604ED4" w:rsidRDefault="00604ED4" w:rsidP="00604ED4">
      <w:pPr>
        <w:ind w:left="851" w:hanging="851"/>
        <w:rPr>
          <w:sz w:val="24"/>
          <w:szCs w:val="24"/>
        </w:rPr>
      </w:pPr>
      <w:r>
        <w:rPr>
          <w:sz w:val="24"/>
          <w:szCs w:val="24"/>
        </w:rPr>
        <w:tab/>
        <w:t xml:space="preserve">Efter oral administration blev </w:t>
      </w:r>
      <w:proofErr w:type="spellStart"/>
      <w:r>
        <w:rPr>
          <w:sz w:val="24"/>
          <w:szCs w:val="24"/>
        </w:rPr>
        <w:t>lamivudin</w:t>
      </w:r>
      <w:proofErr w:type="spellEnd"/>
      <w:r>
        <w:rPr>
          <w:sz w:val="24"/>
          <w:szCs w:val="24"/>
        </w:rPr>
        <w:t xml:space="preserve"> udskilt i brystmælk i koncentrationer svarende til koncentrationerne målt i serum.</w:t>
      </w:r>
    </w:p>
    <w:p w:rsidR="00604ED4" w:rsidRDefault="00604ED4" w:rsidP="00604ED4">
      <w:pPr>
        <w:ind w:left="851"/>
        <w:rPr>
          <w:rFonts w:eastAsia="Calibri"/>
          <w:sz w:val="24"/>
          <w:szCs w:val="24"/>
        </w:rPr>
      </w:pPr>
      <w:r>
        <w:rPr>
          <w:rFonts w:eastAsia="Calibri"/>
          <w:sz w:val="24"/>
          <w:szCs w:val="24"/>
        </w:rPr>
        <w:t>Baseret på erfaringer fra mere end 200 mor-/</w:t>
      </w:r>
      <w:proofErr w:type="spellStart"/>
      <w:r>
        <w:rPr>
          <w:rFonts w:eastAsia="Calibri"/>
          <w:sz w:val="24"/>
          <w:szCs w:val="24"/>
        </w:rPr>
        <w:t>barnpar</w:t>
      </w:r>
      <w:proofErr w:type="spellEnd"/>
      <w:r>
        <w:rPr>
          <w:rFonts w:eastAsia="Calibri"/>
          <w:sz w:val="24"/>
          <w:szCs w:val="24"/>
        </w:rPr>
        <w:t xml:space="preserve"> i hiv-behandling var </w:t>
      </w:r>
      <w:proofErr w:type="spellStart"/>
      <w:r>
        <w:rPr>
          <w:rFonts w:eastAsia="Calibri"/>
          <w:sz w:val="24"/>
          <w:szCs w:val="24"/>
        </w:rPr>
        <w:t>serumkoncentationen</w:t>
      </w:r>
      <w:proofErr w:type="spellEnd"/>
      <w:r>
        <w:rPr>
          <w:rFonts w:eastAsia="Calibri"/>
          <w:sz w:val="24"/>
          <w:szCs w:val="24"/>
        </w:rPr>
        <w:t xml:space="preserve"> af </w:t>
      </w:r>
      <w:proofErr w:type="spellStart"/>
      <w:r>
        <w:rPr>
          <w:rFonts w:eastAsia="Calibri"/>
          <w:sz w:val="24"/>
          <w:szCs w:val="24"/>
        </w:rPr>
        <w:t>lamivudin</w:t>
      </w:r>
      <w:proofErr w:type="spellEnd"/>
      <w:r>
        <w:rPr>
          <w:rFonts w:eastAsia="Calibri"/>
          <w:sz w:val="24"/>
          <w:szCs w:val="24"/>
        </w:rPr>
        <w:t xml:space="preserve"> hos ammede spædbørn, hvis mødre var i hiv-behandling, meget lav (&lt;4 % af de </w:t>
      </w:r>
      <w:proofErr w:type="spellStart"/>
      <w:r>
        <w:rPr>
          <w:rFonts w:eastAsia="Calibri"/>
          <w:sz w:val="24"/>
          <w:szCs w:val="24"/>
        </w:rPr>
        <w:t>maternelle</w:t>
      </w:r>
      <w:proofErr w:type="spellEnd"/>
      <w:r>
        <w:rPr>
          <w:rFonts w:eastAsia="Calibri"/>
          <w:sz w:val="24"/>
          <w:szCs w:val="24"/>
        </w:rPr>
        <w:t xml:space="preserve"> serumkoncentrationer) og faldt gradvist til </w:t>
      </w:r>
      <w:proofErr w:type="spellStart"/>
      <w:r>
        <w:rPr>
          <w:rFonts w:eastAsia="Calibri"/>
          <w:sz w:val="24"/>
          <w:szCs w:val="24"/>
        </w:rPr>
        <w:t>udetekterbare</w:t>
      </w:r>
      <w:proofErr w:type="spellEnd"/>
      <w:r>
        <w:rPr>
          <w:rFonts w:eastAsia="Calibri"/>
          <w:sz w:val="24"/>
          <w:szCs w:val="24"/>
        </w:rPr>
        <w:t xml:space="preserve"> niveauer, når de ammede spædbørn nåede 24-ugersalderen. Der foreligger ingen oplysninger om sikkerhed af </w:t>
      </w:r>
      <w:proofErr w:type="spellStart"/>
      <w:r>
        <w:rPr>
          <w:rFonts w:eastAsia="Calibri"/>
          <w:sz w:val="24"/>
          <w:szCs w:val="24"/>
        </w:rPr>
        <w:t>lamivudin</w:t>
      </w:r>
      <w:proofErr w:type="spellEnd"/>
      <w:r>
        <w:rPr>
          <w:rFonts w:eastAsia="Calibri"/>
          <w:sz w:val="24"/>
          <w:szCs w:val="24"/>
        </w:rPr>
        <w:t>, når det administreres til spædbørn under 3 måneder.</w:t>
      </w:r>
    </w:p>
    <w:p w:rsidR="00604ED4" w:rsidRDefault="00604ED4" w:rsidP="00604ED4">
      <w:pPr>
        <w:ind w:left="851"/>
        <w:rPr>
          <w:sz w:val="24"/>
          <w:szCs w:val="24"/>
        </w:rPr>
      </w:pPr>
      <w:r>
        <w:rPr>
          <w:sz w:val="24"/>
          <w:szCs w:val="24"/>
        </w:rPr>
        <w:t>For at undgå transmissionen af hiv anbefales det, at hiv-inficerede kvinder under ingen omstændigheder ammer deres børn.</w:t>
      </w:r>
    </w:p>
    <w:p w:rsidR="00604ED4" w:rsidRDefault="00604ED4" w:rsidP="00604ED4">
      <w:pPr>
        <w:ind w:left="851"/>
        <w:rPr>
          <w:sz w:val="24"/>
          <w:szCs w:val="24"/>
        </w:rPr>
      </w:pPr>
    </w:p>
    <w:p w:rsidR="00604ED4" w:rsidRPr="00BE4824" w:rsidRDefault="00604ED4" w:rsidP="00604ED4">
      <w:pPr>
        <w:ind w:left="851"/>
        <w:rPr>
          <w:sz w:val="24"/>
          <w:szCs w:val="24"/>
          <w:u w:val="single"/>
        </w:rPr>
      </w:pPr>
      <w:r w:rsidRPr="00BE4824">
        <w:rPr>
          <w:rFonts w:eastAsia="Calibri"/>
          <w:iCs/>
          <w:sz w:val="24"/>
          <w:szCs w:val="24"/>
          <w:u w:val="single"/>
        </w:rPr>
        <w:t>Fertilitet</w:t>
      </w:r>
    </w:p>
    <w:p w:rsidR="00604ED4" w:rsidRPr="00B147AA" w:rsidRDefault="00604ED4" w:rsidP="00604ED4">
      <w:pPr>
        <w:ind w:left="851"/>
        <w:rPr>
          <w:rFonts w:eastAsia="Calibri"/>
          <w:sz w:val="24"/>
          <w:szCs w:val="24"/>
        </w:rPr>
      </w:pPr>
      <w:r>
        <w:rPr>
          <w:rFonts w:eastAsia="Calibri"/>
          <w:sz w:val="24"/>
          <w:szCs w:val="24"/>
        </w:rPr>
        <w:t xml:space="preserve">Dyrestudier har vist, at </w:t>
      </w:r>
      <w:proofErr w:type="spellStart"/>
      <w:r>
        <w:rPr>
          <w:rFonts w:eastAsia="Calibri"/>
          <w:sz w:val="24"/>
          <w:szCs w:val="24"/>
        </w:rPr>
        <w:t>lamivudin</w:t>
      </w:r>
      <w:proofErr w:type="spellEnd"/>
      <w:r>
        <w:rPr>
          <w:rFonts w:eastAsia="Calibri"/>
          <w:sz w:val="24"/>
          <w:szCs w:val="24"/>
        </w:rPr>
        <w:t xml:space="preserve"> ikke påvirker fertiliteten (se pkt. 5.3).</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4.7</w:t>
      </w:r>
      <w:r w:rsidRPr="002250CB">
        <w:rPr>
          <w:b/>
          <w:sz w:val="24"/>
          <w:szCs w:val="24"/>
        </w:rPr>
        <w:tab/>
        <w:t xml:space="preserve">Virkning på evnen til at føre motorkøretøj </w:t>
      </w:r>
      <w:r w:rsidR="006C3927">
        <w:rPr>
          <w:b/>
          <w:sz w:val="24"/>
          <w:szCs w:val="24"/>
        </w:rPr>
        <w:t>og</w:t>
      </w:r>
      <w:r w:rsidRPr="002250CB">
        <w:rPr>
          <w:b/>
          <w:sz w:val="24"/>
          <w:szCs w:val="24"/>
        </w:rPr>
        <w:t xml:space="preserve"> betjene maskiner</w:t>
      </w:r>
    </w:p>
    <w:p w:rsidR="00604ED4" w:rsidRDefault="00604ED4" w:rsidP="00604ED4">
      <w:pPr>
        <w:ind w:left="851" w:hanging="851"/>
        <w:rPr>
          <w:sz w:val="24"/>
          <w:szCs w:val="24"/>
        </w:rPr>
      </w:pPr>
      <w:r w:rsidRPr="002250CB">
        <w:rPr>
          <w:sz w:val="24"/>
          <w:szCs w:val="24"/>
        </w:rPr>
        <w:tab/>
      </w:r>
      <w:r>
        <w:rPr>
          <w:sz w:val="24"/>
          <w:szCs w:val="24"/>
        </w:rPr>
        <w:t>Ikke mærkning.</w:t>
      </w:r>
    </w:p>
    <w:p w:rsidR="00604ED4" w:rsidRPr="002250CB" w:rsidRDefault="00604ED4" w:rsidP="00604ED4">
      <w:pPr>
        <w:ind w:left="851" w:hanging="851"/>
        <w:rPr>
          <w:sz w:val="24"/>
          <w:szCs w:val="24"/>
        </w:rPr>
      </w:pPr>
      <w:r>
        <w:rPr>
          <w:sz w:val="24"/>
          <w:szCs w:val="24"/>
        </w:rPr>
        <w:lastRenderedPageBreak/>
        <w:tab/>
      </w:r>
      <w:r w:rsidRPr="002250CB">
        <w:rPr>
          <w:sz w:val="24"/>
          <w:szCs w:val="24"/>
        </w:rPr>
        <w:t>Der er ikke foretaget studier af virkningen på evnen til at føre motorkøretøj og betjene maskiner.</w:t>
      </w:r>
    </w:p>
    <w:p w:rsidR="00604ED4" w:rsidRPr="002250CB" w:rsidRDefault="00604ED4" w:rsidP="00604ED4">
      <w:pPr>
        <w:rPr>
          <w:sz w:val="24"/>
          <w:szCs w:val="24"/>
        </w:rPr>
      </w:pPr>
    </w:p>
    <w:p w:rsidR="00604ED4" w:rsidRPr="002250CB" w:rsidRDefault="00604ED4" w:rsidP="00604ED4">
      <w:pPr>
        <w:ind w:left="851" w:hanging="851"/>
        <w:rPr>
          <w:b/>
          <w:sz w:val="24"/>
          <w:szCs w:val="24"/>
        </w:rPr>
      </w:pPr>
      <w:r w:rsidRPr="002250CB">
        <w:rPr>
          <w:b/>
          <w:sz w:val="24"/>
          <w:szCs w:val="24"/>
        </w:rPr>
        <w:t>4.8</w:t>
      </w:r>
      <w:r w:rsidRPr="002250CB">
        <w:rPr>
          <w:b/>
          <w:sz w:val="24"/>
          <w:szCs w:val="24"/>
        </w:rPr>
        <w:tab/>
        <w:t>Bivirkninger</w:t>
      </w:r>
    </w:p>
    <w:p w:rsidR="00BE4824" w:rsidRDefault="00604ED4" w:rsidP="00BE4824">
      <w:pPr>
        <w:ind w:left="851" w:hanging="851"/>
        <w:rPr>
          <w:sz w:val="24"/>
          <w:szCs w:val="24"/>
        </w:rPr>
      </w:pPr>
      <w:r w:rsidRPr="002250CB">
        <w:rPr>
          <w:sz w:val="24"/>
          <w:szCs w:val="24"/>
        </w:rPr>
        <w:tab/>
      </w:r>
      <w:r w:rsidR="00BE4824">
        <w:rPr>
          <w:sz w:val="24"/>
          <w:szCs w:val="24"/>
        </w:rPr>
        <w:t xml:space="preserve">De følgende bivirkninger er rapporteret under behandling af hiv-sygdom med </w:t>
      </w:r>
      <w:proofErr w:type="spellStart"/>
      <w:r w:rsidR="00BE4824">
        <w:rPr>
          <w:sz w:val="24"/>
          <w:szCs w:val="24"/>
        </w:rPr>
        <w:t>Lamivudin</w:t>
      </w:r>
      <w:proofErr w:type="spellEnd"/>
      <w:r w:rsidR="00BE4824">
        <w:rPr>
          <w:sz w:val="24"/>
          <w:szCs w:val="24"/>
        </w:rPr>
        <w:t xml:space="preserve"> ”Sandoz”.</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De bivirkninger, der anses for i det mindste at have en mulig relation til behandlingen, er anført nedenfor efter systemorganklasse og absolut hyppighed. Frekvenserne er defineret som meget almindelig (≥ 1/10), almindelig (≥ 1/100 til &lt; 1/10), ikke almindelig (≥ 1/1.000 til &lt; 1/100), sjælden (≥ 1/10.000 til &lt; 1/1.000) og meget sjælden (&lt; 1/10.000). Inden for hver enkelt frekvensgruppe er bivirkningerne opstillet efter, hvor alvorlige de er. De alvorligste bivirkninger er anført først.</w:t>
      </w:r>
    </w:p>
    <w:p w:rsidR="00604ED4" w:rsidRDefault="00604ED4" w:rsidP="00604ED4">
      <w:pPr>
        <w:ind w:left="851" w:hanging="851"/>
        <w:rPr>
          <w:sz w:val="24"/>
          <w:szCs w:val="24"/>
        </w:rPr>
      </w:pPr>
    </w:p>
    <w:p w:rsidR="00604ED4" w:rsidRDefault="00604ED4" w:rsidP="00604ED4">
      <w:pPr>
        <w:ind w:left="851"/>
        <w:rPr>
          <w:b/>
          <w:sz w:val="24"/>
          <w:szCs w:val="24"/>
        </w:rPr>
      </w:pPr>
      <w:r>
        <w:rPr>
          <w:b/>
          <w:sz w:val="24"/>
          <w:szCs w:val="24"/>
        </w:rPr>
        <w:t>Blod og lymfesystem</w:t>
      </w:r>
    </w:p>
    <w:p w:rsidR="00604ED4" w:rsidRDefault="00604ED4" w:rsidP="00604ED4">
      <w:pPr>
        <w:ind w:left="851"/>
        <w:rPr>
          <w:sz w:val="24"/>
          <w:szCs w:val="24"/>
        </w:rPr>
      </w:pPr>
      <w:r>
        <w:rPr>
          <w:i/>
          <w:sz w:val="24"/>
          <w:szCs w:val="24"/>
        </w:rPr>
        <w:t>Ikke almindelig:</w:t>
      </w:r>
      <w:r>
        <w:rPr>
          <w:sz w:val="24"/>
          <w:szCs w:val="24"/>
        </w:rPr>
        <w:t xml:space="preserve"> </w:t>
      </w:r>
      <w:r>
        <w:rPr>
          <w:sz w:val="24"/>
          <w:szCs w:val="24"/>
        </w:rPr>
        <w:tab/>
      </w:r>
      <w:proofErr w:type="spellStart"/>
      <w:r>
        <w:rPr>
          <w:sz w:val="24"/>
          <w:szCs w:val="24"/>
        </w:rPr>
        <w:t>Neutropeni</w:t>
      </w:r>
      <w:proofErr w:type="spellEnd"/>
      <w:r>
        <w:rPr>
          <w:sz w:val="24"/>
          <w:szCs w:val="24"/>
        </w:rPr>
        <w:t xml:space="preserve"> og anæmi (begge af og til alvorlige), </w:t>
      </w:r>
      <w:proofErr w:type="spellStart"/>
      <w:r>
        <w:rPr>
          <w:sz w:val="24"/>
          <w:szCs w:val="24"/>
        </w:rPr>
        <w:t>trombocytopeni</w:t>
      </w:r>
      <w:proofErr w:type="spellEnd"/>
      <w:r>
        <w:rPr>
          <w:sz w:val="24"/>
          <w:szCs w:val="24"/>
        </w:rPr>
        <w:t>.</w:t>
      </w:r>
    </w:p>
    <w:p w:rsidR="00604ED4" w:rsidRDefault="00604ED4" w:rsidP="00604ED4">
      <w:pPr>
        <w:ind w:left="851"/>
        <w:rPr>
          <w:sz w:val="24"/>
          <w:szCs w:val="24"/>
        </w:rPr>
      </w:pPr>
      <w:r>
        <w:rPr>
          <w:i/>
          <w:sz w:val="24"/>
          <w:szCs w:val="24"/>
        </w:rPr>
        <w:t>Meget sjælden:</w:t>
      </w:r>
      <w:r>
        <w:rPr>
          <w:sz w:val="24"/>
          <w:szCs w:val="24"/>
        </w:rPr>
        <w:t xml:space="preserve"> </w:t>
      </w:r>
      <w:r>
        <w:rPr>
          <w:sz w:val="24"/>
          <w:szCs w:val="24"/>
        </w:rPr>
        <w:tab/>
        <w:t xml:space="preserve">Ren </w:t>
      </w:r>
      <w:proofErr w:type="spellStart"/>
      <w:r>
        <w:rPr>
          <w:sz w:val="24"/>
          <w:szCs w:val="24"/>
        </w:rPr>
        <w:t>erytrocytaplasi</w:t>
      </w:r>
      <w:proofErr w:type="spellEnd"/>
      <w:r>
        <w:rPr>
          <w:sz w:val="24"/>
          <w:szCs w:val="24"/>
        </w:rPr>
        <w:t xml:space="preserve"> (</w:t>
      </w:r>
      <w:r>
        <w:rPr>
          <w:i/>
          <w:sz w:val="24"/>
          <w:szCs w:val="24"/>
        </w:rPr>
        <w:t xml:space="preserve">pure red </w:t>
      </w:r>
      <w:proofErr w:type="spellStart"/>
      <w:r>
        <w:rPr>
          <w:i/>
          <w:sz w:val="24"/>
          <w:szCs w:val="24"/>
        </w:rPr>
        <w:t>cell</w:t>
      </w:r>
      <w:proofErr w:type="spellEnd"/>
      <w:r>
        <w:rPr>
          <w:i/>
          <w:sz w:val="24"/>
          <w:szCs w:val="24"/>
        </w:rPr>
        <w:t xml:space="preserve"> </w:t>
      </w:r>
      <w:proofErr w:type="spellStart"/>
      <w:r>
        <w:rPr>
          <w:i/>
          <w:sz w:val="24"/>
          <w:szCs w:val="24"/>
        </w:rPr>
        <w:t>aplasia</w:t>
      </w:r>
      <w:proofErr w:type="spellEnd"/>
      <w:r>
        <w:rPr>
          <w:sz w:val="24"/>
          <w:szCs w:val="24"/>
        </w:rPr>
        <w:t>).</w:t>
      </w:r>
    </w:p>
    <w:p w:rsidR="00604ED4" w:rsidRDefault="00604ED4" w:rsidP="00604ED4">
      <w:pPr>
        <w:ind w:left="851"/>
        <w:rPr>
          <w:sz w:val="24"/>
          <w:szCs w:val="24"/>
        </w:rPr>
      </w:pPr>
    </w:p>
    <w:p w:rsidR="00604ED4" w:rsidRDefault="00604ED4" w:rsidP="00604ED4">
      <w:pPr>
        <w:tabs>
          <w:tab w:val="left" w:pos="3998"/>
        </w:tabs>
        <w:ind w:left="851"/>
        <w:rPr>
          <w:b/>
          <w:sz w:val="24"/>
          <w:szCs w:val="24"/>
        </w:rPr>
      </w:pPr>
      <w:r>
        <w:rPr>
          <w:rFonts w:eastAsia="Calibri"/>
          <w:b/>
          <w:bCs/>
          <w:sz w:val="24"/>
          <w:szCs w:val="24"/>
        </w:rPr>
        <w:t>Metabolisme og ernæring</w:t>
      </w:r>
    </w:p>
    <w:p w:rsidR="00BE4824" w:rsidRDefault="00BE4824" w:rsidP="00BE4824">
      <w:pPr>
        <w:ind w:left="851"/>
        <w:rPr>
          <w:rFonts w:eastAsia="Calibri"/>
          <w:sz w:val="24"/>
          <w:szCs w:val="24"/>
        </w:rPr>
      </w:pPr>
      <w:r>
        <w:rPr>
          <w:rFonts w:eastAsia="Calibri"/>
          <w:i/>
          <w:iCs/>
          <w:sz w:val="24"/>
          <w:szCs w:val="24"/>
        </w:rPr>
        <w:t>Meget sjælden:</w:t>
      </w:r>
      <w:r>
        <w:rPr>
          <w:rFonts w:eastAsia="Calibri"/>
          <w:sz w:val="24"/>
          <w:szCs w:val="24"/>
        </w:rPr>
        <w:t xml:space="preserve"> </w:t>
      </w:r>
      <w:r>
        <w:rPr>
          <w:rFonts w:eastAsia="Calibri"/>
          <w:sz w:val="24"/>
          <w:szCs w:val="24"/>
        </w:rPr>
        <w:tab/>
      </w:r>
      <w:proofErr w:type="spellStart"/>
      <w:r>
        <w:rPr>
          <w:rFonts w:eastAsia="Calibri"/>
          <w:sz w:val="24"/>
          <w:szCs w:val="24"/>
        </w:rPr>
        <w:t>Laktacidose</w:t>
      </w:r>
      <w:proofErr w:type="spellEnd"/>
      <w:r>
        <w:rPr>
          <w:rFonts w:eastAsia="Calibri"/>
          <w:sz w:val="24"/>
          <w:szCs w:val="24"/>
        </w:rPr>
        <w:t>.</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Nervesystemet</w:t>
      </w:r>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t>Hovedpine, søvnløshed.</w:t>
      </w:r>
    </w:p>
    <w:p w:rsidR="00604ED4" w:rsidRDefault="00604ED4" w:rsidP="00604ED4">
      <w:pPr>
        <w:ind w:left="851"/>
        <w:rPr>
          <w:sz w:val="24"/>
          <w:szCs w:val="24"/>
        </w:rPr>
      </w:pPr>
      <w:r>
        <w:rPr>
          <w:i/>
          <w:sz w:val="24"/>
          <w:szCs w:val="24"/>
        </w:rPr>
        <w:t>Meget sjælden:</w:t>
      </w:r>
      <w:r>
        <w:rPr>
          <w:sz w:val="24"/>
          <w:szCs w:val="24"/>
        </w:rPr>
        <w:t xml:space="preserve"> </w:t>
      </w:r>
      <w:r>
        <w:rPr>
          <w:sz w:val="24"/>
          <w:szCs w:val="24"/>
        </w:rPr>
        <w:tab/>
        <w:t xml:space="preserve">Perifer </w:t>
      </w:r>
      <w:proofErr w:type="spellStart"/>
      <w:r>
        <w:rPr>
          <w:sz w:val="24"/>
          <w:szCs w:val="24"/>
        </w:rPr>
        <w:t>neuropati</w:t>
      </w:r>
      <w:proofErr w:type="spellEnd"/>
      <w:r>
        <w:rPr>
          <w:sz w:val="24"/>
          <w:szCs w:val="24"/>
        </w:rPr>
        <w:t xml:space="preserve"> (eller </w:t>
      </w:r>
      <w:proofErr w:type="spellStart"/>
      <w:r>
        <w:rPr>
          <w:sz w:val="24"/>
          <w:szCs w:val="24"/>
        </w:rPr>
        <w:t>paræstesi</w:t>
      </w:r>
      <w:proofErr w:type="spellEnd"/>
      <w:r>
        <w:rPr>
          <w:sz w:val="24"/>
          <w:szCs w:val="24"/>
        </w:rPr>
        <w:t>).</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 xml:space="preserve">Luftveje, thorax og </w:t>
      </w:r>
      <w:proofErr w:type="spellStart"/>
      <w:r>
        <w:rPr>
          <w:b/>
          <w:sz w:val="24"/>
          <w:szCs w:val="24"/>
        </w:rPr>
        <w:t>mediastinum</w:t>
      </w:r>
      <w:proofErr w:type="spellEnd"/>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t>Hoste, symptomer fra næsen.</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Mave-tarm-kanalen</w:t>
      </w:r>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t>Kvalme, opkastning, mavesmerter eller -kramper, diarré.</w:t>
      </w:r>
    </w:p>
    <w:p w:rsidR="00604ED4" w:rsidRDefault="00604ED4" w:rsidP="00604ED4">
      <w:pPr>
        <w:ind w:left="851"/>
        <w:rPr>
          <w:sz w:val="24"/>
          <w:szCs w:val="24"/>
        </w:rPr>
      </w:pPr>
      <w:r>
        <w:rPr>
          <w:i/>
          <w:sz w:val="24"/>
          <w:szCs w:val="24"/>
        </w:rPr>
        <w:t>Sjælden:</w:t>
      </w:r>
      <w:r>
        <w:rPr>
          <w:sz w:val="24"/>
          <w:szCs w:val="24"/>
        </w:rPr>
        <w:t xml:space="preserve"> </w:t>
      </w:r>
      <w:r>
        <w:rPr>
          <w:sz w:val="24"/>
          <w:szCs w:val="24"/>
        </w:rPr>
        <w:tab/>
      </w:r>
      <w:proofErr w:type="spellStart"/>
      <w:r>
        <w:rPr>
          <w:sz w:val="24"/>
          <w:szCs w:val="24"/>
        </w:rPr>
        <w:t>Pancreatitis</w:t>
      </w:r>
      <w:proofErr w:type="spellEnd"/>
      <w:r>
        <w:rPr>
          <w:sz w:val="24"/>
          <w:szCs w:val="24"/>
        </w:rPr>
        <w:t>, stigning i serumamylase.</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Lever og galdeveje</w:t>
      </w:r>
    </w:p>
    <w:p w:rsidR="00604ED4" w:rsidRDefault="00604ED4" w:rsidP="00604ED4">
      <w:pPr>
        <w:ind w:left="851"/>
        <w:rPr>
          <w:sz w:val="24"/>
          <w:szCs w:val="24"/>
        </w:rPr>
      </w:pPr>
      <w:r>
        <w:rPr>
          <w:i/>
          <w:sz w:val="24"/>
          <w:szCs w:val="24"/>
        </w:rPr>
        <w:t>Ikke almindelig:</w:t>
      </w:r>
      <w:r>
        <w:rPr>
          <w:sz w:val="24"/>
          <w:szCs w:val="24"/>
        </w:rPr>
        <w:t xml:space="preserve"> </w:t>
      </w:r>
      <w:r>
        <w:rPr>
          <w:sz w:val="24"/>
          <w:szCs w:val="24"/>
        </w:rPr>
        <w:tab/>
        <w:t>Midlertidige stigninger i leverenzymer (ASAT, ALAT).</w:t>
      </w:r>
    </w:p>
    <w:p w:rsidR="00604ED4" w:rsidRDefault="00604ED4" w:rsidP="00604ED4">
      <w:pPr>
        <w:ind w:left="851"/>
        <w:rPr>
          <w:sz w:val="24"/>
          <w:szCs w:val="24"/>
        </w:rPr>
      </w:pPr>
      <w:r>
        <w:rPr>
          <w:i/>
          <w:sz w:val="24"/>
          <w:szCs w:val="24"/>
        </w:rPr>
        <w:t>Sjælden:</w:t>
      </w:r>
      <w:r>
        <w:rPr>
          <w:sz w:val="24"/>
          <w:szCs w:val="24"/>
        </w:rPr>
        <w:t xml:space="preserve"> </w:t>
      </w:r>
      <w:r>
        <w:rPr>
          <w:sz w:val="24"/>
          <w:szCs w:val="24"/>
        </w:rPr>
        <w:tab/>
        <w:t>Hepatitis.</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Hud og subkutane væv</w:t>
      </w:r>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t xml:space="preserve">Udslæt, hårtab. </w:t>
      </w:r>
    </w:p>
    <w:p w:rsidR="00604ED4" w:rsidRDefault="00604ED4" w:rsidP="00604ED4">
      <w:pPr>
        <w:ind w:left="851"/>
        <w:rPr>
          <w:sz w:val="24"/>
          <w:szCs w:val="24"/>
        </w:rPr>
      </w:pPr>
      <w:r>
        <w:rPr>
          <w:i/>
          <w:sz w:val="24"/>
          <w:szCs w:val="24"/>
        </w:rPr>
        <w:t>Sjælden:</w:t>
      </w:r>
      <w:r>
        <w:rPr>
          <w:sz w:val="24"/>
          <w:szCs w:val="24"/>
        </w:rPr>
        <w:t xml:space="preserve"> </w:t>
      </w:r>
      <w:r>
        <w:rPr>
          <w:sz w:val="24"/>
          <w:szCs w:val="24"/>
        </w:rPr>
        <w:tab/>
      </w:r>
      <w:proofErr w:type="spellStart"/>
      <w:r>
        <w:rPr>
          <w:sz w:val="24"/>
          <w:szCs w:val="24"/>
        </w:rPr>
        <w:t>Angioødem</w:t>
      </w:r>
      <w:proofErr w:type="spellEnd"/>
      <w:r>
        <w:rPr>
          <w:sz w:val="24"/>
          <w:szCs w:val="24"/>
        </w:rPr>
        <w:t>.</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Knogler, led, muskler og bindevæv</w:t>
      </w:r>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r>
      <w:proofErr w:type="spellStart"/>
      <w:r>
        <w:rPr>
          <w:sz w:val="24"/>
          <w:szCs w:val="24"/>
        </w:rPr>
        <w:t>Artralgi</w:t>
      </w:r>
      <w:proofErr w:type="spellEnd"/>
      <w:r>
        <w:rPr>
          <w:sz w:val="24"/>
          <w:szCs w:val="24"/>
        </w:rPr>
        <w:t>, muskelforstyrrelser.</w:t>
      </w:r>
    </w:p>
    <w:p w:rsidR="00604ED4" w:rsidRDefault="00604ED4" w:rsidP="00604ED4">
      <w:pPr>
        <w:ind w:left="851"/>
        <w:rPr>
          <w:sz w:val="24"/>
          <w:szCs w:val="24"/>
        </w:rPr>
      </w:pPr>
      <w:r>
        <w:rPr>
          <w:i/>
          <w:sz w:val="24"/>
          <w:szCs w:val="24"/>
        </w:rPr>
        <w:t>Sjælden:</w:t>
      </w:r>
      <w:r>
        <w:rPr>
          <w:sz w:val="24"/>
          <w:szCs w:val="24"/>
        </w:rPr>
        <w:t xml:space="preserve"> </w:t>
      </w:r>
      <w:r>
        <w:rPr>
          <w:sz w:val="24"/>
          <w:szCs w:val="24"/>
        </w:rPr>
        <w:tab/>
      </w:r>
      <w:proofErr w:type="spellStart"/>
      <w:r>
        <w:rPr>
          <w:sz w:val="24"/>
          <w:szCs w:val="24"/>
        </w:rPr>
        <w:t>Rhabdomyolyse</w:t>
      </w:r>
      <w:proofErr w:type="spellEnd"/>
      <w:r>
        <w:rPr>
          <w:sz w:val="24"/>
          <w:szCs w:val="24"/>
        </w:rPr>
        <w:t>.</w:t>
      </w:r>
    </w:p>
    <w:p w:rsidR="00604ED4" w:rsidRDefault="00604ED4" w:rsidP="00604ED4">
      <w:pPr>
        <w:ind w:left="851"/>
        <w:rPr>
          <w:sz w:val="24"/>
          <w:szCs w:val="24"/>
        </w:rPr>
      </w:pPr>
    </w:p>
    <w:p w:rsidR="00604ED4" w:rsidRDefault="00604ED4" w:rsidP="00604ED4">
      <w:pPr>
        <w:ind w:left="851"/>
        <w:rPr>
          <w:b/>
          <w:sz w:val="24"/>
          <w:szCs w:val="24"/>
        </w:rPr>
      </w:pPr>
      <w:r>
        <w:rPr>
          <w:b/>
          <w:sz w:val="24"/>
          <w:szCs w:val="24"/>
        </w:rPr>
        <w:t>Almene symptomer og reaktioner på administrationsstedet</w:t>
      </w:r>
    </w:p>
    <w:p w:rsidR="00604ED4" w:rsidRDefault="00604ED4" w:rsidP="00604ED4">
      <w:pPr>
        <w:ind w:left="851"/>
        <w:rPr>
          <w:sz w:val="24"/>
          <w:szCs w:val="24"/>
        </w:rPr>
      </w:pPr>
      <w:r>
        <w:rPr>
          <w:i/>
          <w:sz w:val="24"/>
          <w:szCs w:val="24"/>
        </w:rPr>
        <w:t>Almindelig:</w:t>
      </w:r>
      <w:r>
        <w:rPr>
          <w:sz w:val="24"/>
          <w:szCs w:val="24"/>
        </w:rPr>
        <w:t xml:space="preserve"> </w:t>
      </w:r>
      <w:r>
        <w:rPr>
          <w:sz w:val="24"/>
          <w:szCs w:val="24"/>
        </w:rPr>
        <w:tab/>
        <w:t>Træthed, utilpashed, feber.</w:t>
      </w:r>
    </w:p>
    <w:p w:rsidR="00604ED4" w:rsidRDefault="00604ED4" w:rsidP="00604ED4">
      <w:pPr>
        <w:ind w:left="851"/>
        <w:rPr>
          <w:sz w:val="24"/>
          <w:szCs w:val="24"/>
        </w:rPr>
      </w:pPr>
    </w:p>
    <w:p w:rsidR="00604ED4" w:rsidRDefault="00604ED4" w:rsidP="00604ED4">
      <w:pPr>
        <w:ind w:left="851"/>
        <w:rPr>
          <w:rFonts w:eastAsia="Calibri"/>
          <w:sz w:val="24"/>
          <w:szCs w:val="24"/>
        </w:rPr>
      </w:pPr>
      <w:r>
        <w:rPr>
          <w:rFonts w:eastAsia="Calibri"/>
          <w:sz w:val="24"/>
          <w:szCs w:val="24"/>
        </w:rPr>
        <w:t xml:space="preserve">Kropsvægt og niveauerne af lipider og </w:t>
      </w:r>
      <w:proofErr w:type="spellStart"/>
      <w:r>
        <w:rPr>
          <w:rFonts w:eastAsia="Calibri"/>
          <w:sz w:val="24"/>
          <w:szCs w:val="24"/>
        </w:rPr>
        <w:t>glucose</w:t>
      </w:r>
      <w:proofErr w:type="spellEnd"/>
      <w:r>
        <w:rPr>
          <w:rFonts w:eastAsia="Calibri"/>
          <w:sz w:val="24"/>
          <w:szCs w:val="24"/>
        </w:rPr>
        <w:t xml:space="preserve"> i blodet kan stige under </w:t>
      </w:r>
      <w:proofErr w:type="spellStart"/>
      <w:r>
        <w:rPr>
          <w:rFonts w:eastAsia="Calibri"/>
          <w:sz w:val="24"/>
          <w:szCs w:val="24"/>
        </w:rPr>
        <w:t>antiretroviral</w:t>
      </w:r>
      <w:proofErr w:type="spellEnd"/>
      <w:r>
        <w:rPr>
          <w:rFonts w:eastAsia="Calibri"/>
          <w:sz w:val="24"/>
          <w:szCs w:val="24"/>
        </w:rPr>
        <w:t xml:space="preserve"> behandling (se pkt. 4.4).</w:t>
      </w:r>
    </w:p>
    <w:p w:rsidR="00604ED4" w:rsidRDefault="00604ED4" w:rsidP="00604ED4">
      <w:pPr>
        <w:ind w:left="851"/>
        <w:rPr>
          <w:sz w:val="24"/>
          <w:szCs w:val="24"/>
        </w:rPr>
      </w:pPr>
    </w:p>
    <w:p w:rsidR="00604ED4" w:rsidRDefault="00604ED4" w:rsidP="00604ED4">
      <w:pPr>
        <w:ind w:left="851"/>
        <w:rPr>
          <w:sz w:val="24"/>
          <w:szCs w:val="24"/>
        </w:rPr>
      </w:pPr>
      <w:r>
        <w:rPr>
          <w:sz w:val="24"/>
          <w:szCs w:val="24"/>
        </w:rPr>
        <w:lastRenderedPageBreak/>
        <w:t xml:space="preserve">Hos hiv-inficerede patienter med svær immuninsufficiens kan der ved påbegyndelse af </w:t>
      </w:r>
      <w:proofErr w:type="spellStart"/>
      <w:r>
        <w:rPr>
          <w:sz w:val="24"/>
          <w:szCs w:val="24"/>
        </w:rPr>
        <w:t>antiretroviral</w:t>
      </w:r>
      <w:proofErr w:type="spellEnd"/>
      <w:r>
        <w:rPr>
          <w:sz w:val="24"/>
          <w:szCs w:val="24"/>
        </w:rPr>
        <w:t xml:space="preserve"> kombinationsbehandling (CART) opstå en inflammatorisk reaktion på asymptomatiske eller residuale opportunistiske infektioner. Autoimmune lidelser (såsom Graves sygdom og autoimmun hepatitis) er også rapporteret at forekomme. Tiden til udbrud er imidlertid mere variabel og kan være mange måneder efter initiering af behandling (se pkt. 4.4).</w:t>
      </w:r>
    </w:p>
    <w:p w:rsidR="00604ED4" w:rsidRDefault="00604ED4" w:rsidP="00604ED4">
      <w:pPr>
        <w:ind w:left="851"/>
        <w:rPr>
          <w:sz w:val="24"/>
          <w:szCs w:val="24"/>
        </w:rPr>
      </w:pPr>
    </w:p>
    <w:p w:rsidR="00604ED4" w:rsidRDefault="00604ED4" w:rsidP="00604ED4">
      <w:pPr>
        <w:ind w:left="851"/>
        <w:rPr>
          <w:sz w:val="24"/>
          <w:szCs w:val="24"/>
        </w:rPr>
      </w:pPr>
      <w:r>
        <w:rPr>
          <w:sz w:val="24"/>
          <w:szCs w:val="24"/>
        </w:rPr>
        <w:t xml:space="preserve">Særligt hos patienter med generelt anerkendte risikofaktorer, fremskreden hiv-sygdom eller langvarig kombinationsbehandling med </w:t>
      </w:r>
      <w:proofErr w:type="spellStart"/>
      <w:r>
        <w:rPr>
          <w:sz w:val="24"/>
          <w:szCs w:val="24"/>
        </w:rPr>
        <w:t>antiretrovirale</w:t>
      </w:r>
      <w:proofErr w:type="spellEnd"/>
      <w:r>
        <w:rPr>
          <w:sz w:val="24"/>
          <w:szCs w:val="24"/>
        </w:rPr>
        <w:t xml:space="preserve"> lægemidler (CART) er der rapporteret om tilfælde af </w:t>
      </w:r>
      <w:proofErr w:type="spellStart"/>
      <w:r>
        <w:rPr>
          <w:sz w:val="24"/>
          <w:szCs w:val="24"/>
        </w:rPr>
        <w:t>osteonekrose</w:t>
      </w:r>
      <w:proofErr w:type="spellEnd"/>
      <w:r>
        <w:rPr>
          <w:sz w:val="24"/>
          <w:szCs w:val="24"/>
        </w:rPr>
        <w:t>. Hyppigheden heraf er ukendt (se pkt. 4.4).</w:t>
      </w:r>
    </w:p>
    <w:p w:rsidR="00604ED4" w:rsidRDefault="00604ED4" w:rsidP="00604ED4">
      <w:pPr>
        <w:ind w:left="851"/>
        <w:rPr>
          <w:sz w:val="24"/>
          <w:szCs w:val="24"/>
        </w:rPr>
      </w:pPr>
    </w:p>
    <w:p w:rsidR="00604ED4" w:rsidRDefault="00604ED4" w:rsidP="00604ED4">
      <w:pPr>
        <w:tabs>
          <w:tab w:val="left" w:pos="3555"/>
        </w:tabs>
        <w:ind w:left="851"/>
        <w:rPr>
          <w:i/>
          <w:sz w:val="24"/>
          <w:szCs w:val="24"/>
        </w:rPr>
      </w:pPr>
      <w:r>
        <w:rPr>
          <w:rFonts w:eastAsia="Calibri"/>
          <w:bCs/>
          <w:i/>
          <w:sz w:val="24"/>
          <w:szCs w:val="24"/>
        </w:rPr>
        <w:t>Pædiatrisk population</w:t>
      </w:r>
    </w:p>
    <w:p w:rsidR="00604ED4" w:rsidRDefault="00604ED4" w:rsidP="00604ED4">
      <w:pPr>
        <w:ind w:left="851"/>
        <w:rPr>
          <w:rFonts w:eastAsia="Calibri"/>
          <w:sz w:val="24"/>
          <w:szCs w:val="24"/>
        </w:rPr>
      </w:pPr>
      <w:r>
        <w:rPr>
          <w:rFonts w:eastAsia="Calibri"/>
          <w:sz w:val="24"/>
          <w:szCs w:val="24"/>
        </w:rPr>
        <w:t xml:space="preserve">1.206 hiv-inficerede pædiatriske patienter i alderen 3 måneder til 17 år blev inkluderet i ARROW-forsøget (COL105677), hvoraf 669 fik </w:t>
      </w:r>
      <w:proofErr w:type="spellStart"/>
      <w:r>
        <w:rPr>
          <w:rFonts w:eastAsia="Calibri"/>
          <w:sz w:val="24"/>
          <w:szCs w:val="24"/>
        </w:rPr>
        <w:t>abacavir</w:t>
      </w:r>
      <w:proofErr w:type="spellEnd"/>
      <w:r>
        <w:rPr>
          <w:rFonts w:eastAsia="Calibri"/>
          <w:sz w:val="24"/>
          <w:szCs w:val="24"/>
        </w:rPr>
        <w:t xml:space="preserve"> og </w:t>
      </w:r>
      <w:proofErr w:type="spellStart"/>
      <w:r>
        <w:rPr>
          <w:rFonts w:eastAsia="Calibri"/>
          <w:sz w:val="24"/>
          <w:szCs w:val="24"/>
        </w:rPr>
        <w:t>lamivudin</w:t>
      </w:r>
      <w:proofErr w:type="spellEnd"/>
      <w:r>
        <w:rPr>
          <w:rFonts w:eastAsia="Calibri"/>
          <w:sz w:val="24"/>
          <w:szCs w:val="24"/>
        </w:rPr>
        <w:t xml:space="preserve"> enten én eller to gange dagligt (se pkt. 5.1). Der er ikke fundet yderligere sikkerhedsmæssige forhold hos pædiatriske patienter, som får dosering enten én eller to gange dagligt, i forhold til voksne.</w:t>
      </w:r>
    </w:p>
    <w:p w:rsidR="00604ED4" w:rsidRDefault="00604ED4" w:rsidP="00604ED4">
      <w:pPr>
        <w:ind w:left="851"/>
        <w:rPr>
          <w:sz w:val="24"/>
          <w:szCs w:val="24"/>
        </w:rPr>
      </w:pPr>
    </w:p>
    <w:p w:rsidR="00604ED4" w:rsidRDefault="00604ED4" w:rsidP="00604ED4">
      <w:pPr>
        <w:autoSpaceDE w:val="0"/>
        <w:autoSpaceDN w:val="0"/>
        <w:adjustRightInd w:val="0"/>
        <w:ind w:left="851"/>
        <w:rPr>
          <w:sz w:val="24"/>
          <w:szCs w:val="24"/>
          <w:u w:val="single"/>
        </w:rPr>
      </w:pPr>
      <w:r>
        <w:rPr>
          <w:noProof/>
          <w:sz w:val="24"/>
          <w:szCs w:val="24"/>
          <w:u w:val="single"/>
        </w:rPr>
        <w:t>Indberetning af formodede bivirkninger</w:t>
      </w:r>
    </w:p>
    <w:p w:rsidR="00604ED4" w:rsidRDefault="00604ED4" w:rsidP="00604ED4">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377369">
        <w:rPr>
          <w:noProof/>
          <w:sz w:val="24"/>
          <w:szCs w:val="24"/>
        </w:rPr>
        <w:t>S</w:t>
      </w:r>
      <w:r>
        <w:rPr>
          <w:noProof/>
          <w:sz w:val="24"/>
          <w:szCs w:val="24"/>
        </w:rPr>
        <w:t>undhedsperson</w:t>
      </w:r>
      <w:r w:rsidR="00377369">
        <w:rPr>
          <w:noProof/>
          <w:sz w:val="24"/>
          <w:szCs w:val="24"/>
        </w:rPr>
        <w:t>er</w:t>
      </w:r>
      <w:r>
        <w:rPr>
          <w:noProof/>
          <w:sz w:val="24"/>
          <w:szCs w:val="24"/>
        </w:rPr>
        <w:t xml:space="preserve"> anmodes om at indberette alle formodede bivirkninger </w:t>
      </w:r>
      <w:r w:rsidR="006C3927">
        <w:rPr>
          <w:noProof/>
          <w:sz w:val="24"/>
          <w:szCs w:val="24"/>
        </w:rPr>
        <w:t>via:</w:t>
      </w:r>
    </w:p>
    <w:p w:rsidR="00604ED4" w:rsidRDefault="00604ED4" w:rsidP="00604ED4">
      <w:pPr>
        <w:ind w:left="851"/>
        <w:rPr>
          <w:noProof/>
          <w:sz w:val="24"/>
          <w:szCs w:val="24"/>
        </w:rPr>
      </w:pPr>
    </w:p>
    <w:p w:rsidR="00604ED4" w:rsidRDefault="00604ED4" w:rsidP="00604ED4">
      <w:pPr>
        <w:ind w:left="851"/>
        <w:rPr>
          <w:color w:val="000000"/>
          <w:sz w:val="24"/>
          <w:szCs w:val="24"/>
        </w:rPr>
      </w:pPr>
      <w:r>
        <w:rPr>
          <w:color w:val="000000"/>
          <w:sz w:val="24"/>
          <w:szCs w:val="24"/>
        </w:rPr>
        <w:t>Lægemiddelstyrelsen</w:t>
      </w:r>
    </w:p>
    <w:p w:rsidR="00604ED4" w:rsidRDefault="00604ED4" w:rsidP="00604ED4">
      <w:pPr>
        <w:ind w:left="851"/>
        <w:rPr>
          <w:color w:val="000000"/>
          <w:sz w:val="24"/>
          <w:szCs w:val="24"/>
        </w:rPr>
      </w:pPr>
      <w:r>
        <w:rPr>
          <w:color w:val="000000"/>
          <w:sz w:val="24"/>
          <w:szCs w:val="24"/>
        </w:rPr>
        <w:t>Axel Heides Gade 1</w:t>
      </w:r>
    </w:p>
    <w:p w:rsidR="00604ED4" w:rsidRDefault="00604ED4" w:rsidP="00604ED4">
      <w:pPr>
        <w:ind w:left="851"/>
        <w:rPr>
          <w:color w:val="000000"/>
          <w:sz w:val="24"/>
          <w:szCs w:val="24"/>
        </w:rPr>
      </w:pPr>
      <w:r>
        <w:rPr>
          <w:color w:val="000000"/>
          <w:sz w:val="24"/>
          <w:szCs w:val="24"/>
        </w:rPr>
        <w:t>DK-2300 København S</w:t>
      </w:r>
    </w:p>
    <w:p w:rsidR="00604ED4" w:rsidRPr="00425A82" w:rsidRDefault="00604ED4" w:rsidP="00604ED4">
      <w:pPr>
        <w:ind w:left="851"/>
        <w:rPr>
          <w:color w:val="000000"/>
          <w:sz w:val="24"/>
          <w:szCs w:val="24"/>
        </w:rPr>
      </w:pPr>
      <w:r w:rsidRPr="00425A82">
        <w:rPr>
          <w:color w:val="000000"/>
          <w:sz w:val="24"/>
          <w:szCs w:val="24"/>
        </w:rPr>
        <w:t xml:space="preserve">Websted: </w:t>
      </w:r>
      <w:hyperlink r:id="rId8" w:history="1">
        <w:r w:rsidRPr="00425A82">
          <w:rPr>
            <w:rStyle w:val="Hyperlink"/>
            <w:color w:val="000000"/>
            <w:szCs w:val="24"/>
          </w:rPr>
          <w:t>www.meldenbivirkning.dk</w:t>
        </w:r>
      </w:hyperlink>
      <w:r w:rsidRPr="00425A82">
        <w:rPr>
          <w:color w:val="000000"/>
          <w:sz w:val="24"/>
          <w:szCs w:val="24"/>
        </w:rPr>
        <w:t xml:space="preserve"> </w:t>
      </w:r>
    </w:p>
    <w:p w:rsidR="00604ED4" w:rsidRPr="00425A82" w:rsidRDefault="00604ED4" w:rsidP="00604ED4">
      <w:pPr>
        <w:ind w:left="851" w:hanging="851"/>
        <w:rPr>
          <w:szCs w:val="24"/>
        </w:rPr>
      </w:pPr>
    </w:p>
    <w:p w:rsidR="00604ED4" w:rsidRPr="002250CB" w:rsidRDefault="00604ED4" w:rsidP="00604ED4">
      <w:pPr>
        <w:ind w:left="851" w:hanging="851"/>
        <w:rPr>
          <w:b/>
          <w:sz w:val="24"/>
          <w:szCs w:val="24"/>
        </w:rPr>
      </w:pPr>
      <w:r w:rsidRPr="002250CB">
        <w:rPr>
          <w:b/>
          <w:sz w:val="24"/>
          <w:szCs w:val="24"/>
        </w:rPr>
        <w:t>4.9</w:t>
      </w:r>
      <w:r w:rsidRPr="002250CB">
        <w:rPr>
          <w:b/>
          <w:sz w:val="24"/>
          <w:szCs w:val="24"/>
        </w:rPr>
        <w:tab/>
        <w:t>Overdosering</w:t>
      </w:r>
    </w:p>
    <w:p w:rsidR="006C3927" w:rsidRDefault="00604ED4" w:rsidP="006C3927">
      <w:pPr>
        <w:ind w:left="851" w:hanging="851"/>
        <w:rPr>
          <w:sz w:val="24"/>
          <w:szCs w:val="24"/>
        </w:rPr>
      </w:pPr>
      <w:r w:rsidRPr="002250CB">
        <w:rPr>
          <w:sz w:val="24"/>
          <w:szCs w:val="24"/>
        </w:rPr>
        <w:tab/>
      </w:r>
      <w:r w:rsidR="006C3927">
        <w:rPr>
          <w:sz w:val="24"/>
          <w:szCs w:val="24"/>
        </w:rPr>
        <w:t xml:space="preserve">I akutte dyrestudier resulterede administration af meget høje doser </w:t>
      </w:r>
      <w:proofErr w:type="spellStart"/>
      <w:r w:rsidR="006C3927">
        <w:rPr>
          <w:sz w:val="24"/>
          <w:szCs w:val="24"/>
        </w:rPr>
        <w:t>lamivudin</w:t>
      </w:r>
      <w:proofErr w:type="spellEnd"/>
      <w:r w:rsidR="006C3927">
        <w:rPr>
          <w:sz w:val="24"/>
          <w:szCs w:val="24"/>
        </w:rPr>
        <w:t xml:space="preserve"> ikke i organtoksicitet. Der er ikke iagttaget særlige tegn eller symptomer i forbindelse med akut overdosering</w:t>
      </w:r>
      <w:r w:rsidR="006C3927" w:rsidRPr="001D1C85">
        <w:rPr>
          <w:sz w:val="24"/>
          <w:szCs w:val="24"/>
        </w:rPr>
        <w:t xml:space="preserve"> </w:t>
      </w:r>
      <w:r w:rsidR="006C3927">
        <w:rPr>
          <w:sz w:val="24"/>
          <w:szCs w:val="24"/>
        </w:rPr>
        <w:t xml:space="preserve">med </w:t>
      </w:r>
      <w:proofErr w:type="spellStart"/>
      <w:r w:rsidR="006C3927">
        <w:rPr>
          <w:sz w:val="24"/>
          <w:szCs w:val="24"/>
        </w:rPr>
        <w:t>lamivudin</w:t>
      </w:r>
      <w:proofErr w:type="spellEnd"/>
      <w:r w:rsidR="006C3927">
        <w:rPr>
          <w:sz w:val="24"/>
          <w:szCs w:val="24"/>
        </w:rPr>
        <w:t xml:space="preserve"> bortset fra dem, der er angivet som bivirkninger.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Hvis overdosering finder sted, bør patienten overvåges, og symptomatisk standardbehandling iværksættes om nødvendigt. Da </w:t>
      </w:r>
      <w:proofErr w:type="spellStart"/>
      <w:r>
        <w:rPr>
          <w:sz w:val="24"/>
          <w:szCs w:val="24"/>
        </w:rPr>
        <w:t>lamivudin</w:t>
      </w:r>
      <w:proofErr w:type="spellEnd"/>
      <w:r>
        <w:rPr>
          <w:sz w:val="24"/>
          <w:szCs w:val="24"/>
        </w:rPr>
        <w:t xml:space="preserve"> kan fjernes ved dialyse, kan kontinuerlig hæmodialyse benyttes ved behandling af overdosering, selvom dette ikke er undersøgt. </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4.10</w:t>
      </w:r>
      <w:r w:rsidRPr="002250CB">
        <w:rPr>
          <w:b/>
          <w:sz w:val="24"/>
          <w:szCs w:val="24"/>
        </w:rPr>
        <w:tab/>
        <w:t>Udlevering</w:t>
      </w:r>
    </w:p>
    <w:p w:rsidR="00604ED4" w:rsidRPr="002250CB" w:rsidRDefault="00604ED4" w:rsidP="00604ED4">
      <w:pPr>
        <w:ind w:left="851" w:hanging="851"/>
        <w:rPr>
          <w:sz w:val="24"/>
          <w:szCs w:val="24"/>
        </w:rPr>
      </w:pPr>
      <w:r w:rsidRPr="002250CB">
        <w:rPr>
          <w:sz w:val="24"/>
          <w:szCs w:val="24"/>
        </w:rPr>
        <w:tab/>
      </w:r>
      <w:r>
        <w:rPr>
          <w:sz w:val="24"/>
          <w:szCs w:val="24"/>
        </w:rPr>
        <w:t>BEGR – kun sygehuse.</w:t>
      </w:r>
    </w:p>
    <w:p w:rsidR="00604ED4" w:rsidRPr="002250CB" w:rsidRDefault="00604ED4" w:rsidP="00604ED4">
      <w:pPr>
        <w:ind w:left="851" w:hanging="851"/>
        <w:rPr>
          <w:sz w:val="24"/>
          <w:szCs w:val="24"/>
        </w:rPr>
      </w:pP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5.</w:t>
      </w:r>
      <w:r w:rsidRPr="002250CB">
        <w:rPr>
          <w:b/>
          <w:sz w:val="24"/>
          <w:szCs w:val="24"/>
        </w:rPr>
        <w:tab/>
        <w:t>FARMAKOLOGISKE EGENSKABER</w:t>
      </w:r>
    </w:p>
    <w:p w:rsidR="00604ED4" w:rsidRDefault="00604ED4" w:rsidP="00604ED4">
      <w:pPr>
        <w:ind w:left="851" w:hanging="851"/>
        <w:rPr>
          <w:sz w:val="24"/>
          <w:szCs w:val="24"/>
        </w:rPr>
      </w:pPr>
    </w:p>
    <w:p w:rsidR="00604ED4" w:rsidRDefault="00604ED4" w:rsidP="00604ED4">
      <w:pPr>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6C3927" w:rsidRDefault="00604ED4" w:rsidP="00604ED4">
      <w:pPr>
        <w:ind w:left="851" w:hanging="851"/>
        <w:rPr>
          <w:sz w:val="24"/>
          <w:szCs w:val="24"/>
        </w:rPr>
      </w:pPr>
      <w:r>
        <w:rPr>
          <w:sz w:val="24"/>
          <w:szCs w:val="24"/>
        </w:rPr>
        <w:tab/>
      </w:r>
      <w:proofErr w:type="spellStart"/>
      <w:r w:rsidR="006C3927">
        <w:rPr>
          <w:sz w:val="24"/>
          <w:szCs w:val="24"/>
        </w:rPr>
        <w:t>Farmakoterapeutisk</w:t>
      </w:r>
      <w:proofErr w:type="spellEnd"/>
      <w:r w:rsidR="006C3927">
        <w:rPr>
          <w:sz w:val="24"/>
          <w:szCs w:val="24"/>
        </w:rPr>
        <w:t xml:space="preserve"> klassifikation: </w:t>
      </w:r>
      <w:proofErr w:type="spellStart"/>
      <w:r w:rsidR="006C3927">
        <w:rPr>
          <w:sz w:val="24"/>
          <w:szCs w:val="24"/>
        </w:rPr>
        <w:t>Farmakoterapeutisk</w:t>
      </w:r>
      <w:proofErr w:type="spellEnd"/>
      <w:r w:rsidR="006C3927">
        <w:rPr>
          <w:sz w:val="24"/>
          <w:szCs w:val="24"/>
        </w:rPr>
        <w:t xml:space="preserve"> klassifikation: </w:t>
      </w:r>
      <w:proofErr w:type="spellStart"/>
      <w:r w:rsidR="006C3927">
        <w:rPr>
          <w:sz w:val="24"/>
          <w:szCs w:val="24"/>
        </w:rPr>
        <w:t>nukleosidanalog</w:t>
      </w:r>
      <w:proofErr w:type="spellEnd"/>
      <w:r w:rsidR="006C3927">
        <w:rPr>
          <w:sz w:val="24"/>
          <w:szCs w:val="24"/>
        </w:rPr>
        <w:t>.</w:t>
      </w:r>
    </w:p>
    <w:p w:rsidR="006C3927" w:rsidRPr="006C3927" w:rsidRDefault="006C3927" w:rsidP="00604ED4">
      <w:pPr>
        <w:ind w:left="851" w:hanging="851"/>
        <w:rPr>
          <w:sz w:val="24"/>
          <w:szCs w:val="24"/>
        </w:rPr>
      </w:pPr>
      <w:r>
        <w:rPr>
          <w:sz w:val="24"/>
          <w:szCs w:val="24"/>
        </w:rPr>
        <w:tab/>
        <w:t>ATC-kode: J05AF05</w:t>
      </w:r>
    </w:p>
    <w:p w:rsidR="006C3927" w:rsidRDefault="006C3927" w:rsidP="00604ED4">
      <w:pPr>
        <w:ind w:left="851" w:hanging="851"/>
        <w:rPr>
          <w:sz w:val="24"/>
          <w:szCs w:val="24"/>
          <w:u w:val="single"/>
        </w:rPr>
      </w:pPr>
    </w:p>
    <w:p w:rsidR="00604ED4" w:rsidRDefault="00604ED4" w:rsidP="006C3927">
      <w:pPr>
        <w:ind w:left="851"/>
        <w:rPr>
          <w:sz w:val="24"/>
          <w:szCs w:val="24"/>
          <w:u w:val="single"/>
        </w:rPr>
      </w:pPr>
      <w:r>
        <w:rPr>
          <w:sz w:val="24"/>
          <w:szCs w:val="24"/>
          <w:u w:val="single"/>
        </w:rPr>
        <w:t>Virkningsmekanisme</w:t>
      </w: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er en </w:t>
      </w:r>
      <w:proofErr w:type="spellStart"/>
      <w:r>
        <w:rPr>
          <w:sz w:val="24"/>
          <w:szCs w:val="24"/>
        </w:rPr>
        <w:t>nukleosidanalog</w:t>
      </w:r>
      <w:proofErr w:type="spellEnd"/>
      <w:r>
        <w:rPr>
          <w:sz w:val="24"/>
          <w:szCs w:val="24"/>
        </w:rPr>
        <w:t xml:space="preserve">, der er aktiv mod humant immundefektvirus (hiv) og hepatitis B-virus (HBV). Det </w:t>
      </w:r>
      <w:proofErr w:type="spellStart"/>
      <w:r>
        <w:rPr>
          <w:sz w:val="24"/>
          <w:szCs w:val="24"/>
        </w:rPr>
        <w:t>metaboliseres</w:t>
      </w:r>
      <w:proofErr w:type="spellEnd"/>
      <w:r>
        <w:rPr>
          <w:sz w:val="24"/>
          <w:szCs w:val="24"/>
        </w:rPr>
        <w:t xml:space="preserve"> intracellulært til den aktive del </w:t>
      </w:r>
      <w:proofErr w:type="spellStart"/>
      <w:r>
        <w:rPr>
          <w:sz w:val="24"/>
          <w:szCs w:val="24"/>
        </w:rPr>
        <w:t>lamivudin</w:t>
      </w:r>
      <w:proofErr w:type="spellEnd"/>
      <w:r>
        <w:rPr>
          <w:sz w:val="24"/>
          <w:szCs w:val="24"/>
        </w:rPr>
        <w:t xml:space="preserve"> 5'-triphosphat. Dets primære virkningsmekanisme er at afslutte kæden i viral revers </w:t>
      </w:r>
      <w:proofErr w:type="spellStart"/>
      <w:r>
        <w:rPr>
          <w:sz w:val="24"/>
          <w:szCs w:val="24"/>
        </w:rPr>
        <w:lastRenderedPageBreak/>
        <w:t>transkription</w:t>
      </w:r>
      <w:proofErr w:type="spellEnd"/>
      <w:r>
        <w:rPr>
          <w:sz w:val="24"/>
          <w:szCs w:val="24"/>
        </w:rPr>
        <w:t xml:space="preserve">. </w:t>
      </w:r>
      <w:proofErr w:type="spellStart"/>
      <w:r>
        <w:rPr>
          <w:sz w:val="24"/>
          <w:szCs w:val="24"/>
        </w:rPr>
        <w:t>Triphosphatet</w:t>
      </w:r>
      <w:proofErr w:type="spellEnd"/>
      <w:r>
        <w:rPr>
          <w:sz w:val="24"/>
          <w:szCs w:val="24"/>
        </w:rPr>
        <w:t xml:space="preserve"> hæmmer selektivt replikationen af hiv-1 og hiv-2 </w:t>
      </w:r>
      <w:r w:rsidR="00BE4824" w:rsidRPr="005B42CD">
        <w:rPr>
          <w:i/>
          <w:iCs/>
          <w:sz w:val="24"/>
          <w:szCs w:val="24"/>
        </w:rPr>
        <w:t xml:space="preserve">in </w:t>
      </w:r>
      <w:proofErr w:type="spellStart"/>
      <w:r w:rsidR="00BE4824" w:rsidRPr="005B42CD">
        <w:rPr>
          <w:i/>
          <w:iCs/>
          <w:sz w:val="24"/>
          <w:szCs w:val="24"/>
        </w:rPr>
        <w:t>vitro</w:t>
      </w:r>
      <w:proofErr w:type="spellEnd"/>
      <w:r>
        <w:rPr>
          <w:sz w:val="24"/>
          <w:szCs w:val="24"/>
        </w:rPr>
        <w:t xml:space="preserve">. Det er også aktivt mod </w:t>
      </w:r>
      <w:proofErr w:type="spellStart"/>
      <w:r>
        <w:rPr>
          <w:sz w:val="24"/>
          <w:szCs w:val="24"/>
        </w:rPr>
        <w:t>zidovudinresistente</w:t>
      </w:r>
      <w:proofErr w:type="spellEnd"/>
      <w:r>
        <w:rPr>
          <w:sz w:val="24"/>
          <w:szCs w:val="24"/>
        </w:rPr>
        <w:t xml:space="preserve"> kliniske hiv-</w:t>
      </w:r>
      <w:proofErr w:type="spellStart"/>
      <w:r>
        <w:rPr>
          <w:sz w:val="24"/>
          <w:szCs w:val="24"/>
        </w:rPr>
        <w:t>isolater</w:t>
      </w:r>
      <w:proofErr w:type="spellEnd"/>
      <w:r>
        <w:rPr>
          <w:sz w:val="24"/>
          <w:szCs w:val="24"/>
        </w:rPr>
        <w:t xml:space="preserve">. Der blev ikke observeret nogen antagonistiske effekter ved </w:t>
      </w:r>
      <w:proofErr w:type="spellStart"/>
      <w:r>
        <w:rPr>
          <w:sz w:val="24"/>
          <w:szCs w:val="24"/>
        </w:rPr>
        <w:t>lamivudin</w:t>
      </w:r>
      <w:proofErr w:type="spellEnd"/>
      <w:r>
        <w:rPr>
          <w:sz w:val="24"/>
          <w:szCs w:val="24"/>
        </w:rPr>
        <w:t xml:space="preserve"> og andre </w:t>
      </w:r>
      <w:proofErr w:type="spellStart"/>
      <w:r>
        <w:rPr>
          <w:sz w:val="24"/>
          <w:szCs w:val="24"/>
        </w:rPr>
        <w:t>antiretrovirale</w:t>
      </w:r>
      <w:proofErr w:type="spellEnd"/>
      <w:r>
        <w:rPr>
          <w:sz w:val="24"/>
          <w:szCs w:val="24"/>
        </w:rPr>
        <w:t xml:space="preserve"> lægemidler </w:t>
      </w:r>
      <w:r>
        <w:rPr>
          <w:i/>
          <w:sz w:val="24"/>
          <w:szCs w:val="24"/>
        </w:rPr>
        <w:t xml:space="preserve">in </w:t>
      </w:r>
      <w:proofErr w:type="spellStart"/>
      <w:r>
        <w:rPr>
          <w:i/>
          <w:sz w:val="24"/>
          <w:szCs w:val="24"/>
        </w:rPr>
        <w:t>vitro</w:t>
      </w:r>
      <w:proofErr w:type="spellEnd"/>
      <w:r>
        <w:rPr>
          <w:sz w:val="24"/>
          <w:szCs w:val="24"/>
        </w:rPr>
        <w:t xml:space="preserve"> (testede lægemidler: </w:t>
      </w:r>
      <w:proofErr w:type="spellStart"/>
      <w:r>
        <w:rPr>
          <w:sz w:val="24"/>
          <w:szCs w:val="24"/>
        </w:rPr>
        <w:t>abacavir</w:t>
      </w:r>
      <w:proofErr w:type="spellEnd"/>
      <w:r>
        <w:rPr>
          <w:sz w:val="24"/>
          <w:szCs w:val="24"/>
        </w:rPr>
        <w:t xml:space="preserve">, </w:t>
      </w:r>
      <w:proofErr w:type="spellStart"/>
      <w:r>
        <w:rPr>
          <w:sz w:val="24"/>
          <w:szCs w:val="24"/>
        </w:rPr>
        <w:t>didanosin</w:t>
      </w:r>
      <w:proofErr w:type="spellEnd"/>
      <w:r>
        <w:rPr>
          <w:sz w:val="24"/>
          <w:szCs w:val="24"/>
        </w:rPr>
        <w:t xml:space="preserve">, </w:t>
      </w:r>
      <w:proofErr w:type="spellStart"/>
      <w:r>
        <w:rPr>
          <w:sz w:val="24"/>
          <w:szCs w:val="24"/>
        </w:rPr>
        <w:t>nevirapin</w:t>
      </w:r>
      <w:proofErr w:type="spellEnd"/>
      <w:r>
        <w:rPr>
          <w:sz w:val="24"/>
          <w:szCs w:val="24"/>
        </w:rPr>
        <w:t xml:space="preserve"> og </w:t>
      </w:r>
      <w:proofErr w:type="spellStart"/>
      <w:r>
        <w:rPr>
          <w:sz w:val="24"/>
          <w:szCs w:val="24"/>
        </w:rPr>
        <w:t>zidovudin</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rPr>
          <w:rFonts w:eastAsia="Calibri"/>
          <w:sz w:val="24"/>
          <w:szCs w:val="24"/>
          <w:u w:val="single"/>
        </w:rPr>
      </w:pPr>
      <w:r>
        <w:rPr>
          <w:rFonts w:eastAsia="Calibri"/>
          <w:sz w:val="24"/>
          <w:szCs w:val="24"/>
          <w:u w:val="single"/>
        </w:rPr>
        <w:t>Resistens</w:t>
      </w:r>
    </w:p>
    <w:p w:rsidR="00604ED4" w:rsidRDefault="00604ED4" w:rsidP="00604ED4">
      <w:pPr>
        <w:ind w:left="851" w:hanging="851"/>
        <w:rPr>
          <w:sz w:val="24"/>
          <w:szCs w:val="24"/>
        </w:rPr>
      </w:pPr>
      <w:r>
        <w:rPr>
          <w:sz w:val="24"/>
          <w:szCs w:val="24"/>
        </w:rPr>
        <w:tab/>
        <w:t xml:space="preserve">Hiv-1-resistens over for </w:t>
      </w:r>
      <w:proofErr w:type="spellStart"/>
      <w:r>
        <w:rPr>
          <w:sz w:val="24"/>
          <w:szCs w:val="24"/>
        </w:rPr>
        <w:t>lamivudin</w:t>
      </w:r>
      <w:proofErr w:type="spellEnd"/>
      <w:r>
        <w:rPr>
          <w:sz w:val="24"/>
          <w:szCs w:val="24"/>
        </w:rPr>
        <w:t xml:space="preserve"> involverer udviklingen af M184V-aminosyreændringer tæt ved den aktive del af viral revers </w:t>
      </w:r>
      <w:proofErr w:type="spellStart"/>
      <w:r>
        <w:rPr>
          <w:sz w:val="24"/>
          <w:szCs w:val="24"/>
        </w:rPr>
        <w:t>transkriptase</w:t>
      </w:r>
      <w:proofErr w:type="spellEnd"/>
      <w:r>
        <w:rPr>
          <w:sz w:val="24"/>
          <w:szCs w:val="24"/>
        </w:rPr>
        <w:t xml:space="preserve"> (RT). Denne variant opstår både </w:t>
      </w:r>
      <w:r w:rsidR="00BE4824" w:rsidRPr="005B42CD">
        <w:rPr>
          <w:i/>
          <w:iCs/>
          <w:sz w:val="24"/>
          <w:szCs w:val="24"/>
        </w:rPr>
        <w:t xml:space="preserve">in </w:t>
      </w:r>
      <w:proofErr w:type="spellStart"/>
      <w:r w:rsidR="00BE4824" w:rsidRPr="005B42CD">
        <w:rPr>
          <w:i/>
          <w:iCs/>
          <w:sz w:val="24"/>
          <w:szCs w:val="24"/>
        </w:rPr>
        <w:t>vitro</w:t>
      </w:r>
      <w:proofErr w:type="spellEnd"/>
      <w:r w:rsidR="00BE4824">
        <w:rPr>
          <w:sz w:val="24"/>
          <w:szCs w:val="24"/>
        </w:rPr>
        <w:t xml:space="preserve"> </w:t>
      </w:r>
      <w:r>
        <w:rPr>
          <w:sz w:val="24"/>
          <w:szCs w:val="24"/>
        </w:rPr>
        <w:t xml:space="preserve">og hos hiv-1-inficerede patienter behandlet med </w:t>
      </w:r>
      <w:proofErr w:type="spellStart"/>
      <w:r>
        <w:rPr>
          <w:sz w:val="24"/>
          <w:szCs w:val="24"/>
        </w:rPr>
        <w:t>lamivudin</w:t>
      </w:r>
      <w:proofErr w:type="spellEnd"/>
      <w:r>
        <w:rPr>
          <w:sz w:val="24"/>
          <w:szCs w:val="24"/>
        </w:rPr>
        <w:t xml:space="preserve">-indeholdende </w:t>
      </w:r>
      <w:proofErr w:type="spellStart"/>
      <w:r>
        <w:rPr>
          <w:sz w:val="24"/>
          <w:szCs w:val="24"/>
        </w:rPr>
        <w:t>antiretroviral</w:t>
      </w:r>
      <w:proofErr w:type="spellEnd"/>
      <w:r>
        <w:rPr>
          <w:sz w:val="24"/>
          <w:szCs w:val="24"/>
        </w:rPr>
        <w:t xml:space="preserve"> behandling. M184V-mutanter udviser markant reduceret følsomhed over for </w:t>
      </w:r>
      <w:proofErr w:type="spellStart"/>
      <w:r>
        <w:rPr>
          <w:sz w:val="24"/>
          <w:szCs w:val="24"/>
        </w:rPr>
        <w:t>lamivudin</w:t>
      </w:r>
      <w:proofErr w:type="spellEnd"/>
      <w:r>
        <w:rPr>
          <w:sz w:val="24"/>
          <w:szCs w:val="24"/>
        </w:rPr>
        <w:t xml:space="preserve"> og udviser mindsket viral replikationskapacitet </w:t>
      </w:r>
      <w:r>
        <w:rPr>
          <w:i/>
          <w:sz w:val="24"/>
          <w:szCs w:val="24"/>
        </w:rPr>
        <w:t xml:space="preserve">in </w:t>
      </w:r>
      <w:proofErr w:type="spellStart"/>
      <w:r>
        <w:rPr>
          <w:i/>
          <w:sz w:val="24"/>
          <w:szCs w:val="24"/>
        </w:rPr>
        <w:t>vitro</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-studier tyder på, at </w:t>
      </w:r>
      <w:proofErr w:type="spellStart"/>
      <w:r>
        <w:rPr>
          <w:sz w:val="24"/>
          <w:szCs w:val="24"/>
        </w:rPr>
        <w:t>zidovudin</w:t>
      </w:r>
      <w:proofErr w:type="spellEnd"/>
      <w:r>
        <w:rPr>
          <w:sz w:val="24"/>
          <w:szCs w:val="24"/>
        </w:rPr>
        <w:t xml:space="preserve">-resistente </w:t>
      </w:r>
      <w:proofErr w:type="spellStart"/>
      <w:r>
        <w:rPr>
          <w:sz w:val="24"/>
          <w:szCs w:val="24"/>
        </w:rPr>
        <w:t>virusisolater</w:t>
      </w:r>
      <w:proofErr w:type="spellEnd"/>
      <w:r>
        <w:rPr>
          <w:sz w:val="24"/>
          <w:szCs w:val="24"/>
        </w:rPr>
        <w:t xml:space="preserve"> kan blive </w:t>
      </w:r>
      <w:proofErr w:type="spellStart"/>
      <w:r>
        <w:rPr>
          <w:sz w:val="24"/>
          <w:szCs w:val="24"/>
        </w:rPr>
        <w:t>zidovudin</w:t>
      </w:r>
      <w:proofErr w:type="spellEnd"/>
      <w:r>
        <w:rPr>
          <w:sz w:val="24"/>
          <w:szCs w:val="24"/>
        </w:rPr>
        <w:t xml:space="preserve">-følsomme, hvis de samtidig udvikler resistens over for </w:t>
      </w:r>
      <w:proofErr w:type="spellStart"/>
      <w:r>
        <w:rPr>
          <w:sz w:val="24"/>
          <w:szCs w:val="24"/>
        </w:rPr>
        <w:t>lamivudin</w:t>
      </w:r>
      <w:proofErr w:type="spellEnd"/>
      <w:r>
        <w:rPr>
          <w:sz w:val="24"/>
          <w:szCs w:val="24"/>
        </w:rPr>
        <w:t>. Den kliniske relevans af disse resultater er dog stadig ikke veldefineret.</w:t>
      </w:r>
    </w:p>
    <w:p w:rsidR="00604ED4" w:rsidRDefault="00604ED4" w:rsidP="00604ED4">
      <w:pPr>
        <w:ind w:left="851" w:hanging="851"/>
        <w:rPr>
          <w:sz w:val="24"/>
          <w:szCs w:val="24"/>
        </w:rPr>
      </w:pPr>
    </w:p>
    <w:p w:rsidR="00604ED4" w:rsidRDefault="00604ED4" w:rsidP="00604ED4">
      <w:pPr>
        <w:ind w:left="851" w:hanging="851"/>
        <w:rPr>
          <w:sz w:val="24"/>
          <w:szCs w:val="24"/>
        </w:rPr>
      </w:pPr>
      <w:r>
        <w:rPr>
          <w:i/>
          <w:sz w:val="24"/>
          <w:szCs w:val="24"/>
        </w:rPr>
        <w:tab/>
        <w:t xml:space="preserve">In </w:t>
      </w:r>
      <w:proofErr w:type="spellStart"/>
      <w:r>
        <w:rPr>
          <w:i/>
          <w:sz w:val="24"/>
          <w:szCs w:val="24"/>
        </w:rPr>
        <w:t>vitro</w:t>
      </w:r>
      <w:proofErr w:type="spellEnd"/>
      <w:r>
        <w:rPr>
          <w:sz w:val="24"/>
          <w:szCs w:val="24"/>
        </w:rPr>
        <w:t xml:space="preserve">-data tyder på, at fortsættelse af </w:t>
      </w:r>
      <w:proofErr w:type="spellStart"/>
      <w:r>
        <w:rPr>
          <w:sz w:val="24"/>
          <w:szCs w:val="24"/>
        </w:rPr>
        <w:t>lamivudin</w:t>
      </w:r>
      <w:proofErr w:type="spellEnd"/>
      <w:r>
        <w:rPr>
          <w:sz w:val="24"/>
          <w:szCs w:val="24"/>
        </w:rPr>
        <w:t xml:space="preserve"> i et </w:t>
      </w:r>
      <w:proofErr w:type="spellStart"/>
      <w:r>
        <w:rPr>
          <w:sz w:val="24"/>
          <w:szCs w:val="24"/>
        </w:rPr>
        <w:t>antiretroviralt</w:t>
      </w:r>
      <w:proofErr w:type="spellEnd"/>
      <w:r>
        <w:rPr>
          <w:sz w:val="24"/>
          <w:szCs w:val="24"/>
        </w:rPr>
        <w:t xml:space="preserve"> regime stadig kan udøve </w:t>
      </w:r>
      <w:proofErr w:type="spellStart"/>
      <w:r>
        <w:rPr>
          <w:sz w:val="24"/>
          <w:szCs w:val="24"/>
        </w:rPr>
        <w:t>antiretroviral</w:t>
      </w:r>
      <w:proofErr w:type="spellEnd"/>
      <w:r>
        <w:rPr>
          <w:sz w:val="24"/>
          <w:szCs w:val="24"/>
        </w:rPr>
        <w:t xml:space="preserve"> aktivitet til trods for udvikling af M184</w:t>
      </w:r>
      <w:proofErr w:type="gramStart"/>
      <w:r>
        <w:rPr>
          <w:sz w:val="24"/>
          <w:szCs w:val="24"/>
        </w:rPr>
        <w:t>V(</w:t>
      </w:r>
      <w:proofErr w:type="gramEnd"/>
      <w:r>
        <w:rPr>
          <w:sz w:val="24"/>
          <w:szCs w:val="24"/>
        </w:rPr>
        <w:t xml:space="preserve">formentlig på grund af svækkede vira). Den kliniske relevans af disse fund er ikke fastslået. De tilgængelige kliniske data er meget begrænsede og gør det ikke muligt at drage nogen pålidelige konklusioner. Behandling med følsomme </w:t>
      </w:r>
      <w:proofErr w:type="spellStart"/>
      <w:r>
        <w:rPr>
          <w:sz w:val="24"/>
          <w:szCs w:val="24"/>
        </w:rPr>
        <w:t>NRTI’er</w:t>
      </w:r>
      <w:proofErr w:type="spellEnd"/>
      <w:r>
        <w:rPr>
          <w:sz w:val="24"/>
          <w:szCs w:val="24"/>
        </w:rPr>
        <w:t xml:space="preserve"> vil under alle omstændigheder være at foretrække frem for at fortsætte behandling med </w:t>
      </w:r>
      <w:proofErr w:type="spellStart"/>
      <w:r>
        <w:rPr>
          <w:sz w:val="24"/>
          <w:szCs w:val="24"/>
        </w:rPr>
        <w:t>lamivudin</w:t>
      </w:r>
      <w:proofErr w:type="spellEnd"/>
      <w:r>
        <w:rPr>
          <w:sz w:val="24"/>
          <w:szCs w:val="24"/>
        </w:rPr>
        <w:t xml:space="preserve">. Ved fremkomst af M184V-mutationer bør man derfor kun overveje at fortsætte med </w:t>
      </w:r>
      <w:proofErr w:type="spellStart"/>
      <w:r>
        <w:rPr>
          <w:sz w:val="24"/>
          <w:szCs w:val="24"/>
        </w:rPr>
        <w:t>lamivudin</w:t>
      </w:r>
      <w:proofErr w:type="spellEnd"/>
      <w:r>
        <w:rPr>
          <w:sz w:val="24"/>
          <w:szCs w:val="24"/>
        </w:rPr>
        <w:t xml:space="preserve"> i tilfælde, hvor der ikke er andre virksomme </w:t>
      </w:r>
      <w:proofErr w:type="spellStart"/>
      <w:r>
        <w:rPr>
          <w:sz w:val="24"/>
          <w:szCs w:val="24"/>
        </w:rPr>
        <w:t>NRTI’er</w:t>
      </w:r>
      <w:proofErr w:type="spellEnd"/>
      <w:r>
        <w:rPr>
          <w:sz w:val="24"/>
          <w:szCs w:val="24"/>
        </w:rPr>
        <w:t xml:space="preserve"> til rådighed.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Krydsresistens overført af M184V TR er begrænset inden for klassen af </w:t>
      </w:r>
      <w:proofErr w:type="spellStart"/>
      <w:r>
        <w:rPr>
          <w:sz w:val="24"/>
          <w:szCs w:val="24"/>
        </w:rPr>
        <w:t>nukleosidinhibitorer</w:t>
      </w:r>
      <w:proofErr w:type="spellEnd"/>
      <w:r>
        <w:rPr>
          <w:sz w:val="24"/>
          <w:szCs w:val="24"/>
        </w:rPr>
        <w:t xml:space="preserve"> af antivirale stoffer. </w:t>
      </w:r>
      <w:proofErr w:type="spellStart"/>
      <w:r>
        <w:rPr>
          <w:sz w:val="24"/>
          <w:szCs w:val="24"/>
        </w:rPr>
        <w:t>Zidovudin</w:t>
      </w:r>
      <w:proofErr w:type="spellEnd"/>
      <w:r>
        <w:rPr>
          <w:sz w:val="24"/>
          <w:szCs w:val="24"/>
        </w:rPr>
        <w:t xml:space="preserve"> og </w:t>
      </w:r>
      <w:proofErr w:type="spellStart"/>
      <w:r>
        <w:rPr>
          <w:sz w:val="24"/>
          <w:szCs w:val="24"/>
        </w:rPr>
        <w:t>stavudin</w:t>
      </w:r>
      <w:proofErr w:type="spellEnd"/>
      <w:r>
        <w:rPr>
          <w:sz w:val="24"/>
          <w:szCs w:val="24"/>
        </w:rPr>
        <w:t xml:space="preserve"> beholder deres </w:t>
      </w:r>
      <w:proofErr w:type="spellStart"/>
      <w:r>
        <w:rPr>
          <w:sz w:val="24"/>
          <w:szCs w:val="24"/>
        </w:rPr>
        <w:t>antiretrovirale</w:t>
      </w:r>
      <w:proofErr w:type="spellEnd"/>
      <w:r>
        <w:rPr>
          <w:sz w:val="24"/>
          <w:szCs w:val="24"/>
        </w:rPr>
        <w:t xml:space="preserve"> aktivitet over for </w:t>
      </w:r>
      <w:proofErr w:type="spellStart"/>
      <w:r>
        <w:rPr>
          <w:sz w:val="24"/>
          <w:szCs w:val="24"/>
        </w:rPr>
        <w:t>lamivudinresistent</w:t>
      </w:r>
      <w:proofErr w:type="spellEnd"/>
      <w:r>
        <w:rPr>
          <w:sz w:val="24"/>
          <w:szCs w:val="24"/>
        </w:rPr>
        <w:t xml:space="preserve"> hiv-1. </w:t>
      </w:r>
      <w:proofErr w:type="spellStart"/>
      <w:r>
        <w:rPr>
          <w:sz w:val="24"/>
          <w:szCs w:val="24"/>
        </w:rPr>
        <w:t>Abacavir</w:t>
      </w:r>
      <w:proofErr w:type="spellEnd"/>
      <w:r>
        <w:rPr>
          <w:sz w:val="24"/>
          <w:szCs w:val="24"/>
        </w:rPr>
        <w:t xml:space="preserve"> beholder den </w:t>
      </w:r>
      <w:proofErr w:type="spellStart"/>
      <w:r>
        <w:rPr>
          <w:sz w:val="24"/>
          <w:szCs w:val="24"/>
        </w:rPr>
        <w:t>antiretrovirale</w:t>
      </w:r>
      <w:proofErr w:type="spellEnd"/>
      <w:r>
        <w:rPr>
          <w:sz w:val="24"/>
          <w:szCs w:val="24"/>
        </w:rPr>
        <w:t xml:space="preserve"> aktivitet over for </w:t>
      </w:r>
      <w:proofErr w:type="spellStart"/>
      <w:r>
        <w:rPr>
          <w:sz w:val="24"/>
          <w:szCs w:val="24"/>
        </w:rPr>
        <w:t>lamivudinresistent</w:t>
      </w:r>
      <w:proofErr w:type="spellEnd"/>
      <w:r>
        <w:rPr>
          <w:sz w:val="24"/>
          <w:szCs w:val="24"/>
        </w:rPr>
        <w:t xml:space="preserve"> hiv-1, der kun har M184V-mutationen. M184V RT-mutanten udviser et &lt; 4-folds fald i følsomheden over for </w:t>
      </w:r>
      <w:proofErr w:type="spellStart"/>
      <w:r>
        <w:rPr>
          <w:sz w:val="24"/>
          <w:szCs w:val="24"/>
        </w:rPr>
        <w:t>didanosin</w:t>
      </w:r>
      <w:proofErr w:type="spellEnd"/>
      <w:r>
        <w:rPr>
          <w:sz w:val="24"/>
          <w:szCs w:val="24"/>
        </w:rPr>
        <w:t xml:space="preserve">. Den kliniske betydning af disse fund kendes ikke. Test af følsomheden </w:t>
      </w:r>
      <w:r w:rsidR="00BE4824" w:rsidRPr="005B42CD">
        <w:rPr>
          <w:i/>
          <w:iCs/>
          <w:sz w:val="24"/>
          <w:szCs w:val="24"/>
        </w:rPr>
        <w:t xml:space="preserve">in </w:t>
      </w:r>
      <w:proofErr w:type="spellStart"/>
      <w:r w:rsidR="00BE4824" w:rsidRPr="005B42CD">
        <w:rPr>
          <w:i/>
          <w:iCs/>
          <w:sz w:val="24"/>
          <w:szCs w:val="24"/>
        </w:rPr>
        <w:t>vitro</w:t>
      </w:r>
      <w:proofErr w:type="spellEnd"/>
      <w:r w:rsidR="00BE4824">
        <w:rPr>
          <w:sz w:val="24"/>
          <w:szCs w:val="24"/>
        </w:rPr>
        <w:t xml:space="preserve"> </w:t>
      </w:r>
      <w:r>
        <w:rPr>
          <w:sz w:val="24"/>
          <w:szCs w:val="24"/>
        </w:rPr>
        <w:t xml:space="preserve">er ikke blevet standardiseret, og resultaterne kan variere afhængigt af de anvendte metoder.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udviser lav </w:t>
      </w:r>
      <w:proofErr w:type="spellStart"/>
      <w:r>
        <w:rPr>
          <w:sz w:val="24"/>
          <w:szCs w:val="24"/>
        </w:rPr>
        <w:t>cytotoksicitet</w:t>
      </w:r>
      <w:proofErr w:type="spellEnd"/>
      <w:r>
        <w:rPr>
          <w:sz w:val="24"/>
          <w:szCs w:val="24"/>
        </w:rPr>
        <w:t xml:space="preserve"> over for lymfocytter i perifert blod, over for etablerede lymfocyt- og </w:t>
      </w:r>
      <w:proofErr w:type="spellStart"/>
      <w:r>
        <w:rPr>
          <w:sz w:val="24"/>
          <w:szCs w:val="24"/>
        </w:rPr>
        <w:t>monocyt-makrofage</w:t>
      </w:r>
      <w:proofErr w:type="spellEnd"/>
      <w:r>
        <w:rPr>
          <w:sz w:val="24"/>
          <w:szCs w:val="24"/>
        </w:rPr>
        <w:t xml:space="preserve"> cellelinjer og over for forskellige </w:t>
      </w:r>
      <w:proofErr w:type="spellStart"/>
      <w:r>
        <w:rPr>
          <w:sz w:val="24"/>
          <w:szCs w:val="24"/>
        </w:rPr>
        <w:t>progenitorceller</w:t>
      </w:r>
      <w:proofErr w:type="spellEnd"/>
      <w:r>
        <w:rPr>
          <w:sz w:val="24"/>
          <w:szCs w:val="24"/>
        </w:rPr>
        <w:t xml:space="preserve"> i knoglemarven </w:t>
      </w:r>
      <w:r>
        <w:rPr>
          <w:i/>
          <w:sz w:val="24"/>
          <w:szCs w:val="24"/>
        </w:rPr>
        <w:t xml:space="preserve">in </w:t>
      </w:r>
      <w:proofErr w:type="spellStart"/>
      <w:r>
        <w:rPr>
          <w:i/>
          <w:sz w:val="24"/>
          <w:szCs w:val="24"/>
        </w:rPr>
        <w:t>vitro</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hanging="851"/>
        <w:rPr>
          <w:sz w:val="24"/>
          <w:szCs w:val="24"/>
          <w:u w:val="single"/>
        </w:rPr>
      </w:pPr>
      <w:r>
        <w:rPr>
          <w:i/>
          <w:sz w:val="24"/>
          <w:szCs w:val="24"/>
        </w:rPr>
        <w:tab/>
      </w:r>
      <w:r>
        <w:rPr>
          <w:sz w:val="24"/>
          <w:szCs w:val="24"/>
          <w:u w:val="single"/>
        </w:rPr>
        <w:t>Klinisk virkning og sikkerhed</w:t>
      </w:r>
    </w:p>
    <w:p w:rsidR="00604ED4" w:rsidRDefault="00604ED4" w:rsidP="00604ED4">
      <w:pPr>
        <w:ind w:left="851" w:hanging="851"/>
        <w:rPr>
          <w:i/>
          <w:sz w:val="24"/>
          <w:szCs w:val="24"/>
        </w:rPr>
      </w:pPr>
    </w:p>
    <w:p w:rsidR="00604ED4" w:rsidRDefault="00604ED4" w:rsidP="00604ED4">
      <w:pPr>
        <w:ind w:left="851" w:hanging="851"/>
        <w:rPr>
          <w:sz w:val="24"/>
          <w:szCs w:val="24"/>
        </w:rPr>
      </w:pPr>
      <w:r>
        <w:rPr>
          <w:sz w:val="24"/>
          <w:szCs w:val="24"/>
        </w:rPr>
        <w:tab/>
        <w:t xml:space="preserve">Kliniske studier har vist, at </w:t>
      </w:r>
      <w:proofErr w:type="spellStart"/>
      <w:r>
        <w:rPr>
          <w:sz w:val="24"/>
          <w:szCs w:val="24"/>
        </w:rPr>
        <w:t>lamivudin</w:t>
      </w:r>
      <w:proofErr w:type="spellEnd"/>
      <w:r>
        <w:rPr>
          <w:sz w:val="24"/>
          <w:szCs w:val="24"/>
        </w:rPr>
        <w:t xml:space="preserve"> i kombination med </w:t>
      </w:r>
      <w:proofErr w:type="spellStart"/>
      <w:r>
        <w:rPr>
          <w:sz w:val="24"/>
          <w:szCs w:val="24"/>
        </w:rPr>
        <w:t>zidovudin</w:t>
      </w:r>
      <w:proofErr w:type="spellEnd"/>
      <w:r>
        <w:rPr>
          <w:sz w:val="24"/>
          <w:szCs w:val="24"/>
        </w:rPr>
        <w:t xml:space="preserve"> kan reducere hiv-1-virusbyrden samt øge CD4-celletallet. Kliniske endepunktsdata indikerer, at </w:t>
      </w:r>
      <w:proofErr w:type="spellStart"/>
      <w:r>
        <w:rPr>
          <w:sz w:val="24"/>
          <w:szCs w:val="24"/>
        </w:rPr>
        <w:t>lamivudin</w:t>
      </w:r>
      <w:proofErr w:type="spellEnd"/>
      <w:r>
        <w:rPr>
          <w:sz w:val="24"/>
          <w:szCs w:val="24"/>
        </w:rPr>
        <w:t xml:space="preserve"> i kombination med </w:t>
      </w:r>
      <w:proofErr w:type="spellStart"/>
      <w:r>
        <w:rPr>
          <w:sz w:val="24"/>
          <w:szCs w:val="24"/>
        </w:rPr>
        <w:t>zidovudin</w:t>
      </w:r>
      <w:proofErr w:type="spellEnd"/>
      <w:r>
        <w:rPr>
          <w:sz w:val="24"/>
          <w:szCs w:val="24"/>
        </w:rPr>
        <w:t xml:space="preserve"> medfører en signifikant reduktion af risikoen for sygdomsprogression og dødeligheden.</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Kliniske studier har vist, at </w:t>
      </w:r>
      <w:proofErr w:type="spellStart"/>
      <w:r>
        <w:rPr>
          <w:sz w:val="24"/>
          <w:szCs w:val="24"/>
        </w:rPr>
        <w:t>lamivudin</w:t>
      </w:r>
      <w:proofErr w:type="spellEnd"/>
      <w:r>
        <w:rPr>
          <w:sz w:val="24"/>
          <w:szCs w:val="24"/>
        </w:rPr>
        <w:t xml:space="preserve"> plus </w:t>
      </w:r>
      <w:proofErr w:type="spellStart"/>
      <w:r>
        <w:rPr>
          <w:sz w:val="24"/>
          <w:szCs w:val="24"/>
        </w:rPr>
        <w:t>zidovudin</w:t>
      </w:r>
      <w:proofErr w:type="spellEnd"/>
      <w:r>
        <w:rPr>
          <w:sz w:val="24"/>
          <w:szCs w:val="24"/>
        </w:rPr>
        <w:t xml:space="preserve"> forsinker fremkomsten af </w:t>
      </w:r>
      <w:proofErr w:type="spellStart"/>
      <w:r>
        <w:rPr>
          <w:sz w:val="24"/>
          <w:szCs w:val="24"/>
        </w:rPr>
        <w:t>zidovudin</w:t>
      </w:r>
      <w:proofErr w:type="spellEnd"/>
      <w:r>
        <w:rPr>
          <w:sz w:val="24"/>
          <w:szCs w:val="24"/>
        </w:rPr>
        <w:t xml:space="preserve">-resistente </w:t>
      </w:r>
      <w:proofErr w:type="spellStart"/>
      <w:r>
        <w:rPr>
          <w:sz w:val="24"/>
          <w:szCs w:val="24"/>
        </w:rPr>
        <w:t>isolater</w:t>
      </w:r>
      <w:proofErr w:type="spellEnd"/>
      <w:r>
        <w:rPr>
          <w:sz w:val="24"/>
          <w:szCs w:val="24"/>
        </w:rPr>
        <w:t xml:space="preserve"> hos individer, som ikke tidligere har modtaget </w:t>
      </w:r>
      <w:proofErr w:type="spellStart"/>
      <w:r>
        <w:rPr>
          <w:sz w:val="24"/>
          <w:szCs w:val="24"/>
        </w:rPr>
        <w:t>antiretroviral</w:t>
      </w:r>
      <w:proofErr w:type="spellEnd"/>
      <w:r>
        <w:rPr>
          <w:sz w:val="24"/>
          <w:szCs w:val="24"/>
        </w:rPr>
        <w:t xml:space="preserve"> behandling.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er i vid udstrækning blevet anvendt som komponent i </w:t>
      </w:r>
      <w:proofErr w:type="spellStart"/>
      <w:r>
        <w:rPr>
          <w:sz w:val="24"/>
          <w:szCs w:val="24"/>
        </w:rPr>
        <w:t>antiretroviral</w:t>
      </w:r>
      <w:proofErr w:type="spellEnd"/>
      <w:r>
        <w:rPr>
          <w:sz w:val="24"/>
          <w:szCs w:val="24"/>
        </w:rPr>
        <w:t xml:space="preserve"> kombinationsbehandling i kombination med andre </w:t>
      </w:r>
      <w:proofErr w:type="spellStart"/>
      <w:r>
        <w:rPr>
          <w:sz w:val="24"/>
          <w:szCs w:val="24"/>
        </w:rPr>
        <w:t>antiretrovirale</w:t>
      </w:r>
      <w:proofErr w:type="spellEnd"/>
      <w:r>
        <w:rPr>
          <w:sz w:val="24"/>
          <w:szCs w:val="24"/>
        </w:rPr>
        <w:t xml:space="preserve"> stoffer fra den samme gruppe (</w:t>
      </w:r>
      <w:proofErr w:type="spellStart"/>
      <w:r>
        <w:rPr>
          <w:sz w:val="24"/>
          <w:szCs w:val="24"/>
        </w:rPr>
        <w:t>NRTI’er</w:t>
      </w:r>
      <w:proofErr w:type="spellEnd"/>
      <w:r>
        <w:rPr>
          <w:sz w:val="24"/>
          <w:szCs w:val="24"/>
        </w:rPr>
        <w:t>) eller fra andre grupper (</w:t>
      </w:r>
      <w:proofErr w:type="spellStart"/>
      <w:r>
        <w:rPr>
          <w:sz w:val="24"/>
          <w:szCs w:val="24"/>
        </w:rPr>
        <w:t>PI’er</w:t>
      </w:r>
      <w:proofErr w:type="spellEnd"/>
      <w:r>
        <w:rPr>
          <w:sz w:val="24"/>
          <w:szCs w:val="24"/>
        </w:rPr>
        <w:t>, non-</w:t>
      </w:r>
      <w:proofErr w:type="spellStart"/>
      <w:r>
        <w:rPr>
          <w:sz w:val="24"/>
          <w:szCs w:val="24"/>
        </w:rPr>
        <w:t>nukleoside</w:t>
      </w:r>
      <w:proofErr w:type="spellEnd"/>
      <w:r>
        <w:rPr>
          <w:sz w:val="24"/>
          <w:szCs w:val="24"/>
        </w:rPr>
        <w:t xml:space="preserve"> revers </w:t>
      </w:r>
      <w:proofErr w:type="spellStart"/>
      <w:r>
        <w:rPr>
          <w:sz w:val="24"/>
          <w:szCs w:val="24"/>
        </w:rPr>
        <w:t>transkriptasehæmmere</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rPr>
          <w:sz w:val="24"/>
          <w:szCs w:val="24"/>
        </w:rPr>
      </w:pPr>
      <w:r>
        <w:rPr>
          <w:sz w:val="24"/>
          <w:szCs w:val="24"/>
        </w:rPr>
        <w:lastRenderedPageBreak/>
        <w:t xml:space="preserve">Fund fra kliniske forsøg med pædiatriske patienter, der fik </w:t>
      </w:r>
      <w:proofErr w:type="spellStart"/>
      <w:r>
        <w:rPr>
          <w:sz w:val="24"/>
          <w:szCs w:val="24"/>
        </w:rPr>
        <w:t>lamivudin</w:t>
      </w:r>
      <w:proofErr w:type="spellEnd"/>
      <w:r>
        <w:rPr>
          <w:sz w:val="24"/>
          <w:szCs w:val="24"/>
        </w:rPr>
        <w:t xml:space="preserve"> i kombination med andre </w:t>
      </w:r>
      <w:proofErr w:type="spellStart"/>
      <w:r>
        <w:rPr>
          <w:sz w:val="24"/>
          <w:szCs w:val="24"/>
        </w:rPr>
        <w:t>antiretovirale</w:t>
      </w:r>
      <w:proofErr w:type="spellEnd"/>
      <w:r>
        <w:rPr>
          <w:sz w:val="24"/>
          <w:szCs w:val="24"/>
        </w:rPr>
        <w:t xml:space="preserve"> lægemidler (</w:t>
      </w:r>
      <w:proofErr w:type="spellStart"/>
      <w:r>
        <w:rPr>
          <w:sz w:val="24"/>
          <w:szCs w:val="24"/>
        </w:rPr>
        <w:t>abacavir</w:t>
      </w:r>
      <w:proofErr w:type="spellEnd"/>
      <w:r>
        <w:rPr>
          <w:sz w:val="24"/>
          <w:szCs w:val="24"/>
        </w:rPr>
        <w:t xml:space="preserve">, </w:t>
      </w:r>
      <w:proofErr w:type="spellStart"/>
      <w:r>
        <w:rPr>
          <w:sz w:val="24"/>
          <w:szCs w:val="24"/>
        </w:rPr>
        <w:t>nevirapin</w:t>
      </w:r>
      <w:proofErr w:type="spellEnd"/>
      <w:r>
        <w:rPr>
          <w:sz w:val="24"/>
          <w:szCs w:val="24"/>
        </w:rPr>
        <w:t>/</w:t>
      </w:r>
      <w:proofErr w:type="spellStart"/>
      <w:r>
        <w:rPr>
          <w:sz w:val="24"/>
          <w:szCs w:val="24"/>
        </w:rPr>
        <w:t>efavirenz</w:t>
      </w:r>
      <w:proofErr w:type="spellEnd"/>
      <w:r>
        <w:rPr>
          <w:sz w:val="24"/>
          <w:szCs w:val="24"/>
        </w:rPr>
        <w:t xml:space="preserve"> eller </w:t>
      </w:r>
      <w:proofErr w:type="spellStart"/>
      <w:r>
        <w:rPr>
          <w:sz w:val="24"/>
          <w:szCs w:val="24"/>
        </w:rPr>
        <w:t>zidovudin</w:t>
      </w:r>
      <w:proofErr w:type="spellEnd"/>
      <w:r>
        <w:rPr>
          <w:sz w:val="24"/>
          <w:szCs w:val="24"/>
        </w:rPr>
        <w:t>), har vist, at resistensprofilen set hos pædiatriske patienter svarer til den, der er set hos voksne, med henblik på forekomst af genotype substitutioner og deres relative frekvens.</w:t>
      </w:r>
    </w:p>
    <w:p w:rsidR="00604ED4" w:rsidRDefault="00604ED4" w:rsidP="00604ED4">
      <w:pPr>
        <w:ind w:left="851" w:hanging="851"/>
        <w:rPr>
          <w:sz w:val="24"/>
          <w:szCs w:val="24"/>
        </w:rPr>
      </w:pPr>
    </w:p>
    <w:p w:rsidR="00604ED4" w:rsidRDefault="00604ED4" w:rsidP="00604ED4">
      <w:pPr>
        <w:ind w:left="851"/>
        <w:rPr>
          <w:sz w:val="24"/>
          <w:szCs w:val="24"/>
        </w:rPr>
      </w:pPr>
      <w:r>
        <w:rPr>
          <w:sz w:val="24"/>
          <w:szCs w:val="24"/>
        </w:rPr>
        <w:t xml:space="preserve">Børn, der i kliniske forsøg fik </w:t>
      </w:r>
      <w:proofErr w:type="spellStart"/>
      <w:r>
        <w:rPr>
          <w:sz w:val="24"/>
          <w:szCs w:val="24"/>
        </w:rPr>
        <w:t>lamivudin</w:t>
      </w:r>
      <w:proofErr w:type="spellEnd"/>
      <w:r>
        <w:rPr>
          <w:sz w:val="24"/>
          <w:szCs w:val="24"/>
        </w:rPr>
        <w:t xml:space="preserve"> oral opløsning samtidig med andre </w:t>
      </w:r>
      <w:proofErr w:type="spellStart"/>
      <w:r>
        <w:rPr>
          <w:sz w:val="24"/>
          <w:szCs w:val="24"/>
        </w:rPr>
        <w:t>antiretrovirale</w:t>
      </w:r>
      <w:proofErr w:type="spellEnd"/>
      <w:r>
        <w:rPr>
          <w:sz w:val="24"/>
          <w:szCs w:val="24"/>
        </w:rPr>
        <w:t xml:space="preserve"> orale opløsninger, udviklede hyppigere viral resistens end børn, der fik tabletter (se beskrivelsen af den kliniske erfaring i pædiatrisk population (</w:t>
      </w:r>
      <w:proofErr w:type="gramStart"/>
      <w:r>
        <w:rPr>
          <w:sz w:val="24"/>
          <w:szCs w:val="24"/>
        </w:rPr>
        <w:t>ARROW studie</w:t>
      </w:r>
      <w:proofErr w:type="gramEnd"/>
      <w:r>
        <w:rPr>
          <w:sz w:val="24"/>
          <w:szCs w:val="24"/>
        </w:rPr>
        <w:t>) og pkt. 5.2).</w:t>
      </w:r>
    </w:p>
    <w:p w:rsidR="00604ED4" w:rsidRDefault="00604ED4" w:rsidP="00604ED4">
      <w:pPr>
        <w:ind w:left="851" w:hanging="851"/>
        <w:rPr>
          <w:sz w:val="24"/>
          <w:szCs w:val="24"/>
        </w:rPr>
      </w:pPr>
    </w:p>
    <w:p w:rsidR="00604ED4" w:rsidRDefault="00604ED4" w:rsidP="00604ED4">
      <w:pPr>
        <w:ind w:left="851"/>
        <w:rPr>
          <w:sz w:val="24"/>
          <w:szCs w:val="24"/>
        </w:rPr>
      </w:pPr>
      <w:proofErr w:type="spellStart"/>
      <w:r>
        <w:rPr>
          <w:sz w:val="24"/>
          <w:szCs w:val="24"/>
        </w:rPr>
        <w:t>Antiretroviral</w:t>
      </w:r>
      <w:proofErr w:type="spellEnd"/>
      <w:r>
        <w:rPr>
          <w:sz w:val="24"/>
          <w:szCs w:val="24"/>
        </w:rPr>
        <w:t xml:space="preserve"> </w:t>
      </w:r>
      <w:proofErr w:type="spellStart"/>
      <w:r>
        <w:rPr>
          <w:sz w:val="24"/>
          <w:szCs w:val="24"/>
        </w:rPr>
        <w:t>flerstofsbehandling</w:t>
      </w:r>
      <w:proofErr w:type="spellEnd"/>
      <w:r>
        <w:rPr>
          <w:sz w:val="24"/>
          <w:szCs w:val="24"/>
        </w:rPr>
        <w:t xml:space="preserve">, der inkluderer </w:t>
      </w:r>
      <w:proofErr w:type="spellStart"/>
      <w:r>
        <w:rPr>
          <w:sz w:val="24"/>
          <w:szCs w:val="24"/>
        </w:rPr>
        <w:t>lamivudin</w:t>
      </w:r>
      <w:proofErr w:type="spellEnd"/>
      <w:r>
        <w:rPr>
          <w:sz w:val="24"/>
          <w:szCs w:val="24"/>
        </w:rPr>
        <w:t xml:space="preserve">, har vist sig at være effektiv hos </w:t>
      </w:r>
      <w:proofErr w:type="spellStart"/>
      <w:r>
        <w:rPr>
          <w:sz w:val="24"/>
          <w:szCs w:val="24"/>
        </w:rPr>
        <w:t>antiretroviral</w:t>
      </w:r>
      <w:proofErr w:type="spellEnd"/>
      <w:r>
        <w:rPr>
          <w:sz w:val="24"/>
          <w:szCs w:val="24"/>
        </w:rPr>
        <w:t>-naive patienter såvel som hos patienter, der er smittet med virus, der indeholder M184V-mutationer.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Forholdet mellem </w:t>
      </w:r>
      <w:r>
        <w:rPr>
          <w:i/>
          <w:sz w:val="24"/>
          <w:szCs w:val="24"/>
        </w:rPr>
        <w:t xml:space="preserve">in </w:t>
      </w:r>
      <w:proofErr w:type="spellStart"/>
      <w:r>
        <w:rPr>
          <w:i/>
          <w:sz w:val="24"/>
          <w:szCs w:val="24"/>
        </w:rPr>
        <w:t>vitro</w:t>
      </w:r>
      <w:proofErr w:type="spellEnd"/>
      <w:r>
        <w:rPr>
          <w:sz w:val="24"/>
          <w:szCs w:val="24"/>
        </w:rPr>
        <w:t xml:space="preserve">-følsomheden af hiv over for </w:t>
      </w:r>
      <w:proofErr w:type="spellStart"/>
      <w:r>
        <w:rPr>
          <w:sz w:val="24"/>
          <w:szCs w:val="24"/>
        </w:rPr>
        <w:t>lamivudin</w:t>
      </w:r>
      <w:proofErr w:type="spellEnd"/>
      <w:r>
        <w:rPr>
          <w:sz w:val="24"/>
          <w:szCs w:val="24"/>
        </w:rPr>
        <w:t xml:space="preserve"> og det kliniske respons på </w:t>
      </w:r>
      <w:proofErr w:type="spellStart"/>
      <w:r>
        <w:rPr>
          <w:sz w:val="24"/>
          <w:szCs w:val="24"/>
        </w:rPr>
        <w:t>lamivudinholdig</w:t>
      </w:r>
      <w:proofErr w:type="spellEnd"/>
      <w:r>
        <w:rPr>
          <w:sz w:val="24"/>
          <w:szCs w:val="24"/>
        </w:rPr>
        <w:t xml:space="preserve"> behandling undersøges fortsat.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i en dosering på 100 mg én gang dagligt har vist sig også at være effektiv i behandlingen af voksne patienter med kronisk HBV-infektion (for detaljer vedrørende kliniske studier henvises til produktinformationen for </w:t>
      </w:r>
      <w:proofErr w:type="spellStart"/>
      <w:r>
        <w:rPr>
          <w:sz w:val="24"/>
          <w:szCs w:val="24"/>
        </w:rPr>
        <w:t>Lamivudine</w:t>
      </w:r>
      <w:proofErr w:type="spellEnd"/>
      <w:r>
        <w:rPr>
          <w:sz w:val="24"/>
          <w:szCs w:val="24"/>
        </w:rPr>
        <w:t xml:space="preserve"> ”Sandoz” 100 mg). Til behandling af hiv-infektion er det dog kun doser på 300 mg </w:t>
      </w:r>
      <w:proofErr w:type="spellStart"/>
      <w:r>
        <w:rPr>
          <w:sz w:val="24"/>
          <w:szCs w:val="24"/>
        </w:rPr>
        <w:t>lamivudin</w:t>
      </w:r>
      <w:proofErr w:type="spellEnd"/>
      <w:r>
        <w:rPr>
          <w:sz w:val="24"/>
          <w:szCs w:val="24"/>
        </w:rPr>
        <w:t xml:space="preserve"> dagligt (i kombination med andre </w:t>
      </w:r>
      <w:proofErr w:type="spellStart"/>
      <w:r>
        <w:rPr>
          <w:sz w:val="24"/>
          <w:szCs w:val="24"/>
        </w:rPr>
        <w:t>antiretrovirale</w:t>
      </w:r>
      <w:proofErr w:type="spellEnd"/>
      <w:r>
        <w:rPr>
          <w:sz w:val="24"/>
          <w:szCs w:val="24"/>
        </w:rPr>
        <w:t xml:space="preserve"> stoffer), der er påvist at være virkningsfulde.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er ikke specifikt undersøgt til behandling af hiv-patienter, som samtidig er smittet med HBV. </w:t>
      </w:r>
    </w:p>
    <w:p w:rsidR="00604ED4" w:rsidRDefault="00604ED4" w:rsidP="00604ED4">
      <w:pPr>
        <w:ind w:left="851" w:hanging="851"/>
        <w:rPr>
          <w:sz w:val="24"/>
          <w:szCs w:val="24"/>
        </w:rPr>
      </w:pPr>
    </w:p>
    <w:p w:rsidR="00604ED4" w:rsidRDefault="00604ED4" w:rsidP="00604ED4">
      <w:pPr>
        <w:ind w:left="851" w:hanging="851"/>
        <w:rPr>
          <w:sz w:val="24"/>
          <w:szCs w:val="24"/>
        </w:rPr>
      </w:pPr>
      <w:r>
        <w:rPr>
          <w:i/>
          <w:sz w:val="24"/>
          <w:szCs w:val="24"/>
        </w:rPr>
        <w:tab/>
        <w:t xml:space="preserve">Dosering én gang dagligt (300 mg én gang dagligt): </w:t>
      </w:r>
      <w:r>
        <w:rPr>
          <w:sz w:val="24"/>
          <w:szCs w:val="24"/>
        </w:rPr>
        <w:t xml:space="preserve">Et klinisk studie har vist, at der ikke er forskel på dosering af </w:t>
      </w:r>
      <w:proofErr w:type="spellStart"/>
      <w:r>
        <w:rPr>
          <w:sz w:val="24"/>
          <w:szCs w:val="24"/>
        </w:rPr>
        <w:t>lamivudin</w:t>
      </w:r>
      <w:proofErr w:type="spellEnd"/>
      <w:r>
        <w:rPr>
          <w:sz w:val="24"/>
          <w:szCs w:val="24"/>
        </w:rPr>
        <w:t xml:space="preserve"> 300 mg én gang dagligt og </w:t>
      </w:r>
      <w:proofErr w:type="spellStart"/>
      <w:r>
        <w:rPr>
          <w:sz w:val="24"/>
          <w:szCs w:val="24"/>
        </w:rPr>
        <w:t>lamivudin</w:t>
      </w:r>
      <w:proofErr w:type="spellEnd"/>
      <w:r>
        <w:rPr>
          <w:sz w:val="24"/>
          <w:szCs w:val="24"/>
        </w:rPr>
        <w:t xml:space="preserve"> 150 mg to gange dagligt. Disse resultater er opnået i en </w:t>
      </w:r>
      <w:proofErr w:type="spellStart"/>
      <w:r>
        <w:rPr>
          <w:sz w:val="24"/>
          <w:szCs w:val="24"/>
        </w:rPr>
        <w:t>antiretroviral</w:t>
      </w:r>
      <w:proofErr w:type="spellEnd"/>
      <w:r>
        <w:rPr>
          <w:sz w:val="24"/>
          <w:szCs w:val="24"/>
        </w:rPr>
        <w:t xml:space="preserve">-naiv population, primært bestående af asymptomatiske hiv-inficerede patienter (CDC-trin A). </w:t>
      </w:r>
    </w:p>
    <w:p w:rsidR="00604ED4" w:rsidRDefault="00604ED4" w:rsidP="00604ED4">
      <w:pPr>
        <w:ind w:left="851"/>
        <w:rPr>
          <w:rFonts w:eastAsia="Calibri"/>
          <w:i/>
          <w:iCs/>
          <w:sz w:val="24"/>
          <w:szCs w:val="24"/>
        </w:rPr>
      </w:pPr>
    </w:p>
    <w:p w:rsidR="00604ED4" w:rsidRDefault="00604ED4" w:rsidP="00604ED4">
      <w:pPr>
        <w:ind w:left="851"/>
        <w:rPr>
          <w:rFonts w:eastAsia="Calibri"/>
          <w:i/>
          <w:sz w:val="24"/>
          <w:szCs w:val="24"/>
        </w:rPr>
      </w:pPr>
      <w:r>
        <w:rPr>
          <w:rFonts w:eastAsia="Calibri"/>
          <w:i/>
          <w:iCs/>
          <w:sz w:val="24"/>
          <w:szCs w:val="24"/>
        </w:rPr>
        <w:t xml:space="preserve">Pædiatrisk population: </w:t>
      </w:r>
    </w:p>
    <w:p w:rsidR="00604ED4" w:rsidRDefault="00604ED4" w:rsidP="00604ED4">
      <w:pPr>
        <w:ind w:left="851"/>
        <w:rPr>
          <w:i/>
          <w:sz w:val="24"/>
          <w:szCs w:val="24"/>
        </w:rPr>
      </w:pPr>
    </w:p>
    <w:p w:rsidR="00604ED4" w:rsidRDefault="00604ED4" w:rsidP="00604ED4">
      <w:pPr>
        <w:ind w:left="851"/>
        <w:rPr>
          <w:rFonts w:eastAsia="Calibri"/>
          <w:sz w:val="24"/>
          <w:szCs w:val="24"/>
        </w:rPr>
      </w:pPr>
      <w:r>
        <w:rPr>
          <w:rFonts w:eastAsia="Calibri"/>
          <w:sz w:val="24"/>
          <w:szCs w:val="24"/>
        </w:rPr>
        <w:t xml:space="preserve">En randomiseret sammenligning af et </w:t>
      </w:r>
      <w:proofErr w:type="spellStart"/>
      <w:r>
        <w:rPr>
          <w:rFonts w:eastAsia="Calibri"/>
          <w:sz w:val="24"/>
          <w:szCs w:val="24"/>
        </w:rPr>
        <w:t>regimen</w:t>
      </w:r>
      <w:proofErr w:type="spellEnd"/>
      <w:r>
        <w:rPr>
          <w:rFonts w:eastAsia="Calibri"/>
          <w:sz w:val="24"/>
          <w:szCs w:val="24"/>
        </w:rPr>
        <w:t xml:space="preserve"> med dosering af </w:t>
      </w:r>
      <w:proofErr w:type="spellStart"/>
      <w:r>
        <w:rPr>
          <w:rFonts w:eastAsia="Calibri"/>
          <w:sz w:val="24"/>
          <w:szCs w:val="24"/>
        </w:rPr>
        <w:t>abacavir</w:t>
      </w:r>
      <w:proofErr w:type="spellEnd"/>
      <w:r>
        <w:rPr>
          <w:rFonts w:eastAsia="Calibri"/>
          <w:sz w:val="24"/>
          <w:szCs w:val="24"/>
        </w:rPr>
        <w:t xml:space="preserve"> og </w:t>
      </w:r>
      <w:proofErr w:type="spellStart"/>
      <w:r>
        <w:rPr>
          <w:rFonts w:eastAsia="Calibri"/>
          <w:sz w:val="24"/>
          <w:szCs w:val="24"/>
        </w:rPr>
        <w:t>lamivudin</w:t>
      </w:r>
      <w:proofErr w:type="spellEnd"/>
      <w:r>
        <w:rPr>
          <w:rFonts w:eastAsia="Calibri"/>
          <w:sz w:val="24"/>
          <w:szCs w:val="24"/>
        </w:rPr>
        <w:t xml:space="preserve"> én gang dagligt vs. to gange dagligt blev udført i et randomiseret, kontrolleret multicenter-studie af hiv-smittede pædiatriske patienter. 1.206 pædiatriske patienter i alderen 3 måneder til 17 år blev inkluderet i ARROW-forsøget (COL105677) og doseret i forhold til de anbefalede doseringer i vægtgrupper i Verdenssundhedsorganisationen WHO's behandlingsretningslinjer (</w:t>
      </w:r>
      <w:proofErr w:type="spellStart"/>
      <w:r>
        <w:rPr>
          <w:rFonts w:eastAsia="Calibri"/>
          <w:sz w:val="24"/>
          <w:szCs w:val="24"/>
        </w:rPr>
        <w:t>Antiretroviral</w:t>
      </w:r>
      <w:proofErr w:type="spellEnd"/>
      <w:r>
        <w:rPr>
          <w:rFonts w:eastAsia="Calibri"/>
          <w:sz w:val="24"/>
          <w:szCs w:val="24"/>
        </w:rPr>
        <w:t xml:space="preserve"> </w:t>
      </w:r>
      <w:proofErr w:type="spellStart"/>
      <w:r>
        <w:rPr>
          <w:rFonts w:eastAsia="Calibri"/>
          <w:sz w:val="24"/>
          <w:szCs w:val="24"/>
        </w:rPr>
        <w:t>therapy</w:t>
      </w:r>
      <w:proofErr w:type="spellEnd"/>
      <w:r>
        <w:rPr>
          <w:rFonts w:eastAsia="Calibri"/>
          <w:sz w:val="24"/>
          <w:szCs w:val="24"/>
        </w:rPr>
        <w:t xml:space="preserve"> of HIV </w:t>
      </w:r>
      <w:proofErr w:type="spellStart"/>
      <w:r>
        <w:rPr>
          <w:rFonts w:eastAsia="Calibri"/>
          <w:sz w:val="24"/>
          <w:szCs w:val="24"/>
        </w:rPr>
        <w:t>infection</w:t>
      </w:r>
      <w:proofErr w:type="spellEnd"/>
      <w:r>
        <w:rPr>
          <w:rFonts w:eastAsia="Calibri"/>
          <w:sz w:val="24"/>
          <w:szCs w:val="24"/>
        </w:rPr>
        <w:t xml:space="preserve"> in infants and </w:t>
      </w:r>
      <w:proofErr w:type="spellStart"/>
      <w:r>
        <w:rPr>
          <w:rFonts w:eastAsia="Calibri"/>
          <w:sz w:val="24"/>
          <w:szCs w:val="24"/>
        </w:rPr>
        <w:t>children</w:t>
      </w:r>
      <w:proofErr w:type="spellEnd"/>
      <w:r>
        <w:rPr>
          <w:rFonts w:eastAsia="Calibri"/>
          <w:sz w:val="24"/>
          <w:szCs w:val="24"/>
        </w:rPr>
        <w:t>, 2006 (</w:t>
      </w:r>
      <w:proofErr w:type="spellStart"/>
      <w:r>
        <w:rPr>
          <w:rFonts w:eastAsia="Calibri"/>
          <w:sz w:val="24"/>
          <w:szCs w:val="24"/>
        </w:rPr>
        <w:t>Antiretroviral</w:t>
      </w:r>
      <w:proofErr w:type="spellEnd"/>
      <w:r>
        <w:rPr>
          <w:rFonts w:eastAsia="Calibri"/>
          <w:sz w:val="24"/>
          <w:szCs w:val="24"/>
        </w:rPr>
        <w:t xml:space="preserve"> behandling af hiv-infektion hos spædbørn og børn, 2006)). Efter 36 uger på et </w:t>
      </w:r>
      <w:proofErr w:type="spellStart"/>
      <w:r>
        <w:rPr>
          <w:rFonts w:eastAsia="Calibri"/>
          <w:sz w:val="24"/>
          <w:szCs w:val="24"/>
        </w:rPr>
        <w:t>regimen</w:t>
      </w:r>
      <w:proofErr w:type="spellEnd"/>
      <w:r>
        <w:rPr>
          <w:rFonts w:eastAsia="Calibri"/>
          <w:sz w:val="24"/>
          <w:szCs w:val="24"/>
        </w:rPr>
        <w:t xml:space="preserve"> med </w:t>
      </w:r>
      <w:proofErr w:type="spellStart"/>
      <w:r>
        <w:rPr>
          <w:rFonts w:eastAsia="Calibri"/>
          <w:sz w:val="24"/>
          <w:szCs w:val="24"/>
        </w:rPr>
        <w:t>abacavir</w:t>
      </w:r>
      <w:proofErr w:type="spellEnd"/>
      <w:r>
        <w:rPr>
          <w:rFonts w:eastAsia="Calibri"/>
          <w:sz w:val="24"/>
          <w:szCs w:val="24"/>
        </w:rPr>
        <w:t xml:space="preserve"> og </w:t>
      </w:r>
      <w:proofErr w:type="spellStart"/>
      <w:r>
        <w:rPr>
          <w:rFonts w:eastAsia="Calibri"/>
          <w:sz w:val="24"/>
          <w:szCs w:val="24"/>
        </w:rPr>
        <w:t>lamivudin</w:t>
      </w:r>
      <w:proofErr w:type="spellEnd"/>
      <w:r>
        <w:rPr>
          <w:rFonts w:eastAsia="Calibri"/>
          <w:sz w:val="24"/>
          <w:szCs w:val="24"/>
        </w:rPr>
        <w:t xml:space="preserve"> to gange dagligt blev 669 egnede patienter randomiseret til enten at fortsætte doseringen to gange dagligt eller at skifte til </w:t>
      </w:r>
      <w:proofErr w:type="spellStart"/>
      <w:r>
        <w:rPr>
          <w:rFonts w:eastAsia="Calibri"/>
          <w:sz w:val="24"/>
          <w:szCs w:val="24"/>
        </w:rPr>
        <w:t>abacavir</w:t>
      </w:r>
      <w:proofErr w:type="spellEnd"/>
      <w:r>
        <w:rPr>
          <w:rFonts w:eastAsia="Calibri"/>
          <w:sz w:val="24"/>
          <w:szCs w:val="24"/>
        </w:rPr>
        <w:t xml:space="preserve"> og </w:t>
      </w:r>
      <w:proofErr w:type="spellStart"/>
      <w:r>
        <w:rPr>
          <w:rFonts w:eastAsia="Calibri"/>
          <w:sz w:val="24"/>
          <w:szCs w:val="24"/>
        </w:rPr>
        <w:t>lamivudin</w:t>
      </w:r>
      <w:proofErr w:type="spellEnd"/>
      <w:r>
        <w:rPr>
          <w:rFonts w:eastAsia="Calibri"/>
          <w:sz w:val="24"/>
          <w:szCs w:val="24"/>
        </w:rPr>
        <w:t xml:space="preserve"> én gang dagligt i mindst 96 uger. Det skal bemærkes, at der ikke er tilgængelige kliniske data for børn under et år fra dette studie. Resultaterne er sammenfattet i nedenstående tabel:</w:t>
      </w:r>
    </w:p>
    <w:p w:rsidR="00604ED4" w:rsidRDefault="00604ED4" w:rsidP="00604ED4">
      <w:pPr>
        <w:rPr>
          <w:rFonts w:eastAsia="Calibri"/>
          <w:sz w:val="24"/>
          <w:szCs w:val="24"/>
        </w:rPr>
      </w:pPr>
    </w:p>
    <w:p w:rsidR="00604ED4" w:rsidRDefault="00604ED4" w:rsidP="00604ED4">
      <w:pPr>
        <w:rPr>
          <w:rFonts w:eastAsia="Calibri"/>
          <w:b/>
          <w:bCs/>
          <w:sz w:val="24"/>
          <w:szCs w:val="24"/>
        </w:rPr>
      </w:pPr>
      <w:r>
        <w:rPr>
          <w:rFonts w:eastAsia="Calibri"/>
          <w:b/>
          <w:bCs/>
          <w:sz w:val="24"/>
          <w:szCs w:val="24"/>
        </w:rPr>
        <w:br w:type="page"/>
      </w:r>
    </w:p>
    <w:p w:rsidR="00604ED4" w:rsidRDefault="00604ED4" w:rsidP="00604ED4">
      <w:pPr>
        <w:ind w:left="851"/>
        <w:rPr>
          <w:rFonts w:eastAsia="Calibri"/>
          <w:b/>
          <w:sz w:val="24"/>
          <w:szCs w:val="24"/>
        </w:rPr>
      </w:pPr>
      <w:r>
        <w:rPr>
          <w:rFonts w:eastAsia="Calibri"/>
          <w:b/>
          <w:bCs/>
          <w:sz w:val="24"/>
          <w:szCs w:val="24"/>
        </w:rPr>
        <w:lastRenderedPageBreak/>
        <w:t xml:space="preserve">Virologisk respons baseret på plasma-HIV-1-RNA mindre end 80 kopier/ml i uge 48 og uge 96 ved </w:t>
      </w:r>
      <w:proofErr w:type="spellStart"/>
      <w:r>
        <w:rPr>
          <w:rFonts w:eastAsia="Calibri"/>
          <w:b/>
          <w:bCs/>
          <w:sz w:val="24"/>
          <w:szCs w:val="24"/>
        </w:rPr>
        <w:t>randomisering</w:t>
      </w:r>
      <w:proofErr w:type="spellEnd"/>
      <w:r>
        <w:rPr>
          <w:rFonts w:eastAsia="Calibri"/>
          <w:b/>
          <w:bCs/>
          <w:sz w:val="24"/>
          <w:szCs w:val="24"/>
        </w:rPr>
        <w:t xml:space="preserve"> til én gang dagligt vs. to gange dagligt </w:t>
      </w:r>
      <w:proofErr w:type="spellStart"/>
      <w:r>
        <w:rPr>
          <w:rFonts w:eastAsia="Calibri"/>
          <w:b/>
          <w:bCs/>
          <w:sz w:val="24"/>
          <w:szCs w:val="24"/>
        </w:rPr>
        <w:t>abacavir</w:t>
      </w:r>
      <w:proofErr w:type="spellEnd"/>
      <w:r>
        <w:rPr>
          <w:rFonts w:eastAsia="Calibri"/>
          <w:b/>
          <w:bCs/>
          <w:sz w:val="24"/>
          <w:szCs w:val="24"/>
        </w:rPr>
        <w:t xml:space="preserve"> + </w:t>
      </w:r>
      <w:proofErr w:type="spellStart"/>
      <w:r>
        <w:rPr>
          <w:rFonts w:eastAsia="Calibri"/>
          <w:b/>
          <w:bCs/>
          <w:sz w:val="24"/>
          <w:szCs w:val="24"/>
        </w:rPr>
        <w:t>lamivudin</w:t>
      </w:r>
      <w:proofErr w:type="spellEnd"/>
      <w:r>
        <w:rPr>
          <w:rFonts w:eastAsia="Calibri"/>
          <w:b/>
          <w:bCs/>
          <w:sz w:val="24"/>
          <w:szCs w:val="24"/>
        </w:rPr>
        <w:t xml:space="preserve"> i ARROW (observeret analyse)</w:t>
      </w:r>
    </w:p>
    <w:p w:rsidR="00604ED4" w:rsidRDefault="00604ED4" w:rsidP="00604ED4">
      <w:pPr>
        <w:rPr>
          <w:rFonts w:eastAsia="Calibri"/>
          <w:b/>
          <w:sz w:val="24"/>
          <w:szCs w:val="24"/>
        </w:rPr>
      </w:pPr>
    </w:p>
    <w:tbl>
      <w:tblPr>
        <w:tblW w:w="6833" w:type="dxa"/>
        <w:tblInd w:w="1304" w:type="dxa"/>
        <w:tblCellMar>
          <w:right w:w="115" w:type="dxa"/>
        </w:tblCellMar>
        <w:tblLook w:val="04A0" w:firstRow="1" w:lastRow="0" w:firstColumn="1" w:lastColumn="0" w:noHBand="0" w:noVBand="1"/>
      </w:tblPr>
      <w:tblGrid>
        <w:gridCol w:w="2357"/>
        <w:gridCol w:w="2268"/>
        <w:gridCol w:w="2208"/>
      </w:tblGrid>
      <w:tr w:rsidR="00604ED4" w:rsidTr="00AC7F65">
        <w:trPr>
          <w:trHeight w:val="646"/>
        </w:trPr>
        <w:tc>
          <w:tcPr>
            <w:tcW w:w="2357" w:type="dxa"/>
            <w:tcBorders>
              <w:top w:val="single" w:sz="4" w:space="0" w:color="000000"/>
              <w:left w:val="single" w:sz="4" w:space="0" w:color="000000"/>
              <w:bottom w:val="single" w:sz="4" w:space="0" w:color="000000"/>
              <w:right w:val="single" w:sz="4" w:space="0" w:color="000000"/>
            </w:tcBorders>
          </w:tcPr>
          <w:p w:rsidR="00604ED4" w:rsidRDefault="00604ED4" w:rsidP="00AC7F65">
            <w:pPr>
              <w:rPr>
                <w:rFonts w:eastAsia="Calibri"/>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386" w:right="326"/>
              <w:jc w:val="center"/>
              <w:rPr>
                <w:rFonts w:eastAsia="Calibri"/>
                <w:b/>
                <w:sz w:val="24"/>
                <w:szCs w:val="24"/>
              </w:rPr>
            </w:pPr>
            <w:r>
              <w:rPr>
                <w:rFonts w:eastAsia="Calibri"/>
                <w:b/>
                <w:bCs/>
                <w:sz w:val="24"/>
                <w:szCs w:val="24"/>
              </w:rPr>
              <w:t xml:space="preserve">To gange dagligt N (%) </w:t>
            </w:r>
          </w:p>
        </w:tc>
        <w:tc>
          <w:tcPr>
            <w:tcW w:w="220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386" w:right="326"/>
              <w:jc w:val="center"/>
              <w:rPr>
                <w:rFonts w:eastAsia="Calibri"/>
                <w:b/>
                <w:sz w:val="24"/>
                <w:szCs w:val="24"/>
              </w:rPr>
            </w:pPr>
            <w:r>
              <w:rPr>
                <w:rFonts w:eastAsia="Calibri"/>
                <w:b/>
                <w:bCs/>
                <w:sz w:val="24"/>
                <w:szCs w:val="24"/>
              </w:rPr>
              <w:t xml:space="preserve">En gang dagligt N (%) </w:t>
            </w:r>
          </w:p>
        </w:tc>
      </w:tr>
      <w:tr w:rsidR="00604ED4" w:rsidTr="00AC7F65">
        <w:trPr>
          <w:trHeight w:val="262"/>
        </w:trPr>
        <w:tc>
          <w:tcPr>
            <w:tcW w:w="6833" w:type="dxa"/>
            <w:gridSpan w:val="3"/>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b/>
                <w:sz w:val="24"/>
                <w:szCs w:val="24"/>
              </w:rPr>
            </w:pPr>
            <w:r>
              <w:rPr>
                <w:rFonts w:eastAsia="Calibri"/>
                <w:b/>
                <w:bCs/>
                <w:sz w:val="24"/>
                <w:szCs w:val="24"/>
              </w:rPr>
              <w:t>Uge 0 (efter ≥ 36 ugers behandling)</w:t>
            </w:r>
          </w:p>
        </w:tc>
      </w:tr>
      <w:tr w:rsidR="00604ED4" w:rsidTr="00AC7F65">
        <w:trPr>
          <w:trHeight w:val="607"/>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lang w:val="sv-SE"/>
              </w:rPr>
            </w:pPr>
            <w:r>
              <w:rPr>
                <w:rFonts w:eastAsia="Calibri"/>
                <w:sz w:val="24"/>
                <w:szCs w:val="24"/>
                <w:lang w:val="sv-SE"/>
              </w:rPr>
              <w:t xml:space="preserve">Plasma-HIV-1-RNA &lt;80 k/ml </w:t>
            </w:r>
          </w:p>
        </w:tc>
        <w:tc>
          <w:tcPr>
            <w:tcW w:w="226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250/331 (76) </w:t>
            </w:r>
          </w:p>
        </w:tc>
        <w:tc>
          <w:tcPr>
            <w:tcW w:w="220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line="256" w:lineRule="auto"/>
              <w:ind w:left="9"/>
              <w:jc w:val="center"/>
              <w:rPr>
                <w:rFonts w:eastAsia="Calibri"/>
                <w:sz w:val="24"/>
                <w:szCs w:val="24"/>
              </w:rPr>
            </w:pPr>
            <w:r>
              <w:rPr>
                <w:rFonts w:eastAsia="Calibri"/>
                <w:sz w:val="24"/>
                <w:szCs w:val="24"/>
              </w:rPr>
              <w:t xml:space="preserve">237/335 (71) </w:t>
            </w:r>
          </w:p>
        </w:tc>
      </w:tr>
      <w:tr w:rsidR="00604ED4" w:rsidTr="00AC7F65">
        <w:trPr>
          <w:trHeight w:val="516"/>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Risikoforskel (én gang dagligt/to gange dagligt) </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7"/>
              <w:rPr>
                <w:rFonts w:eastAsia="Calibri"/>
                <w:sz w:val="24"/>
                <w:szCs w:val="24"/>
              </w:rPr>
            </w:pPr>
            <w:r>
              <w:rPr>
                <w:rFonts w:eastAsia="Calibri"/>
                <w:sz w:val="24"/>
                <w:szCs w:val="24"/>
              </w:rPr>
              <w:t xml:space="preserve">-4,8 % (95 % CI -11,5 % til +1,9 %), p=0,16 </w:t>
            </w:r>
          </w:p>
        </w:tc>
      </w:tr>
      <w:tr w:rsidR="00604ED4" w:rsidTr="00AC7F65">
        <w:trPr>
          <w:trHeight w:val="264"/>
        </w:trPr>
        <w:tc>
          <w:tcPr>
            <w:tcW w:w="6833" w:type="dxa"/>
            <w:gridSpan w:val="3"/>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b/>
                <w:sz w:val="24"/>
                <w:szCs w:val="24"/>
              </w:rPr>
            </w:pPr>
            <w:r>
              <w:rPr>
                <w:rFonts w:eastAsia="Calibri"/>
                <w:b/>
                <w:bCs/>
                <w:sz w:val="24"/>
                <w:szCs w:val="24"/>
              </w:rPr>
              <w:t>Uge 48</w:t>
            </w:r>
          </w:p>
        </w:tc>
      </w:tr>
      <w:tr w:rsidR="00604ED4" w:rsidTr="00AC7F65">
        <w:trPr>
          <w:trHeight w:val="516"/>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lang w:val="sv-SE"/>
              </w:rPr>
            </w:pPr>
            <w:r>
              <w:rPr>
                <w:rFonts w:eastAsia="Calibri"/>
                <w:sz w:val="24"/>
                <w:szCs w:val="24"/>
                <w:lang w:val="sv-SE"/>
              </w:rPr>
              <w:t xml:space="preserve">Plasma-HIV-1-RNA &lt;80 k/ml </w:t>
            </w:r>
          </w:p>
        </w:tc>
        <w:tc>
          <w:tcPr>
            <w:tcW w:w="226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242/331 (73) </w:t>
            </w:r>
          </w:p>
        </w:tc>
        <w:tc>
          <w:tcPr>
            <w:tcW w:w="220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line="256" w:lineRule="auto"/>
              <w:ind w:left="9"/>
              <w:jc w:val="center"/>
              <w:rPr>
                <w:rFonts w:eastAsia="Calibri"/>
                <w:sz w:val="24"/>
                <w:szCs w:val="24"/>
              </w:rPr>
            </w:pPr>
            <w:r>
              <w:rPr>
                <w:rFonts w:eastAsia="Calibri"/>
                <w:sz w:val="24"/>
                <w:szCs w:val="24"/>
              </w:rPr>
              <w:t xml:space="preserve">236/330 (72) </w:t>
            </w:r>
          </w:p>
        </w:tc>
      </w:tr>
      <w:tr w:rsidR="00604ED4" w:rsidTr="00AC7F65">
        <w:trPr>
          <w:trHeight w:val="516"/>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Risikoforskel (én gang dagligt/to gange dagligt) </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7"/>
              <w:rPr>
                <w:rFonts w:eastAsia="Calibri"/>
                <w:sz w:val="24"/>
                <w:szCs w:val="24"/>
              </w:rPr>
            </w:pPr>
            <w:r>
              <w:rPr>
                <w:rFonts w:eastAsia="Calibri"/>
                <w:sz w:val="24"/>
                <w:szCs w:val="24"/>
              </w:rPr>
              <w:t xml:space="preserve">-1,6 % (95 % CI -8,4 % til +5,2 %), p=0,65 </w:t>
            </w:r>
          </w:p>
        </w:tc>
      </w:tr>
      <w:tr w:rsidR="00604ED4" w:rsidTr="00AC7F65">
        <w:trPr>
          <w:trHeight w:val="262"/>
        </w:trPr>
        <w:tc>
          <w:tcPr>
            <w:tcW w:w="6833" w:type="dxa"/>
            <w:gridSpan w:val="3"/>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b/>
                <w:sz w:val="24"/>
                <w:szCs w:val="24"/>
              </w:rPr>
            </w:pPr>
            <w:r>
              <w:rPr>
                <w:rFonts w:eastAsia="Calibri"/>
                <w:b/>
                <w:bCs/>
                <w:sz w:val="24"/>
                <w:szCs w:val="24"/>
              </w:rPr>
              <w:t>Uge 96</w:t>
            </w:r>
          </w:p>
        </w:tc>
      </w:tr>
      <w:tr w:rsidR="00604ED4" w:rsidTr="00AC7F65">
        <w:trPr>
          <w:trHeight w:val="516"/>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lang w:val="sv-SE"/>
              </w:rPr>
            </w:pPr>
            <w:r>
              <w:rPr>
                <w:rFonts w:eastAsia="Calibri"/>
                <w:sz w:val="24"/>
                <w:szCs w:val="24"/>
                <w:lang w:val="sv-SE"/>
              </w:rPr>
              <w:t xml:space="preserve">Plasma-HIV-1-RNA &lt;80 k/ml </w:t>
            </w:r>
          </w:p>
        </w:tc>
        <w:tc>
          <w:tcPr>
            <w:tcW w:w="226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234/326 (72) </w:t>
            </w:r>
          </w:p>
        </w:tc>
        <w:tc>
          <w:tcPr>
            <w:tcW w:w="220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line="256" w:lineRule="auto"/>
              <w:ind w:left="9"/>
              <w:jc w:val="center"/>
              <w:rPr>
                <w:rFonts w:eastAsia="Calibri"/>
                <w:sz w:val="24"/>
                <w:szCs w:val="24"/>
              </w:rPr>
            </w:pPr>
            <w:r>
              <w:rPr>
                <w:rFonts w:eastAsia="Calibri"/>
                <w:sz w:val="24"/>
                <w:szCs w:val="24"/>
              </w:rPr>
              <w:t xml:space="preserve">230/331 (69) </w:t>
            </w:r>
          </w:p>
        </w:tc>
      </w:tr>
      <w:tr w:rsidR="00604ED4" w:rsidTr="00AC7F65">
        <w:trPr>
          <w:trHeight w:val="518"/>
        </w:trPr>
        <w:tc>
          <w:tcPr>
            <w:tcW w:w="235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rPr>
                <w:rFonts w:eastAsia="Calibri"/>
                <w:sz w:val="24"/>
                <w:szCs w:val="24"/>
              </w:rPr>
            </w:pPr>
            <w:r>
              <w:rPr>
                <w:rFonts w:eastAsia="Calibri"/>
                <w:sz w:val="24"/>
                <w:szCs w:val="24"/>
              </w:rPr>
              <w:t xml:space="preserve">Risikoforskel (én gang dagligt/to gange dagligt) </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7"/>
              <w:rPr>
                <w:rFonts w:eastAsia="Calibri"/>
                <w:sz w:val="24"/>
                <w:szCs w:val="24"/>
              </w:rPr>
            </w:pPr>
            <w:r>
              <w:rPr>
                <w:rFonts w:eastAsia="Calibri"/>
                <w:sz w:val="24"/>
                <w:szCs w:val="24"/>
              </w:rPr>
              <w:t xml:space="preserve">-2,3 % (95 % CI -9,3 % til +4,7 %), p=0,52 </w:t>
            </w:r>
          </w:p>
        </w:tc>
      </w:tr>
    </w:tbl>
    <w:p w:rsidR="00604ED4" w:rsidRDefault="00604ED4" w:rsidP="00604ED4">
      <w:pPr>
        <w:rPr>
          <w:sz w:val="24"/>
          <w:szCs w:val="24"/>
        </w:rPr>
      </w:pPr>
    </w:p>
    <w:p w:rsidR="00604ED4" w:rsidRDefault="00604ED4" w:rsidP="00604ED4">
      <w:pPr>
        <w:ind w:left="851"/>
        <w:rPr>
          <w:rFonts w:eastAsia="Calibri"/>
          <w:sz w:val="24"/>
          <w:szCs w:val="24"/>
        </w:rPr>
      </w:pPr>
      <w:r>
        <w:rPr>
          <w:rFonts w:eastAsia="Calibri"/>
          <w:sz w:val="24"/>
          <w:szCs w:val="24"/>
        </w:rPr>
        <w:t xml:space="preserve">I et </w:t>
      </w:r>
      <w:proofErr w:type="spellStart"/>
      <w:r>
        <w:rPr>
          <w:rFonts w:eastAsia="Calibri"/>
          <w:sz w:val="24"/>
          <w:szCs w:val="24"/>
        </w:rPr>
        <w:t>farmakokinetisk</w:t>
      </w:r>
      <w:proofErr w:type="spellEnd"/>
      <w:r>
        <w:rPr>
          <w:rFonts w:eastAsia="Calibri"/>
          <w:sz w:val="24"/>
          <w:szCs w:val="24"/>
        </w:rPr>
        <w:t xml:space="preserve"> studie (PENTA 15) skiftede fire virologisk kontrollerede patienter under 12 måneder fra </w:t>
      </w:r>
      <w:proofErr w:type="spellStart"/>
      <w:r>
        <w:rPr>
          <w:rFonts w:eastAsia="Calibri"/>
          <w:sz w:val="24"/>
          <w:szCs w:val="24"/>
        </w:rPr>
        <w:t>abacavir</w:t>
      </w:r>
      <w:proofErr w:type="spellEnd"/>
      <w:r>
        <w:rPr>
          <w:rFonts w:eastAsia="Calibri"/>
          <w:sz w:val="24"/>
          <w:szCs w:val="24"/>
        </w:rPr>
        <w:t xml:space="preserve"> plus </w:t>
      </w:r>
      <w:proofErr w:type="spellStart"/>
      <w:r>
        <w:rPr>
          <w:rFonts w:eastAsia="Calibri"/>
          <w:sz w:val="24"/>
          <w:szCs w:val="24"/>
        </w:rPr>
        <w:t>lamivudin</w:t>
      </w:r>
      <w:proofErr w:type="spellEnd"/>
      <w:r>
        <w:rPr>
          <w:rFonts w:eastAsia="Calibri"/>
          <w:sz w:val="24"/>
          <w:szCs w:val="24"/>
        </w:rPr>
        <w:t xml:space="preserve"> oral opløsning to gange daglig til dosering én gang daglig. Tre patienter havde ikke-</w:t>
      </w:r>
      <w:proofErr w:type="spellStart"/>
      <w:r>
        <w:rPr>
          <w:rFonts w:eastAsia="Calibri"/>
          <w:sz w:val="24"/>
          <w:szCs w:val="24"/>
        </w:rPr>
        <w:t>detekterbar</w:t>
      </w:r>
      <w:proofErr w:type="spellEnd"/>
      <w:r>
        <w:rPr>
          <w:rFonts w:eastAsia="Calibri"/>
          <w:sz w:val="24"/>
          <w:szCs w:val="24"/>
        </w:rPr>
        <w:t xml:space="preserve"> virusmængde, og én havde HIV-RNA på 900 kopier/ml plasma ved uge 48. Ingen sikkerhedsproblemer blev observeret hos disse patienter. </w:t>
      </w:r>
    </w:p>
    <w:p w:rsidR="00604ED4" w:rsidRDefault="00604ED4" w:rsidP="00604ED4">
      <w:pPr>
        <w:ind w:left="851"/>
        <w:rPr>
          <w:rFonts w:eastAsia="Calibri"/>
          <w:sz w:val="24"/>
          <w:szCs w:val="24"/>
        </w:rPr>
      </w:pPr>
    </w:p>
    <w:p w:rsidR="00604ED4" w:rsidRDefault="00604ED4" w:rsidP="00604ED4">
      <w:pPr>
        <w:ind w:left="851"/>
        <w:rPr>
          <w:sz w:val="24"/>
          <w:szCs w:val="24"/>
        </w:rPr>
      </w:pPr>
      <w:proofErr w:type="spellStart"/>
      <w:r>
        <w:rPr>
          <w:rFonts w:eastAsia="Calibri"/>
          <w:sz w:val="24"/>
          <w:szCs w:val="24"/>
        </w:rPr>
        <w:t>Abacavir</w:t>
      </w:r>
      <w:proofErr w:type="spellEnd"/>
      <w:r>
        <w:rPr>
          <w:rFonts w:eastAsia="Calibri"/>
          <w:sz w:val="24"/>
          <w:szCs w:val="24"/>
        </w:rPr>
        <w:t xml:space="preserve"> + </w:t>
      </w:r>
      <w:proofErr w:type="spellStart"/>
      <w:r>
        <w:rPr>
          <w:rFonts w:eastAsia="Calibri"/>
          <w:sz w:val="24"/>
          <w:szCs w:val="24"/>
        </w:rPr>
        <w:t>lamivudin</w:t>
      </w:r>
      <w:proofErr w:type="spellEnd"/>
      <w:r>
        <w:rPr>
          <w:rFonts w:eastAsia="Calibri"/>
          <w:sz w:val="24"/>
          <w:szCs w:val="24"/>
        </w:rPr>
        <w:t>-gruppen, som fik én daglig dosis, blev påvist at være non-</w:t>
      </w:r>
      <w:proofErr w:type="spellStart"/>
      <w:r>
        <w:rPr>
          <w:rFonts w:eastAsia="Calibri"/>
          <w:sz w:val="24"/>
          <w:szCs w:val="24"/>
        </w:rPr>
        <w:t>inferior</w:t>
      </w:r>
      <w:proofErr w:type="spellEnd"/>
      <w:r>
        <w:rPr>
          <w:rFonts w:eastAsia="Calibri"/>
          <w:sz w:val="24"/>
          <w:szCs w:val="24"/>
        </w:rPr>
        <w:t xml:space="preserve"> til gruppen med 2 daglige doser ifølge den præspecificerede non-inferioritetsmargin på -12 % ved det primære endepunkt, som var &lt;80 kopier/ml ved uge 48, og ligeledes ved uge 96 (sekundært endepunkt) samt alle andre grænser testet (&lt; 200 kopier/ml, &lt; 400 kopier/ml, &lt; 1.000 kopier/ml), som alle var indenfor denne non-inferioritetsmargin. Subgruppe-analyse for </w:t>
      </w:r>
      <w:proofErr w:type="spellStart"/>
      <w:r>
        <w:rPr>
          <w:rFonts w:eastAsia="Calibri"/>
          <w:sz w:val="24"/>
          <w:szCs w:val="24"/>
        </w:rPr>
        <w:t>heterogenicitet</w:t>
      </w:r>
      <w:proofErr w:type="spellEnd"/>
      <w:r>
        <w:rPr>
          <w:rFonts w:eastAsia="Calibri"/>
          <w:sz w:val="24"/>
          <w:szCs w:val="24"/>
        </w:rPr>
        <w:t xml:space="preserve"> af én daglig dosis vs. 2 daglige doser viste ingen signifikant effekt af køn, alder eller virusmængde ved </w:t>
      </w:r>
      <w:proofErr w:type="spellStart"/>
      <w:r>
        <w:rPr>
          <w:rFonts w:eastAsia="Calibri"/>
          <w:sz w:val="24"/>
          <w:szCs w:val="24"/>
        </w:rPr>
        <w:t>randomisering</w:t>
      </w:r>
      <w:proofErr w:type="spellEnd"/>
      <w:r>
        <w:rPr>
          <w:rFonts w:eastAsia="Calibri"/>
          <w:sz w:val="24"/>
          <w:szCs w:val="24"/>
        </w:rPr>
        <w:t>. Konklusionerne understøttede non-inferioritet uanset analysemetode.</w:t>
      </w:r>
    </w:p>
    <w:p w:rsidR="00604ED4" w:rsidRDefault="00604ED4" w:rsidP="00604ED4">
      <w:pPr>
        <w:rPr>
          <w:sz w:val="24"/>
          <w:szCs w:val="24"/>
        </w:rPr>
      </w:pPr>
    </w:p>
    <w:p w:rsidR="00604ED4" w:rsidRDefault="00604ED4" w:rsidP="00604ED4">
      <w:pPr>
        <w:ind w:left="851"/>
        <w:rPr>
          <w:sz w:val="24"/>
          <w:szCs w:val="24"/>
        </w:rPr>
      </w:pPr>
      <w:r>
        <w:rPr>
          <w:sz w:val="24"/>
          <w:szCs w:val="24"/>
        </w:rPr>
        <w:t xml:space="preserve">På tidspunktet for </w:t>
      </w:r>
      <w:proofErr w:type="spellStart"/>
      <w:r>
        <w:rPr>
          <w:sz w:val="24"/>
          <w:szCs w:val="24"/>
        </w:rPr>
        <w:t>randomisering</w:t>
      </w:r>
      <w:proofErr w:type="spellEnd"/>
      <w:r>
        <w:rPr>
          <w:sz w:val="24"/>
          <w:szCs w:val="24"/>
        </w:rPr>
        <w:t xml:space="preserve"> til én gang daglig eller to gange daglig dosering (uge 0), havde de patienter som fik tabletformuleringen en højere virologisk responsrate end de patienter, der på et tidspunkt havde fået en flydende formulering. Disse forskelle blev set i hver undersøgt aldersgruppe. Forskellen i virologisk responsrate mellem tabletter og opløsning vedblev til uge 96 ved dosering én gang daglig.</w:t>
      </w:r>
    </w:p>
    <w:p w:rsidR="00604ED4" w:rsidRDefault="00604ED4" w:rsidP="00604ED4">
      <w:pPr>
        <w:ind w:left="851" w:hanging="851"/>
        <w:rPr>
          <w:sz w:val="24"/>
          <w:szCs w:val="24"/>
        </w:rPr>
      </w:pPr>
    </w:p>
    <w:p w:rsidR="00604ED4" w:rsidRDefault="00604ED4" w:rsidP="00604ED4">
      <w:pPr>
        <w:rPr>
          <w:b/>
          <w:bCs/>
          <w:sz w:val="24"/>
          <w:szCs w:val="24"/>
        </w:rPr>
      </w:pPr>
      <w:r>
        <w:rPr>
          <w:b/>
          <w:bCs/>
          <w:sz w:val="24"/>
          <w:szCs w:val="24"/>
        </w:rPr>
        <w:br w:type="page"/>
      </w:r>
    </w:p>
    <w:p w:rsidR="00604ED4" w:rsidRDefault="00604ED4" w:rsidP="00604ED4">
      <w:pPr>
        <w:ind w:left="851"/>
        <w:rPr>
          <w:b/>
          <w:bCs/>
          <w:sz w:val="24"/>
          <w:szCs w:val="24"/>
        </w:rPr>
      </w:pPr>
      <w:r>
        <w:rPr>
          <w:b/>
          <w:bCs/>
          <w:sz w:val="24"/>
          <w:szCs w:val="24"/>
        </w:rPr>
        <w:lastRenderedPageBreak/>
        <w:t xml:space="preserve">Andele af personer i én gang daglig </w:t>
      </w:r>
      <w:r>
        <w:rPr>
          <w:b/>
          <w:bCs/>
          <w:i/>
          <w:iCs/>
          <w:sz w:val="24"/>
          <w:szCs w:val="24"/>
        </w:rPr>
        <w:t xml:space="preserve">versus </w:t>
      </w:r>
      <w:r>
        <w:rPr>
          <w:b/>
          <w:bCs/>
          <w:sz w:val="24"/>
          <w:szCs w:val="24"/>
        </w:rPr>
        <w:t xml:space="preserve">to gange daglig </w:t>
      </w:r>
      <w:proofErr w:type="spellStart"/>
      <w:r>
        <w:rPr>
          <w:b/>
          <w:bCs/>
          <w:sz w:val="24"/>
          <w:szCs w:val="24"/>
        </w:rPr>
        <w:t>randomisering</w:t>
      </w:r>
      <w:proofErr w:type="spellEnd"/>
      <w:r>
        <w:rPr>
          <w:b/>
          <w:bCs/>
          <w:sz w:val="24"/>
          <w:szCs w:val="24"/>
        </w:rPr>
        <w:t xml:space="preserve"> til </w:t>
      </w:r>
      <w:proofErr w:type="spellStart"/>
      <w:r>
        <w:rPr>
          <w:b/>
          <w:bCs/>
          <w:sz w:val="24"/>
          <w:szCs w:val="24"/>
        </w:rPr>
        <w:t>abacavir+lamivudine</w:t>
      </w:r>
      <w:proofErr w:type="spellEnd"/>
      <w:r>
        <w:rPr>
          <w:b/>
          <w:bCs/>
          <w:sz w:val="24"/>
          <w:szCs w:val="24"/>
        </w:rPr>
        <w:t xml:space="preserve"> af ARROW med plasma hiv-1 RNA &lt; 80 kopier/ml: Subgruppeanalyse efter formulering</w:t>
      </w:r>
    </w:p>
    <w:p w:rsidR="00604ED4" w:rsidRDefault="00604ED4" w:rsidP="00604ED4">
      <w:pPr>
        <w:ind w:left="851"/>
        <w:rPr>
          <w:b/>
          <w:bCs/>
          <w:sz w:val="24"/>
          <w:szCs w:val="24"/>
        </w:rPr>
      </w:pPr>
    </w:p>
    <w:tbl>
      <w:tblPr>
        <w:tblW w:w="8388" w:type="dxa"/>
        <w:tblInd w:w="390" w:type="dxa"/>
        <w:tblCellMar>
          <w:left w:w="106" w:type="dxa"/>
          <w:right w:w="115" w:type="dxa"/>
        </w:tblCellMar>
        <w:tblLook w:val="04A0" w:firstRow="1" w:lastRow="0" w:firstColumn="1" w:lastColumn="0" w:noHBand="0" w:noVBand="1"/>
      </w:tblPr>
      <w:tblGrid>
        <w:gridCol w:w="3936"/>
        <w:gridCol w:w="2227"/>
        <w:gridCol w:w="2225"/>
      </w:tblGrid>
      <w:tr w:rsidR="00604ED4" w:rsidTr="00AC7F65">
        <w:trPr>
          <w:trHeight w:val="1022"/>
        </w:trPr>
        <w:tc>
          <w:tcPr>
            <w:tcW w:w="3936" w:type="dxa"/>
            <w:tcBorders>
              <w:top w:val="single" w:sz="4" w:space="0" w:color="000000"/>
              <w:left w:val="single" w:sz="4" w:space="0" w:color="000000"/>
              <w:bottom w:val="single" w:sz="4" w:space="0" w:color="000000"/>
              <w:right w:val="single" w:sz="4" w:space="0" w:color="000000"/>
            </w:tcBorders>
          </w:tcPr>
          <w:p w:rsidR="00604ED4" w:rsidRDefault="00604ED4" w:rsidP="00AC7F65">
            <w:pPr>
              <w:ind w:left="851" w:hanging="851"/>
              <w:rPr>
                <w:sz w:val="24"/>
                <w:szCs w:val="24"/>
              </w:rPr>
            </w:pP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lang w:val="de-DE"/>
              </w:rPr>
            </w:pPr>
            <w:proofErr w:type="spellStart"/>
            <w:r>
              <w:rPr>
                <w:sz w:val="24"/>
                <w:szCs w:val="24"/>
                <w:lang w:val="de-DE"/>
              </w:rPr>
              <w:t>To</w:t>
            </w:r>
            <w:proofErr w:type="spellEnd"/>
            <w:r>
              <w:rPr>
                <w:sz w:val="24"/>
                <w:szCs w:val="24"/>
                <w:lang w:val="de-DE"/>
              </w:rPr>
              <w:t xml:space="preserve"> </w:t>
            </w:r>
            <w:proofErr w:type="spellStart"/>
            <w:r>
              <w:rPr>
                <w:sz w:val="24"/>
                <w:szCs w:val="24"/>
                <w:lang w:val="de-DE"/>
              </w:rPr>
              <w:t>gange</w:t>
            </w:r>
            <w:proofErr w:type="spellEnd"/>
            <w:r>
              <w:rPr>
                <w:sz w:val="24"/>
                <w:szCs w:val="24"/>
                <w:lang w:val="de-DE"/>
              </w:rPr>
              <w:t xml:space="preserve"> </w:t>
            </w:r>
            <w:proofErr w:type="spellStart"/>
            <w:r>
              <w:rPr>
                <w:sz w:val="24"/>
                <w:szCs w:val="24"/>
                <w:lang w:val="de-DE"/>
              </w:rPr>
              <w:t>daglig</w:t>
            </w:r>
            <w:proofErr w:type="spellEnd"/>
            <w:r>
              <w:rPr>
                <w:sz w:val="24"/>
                <w:szCs w:val="24"/>
                <w:lang w:val="de-DE"/>
              </w:rPr>
              <w:t xml:space="preserve"> Plasma hiv-1 RNA &lt; 80 </w:t>
            </w:r>
            <w:proofErr w:type="spellStart"/>
            <w:r>
              <w:rPr>
                <w:sz w:val="24"/>
                <w:szCs w:val="24"/>
                <w:lang w:val="de-DE"/>
              </w:rPr>
              <w:t>kopier</w:t>
            </w:r>
            <w:proofErr w:type="spellEnd"/>
            <w:r>
              <w:rPr>
                <w:sz w:val="24"/>
                <w:szCs w:val="24"/>
                <w:lang w:val="de-DE"/>
              </w:rPr>
              <w:t>/ml: n/N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lang w:val="de-DE"/>
              </w:rPr>
            </w:pPr>
            <w:proofErr w:type="spellStart"/>
            <w:r>
              <w:rPr>
                <w:sz w:val="24"/>
                <w:szCs w:val="24"/>
                <w:lang w:val="de-DE"/>
              </w:rPr>
              <w:t>Én</w:t>
            </w:r>
            <w:proofErr w:type="spellEnd"/>
            <w:r>
              <w:rPr>
                <w:sz w:val="24"/>
                <w:szCs w:val="24"/>
                <w:lang w:val="de-DE"/>
              </w:rPr>
              <w:t xml:space="preserve"> gang </w:t>
            </w:r>
            <w:proofErr w:type="spellStart"/>
            <w:r>
              <w:rPr>
                <w:sz w:val="24"/>
                <w:szCs w:val="24"/>
                <w:lang w:val="de-DE"/>
              </w:rPr>
              <w:t>daglig</w:t>
            </w:r>
            <w:proofErr w:type="spellEnd"/>
            <w:r>
              <w:rPr>
                <w:sz w:val="24"/>
                <w:szCs w:val="24"/>
                <w:lang w:val="de-DE"/>
              </w:rPr>
              <w:t xml:space="preserve"> Plasma hiv-1 RNA &lt; 80 </w:t>
            </w:r>
            <w:proofErr w:type="spellStart"/>
            <w:r>
              <w:rPr>
                <w:sz w:val="24"/>
                <w:szCs w:val="24"/>
                <w:lang w:val="de-DE"/>
              </w:rPr>
              <w:t>kopier</w:t>
            </w:r>
            <w:proofErr w:type="spellEnd"/>
            <w:r>
              <w:rPr>
                <w:sz w:val="24"/>
                <w:szCs w:val="24"/>
                <w:lang w:val="de-DE"/>
              </w:rPr>
              <w:t>/ml: n/N (%)</w:t>
            </w:r>
          </w:p>
        </w:tc>
      </w:tr>
      <w:tr w:rsidR="00604ED4" w:rsidTr="00AC7F65">
        <w:trPr>
          <w:trHeight w:val="262"/>
        </w:trPr>
        <w:tc>
          <w:tcPr>
            <w:tcW w:w="3936"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proofErr w:type="spellStart"/>
            <w:r>
              <w:rPr>
                <w:iCs/>
                <w:sz w:val="24"/>
                <w:szCs w:val="24"/>
                <w:lang w:val="en-US"/>
              </w:rPr>
              <w:t>Uge</w:t>
            </w:r>
            <w:proofErr w:type="spellEnd"/>
            <w:r>
              <w:rPr>
                <w:iCs/>
                <w:sz w:val="24"/>
                <w:szCs w:val="24"/>
                <w:lang w:val="en-US"/>
              </w:rPr>
              <w:t xml:space="preserve"> 0 (</w:t>
            </w:r>
            <w:proofErr w:type="spellStart"/>
            <w:r>
              <w:rPr>
                <w:iCs/>
                <w:sz w:val="24"/>
                <w:szCs w:val="24"/>
                <w:lang w:val="en-US"/>
              </w:rPr>
              <w:t>efter</w:t>
            </w:r>
            <w:proofErr w:type="spellEnd"/>
            <w:r>
              <w:rPr>
                <w:iCs/>
                <w:sz w:val="24"/>
                <w:szCs w:val="24"/>
                <w:lang w:val="en-US"/>
              </w:rPr>
              <w:t xml:space="preserve"> 36 </w:t>
            </w:r>
            <w:proofErr w:type="spellStart"/>
            <w:r>
              <w:rPr>
                <w:iCs/>
                <w:sz w:val="24"/>
                <w:szCs w:val="24"/>
                <w:lang w:val="en-US"/>
              </w:rPr>
              <w:t>ugers</w:t>
            </w:r>
            <w:proofErr w:type="spellEnd"/>
            <w:r>
              <w:rPr>
                <w:iCs/>
                <w:sz w:val="24"/>
                <w:szCs w:val="24"/>
                <w:lang w:val="en-US"/>
              </w:rPr>
              <w:t xml:space="preserve"> </w:t>
            </w:r>
            <w:proofErr w:type="spellStart"/>
            <w:r>
              <w:rPr>
                <w:iCs/>
                <w:sz w:val="24"/>
                <w:szCs w:val="24"/>
                <w:lang w:val="en-US"/>
              </w:rPr>
              <w:t>behandling</w:t>
            </w:r>
            <w:proofErr w:type="spellEnd"/>
            <w:r>
              <w:rPr>
                <w:iCs/>
                <w:sz w:val="24"/>
                <w:szCs w:val="24"/>
                <w:lang w:val="en-US"/>
              </w:rPr>
              <w:t>)</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 </w:t>
            </w:r>
          </w:p>
        </w:tc>
      </w:tr>
      <w:tr w:rsidR="00604ED4" w:rsidTr="00AC7F65">
        <w:trPr>
          <w:trHeight w:val="264"/>
        </w:trPr>
        <w:tc>
          <w:tcPr>
            <w:tcW w:w="3936"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sidRPr="000913EC">
              <w:rPr>
                <w:sz w:val="24"/>
                <w:szCs w:val="24"/>
              </w:rPr>
              <w:t>Hvilket som helst regime med opløsninger</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14/26 (54)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15/30 (50) </w:t>
            </w:r>
          </w:p>
        </w:tc>
      </w:tr>
      <w:tr w:rsidR="00604ED4" w:rsidTr="00AC7F65">
        <w:trPr>
          <w:trHeight w:val="262"/>
        </w:trPr>
        <w:tc>
          <w:tcPr>
            <w:tcW w:w="3936"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sidRPr="000913EC">
              <w:rPr>
                <w:sz w:val="24"/>
                <w:szCs w:val="24"/>
              </w:rPr>
              <w:t>Alle regimer baseret på tabletter</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236/305 (77)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222/305 (73) </w:t>
            </w:r>
          </w:p>
        </w:tc>
      </w:tr>
      <w:tr w:rsidR="00604ED4" w:rsidTr="00AC7F65">
        <w:trPr>
          <w:trHeight w:val="264"/>
        </w:trPr>
        <w:tc>
          <w:tcPr>
            <w:tcW w:w="3936"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Uge 96 </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 </w:t>
            </w:r>
          </w:p>
        </w:tc>
      </w:tr>
      <w:tr w:rsidR="00604ED4" w:rsidTr="00AC7F65">
        <w:trPr>
          <w:trHeight w:val="264"/>
        </w:trPr>
        <w:tc>
          <w:tcPr>
            <w:tcW w:w="3936" w:type="dxa"/>
            <w:tcBorders>
              <w:top w:val="single" w:sz="4" w:space="0" w:color="000000"/>
              <w:left w:val="single" w:sz="4" w:space="0" w:color="000000"/>
              <w:bottom w:val="single" w:sz="4" w:space="0" w:color="000000"/>
              <w:right w:val="single" w:sz="4" w:space="0" w:color="000000"/>
            </w:tcBorders>
            <w:hideMark/>
          </w:tcPr>
          <w:p w:rsidR="00604ED4" w:rsidRPr="000913EC" w:rsidRDefault="00604ED4" w:rsidP="00AC7F65">
            <w:pPr>
              <w:ind w:left="851" w:hanging="851"/>
              <w:rPr>
                <w:sz w:val="24"/>
                <w:szCs w:val="24"/>
              </w:rPr>
            </w:pPr>
            <w:r w:rsidRPr="000913EC">
              <w:rPr>
                <w:sz w:val="24"/>
                <w:szCs w:val="24"/>
              </w:rPr>
              <w:t>Hvilket som helst regime med opløsninger til hver tid</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13/26 (50)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17/30 (57) </w:t>
            </w:r>
          </w:p>
        </w:tc>
      </w:tr>
      <w:tr w:rsidR="00604ED4" w:rsidTr="00AC7F65">
        <w:trPr>
          <w:trHeight w:val="262"/>
        </w:trPr>
        <w:tc>
          <w:tcPr>
            <w:tcW w:w="3936"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sidRPr="000913EC">
              <w:rPr>
                <w:sz w:val="24"/>
                <w:szCs w:val="24"/>
              </w:rPr>
              <w:t>Regimer baseret kun på tabletter</w:t>
            </w:r>
          </w:p>
        </w:tc>
        <w:tc>
          <w:tcPr>
            <w:tcW w:w="2227"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221/300 (74) </w:t>
            </w:r>
          </w:p>
        </w:tc>
        <w:tc>
          <w:tcPr>
            <w:tcW w:w="2225"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left="851" w:hanging="851"/>
              <w:rPr>
                <w:sz w:val="24"/>
                <w:szCs w:val="24"/>
              </w:rPr>
            </w:pPr>
            <w:r>
              <w:rPr>
                <w:sz w:val="24"/>
                <w:szCs w:val="24"/>
              </w:rPr>
              <w:t xml:space="preserve">213/301 (71) </w:t>
            </w:r>
          </w:p>
        </w:tc>
      </w:tr>
    </w:tbl>
    <w:p w:rsidR="00604ED4" w:rsidRDefault="00604ED4" w:rsidP="00604ED4">
      <w:pPr>
        <w:ind w:left="851" w:hanging="851"/>
        <w:rPr>
          <w:sz w:val="24"/>
          <w:szCs w:val="24"/>
        </w:rPr>
      </w:pPr>
    </w:p>
    <w:p w:rsidR="00604ED4" w:rsidRDefault="00604ED4" w:rsidP="00604ED4">
      <w:pPr>
        <w:ind w:left="851"/>
        <w:rPr>
          <w:sz w:val="24"/>
          <w:szCs w:val="24"/>
        </w:rPr>
      </w:pPr>
      <w:r>
        <w:rPr>
          <w:sz w:val="24"/>
          <w:szCs w:val="24"/>
        </w:rPr>
        <w:t xml:space="preserve">Analyser af genotyperesistens blev udført på prøver med plasma hiv-1 RNA &gt; 1.000 kopier/ml. Flere tilfælde af resistens blev set blandt patienter, der havde fået </w:t>
      </w:r>
      <w:proofErr w:type="spellStart"/>
      <w:r>
        <w:rPr>
          <w:sz w:val="24"/>
          <w:szCs w:val="24"/>
        </w:rPr>
        <w:t>lamivudin</w:t>
      </w:r>
      <w:proofErr w:type="spellEnd"/>
      <w:r>
        <w:rPr>
          <w:sz w:val="24"/>
          <w:szCs w:val="24"/>
        </w:rPr>
        <w:t xml:space="preserve"> opløsning, i kombination med andre </w:t>
      </w:r>
      <w:proofErr w:type="spellStart"/>
      <w:r>
        <w:rPr>
          <w:sz w:val="24"/>
          <w:szCs w:val="24"/>
        </w:rPr>
        <w:t>antiretrovirale</w:t>
      </w:r>
      <w:proofErr w:type="spellEnd"/>
      <w:r>
        <w:rPr>
          <w:sz w:val="24"/>
          <w:szCs w:val="24"/>
        </w:rPr>
        <w:t xml:space="preserve"> opløsninger sammenlignet med dem, der fik tilsvarende doser af tabletformulering. Dette er konsistent med de lavere </w:t>
      </w:r>
      <w:proofErr w:type="gramStart"/>
      <w:r>
        <w:rPr>
          <w:sz w:val="24"/>
          <w:szCs w:val="24"/>
        </w:rPr>
        <w:t>virologisk</w:t>
      </w:r>
      <w:proofErr w:type="gramEnd"/>
      <w:r>
        <w:rPr>
          <w:sz w:val="24"/>
          <w:szCs w:val="24"/>
        </w:rPr>
        <w:t xml:space="preserve"> responsrater set hos disse patienter.</w:t>
      </w:r>
    </w:p>
    <w:p w:rsidR="00604ED4" w:rsidRDefault="00604ED4" w:rsidP="00604ED4">
      <w:pPr>
        <w:ind w:left="851" w:hanging="851"/>
        <w:rPr>
          <w:sz w:val="24"/>
          <w:szCs w:val="24"/>
        </w:rPr>
      </w:pPr>
    </w:p>
    <w:p w:rsidR="00604ED4" w:rsidRPr="0035062A" w:rsidRDefault="00604ED4" w:rsidP="00604ED4">
      <w:pPr>
        <w:ind w:left="851" w:hanging="851"/>
        <w:rPr>
          <w:b/>
          <w:sz w:val="24"/>
          <w:szCs w:val="24"/>
        </w:rPr>
      </w:pPr>
      <w:r w:rsidRPr="002250CB">
        <w:rPr>
          <w:b/>
          <w:sz w:val="24"/>
          <w:szCs w:val="24"/>
        </w:rPr>
        <w:t>5.2</w:t>
      </w:r>
      <w:r w:rsidRPr="002250CB">
        <w:rPr>
          <w:b/>
          <w:sz w:val="24"/>
          <w:szCs w:val="24"/>
        </w:rPr>
        <w:tab/>
      </w:r>
      <w:proofErr w:type="spellStart"/>
      <w:r w:rsidRPr="002250CB">
        <w:rPr>
          <w:b/>
          <w:sz w:val="24"/>
          <w:szCs w:val="24"/>
        </w:rPr>
        <w:t>Farmakokinetiske</w:t>
      </w:r>
      <w:proofErr w:type="spellEnd"/>
      <w:r w:rsidRPr="002250CB">
        <w:rPr>
          <w:b/>
          <w:sz w:val="24"/>
          <w:szCs w:val="24"/>
        </w:rPr>
        <w:t xml:space="preserve"> egenskaber</w:t>
      </w:r>
    </w:p>
    <w:p w:rsidR="00604ED4" w:rsidRDefault="00604ED4" w:rsidP="00604ED4">
      <w:pPr>
        <w:ind w:left="851" w:hanging="851"/>
      </w:pPr>
      <w:r w:rsidRPr="002250CB">
        <w:rPr>
          <w:sz w:val="24"/>
          <w:szCs w:val="24"/>
        </w:rPr>
        <w:tab/>
      </w:r>
      <w:r>
        <w:rPr>
          <w:sz w:val="24"/>
          <w:szCs w:val="24"/>
          <w:u w:val="single"/>
        </w:rPr>
        <w:t>Absorption</w:t>
      </w: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absorberes godt fra mave-tarm-kanalen, og den orale biotilgængelighed hos voksne er normalt 80-85 %. Efter oral indgift er gennemsnitstiden (</w:t>
      </w:r>
      <w:proofErr w:type="spellStart"/>
      <w:r>
        <w:rPr>
          <w:sz w:val="24"/>
          <w:szCs w:val="24"/>
        </w:rPr>
        <w:t>t</w:t>
      </w:r>
      <w:r>
        <w:rPr>
          <w:sz w:val="24"/>
          <w:szCs w:val="24"/>
          <w:vertAlign w:val="subscript"/>
        </w:rPr>
        <w:t>max</w:t>
      </w:r>
      <w:proofErr w:type="spellEnd"/>
      <w:r>
        <w:rPr>
          <w:sz w:val="24"/>
          <w:szCs w:val="24"/>
        </w:rPr>
        <w:t>) for at opnå maksimal serumkoncentration (</w:t>
      </w:r>
      <w:proofErr w:type="spellStart"/>
      <w:r>
        <w:rPr>
          <w:sz w:val="24"/>
          <w:szCs w:val="24"/>
        </w:rPr>
        <w:t>C</w:t>
      </w:r>
      <w:r>
        <w:rPr>
          <w:sz w:val="24"/>
          <w:szCs w:val="24"/>
          <w:vertAlign w:val="subscript"/>
        </w:rPr>
        <w:t>max</w:t>
      </w:r>
      <w:proofErr w:type="spellEnd"/>
      <w:r>
        <w:rPr>
          <w:sz w:val="24"/>
          <w:szCs w:val="24"/>
        </w:rPr>
        <w:t xml:space="preserve">) omkring en time. Baseret på data, der er udledt fra et studie af raske frivillige ved en terapeutisk dosis på 150 mg 2 gange dagligt, er middelværdien af (CV)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i plasma af </w:t>
      </w:r>
      <w:proofErr w:type="spellStart"/>
      <w:r>
        <w:rPr>
          <w:sz w:val="24"/>
          <w:szCs w:val="24"/>
        </w:rPr>
        <w:t>lamivudin</w:t>
      </w:r>
      <w:proofErr w:type="spellEnd"/>
      <w:r>
        <w:rPr>
          <w:sz w:val="24"/>
          <w:szCs w:val="24"/>
        </w:rPr>
        <w:t xml:space="preserve">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henholdsvis 1,2 µg/ml (24 %) og 0,09 µg/ml (27 %). Det gennemsnitlige (CV) AUC over et doseringsinterval på 12 timer er 4,7 µ</w:t>
      </w:r>
      <w:proofErr w:type="spellStart"/>
      <w:r>
        <w:rPr>
          <w:sz w:val="24"/>
          <w:szCs w:val="24"/>
        </w:rPr>
        <w:t>g·time</w:t>
      </w:r>
      <w:proofErr w:type="spellEnd"/>
      <w:r>
        <w:rPr>
          <w:sz w:val="24"/>
          <w:szCs w:val="24"/>
        </w:rPr>
        <w:t xml:space="preserve">/ml (18 %). Ved en terapeutisk dosis på 300 mg én gang dagligt er de gennemsnitlige værdier af (CV) </w:t>
      </w:r>
      <w:proofErr w:type="spellStart"/>
      <w:r>
        <w:rPr>
          <w:sz w:val="24"/>
          <w:szCs w:val="24"/>
        </w:rPr>
        <w:t>C</w:t>
      </w:r>
      <w:r>
        <w:rPr>
          <w:sz w:val="24"/>
          <w:szCs w:val="24"/>
          <w:vertAlign w:val="subscript"/>
        </w:rPr>
        <w:t>max</w:t>
      </w:r>
      <w:proofErr w:type="spellEnd"/>
      <w:r>
        <w:rPr>
          <w:sz w:val="24"/>
          <w:szCs w:val="24"/>
        </w:rPr>
        <w:t xml:space="preserve">, </w:t>
      </w:r>
      <w:proofErr w:type="spellStart"/>
      <w:r>
        <w:rPr>
          <w:sz w:val="24"/>
          <w:szCs w:val="24"/>
        </w:rPr>
        <w:t>C</w:t>
      </w:r>
      <w:r>
        <w:rPr>
          <w:sz w:val="24"/>
          <w:szCs w:val="24"/>
          <w:vertAlign w:val="subscript"/>
        </w:rPr>
        <w:t>min</w:t>
      </w:r>
      <w:proofErr w:type="spellEnd"/>
      <w:r>
        <w:rPr>
          <w:sz w:val="24"/>
          <w:szCs w:val="24"/>
        </w:rPr>
        <w:t xml:space="preserve"> og 24 timers AUC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henholdsvis 2,0 µg/ml (26 %), 0,04 µg/ml (34 %) og 8,9 µ</w:t>
      </w:r>
      <w:proofErr w:type="spellStart"/>
      <w:r>
        <w:rPr>
          <w:sz w:val="24"/>
          <w:szCs w:val="24"/>
        </w:rPr>
        <w:t>g·time</w:t>
      </w:r>
      <w:proofErr w:type="spellEnd"/>
      <w:r>
        <w:rPr>
          <w:sz w:val="24"/>
          <w:szCs w:val="24"/>
        </w:rPr>
        <w:t>/ml (21 %).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150 mg-tabletten er bioækvivalent og dosisproportionel med 300 mg-tabletten med hensyn til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t</w:t>
      </w:r>
      <w:r>
        <w:rPr>
          <w:sz w:val="24"/>
          <w:szCs w:val="24"/>
          <w:vertAlign w:val="subscript"/>
        </w:rPr>
        <w:t>max</w:t>
      </w:r>
      <w:proofErr w:type="spellEnd"/>
      <w:r>
        <w:rPr>
          <w:sz w:val="24"/>
          <w:szCs w:val="24"/>
          <w:vertAlign w:val="subscript"/>
        </w:rPr>
        <w:t xml:space="preserve">. </w:t>
      </w:r>
      <w:r>
        <w:rPr>
          <w:rFonts w:eastAsia="Calibri"/>
          <w:sz w:val="24"/>
          <w:szCs w:val="24"/>
        </w:rPr>
        <w:t xml:space="preserve">Administration af </w:t>
      </w:r>
      <w:proofErr w:type="spellStart"/>
      <w:r>
        <w:rPr>
          <w:sz w:val="24"/>
          <w:szCs w:val="24"/>
        </w:rPr>
        <w:t>lamivudin</w:t>
      </w:r>
      <w:proofErr w:type="spellEnd"/>
      <w:r>
        <w:rPr>
          <w:sz w:val="24"/>
          <w:szCs w:val="24"/>
        </w:rPr>
        <w:t xml:space="preserve"> </w:t>
      </w:r>
      <w:r>
        <w:rPr>
          <w:rFonts w:eastAsia="Calibri"/>
          <w:sz w:val="24"/>
          <w:szCs w:val="24"/>
        </w:rPr>
        <w:t xml:space="preserve">tabletter er bioækvivalent til </w:t>
      </w:r>
      <w:proofErr w:type="spellStart"/>
      <w:r>
        <w:rPr>
          <w:sz w:val="24"/>
          <w:szCs w:val="24"/>
        </w:rPr>
        <w:t>lamivudin</w:t>
      </w:r>
      <w:proofErr w:type="spellEnd"/>
      <w:r>
        <w:rPr>
          <w:sz w:val="24"/>
          <w:szCs w:val="24"/>
        </w:rPr>
        <w:t xml:space="preserve"> </w:t>
      </w:r>
      <w:r>
        <w:rPr>
          <w:rFonts w:eastAsia="Calibri"/>
          <w:sz w:val="24"/>
          <w:szCs w:val="24"/>
        </w:rPr>
        <w:t xml:space="preserve">oral opløsning med hensyn til AUC∞ og </w:t>
      </w:r>
      <w:proofErr w:type="spellStart"/>
      <w:r>
        <w:rPr>
          <w:rFonts w:eastAsia="Calibri"/>
          <w:sz w:val="24"/>
          <w:szCs w:val="24"/>
        </w:rPr>
        <w:t>C</w:t>
      </w:r>
      <w:r>
        <w:rPr>
          <w:rFonts w:eastAsia="Calibri"/>
          <w:sz w:val="24"/>
          <w:szCs w:val="24"/>
          <w:vertAlign w:val="subscript"/>
        </w:rPr>
        <w:t>max</w:t>
      </w:r>
      <w:proofErr w:type="spellEnd"/>
      <w:r>
        <w:rPr>
          <w:rFonts w:eastAsia="Calibri"/>
          <w:sz w:val="24"/>
          <w:szCs w:val="24"/>
        </w:rPr>
        <w:t xml:space="preserve"> hos voksne. Der er observeret absorptionsforskelle mellem voksne og børn (se Særlige populationer).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Tages </w:t>
      </w:r>
      <w:proofErr w:type="spellStart"/>
      <w:r>
        <w:rPr>
          <w:sz w:val="24"/>
          <w:szCs w:val="24"/>
        </w:rPr>
        <w:t>lamivudin</w:t>
      </w:r>
      <w:proofErr w:type="spellEnd"/>
      <w:r>
        <w:rPr>
          <w:sz w:val="24"/>
          <w:szCs w:val="24"/>
        </w:rPr>
        <w:t xml:space="preserve"> sammen med mad, resulterer det i forsinket </w:t>
      </w:r>
      <w:proofErr w:type="spellStart"/>
      <w:r>
        <w:rPr>
          <w:sz w:val="24"/>
          <w:szCs w:val="24"/>
        </w:rPr>
        <w:t>t</w:t>
      </w:r>
      <w:r>
        <w:rPr>
          <w:sz w:val="24"/>
          <w:szCs w:val="24"/>
          <w:vertAlign w:val="subscript"/>
        </w:rPr>
        <w:t>max</w:t>
      </w:r>
      <w:proofErr w:type="spellEnd"/>
      <w:r>
        <w:rPr>
          <w:sz w:val="24"/>
          <w:szCs w:val="24"/>
          <w:vertAlign w:val="subscript"/>
        </w:rPr>
        <w:t xml:space="preserve"> </w:t>
      </w:r>
      <w:r>
        <w:rPr>
          <w:sz w:val="24"/>
          <w:szCs w:val="24"/>
        </w:rPr>
        <w:t xml:space="preserve">og lavere </w:t>
      </w:r>
      <w:proofErr w:type="spellStart"/>
      <w:r>
        <w:rPr>
          <w:sz w:val="24"/>
          <w:szCs w:val="24"/>
        </w:rPr>
        <w:t>C</w:t>
      </w:r>
      <w:r>
        <w:rPr>
          <w:sz w:val="24"/>
          <w:szCs w:val="24"/>
          <w:vertAlign w:val="subscript"/>
        </w:rPr>
        <w:t>max</w:t>
      </w:r>
      <w:proofErr w:type="spellEnd"/>
      <w:r>
        <w:rPr>
          <w:sz w:val="24"/>
          <w:szCs w:val="24"/>
        </w:rPr>
        <w:t xml:space="preserve"> (nedsat med 47 %). Mængden af absorberet </w:t>
      </w:r>
      <w:proofErr w:type="spellStart"/>
      <w:r>
        <w:rPr>
          <w:sz w:val="24"/>
          <w:szCs w:val="24"/>
        </w:rPr>
        <w:t>lamivudin</w:t>
      </w:r>
      <w:proofErr w:type="spellEnd"/>
      <w:r>
        <w:rPr>
          <w:sz w:val="24"/>
          <w:szCs w:val="24"/>
        </w:rPr>
        <w:t xml:space="preserve"> påvirkes dog ikke (baseret på AUC).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Administration af knuste tabletter sammen med en lille mængde halvflydende føde eller væske forventes ikke at have indflydelse på den farmaceutiske kvalitet af tabletten. Den kliniske effekt forventes derfor ikke at blive ændret. Denne konklusion er baseret på </w:t>
      </w:r>
      <w:proofErr w:type="spellStart"/>
      <w:r>
        <w:rPr>
          <w:sz w:val="24"/>
          <w:szCs w:val="24"/>
        </w:rPr>
        <w:t>fysiokemiske</w:t>
      </w:r>
      <w:proofErr w:type="spellEnd"/>
      <w:r>
        <w:rPr>
          <w:sz w:val="24"/>
          <w:szCs w:val="24"/>
        </w:rPr>
        <w:t xml:space="preserve"> og </w:t>
      </w:r>
      <w:proofErr w:type="spellStart"/>
      <w:r>
        <w:rPr>
          <w:sz w:val="24"/>
          <w:szCs w:val="24"/>
        </w:rPr>
        <w:t>farmakokinetiske</w:t>
      </w:r>
      <w:proofErr w:type="spellEnd"/>
      <w:r>
        <w:rPr>
          <w:sz w:val="24"/>
          <w:szCs w:val="24"/>
        </w:rPr>
        <w:t xml:space="preserve"> data, der er baseret på en formodning om, at patienten knuser og opblander hele tabletten og indtager den straks.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lastRenderedPageBreak/>
        <w:tab/>
        <w:t xml:space="preserve">Samtidig administration af </w:t>
      </w:r>
      <w:proofErr w:type="spellStart"/>
      <w:r>
        <w:rPr>
          <w:sz w:val="24"/>
          <w:szCs w:val="24"/>
        </w:rPr>
        <w:t>zidovudin</w:t>
      </w:r>
      <w:proofErr w:type="spellEnd"/>
      <w:r>
        <w:rPr>
          <w:sz w:val="24"/>
          <w:szCs w:val="24"/>
        </w:rPr>
        <w:t xml:space="preserve"> resulterer i en stigning på 13 % i eksponeringen for </w:t>
      </w:r>
      <w:proofErr w:type="spellStart"/>
      <w:r>
        <w:rPr>
          <w:sz w:val="24"/>
          <w:szCs w:val="24"/>
        </w:rPr>
        <w:t>zidovudin</w:t>
      </w:r>
      <w:proofErr w:type="spellEnd"/>
      <w:r>
        <w:rPr>
          <w:sz w:val="24"/>
          <w:szCs w:val="24"/>
        </w:rPr>
        <w:t xml:space="preserve"> og i en stigning på 28 % i den maksimale plasmakoncentration. Dette vurderes at være uden klinisk betydning for patientsikkerheden, og dosisjustering er derfor ikke nødvendig.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r>
        <w:rPr>
          <w:sz w:val="24"/>
          <w:szCs w:val="24"/>
          <w:u w:val="single"/>
        </w:rPr>
        <w:t>Fordeling</w:t>
      </w:r>
      <w:r>
        <w:rPr>
          <w:sz w:val="24"/>
          <w:szCs w:val="24"/>
        </w:rPr>
        <w:t xml:space="preserve"> </w:t>
      </w:r>
    </w:p>
    <w:p w:rsidR="00604ED4" w:rsidRDefault="00604ED4" w:rsidP="00604ED4">
      <w:pPr>
        <w:ind w:left="851" w:hanging="851"/>
        <w:rPr>
          <w:sz w:val="24"/>
          <w:szCs w:val="24"/>
        </w:rPr>
      </w:pPr>
      <w:r>
        <w:rPr>
          <w:sz w:val="24"/>
          <w:szCs w:val="24"/>
        </w:rPr>
        <w:tab/>
        <w:t xml:space="preserve">Det gennemsnitlige fordelingsvolumen er 1,3 l/kg ifølge intravenøse studier. Den gennemsnitlige systemiske </w:t>
      </w:r>
      <w:proofErr w:type="spellStart"/>
      <w:r>
        <w:rPr>
          <w:sz w:val="24"/>
          <w:szCs w:val="24"/>
        </w:rPr>
        <w:t>clearance</w:t>
      </w:r>
      <w:proofErr w:type="spellEnd"/>
      <w:r>
        <w:rPr>
          <w:sz w:val="24"/>
          <w:szCs w:val="24"/>
        </w:rPr>
        <w:t xml:space="preserve"> af </w:t>
      </w:r>
      <w:proofErr w:type="spellStart"/>
      <w:r>
        <w:rPr>
          <w:sz w:val="24"/>
          <w:szCs w:val="24"/>
        </w:rPr>
        <w:t>lamivudin</w:t>
      </w:r>
      <w:proofErr w:type="spellEnd"/>
      <w:r>
        <w:rPr>
          <w:sz w:val="24"/>
          <w:szCs w:val="24"/>
        </w:rPr>
        <w:t xml:space="preserve"> er omkring 0,32 l/time/kg; overvejende ved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(&gt; 70 %) via det organiske </w:t>
      </w:r>
      <w:proofErr w:type="spellStart"/>
      <w:r>
        <w:rPr>
          <w:sz w:val="24"/>
          <w:szCs w:val="24"/>
        </w:rPr>
        <w:t>kationiske</w:t>
      </w:r>
      <w:proofErr w:type="spellEnd"/>
      <w:r>
        <w:rPr>
          <w:sz w:val="24"/>
          <w:szCs w:val="24"/>
        </w:rPr>
        <w:t xml:space="preserve"> transportsystem.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udviser lineær farmakokinetik i hele det terapeutiske doseringsinterval med begrænset binding til plasmaproteinet albumin (&lt; 16 % - 36 % til serumalbumin i </w:t>
      </w:r>
      <w:r>
        <w:rPr>
          <w:i/>
          <w:sz w:val="24"/>
          <w:szCs w:val="24"/>
        </w:rPr>
        <w:t xml:space="preserve">in </w:t>
      </w:r>
      <w:proofErr w:type="spellStart"/>
      <w:r>
        <w:rPr>
          <w:i/>
          <w:sz w:val="24"/>
          <w:szCs w:val="24"/>
        </w:rPr>
        <w:t>vitro</w:t>
      </w:r>
      <w:proofErr w:type="spellEnd"/>
      <w:r>
        <w:rPr>
          <w:sz w:val="24"/>
          <w:szCs w:val="24"/>
        </w:rPr>
        <w:t xml:space="preserve">-studier).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Begrænsede data viser, at </w:t>
      </w:r>
      <w:proofErr w:type="spellStart"/>
      <w:r>
        <w:rPr>
          <w:sz w:val="24"/>
          <w:szCs w:val="24"/>
        </w:rPr>
        <w:t>lamivudin</w:t>
      </w:r>
      <w:proofErr w:type="spellEnd"/>
      <w:r>
        <w:rPr>
          <w:sz w:val="24"/>
          <w:szCs w:val="24"/>
        </w:rPr>
        <w:t xml:space="preserve"> penetrerer centralnervesystemet og når ud i cerebrospinalvæsken. 2-4 timer efter oral indgift var det gennemsnitlige forhold mellem </w:t>
      </w:r>
      <w:proofErr w:type="spellStart"/>
      <w:r>
        <w:rPr>
          <w:sz w:val="24"/>
          <w:szCs w:val="24"/>
        </w:rPr>
        <w:t>lamivudinkoncentrationen</w:t>
      </w:r>
      <w:proofErr w:type="spellEnd"/>
      <w:r>
        <w:rPr>
          <w:sz w:val="24"/>
          <w:szCs w:val="24"/>
        </w:rPr>
        <w:t xml:space="preserve"> i cerebrospinalvæsken og plasma ca. 0,12. Det reelle omfang af penetrationen og sammenhængen med klinisk effekt er ukendt. </w:t>
      </w:r>
    </w:p>
    <w:p w:rsidR="00604ED4" w:rsidRDefault="00604ED4" w:rsidP="00604ED4">
      <w:pPr>
        <w:ind w:left="851" w:hanging="851"/>
        <w:rPr>
          <w:sz w:val="24"/>
          <w:szCs w:val="24"/>
        </w:rPr>
      </w:pPr>
    </w:p>
    <w:p w:rsidR="00604ED4" w:rsidRDefault="00604ED4" w:rsidP="00604ED4">
      <w:pPr>
        <w:ind w:left="851"/>
        <w:rPr>
          <w:sz w:val="24"/>
          <w:szCs w:val="24"/>
        </w:rPr>
      </w:pPr>
      <w:r>
        <w:rPr>
          <w:sz w:val="24"/>
          <w:szCs w:val="24"/>
          <w:u w:val="single"/>
        </w:rPr>
        <w:t>Biotransformation</w:t>
      </w:r>
    </w:p>
    <w:p w:rsidR="006C3927" w:rsidRDefault="006C3927" w:rsidP="006C3927">
      <w:pPr>
        <w:ind w:left="851"/>
        <w:rPr>
          <w:sz w:val="24"/>
          <w:szCs w:val="24"/>
        </w:rPr>
      </w:pPr>
      <w:r>
        <w:rPr>
          <w:sz w:val="24"/>
          <w:szCs w:val="24"/>
        </w:rPr>
        <w:t xml:space="preserve">Plasma </w:t>
      </w:r>
      <w:proofErr w:type="spellStart"/>
      <w:r>
        <w:rPr>
          <w:sz w:val="24"/>
          <w:szCs w:val="24"/>
        </w:rPr>
        <w:t>lamivudin</w:t>
      </w:r>
      <w:proofErr w:type="spellEnd"/>
      <w:r>
        <w:rPr>
          <w:sz w:val="24"/>
          <w:szCs w:val="24"/>
        </w:rPr>
        <w:t xml:space="preserve"> halveringstiden efter oral administration er 18 til 19 timer og den aktive del,</w:t>
      </w:r>
      <w:r w:rsidRPr="00525803">
        <w:rPr>
          <w:sz w:val="24"/>
          <w:szCs w:val="24"/>
        </w:rPr>
        <w:t xml:space="preserve"> </w:t>
      </w:r>
      <w:r>
        <w:rPr>
          <w:sz w:val="24"/>
          <w:szCs w:val="24"/>
        </w:rPr>
        <w:t xml:space="preserve">intracellulær </w:t>
      </w:r>
      <w:proofErr w:type="spellStart"/>
      <w:r>
        <w:rPr>
          <w:sz w:val="24"/>
          <w:szCs w:val="24"/>
        </w:rPr>
        <w:t>lamivudintriphosphat</w:t>
      </w:r>
      <w:proofErr w:type="spellEnd"/>
      <w:r>
        <w:rPr>
          <w:sz w:val="24"/>
          <w:szCs w:val="24"/>
        </w:rPr>
        <w:t xml:space="preserve">, har en forlænget terminal halveringstid i cellen (16 til 19 timer). Hos 60 raske voksne frivillige er </w:t>
      </w:r>
      <w:proofErr w:type="spellStart"/>
      <w:r>
        <w:rPr>
          <w:sz w:val="24"/>
          <w:szCs w:val="24"/>
        </w:rPr>
        <w:t>lamivudin</w:t>
      </w:r>
      <w:proofErr w:type="spellEnd"/>
      <w:r>
        <w:rPr>
          <w:sz w:val="24"/>
          <w:szCs w:val="24"/>
        </w:rPr>
        <w:t xml:space="preserve"> 300 mg én gang daglig påvist at være </w:t>
      </w:r>
      <w:proofErr w:type="spellStart"/>
      <w:r>
        <w:rPr>
          <w:sz w:val="24"/>
          <w:szCs w:val="24"/>
        </w:rPr>
        <w:t>farmakokinetisk</w:t>
      </w:r>
      <w:proofErr w:type="spellEnd"/>
      <w:r>
        <w:rPr>
          <w:sz w:val="24"/>
          <w:szCs w:val="24"/>
        </w:rPr>
        <w:t xml:space="preserve"> ækvivalent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med </w:t>
      </w:r>
      <w:proofErr w:type="spellStart"/>
      <w:r>
        <w:rPr>
          <w:sz w:val="24"/>
          <w:szCs w:val="24"/>
        </w:rPr>
        <w:t>lamivudin</w:t>
      </w:r>
      <w:proofErr w:type="spellEnd"/>
      <w:r>
        <w:rPr>
          <w:sz w:val="24"/>
          <w:szCs w:val="24"/>
        </w:rPr>
        <w:t xml:space="preserve"> 150 mg 2 gange dagligt med hensyn til intracellulær AUC</w:t>
      </w:r>
      <w:r>
        <w:rPr>
          <w:sz w:val="24"/>
          <w:szCs w:val="24"/>
          <w:vertAlign w:val="subscript"/>
        </w:rPr>
        <w:t>24</w:t>
      </w:r>
      <w:r>
        <w:rPr>
          <w:sz w:val="24"/>
          <w:szCs w:val="24"/>
        </w:rPr>
        <w:t xml:space="preserve"> og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triphosphat</w:t>
      </w:r>
      <w:proofErr w:type="spellEnd"/>
      <w:r>
        <w:rPr>
          <w:sz w:val="24"/>
          <w:szCs w:val="24"/>
        </w:rPr>
        <w:t>.</w:t>
      </w:r>
    </w:p>
    <w:p w:rsidR="00604ED4" w:rsidRDefault="00604ED4" w:rsidP="00604ED4">
      <w:pPr>
        <w:ind w:left="851"/>
        <w:rPr>
          <w:sz w:val="24"/>
          <w:szCs w:val="24"/>
        </w:rPr>
      </w:pPr>
    </w:p>
    <w:p w:rsidR="00604ED4" w:rsidRDefault="00604ED4" w:rsidP="00604ED4">
      <w:pPr>
        <w:ind w:left="851"/>
        <w:rPr>
          <w:sz w:val="24"/>
          <w:szCs w:val="24"/>
        </w:rPr>
      </w:pPr>
      <w:proofErr w:type="spellStart"/>
      <w:r>
        <w:rPr>
          <w:sz w:val="24"/>
          <w:szCs w:val="24"/>
        </w:rPr>
        <w:t>Lamivudin</w:t>
      </w:r>
      <w:proofErr w:type="spellEnd"/>
      <w:r>
        <w:rPr>
          <w:sz w:val="24"/>
          <w:szCs w:val="24"/>
        </w:rPr>
        <w:t xml:space="preserve"> udskilles hovedsageligt </w:t>
      </w:r>
      <w:proofErr w:type="spellStart"/>
      <w:r>
        <w:rPr>
          <w:sz w:val="24"/>
          <w:szCs w:val="24"/>
        </w:rPr>
        <w:t>uomdannet</w:t>
      </w:r>
      <w:proofErr w:type="spellEnd"/>
      <w:r>
        <w:rPr>
          <w:sz w:val="24"/>
          <w:szCs w:val="24"/>
        </w:rPr>
        <w:t xml:space="preserve"> ved </w:t>
      </w:r>
      <w:proofErr w:type="spellStart"/>
      <w:r>
        <w:rPr>
          <w:sz w:val="24"/>
          <w:szCs w:val="24"/>
        </w:rPr>
        <w:t>renal</w:t>
      </w:r>
      <w:proofErr w:type="spellEnd"/>
      <w:r>
        <w:rPr>
          <w:sz w:val="24"/>
          <w:szCs w:val="24"/>
        </w:rPr>
        <w:t xml:space="preserve"> </w:t>
      </w:r>
      <w:proofErr w:type="spellStart"/>
      <w:r>
        <w:rPr>
          <w:sz w:val="24"/>
          <w:szCs w:val="24"/>
        </w:rPr>
        <w:t>ekskretion</w:t>
      </w:r>
      <w:proofErr w:type="spellEnd"/>
      <w:r>
        <w:rPr>
          <w:sz w:val="24"/>
          <w:szCs w:val="24"/>
        </w:rPr>
        <w:t xml:space="preserve">. Sandsynligheden for metaboliske interaktioner mellem </w:t>
      </w:r>
      <w:proofErr w:type="spellStart"/>
      <w:r>
        <w:rPr>
          <w:sz w:val="24"/>
          <w:szCs w:val="24"/>
        </w:rPr>
        <w:t>lamivudin</w:t>
      </w:r>
      <w:proofErr w:type="spellEnd"/>
      <w:r>
        <w:rPr>
          <w:sz w:val="24"/>
          <w:szCs w:val="24"/>
        </w:rPr>
        <w:t xml:space="preserve"> og andre lægemidler er lav på grund af begrænset levermetabolisme (5-10 %) og lav plasmaproteinbinding.</w:t>
      </w:r>
    </w:p>
    <w:p w:rsidR="00604ED4" w:rsidRDefault="00604ED4" w:rsidP="00604ED4">
      <w:pPr>
        <w:ind w:left="851"/>
        <w:rPr>
          <w:sz w:val="24"/>
          <w:szCs w:val="24"/>
        </w:rPr>
      </w:pPr>
    </w:p>
    <w:p w:rsidR="00604ED4" w:rsidRDefault="00604ED4" w:rsidP="00604ED4">
      <w:pPr>
        <w:ind w:left="851"/>
        <w:rPr>
          <w:sz w:val="24"/>
          <w:szCs w:val="24"/>
        </w:rPr>
      </w:pPr>
      <w:r>
        <w:rPr>
          <w:sz w:val="24"/>
          <w:szCs w:val="24"/>
          <w:u w:val="single"/>
        </w:rPr>
        <w:t>Elimination</w:t>
      </w:r>
    </w:p>
    <w:p w:rsidR="00604ED4" w:rsidRDefault="00604ED4" w:rsidP="00604ED4">
      <w:pPr>
        <w:ind w:left="851"/>
        <w:rPr>
          <w:sz w:val="24"/>
          <w:szCs w:val="24"/>
        </w:rPr>
      </w:pPr>
      <w:r>
        <w:rPr>
          <w:sz w:val="24"/>
          <w:szCs w:val="24"/>
        </w:rPr>
        <w:t xml:space="preserve">Studier af patienter med nedsat nyrefunktion viser, at eliminationen af </w:t>
      </w:r>
      <w:proofErr w:type="spellStart"/>
      <w:r>
        <w:rPr>
          <w:sz w:val="24"/>
          <w:szCs w:val="24"/>
        </w:rPr>
        <w:t>lamivudin</w:t>
      </w:r>
      <w:proofErr w:type="spellEnd"/>
      <w:r>
        <w:rPr>
          <w:sz w:val="24"/>
          <w:szCs w:val="24"/>
        </w:rPr>
        <w:t xml:space="preserve"> påvirkes af nyreinsufficiens. Anbefalet dosis til patienter med </w:t>
      </w:r>
      <w:proofErr w:type="spellStart"/>
      <w:r>
        <w:rPr>
          <w:sz w:val="24"/>
          <w:szCs w:val="24"/>
        </w:rPr>
        <w:t>kreatininclearance</w:t>
      </w:r>
      <w:proofErr w:type="spellEnd"/>
      <w:r>
        <w:rPr>
          <w:sz w:val="24"/>
          <w:szCs w:val="24"/>
        </w:rPr>
        <w:t xml:space="preserve"> under 50 ml/minut er anført under doseringsafsnittet (se pkt. 4.2).</w:t>
      </w:r>
    </w:p>
    <w:p w:rsidR="00604ED4" w:rsidRDefault="00604ED4" w:rsidP="00604ED4">
      <w:pPr>
        <w:ind w:left="851"/>
        <w:rPr>
          <w:sz w:val="24"/>
          <w:szCs w:val="24"/>
        </w:rPr>
      </w:pPr>
    </w:p>
    <w:p w:rsidR="00604ED4" w:rsidRDefault="00604ED4" w:rsidP="00604ED4">
      <w:pPr>
        <w:ind w:left="851"/>
        <w:rPr>
          <w:sz w:val="24"/>
          <w:szCs w:val="24"/>
        </w:rPr>
      </w:pPr>
      <w:r>
        <w:rPr>
          <w:sz w:val="24"/>
          <w:szCs w:val="24"/>
        </w:rPr>
        <w:t xml:space="preserve">En interaktion med </w:t>
      </w:r>
      <w:proofErr w:type="spellStart"/>
      <w:r>
        <w:rPr>
          <w:sz w:val="24"/>
          <w:szCs w:val="24"/>
        </w:rPr>
        <w:t>trimethoprim</w:t>
      </w:r>
      <w:proofErr w:type="spellEnd"/>
      <w:r>
        <w:rPr>
          <w:sz w:val="24"/>
          <w:szCs w:val="24"/>
        </w:rPr>
        <w:t xml:space="preserve">, der er en af bestanddelene i </w:t>
      </w:r>
      <w:proofErr w:type="spellStart"/>
      <w:r>
        <w:rPr>
          <w:sz w:val="24"/>
          <w:szCs w:val="24"/>
        </w:rPr>
        <w:t>co-trimoxazol</w:t>
      </w:r>
      <w:proofErr w:type="spellEnd"/>
      <w:r>
        <w:rPr>
          <w:sz w:val="24"/>
          <w:szCs w:val="24"/>
        </w:rPr>
        <w:t xml:space="preserve">, medfører en stigning på 40 % i eksponeringen for </w:t>
      </w:r>
      <w:proofErr w:type="spellStart"/>
      <w:r>
        <w:rPr>
          <w:sz w:val="24"/>
          <w:szCs w:val="24"/>
        </w:rPr>
        <w:t>lamivudin</w:t>
      </w:r>
      <w:proofErr w:type="spellEnd"/>
      <w:r>
        <w:rPr>
          <w:sz w:val="24"/>
          <w:szCs w:val="24"/>
        </w:rPr>
        <w:t xml:space="preserve"> ved terapeutiske doser. Dette kræver ikke justering af dosis, medmindre patienten også lider af nedsat nyrefunktion (se pkt. 4.5 og 4.2). Administration af </w:t>
      </w:r>
      <w:proofErr w:type="spellStart"/>
      <w:r>
        <w:rPr>
          <w:sz w:val="24"/>
          <w:szCs w:val="24"/>
        </w:rPr>
        <w:t>co-trimoxazol</w:t>
      </w:r>
      <w:proofErr w:type="spellEnd"/>
      <w:r>
        <w:rPr>
          <w:sz w:val="24"/>
          <w:szCs w:val="24"/>
        </w:rPr>
        <w:t xml:space="preserve"> sammen med </w:t>
      </w:r>
      <w:proofErr w:type="spellStart"/>
      <w:r>
        <w:rPr>
          <w:sz w:val="24"/>
          <w:szCs w:val="24"/>
        </w:rPr>
        <w:t>lamivudin</w:t>
      </w:r>
      <w:proofErr w:type="spellEnd"/>
      <w:r>
        <w:rPr>
          <w:sz w:val="24"/>
          <w:szCs w:val="24"/>
        </w:rPr>
        <w:t xml:space="preserve"> til patienter med nedsat nyrefunktion bør vurderes omhyggeligt. </w:t>
      </w:r>
    </w:p>
    <w:p w:rsidR="00604ED4" w:rsidRDefault="00604ED4" w:rsidP="00604ED4">
      <w:pPr>
        <w:ind w:left="851"/>
        <w:rPr>
          <w:sz w:val="24"/>
          <w:szCs w:val="24"/>
        </w:rPr>
      </w:pPr>
    </w:p>
    <w:p w:rsidR="00604ED4" w:rsidRDefault="00604ED4" w:rsidP="00604ED4">
      <w:pPr>
        <w:ind w:left="851"/>
        <w:rPr>
          <w:rFonts w:eastAsia="Calibri"/>
          <w:sz w:val="24"/>
          <w:szCs w:val="24"/>
          <w:u w:val="single"/>
        </w:rPr>
      </w:pPr>
      <w:r>
        <w:rPr>
          <w:rFonts w:eastAsia="Calibri"/>
          <w:sz w:val="24"/>
          <w:szCs w:val="24"/>
          <w:u w:val="single"/>
        </w:rPr>
        <w:t>Særlige populationer</w:t>
      </w:r>
    </w:p>
    <w:p w:rsidR="00604ED4" w:rsidRDefault="00604ED4" w:rsidP="00604ED4">
      <w:pPr>
        <w:ind w:left="851"/>
        <w:rPr>
          <w:sz w:val="24"/>
          <w:szCs w:val="24"/>
        </w:rPr>
      </w:pPr>
      <w:r>
        <w:rPr>
          <w:i/>
          <w:sz w:val="24"/>
          <w:szCs w:val="24"/>
        </w:rPr>
        <w:t>Børn:</w:t>
      </w:r>
      <w:r>
        <w:rPr>
          <w:sz w:val="24"/>
          <w:szCs w:val="24"/>
        </w:rPr>
        <w:t xml:space="preserve"> Den absolutte biotilgængelighed af </w:t>
      </w:r>
      <w:proofErr w:type="spellStart"/>
      <w:r>
        <w:rPr>
          <w:sz w:val="24"/>
          <w:szCs w:val="24"/>
        </w:rPr>
        <w:t>lamivudin</w:t>
      </w:r>
      <w:proofErr w:type="spellEnd"/>
      <w:r>
        <w:rPr>
          <w:sz w:val="24"/>
          <w:szCs w:val="24"/>
        </w:rPr>
        <w:t xml:space="preserve"> (ca. 58-66 %) var reduceret hos pædiatriske patienter under 12 år. </w:t>
      </w:r>
      <w:r>
        <w:rPr>
          <w:rFonts w:eastAsia="Calibri"/>
          <w:sz w:val="24"/>
          <w:szCs w:val="24"/>
        </w:rPr>
        <w:t xml:space="preserve">Hos børn gav administration af tabletter samtidigt med andre </w:t>
      </w:r>
      <w:proofErr w:type="spellStart"/>
      <w:r>
        <w:rPr>
          <w:rFonts w:eastAsia="Calibri"/>
          <w:sz w:val="24"/>
          <w:szCs w:val="24"/>
        </w:rPr>
        <w:t>antiretrovirale</w:t>
      </w:r>
      <w:proofErr w:type="spellEnd"/>
      <w:r>
        <w:rPr>
          <w:rFonts w:eastAsia="Calibri"/>
          <w:sz w:val="24"/>
          <w:szCs w:val="24"/>
        </w:rPr>
        <w:t xml:space="preserve"> tabletter højere </w:t>
      </w:r>
      <w:proofErr w:type="spellStart"/>
      <w:r>
        <w:rPr>
          <w:rFonts w:eastAsia="Calibri"/>
          <w:sz w:val="24"/>
          <w:szCs w:val="24"/>
        </w:rPr>
        <w:t>lamivudin</w:t>
      </w:r>
      <w:proofErr w:type="spellEnd"/>
      <w:r>
        <w:rPr>
          <w:rFonts w:eastAsia="Calibri"/>
          <w:sz w:val="24"/>
          <w:szCs w:val="24"/>
        </w:rPr>
        <w:t xml:space="preserve">-plasma-AUC∞ og </w:t>
      </w:r>
      <w:proofErr w:type="spellStart"/>
      <w:r>
        <w:rPr>
          <w:rFonts w:eastAsia="Calibri"/>
          <w:sz w:val="24"/>
          <w:szCs w:val="24"/>
        </w:rPr>
        <w:t>C</w:t>
      </w:r>
      <w:r>
        <w:rPr>
          <w:rFonts w:eastAsia="Calibri"/>
          <w:sz w:val="24"/>
          <w:szCs w:val="24"/>
          <w:vertAlign w:val="subscript"/>
        </w:rPr>
        <w:t>max</w:t>
      </w:r>
      <w:proofErr w:type="spellEnd"/>
      <w:r>
        <w:rPr>
          <w:rFonts w:eastAsia="Calibri"/>
          <w:sz w:val="24"/>
          <w:szCs w:val="24"/>
        </w:rPr>
        <w:t xml:space="preserve"> end oral opløsning givet samtidigt med andre </w:t>
      </w:r>
      <w:proofErr w:type="spellStart"/>
      <w:r>
        <w:rPr>
          <w:rFonts w:eastAsia="Calibri"/>
          <w:sz w:val="24"/>
          <w:szCs w:val="24"/>
        </w:rPr>
        <w:t>antiretrovirale</w:t>
      </w:r>
      <w:proofErr w:type="spellEnd"/>
      <w:r>
        <w:rPr>
          <w:rFonts w:eastAsia="Calibri"/>
          <w:sz w:val="24"/>
          <w:szCs w:val="24"/>
        </w:rPr>
        <w:t xml:space="preserve"> orale opløsninger. Børn, som får </w:t>
      </w:r>
      <w:proofErr w:type="spellStart"/>
      <w:r>
        <w:rPr>
          <w:rFonts w:eastAsia="Calibri"/>
          <w:sz w:val="24"/>
          <w:szCs w:val="24"/>
        </w:rPr>
        <w:t>lamivudin</w:t>
      </w:r>
      <w:proofErr w:type="spellEnd"/>
      <w:r>
        <w:rPr>
          <w:rFonts w:eastAsia="Calibri"/>
          <w:sz w:val="24"/>
          <w:szCs w:val="24"/>
        </w:rPr>
        <w:t xml:space="preserve"> oral opløsning i henhold til doseringsanbefalingerne, opnår </w:t>
      </w:r>
      <w:proofErr w:type="spellStart"/>
      <w:r>
        <w:rPr>
          <w:rFonts w:eastAsia="Calibri"/>
          <w:sz w:val="24"/>
          <w:szCs w:val="24"/>
        </w:rPr>
        <w:t>lamivudin</w:t>
      </w:r>
      <w:proofErr w:type="spellEnd"/>
      <w:r>
        <w:rPr>
          <w:rFonts w:eastAsia="Calibri"/>
          <w:sz w:val="24"/>
          <w:szCs w:val="24"/>
        </w:rPr>
        <w:t xml:space="preserve">-plasmaniveauer indenfor det interval, der er observeret hos voksne. Børn, som får </w:t>
      </w:r>
      <w:proofErr w:type="spellStart"/>
      <w:r>
        <w:rPr>
          <w:rFonts w:eastAsia="Calibri"/>
          <w:sz w:val="24"/>
          <w:szCs w:val="24"/>
        </w:rPr>
        <w:t>lamivudintabletter</w:t>
      </w:r>
      <w:proofErr w:type="spellEnd"/>
      <w:r>
        <w:rPr>
          <w:rFonts w:eastAsia="Calibri"/>
          <w:sz w:val="24"/>
          <w:szCs w:val="24"/>
        </w:rPr>
        <w:t xml:space="preserve"> i henhold til doseringsanbefalingerne, opnår højere </w:t>
      </w:r>
      <w:proofErr w:type="spellStart"/>
      <w:r>
        <w:rPr>
          <w:rFonts w:eastAsia="Calibri"/>
          <w:sz w:val="24"/>
          <w:szCs w:val="24"/>
        </w:rPr>
        <w:t>lamivudin</w:t>
      </w:r>
      <w:proofErr w:type="spellEnd"/>
      <w:r>
        <w:rPr>
          <w:rFonts w:eastAsia="Calibri"/>
          <w:sz w:val="24"/>
          <w:szCs w:val="24"/>
        </w:rPr>
        <w:t xml:space="preserve">-plasmaniveauer end børn, som får oral opløsning, da der administreres højere mg/kg-doser med tabletformuleringen, som også har højere biotilgængelighed (se sektion 4.2). Pædiatriske </w:t>
      </w:r>
      <w:proofErr w:type="spellStart"/>
      <w:r>
        <w:rPr>
          <w:rFonts w:eastAsia="Calibri"/>
          <w:sz w:val="24"/>
          <w:szCs w:val="24"/>
        </w:rPr>
        <w:t>farmakokinetiske</w:t>
      </w:r>
      <w:proofErr w:type="spellEnd"/>
      <w:r>
        <w:rPr>
          <w:rFonts w:eastAsia="Calibri"/>
          <w:sz w:val="24"/>
          <w:szCs w:val="24"/>
        </w:rPr>
        <w:t xml:space="preserve"> studier med både </w:t>
      </w:r>
      <w:r>
        <w:rPr>
          <w:rFonts w:eastAsia="Calibri"/>
          <w:sz w:val="24"/>
          <w:szCs w:val="24"/>
        </w:rPr>
        <w:lastRenderedPageBreak/>
        <w:t xml:space="preserve">oral opløsning og tabletter har vist, at dosering én gang daglig giver ækvivalent AUC0-24 sammenlignet med dosering af den samme totale daglige dosis 2 gange daglig. </w:t>
      </w:r>
    </w:p>
    <w:p w:rsidR="00604ED4" w:rsidRDefault="00604ED4" w:rsidP="00604ED4">
      <w:pPr>
        <w:ind w:left="851"/>
        <w:rPr>
          <w:sz w:val="24"/>
          <w:szCs w:val="24"/>
        </w:rPr>
      </w:pPr>
    </w:p>
    <w:p w:rsidR="00604ED4" w:rsidRDefault="00604ED4" w:rsidP="00604ED4">
      <w:pPr>
        <w:ind w:left="851"/>
        <w:rPr>
          <w:sz w:val="24"/>
          <w:szCs w:val="24"/>
        </w:rPr>
      </w:pPr>
      <w:r>
        <w:rPr>
          <w:sz w:val="24"/>
          <w:szCs w:val="24"/>
        </w:rPr>
        <w:t xml:space="preserve">Der er begrænsede </w:t>
      </w:r>
      <w:proofErr w:type="spellStart"/>
      <w:r>
        <w:rPr>
          <w:sz w:val="24"/>
          <w:szCs w:val="24"/>
        </w:rPr>
        <w:t>farmakokinetiske</w:t>
      </w:r>
      <w:proofErr w:type="spellEnd"/>
      <w:r>
        <w:rPr>
          <w:sz w:val="24"/>
          <w:szCs w:val="24"/>
        </w:rPr>
        <w:t xml:space="preserve"> data fra patienter under 3 måneder. Hos nyfødte, der var en uge gamle, var den orale </w:t>
      </w:r>
      <w:proofErr w:type="spellStart"/>
      <w:r>
        <w:rPr>
          <w:sz w:val="24"/>
          <w:szCs w:val="24"/>
        </w:rPr>
        <w:t>clearance</w:t>
      </w:r>
      <w:proofErr w:type="spellEnd"/>
      <w:r>
        <w:rPr>
          <w:sz w:val="24"/>
          <w:szCs w:val="24"/>
        </w:rPr>
        <w:t xml:space="preserve"> af </w:t>
      </w:r>
      <w:proofErr w:type="spellStart"/>
      <w:r>
        <w:rPr>
          <w:sz w:val="24"/>
          <w:szCs w:val="24"/>
        </w:rPr>
        <w:t>lamivudin</w:t>
      </w:r>
      <w:proofErr w:type="spellEnd"/>
      <w:r>
        <w:rPr>
          <w:sz w:val="24"/>
          <w:szCs w:val="24"/>
        </w:rPr>
        <w:t xml:space="preserve"> reduceret sammenlignet med pædiatriske patienter. Det skyldes sandsynligvis den umodne nyrefunktion og varierende absorption. For at opnå samme plasmakoncentration som hos voksne og børn er en passende dosis til spædbørn derfor på 4 mg/kg/dag. Vurderinger af den </w:t>
      </w:r>
      <w:proofErr w:type="spellStart"/>
      <w:r>
        <w:rPr>
          <w:sz w:val="24"/>
          <w:szCs w:val="24"/>
        </w:rPr>
        <w:t>glomerulære</w:t>
      </w:r>
      <w:proofErr w:type="spellEnd"/>
      <w:r>
        <w:rPr>
          <w:sz w:val="24"/>
          <w:szCs w:val="24"/>
        </w:rPr>
        <w:t xml:space="preserve"> filtration tyder på, at en passende dosis til børn på 6 uger og derover kunne være 8 mg/kg/dag for at opnå samme plasmakoncentration som hos voksne og børn.</w:t>
      </w:r>
    </w:p>
    <w:p w:rsidR="00604ED4" w:rsidRDefault="00604ED4" w:rsidP="00604ED4">
      <w:pPr>
        <w:ind w:left="851"/>
        <w:rPr>
          <w:i/>
          <w:sz w:val="24"/>
          <w:szCs w:val="24"/>
        </w:rPr>
      </w:pPr>
    </w:p>
    <w:p w:rsidR="00604ED4" w:rsidRDefault="00604ED4" w:rsidP="00604ED4">
      <w:pPr>
        <w:ind w:left="851"/>
        <w:rPr>
          <w:rFonts w:eastAsia="Calibri"/>
          <w:sz w:val="24"/>
          <w:szCs w:val="24"/>
        </w:rPr>
      </w:pPr>
      <w:proofErr w:type="spellStart"/>
      <w:r>
        <w:rPr>
          <w:rFonts w:eastAsia="Calibri"/>
          <w:sz w:val="24"/>
          <w:szCs w:val="24"/>
        </w:rPr>
        <w:t>Farmakokinetiske</w:t>
      </w:r>
      <w:proofErr w:type="spellEnd"/>
      <w:r>
        <w:rPr>
          <w:rFonts w:eastAsia="Calibri"/>
          <w:sz w:val="24"/>
          <w:szCs w:val="24"/>
        </w:rPr>
        <w:t xml:space="preserve"> data er udledt fra 3 </w:t>
      </w:r>
      <w:proofErr w:type="spellStart"/>
      <w:r>
        <w:rPr>
          <w:rFonts w:eastAsia="Calibri"/>
          <w:sz w:val="24"/>
          <w:szCs w:val="24"/>
        </w:rPr>
        <w:t>farmakokinetiske</w:t>
      </w:r>
      <w:proofErr w:type="spellEnd"/>
      <w:r>
        <w:rPr>
          <w:rFonts w:eastAsia="Calibri"/>
          <w:sz w:val="24"/>
          <w:szCs w:val="24"/>
        </w:rPr>
        <w:t xml:space="preserve"> studier (PENTA 13, PENTA 15 og ARROW PK-sub-studiet), der inkluderede børn under 12 år. Resultaterne vises i nedenstående tabel:</w:t>
      </w:r>
    </w:p>
    <w:p w:rsidR="00604ED4" w:rsidRDefault="00604ED4" w:rsidP="00604ED4">
      <w:pPr>
        <w:ind w:left="851"/>
        <w:rPr>
          <w:rFonts w:eastAsia="Calibri"/>
          <w:sz w:val="24"/>
          <w:szCs w:val="24"/>
        </w:rPr>
      </w:pPr>
    </w:p>
    <w:p w:rsidR="00604ED4" w:rsidRDefault="00604ED4" w:rsidP="00604ED4">
      <w:pPr>
        <w:ind w:left="851"/>
        <w:rPr>
          <w:rFonts w:eastAsia="Calibri"/>
          <w:b/>
          <w:bCs/>
          <w:sz w:val="24"/>
          <w:szCs w:val="24"/>
        </w:rPr>
      </w:pPr>
      <w:r>
        <w:rPr>
          <w:rFonts w:eastAsia="Calibri"/>
          <w:b/>
          <w:bCs/>
          <w:sz w:val="24"/>
          <w:szCs w:val="24"/>
        </w:rPr>
        <w:t xml:space="preserve">Oversigt over </w:t>
      </w:r>
      <w:proofErr w:type="spellStart"/>
      <w:r>
        <w:rPr>
          <w:rFonts w:eastAsia="Calibri"/>
          <w:b/>
          <w:bCs/>
          <w:sz w:val="24"/>
          <w:szCs w:val="24"/>
        </w:rPr>
        <w:t>steady-state</w:t>
      </w:r>
      <w:proofErr w:type="spellEnd"/>
      <w:r>
        <w:rPr>
          <w:rFonts w:eastAsia="Calibri"/>
          <w:b/>
          <w:bCs/>
          <w:sz w:val="24"/>
          <w:szCs w:val="24"/>
        </w:rPr>
        <w:t xml:space="preserve"> </w:t>
      </w:r>
      <w:proofErr w:type="spellStart"/>
      <w:r>
        <w:rPr>
          <w:rFonts w:eastAsia="Calibri"/>
          <w:b/>
          <w:bCs/>
          <w:sz w:val="24"/>
          <w:szCs w:val="24"/>
        </w:rPr>
        <w:t>plasmalamivudin</w:t>
      </w:r>
      <w:proofErr w:type="spellEnd"/>
      <w:r>
        <w:rPr>
          <w:rFonts w:eastAsia="Calibri"/>
          <w:b/>
          <w:bCs/>
          <w:sz w:val="24"/>
          <w:szCs w:val="24"/>
        </w:rPr>
        <w:t xml:space="preserve"> AUC (0-24) (μg.t/ml) og statistiske sammenligninger for administration én og to gange dagligt på tværs af studier</w:t>
      </w:r>
    </w:p>
    <w:p w:rsidR="00604ED4" w:rsidRDefault="00604ED4" w:rsidP="00604ED4">
      <w:pPr>
        <w:ind w:left="851"/>
        <w:rPr>
          <w:rFonts w:eastAsia="Calibri"/>
          <w:b/>
          <w:bCs/>
          <w:sz w:val="24"/>
          <w:szCs w:val="24"/>
        </w:rPr>
      </w:pPr>
    </w:p>
    <w:tbl>
      <w:tblPr>
        <w:tblW w:w="9286" w:type="dxa"/>
        <w:tblInd w:w="746" w:type="dxa"/>
        <w:tblCellMar>
          <w:top w:w="8" w:type="dxa"/>
          <w:left w:w="127" w:type="dxa"/>
          <w:right w:w="77" w:type="dxa"/>
        </w:tblCellMar>
        <w:tblLook w:val="04A0" w:firstRow="1" w:lastRow="0" w:firstColumn="1" w:lastColumn="0" w:noHBand="0" w:noVBand="1"/>
      </w:tblPr>
      <w:tblGrid>
        <w:gridCol w:w="1854"/>
        <w:gridCol w:w="1848"/>
        <w:gridCol w:w="1862"/>
        <w:gridCol w:w="1860"/>
        <w:gridCol w:w="1862"/>
      </w:tblGrid>
      <w:tr w:rsidR="00604ED4" w:rsidTr="00AC7F65">
        <w:trPr>
          <w:trHeight w:val="1579"/>
        </w:trPr>
        <w:tc>
          <w:tcPr>
            <w:tcW w:w="1854" w:type="dxa"/>
            <w:tcBorders>
              <w:top w:val="single" w:sz="4" w:space="0" w:color="000000"/>
              <w:left w:val="single" w:sz="4" w:space="0" w:color="000000"/>
              <w:bottom w:val="single" w:sz="4" w:space="0" w:color="000000"/>
              <w:right w:val="single" w:sz="4" w:space="0" w:color="000000"/>
            </w:tcBorders>
          </w:tcPr>
          <w:p w:rsidR="00604ED4" w:rsidRDefault="00604ED4" w:rsidP="00AC7F65">
            <w:pPr>
              <w:jc w:val="center"/>
              <w:rPr>
                <w:rFonts w:eastAsia="Calibri"/>
                <w:b/>
                <w:sz w:val="24"/>
                <w:szCs w:val="24"/>
              </w:rPr>
            </w:pPr>
          </w:p>
          <w:p w:rsidR="00604ED4" w:rsidRDefault="00604ED4" w:rsidP="00AC7F65">
            <w:pPr>
              <w:ind w:right="50"/>
              <w:jc w:val="center"/>
              <w:rPr>
                <w:rFonts w:eastAsia="Calibri"/>
                <w:b/>
                <w:sz w:val="24"/>
                <w:szCs w:val="24"/>
              </w:rPr>
            </w:pPr>
            <w:r>
              <w:rPr>
                <w:rFonts w:eastAsia="Calibri"/>
                <w:b/>
                <w:bCs/>
                <w:sz w:val="24"/>
                <w:szCs w:val="24"/>
              </w:rPr>
              <w:t>Studie</w:t>
            </w:r>
          </w:p>
        </w:tc>
        <w:tc>
          <w:tcPr>
            <w:tcW w:w="1848" w:type="dxa"/>
            <w:tcBorders>
              <w:top w:val="single" w:sz="4" w:space="0" w:color="000000"/>
              <w:left w:val="single" w:sz="4" w:space="0" w:color="000000"/>
              <w:bottom w:val="single" w:sz="4" w:space="0" w:color="000000"/>
              <w:right w:val="single" w:sz="4" w:space="0" w:color="000000"/>
            </w:tcBorders>
          </w:tcPr>
          <w:p w:rsidR="00604ED4" w:rsidRDefault="00604ED4" w:rsidP="00AC7F65">
            <w:pPr>
              <w:jc w:val="center"/>
              <w:rPr>
                <w:rFonts w:eastAsia="Calibri"/>
                <w:b/>
                <w:sz w:val="24"/>
                <w:szCs w:val="24"/>
              </w:rPr>
            </w:pPr>
          </w:p>
          <w:p w:rsidR="00604ED4" w:rsidRDefault="00604ED4" w:rsidP="00AC7F65">
            <w:pPr>
              <w:ind w:right="50"/>
              <w:jc w:val="center"/>
              <w:rPr>
                <w:rFonts w:eastAsia="Calibri"/>
                <w:b/>
                <w:sz w:val="24"/>
                <w:szCs w:val="24"/>
              </w:rPr>
            </w:pPr>
            <w:r>
              <w:rPr>
                <w:rFonts w:eastAsia="Calibri"/>
                <w:b/>
                <w:bCs/>
                <w:sz w:val="24"/>
                <w:szCs w:val="24"/>
              </w:rPr>
              <w:t>Aldersgruppe</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right="53"/>
              <w:jc w:val="center"/>
              <w:rPr>
                <w:rFonts w:eastAsia="Calibri"/>
                <w:b/>
                <w:sz w:val="24"/>
                <w:szCs w:val="24"/>
              </w:rPr>
            </w:pPr>
            <w:proofErr w:type="spellStart"/>
            <w:r>
              <w:rPr>
                <w:rFonts w:eastAsia="Calibri"/>
                <w:b/>
                <w:bCs/>
                <w:sz w:val="24"/>
                <w:szCs w:val="24"/>
              </w:rPr>
              <w:t>Lamivudin</w:t>
            </w:r>
            <w:proofErr w:type="spellEnd"/>
          </w:p>
          <w:p w:rsidR="00604ED4" w:rsidRDefault="00604ED4" w:rsidP="00AC7F65">
            <w:pPr>
              <w:ind w:right="51"/>
              <w:jc w:val="center"/>
              <w:rPr>
                <w:rFonts w:eastAsia="Calibri"/>
                <w:b/>
                <w:sz w:val="24"/>
                <w:szCs w:val="24"/>
              </w:rPr>
            </w:pPr>
            <w:r>
              <w:rPr>
                <w:rFonts w:eastAsia="Calibri"/>
                <w:b/>
                <w:bCs/>
                <w:sz w:val="24"/>
                <w:szCs w:val="24"/>
              </w:rPr>
              <w:t>8 mg/kg dosering én gang dagligt</w:t>
            </w:r>
          </w:p>
          <w:p w:rsidR="00604ED4" w:rsidRDefault="00604ED4" w:rsidP="00AC7F65">
            <w:pPr>
              <w:jc w:val="center"/>
              <w:rPr>
                <w:rFonts w:eastAsia="Calibri"/>
                <w:b/>
                <w:sz w:val="24"/>
                <w:szCs w:val="24"/>
              </w:rPr>
            </w:pPr>
            <w:r>
              <w:rPr>
                <w:rFonts w:eastAsia="Calibri"/>
                <w:b/>
                <w:bCs/>
                <w:sz w:val="24"/>
                <w:szCs w:val="24"/>
              </w:rPr>
              <w:t>Geometrisk middelværdi</w:t>
            </w:r>
          </w:p>
          <w:p w:rsidR="00604ED4" w:rsidRDefault="00604ED4" w:rsidP="00AC7F65">
            <w:pPr>
              <w:ind w:right="51"/>
              <w:jc w:val="center"/>
              <w:rPr>
                <w:rFonts w:eastAsia="Calibri"/>
                <w:b/>
                <w:sz w:val="24"/>
                <w:szCs w:val="24"/>
              </w:rPr>
            </w:pPr>
            <w:r>
              <w:rPr>
                <w:rFonts w:eastAsia="Calibri"/>
                <w:b/>
                <w:bCs/>
                <w:sz w:val="24"/>
                <w:szCs w:val="24"/>
              </w:rPr>
              <w:t>(95 % Cl)</w:t>
            </w:r>
          </w:p>
        </w:tc>
        <w:tc>
          <w:tcPr>
            <w:tcW w:w="1860"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right="51"/>
              <w:jc w:val="center"/>
              <w:rPr>
                <w:rFonts w:eastAsia="Calibri"/>
                <w:b/>
                <w:sz w:val="24"/>
                <w:szCs w:val="24"/>
              </w:rPr>
            </w:pPr>
            <w:proofErr w:type="spellStart"/>
            <w:r>
              <w:rPr>
                <w:rFonts w:eastAsia="Calibri"/>
                <w:b/>
                <w:bCs/>
                <w:sz w:val="24"/>
                <w:szCs w:val="24"/>
              </w:rPr>
              <w:t>Lamivudin</w:t>
            </w:r>
            <w:proofErr w:type="spellEnd"/>
          </w:p>
          <w:p w:rsidR="00604ED4" w:rsidRDefault="00604ED4" w:rsidP="00AC7F65">
            <w:pPr>
              <w:jc w:val="center"/>
              <w:rPr>
                <w:rFonts w:eastAsia="Calibri"/>
                <w:b/>
                <w:sz w:val="24"/>
                <w:szCs w:val="24"/>
              </w:rPr>
            </w:pPr>
            <w:r>
              <w:rPr>
                <w:rFonts w:eastAsia="Calibri"/>
                <w:b/>
                <w:bCs/>
                <w:sz w:val="24"/>
                <w:szCs w:val="24"/>
              </w:rPr>
              <w:t>4 mg/kg dosering to gange dagligt</w:t>
            </w:r>
          </w:p>
          <w:p w:rsidR="00604ED4" w:rsidRDefault="00604ED4" w:rsidP="00AC7F65">
            <w:pPr>
              <w:jc w:val="center"/>
              <w:rPr>
                <w:rFonts w:eastAsia="Calibri"/>
                <w:b/>
                <w:sz w:val="24"/>
                <w:szCs w:val="24"/>
              </w:rPr>
            </w:pPr>
            <w:r>
              <w:rPr>
                <w:rFonts w:eastAsia="Calibri"/>
                <w:b/>
                <w:bCs/>
                <w:sz w:val="24"/>
                <w:szCs w:val="24"/>
              </w:rPr>
              <w:t>Geometrisk middelværdi</w:t>
            </w:r>
          </w:p>
          <w:p w:rsidR="00604ED4" w:rsidRDefault="00604ED4" w:rsidP="00AC7F65">
            <w:pPr>
              <w:ind w:right="49"/>
              <w:jc w:val="center"/>
              <w:rPr>
                <w:rFonts w:eastAsia="Calibri"/>
                <w:b/>
                <w:sz w:val="24"/>
                <w:szCs w:val="24"/>
              </w:rPr>
            </w:pPr>
            <w:r>
              <w:rPr>
                <w:rFonts w:eastAsia="Calibri"/>
                <w:b/>
                <w:bCs/>
                <w:sz w:val="24"/>
                <w:szCs w:val="24"/>
              </w:rPr>
              <w:t>(95 % Cl)</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ind w:right="53"/>
              <w:jc w:val="center"/>
              <w:rPr>
                <w:rFonts w:eastAsia="Calibri"/>
                <w:b/>
                <w:sz w:val="24"/>
                <w:szCs w:val="24"/>
              </w:rPr>
            </w:pPr>
            <w:r>
              <w:rPr>
                <w:rFonts w:eastAsia="Calibri"/>
                <w:b/>
                <w:bCs/>
                <w:sz w:val="24"/>
                <w:szCs w:val="24"/>
              </w:rPr>
              <w:t>En gang vs. to gange dagligt</w:t>
            </w:r>
          </w:p>
          <w:p w:rsidR="00604ED4" w:rsidRDefault="00604ED4" w:rsidP="00AC7F65">
            <w:pPr>
              <w:ind w:right="52"/>
              <w:jc w:val="center"/>
              <w:rPr>
                <w:rFonts w:eastAsia="Calibri"/>
                <w:b/>
                <w:sz w:val="24"/>
                <w:szCs w:val="24"/>
              </w:rPr>
            </w:pPr>
            <w:r>
              <w:rPr>
                <w:rFonts w:eastAsia="Calibri"/>
                <w:b/>
                <w:bCs/>
                <w:sz w:val="24"/>
                <w:szCs w:val="24"/>
              </w:rPr>
              <w:t>Sammenligning</w:t>
            </w:r>
          </w:p>
          <w:p w:rsidR="00604ED4" w:rsidRDefault="00604ED4" w:rsidP="00AC7F65">
            <w:pPr>
              <w:jc w:val="center"/>
              <w:rPr>
                <w:rFonts w:eastAsia="Calibri"/>
                <w:b/>
                <w:sz w:val="24"/>
                <w:szCs w:val="24"/>
              </w:rPr>
            </w:pPr>
            <w:r>
              <w:rPr>
                <w:rFonts w:eastAsia="Calibri"/>
                <w:b/>
                <w:bCs/>
                <w:sz w:val="24"/>
                <w:szCs w:val="24"/>
              </w:rPr>
              <w:t xml:space="preserve">GLS </w:t>
            </w:r>
            <w:proofErr w:type="spellStart"/>
            <w:r>
              <w:rPr>
                <w:rFonts w:eastAsia="Calibri"/>
                <w:b/>
                <w:bCs/>
                <w:sz w:val="24"/>
                <w:szCs w:val="24"/>
              </w:rPr>
              <w:t>gns</w:t>
            </w:r>
            <w:proofErr w:type="spellEnd"/>
            <w:r>
              <w:rPr>
                <w:rFonts w:eastAsia="Calibri"/>
                <w:b/>
                <w:bCs/>
                <w:sz w:val="24"/>
                <w:szCs w:val="24"/>
              </w:rPr>
              <w:t>. forhold</w:t>
            </w:r>
          </w:p>
          <w:p w:rsidR="00604ED4" w:rsidRDefault="00604ED4" w:rsidP="00AC7F65">
            <w:pPr>
              <w:ind w:right="51"/>
              <w:jc w:val="center"/>
              <w:rPr>
                <w:rFonts w:eastAsia="Calibri"/>
                <w:b/>
                <w:sz w:val="24"/>
                <w:szCs w:val="24"/>
              </w:rPr>
            </w:pPr>
            <w:r>
              <w:rPr>
                <w:rFonts w:eastAsia="Calibri"/>
                <w:b/>
                <w:bCs/>
                <w:sz w:val="24"/>
                <w:szCs w:val="24"/>
              </w:rPr>
              <w:t>(90 % Cl)</w:t>
            </w:r>
          </w:p>
        </w:tc>
      </w:tr>
      <w:tr w:rsidR="00604ED4" w:rsidTr="00AC7F65">
        <w:trPr>
          <w:trHeight w:val="850"/>
        </w:trPr>
        <w:tc>
          <w:tcPr>
            <w:tcW w:w="1854"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lang w:val="en-US"/>
              </w:rPr>
            </w:pPr>
            <w:r>
              <w:rPr>
                <w:rFonts w:eastAsia="Calibri"/>
                <w:sz w:val="24"/>
                <w:szCs w:val="24"/>
                <w:lang w:val="en-US"/>
              </w:rPr>
              <w:t>ARROW PK-sub-</w:t>
            </w:r>
            <w:proofErr w:type="spellStart"/>
            <w:r>
              <w:rPr>
                <w:rFonts w:eastAsia="Calibri"/>
                <w:sz w:val="24"/>
                <w:szCs w:val="24"/>
                <w:lang w:val="en-US"/>
              </w:rPr>
              <w:t>studie</w:t>
            </w:r>
            <w:proofErr w:type="spellEnd"/>
            <w:r>
              <w:rPr>
                <w:rFonts w:eastAsia="Calibri"/>
                <w:sz w:val="24"/>
                <w:szCs w:val="24"/>
                <w:lang w:val="en-US"/>
              </w:rPr>
              <w:t xml:space="preserve"> Del 1</w:t>
            </w:r>
          </w:p>
        </w:tc>
        <w:tc>
          <w:tcPr>
            <w:tcW w:w="184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3 til 12 år (N=35)</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13,0</w:t>
            </w:r>
          </w:p>
          <w:p w:rsidR="00604ED4" w:rsidRDefault="00604ED4" w:rsidP="00AC7F65">
            <w:pPr>
              <w:jc w:val="center"/>
              <w:rPr>
                <w:rFonts w:eastAsia="Calibri"/>
                <w:sz w:val="24"/>
                <w:szCs w:val="24"/>
              </w:rPr>
            </w:pPr>
            <w:r>
              <w:rPr>
                <w:rFonts w:eastAsia="Calibri"/>
                <w:sz w:val="24"/>
                <w:szCs w:val="24"/>
              </w:rPr>
              <w:t>(11,4, 14,9)</w:t>
            </w:r>
          </w:p>
        </w:tc>
        <w:tc>
          <w:tcPr>
            <w:tcW w:w="1860"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12,0</w:t>
            </w:r>
          </w:p>
          <w:p w:rsidR="00604ED4" w:rsidRDefault="00604ED4" w:rsidP="00AC7F65">
            <w:pPr>
              <w:jc w:val="center"/>
              <w:rPr>
                <w:rFonts w:eastAsia="Calibri"/>
                <w:sz w:val="24"/>
                <w:szCs w:val="24"/>
              </w:rPr>
            </w:pPr>
            <w:r>
              <w:rPr>
                <w:rFonts w:eastAsia="Calibri"/>
                <w:sz w:val="24"/>
                <w:szCs w:val="24"/>
              </w:rPr>
              <w:t>(10,7, 13,4)</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1,09</w:t>
            </w:r>
          </w:p>
          <w:p w:rsidR="00604ED4" w:rsidRDefault="00604ED4" w:rsidP="00AC7F65">
            <w:pPr>
              <w:jc w:val="center"/>
              <w:rPr>
                <w:rFonts w:eastAsia="Calibri"/>
                <w:sz w:val="24"/>
                <w:szCs w:val="24"/>
              </w:rPr>
            </w:pPr>
            <w:r>
              <w:rPr>
                <w:rFonts w:eastAsia="Calibri"/>
                <w:sz w:val="24"/>
                <w:szCs w:val="24"/>
              </w:rPr>
              <w:t>(0,979, 1,20)</w:t>
            </w:r>
          </w:p>
        </w:tc>
      </w:tr>
      <w:tr w:rsidR="00604ED4" w:rsidTr="00AC7F65">
        <w:trPr>
          <w:trHeight w:val="571"/>
        </w:trPr>
        <w:tc>
          <w:tcPr>
            <w:tcW w:w="1854"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PENTA 13</w:t>
            </w:r>
          </w:p>
        </w:tc>
        <w:tc>
          <w:tcPr>
            <w:tcW w:w="184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2 til 12 år (N=19)</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9,80</w:t>
            </w:r>
          </w:p>
          <w:p w:rsidR="00604ED4" w:rsidRDefault="00604ED4" w:rsidP="00AC7F65">
            <w:pPr>
              <w:jc w:val="center"/>
              <w:rPr>
                <w:rFonts w:eastAsia="Calibri"/>
                <w:sz w:val="24"/>
                <w:szCs w:val="24"/>
              </w:rPr>
            </w:pPr>
            <w:r>
              <w:rPr>
                <w:rFonts w:eastAsia="Calibri"/>
                <w:sz w:val="24"/>
                <w:szCs w:val="24"/>
              </w:rPr>
              <w:t>(8,64, 11,1)</w:t>
            </w:r>
          </w:p>
        </w:tc>
        <w:tc>
          <w:tcPr>
            <w:tcW w:w="1860"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8,88</w:t>
            </w:r>
          </w:p>
          <w:p w:rsidR="00604ED4" w:rsidRDefault="00604ED4" w:rsidP="00AC7F65">
            <w:pPr>
              <w:jc w:val="center"/>
              <w:rPr>
                <w:rFonts w:eastAsia="Calibri"/>
                <w:sz w:val="24"/>
                <w:szCs w:val="24"/>
              </w:rPr>
            </w:pPr>
            <w:r>
              <w:rPr>
                <w:rFonts w:eastAsia="Calibri"/>
                <w:sz w:val="24"/>
                <w:szCs w:val="24"/>
              </w:rPr>
              <w:t>(7,67, 10,3)</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1,12</w:t>
            </w:r>
          </w:p>
          <w:p w:rsidR="00604ED4" w:rsidRDefault="00604ED4" w:rsidP="00AC7F65">
            <w:pPr>
              <w:jc w:val="center"/>
              <w:rPr>
                <w:rFonts w:eastAsia="Calibri"/>
                <w:sz w:val="24"/>
                <w:szCs w:val="24"/>
              </w:rPr>
            </w:pPr>
            <w:r>
              <w:rPr>
                <w:rFonts w:eastAsia="Calibri"/>
                <w:sz w:val="24"/>
                <w:szCs w:val="24"/>
              </w:rPr>
              <w:t>(1,03, 1,21)</w:t>
            </w:r>
          </w:p>
        </w:tc>
      </w:tr>
      <w:tr w:rsidR="00604ED4" w:rsidTr="00AC7F65">
        <w:trPr>
          <w:trHeight w:val="569"/>
        </w:trPr>
        <w:tc>
          <w:tcPr>
            <w:tcW w:w="1854"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PENTA 15</w:t>
            </w:r>
          </w:p>
        </w:tc>
        <w:tc>
          <w:tcPr>
            <w:tcW w:w="1848"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jc w:val="center"/>
              <w:rPr>
                <w:rFonts w:eastAsia="Calibri"/>
                <w:sz w:val="24"/>
                <w:szCs w:val="24"/>
              </w:rPr>
            </w:pPr>
            <w:r>
              <w:rPr>
                <w:rFonts w:eastAsia="Calibri"/>
                <w:sz w:val="24"/>
                <w:szCs w:val="24"/>
              </w:rPr>
              <w:t>3 til 36 måneder (N=17).</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8,66</w:t>
            </w:r>
          </w:p>
          <w:p w:rsidR="00604ED4" w:rsidRDefault="00604ED4" w:rsidP="00AC7F65">
            <w:pPr>
              <w:jc w:val="center"/>
              <w:rPr>
                <w:rFonts w:eastAsia="Calibri"/>
                <w:sz w:val="24"/>
                <w:szCs w:val="24"/>
              </w:rPr>
            </w:pPr>
            <w:r>
              <w:rPr>
                <w:rFonts w:eastAsia="Calibri"/>
                <w:sz w:val="24"/>
                <w:szCs w:val="24"/>
              </w:rPr>
              <w:t>(7,46, 10,1)</w:t>
            </w:r>
          </w:p>
        </w:tc>
        <w:tc>
          <w:tcPr>
            <w:tcW w:w="1860"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9,48</w:t>
            </w:r>
          </w:p>
          <w:p w:rsidR="00604ED4" w:rsidRDefault="00604ED4" w:rsidP="00AC7F65">
            <w:pPr>
              <w:jc w:val="center"/>
              <w:rPr>
                <w:rFonts w:eastAsia="Calibri"/>
                <w:sz w:val="24"/>
                <w:szCs w:val="24"/>
              </w:rPr>
            </w:pPr>
            <w:r>
              <w:rPr>
                <w:rFonts w:eastAsia="Calibri"/>
                <w:sz w:val="24"/>
                <w:szCs w:val="24"/>
              </w:rPr>
              <w:t>(7,89, 11,40)</w:t>
            </w:r>
          </w:p>
        </w:tc>
        <w:tc>
          <w:tcPr>
            <w:tcW w:w="1862" w:type="dxa"/>
            <w:tcBorders>
              <w:top w:val="single" w:sz="4" w:space="0" w:color="000000"/>
              <w:left w:val="single" w:sz="4" w:space="0" w:color="000000"/>
              <w:bottom w:val="single" w:sz="4" w:space="0" w:color="000000"/>
              <w:right w:val="single" w:sz="4" w:space="0" w:color="000000"/>
            </w:tcBorders>
            <w:hideMark/>
          </w:tcPr>
          <w:p w:rsidR="00604ED4" w:rsidRDefault="00604ED4" w:rsidP="00AC7F65">
            <w:pPr>
              <w:spacing w:after="5"/>
              <w:jc w:val="center"/>
              <w:rPr>
                <w:rFonts w:eastAsia="Calibri"/>
                <w:sz w:val="24"/>
                <w:szCs w:val="24"/>
              </w:rPr>
            </w:pPr>
            <w:r>
              <w:rPr>
                <w:rFonts w:eastAsia="Calibri"/>
                <w:sz w:val="24"/>
                <w:szCs w:val="24"/>
              </w:rPr>
              <w:t>0,91</w:t>
            </w:r>
          </w:p>
          <w:p w:rsidR="00604ED4" w:rsidRDefault="00604ED4" w:rsidP="00AC7F65">
            <w:pPr>
              <w:jc w:val="center"/>
              <w:rPr>
                <w:rFonts w:eastAsia="Calibri"/>
                <w:sz w:val="24"/>
                <w:szCs w:val="24"/>
              </w:rPr>
            </w:pPr>
            <w:r>
              <w:rPr>
                <w:rFonts w:eastAsia="Calibri"/>
                <w:sz w:val="24"/>
                <w:szCs w:val="24"/>
              </w:rPr>
              <w:t>(0,79, 1,06)</w:t>
            </w:r>
          </w:p>
        </w:tc>
      </w:tr>
    </w:tbl>
    <w:p w:rsidR="00604ED4" w:rsidRDefault="00604ED4" w:rsidP="00604ED4">
      <w:pPr>
        <w:ind w:left="851"/>
        <w:rPr>
          <w:rFonts w:eastAsia="Calibri"/>
          <w:sz w:val="24"/>
          <w:szCs w:val="24"/>
        </w:rPr>
      </w:pPr>
    </w:p>
    <w:p w:rsidR="00604ED4" w:rsidRDefault="00604ED4" w:rsidP="00604ED4">
      <w:pPr>
        <w:ind w:left="851"/>
        <w:rPr>
          <w:rFonts w:eastAsia="Calibri"/>
          <w:sz w:val="24"/>
          <w:szCs w:val="24"/>
        </w:rPr>
      </w:pPr>
      <w:r>
        <w:rPr>
          <w:rFonts w:eastAsia="Calibri"/>
          <w:sz w:val="24"/>
          <w:szCs w:val="24"/>
        </w:rPr>
        <w:t xml:space="preserve">I PENTA 15-studiet er den geometriske middelværdi for </w:t>
      </w:r>
      <w:proofErr w:type="spellStart"/>
      <w:r>
        <w:rPr>
          <w:rFonts w:eastAsia="Calibri"/>
          <w:sz w:val="24"/>
          <w:szCs w:val="24"/>
        </w:rPr>
        <w:t>plasmalamivudin</w:t>
      </w:r>
      <w:proofErr w:type="spellEnd"/>
      <w:r>
        <w:rPr>
          <w:rFonts w:eastAsia="Calibri"/>
          <w:sz w:val="24"/>
          <w:szCs w:val="24"/>
        </w:rPr>
        <w:t xml:space="preserve"> </w:t>
      </w:r>
      <w:proofErr w:type="gramStart"/>
      <w:r>
        <w:rPr>
          <w:rFonts w:eastAsia="Calibri"/>
          <w:sz w:val="24"/>
          <w:szCs w:val="24"/>
        </w:rPr>
        <w:t>AUC(</w:t>
      </w:r>
      <w:proofErr w:type="gramEnd"/>
      <w:r>
        <w:rPr>
          <w:rFonts w:eastAsia="Calibri"/>
          <w:sz w:val="24"/>
          <w:szCs w:val="24"/>
        </w:rPr>
        <w:t xml:space="preserve">0-24) (95 % CI) for de fire patienter under 12 måneder, som skifter fra et </w:t>
      </w:r>
      <w:proofErr w:type="spellStart"/>
      <w:r>
        <w:rPr>
          <w:rFonts w:eastAsia="Calibri"/>
          <w:sz w:val="24"/>
          <w:szCs w:val="24"/>
        </w:rPr>
        <w:t>regimen</w:t>
      </w:r>
      <w:proofErr w:type="spellEnd"/>
      <w:r>
        <w:rPr>
          <w:rFonts w:eastAsia="Calibri"/>
          <w:sz w:val="24"/>
          <w:szCs w:val="24"/>
        </w:rPr>
        <w:t xml:space="preserve"> på to gange dagligt til én gang dagligt (se pkt. 5.1), 10,31 (6,26, 17,0) μg.t/ml ved doseringen én gang dagligt og 9,24 (4,66, 18,3) μg.t/ml ved doseringen to gange dagligt.</w:t>
      </w:r>
    </w:p>
    <w:p w:rsidR="00604ED4" w:rsidRDefault="00604ED4" w:rsidP="00604ED4">
      <w:pPr>
        <w:ind w:left="851"/>
        <w:rPr>
          <w:i/>
          <w:sz w:val="24"/>
          <w:szCs w:val="24"/>
        </w:rPr>
      </w:pPr>
    </w:p>
    <w:p w:rsidR="00604ED4" w:rsidRDefault="00604ED4" w:rsidP="00604ED4">
      <w:pPr>
        <w:ind w:left="851"/>
        <w:rPr>
          <w:sz w:val="24"/>
          <w:szCs w:val="24"/>
        </w:rPr>
      </w:pPr>
      <w:r>
        <w:rPr>
          <w:i/>
          <w:sz w:val="24"/>
          <w:szCs w:val="24"/>
        </w:rPr>
        <w:t xml:space="preserve">Graviditet: </w:t>
      </w:r>
      <w:r>
        <w:rPr>
          <w:sz w:val="24"/>
          <w:szCs w:val="24"/>
        </w:rPr>
        <w:t xml:space="preserve">Efter oral administration svarede farmakokinetikken af </w:t>
      </w:r>
      <w:proofErr w:type="spellStart"/>
      <w:r>
        <w:rPr>
          <w:sz w:val="24"/>
          <w:szCs w:val="24"/>
        </w:rPr>
        <w:t>lamivudin</w:t>
      </w:r>
      <w:proofErr w:type="spellEnd"/>
      <w:r>
        <w:rPr>
          <w:sz w:val="24"/>
          <w:szCs w:val="24"/>
        </w:rPr>
        <w:t xml:space="preserve"> sent i graviditeten til farmakokinetikken hos ikke-gravide kvinder.</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5.3</w:t>
      </w:r>
      <w:r w:rsidRPr="002250CB">
        <w:rPr>
          <w:b/>
          <w:sz w:val="24"/>
          <w:szCs w:val="24"/>
        </w:rPr>
        <w:tab/>
      </w:r>
      <w:r w:rsidR="006C3927">
        <w:rPr>
          <w:b/>
          <w:sz w:val="24"/>
          <w:szCs w:val="24"/>
        </w:rPr>
        <w:t>Non-</w:t>
      </w:r>
      <w:r w:rsidRPr="002250CB">
        <w:rPr>
          <w:b/>
          <w:sz w:val="24"/>
          <w:szCs w:val="24"/>
        </w:rPr>
        <w:t>kliniske sikkerhedsdata</w:t>
      </w:r>
    </w:p>
    <w:p w:rsidR="00604ED4" w:rsidRDefault="00604ED4" w:rsidP="00604ED4">
      <w:pPr>
        <w:ind w:left="851" w:hanging="851"/>
        <w:rPr>
          <w:sz w:val="24"/>
          <w:szCs w:val="24"/>
        </w:rPr>
      </w:pPr>
      <w:r w:rsidRPr="002250CB">
        <w:rPr>
          <w:sz w:val="24"/>
          <w:szCs w:val="24"/>
        </w:rPr>
        <w:tab/>
      </w:r>
      <w:r>
        <w:rPr>
          <w:sz w:val="24"/>
          <w:szCs w:val="24"/>
        </w:rPr>
        <w:t xml:space="preserve">Administration af høje doser </w:t>
      </w:r>
      <w:proofErr w:type="spellStart"/>
      <w:r>
        <w:rPr>
          <w:sz w:val="24"/>
          <w:szCs w:val="24"/>
        </w:rPr>
        <w:t>lamivudin</w:t>
      </w:r>
      <w:proofErr w:type="spellEnd"/>
      <w:r>
        <w:rPr>
          <w:sz w:val="24"/>
          <w:szCs w:val="24"/>
        </w:rPr>
        <w:t xml:space="preserve"> i dyretoksicitetsstudier var ikke forbundet med nogen større organtoksicitet. Ved de højeste doser sås mindre påvirkning af indikatorer for lever- og nyrefunktion samt af og til reduktioner af levervægt. Af klinisk relevans sås reduktion i antallet af røde blodlegemer og </w:t>
      </w:r>
      <w:proofErr w:type="spellStart"/>
      <w:r>
        <w:rPr>
          <w:sz w:val="24"/>
          <w:szCs w:val="24"/>
        </w:rPr>
        <w:t>neutropeni</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r>
      <w:proofErr w:type="spellStart"/>
      <w:r>
        <w:rPr>
          <w:sz w:val="24"/>
          <w:szCs w:val="24"/>
        </w:rPr>
        <w:t>Lamivudin</w:t>
      </w:r>
      <w:proofErr w:type="spellEnd"/>
      <w:r>
        <w:rPr>
          <w:sz w:val="24"/>
          <w:szCs w:val="24"/>
        </w:rPr>
        <w:t xml:space="preserve"> var ikke mutagent i bakteriestudier, men viste som mange andre </w:t>
      </w:r>
      <w:proofErr w:type="spellStart"/>
      <w:r>
        <w:rPr>
          <w:sz w:val="24"/>
          <w:szCs w:val="24"/>
        </w:rPr>
        <w:t>nukleosidanaloger</w:t>
      </w:r>
      <w:proofErr w:type="spellEnd"/>
      <w:r>
        <w:rPr>
          <w:sz w:val="24"/>
          <w:szCs w:val="24"/>
        </w:rPr>
        <w:t xml:space="preserve"> aktivitet i en </w:t>
      </w:r>
      <w:r>
        <w:rPr>
          <w:i/>
          <w:sz w:val="24"/>
          <w:szCs w:val="24"/>
        </w:rPr>
        <w:t xml:space="preserve">in </w:t>
      </w:r>
      <w:proofErr w:type="spellStart"/>
      <w:r>
        <w:rPr>
          <w:i/>
          <w:sz w:val="24"/>
          <w:szCs w:val="24"/>
        </w:rPr>
        <w:t>vitro</w:t>
      </w:r>
      <w:r>
        <w:rPr>
          <w:sz w:val="24"/>
          <w:szCs w:val="24"/>
        </w:rPr>
        <w:t>-cytogenprøve</w:t>
      </w:r>
      <w:proofErr w:type="spellEnd"/>
      <w:r>
        <w:rPr>
          <w:sz w:val="24"/>
          <w:szCs w:val="24"/>
        </w:rPr>
        <w:t xml:space="preserve"> og i </w:t>
      </w:r>
      <w:proofErr w:type="spellStart"/>
      <w:r>
        <w:rPr>
          <w:sz w:val="24"/>
          <w:szCs w:val="24"/>
        </w:rPr>
        <w:t>muselymfomcelletesten</w:t>
      </w:r>
      <w:proofErr w:type="spellEnd"/>
      <w:r>
        <w:rPr>
          <w:sz w:val="24"/>
          <w:szCs w:val="24"/>
        </w:rPr>
        <w:t xml:space="preserve">. </w:t>
      </w:r>
      <w:proofErr w:type="spellStart"/>
      <w:r>
        <w:rPr>
          <w:sz w:val="24"/>
          <w:szCs w:val="24"/>
        </w:rPr>
        <w:t>Lamivudin</w:t>
      </w:r>
      <w:proofErr w:type="spellEnd"/>
      <w:r>
        <w:rPr>
          <w:sz w:val="24"/>
          <w:szCs w:val="24"/>
        </w:rPr>
        <w:t xml:space="preserve"> var ikke genotoksisk </w:t>
      </w:r>
      <w:r>
        <w:rPr>
          <w:i/>
          <w:sz w:val="24"/>
          <w:szCs w:val="24"/>
        </w:rPr>
        <w:t xml:space="preserve">in </w:t>
      </w:r>
      <w:proofErr w:type="spellStart"/>
      <w:r>
        <w:rPr>
          <w:i/>
          <w:sz w:val="24"/>
          <w:szCs w:val="24"/>
        </w:rPr>
        <w:t>vivo</w:t>
      </w:r>
      <w:proofErr w:type="spellEnd"/>
      <w:r>
        <w:rPr>
          <w:sz w:val="24"/>
          <w:szCs w:val="24"/>
        </w:rPr>
        <w:t xml:space="preserve"> ved doser, der medførte plasmakoncentrationer omkring 40-50 gange højere end de forventede kliniske plasmakoncentrationer. Da </w:t>
      </w:r>
      <w:proofErr w:type="spellStart"/>
      <w:r>
        <w:rPr>
          <w:sz w:val="24"/>
          <w:szCs w:val="24"/>
        </w:rPr>
        <w:lastRenderedPageBreak/>
        <w:t>lamivudins</w:t>
      </w:r>
      <w:proofErr w:type="spellEnd"/>
      <w:r>
        <w:rPr>
          <w:sz w:val="24"/>
          <w:szCs w:val="24"/>
        </w:rPr>
        <w:t xml:space="preserve"> mutagene aktivitet </w:t>
      </w:r>
      <w:r>
        <w:rPr>
          <w:i/>
          <w:sz w:val="24"/>
          <w:szCs w:val="24"/>
        </w:rPr>
        <w:t xml:space="preserve">in </w:t>
      </w:r>
      <w:proofErr w:type="spellStart"/>
      <w:r>
        <w:rPr>
          <w:i/>
          <w:sz w:val="24"/>
          <w:szCs w:val="24"/>
        </w:rPr>
        <w:t>vitro</w:t>
      </w:r>
      <w:proofErr w:type="spellEnd"/>
      <w:r>
        <w:rPr>
          <w:sz w:val="24"/>
          <w:szCs w:val="24"/>
        </w:rPr>
        <w:t xml:space="preserve"> ikke kunne bekræftes </w:t>
      </w:r>
      <w:r>
        <w:rPr>
          <w:i/>
          <w:sz w:val="24"/>
          <w:szCs w:val="24"/>
        </w:rPr>
        <w:t xml:space="preserve">in </w:t>
      </w:r>
      <w:proofErr w:type="spellStart"/>
      <w:r>
        <w:rPr>
          <w:i/>
          <w:sz w:val="24"/>
          <w:szCs w:val="24"/>
        </w:rPr>
        <w:t>vivo</w:t>
      </w:r>
      <w:proofErr w:type="spellEnd"/>
      <w:r>
        <w:rPr>
          <w:sz w:val="24"/>
          <w:szCs w:val="24"/>
        </w:rPr>
        <w:t xml:space="preserve">, kan det konkluderes, at der ikke skulle være risiko for genotoksicitet hos patienter i behandling med </w:t>
      </w:r>
      <w:proofErr w:type="spellStart"/>
      <w:r>
        <w:rPr>
          <w:sz w:val="24"/>
          <w:szCs w:val="24"/>
        </w:rPr>
        <w:t>lamivudin</w:t>
      </w:r>
      <w:proofErr w:type="spellEnd"/>
      <w:r>
        <w:rPr>
          <w:sz w:val="24"/>
          <w:szCs w:val="24"/>
        </w:rPr>
        <w:t>.</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Et </w:t>
      </w:r>
      <w:proofErr w:type="spellStart"/>
      <w:r>
        <w:rPr>
          <w:sz w:val="24"/>
          <w:szCs w:val="24"/>
        </w:rPr>
        <w:t>transplacentalt</w:t>
      </w:r>
      <w:proofErr w:type="spellEnd"/>
      <w:r>
        <w:rPr>
          <w:sz w:val="24"/>
          <w:szCs w:val="24"/>
        </w:rPr>
        <w:t xml:space="preserve"> </w:t>
      </w:r>
      <w:proofErr w:type="spellStart"/>
      <w:r>
        <w:rPr>
          <w:sz w:val="24"/>
          <w:szCs w:val="24"/>
        </w:rPr>
        <w:t>genotoksicitetsstudie</w:t>
      </w:r>
      <w:proofErr w:type="spellEnd"/>
      <w:r>
        <w:rPr>
          <w:sz w:val="24"/>
          <w:szCs w:val="24"/>
        </w:rPr>
        <w:t xml:space="preserve"> udført hos aber sammenlignede </w:t>
      </w:r>
      <w:proofErr w:type="spellStart"/>
      <w:r>
        <w:rPr>
          <w:sz w:val="24"/>
          <w:szCs w:val="24"/>
        </w:rPr>
        <w:t>zidovudin</w:t>
      </w:r>
      <w:proofErr w:type="spellEnd"/>
      <w:r>
        <w:rPr>
          <w:sz w:val="24"/>
          <w:szCs w:val="24"/>
        </w:rPr>
        <w:t xml:space="preserve"> alene med kombinationen af </w:t>
      </w:r>
      <w:proofErr w:type="spellStart"/>
      <w:r>
        <w:rPr>
          <w:sz w:val="24"/>
          <w:szCs w:val="24"/>
        </w:rPr>
        <w:t>zidovudin</w:t>
      </w:r>
      <w:proofErr w:type="spellEnd"/>
      <w:r>
        <w:rPr>
          <w:sz w:val="24"/>
          <w:szCs w:val="24"/>
        </w:rPr>
        <w:t xml:space="preserve"> og </w:t>
      </w:r>
      <w:proofErr w:type="spellStart"/>
      <w:r>
        <w:rPr>
          <w:sz w:val="24"/>
          <w:szCs w:val="24"/>
        </w:rPr>
        <w:t>lamivudin</w:t>
      </w:r>
      <w:proofErr w:type="spellEnd"/>
      <w:r>
        <w:rPr>
          <w:sz w:val="24"/>
          <w:szCs w:val="24"/>
        </w:rPr>
        <w:t xml:space="preserve"> i human-ækvivalente doser. Studiet viste, at fostre, der </w:t>
      </w:r>
      <w:r>
        <w:rPr>
          <w:i/>
          <w:sz w:val="24"/>
          <w:szCs w:val="24"/>
        </w:rPr>
        <w:t xml:space="preserve">in </w:t>
      </w:r>
      <w:proofErr w:type="spellStart"/>
      <w:r>
        <w:rPr>
          <w:i/>
          <w:sz w:val="24"/>
          <w:szCs w:val="24"/>
        </w:rPr>
        <w:t>utero</w:t>
      </w:r>
      <w:proofErr w:type="spellEnd"/>
      <w:r>
        <w:rPr>
          <w:sz w:val="24"/>
          <w:szCs w:val="24"/>
        </w:rPr>
        <w:t xml:space="preserve"> blev udsat for kombinationsbehandlingen, opretholdte et højere niveau af </w:t>
      </w:r>
      <w:proofErr w:type="spellStart"/>
      <w:r>
        <w:rPr>
          <w:sz w:val="24"/>
          <w:szCs w:val="24"/>
        </w:rPr>
        <w:t>nukleosid</w:t>
      </w:r>
      <w:proofErr w:type="spellEnd"/>
      <w:r>
        <w:rPr>
          <w:sz w:val="24"/>
          <w:szCs w:val="24"/>
        </w:rPr>
        <w:t xml:space="preserve">-analogt DNA i multiple </w:t>
      </w:r>
      <w:proofErr w:type="spellStart"/>
      <w:r>
        <w:rPr>
          <w:sz w:val="24"/>
          <w:szCs w:val="24"/>
        </w:rPr>
        <w:t>føtale</w:t>
      </w:r>
      <w:proofErr w:type="spellEnd"/>
      <w:r>
        <w:rPr>
          <w:sz w:val="24"/>
          <w:szCs w:val="24"/>
        </w:rPr>
        <w:t xml:space="preserve"> organer, og de udviste også tegn på øget </w:t>
      </w:r>
      <w:proofErr w:type="spellStart"/>
      <w:r>
        <w:rPr>
          <w:sz w:val="24"/>
          <w:szCs w:val="24"/>
        </w:rPr>
        <w:t>telomerforkortning</w:t>
      </w:r>
      <w:proofErr w:type="spellEnd"/>
      <w:r>
        <w:rPr>
          <w:sz w:val="24"/>
          <w:szCs w:val="24"/>
        </w:rPr>
        <w:t xml:space="preserve"> i forhold til dem, der kun fik </w:t>
      </w:r>
      <w:proofErr w:type="spellStart"/>
      <w:r>
        <w:rPr>
          <w:sz w:val="24"/>
          <w:szCs w:val="24"/>
        </w:rPr>
        <w:t>zidovudin</w:t>
      </w:r>
      <w:proofErr w:type="spellEnd"/>
      <w:r>
        <w:rPr>
          <w:sz w:val="24"/>
          <w:szCs w:val="24"/>
        </w:rPr>
        <w:t xml:space="preserve">. Den kliniske betydning af disse fund kendes ikke.  </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 xml:space="preserve">Resultaterne af </w:t>
      </w:r>
      <w:proofErr w:type="spellStart"/>
      <w:r>
        <w:rPr>
          <w:sz w:val="24"/>
          <w:szCs w:val="24"/>
        </w:rPr>
        <w:t>langtidskarcinogenicitetsstudier</w:t>
      </w:r>
      <w:proofErr w:type="spellEnd"/>
      <w:r>
        <w:rPr>
          <w:sz w:val="24"/>
          <w:szCs w:val="24"/>
        </w:rPr>
        <w:t xml:space="preserve"> hos rotter og mus viste intet </w:t>
      </w:r>
      <w:proofErr w:type="spellStart"/>
      <w:r>
        <w:rPr>
          <w:sz w:val="24"/>
          <w:szCs w:val="24"/>
        </w:rPr>
        <w:t>karcinogent</w:t>
      </w:r>
      <w:proofErr w:type="spellEnd"/>
      <w:r>
        <w:rPr>
          <w:sz w:val="24"/>
          <w:szCs w:val="24"/>
        </w:rPr>
        <w:t xml:space="preserve"> potentiale med relevans for mennesker.</w:t>
      </w:r>
    </w:p>
    <w:p w:rsidR="00604ED4" w:rsidRDefault="00604ED4" w:rsidP="00604ED4">
      <w:pPr>
        <w:ind w:left="851" w:hanging="851"/>
        <w:rPr>
          <w:sz w:val="24"/>
          <w:szCs w:val="24"/>
        </w:rPr>
      </w:pPr>
    </w:p>
    <w:p w:rsidR="00604ED4" w:rsidRDefault="00604ED4" w:rsidP="00604ED4">
      <w:pPr>
        <w:ind w:left="851"/>
        <w:rPr>
          <w:sz w:val="24"/>
          <w:szCs w:val="24"/>
        </w:rPr>
      </w:pPr>
      <w:r>
        <w:rPr>
          <w:rFonts w:eastAsia="Calibri"/>
          <w:sz w:val="24"/>
          <w:szCs w:val="24"/>
        </w:rPr>
        <w:t xml:space="preserve">Et fertilitetsstudie hos rotter har vist, at </w:t>
      </w:r>
      <w:proofErr w:type="spellStart"/>
      <w:r>
        <w:rPr>
          <w:rFonts w:eastAsia="Calibri"/>
          <w:sz w:val="24"/>
          <w:szCs w:val="24"/>
        </w:rPr>
        <w:t>lamivudin</w:t>
      </w:r>
      <w:proofErr w:type="spellEnd"/>
      <w:r>
        <w:rPr>
          <w:rFonts w:eastAsia="Calibri"/>
          <w:sz w:val="24"/>
          <w:szCs w:val="24"/>
        </w:rPr>
        <w:t xml:space="preserve"> ikke havde nogen virkning på </w:t>
      </w:r>
      <w:r>
        <w:rPr>
          <w:sz w:val="24"/>
          <w:szCs w:val="24"/>
        </w:rPr>
        <w:t>hanners eller hunners fertilitet.</w:t>
      </w:r>
    </w:p>
    <w:p w:rsidR="00604ED4" w:rsidRDefault="00604ED4" w:rsidP="00604ED4">
      <w:pPr>
        <w:ind w:left="851" w:hanging="851"/>
        <w:rPr>
          <w:sz w:val="24"/>
          <w:szCs w:val="24"/>
        </w:rPr>
      </w:pP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6.</w:t>
      </w:r>
      <w:r w:rsidRPr="002250CB">
        <w:rPr>
          <w:b/>
          <w:sz w:val="24"/>
          <w:szCs w:val="24"/>
        </w:rPr>
        <w:tab/>
        <w:t>FARMACEUTISKE OPLYSNINGER</w:t>
      </w:r>
    </w:p>
    <w:p w:rsidR="00604ED4" w:rsidRPr="002250CB" w:rsidRDefault="00604ED4" w:rsidP="00604ED4">
      <w:pPr>
        <w:ind w:left="851" w:hanging="851"/>
        <w:rPr>
          <w:b/>
          <w:sz w:val="24"/>
          <w:szCs w:val="24"/>
        </w:rPr>
      </w:pPr>
    </w:p>
    <w:p w:rsidR="00604ED4" w:rsidRPr="0035062A" w:rsidRDefault="00604ED4" w:rsidP="00604ED4">
      <w:pPr>
        <w:ind w:left="851" w:hanging="851"/>
        <w:rPr>
          <w:b/>
          <w:sz w:val="24"/>
          <w:szCs w:val="24"/>
        </w:rPr>
      </w:pPr>
      <w:r w:rsidRPr="002250CB">
        <w:rPr>
          <w:b/>
          <w:sz w:val="24"/>
          <w:szCs w:val="24"/>
        </w:rPr>
        <w:t>6.1</w:t>
      </w:r>
      <w:r w:rsidRPr="002250CB">
        <w:rPr>
          <w:b/>
          <w:sz w:val="24"/>
          <w:szCs w:val="24"/>
        </w:rPr>
        <w:tab/>
        <w:t>Hjælpestoffer</w:t>
      </w:r>
    </w:p>
    <w:p w:rsidR="00604ED4" w:rsidRPr="002250CB" w:rsidRDefault="00604ED4" w:rsidP="00604ED4">
      <w:pPr>
        <w:ind w:left="851"/>
        <w:rPr>
          <w:sz w:val="24"/>
          <w:szCs w:val="24"/>
          <w:u w:val="single"/>
        </w:rPr>
      </w:pPr>
      <w:r w:rsidRPr="002250CB">
        <w:rPr>
          <w:sz w:val="24"/>
          <w:szCs w:val="24"/>
          <w:u w:val="single"/>
        </w:rPr>
        <w:t>Tabletkerne</w:t>
      </w:r>
    </w:p>
    <w:p w:rsidR="00604ED4" w:rsidRPr="002250CB" w:rsidRDefault="00604ED4" w:rsidP="00604ED4">
      <w:pPr>
        <w:ind w:left="851"/>
        <w:rPr>
          <w:sz w:val="24"/>
          <w:szCs w:val="24"/>
        </w:rPr>
      </w:pPr>
      <w:proofErr w:type="spellStart"/>
      <w:r w:rsidRPr="002250CB">
        <w:rPr>
          <w:sz w:val="24"/>
          <w:szCs w:val="24"/>
        </w:rPr>
        <w:t>Isomalt</w:t>
      </w:r>
      <w:proofErr w:type="spellEnd"/>
      <w:r w:rsidRPr="002250CB">
        <w:rPr>
          <w:sz w:val="24"/>
          <w:szCs w:val="24"/>
        </w:rPr>
        <w:t xml:space="preserve"> (E953)</w:t>
      </w:r>
    </w:p>
    <w:p w:rsidR="00604ED4" w:rsidRPr="002250CB" w:rsidRDefault="00604ED4" w:rsidP="00604ED4">
      <w:pPr>
        <w:ind w:left="851"/>
        <w:rPr>
          <w:sz w:val="24"/>
          <w:szCs w:val="24"/>
          <w:lang w:val="en-US"/>
        </w:rPr>
      </w:pPr>
      <w:proofErr w:type="spellStart"/>
      <w:r w:rsidRPr="002250CB">
        <w:rPr>
          <w:sz w:val="24"/>
          <w:szCs w:val="24"/>
          <w:lang w:val="en-US"/>
        </w:rPr>
        <w:t>Crospovidon</w:t>
      </w:r>
      <w:proofErr w:type="spellEnd"/>
      <w:r w:rsidRPr="002250CB">
        <w:rPr>
          <w:sz w:val="24"/>
          <w:szCs w:val="24"/>
          <w:lang w:val="en-US"/>
        </w:rPr>
        <w:t xml:space="preserve"> type A</w:t>
      </w:r>
    </w:p>
    <w:p w:rsidR="00604ED4" w:rsidRPr="002250CB" w:rsidRDefault="00604ED4" w:rsidP="00604ED4">
      <w:pPr>
        <w:ind w:left="851"/>
        <w:rPr>
          <w:sz w:val="24"/>
          <w:szCs w:val="24"/>
          <w:lang w:val="en-US"/>
        </w:rPr>
      </w:pPr>
      <w:proofErr w:type="spellStart"/>
      <w:r w:rsidRPr="002250CB">
        <w:rPr>
          <w:sz w:val="24"/>
          <w:szCs w:val="24"/>
          <w:lang w:val="en-US"/>
        </w:rPr>
        <w:t>Magnesiumstearat</w:t>
      </w:r>
      <w:proofErr w:type="spellEnd"/>
      <w:r w:rsidRPr="002250CB">
        <w:rPr>
          <w:sz w:val="24"/>
          <w:szCs w:val="24"/>
          <w:lang w:val="en-US"/>
        </w:rPr>
        <w:t xml:space="preserve"> (E572)</w:t>
      </w:r>
    </w:p>
    <w:p w:rsidR="00604ED4" w:rsidRDefault="00604ED4" w:rsidP="00604ED4">
      <w:pPr>
        <w:ind w:left="851"/>
        <w:rPr>
          <w:sz w:val="24"/>
          <w:szCs w:val="24"/>
          <w:u w:val="single"/>
          <w:lang w:val="en-US"/>
        </w:rPr>
      </w:pPr>
    </w:p>
    <w:p w:rsidR="00604ED4" w:rsidRPr="002250CB" w:rsidRDefault="00604ED4" w:rsidP="00604ED4">
      <w:pPr>
        <w:ind w:left="851"/>
        <w:rPr>
          <w:sz w:val="24"/>
          <w:szCs w:val="24"/>
          <w:u w:val="single"/>
          <w:lang w:val="en-US"/>
        </w:rPr>
      </w:pPr>
      <w:proofErr w:type="spellStart"/>
      <w:r w:rsidRPr="002250CB">
        <w:rPr>
          <w:sz w:val="24"/>
          <w:szCs w:val="24"/>
          <w:u w:val="single"/>
          <w:lang w:val="en-US"/>
        </w:rPr>
        <w:t>Overtræk</w:t>
      </w:r>
      <w:proofErr w:type="spellEnd"/>
    </w:p>
    <w:p w:rsidR="00604ED4" w:rsidRPr="002250CB" w:rsidRDefault="00604ED4" w:rsidP="00604ED4">
      <w:pPr>
        <w:ind w:left="851"/>
        <w:rPr>
          <w:sz w:val="24"/>
          <w:szCs w:val="24"/>
          <w:lang w:val="en-US"/>
        </w:rPr>
      </w:pPr>
      <w:r w:rsidRPr="002250CB">
        <w:rPr>
          <w:sz w:val="24"/>
          <w:szCs w:val="24"/>
          <w:lang w:val="en-US"/>
        </w:rPr>
        <w:t>Hypromellose 3cp (E464)</w:t>
      </w:r>
    </w:p>
    <w:p w:rsidR="00604ED4" w:rsidRPr="002250CB" w:rsidRDefault="00604ED4" w:rsidP="00604ED4">
      <w:pPr>
        <w:ind w:left="851"/>
        <w:rPr>
          <w:sz w:val="24"/>
          <w:szCs w:val="24"/>
          <w:lang w:val="en-US"/>
        </w:rPr>
      </w:pPr>
      <w:r w:rsidRPr="002250CB">
        <w:rPr>
          <w:sz w:val="24"/>
          <w:szCs w:val="24"/>
          <w:lang w:val="en-US"/>
        </w:rPr>
        <w:t>Hypromellose 6cp (E464)</w:t>
      </w:r>
    </w:p>
    <w:p w:rsidR="00BE4824" w:rsidRPr="004E22F5" w:rsidRDefault="00BE4824" w:rsidP="00BE4824">
      <w:pPr>
        <w:ind w:left="851"/>
        <w:rPr>
          <w:sz w:val="24"/>
          <w:szCs w:val="24"/>
          <w:lang w:val="en-US"/>
        </w:rPr>
      </w:pPr>
      <w:proofErr w:type="spellStart"/>
      <w:r w:rsidRPr="004E22F5">
        <w:rPr>
          <w:sz w:val="24"/>
          <w:szCs w:val="24"/>
          <w:lang w:val="en-US"/>
        </w:rPr>
        <w:t>Titandioxid</w:t>
      </w:r>
      <w:proofErr w:type="spellEnd"/>
      <w:r w:rsidRPr="004E22F5">
        <w:rPr>
          <w:sz w:val="24"/>
          <w:szCs w:val="24"/>
          <w:lang w:val="en-US"/>
        </w:rPr>
        <w:t xml:space="preserve"> (E171)</w:t>
      </w:r>
    </w:p>
    <w:p w:rsidR="00604ED4" w:rsidRPr="002250CB" w:rsidRDefault="00604ED4" w:rsidP="00604ED4">
      <w:pPr>
        <w:ind w:left="851"/>
        <w:rPr>
          <w:sz w:val="24"/>
          <w:szCs w:val="24"/>
          <w:lang w:val="en-US"/>
        </w:rPr>
      </w:pPr>
      <w:r w:rsidRPr="002250CB">
        <w:rPr>
          <w:sz w:val="24"/>
          <w:szCs w:val="24"/>
          <w:lang w:val="en-US"/>
        </w:rPr>
        <w:t xml:space="preserve">Macrogol 400 </w:t>
      </w:r>
    </w:p>
    <w:p w:rsidR="00604ED4" w:rsidRPr="00F94572" w:rsidRDefault="00604ED4" w:rsidP="00604ED4">
      <w:pPr>
        <w:ind w:left="851"/>
        <w:rPr>
          <w:sz w:val="24"/>
          <w:szCs w:val="24"/>
        </w:rPr>
      </w:pPr>
      <w:proofErr w:type="spellStart"/>
      <w:r w:rsidRPr="00F94572">
        <w:rPr>
          <w:sz w:val="24"/>
          <w:szCs w:val="24"/>
        </w:rPr>
        <w:t>Polysorbat</w:t>
      </w:r>
      <w:proofErr w:type="spellEnd"/>
      <w:r w:rsidRPr="00F94572">
        <w:rPr>
          <w:sz w:val="24"/>
          <w:szCs w:val="24"/>
        </w:rPr>
        <w:t xml:space="preserve"> 80 (E433)</w:t>
      </w:r>
    </w:p>
    <w:p w:rsidR="00604ED4" w:rsidRPr="00F94572"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6.2</w:t>
      </w:r>
      <w:r w:rsidRPr="002250CB">
        <w:rPr>
          <w:b/>
          <w:sz w:val="24"/>
          <w:szCs w:val="24"/>
        </w:rPr>
        <w:tab/>
        <w:t>Uforligeligheder</w:t>
      </w:r>
    </w:p>
    <w:p w:rsidR="00604ED4" w:rsidRPr="002250CB" w:rsidRDefault="00604ED4" w:rsidP="00604ED4">
      <w:pPr>
        <w:ind w:left="851" w:hanging="851"/>
        <w:rPr>
          <w:sz w:val="24"/>
          <w:szCs w:val="24"/>
        </w:rPr>
      </w:pPr>
      <w:r w:rsidRPr="002250CB">
        <w:rPr>
          <w:sz w:val="24"/>
          <w:szCs w:val="24"/>
        </w:rPr>
        <w:tab/>
        <w:t>Ikke relevant.</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6.3</w:t>
      </w:r>
      <w:r w:rsidRPr="002250CB">
        <w:rPr>
          <w:b/>
          <w:sz w:val="24"/>
          <w:szCs w:val="24"/>
        </w:rPr>
        <w:tab/>
        <w:t>Opbevaringstid</w:t>
      </w:r>
    </w:p>
    <w:p w:rsidR="00604ED4" w:rsidRDefault="00604ED4" w:rsidP="00604ED4">
      <w:pPr>
        <w:ind w:left="851" w:hanging="851"/>
        <w:rPr>
          <w:sz w:val="24"/>
          <w:szCs w:val="24"/>
        </w:rPr>
      </w:pPr>
      <w:r w:rsidRPr="002250CB">
        <w:rPr>
          <w:sz w:val="24"/>
          <w:szCs w:val="24"/>
        </w:rPr>
        <w:tab/>
      </w:r>
      <w:r>
        <w:rPr>
          <w:sz w:val="24"/>
          <w:szCs w:val="24"/>
        </w:rPr>
        <w:t>3</w:t>
      </w:r>
      <w:r w:rsidR="00377369">
        <w:rPr>
          <w:sz w:val="24"/>
          <w:szCs w:val="24"/>
        </w:rPr>
        <w:t>6</w:t>
      </w:r>
      <w:r>
        <w:rPr>
          <w:sz w:val="24"/>
          <w:szCs w:val="24"/>
        </w:rPr>
        <w:t xml:space="preserve"> måneder.</w:t>
      </w:r>
    </w:p>
    <w:p w:rsidR="00604ED4" w:rsidRDefault="00604ED4" w:rsidP="00604ED4">
      <w:pPr>
        <w:autoSpaceDE w:val="0"/>
        <w:autoSpaceDN w:val="0"/>
        <w:adjustRightInd w:val="0"/>
        <w:ind w:left="851" w:hanging="851"/>
        <w:rPr>
          <w:bCs/>
          <w:i/>
          <w:color w:val="000000"/>
          <w:sz w:val="24"/>
          <w:szCs w:val="24"/>
        </w:rPr>
      </w:pPr>
      <w:r>
        <w:rPr>
          <w:bCs/>
          <w:i/>
          <w:color w:val="000000"/>
          <w:sz w:val="24"/>
          <w:szCs w:val="24"/>
        </w:rPr>
        <w:tab/>
      </w:r>
    </w:p>
    <w:p w:rsidR="00604ED4" w:rsidRDefault="00604ED4" w:rsidP="00604ED4">
      <w:pPr>
        <w:ind w:left="851"/>
        <w:rPr>
          <w:bCs/>
          <w:color w:val="000000"/>
          <w:szCs w:val="24"/>
        </w:rPr>
      </w:pPr>
      <w:r>
        <w:rPr>
          <w:sz w:val="24"/>
          <w:szCs w:val="24"/>
        </w:rPr>
        <w:t>Anvendes senest 3 måneder efter åbning af beholderen.</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6.4</w:t>
      </w:r>
      <w:r w:rsidRPr="002250CB">
        <w:rPr>
          <w:b/>
          <w:sz w:val="24"/>
          <w:szCs w:val="24"/>
        </w:rPr>
        <w:tab/>
        <w:t>Særlige opbevaringsforhold</w:t>
      </w:r>
    </w:p>
    <w:p w:rsidR="00604ED4" w:rsidRDefault="00604ED4" w:rsidP="00604ED4">
      <w:pPr>
        <w:ind w:left="851" w:hanging="851"/>
        <w:rPr>
          <w:sz w:val="24"/>
          <w:szCs w:val="24"/>
        </w:rPr>
      </w:pPr>
      <w:r w:rsidRPr="002250CB">
        <w:rPr>
          <w:sz w:val="24"/>
          <w:szCs w:val="24"/>
        </w:rPr>
        <w:tab/>
      </w:r>
      <w:r>
        <w:rPr>
          <w:sz w:val="24"/>
          <w:szCs w:val="24"/>
        </w:rPr>
        <w:t>Dette lægemiddel kræver ingen særlige forholdsregler vedrørende opbevaringen.</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6.5</w:t>
      </w:r>
      <w:r w:rsidRPr="002250CB">
        <w:rPr>
          <w:b/>
          <w:sz w:val="24"/>
          <w:szCs w:val="24"/>
        </w:rPr>
        <w:tab/>
        <w:t>Emballagetype og pakningsstørrelser</w:t>
      </w:r>
    </w:p>
    <w:p w:rsidR="00604ED4" w:rsidRDefault="00604ED4" w:rsidP="00604ED4">
      <w:pPr>
        <w:ind w:left="851" w:hanging="851"/>
        <w:rPr>
          <w:sz w:val="24"/>
          <w:szCs w:val="24"/>
        </w:rPr>
      </w:pPr>
      <w:r w:rsidRPr="002250CB">
        <w:rPr>
          <w:sz w:val="24"/>
          <w:szCs w:val="24"/>
        </w:rPr>
        <w:tab/>
      </w:r>
      <w:r>
        <w:rPr>
          <w:sz w:val="24"/>
          <w:szCs w:val="24"/>
        </w:rPr>
        <w:t xml:space="preserve">De filmovertrukne tabletter er pakket i </w:t>
      </w:r>
      <w:proofErr w:type="spellStart"/>
      <w:r>
        <w:rPr>
          <w:sz w:val="24"/>
          <w:szCs w:val="24"/>
        </w:rPr>
        <w:t>Alu</w:t>
      </w:r>
      <w:proofErr w:type="spellEnd"/>
      <w:r>
        <w:rPr>
          <w:sz w:val="24"/>
          <w:szCs w:val="24"/>
        </w:rPr>
        <w:t>/OPA/</w:t>
      </w:r>
      <w:proofErr w:type="spellStart"/>
      <w:r>
        <w:rPr>
          <w:sz w:val="24"/>
          <w:szCs w:val="24"/>
        </w:rPr>
        <w:t>Alu</w:t>
      </w:r>
      <w:proofErr w:type="spellEnd"/>
      <w:r>
        <w:rPr>
          <w:sz w:val="24"/>
          <w:szCs w:val="24"/>
        </w:rPr>
        <w:t>/</w:t>
      </w:r>
      <w:proofErr w:type="gramStart"/>
      <w:r>
        <w:rPr>
          <w:sz w:val="24"/>
          <w:szCs w:val="24"/>
        </w:rPr>
        <w:t>PVC blistere</w:t>
      </w:r>
      <w:proofErr w:type="gramEnd"/>
      <w:r>
        <w:rPr>
          <w:sz w:val="24"/>
          <w:szCs w:val="24"/>
        </w:rPr>
        <w:t>, som er indsat i en æske, eller i HDPE-beholder med børnesikret låg af polypropylen.</w:t>
      </w:r>
    </w:p>
    <w:p w:rsidR="00604ED4" w:rsidRDefault="00604ED4" w:rsidP="00604ED4">
      <w:pPr>
        <w:ind w:left="851" w:hanging="851"/>
        <w:rPr>
          <w:sz w:val="24"/>
          <w:szCs w:val="24"/>
        </w:rPr>
      </w:pPr>
    </w:p>
    <w:p w:rsidR="00604ED4" w:rsidRDefault="00604ED4" w:rsidP="00604ED4">
      <w:pPr>
        <w:ind w:left="851"/>
        <w:rPr>
          <w:sz w:val="24"/>
          <w:szCs w:val="24"/>
        </w:rPr>
      </w:pPr>
      <w:r>
        <w:rPr>
          <w:sz w:val="24"/>
          <w:szCs w:val="24"/>
        </w:rPr>
        <w:t>Blister: 14, 28, 30, 56, 60, 84, 90 og 120 filmovertrukne tabletter.</w:t>
      </w:r>
    </w:p>
    <w:p w:rsidR="00604ED4" w:rsidRDefault="00604ED4" w:rsidP="00604ED4">
      <w:pPr>
        <w:ind w:left="851" w:hanging="851"/>
        <w:rPr>
          <w:sz w:val="24"/>
          <w:szCs w:val="24"/>
        </w:rPr>
      </w:pPr>
      <w:r>
        <w:rPr>
          <w:sz w:val="24"/>
          <w:szCs w:val="24"/>
        </w:rPr>
        <w:tab/>
        <w:t>HDPE-beholder: 30, 60, 90 filmovertrukne tabletter</w:t>
      </w:r>
    </w:p>
    <w:p w:rsidR="00604ED4" w:rsidRDefault="00604ED4" w:rsidP="00604ED4">
      <w:pPr>
        <w:ind w:left="851" w:hanging="851"/>
        <w:rPr>
          <w:sz w:val="24"/>
          <w:szCs w:val="24"/>
        </w:rPr>
      </w:pPr>
    </w:p>
    <w:p w:rsidR="00604ED4" w:rsidRDefault="00604ED4" w:rsidP="00604ED4">
      <w:pPr>
        <w:ind w:left="851" w:hanging="851"/>
        <w:rPr>
          <w:sz w:val="24"/>
          <w:szCs w:val="24"/>
        </w:rPr>
      </w:pPr>
      <w:r>
        <w:rPr>
          <w:sz w:val="24"/>
          <w:szCs w:val="24"/>
        </w:rPr>
        <w:tab/>
        <w:t>Ikke alle pakningsstørrelser er nødvendigvis markedsført.</w:t>
      </w:r>
    </w:p>
    <w:p w:rsidR="00604ED4" w:rsidRPr="002250CB" w:rsidRDefault="00604ED4" w:rsidP="00604ED4">
      <w:pPr>
        <w:ind w:left="851" w:hanging="851"/>
        <w:rPr>
          <w:sz w:val="24"/>
          <w:szCs w:val="24"/>
        </w:rPr>
      </w:pPr>
    </w:p>
    <w:p w:rsidR="00604ED4" w:rsidRPr="001447C0" w:rsidRDefault="00604ED4" w:rsidP="00604ED4">
      <w:pPr>
        <w:ind w:left="851" w:hanging="851"/>
        <w:rPr>
          <w:b/>
          <w:sz w:val="24"/>
          <w:szCs w:val="24"/>
        </w:rPr>
      </w:pPr>
      <w:r>
        <w:rPr>
          <w:b/>
          <w:sz w:val="24"/>
          <w:szCs w:val="24"/>
        </w:rPr>
        <w:t>6.6</w:t>
      </w:r>
      <w:r>
        <w:rPr>
          <w:b/>
          <w:sz w:val="24"/>
          <w:szCs w:val="24"/>
        </w:rPr>
        <w:tab/>
        <w:t>Regler for bortskaffelse</w:t>
      </w:r>
      <w:r w:rsidRPr="002250CB">
        <w:rPr>
          <w:b/>
          <w:sz w:val="24"/>
          <w:szCs w:val="24"/>
        </w:rPr>
        <w:t xml:space="preserve"> og anden håndtering</w:t>
      </w:r>
    </w:p>
    <w:p w:rsidR="00604ED4" w:rsidRPr="002250CB" w:rsidRDefault="00604ED4" w:rsidP="00604ED4">
      <w:pPr>
        <w:ind w:left="851" w:hanging="851"/>
        <w:rPr>
          <w:sz w:val="24"/>
          <w:szCs w:val="24"/>
        </w:rPr>
      </w:pPr>
      <w:r>
        <w:rPr>
          <w:sz w:val="24"/>
          <w:szCs w:val="24"/>
        </w:rPr>
        <w:tab/>
      </w:r>
      <w:r w:rsidRPr="002250CB">
        <w:rPr>
          <w:sz w:val="24"/>
          <w:szCs w:val="24"/>
        </w:rPr>
        <w:t>Ikke anvendt lægemiddel samt affald heraf skal bortskaffes i henhold til lokale retningslinjer.</w:t>
      </w:r>
    </w:p>
    <w:p w:rsidR="00604ED4" w:rsidRPr="002250CB" w:rsidRDefault="00604ED4" w:rsidP="00604ED4">
      <w:pPr>
        <w:ind w:left="851" w:hanging="851"/>
        <w:jc w:val="both"/>
        <w:rPr>
          <w:sz w:val="24"/>
          <w:szCs w:val="24"/>
        </w:rPr>
      </w:pPr>
    </w:p>
    <w:p w:rsidR="00604ED4" w:rsidRPr="002250CB" w:rsidRDefault="00604ED4" w:rsidP="00604ED4">
      <w:pPr>
        <w:ind w:left="851" w:hanging="851"/>
        <w:rPr>
          <w:b/>
          <w:sz w:val="24"/>
          <w:szCs w:val="24"/>
        </w:rPr>
      </w:pPr>
      <w:r w:rsidRPr="002250CB">
        <w:rPr>
          <w:b/>
          <w:sz w:val="24"/>
          <w:szCs w:val="24"/>
        </w:rPr>
        <w:t>7.</w:t>
      </w:r>
      <w:r w:rsidRPr="002250CB">
        <w:rPr>
          <w:b/>
          <w:sz w:val="24"/>
          <w:szCs w:val="24"/>
        </w:rPr>
        <w:tab/>
        <w:t>INDEHAVER AF MARKEDSFØRINGSTILLADELSEN</w:t>
      </w:r>
    </w:p>
    <w:p w:rsidR="00604ED4" w:rsidRPr="002250CB" w:rsidRDefault="00604ED4" w:rsidP="00604ED4">
      <w:pPr>
        <w:ind w:left="851" w:hanging="851"/>
        <w:rPr>
          <w:sz w:val="24"/>
          <w:szCs w:val="24"/>
        </w:rPr>
      </w:pPr>
      <w:r w:rsidRPr="002250CB">
        <w:rPr>
          <w:sz w:val="24"/>
          <w:szCs w:val="24"/>
        </w:rPr>
        <w:tab/>
        <w:t>Sandoz A/S</w:t>
      </w:r>
    </w:p>
    <w:p w:rsidR="00604ED4" w:rsidRPr="002250CB" w:rsidRDefault="00604ED4" w:rsidP="00604ED4">
      <w:pPr>
        <w:ind w:left="851" w:hanging="851"/>
        <w:rPr>
          <w:sz w:val="24"/>
          <w:szCs w:val="24"/>
        </w:rPr>
      </w:pPr>
      <w:r>
        <w:rPr>
          <w:sz w:val="24"/>
          <w:szCs w:val="24"/>
        </w:rPr>
        <w:tab/>
      </w:r>
      <w:r w:rsidRPr="002250CB">
        <w:rPr>
          <w:sz w:val="24"/>
          <w:szCs w:val="24"/>
        </w:rPr>
        <w:t>Edvard Thomsens Vej 14</w:t>
      </w:r>
    </w:p>
    <w:p w:rsidR="00604ED4" w:rsidRPr="002250CB" w:rsidRDefault="00604ED4" w:rsidP="00604ED4">
      <w:pPr>
        <w:ind w:left="851" w:hanging="851"/>
        <w:rPr>
          <w:sz w:val="24"/>
          <w:szCs w:val="24"/>
        </w:rPr>
      </w:pPr>
      <w:r>
        <w:rPr>
          <w:sz w:val="24"/>
          <w:szCs w:val="24"/>
        </w:rPr>
        <w:tab/>
      </w:r>
      <w:r w:rsidRPr="002250CB">
        <w:rPr>
          <w:sz w:val="24"/>
          <w:szCs w:val="24"/>
        </w:rPr>
        <w:t>2300 København S</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8.</w:t>
      </w:r>
      <w:r w:rsidRPr="002250CB">
        <w:rPr>
          <w:b/>
          <w:sz w:val="24"/>
          <w:szCs w:val="24"/>
        </w:rPr>
        <w:tab/>
        <w:t>MARKEDSFØRINGSTILLADELSESNUMMER (</w:t>
      </w:r>
      <w:r w:rsidR="006C3927">
        <w:rPr>
          <w:b/>
          <w:sz w:val="24"/>
          <w:szCs w:val="24"/>
        </w:rPr>
        <w:t>-</w:t>
      </w:r>
      <w:r w:rsidRPr="002250CB">
        <w:rPr>
          <w:b/>
          <w:sz w:val="24"/>
          <w:szCs w:val="24"/>
        </w:rPr>
        <w:t>NUMRE)</w:t>
      </w:r>
    </w:p>
    <w:p w:rsidR="00604ED4" w:rsidRPr="002250CB" w:rsidRDefault="00604ED4" w:rsidP="00604ED4">
      <w:pPr>
        <w:ind w:left="851" w:hanging="851"/>
        <w:rPr>
          <w:sz w:val="24"/>
          <w:szCs w:val="24"/>
        </w:rPr>
      </w:pPr>
      <w:r w:rsidRPr="002250CB">
        <w:rPr>
          <w:sz w:val="24"/>
          <w:szCs w:val="24"/>
        </w:rPr>
        <w:tab/>
        <w:t>50896</w:t>
      </w:r>
    </w:p>
    <w:p w:rsidR="00604ED4" w:rsidRPr="002250CB" w:rsidRDefault="00604ED4" w:rsidP="00604ED4">
      <w:pPr>
        <w:ind w:left="851" w:hanging="851"/>
        <w:jc w:val="both"/>
        <w:rPr>
          <w:sz w:val="24"/>
          <w:szCs w:val="24"/>
        </w:rPr>
      </w:pPr>
    </w:p>
    <w:p w:rsidR="00604ED4" w:rsidRPr="002250CB" w:rsidRDefault="00604ED4" w:rsidP="00604ED4">
      <w:pPr>
        <w:ind w:left="851" w:hanging="851"/>
        <w:rPr>
          <w:b/>
          <w:sz w:val="24"/>
          <w:szCs w:val="24"/>
        </w:rPr>
      </w:pPr>
      <w:r w:rsidRPr="002250CB">
        <w:rPr>
          <w:b/>
          <w:sz w:val="24"/>
          <w:szCs w:val="24"/>
        </w:rPr>
        <w:t>9.</w:t>
      </w:r>
      <w:r w:rsidRPr="002250CB">
        <w:rPr>
          <w:b/>
          <w:sz w:val="24"/>
          <w:szCs w:val="24"/>
        </w:rPr>
        <w:tab/>
        <w:t>DATO FOR FØRSTE MARKEDSFØRINGSTILLADELSE</w:t>
      </w:r>
    </w:p>
    <w:p w:rsidR="00604ED4" w:rsidRPr="002250CB" w:rsidRDefault="00604ED4" w:rsidP="00604ED4">
      <w:pPr>
        <w:ind w:left="851" w:hanging="851"/>
        <w:rPr>
          <w:sz w:val="24"/>
          <w:szCs w:val="24"/>
        </w:rPr>
      </w:pPr>
      <w:r w:rsidRPr="002250CB">
        <w:rPr>
          <w:sz w:val="24"/>
          <w:szCs w:val="24"/>
        </w:rPr>
        <w:tab/>
        <w:t>1</w:t>
      </w:r>
      <w:r>
        <w:rPr>
          <w:sz w:val="24"/>
          <w:szCs w:val="24"/>
        </w:rPr>
        <w:t>3</w:t>
      </w:r>
      <w:r w:rsidRPr="002250CB">
        <w:rPr>
          <w:sz w:val="24"/>
          <w:szCs w:val="24"/>
        </w:rPr>
        <w:t>. august 2013</w:t>
      </w:r>
    </w:p>
    <w:p w:rsidR="00604ED4" w:rsidRPr="002250CB" w:rsidRDefault="00604ED4" w:rsidP="00604ED4">
      <w:pPr>
        <w:ind w:left="851" w:hanging="851"/>
        <w:rPr>
          <w:sz w:val="24"/>
          <w:szCs w:val="24"/>
        </w:rPr>
      </w:pPr>
    </w:p>
    <w:p w:rsidR="00604ED4" w:rsidRPr="002250CB" w:rsidRDefault="00604ED4" w:rsidP="00604ED4">
      <w:pPr>
        <w:ind w:left="851" w:hanging="851"/>
        <w:rPr>
          <w:b/>
          <w:sz w:val="24"/>
          <w:szCs w:val="24"/>
        </w:rPr>
      </w:pPr>
      <w:r w:rsidRPr="002250CB">
        <w:rPr>
          <w:b/>
          <w:sz w:val="24"/>
          <w:szCs w:val="24"/>
        </w:rPr>
        <w:t>10.</w:t>
      </w:r>
      <w:r w:rsidRPr="002250CB">
        <w:rPr>
          <w:b/>
          <w:sz w:val="24"/>
          <w:szCs w:val="24"/>
        </w:rPr>
        <w:tab/>
        <w:t>DATO FOR ÆNDRING AF TEKSTEN</w:t>
      </w:r>
    </w:p>
    <w:p w:rsidR="00604ED4" w:rsidRPr="002250CB" w:rsidRDefault="004E22F5" w:rsidP="00604ED4">
      <w:pPr>
        <w:ind w:left="851"/>
        <w:rPr>
          <w:sz w:val="24"/>
          <w:szCs w:val="24"/>
        </w:rPr>
      </w:pPr>
      <w:r>
        <w:rPr>
          <w:sz w:val="24"/>
          <w:szCs w:val="24"/>
        </w:rPr>
        <w:t xml:space="preserve">4. november </w:t>
      </w:r>
      <w:bookmarkStart w:id="0" w:name="_GoBack"/>
      <w:bookmarkEnd w:id="0"/>
      <w:r w:rsidR="004649A5">
        <w:rPr>
          <w:sz w:val="24"/>
          <w:szCs w:val="24"/>
        </w:rPr>
        <w:t>2024</w:t>
      </w:r>
    </w:p>
    <w:p w:rsidR="00604ED4" w:rsidRPr="00A37B2E" w:rsidRDefault="00604ED4" w:rsidP="00604ED4"/>
    <w:p w:rsidR="00604ED4" w:rsidRPr="00A2734F" w:rsidRDefault="00604ED4" w:rsidP="00604ED4"/>
    <w:p w:rsidR="009260DE" w:rsidRPr="00604ED4" w:rsidRDefault="009260DE" w:rsidP="00604ED4"/>
    <w:sectPr w:rsidR="009260DE" w:rsidRPr="00604ED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F65" w:rsidRDefault="00AC7F65">
      <w:r>
        <w:separator/>
      </w:r>
    </w:p>
  </w:endnote>
  <w:endnote w:type="continuationSeparator" w:id="0">
    <w:p w:rsidR="00AC7F65" w:rsidRDefault="00AC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F65" w:rsidRDefault="00AC7F65">
    <w:pPr>
      <w:pStyle w:val="Sidefod"/>
      <w:pBdr>
        <w:bottom w:val="single" w:sz="6" w:space="1" w:color="auto"/>
      </w:pBdr>
    </w:pPr>
  </w:p>
  <w:p w:rsidR="00AC7F65" w:rsidRDefault="00AC7F65" w:rsidP="00C42586">
    <w:pPr>
      <w:pStyle w:val="Sidefod"/>
      <w:tabs>
        <w:tab w:val="clear" w:pos="4819"/>
        <w:tab w:val="left" w:pos="8505"/>
      </w:tabs>
      <w:rPr>
        <w:i/>
        <w:sz w:val="18"/>
        <w:szCs w:val="18"/>
      </w:rPr>
    </w:pPr>
  </w:p>
  <w:p w:rsidR="00AC7F65" w:rsidRPr="00B373D7" w:rsidRDefault="00AC7F6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Dokument2808</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F65" w:rsidRDefault="00AC7F65">
      <w:r>
        <w:separator/>
      </w:r>
    </w:p>
  </w:footnote>
  <w:footnote w:type="continuationSeparator" w:id="0">
    <w:p w:rsidR="00AC7F65" w:rsidRDefault="00AC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D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77369"/>
    <w:rsid w:val="003A29AE"/>
    <w:rsid w:val="003A32D7"/>
    <w:rsid w:val="003B4074"/>
    <w:rsid w:val="003C769A"/>
    <w:rsid w:val="003F1838"/>
    <w:rsid w:val="00421DFB"/>
    <w:rsid w:val="00425A82"/>
    <w:rsid w:val="0045746C"/>
    <w:rsid w:val="004649A5"/>
    <w:rsid w:val="0049104B"/>
    <w:rsid w:val="004E22F5"/>
    <w:rsid w:val="004E3B12"/>
    <w:rsid w:val="00532310"/>
    <w:rsid w:val="00560ECC"/>
    <w:rsid w:val="00565F0F"/>
    <w:rsid w:val="00594A86"/>
    <w:rsid w:val="00596D86"/>
    <w:rsid w:val="00604ED4"/>
    <w:rsid w:val="00637F5A"/>
    <w:rsid w:val="006560B1"/>
    <w:rsid w:val="006756DD"/>
    <w:rsid w:val="00693798"/>
    <w:rsid w:val="006C3927"/>
    <w:rsid w:val="00737275"/>
    <w:rsid w:val="00740EEC"/>
    <w:rsid w:val="0078011A"/>
    <w:rsid w:val="00782AF4"/>
    <w:rsid w:val="00790EE7"/>
    <w:rsid w:val="007B6649"/>
    <w:rsid w:val="0081546F"/>
    <w:rsid w:val="0082576E"/>
    <w:rsid w:val="00907F75"/>
    <w:rsid w:val="009260DE"/>
    <w:rsid w:val="0093258A"/>
    <w:rsid w:val="009C7BA3"/>
    <w:rsid w:val="009D1F5A"/>
    <w:rsid w:val="00AC7F65"/>
    <w:rsid w:val="00B003BF"/>
    <w:rsid w:val="00B373D7"/>
    <w:rsid w:val="00BE4824"/>
    <w:rsid w:val="00C36276"/>
    <w:rsid w:val="00C42586"/>
    <w:rsid w:val="00C60CCD"/>
    <w:rsid w:val="00C84483"/>
    <w:rsid w:val="00C91078"/>
    <w:rsid w:val="00C95551"/>
    <w:rsid w:val="00CB20D7"/>
    <w:rsid w:val="00D020B0"/>
    <w:rsid w:val="00D11748"/>
    <w:rsid w:val="00D366CF"/>
    <w:rsid w:val="00D75DE0"/>
    <w:rsid w:val="00E108AA"/>
    <w:rsid w:val="00E31812"/>
    <w:rsid w:val="00E3749A"/>
    <w:rsid w:val="00E7437F"/>
    <w:rsid w:val="00E865B8"/>
    <w:rsid w:val="00EC0B9B"/>
    <w:rsid w:val="00ED5E9F"/>
    <w:rsid w:val="00F66D4F"/>
    <w:rsid w:val="00F945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77DC9"/>
  <w15:chartTrackingRefBased/>
  <w15:docId w15:val="{4583544B-1ED6-4064-900E-D9DE5441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04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5668</Words>
  <Characters>35206</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2023121792 pkt. 4.4, 4.5, 4.6, 4.8, 5.1, 5.2, 6.1</dc:description>
  <cp:lastModifiedBy>Gitte Ronnovius</cp:lastModifiedBy>
  <cp:revision>4</cp:revision>
  <cp:lastPrinted>2012-08-22T08:53:00Z</cp:lastPrinted>
  <dcterms:created xsi:type="dcterms:W3CDTF">2024-10-25T09:41:00Z</dcterms:created>
  <dcterms:modified xsi:type="dcterms:W3CDTF">2024-11-04T14:41:00Z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