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1D2" w:rsidRPr="00082BA2" w:rsidRDefault="003301D2" w:rsidP="003301D2">
      <w:pPr>
        <w:rPr>
          <w:sz w:val="24"/>
          <w:szCs w:val="24"/>
        </w:rPr>
      </w:pPr>
      <w:r w:rsidRPr="00082BA2">
        <w:rPr>
          <w:noProof/>
          <w:sz w:val="24"/>
          <w:szCs w:val="24"/>
          <w:lang w:eastAsia="da-DK"/>
        </w:rPr>
        <w:drawing>
          <wp:inline distT="0" distB="0" distL="0" distR="0" wp14:anchorId="7F092CC4" wp14:editId="1E076958">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301D2" w:rsidRPr="00082BA2" w:rsidRDefault="003301D2" w:rsidP="003301D2">
      <w:pPr>
        <w:pStyle w:val="Titel"/>
        <w:tabs>
          <w:tab w:val="left" w:pos="8222"/>
        </w:tabs>
        <w:jc w:val="left"/>
        <w:rPr>
          <w:b w:val="0"/>
          <w:szCs w:val="24"/>
        </w:rPr>
      </w:pPr>
    </w:p>
    <w:p w:rsidR="003301D2" w:rsidRPr="00082BA2" w:rsidRDefault="00F1288F" w:rsidP="003301D2">
      <w:pPr>
        <w:pStyle w:val="Titel"/>
        <w:jc w:val="right"/>
        <w:rPr>
          <w:szCs w:val="24"/>
        </w:rPr>
      </w:pPr>
      <w:r>
        <w:rPr>
          <w:szCs w:val="24"/>
        </w:rPr>
        <w:t>2. februar 2023</w:t>
      </w:r>
    </w:p>
    <w:p w:rsidR="003301D2" w:rsidRPr="00F1288F" w:rsidRDefault="003301D2" w:rsidP="003301D2">
      <w:pPr>
        <w:pStyle w:val="Titel"/>
        <w:jc w:val="left"/>
        <w:rPr>
          <w:b w:val="0"/>
          <w:szCs w:val="24"/>
        </w:rPr>
      </w:pPr>
    </w:p>
    <w:p w:rsidR="00B81AD8" w:rsidRPr="00F1288F" w:rsidRDefault="00B81AD8" w:rsidP="00B81AD8">
      <w:pPr>
        <w:rPr>
          <w:sz w:val="24"/>
          <w:szCs w:val="24"/>
        </w:rPr>
      </w:pPr>
    </w:p>
    <w:p w:rsidR="00F1288F" w:rsidRPr="00F1288F" w:rsidRDefault="00F1288F" w:rsidP="00B81AD8">
      <w:pPr>
        <w:rPr>
          <w:sz w:val="24"/>
          <w:szCs w:val="24"/>
        </w:rPr>
      </w:pPr>
    </w:p>
    <w:p w:rsidR="003301D2" w:rsidRPr="00082BA2" w:rsidRDefault="003301D2" w:rsidP="003301D2">
      <w:pPr>
        <w:jc w:val="center"/>
        <w:rPr>
          <w:b/>
          <w:sz w:val="24"/>
          <w:szCs w:val="24"/>
        </w:rPr>
      </w:pPr>
      <w:r w:rsidRPr="00082BA2">
        <w:rPr>
          <w:b/>
          <w:sz w:val="24"/>
          <w:szCs w:val="24"/>
        </w:rPr>
        <w:t>PRODUKTRESUMÉ</w:t>
      </w:r>
    </w:p>
    <w:p w:rsidR="003301D2" w:rsidRPr="00082BA2" w:rsidRDefault="003301D2" w:rsidP="003301D2">
      <w:pPr>
        <w:jc w:val="center"/>
        <w:rPr>
          <w:b/>
          <w:sz w:val="24"/>
          <w:szCs w:val="24"/>
        </w:rPr>
      </w:pPr>
    </w:p>
    <w:p w:rsidR="003301D2" w:rsidRPr="00082BA2" w:rsidRDefault="003301D2" w:rsidP="003301D2">
      <w:pPr>
        <w:jc w:val="center"/>
        <w:rPr>
          <w:b/>
          <w:sz w:val="24"/>
          <w:szCs w:val="24"/>
        </w:rPr>
      </w:pPr>
      <w:r w:rsidRPr="00082BA2">
        <w:rPr>
          <w:b/>
          <w:sz w:val="24"/>
          <w:szCs w:val="24"/>
        </w:rPr>
        <w:t>for</w:t>
      </w:r>
    </w:p>
    <w:p w:rsidR="003301D2" w:rsidRPr="00082BA2" w:rsidRDefault="003301D2" w:rsidP="003301D2">
      <w:pPr>
        <w:jc w:val="center"/>
        <w:rPr>
          <w:b/>
          <w:sz w:val="24"/>
          <w:szCs w:val="24"/>
        </w:rPr>
      </w:pPr>
    </w:p>
    <w:p w:rsidR="003301D2" w:rsidRPr="00082BA2" w:rsidRDefault="003301D2" w:rsidP="003301D2">
      <w:pPr>
        <w:jc w:val="center"/>
        <w:rPr>
          <w:b/>
          <w:sz w:val="24"/>
          <w:szCs w:val="24"/>
        </w:rPr>
      </w:pPr>
      <w:proofErr w:type="spellStart"/>
      <w:r w:rsidRPr="00082BA2">
        <w:rPr>
          <w:b/>
          <w:sz w:val="24"/>
          <w:szCs w:val="24"/>
        </w:rPr>
        <w:t>Lansoprazol</w:t>
      </w:r>
      <w:proofErr w:type="spellEnd"/>
      <w:r w:rsidRPr="00082BA2">
        <w:rPr>
          <w:b/>
          <w:sz w:val="24"/>
          <w:szCs w:val="24"/>
        </w:rPr>
        <w:t xml:space="preserve"> "Medical Valley", hårde enterokapsler 15 mg, til og med 56 stk.</w:t>
      </w:r>
    </w:p>
    <w:p w:rsidR="003301D2" w:rsidRPr="00082BA2" w:rsidRDefault="003301D2" w:rsidP="003301D2">
      <w:pPr>
        <w:jc w:val="both"/>
        <w:rPr>
          <w:sz w:val="24"/>
          <w:szCs w:val="24"/>
        </w:rPr>
      </w:pPr>
    </w:p>
    <w:p w:rsidR="003301D2" w:rsidRPr="00082BA2" w:rsidRDefault="003301D2" w:rsidP="003301D2">
      <w:pPr>
        <w:ind w:left="851" w:hanging="851"/>
        <w:jc w:val="both"/>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0.</w:t>
      </w:r>
      <w:r w:rsidRPr="00C84483">
        <w:rPr>
          <w:b/>
          <w:sz w:val="24"/>
          <w:szCs w:val="24"/>
        </w:rPr>
        <w:tab/>
        <w:t>D.SP.NR.</w:t>
      </w:r>
    </w:p>
    <w:p w:rsidR="003301D2" w:rsidRPr="00082BA2" w:rsidRDefault="003301D2" w:rsidP="003301D2">
      <w:pPr>
        <w:ind w:left="851" w:hanging="851"/>
        <w:rPr>
          <w:sz w:val="24"/>
          <w:szCs w:val="24"/>
        </w:rPr>
      </w:pPr>
      <w:r w:rsidRPr="00082BA2">
        <w:rPr>
          <w:sz w:val="24"/>
          <w:szCs w:val="24"/>
        </w:rPr>
        <w:tab/>
        <w:t>27175</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1.</w:t>
      </w:r>
      <w:r w:rsidRPr="00C84483">
        <w:rPr>
          <w:b/>
          <w:sz w:val="24"/>
          <w:szCs w:val="24"/>
        </w:rPr>
        <w:tab/>
        <w:t>LÆGEMIDLETS NAVN</w:t>
      </w:r>
    </w:p>
    <w:p w:rsidR="003301D2" w:rsidRPr="00082BA2" w:rsidRDefault="003301D2" w:rsidP="003301D2">
      <w:pPr>
        <w:ind w:left="851"/>
        <w:rPr>
          <w:sz w:val="24"/>
          <w:szCs w:val="24"/>
        </w:rPr>
      </w:pPr>
      <w:proofErr w:type="spellStart"/>
      <w:r w:rsidRPr="00082BA2">
        <w:rPr>
          <w:sz w:val="24"/>
          <w:szCs w:val="24"/>
        </w:rPr>
        <w:t>Lansoprazol</w:t>
      </w:r>
      <w:proofErr w:type="spellEnd"/>
      <w:r w:rsidRPr="00082BA2">
        <w:rPr>
          <w:sz w:val="24"/>
          <w:szCs w:val="24"/>
        </w:rPr>
        <w:t xml:space="preserve"> "Medical Valley"</w:t>
      </w:r>
    </w:p>
    <w:p w:rsidR="003301D2" w:rsidRPr="00082BA2" w:rsidRDefault="003301D2" w:rsidP="003301D2">
      <w:pPr>
        <w:ind w:left="851" w:hanging="851"/>
        <w:rPr>
          <w:sz w:val="24"/>
          <w:szCs w:val="24"/>
        </w:rPr>
      </w:pPr>
      <w:r w:rsidRPr="00082BA2">
        <w:rPr>
          <w:sz w:val="24"/>
          <w:szCs w:val="24"/>
        </w:rPr>
        <w:tab/>
      </w:r>
    </w:p>
    <w:p w:rsidR="00082BA2" w:rsidRPr="00C84483" w:rsidRDefault="00082BA2" w:rsidP="00082BA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301D2" w:rsidRPr="00082BA2" w:rsidRDefault="003301D2" w:rsidP="003301D2">
      <w:pPr>
        <w:pStyle w:val="Style25"/>
        <w:widowControl/>
        <w:spacing w:line="240" w:lineRule="auto"/>
        <w:ind w:left="851" w:hanging="851"/>
        <w:jc w:val="left"/>
        <w:rPr>
          <w:rStyle w:val="FontStyle39"/>
          <w:sz w:val="24"/>
          <w:szCs w:val="24"/>
          <w:lang w:val="da-DK" w:eastAsia="da-DK"/>
        </w:rPr>
      </w:pPr>
      <w:r w:rsidRPr="00082BA2">
        <w:tab/>
      </w:r>
      <w:r w:rsidRPr="00082BA2">
        <w:rPr>
          <w:rStyle w:val="FontStyle39"/>
          <w:sz w:val="24"/>
          <w:szCs w:val="24"/>
          <w:lang w:val="da-DK" w:eastAsia="da-DK"/>
        </w:rPr>
        <w:t xml:space="preserve">Hver kapsel indeholder 15 mg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w:t>
      </w:r>
    </w:p>
    <w:p w:rsidR="003301D2" w:rsidRPr="00082BA2" w:rsidRDefault="003301D2" w:rsidP="003301D2">
      <w:pPr>
        <w:pStyle w:val="Style25"/>
        <w:widowControl/>
        <w:spacing w:line="240" w:lineRule="auto"/>
        <w:ind w:left="851" w:hanging="851"/>
        <w:jc w:val="left"/>
        <w:rPr>
          <w:lang w:val="da-DK"/>
        </w:rPr>
      </w:pPr>
    </w:p>
    <w:p w:rsidR="003301D2" w:rsidRPr="00082BA2" w:rsidRDefault="003301D2" w:rsidP="003301D2">
      <w:pPr>
        <w:pStyle w:val="Style25"/>
        <w:ind w:left="851"/>
        <w:jc w:val="left"/>
        <w:rPr>
          <w:color w:val="000000"/>
          <w:u w:val="single"/>
          <w:lang w:eastAsia="da-DK"/>
        </w:rPr>
      </w:pPr>
      <w:r w:rsidRPr="00082BA2">
        <w:rPr>
          <w:color w:val="000000"/>
          <w:u w:val="single"/>
          <w:lang w:eastAsia="da-DK"/>
        </w:rPr>
        <w:t>Hjælpestof(fer), som behandleren skal være opmærksom på</w:t>
      </w: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Hver 15 mg kapsel indeholder 100,474 mg </w:t>
      </w:r>
      <w:proofErr w:type="spellStart"/>
      <w:r w:rsidRPr="00082BA2">
        <w:rPr>
          <w:rStyle w:val="FontStyle39"/>
          <w:sz w:val="24"/>
          <w:szCs w:val="24"/>
          <w:lang w:val="da-DK" w:eastAsia="da-DK"/>
        </w:rPr>
        <w:t>saccharose</w:t>
      </w:r>
      <w:proofErr w:type="spellEnd"/>
      <w:r w:rsidRPr="00082BA2">
        <w:rPr>
          <w:rStyle w:val="FontStyle39"/>
          <w:sz w:val="24"/>
          <w:szCs w:val="24"/>
          <w:lang w:val="da-DK" w:eastAsia="da-DK"/>
        </w:rPr>
        <w:t>.</w:t>
      </w:r>
    </w:p>
    <w:p w:rsidR="003301D2" w:rsidRPr="00082BA2" w:rsidRDefault="003301D2" w:rsidP="003301D2">
      <w:pPr>
        <w:pStyle w:val="Style29"/>
        <w:widowControl/>
        <w:ind w:left="851" w:hanging="851"/>
        <w:rPr>
          <w:rStyle w:val="FontStyle39"/>
          <w:sz w:val="24"/>
          <w:szCs w:val="24"/>
          <w:lang w:val="da-DK" w:eastAsia="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Alle hjælpestoffer er anført under pkt. 6.1.</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3.</w:t>
      </w:r>
      <w:r w:rsidRPr="00C84483">
        <w:rPr>
          <w:b/>
          <w:sz w:val="24"/>
          <w:szCs w:val="24"/>
        </w:rPr>
        <w:tab/>
        <w:t>LÆGEMIDDELFORM</w:t>
      </w: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Hårde enterokapsler</w:t>
      </w:r>
    </w:p>
    <w:p w:rsidR="003301D2" w:rsidRPr="00082BA2" w:rsidRDefault="003301D2" w:rsidP="003301D2">
      <w:pPr>
        <w:pStyle w:val="Style25"/>
        <w:widowControl/>
        <w:spacing w:line="240" w:lineRule="auto"/>
        <w:ind w:left="851"/>
        <w:jc w:val="left"/>
        <w:rPr>
          <w:rStyle w:val="FontStyle39"/>
          <w:sz w:val="24"/>
          <w:szCs w:val="24"/>
          <w:lang w:val="da-DK" w:eastAsia="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Uigennemsigtige, gule kappe- og krop-kapsler. Hver kapsel indeholder hvide eller næsten hvide mikrogranulater.</w:t>
      </w:r>
    </w:p>
    <w:p w:rsidR="003301D2" w:rsidRPr="00082BA2" w:rsidRDefault="003301D2" w:rsidP="003301D2">
      <w:pPr>
        <w:ind w:left="851" w:hanging="851"/>
        <w:rPr>
          <w:sz w:val="24"/>
          <w:szCs w:val="24"/>
        </w:rPr>
      </w:pP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w:t>
      </w:r>
      <w:r w:rsidRPr="00C84483">
        <w:rPr>
          <w:b/>
          <w:sz w:val="24"/>
          <w:szCs w:val="24"/>
        </w:rPr>
        <w:tab/>
        <w:t>KLINISKE OPLYSNINGER</w:t>
      </w:r>
    </w:p>
    <w:p w:rsidR="00082BA2" w:rsidRPr="00C84483" w:rsidRDefault="00082BA2" w:rsidP="00082BA2">
      <w:pPr>
        <w:tabs>
          <w:tab w:val="left" w:pos="851"/>
        </w:tabs>
        <w:ind w:left="851"/>
        <w:rPr>
          <w:b/>
          <w:sz w:val="24"/>
          <w:szCs w:val="24"/>
        </w:rPr>
      </w:pPr>
    </w:p>
    <w:p w:rsidR="00082BA2" w:rsidRPr="00C84483" w:rsidRDefault="00082BA2" w:rsidP="00082BA2">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301D2" w:rsidRPr="00082BA2" w:rsidRDefault="003301D2" w:rsidP="003301D2">
      <w:pPr>
        <w:pStyle w:val="Style1"/>
        <w:widowControl/>
        <w:spacing w:line="240" w:lineRule="auto"/>
        <w:ind w:firstLine="851"/>
        <w:rPr>
          <w:rStyle w:val="FontStyle39"/>
          <w:sz w:val="24"/>
          <w:szCs w:val="24"/>
          <w:lang w:val="da-DK" w:eastAsia="da-DK"/>
        </w:rPr>
      </w:pPr>
      <w:r w:rsidRPr="00082BA2">
        <w:rPr>
          <w:rStyle w:val="FontStyle39"/>
          <w:sz w:val="24"/>
          <w:szCs w:val="24"/>
          <w:lang w:val="da-DK" w:eastAsia="da-DK"/>
        </w:rPr>
        <w:t xml:space="preserve">Symptomatisk </w:t>
      </w:r>
      <w:proofErr w:type="spellStart"/>
      <w:r w:rsidRPr="00082BA2">
        <w:rPr>
          <w:rStyle w:val="FontStyle39"/>
          <w:sz w:val="24"/>
          <w:szCs w:val="24"/>
          <w:lang w:val="da-DK" w:eastAsia="da-DK"/>
        </w:rPr>
        <w:t>gastroøsofageal</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reflukssygdom</w:t>
      </w:r>
      <w:proofErr w:type="spellEnd"/>
      <w:r w:rsidRPr="00082BA2">
        <w:rPr>
          <w:rStyle w:val="FontStyle39"/>
          <w:sz w:val="24"/>
          <w:szCs w:val="24"/>
          <w:lang w:val="da-DK" w:eastAsia="da-DK"/>
        </w:rPr>
        <w:t>.</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301D2" w:rsidRPr="00082BA2" w:rsidRDefault="003301D2" w:rsidP="003301D2">
      <w:pPr>
        <w:pStyle w:val="Style14"/>
        <w:widowControl/>
        <w:spacing w:line="240" w:lineRule="auto"/>
        <w:ind w:left="851"/>
        <w:rPr>
          <w:rStyle w:val="FontStyle39"/>
          <w:sz w:val="24"/>
          <w:szCs w:val="24"/>
          <w:lang w:val="da-DK" w:eastAsia="da-DK"/>
        </w:rPr>
      </w:pPr>
    </w:p>
    <w:p w:rsidR="003301D2" w:rsidRPr="00082BA2" w:rsidRDefault="003301D2" w:rsidP="003301D2">
      <w:pPr>
        <w:pStyle w:val="Style14"/>
        <w:widowControl/>
        <w:spacing w:line="240" w:lineRule="auto"/>
        <w:ind w:left="851"/>
        <w:rPr>
          <w:b/>
        </w:rPr>
      </w:pPr>
      <w:r w:rsidRPr="00082BA2">
        <w:rPr>
          <w:rStyle w:val="FontStyle39"/>
          <w:b/>
          <w:sz w:val="24"/>
          <w:szCs w:val="24"/>
          <w:lang w:val="da-DK" w:eastAsia="da-DK"/>
        </w:rPr>
        <w:t>Administration</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For at opnå optimal effekt skal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"Medical Valley" tages en gang daglig om morgenen.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"Medical Valley" skal tages mindst 30 minutter før indtagelse af føde (se pkt. 5.2). Kapslerne skal sluges hele sammen med væske.</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Til patienter, der har svært ved at synke medicinen, anbefales det på grundlag af forsøg og klinisk praksis, at </w:t>
      </w:r>
      <w:proofErr w:type="spellStart"/>
      <w:r w:rsidRPr="00082BA2">
        <w:rPr>
          <w:rStyle w:val="FontStyle39"/>
          <w:sz w:val="24"/>
          <w:szCs w:val="24"/>
          <w:lang w:val="da-DK" w:eastAsia="da-DK"/>
        </w:rPr>
        <w:t>enterokapslerne</w:t>
      </w:r>
      <w:proofErr w:type="spellEnd"/>
      <w:r w:rsidRPr="00082BA2">
        <w:rPr>
          <w:rStyle w:val="FontStyle39"/>
          <w:sz w:val="24"/>
          <w:szCs w:val="24"/>
          <w:lang w:val="da-DK" w:eastAsia="da-DK"/>
        </w:rPr>
        <w:t xml:space="preserve"> åbnes, og granulaterne blandes med lidt vand eller æble-</w:t>
      </w:r>
      <w:r w:rsidRPr="00082BA2">
        <w:rPr>
          <w:rStyle w:val="FontStyle39"/>
          <w:sz w:val="24"/>
          <w:szCs w:val="24"/>
          <w:lang w:val="da-DK" w:eastAsia="da-DK"/>
        </w:rPr>
        <w:lastRenderedPageBreak/>
        <w:t xml:space="preserve">/tomatjuice eller drysses ud over en lille smule flydende mad (f.eks. yoghurt eller æblemos) for at gøre administrationen lettere. </w:t>
      </w:r>
      <w:proofErr w:type="spellStart"/>
      <w:r w:rsidRPr="00082BA2">
        <w:rPr>
          <w:rStyle w:val="FontStyle39"/>
          <w:sz w:val="24"/>
          <w:szCs w:val="24"/>
          <w:lang w:val="da-DK" w:eastAsia="da-DK"/>
        </w:rPr>
        <w:t>Enterokapslerne</w:t>
      </w:r>
      <w:proofErr w:type="spellEnd"/>
      <w:r w:rsidRPr="00082BA2">
        <w:rPr>
          <w:rStyle w:val="FontStyle39"/>
          <w:sz w:val="24"/>
          <w:szCs w:val="24"/>
          <w:lang w:val="da-DK" w:eastAsia="da-DK"/>
        </w:rPr>
        <w:t xml:space="preserve"> kan også åbnes og granulaterne blandes med 40 ml æblejuice til administration via en </w:t>
      </w:r>
      <w:proofErr w:type="spellStart"/>
      <w:r w:rsidRPr="00082BA2">
        <w:rPr>
          <w:rStyle w:val="FontStyle39"/>
          <w:sz w:val="24"/>
          <w:szCs w:val="24"/>
          <w:lang w:val="da-DK" w:eastAsia="da-DK"/>
        </w:rPr>
        <w:t>nasogastrisk</w:t>
      </w:r>
      <w:proofErr w:type="spellEnd"/>
      <w:r w:rsidRPr="00082BA2">
        <w:rPr>
          <w:rStyle w:val="FontStyle39"/>
          <w:sz w:val="24"/>
          <w:szCs w:val="24"/>
          <w:lang w:val="da-DK" w:eastAsia="da-DK"/>
        </w:rPr>
        <w:t xml:space="preserve"> sonde (se pkt. 5.2). Lægemidlet skal administreres omgående, efter at suspensionen eller blandingen er lavet.</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hanging="851"/>
        <w:rPr>
          <w:b/>
          <w:lang w:val="da-DK"/>
        </w:rPr>
      </w:pPr>
      <w:r w:rsidRPr="00082BA2">
        <w:rPr>
          <w:b/>
          <w:lang w:val="da-DK"/>
        </w:rPr>
        <w:tab/>
        <w:t>Dosering</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9"/>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 xml:space="preserve">Symptomatisk </w:t>
      </w:r>
      <w:proofErr w:type="spellStart"/>
      <w:r w:rsidRPr="00082BA2">
        <w:rPr>
          <w:rStyle w:val="FontStyle39"/>
          <w:sz w:val="24"/>
          <w:szCs w:val="24"/>
          <w:u w:val="single"/>
          <w:lang w:val="da-DK" w:eastAsia="da-DK"/>
        </w:rPr>
        <w:t>gastroøsofageal</w:t>
      </w:r>
      <w:proofErr w:type="spellEnd"/>
      <w:r w:rsidRPr="00082BA2">
        <w:rPr>
          <w:rStyle w:val="FontStyle39"/>
          <w:sz w:val="24"/>
          <w:szCs w:val="24"/>
          <w:u w:val="single"/>
          <w:lang w:val="da-DK" w:eastAsia="da-DK"/>
        </w:rPr>
        <w:t xml:space="preserve"> </w:t>
      </w:r>
      <w:proofErr w:type="spellStart"/>
      <w:r w:rsidRPr="00082BA2">
        <w:rPr>
          <w:rStyle w:val="FontStyle39"/>
          <w:sz w:val="24"/>
          <w:szCs w:val="24"/>
          <w:u w:val="single"/>
          <w:lang w:val="da-DK" w:eastAsia="da-DK"/>
        </w:rPr>
        <w:t>reflukssygdom</w:t>
      </w:r>
      <w:proofErr w:type="spellEnd"/>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Den anbefalede dosis er 15 mg eller 30 mg daglig. Lindring af symptomer opnås hurtigt. Individuel justering af dosis skal overvejes. Hvis symptomerne ikke lindres i løbet af 4 uger med en daglig dosis på 30 mg, anbefales yderligere undersøgelser.</w:t>
      </w:r>
    </w:p>
    <w:p w:rsidR="003301D2" w:rsidRPr="00082BA2" w:rsidRDefault="003301D2" w:rsidP="003301D2">
      <w:pPr>
        <w:pStyle w:val="Style14"/>
        <w:widowControl/>
        <w:spacing w:line="240" w:lineRule="auto"/>
        <w:ind w:left="851"/>
        <w:rPr>
          <w:rStyle w:val="FontStyle39"/>
          <w:sz w:val="24"/>
          <w:szCs w:val="24"/>
          <w:lang w:val="da-DK" w:eastAsia="da-DK"/>
        </w:rPr>
      </w:pPr>
    </w:p>
    <w:p w:rsidR="003301D2" w:rsidRPr="00082BA2" w:rsidRDefault="003301D2" w:rsidP="003301D2">
      <w:pPr>
        <w:pStyle w:val="Style14"/>
        <w:widowControl/>
        <w:spacing w:line="240" w:lineRule="auto"/>
        <w:ind w:firstLine="851"/>
        <w:rPr>
          <w:rStyle w:val="FontStyle39"/>
          <w:sz w:val="24"/>
          <w:szCs w:val="24"/>
          <w:u w:val="single"/>
          <w:lang w:val="da-DK" w:eastAsia="da-DK"/>
        </w:rPr>
      </w:pPr>
      <w:r w:rsidRPr="00082BA2">
        <w:rPr>
          <w:rStyle w:val="FontStyle39"/>
          <w:sz w:val="24"/>
          <w:szCs w:val="24"/>
          <w:u w:val="single"/>
          <w:lang w:val="da-DK" w:eastAsia="da-DK"/>
        </w:rPr>
        <w:t>Patienter med nedsat lever- eller nyrefunktion</w:t>
      </w:r>
    </w:p>
    <w:p w:rsidR="003301D2" w:rsidRPr="00082BA2" w:rsidRDefault="003301D2" w:rsidP="003301D2">
      <w:pPr>
        <w:pStyle w:val="Style14"/>
        <w:widowControl/>
        <w:spacing w:line="240" w:lineRule="auto"/>
        <w:ind w:firstLine="851"/>
        <w:rPr>
          <w:rStyle w:val="FontStyle39"/>
          <w:sz w:val="24"/>
          <w:szCs w:val="24"/>
          <w:lang w:val="da-DK" w:eastAsia="da-DK"/>
        </w:rPr>
      </w:pPr>
      <w:r w:rsidRPr="00082BA2">
        <w:rPr>
          <w:rStyle w:val="FontStyle39"/>
          <w:sz w:val="24"/>
          <w:szCs w:val="24"/>
          <w:lang w:val="da-DK" w:eastAsia="da-DK"/>
        </w:rPr>
        <w:t>Det er ikke nødvendigt at justere dosis til patienter med nedsat nyrefunktion.</w:t>
      </w:r>
    </w:p>
    <w:p w:rsidR="003301D2" w:rsidRPr="00082BA2" w:rsidRDefault="003301D2" w:rsidP="003301D2">
      <w:pPr>
        <w:pStyle w:val="Style14"/>
        <w:widowControl/>
        <w:spacing w:line="240" w:lineRule="auto"/>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Patienter med moderat eller svær leversygdom skal overvåges regelmæssigt, og der anbefales en reduktion på 50 % af den daglige dosis (se pkt. 4.4 og 5.2).</w:t>
      </w:r>
    </w:p>
    <w:p w:rsidR="003301D2" w:rsidRPr="00082BA2" w:rsidRDefault="003301D2" w:rsidP="003301D2">
      <w:pPr>
        <w:pStyle w:val="Style14"/>
        <w:widowControl/>
        <w:spacing w:line="240" w:lineRule="auto"/>
        <w:rPr>
          <w:lang w:val="da-DK"/>
        </w:rPr>
      </w:pPr>
    </w:p>
    <w:p w:rsidR="003301D2" w:rsidRPr="00082BA2" w:rsidRDefault="003301D2" w:rsidP="003301D2">
      <w:pPr>
        <w:pStyle w:val="Style14"/>
        <w:widowControl/>
        <w:spacing w:line="240" w:lineRule="auto"/>
        <w:ind w:firstLine="851"/>
        <w:rPr>
          <w:rStyle w:val="FontStyle39"/>
          <w:sz w:val="24"/>
          <w:szCs w:val="24"/>
          <w:u w:val="single"/>
          <w:lang w:val="da-DK" w:eastAsia="da-DK"/>
        </w:rPr>
      </w:pPr>
      <w:r w:rsidRPr="00082BA2">
        <w:rPr>
          <w:rStyle w:val="FontStyle39"/>
          <w:sz w:val="24"/>
          <w:szCs w:val="24"/>
          <w:u w:val="single"/>
          <w:lang w:val="da-DK" w:eastAsia="da-DK"/>
        </w:rPr>
        <w:t>Ældre patienter</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På grund af nedsat </w:t>
      </w:r>
      <w:proofErr w:type="spellStart"/>
      <w:r w:rsidRPr="00082BA2">
        <w:rPr>
          <w:rStyle w:val="FontStyle39"/>
          <w:sz w:val="24"/>
          <w:szCs w:val="24"/>
          <w:lang w:val="da-DK" w:eastAsia="da-DK"/>
        </w:rPr>
        <w:t>clearance</w:t>
      </w:r>
      <w:proofErr w:type="spellEnd"/>
      <w:r w:rsidRPr="00082BA2">
        <w:rPr>
          <w:rStyle w:val="FontStyle39"/>
          <w:sz w:val="24"/>
          <w:szCs w:val="24"/>
          <w:lang w:val="da-DK" w:eastAsia="da-DK"/>
        </w:rPr>
        <w:t xml:space="preserve">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hos ældre kan en justering af dosis være nødvendig baseret på individuelle behov. En daglig dosis på 30 mg til ældre må ikke overskrides, medmindre der er tvingende kliniske indikationer herfor.</w:t>
      </w:r>
    </w:p>
    <w:p w:rsidR="003301D2" w:rsidRPr="00082BA2" w:rsidRDefault="003301D2" w:rsidP="003301D2">
      <w:pPr>
        <w:pStyle w:val="Style14"/>
        <w:widowControl/>
        <w:spacing w:line="240" w:lineRule="auto"/>
        <w:rPr>
          <w:rStyle w:val="FontStyle39"/>
          <w:sz w:val="24"/>
          <w:szCs w:val="24"/>
          <w:lang w:val="da-DK" w:eastAsia="da-DK"/>
        </w:rPr>
      </w:pPr>
    </w:p>
    <w:p w:rsidR="003301D2" w:rsidRPr="00082BA2" w:rsidRDefault="003301D2" w:rsidP="003301D2">
      <w:pPr>
        <w:pStyle w:val="Style14"/>
        <w:widowControl/>
        <w:spacing w:line="240" w:lineRule="auto"/>
        <w:ind w:firstLine="851"/>
        <w:rPr>
          <w:rStyle w:val="FontStyle39"/>
          <w:sz w:val="24"/>
          <w:szCs w:val="24"/>
          <w:u w:val="single"/>
          <w:lang w:val="da-DK" w:eastAsia="da-DK"/>
        </w:rPr>
      </w:pPr>
      <w:r w:rsidRPr="00082BA2">
        <w:rPr>
          <w:rStyle w:val="FontStyle39"/>
          <w:sz w:val="24"/>
          <w:szCs w:val="24"/>
          <w:u w:val="single"/>
          <w:lang w:val="da-DK" w:eastAsia="da-DK"/>
        </w:rPr>
        <w:t>Pædiatrisk population</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"Medical Valley" bør ikke anvendes til børn, da kliniske data er begrænsede (se også pkt. 5.2).</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Behandling af småbørn under 1 år skal undgås, da de tilgængelige data ikke har vist gavnlige virkninger i behandlingen af </w:t>
      </w:r>
      <w:proofErr w:type="spellStart"/>
      <w:r w:rsidRPr="00082BA2">
        <w:rPr>
          <w:rStyle w:val="FontStyle39"/>
          <w:sz w:val="24"/>
          <w:szCs w:val="24"/>
          <w:lang w:val="da-DK" w:eastAsia="da-DK"/>
        </w:rPr>
        <w:t>gastroøsofageal</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reflukssygdom</w:t>
      </w:r>
      <w:proofErr w:type="spellEnd"/>
      <w:r w:rsidRPr="00082BA2">
        <w:rPr>
          <w:rStyle w:val="FontStyle39"/>
          <w:sz w:val="24"/>
          <w:szCs w:val="24"/>
          <w:lang w:val="da-DK" w:eastAsia="da-DK"/>
        </w:rPr>
        <w:t>.</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4.3</w:t>
      </w:r>
      <w:r w:rsidRPr="00C84483">
        <w:rPr>
          <w:b/>
          <w:sz w:val="24"/>
          <w:szCs w:val="24"/>
        </w:rPr>
        <w:tab/>
        <w:t>Kontraindikationer</w:t>
      </w:r>
    </w:p>
    <w:p w:rsidR="003301D2" w:rsidRPr="00082BA2" w:rsidRDefault="003301D2" w:rsidP="003301D2">
      <w:pPr>
        <w:pStyle w:val="Style12"/>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Overfølsomhed over for det aktive stof eller over for et eller flere af hjælpestofferne </w:t>
      </w:r>
      <w:r w:rsidRPr="00082BA2">
        <w:rPr>
          <w:lang w:val="da-DK"/>
        </w:rPr>
        <w:t>anført i pkt. 6.1</w:t>
      </w:r>
      <w:r w:rsidRPr="00082BA2">
        <w:rPr>
          <w:rStyle w:val="FontStyle39"/>
          <w:sz w:val="24"/>
          <w:szCs w:val="24"/>
          <w:lang w:val="da-DK" w:eastAsia="da-DK"/>
        </w:rPr>
        <w:t>.</w:t>
      </w:r>
    </w:p>
    <w:p w:rsidR="003301D2" w:rsidRPr="00082BA2" w:rsidRDefault="003301D2" w:rsidP="003301D2">
      <w:pPr>
        <w:pStyle w:val="Style12"/>
        <w:widowControl/>
        <w:spacing w:line="240" w:lineRule="auto"/>
        <w:ind w:left="851" w:hanging="851"/>
        <w:jc w:val="left"/>
        <w:rPr>
          <w:rStyle w:val="FontStyle39"/>
          <w:sz w:val="24"/>
          <w:szCs w:val="24"/>
          <w:lang w:val="da-DK" w:eastAsia="da-DK"/>
        </w:rPr>
      </w:pPr>
    </w:p>
    <w:p w:rsidR="003301D2" w:rsidRPr="00082BA2" w:rsidRDefault="003301D2" w:rsidP="003301D2">
      <w:pPr>
        <w:pStyle w:val="Style12"/>
        <w:widowControl/>
        <w:spacing w:line="240" w:lineRule="auto"/>
        <w:ind w:left="851"/>
        <w:jc w:val="left"/>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må ikke administreres sammen med </w:t>
      </w:r>
      <w:proofErr w:type="spellStart"/>
      <w:r w:rsidRPr="00082BA2">
        <w:rPr>
          <w:rStyle w:val="FontStyle39"/>
          <w:sz w:val="24"/>
          <w:szCs w:val="24"/>
          <w:lang w:val="da-DK" w:eastAsia="da-DK"/>
        </w:rPr>
        <w:t>atazanavir</w:t>
      </w:r>
      <w:proofErr w:type="spellEnd"/>
      <w:r w:rsidRPr="00082BA2">
        <w:rPr>
          <w:rStyle w:val="FontStyle39"/>
          <w:sz w:val="24"/>
          <w:szCs w:val="24"/>
          <w:lang w:val="da-DK" w:eastAsia="da-DK"/>
        </w:rPr>
        <w:t xml:space="preserve"> (se pkt. 4.5).</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301D2" w:rsidRPr="00082BA2" w:rsidRDefault="003301D2" w:rsidP="003301D2">
      <w:pPr>
        <w:pStyle w:val="Style3"/>
        <w:widowControl/>
        <w:ind w:left="851" w:hanging="851"/>
        <w:jc w:val="left"/>
        <w:rPr>
          <w:rStyle w:val="FontStyle39"/>
          <w:sz w:val="24"/>
          <w:szCs w:val="24"/>
          <w:lang w:val="da-DK" w:eastAsia="da-DK"/>
        </w:rPr>
      </w:pPr>
      <w:r w:rsidRPr="00082BA2">
        <w:rPr>
          <w:lang w:val="da-DK"/>
        </w:rPr>
        <w:tab/>
      </w:r>
      <w:r w:rsidRPr="00082BA2">
        <w:rPr>
          <w:rStyle w:val="FontStyle39"/>
          <w:sz w:val="24"/>
          <w:szCs w:val="24"/>
          <w:lang w:val="da-DK" w:eastAsia="da-DK"/>
        </w:rPr>
        <w:t xml:space="preserve">Som ved andre behandlinger af ulcus skal muligheden for malign gastrisk tumor udelukkes, inden behandling af ulcus </w:t>
      </w:r>
      <w:proofErr w:type="spellStart"/>
      <w:r w:rsidRPr="00082BA2">
        <w:rPr>
          <w:rStyle w:val="FontStyle39"/>
          <w:sz w:val="24"/>
          <w:szCs w:val="24"/>
          <w:lang w:val="da-DK" w:eastAsia="da-DK"/>
        </w:rPr>
        <w:t>ventriculi</w:t>
      </w:r>
      <w:proofErr w:type="spellEnd"/>
      <w:r w:rsidRPr="00082BA2">
        <w:rPr>
          <w:rStyle w:val="FontStyle39"/>
          <w:sz w:val="24"/>
          <w:szCs w:val="24"/>
          <w:lang w:val="da-DK" w:eastAsia="da-DK"/>
        </w:rPr>
        <w:t xml:space="preserve">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påbegyndes, idet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kan skjule symptomerne og forsinke diagnosen.</w:t>
      </w:r>
    </w:p>
    <w:p w:rsidR="003301D2" w:rsidRPr="00082BA2" w:rsidRDefault="003301D2" w:rsidP="003301D2">
      <w:pPr>
        <w:pStyle w:val="Style14"/>
        <w:widowControl/>
        <w:spacing w:line="240" w:lineRule="auto"/>
        <w:ind w:left="851" w:hanging="851"/>
        <w:rPr>
          <w:rStyle w:val="FontStyle39"/>
          <w:sz w:val="24"/>
          <w:szCs w:val="24"/>
          <w:lang w:val="da-DK" w:eastAsia="da-DK"/>
        </w:rPr>
      </w:pP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skal anvendes med forsigtighed til patienter med moderat og svært nedsat leverfunktion (se pkt. 4.2 og 5.2).</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6"/>
          <w:sz w:val="24"/>
          <w:szCs w:val="24"/>
          <w:lang w:val="da-DK" w:eastAsia="da-DK"/>
        </w:rPr>
      </w:pPr>
      <w:r w:rsidRPr="00082BA2">
        <w:rPr>
          <w:rStyle w:val="FontStyle39"/>
          <w:sz w:val="24"/>
          <w:szCs w:val="24"/>
          <w:lang w:val="da-DK" w:eastAsia="da-DK"/>
        </w:rPr>
        <w:t xml:space="preserve">Nedsat </w:t>
      </w:r>
      <w:proofErr w:type="spellStart"/>
      <w:r w:rsidRPr="00082BA2">
        <w:rPr>
          <w:rStyle w:val="FontStyle39"/>
          <w:sz w:val="24"/>
          <w:szCs w:val="24"/>
          <w:lang w:val="da-DK" w:eastAsia="da-DK"/>
        </w:rPr>
        <w:t>ventrikelaciditet</w:t>
      </w:r>
      <w:proofErr w:type="spellEnd"/>
      <w:r w:rsidRPr="00082BA2">
        <w:rPr>
          <w:rStyle w:val="FontStyle39"/>
          <w:sz w:val="24"/>
          <w:szCs w:val="24"/>
          <w:lang w:val="da-DK" w:eastAsia="da-DK"/>
        </w:rPr>
        <w:t xml:space="preserve"> på grund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kan forventes at øge forekomsten af bakterier, der normalt er til stede i </w:t>
      </w:r>
      <w:proofErr w:type="spellStart"/>
      <w:r w:rsidRPr="00082BA2">
        <w:rPr>
          <w:rStyle w:val="FontStyle39"/>
          <w:sz w:val="24"/>
          <w:szCs w:val="24"/>
          <w:lang w:val="da-DK" w:eastAsia="da-DK"/>
        </w:rPr>
        <w:t>gastrointestinalkanalen</w:t>
      </w:r>
      <w:proofErr w:type="spellEnd"/>
      <w:r w:rsidRPr="00082BA2">
        <w:rPr>
          <w:rStyle w:val="FontStyle39"/>
          <w:sz w:val="24"/>
          <w:szCs w:val="24"/>
          <w:lang w:val="da-DK" w:eastAsia="da-DK"/>
        </w:rPr>
        <w:t xml:space="preserve">. Behandling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kan medføre en let forhøjet risiko for </w:t>
      </w:r>
      <w:proofErr w:type="spellStart"/>
      <w:r w:rsidRPr="00082BA2">
        <w:rPr>
          <w:rStyle w:val="FontStyle39"/>
          <w:sz w:val="24"/>
          <w:szCs w:val="24"/>
          <w:lang w:val="da-DK" w:eastAsia="da-DK"/>
        </w:rPr>
        <w:t>gastrointestinale</w:t>
      </w:r>
      <w:proofErr w:type="spellEnd"/>
      <w:r w:rsidRPr="00082BA2">
        <w:rPr>
          <w:rStyle w:val="FontStyle39"/>
          <w:sz w:val="24"/>
          <w:szCs w:val="24"/>
          <w:lang w:val="da-DK" w:eastAsia="da-DK"/>
        </w:rPr>
        <w:t xml:space="preserve"> infektioner som for eksempel med </w:t>
      </w:r>
      <w:r w:rsidRPr="00082BA2">
        <w:rPr>
          <w:rStyle w:val="FontStyle36"/>
          <w:sz w:val="24"/>
          <w:szCs w:val="24"/>
          <w:lang w:val="da-DK" w:eastAsia="da-DK"/>
        </w:rPr>
        <w:t xml:space="preserve">Salmonella </w:t>
      </w:r>
      <w:r w:rsidRPr="00082BA2">
        <w:rPr>
          <w:rStyle w:val="FontStyle39"/>
          <w:sz w:val="24"/>
          <w:szCs w:val="24"/>
          <w:lang w:val="da-DK" w:eastAsia="da-DK"/>
        </w:rPr>
        <w:t xml:space="preserve">og </w:t>
      </w:r>
      <w:r w:rsidRPr="00082BA2">
        <w:rPr>
          <w:rStyle w:val="FontStyle36"/>
          <w:sz w:val="24"/>
          <w:szCs w:val="24"/>
          <w:lang w:val="da-DK" w:eastAsia="da-DK"/>
        </w:rPr>
        <w:t>Campylobacter.</w:t>
      </w:r>
    </w:p>
    <w:p w:rsidR="003301D2" w:rsidRPr="00082BA2" w:rsidRDefault="003301D2" w:rsidP="003301D2">
      <w:pPr>
        <w:pStyle w:val="Style25"/>
        <w:widowControl/>
        <w:spacing w:line="240" w:lineRule="auto"/>
        <w:ind w:left="851"/>
        <w:rPr>
          <w:rStyle w:val="FontStyle39"/>
          <w:sz w:val="24"/>
          <w:szCs w:val="24"/>
          <w:lang w:val="da-DK" w:eastAsia="da-DK"/>
        </w:rPr>
      </w:pPr>
      <w:r w:rsidRPr="00082BA2">
        <w:rPr>
          <w:rStyle w:val="FontStyle39"/>
          <w:sz w:val="24"/>
          <w:szCs w:val="24"/>
          <w:lang w:val="da-DK" w:eastAsia="da-DK"/>
        </w:rPr>
        <w:t xml:space="preserve">Hos patienter med </w:t>
      </w:r>
      <w:proofErr w:type="spellStart"/>
      <w:r w:rsidRPr="00082BA2">
        <w:rPr>
          <w:rStyle w:val="FontStyle39"/>
          <w:sz w:val="24"/>
          <w:szCs w:val="24"/>
          <w:lang w:val="da-DK" w:eastAsia="da-DK"/>
        </w:rPr>
        <w:t>gastroduodenalsår</w:t>
      </w:r>
      <w:proofErr w:type="spellEnd"/>
      <w:r w:rsidRPr="00082BA2">
        <w:rPr>
          <w:rStyle w:val="FontStyle39"/>
          <w:sz w:val="24"/>
          <w:szCs w:val="24"/>
          <w:lang w:val="da-DK" w:eastAsia="da-DK"/>
        </w:rPr>
        <w:t xml:space="preserve"> skal muligheden for en infektion med </w:t>
      </w:r>
      <w:r w:rsidRPr="00082BA2">
        <w:rPr>
          <w:rStyle w:val="FontStyle36"/>
          <w:sz w:val="24"/>
          <w:szCs w:val="24"/>
          <w:lang w:val="da-DK" w:eastAsia="da-DK"/>
        </w:rPr>
        <w:t xml:space="preserve">H. </w:t>
      </w:r>
      <w:proofErr w:type="spellStart"/>
      <w:r w:rsidRPr="00082BA2">
        <w:rPr>
          <w:rStyle w:val="FontStyle36"/>
          <w:sz w:val="24"/>
          <w:szCs w:val="24"/>
          <w:lang w:val="da-DK" w:eastAsia="da-DK"/>
        </w:rPr>
        <w:t>pylori</w:t>
      </w:r>
      <w:proofErr w:type="spellEnd"/>
      <w:r w:rsidRPr="00082BA2">
        <w:rPr>
          <w:rStyle w:val="FontStyle36"/>
          <w:sz w:val="24"/>
          <w:szCs w:val="24"/>
          <w:lang w:val="da-DK" w:eastAsia="da-DK"/>
        </w:rPr>
        <w:t xml:space="preserve"> </w:t>
      </w:r>
      <w:r w:rsidRPr="00082BA2">
        <w:rPr>
          <w:rStyle w:val="FontStyle39"/>
          <w:sz w:val="24"/>
          <w:szCs w:val="24"/>
          <w:lang w:val="da-DK" w:eastAsia="da-DK"/>
        </w:rPr>
        <w:t>overvejes som en ætiologisk faktor.</w:t>
      </w:r>
    </w:p>
    <w:p w:rsidR="003301D2" w:rsidRPr="00082BA2" w:rsidRDefault="003301D2" w:rsidP="003301D2">
      <w:pPr>
        <w:pStyle w:val="Style25"/>
        <w:widowControl/>
        <w:spacing w:line="240" w:lineRule="auto"/>
        <w:ind w:left="851" w:hanging="851"/>
        <w:jc w:val="left"/>
        <w:rPr>
          <w:lang w:val="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lastRenderedPageBreak/>
        <w:t xml:space="preserve">Hvis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anvendes i kombination med antibiotika til </w:t>
      </w:r>
      <w:proofErr w:type="spellStart"/>
      <w:r w:rsidRPr="00082BA2">
        <w:rPr>
          <w:rStyle w:val="FontStyle39"/>
          <w:sz w:val="24"/>
          <w:szCs w:val="24"/>
          <w:lang w:val="da-DK" w:eastAsia="da-DK"/>
        </w:rPr>
        <w:t>eradikationsbehandling</w:t>
      </w:r>
      <w:proofErr w:type="spellEnd"/>
      <w:r w:rsidRPr="00082BA2">
        <w:rPr>
          <w:rStyle w:val="FontStyle39"/>
          <w:sz w:val="24"/>
          <w:szCs w:val="24"/>
          <w:lang w:val="da-DK" w:eastAsia="da-DK"/>
        </w:rPr>
        <w:t xml:space="preserve"> af </w:t>
      </w:r>
      <w:r w:rsidRPr="00082BA2">
        <w:rPr>
          <w:rStyle w:val="FontStyle36"/>
          <w:sz w:val="24"/>
          <w:szCs w:val="24"/>
          <w:lang w:val="da-DK" w:eastAsia="da-DK"/>
        </w:rPr>
        <w:t xml:space="preserve">H. </w:t>
      </w:r>
      <w:proofErr w:type="spellStart"/>
      <w:r w:rsidRPr="00082BA2">
        <w:rPr>
          <w:rStyle w:val="FontStyle36"/>
          <w:sz w:val="24"/>
          <w:szCs w:val="24"/>
          <w:lang w:val="da-DK" w:eastAsia="da-DK"/>
        </w:rPr>
        <w:t>pylori</w:t>
      </w:r>
      <w:proofErr w:type="spellEnd"/>
      <w:r w:rsidRPr="00082BA2">
        <w:rPr>
          <w:rStyle w:val="FontStyle36"/>
          <w:sz w:val="24"/>
          <w:szCs w:val="24"/>
          <w:lang w:val="da-DK" w:eastAsia="da-DK"/>
        </w:rPr>
        <w:t xml:space="preserve">, </w:t>
      </w:r>
      <w:r w:rsidRPr="00082BA2">
        <w:rPr>
          <w:rStyle w:val="FontStyle39"/>
          <w:sz w:val="24"/>
          <w:szCs w:val="24"/>
          <w:lang w:val="da-DK" w:eastAsia="da-DK"/>
        </w:rPr>
        <w:t>skal anvisningerne for brugen af disse antibiotika også følges.</w:t>
      </w:r>
    </w:p>
    <w:p w:rsidR="003301D2" w:rsidRPr="00082BA2" w:rsidRDefault="003301D2" w:rsidP="003301D2">
      <w:pPr>
        <w:pStyle w:val="Style25"/>
        <w:widowControl/>
        <w:spacing w:line="240" w:lineRule="auto"/>
        <w:ind w:left="851" w:hanging="851"/>
        <w:jc w:val="left"/>
        <w:rPr>
          <w:rStyle w:val="FontStyle39"/>
          <w:sz w:val="24"/>
          <w:szCs w:val="24"/>
          <w:lang w:val="da-DK" w:eastAsia="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På grund af de begrænsede sikkerhedsdata for patienter, der har været i vedligeholdelsesbehandling i mere end 1 år, skal der regelmæssigt foretages en gennemgang af behandlingen og en grundig afvejning af risici/fordele for disse patienter.</w:t>
      </w:r>
    </w:p>
    <w:p w:rsidR="003301D2" w:rsidRPr="00082BA2" w:rsidRDefault="003301D2" w:rsidP="003301D2">
      <w:pPr>
        <w:pStyle w:val="Style25"/>
        <w:widowControl/>
        <w:spacing w:line="240" w:lineRule="auto"/>
        <w:ind w:left="851" w:hanging="851"/>
        <w:rPr>
          <w:lang w:val="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Der er rapporteret om meget sjældne tilfælde af colitis hos patienter, der tager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I tilfælde af svær og/eller vedvarende diarré skal det derfor overvejes at seponere behandlingen.</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ind w:left="851"/>
        <w:rPr>
          <w:sz w:val="24"/>
          <w:szCs w:val="24"/>
        </w:rPr>
      </w:pPr>
      <w:r w:rsidRPr="00082BA2">
        <w:rPr>
          <w:sz w:val="24"/>
          <w:szCs w:val="24"/>
        </w:rPr>
        <w:t xml:space="preserve">Alvorlig </w:t>
      </w:r>
      <w:proofErr w:type="spellStart"/>
      <w:r w:rsidRPr="00082BA2">
        <w:rPr>
          <w:sz w:val="24"/>
          <w:szCs w:val="24"/>
        </w:rPr>
        <w:t>hypomagnesiæmi</w:t>
      </w:r>
      <w:proofErr w:type="spellEnd"/>
      <w:r w:rsidRPr="00082BA2">
        <w:rPr>
          <w:sz w:val="24"/>
          <w:szCs w:val="24"/>
        </w:rPr>
        <w:t xml:space="preserve"> har været rapporteret hos patienter behandlet med </w:t>
      </w:r>
      <w:proofErr w:type="spellStart"/>
      <w:r w:rsidRPr="00082BA2">
        <w:rPr>
          <w:sz w:val="24"/>
          <w:szCs w:val="24"/>
        </w:rPr>
        <w:t>PPI’er</w:t>
      </w:r>
      <w:proofErr w:type="spellEnd"/>
      <w:r w:rsidRPr="00082BA2">
        <w:rPr>
          <w:sz w:val="24"/>
          <w:szCs w:val="24"/>
        </w:rPr>
        <w:t xml:space="preserve">, såsom </w:t>
      </w:r>
      <w:proofErr w:type="spellStart"/>
      <w:r w:rsidRPr="00082BA2">
        <w:rPr>
          <w:sz w:val="24"/>
          <w:szCs w:val="24"/>
        </w:rPr>
        <w:t>lansoprazol</w:t>
      </w:r>
      <w:proofErr w:type="spellEnd"/>
      <w:r w:rsidRPr="00082BA2">
        <w:rPr>
          <w:sz w:val="24"/>
          <w:szCs w:val="24"/>
        </w:rPr>
        <w:t xml:space="preserve">, i mindst tre måneder og i de fleste tilfælde i et år. Alvorlige manifestationer af </w:t>
      </w:r>
      <w:proofErr w:type="spellStart"/>
      <w:r w:rsidRPr="00082BA2">
        <w:rPr>
          <w:sz w:val="24"/>
          <w:szCs w:val="24"/>
        </w:rPr>
        <w:t>hypomagnesiæmi</w:t>
      </w:r>
      <w:proofErr w:type="spellEnd"/>
      <w:r w:rsidRPr="00082BA2">
        <w:rPr>
          <w:sz w:val="24"/>
          <w:szCs w:val="24"/>
        </w:rPr>
        <w:t xml:space="preserve"> som træthed, tetani, delirium, kramper, svimmelhed og </w:t>
      </w:r>
      <w:proofErr w:type="spellStart"/>
      <w:r w:rsidRPr="00082BA2">
        <w:rPr>
          <w:sz w:val="24"/>
          <w:szCs w:val="24"/>
        </w:rPr>
        <w:t>ventrikulær</w:t>
      </w:r>
      <w:proofErr w:type="spellEnd"/>
      <w:r w:rsidRPr="00082BA2">
        <w:rPr>
          <w:sz w:val="24"/>
          <w:szCs w:val="24"/>
        </w:rPr>
        <w:t xml:space="preserve"> </w:t>
      </w:r>
      <w:proofErr w:type="spellStart"/>
      <w:r w:rsidRPr="00082BA2">
        <w:rPr>
          <w:sz w:val="24"/>
          <w:szCs w:val="24"/>
        </w:rPr>
        <w:t>arytmi</w:t>
      </w:r>
      <w:proofErr w:type="spellEnd"/>
      <w:r w:rsidRPr="00082BA2">
        <w:rPr>
          <w:sz w:val="24"/>
          <w:szCs w:val="24"/>
        </w:rPr>
        <w:t xml:space="preserve"> kan forekomme, men kan begynde stille og kan blive overset. Tilstanden forbedres hos de fleste patienter efter magnesiumerstatning og </w:t>
      </w:r>
      <w:proofErr w:type="spellStart"/>
      <w:r w:rsidRPr="00082BA2">
        <w:rPr>
          <w:sz w:val="24"/>
          <w:szCs w:val="24"/>
        </w:rPr>
        <w:t>seponering</w:t>
      </w:r>
      <w:proofErr w:type="spellEnd"/>
      <w:r w:rsidRPr="00082BA2">
        <w:rPr>
          <w:sz w:val="24"/>
          <w:szCs w:val="24"/>
        </w:rPr>
        <w:t xml:space="preserve"> af PPI.</w:t>
      </w:r>
    </w:p>
    <w:p w:rsidR="003301D2" w:rsidRPr="00082BA2" w:rsidRDefault="003301D2" w:rsidP="003301D2">
      <w:pPr>
        <w:ind w:left="851"/>
        <w:rPr>
          <w:sz w:val="24"/>
          <w:szCs w:val="24"/>
        </w:rPr>
      </w:pPr>
    </w:p>
    <w:p w:rsidR="003301D2" w:rsidRPr="00082BA2" w:rsidRDefault="003301D2" w:rsidP="003301D2">
      <w:pPr>
        <w:ind w:left="851"/>
        <w:rPr>
          <w:sz w:val="24"/>
          <w:szCs w:val="24"/>
        </w:rPr>
      </w:pPr>
      <w:r w:rsidRPr="00082BA2">
        <w:rPr>
          <w:sz w:val="24"/>
          <w:szCs w:val="24"/>
        </w:rPr>
        <w:t xml:space="preserve">Det bør overvejes at måle serummagnesium før opstart af </w:t>
      </w:r>
      <w:proofErr w:type="gramStart"/>
      <w:r w:rsidRPr="00082BA2">
        <w:rPr>
          <w:sz w:val="24"/>
          <w:szCs w:val="24"/>
        </w:rPr>
        <w:t>PPI behandling</w:t>
      </w:r>
      <w:proofErr w:type="gramEnd"/>
      <w:r w:rsidRPr="00082BA2">
        <w:rPr>
          <w:sz w:val="24"/>
          <w:szCs w:val="24"/>
        </w:rPr>
        <w:t xml:space="preserve"> og regelmæssigt under behandlingen hos patienter, der forventes at være i langvarig behandling eller tager </w:t>
      </w:r>
      <w:proofErr w:type="spellStart"/>
      <w:r w:rsidRPr="00082BA2">
        <w:rPr>
          <w:sz w:val="24"/>
          <w:szCs w:val="24"/>
        </w:rPr>
        <w:t>PPI’er</w:t>
      </w:r>
      <w:proofErr w:type="spellEnd"/>
      <w:r w:rsidRPr="00082BA2">
        <w:rPr>
          <w:sz w:val="24"/>
          <w:szCs w:val="24"/>
        </w:rPr>
        <w:t xml:space="preserve"> samtidigt med </w:t>
      </w:r>
      <w:proofErr w:type="spellStart"/>
      <w:r w:rsidRPr="00082BA2">
        <w:rPr>
          <w:sz w:val="24"/>
          <w:szCs w:val="24"/>
        </w:rPr>
        <w:t>digoxin</w:t>
      </w:r>
      <w:proofErr w:type="spellEnd"/>
      <w:r w:rsidRPr="00082BA2">
        <w:rPr>
          <w:sz w:val="24"/>
          <w:szCs w:val="24"/>
        </w:rPr>
        <w:t xml:space="preserve"> eller andre lægemidler, der kan forårsage </w:t>
      </w:r>
      <w:proofErr w:type="spellStart"/>
      <w:r w:rsidRPr="00082BA2">
        <w:rPr>
          <w:sz w:val="24"/>
          <w:szCs w:val="24"/>
        </w:rPr>
        <w:t>hypomagnesiæmi</w:t>
      </w:r>
      <w:proofErr w:type="spellEnd"/>
      <w:r w:rsidRPr="00082BA2">
        <w:rPr>
          <w:sz w:val="24"/>
          <w:szCs w:val="24"/>
        </w:rPr>
        <w:t xml:space="preserve"> (f.eks. </w:t>
      </w:r>
      <w:proofErr w:type="spellStart"/>
      <w:r w:rsidRPr="00082BA2">
        <w:rPr>
          <w:sz w:val="24"/>
          <w:szCs w:val="24"/>
        </w:rPr>
        <w:t>diuretika</w:t>
      </w:r>
      <w:proofErr w:type="spellEnd"/>
      <w:r w:rsidRPr="00082BA2">
        <w:rPr>
          <w:sz w:val="24"/>
          <w:szCs w:val="24"/>
        </w:rPr>
        <w:t>).</w:t>
      </w:r>
    </w:p>
    <w:p w:rsidR="003301D2" w:rsidRPr="00082BA2" w:rsidRDefault="003301D2" w:rsidP="003301D2">
      <w:pPr>
        <w:pStyle w:val="Style14"/>
        <w:widowControl/>
        <w:spacing w:line="240" w:lineRule="auto"/>
        <w:ind w:left="851"/>
        <w:rPr>
          <w:rStyle w:val="FontStyle39"/>
          <w:sz w:val="24"/>
          <w:szCs w:val="24"/>
          <w:lang w:val="da-DK" w:eastAsia="da-DK"/>
        </w:rPr>
      </w:pPr>
    </w:p>
    <w:p w:rsidR="003301D2" w:rsidRPr="00082BA2" w:rsidRDefault="003301D2" w:rsidP="003301D2">
      <w:pPr>
        <w:pStyle w:val="Style14"/>
        <w:ind w:left="851"/>
        <w:rPr>
          <w:rStyle w:val="FontStyle39"/>
          <w:sz w:val="24"/>
          <w:szCs w:val="24"/>
          <w:u w:val="single"/>
          <w:lang w:val="en-US" w:eastAsia="da-DK"/>
        </w:rPr>
      </w:pPr>
      <w:proofErr w:type="spellStart"/>
      <w:r w:rsidRPr="00082BA2">
        <w:rPr>
          <w:rStyle w:val="FontStyle39"/>
          <w:sz w:val="24"/>
          <w:szCs w:val="24"/>
          <w:u w:val="single"/>
          <w:lang w:val="en-US" w:eastAsia="da-DK"/>
        </w:rPr>
        <w:t>Subakut</w:t>
      </w:r>
      <w:proofErr w:type="spellEnd"/>
      <w:r w:rsidRPr="00082BA2">
        <w:rPr>
          <w:rStyle w:val="FontStyle39"/>
          <w:sz w:val="24"/>
          <w:szCs w:val="24"/>
          <w:u w:val="single"/>
          <w:lang w:val="en-US" w:eastAsia="da-DK"/>
        </w:rPr>
        <w:t xml:space="preserve"> </w:t>
      </w:r>
      <w:proofErr w:type="spellStart"/>
      <w:r w:rsidRPr="00082BA2">
        <w:rPr>
          <w:rStyle w:val="FontStyle39"/>
          <w:sz w:val="24"/>
          <w:szCs w:val="24"/>
          <w:u w:val="single"/>
          <w:lang w:val="en-US" w:eastAsia="da-DK"/>
        </w:rPr>
        <w:t>kutan</w:t>
      </w:r>
      <w:proofErr w:type="spellEnd"/>
      <w:r w:rsidRPr="00082BA2">
        <w:rPr>
          <w:rStyle w:val="FontStyle39"/>
          <w:sz w:val="24"/>
          <w:szCs w:val="24"/>
          <w:u w:val="single"/>
          <w:lang w:val="en-US" w:eastAsia="da-DK"/>
        </w:rPr>
        <w:t xml:space="preserve"> lupus erythematosus (SCLE)</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Protonpumpehæmmere</w:t>
      </w:r>
      <w:proofErr w:type="spellEnd"/>
      <w:r w:rsidRPr="00082BA2">
        <w:rPr>
          <w:rStyle w:val="FontStyle39"/>
          <w:sz w:val="24"/>
          <w:szCs w:val="24"/>
          <w:lang w:val="da-DK" w:eastAsia="da-DK"/>
        </w:rPr>
        <w:t xml:space="preserve"> er forbundet med meget sjældne tilfælde af SCLE. Hvis sådanne hudreaktioner optræder, navnlig på hudområder udsat for sol, og er ledsaget af </w:t>
      </w:r>
      <w:proofErr w:type="spellStart"/>
      <w:r w:rsidRPr="00082BA2">
        <w:rPr>
          <w:rStyle w:val="FontStyle39"/>
          <w:sz w:val="24"/>
          <w:szCs w:val="24"/>
          <w:lang w:val="da-DK" w:eastAsia="da-DK"/>
        </w:rPr>
        <w:t>artralgi</w:t>
      </w:r>
      <w:proofErr w:type="spellEnd"/>
      <w:r w:rsidRPr="00082BA2">
        <w:rPr>
          <w:rStyle w:val="FontStyle39"/>
          <w:sz w:val="24"/>
          <w:szCs w:val="24"/>
          <w:lang w:val="da-DK" w:eastAsia="da-DK"/>
        </w:rPr>
        <w:t xml:space="preserve">, bør patienten straks søge læge, og lægen bør overveje at seponere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"Medical Valley". SCLE efter tidligere behandling med en protonpumpehæmmer kan øge risikoen for SCLE med andre </w:t>
      </w:r>
      <w:proofErr w:type="spellStart"/>
      <w:r w:rsidRPr="00082BA2">
        <w:rPr>
          <w:rStyle w:val="FontStyle39"/>
          <w:sz w:val="24"/>
          <w:szCs w:val="24"/>
          <w:lang w:val="da-DK" w:eastAsia="da-DK"/>
        </w:rPr>
        <w:t>protonpumpehæmmere</w:t>
      </w:r>
      <w:proofErr w:type="spellEnd"/>
      <w:r w:rsidRPr="00082BA2">
        <w:rPr>
          <w:rStyle w:val="FontStyle39"/>
          <w:sz w:val="24"/>
          <w:szCs w:val="24"/>
          <w:lang w:val="da-DK" w:eastAsia="da-DK"/>
        </w:rPr>
        <w:t>.</w:t>
      </w:r>
    </w:p>
    <w:p w:rsidR="003301D2" w:rsidRPr="00082BA2" w:rsidRDefault="003301D2" w:rsidP="003301D2">
      <w:pPr>
        <w:pStyle w:val="Style14"/>
        <w:widowControl/>
        <w:spacing w:line="240" w:lineRule="auto"/>
        <w:ind w:left="851"/>
        <w:rPr>
          <w:rStyle w:val="FontStyle39"/>
          <w:sz w:val="24"/>
          <w:szCs w:val="24"/>
          <w:lang w:val="da-DK" w:eastAsia="da-DK"/>
        </w:rPr>
      </w:pPr>
    </w:p>
    <w:p w:rsidR="003301D2" w:rsidRPr="00082BA2" w:rsidRDefault="003301D2" w:rsidP="003301D2">
      <w:pPr>
        <w:ind w:left="851"/>
        <w:jc w:val="both"/>
        <w:rPr>
          <w:sz w:val="24"/>
          <w:szCs w:val="24"/>
          <w:u w:val="single"/>
        </w:rPr>
      </w:pPr>
      <w:r w:rsidRPr="00082BA2">
        <w:rPr>
          <w:sz w:val="24"/>
          <w:szCs w:val="24"/>
          <w:u w:val="single"/>
        </w:rPr>
        <w:t xml:space="preserve">Interferens med laboratorieprøver </w:t>
      </w:r>
    </w:p>
    <w:p w:rsidR="003301D2" w:rsidRPr="00082BA2" w:rsidRDefault="003301D2" w:rsidP="003301D2">
      <w:pPr>
        <w:pStyle w:val="Style14"/>
        <w:widowControl/>
        <w:spacing w:line="240" w:lineRule="auto"/>
        <w:ind w:left="851"/>
      </w:pPr>
      <w:r w:rsidRPr="00082BA2">
        <w:t>Forhøjet chromogranin A (CgA) kan interferere med undersøgelser for neuroendokrine tumorer. For at undgå denne interferens bør [særnavn] seponeres mindst 5 dage inden måling af CgA (se pkt. 5.1). Hvis indholdet af CgA og gastrin ikke er returneret til referenceområdet ved den første måling, bør målingen gentages 14 dage efter seponering af protonpumpehæmmeren.</w:t>
      </w:r>
    </w:p>
    <w:p w:rsidR="00B23362" w:rsidRPr="00082BA2" w:rsidRDefault="00B23362" w:rsidP="00F1288F">
      <w:pPr>
        <w:pStyle w:val="Style14"/>
        <w:widowControl/>
        <w:spacing w:line="240" w:lineRule="auto"/>
        <w:ind w:left="851"/>
      </w:pPr>
    </w:p>
    <w:p w:rsidR="00B23362" w:rsidRPr="00082BA2" w:rsidRDefault="00B23362" w:rsidP="00F1288F">
      <w:pPr>
        <w:pStyle w:val="Style14"/>
        <w:spacing w:line="240" w:lineRule="auto"/>
        <w:ind w:left="851"/>
        <w:rPr>
          <w:rStyle w:val="FontStyle39"/>
          <w:sz w:val="24"/>
          <w:szCs w:val="24"/>
          <w:u w:val="single"/>
          <w:lang w:val="da-DK" w:eastAsia="da-DK"/>
        </w:rPr>
      </w:pPr>
      <w:r w:rsidRPr="00082BA2">
        <w:rPr>
          <w:rStyle w:val="FontStyle39"/>
          <w:sz w:val="24"/>
          <w:szCs w:val="24"/>
          <w:u w:val="single"/>
          <w:lang w:val="da-DK" w:eastAsia="da-DK"/>
        </w:rPr>
        <w:t>Nedsat nyrefunktion</w:t>
      </w:r>
    </w:p>
    <w:p w:rsidR="00B23362" w:rsidRPr="00082BA2" w:rsidRDefault="00B23362" w:rsidP="00F1288F">
      <w:pPr>
        <w:pStyle w:val="Style14"/>
        <w:spacing w:line="240" w:lineRule="auto"/>
        <w:ind w:left="851"/>
        <w:rPr>
          <w:rStyle w:val="FontStyle39"/>
          <w:sz w:val="24"/>
          <w:szCs w:val="24"/>
          <w:lang w:val="da-DK" w:eastAsia="da-DK"/>
        </w:rPr>
      </w:pPr>
      <w:r w:rsidRPr="00082BA2">
        <w:rPr>
          <w:rStyle w:val="FontStyle39"/>
          <w:sz w:val="24"/>
          <w:szCs w:val="24"/>
          <w:lang w:val="da-DK" w:eastAsia="da-DK"/>
        </w:rPr>
        <w:t xml:space="preserve">Akut </w:t>
      </w:r>
      <w:proofErr w:type="spellStart"/>
      <w:r w:rsidRPr="00082BA2">
        <w:rPr>
          <w:rStyle w:val="FontStyle39"/>
          <w:sz w:val="24"/>
          <w:szCs w:val="24"/>
          <w:lang w:val="da-DK" w:eastAsia="da-DK"/>
        </w:rPr>
        <w:t>tubulointerstitiel</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nefritis</w:t>
      </w:r>
      <w:proofErr w:type="spellEnd"/>
      <w:r w:rsidRPr="00082BA2">
        <w:rPr>
          <w:rStyle w:val="FontStyle39"/>
          <w:sz w:val="24"/>
          <w:szCs w:val="24"/>
          <w:lang w:val="da-DK" w:eastAsia="da-DK"/>
        </w:rPr>
        <w:t xml:space="preserve"> (TIN) er blevet observeret hos patienter, der tager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og kan optræde på et hvilket som helst tidspunkt under behandlingen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(se pkt. 4.8). Akut </w:t>
      </w:r>
      <w:proofErr w:type="spellStart"/>
      <w:r w:rsidRPr="00082BA2">
        <w:rPr>
          <w:rStyle w:val="FontStyle39"/>
          <w:sz w:val="24"/>
          <w:szCs w:val="24"/>
          <w:lang w:val="da-DK" w:eastAsia="da-DK"/>
        </w:rPr>
        <w:t>tubulointerstitiel</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nefritis</w:t>
      </w:r>
      <w:proofErr w:type="spellEnd"/>
      <w:r w:rsidRPr="00082BA2">
        <w:rPr>
          <w:rStyle w:val="FontStyle39"/>
          <w:sz w:val="24"/>
          <w:szCs w:val="24"/>
          <w:lang w:val="da-DK" w:eastAsia="da-DK"/>
        </w:rPr>
        <w:t xml:space="preserve"> kan udvikle sig til nyresvigt.</w:t>
      </w:r>
    </w:p>
    <w:p w:rsidR="00B23362" w:rsidRPr="00082BA2" w:rsidRDefault="00B23362" w:rsidP="00F1288F">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bør seponeres i tilfælde af mistanke om TIN, og passende behandling bør straks iværksættes.</w:t>
      </w:r>
    </w:p>
    <w:p w:rsidR="003301D2" w:rsidRPr="00082BA2" w:rsidRDefault="003301D2" w:rsidP="00F1288F">
      <w:pPr>
        <w:pStyle w:val="Style14"/>
        <w:widowControl/>
        <w:spacing w:line="240" w:lineRule="auto"/>
        <w:ind w:left="851"/>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Da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"Medical Valley" indeholder </w:t>
      </w:r>
      <w:proofErr w:type="spellStart"/>
      <w:r w:rsidRPr="00082BA2">
        <w:rPr>
          <w:rStyle w:val="FontStyle39"/>
          <w:sz w:val="24"/>
          <w:szCs w:val="24"/>
          <w:lang w:val="da-DK" w:eastAsia="da-DK"/>
        </w:rPr>
        <w:t>saccharose</w:t>
      </w:r>
      <w:proofErr w:type="spellEnd"/>
      <w:r w:rsidRPr="00082BA2">
        <w:rPr>
          <w:rStyle w:val="FontStyle39"/>
          <w:sz w:val="24"/>
          <w:szCs w:val="24"/>
          <w:lang w:val="da-DK" w:eastAsia="da-DK"/>
        </w:rPr>
        <w:t xml:space="preserve">, må patienter med sjældne arvelige problemer med </w:t>
      </w:r>
      <w:proofErr w:type="spellStart"/>
      <w:r w:rsidRPr="00082BA2">
        <w:rPr>
          <w:rStyle w:val="FontStyle39"/>
          <w:sz w:val="24"/>
          <w:szCs w:val="24"/>
          <w:lang w:val="da-DK" w:eastAsia="da-DK"/>
        </w:rPr>
        <w:t>fructoseintolerans</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glucose-galactosemalabsorption</w:t>
      </w:r>
      <w:proofErr w:type="spellEnd"/>
      <w:r w:rsidRPr="00082BA2">
        <w:rPr>
          <w:rStyle w:val="FontStyle39"/>
          <w:sz w:val="24"/>
          <w:szCs w:val="24"/>
          <w:lang w:val="da-DK" w:eastAsia="da-DK"/>
        </w:rPr>
        <w:t xml:space="preserve"> eller </w:t>
      </w:r>
      <w:proofErr w:type="spellStart"/>
      <w:r w:rsidRPr="00082BA2">
        <w:rPr>
          <w:rStyle w:val="FontStyle39"/>
          <w:sz w:val="24"/>
          <w:szCs w:val="24"/>
          <w:lang w:val="da-DK" w:eastAsia="da-DK"/>
        </w:rPr>
        <w:t>sucrase</w:t>
      </w:r>
      <w:proofErr w:type="spellEnd"/>
      <w:r w:rsidRPr="00082BA2">
        <w:rPr>
          <w:rStyle w:val="FontStyle39"/>
          <w:sz w:val="24"/>
          <w:szCs w:val="24"/>
          <w:lang w:val="da-DK" w:eastAsia="da-DK"/>
        </w:rPr>
        <w:t>-</w:t>
      </w:r>
      <w:proofErr w:type="spellStart"/>
      <w:r w:rsidRPr="00082BA2">
        <w:rPr>
          <w:rStyle w:val="FontStyle39"/>
          <w:sz w:val="24"/>
          <w:szCs w:val="24"/>
          <w:lang w:val="da-DK" w:eastAsia="da-DK"/>
        </w:rPr>
        <w:t>isomaltase</w:t>
      </w:r>
      <w:proofErr w:type="spellEnd"/>
      <w:r w:rsidRPr="00082BA2">
        <w:rPr>
          <w:rStyle w:val="FontStyle39"/>
          <w:sz w:val="24"/>
          <w:szCs w:val="24"/>
          <w:lang w:val="da-DK" w:eastAsia="da-DK"/>
        </w:rPr>
        <w:t>-insufficiens ikke anvende dette lægemiddel.</w:t>
      </w:r>
    </w:p>
    <w:p w:rsidR="00F96679" w:rsidRDefault="00F96679">
      <w:pPr>
        <w:rPr>
          <w:sz w:val="24"/>
          <w:szCs w:val="24"/>
        </w:rPr>
      </w:pPr>
      <w:r>
        <w:rPr>
          <w:sz w:val="24"/>
          <w:szCs w:val="24"/>
        </w:rPr>
        <w:br w:type="page"/>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301D2" w:rsidRPr="00F1288F" w:rsidRDefault="003301D2" w:rsidP="00F1288F">
      <w:pPr>
        <w:pStyle w:val="Style3"/>
        <w:widowControl/>
        <w:ind w:left="851" w:hanging="851"/>
        <w:jc w:val="left"/>
        <w:rPr>
          <w:rStyle w:val="FontStyle38"/>
          <w:b w:val="0"/>
          <w:sz w:val="24"/>
          <w:szCs w:val="24"/>
          <w:lang w:val="da-DK" w:eastAsia="da-DK"/>
        </w:rPr>
      </w:pPr>
      <w:r w:rsidRPr="00F1288F">
        <w:rPr>
          <w:b/>
        </w:rPr>
        <w:tab/>
      </w:r>
    </w:p>
    <w:p w:rsidR="003301D2" w:rsidRPr="00082BA2" w:rsidRDefault="003301D2" w:rsidP="003301D2">
      <w:pPr>
        <w:pStyle w:val="Style3"/>
        <w:widowControl/>
        <w:ind w:left="851"/>
        <w:rPr>
          <w:rStyle w:val="FontStyle38"/>
          <w:sz w:val="24"/>
          <w:szCs w:val="24"/>
          <w:u w:val="single"/>
          <w:lang w:val="da-DK" w:eastAsia="da-DK"/>
        </w:rPr>
      </w:pPr>
      <w:proofErr w:type="spellStart"/>
      <w:r w:rsidRPr="00082BA2">
        <w:rPr>
          <w:rStyle w:val="FontStyle38"/>
          <w:sz w:val="24"/>
          <w:szCs w:val="24"/>
          <w:u w:val="single"/>
          <w:lang w:val="da-DK" w:eastAsia="da-DK"/>
        </w:rPr>
        <w:t>Lansoprazols</w:t>
      </w:r>
      <w:proofErr w:type="spellEnd"/>
      <w:r w:rsidRPr="00082BA2">
        <w:rPr>
          <w:rStyle w:val="FontStyle38"/>
          <w:sz w:val="24"/>
          <w:szCs w:val="24"/>
          <w:u w:val="single"/>
          <w:lang w:val="da-DK" w:eastAsia="da-DK"/>
        </w:rPr>
        <w:t xml:space="preserve"> effekt på andre lægemidler</w:t>
      </w:r>
    </w:p>
    <w:p w:rsidR="003301D2" w:rsidRPr="00082BA2" w:rsidRDefault="003301D2" w:rsidP="003301D2">
      <w:pPr>
        <w:pStyle w:val="Style3"/>
        <w:widowControl/>
        <w:ind w:left="851" w:hanging="851"/>
        <w:rPr>
          <w:rStyle w:val="FontStyle38"/>
          <w:sz w:val="24"/>
          <w:szCs w:val="24"/>
          <w:u w:val="single"/>
          <w:lang w:val="da-DK" w:eastAsia="da-DK"/>
        </w:rPr>
      </w:pPr>
    </w:p>
    <w:p w:rsidR="003301D2" w:rsidRPr="00082BA2" w:rsidRDefault="003301D2" w:rsidP="003301D2">
      <w:pPr>
        <w:pStyle w:val="Style3"/>
        <w:widowControl/>
        <w:ind w:left="851"/>
        <w:rPr>
          <w:rStyle w:val="FontStyle38"/>
          <w:sz w:val="24"/>
          <w:szCs w:val="24"/>
          <w:lang w:val="da-DK" w:eastAsia="da-DK"/>
        </w:rPr>
      </w:pPr>
      <w:r w:rsidRPr="00082BA2">
        <w:rPr>
          <w:rStyle w:val="FontStyle38"/>
          <w:sz w:val="24"/>
          <w:szCs w:val="24"/>
          <w:lang w:val="da-DK" w:eastAsia="da-DK"/>
        </w:rPr>
        <w:lastRenderedPageBreak/>
        <w:t>Lægemidler med pH-afhængig absorption</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kan påvirke absorptionen af lægemidler, for hvilke gastrisk pH er vigtig for biotilgængeligheden.</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proofErr w:type="spellStart"/>
      <w:r w:rsidRPr="00082BA2">
        <w:rPr>
          <w:rStyle w:val="FontStyle39"/>
          <w:sz w:val="24"/>
          <w:szCs w:val="24"/>
          <w:u w:val="single"/>
          <w:lang w:val="da-DK" w:eastAsia="da-DK"/>
        </w:rPr>
        <w:t>Atazanavir</w:t>
      </w:r>
      <w:proofErr w:type="spellEnd"/>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Et forsøg har vist, at samtidig administration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(60 mg en gang daglig) og </w:t>
      </w:r>
      <w:proofErr w:type="spellStart"/>
      <w:r w:rsidRPr="00082BA2">
        <w:rPr>
          <w:rStyle w:val="FontStyle39"/>
          <w:sz w:val="24"/>
          <w:szCs w:val="24"/>
          <w:lang w:val="da-DK" w:eastAsia="da-DK"/>
        </w:rPr>
        <w:t>atazanavir</w:t>
      </w:r>
      <w:proofErr w:type="spellEnd"/>
      <w:r w:rsidRPr="00082BA2">
        <w:rPr>
          <w:rStyle w:val="FontStyle39"/>
          <w:sz w:val="24"/>
          <w:szCs w:val="24"/>
          <w:lang w:val="da-DK" w:eastAsia="da-DK"/>
        </w:rPr>
        <w:t xml:space="preserve"> 400 mg til raske frivillige medførte en væsentlig reduktion af </w:t>
      </w:r>
      <w:proofErr w:type="spellStart"/>
      <w:r w:rsidRPr="00082BA2">
        <w:rPr>
          <w:rStyle w:val="FontStyle39"/>
          <w:sz w:val="24"/>
          <w:szCs w:val="24"/>
          <w:lang w:val="da-DK" w:eastAsia="da-DK"/>
        </w:rPr>
        <w:t>atazanavireksponeringen</w:t>
      </w:r>
      <w:proofErr w:type="spellEnd"/>
      <w:r w:rsidRPr="00082BA2">
        <w:rPr>
          <w:rStyle w:val="FontStyle39"/>
          <w:sz w:val="24"/>
          <w:szCs w:val="24"/>
          <w:lang w:val="da-DK" w:eastAsia="da-DK"/>
        </w:rPr>
        <w:t xml:space="preserve"> (en reduktion af AUC og </w:t>
      </w:r>
      <w:proofErr w:type="spellStart"/>
      <w:r w:rsidRPr="00082BA2">
        <w:rPr>
          <w:rStyle w:val="FontStyle39"/>
          <w:sz w:val="24"/>
          <w:szCs w:val="24"/>
          <w:lang w:val="da-DK" w:eastAsia="da-DK"/>
        </w:rPr>
        <w:t>C</w:t>
      </w:r>
      <w:r w:rsidRPr="00082BA2">
        <w:rPr>
          <w:rStyle w:val="FontStyle39"/>
          <w:sz w:val="24"/>
          <w:szCs w:val="24"/>
          <w:vertAlign w:val="subscript"/>
          <w:lang w:val="da-DK" w:eastAsia="da-DK"/>
        </w:rPr>
        <w:t>max</w:t>
      </w:r>
      <w:proofErr w:type="spellEnd"/>
      <w:r w:rsidRPr="00082BA2">
        <w:rPr>
          <w:rStyle w:val="FontStyle39"/>
          <w:sz w:val="24"/>
          <w:szCs w:val="24"/>
          <w:lang w:val="da-DK" w:eastAsia="da-DK"/>
        </w:rPr>
        <w:t xml:space="preserve"> på cirka 90 %).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må ikke administreres sammen med </w:t>
      </w:r>
      <w:proofErr w:type="spellStart"/>
      <w:r w:rsidRPr="00082BA2">
        <w:rPr>
          <w:rStyle w:val="FontStyle39"/>
          <w:sz w:val="24"/>
          <w:szCs w:val="24"/>
          <w:lang w:val="da-DK" w:eastAsia="da-DK"/>
        </w:rPr>
        <w:t>atazanavir</w:t>
      </w:r>
      <w:proofErr w:type="spellEnd"/>
      <w:r w:rsidRPr="00082BA2">
        <w:rPr>
          <w:rStyle w:val="FontStyle39"/>
          <w:sz w:val="24"/>
          <w:szCs w:val="24"/>
          <w:lang w:val="da-DK" w:eastAsia="da-DK"/>
        </w:rPr>
        <w:t xml:space="preserve"> (se pkt. 4.3).</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proofErr w:type="spellStart"/>
      <w:r w:rsidRPr="00082BA2">
        <w:rPr>
          <w:rStyle w:val="FontStyle39"/>
          <w:sz w:val="24"/>
          <w:szCs w:val="24"/>
          <w:u w:val="single"/>
          <w:lang w:val="da-DK" w:eastAsia="da-DK"/>
        </w:rPr>
        <w:t>Ketoconazol</w:t>
      </w:r>
      <w:proofErr w:type="spellEnd"/>
      <w:r w:rsidRPr="00082BA2">
        <w:rPr>
          <w:rStyle w:val="FontStyle39"/>
          <w:sz w:val="24"/>
          <w:szCs w:val="24"/>
          <w:u w:val="single"/>
          <w:lang w:val="da-DK" w:eastAsia="da-DK"/>
        </w:rPr>
        <w:t xml:space="preserve"> og </w:t>
      </w:r>
      <w:proofErr w:type="spellStart"/>
      <w:r w:rsidRPr="00082BA2">
        <w:rPr>
          <w:rStyle w:val="FontStyle39"/>
          <w:sz w:val="24"/>
          <w:szCs w:val="24"/>
          <w:u w:val="single"/>
          <w:lang w:val="da-DK" w:eastAsia="da-DK"/>
        </w:rPr>
        <w:t>itraconazol</w:t>
      </w:r>
      <w:proofErr w:type="spellEnd"/>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Absorptionen af </w:t>
      </w:r>
      <w:proofErr w:type="spellStart"/>
      <w:r w:rsidRPr="00082BA2">
        <w:rPr>
          <w:rStyle w:val="FontStyle39"/>
          <w:sz w:val="24"/>
          <w:szCs w:val="24"/>
          <w:lang w:val="da-DK" w:eastAsia="da-DK"/>
        </w:rPr>
        <w:t>ketoconazol</w:t>
      </w:r>
      <w:proofErr w:type="spellEnd"/>
      <w:r w:rsidRPr="00082BA2">
        <w:rPr>
          <w:rStyle w:val="FontStyle39"/>
          <w:sz w:val="24"/>
          <w:szCs w:val="24"/>
          <w:lang w:val="da-DK" w:eastAsia="da-DK"/>
        </w:rPr>
        <w:t xml:space="preserve"> og </w:t>
      </w:r>
      <w:proofErr w:type="spellStart"/>
      <w:r w:rsidRPr="00082BA2">
        <w:rPr>
          <w:rStyle w:val="FontStyle39"/>
          <w:sz w:val="24"/>
          <w:szCs w:val="24"/>
          <w:lang w:val="da-DK" w:eastAsia="da-DK"/>
        </w:rPr>
        <w:t>itraconazol</w:t>
      </w:r>
      <w:proofErr w:type="spellEnd"/>
      <w:r w:rsidRPr="00082BA2">
        <w:rPr>
          <w:rStyle w:val="FontStyle39"/>
          <w:sz w:val="24"/>
          <w:szCs w:val="24"/>
          <w:lang w:val="da-DK" w:eastAsia="da-DK"/>
        </w:rPr>
        <w:t xml:space="preserve"> fra </w:t>
      </w:r>
      <w:proofErr w:type="spellStart"/>
      <w:r w:rsidRPr="00082BA2">
        <w:rPr>
          <w:rStyle w:val="FontStyle39"/>
          <w:sz w:val="24"/>
          <w:szCs w:val="24"/>
          <w:lang w:val="da-DK" w:eastAsia="da-DK"/>
        </w:rPr>
        <w:t>mave-tarmkanalen</w:t>
      </w:r>
      <w:proofErr w:type="spellEnd"/>
      <w:r w:rsidRPr="00082BA2">
        <w:rPr>
          <w:rStyle w:val="FontStyle39"/>
          <w:sz w:val="24"/>
          <w:szCs w:val="24"/>
          <w:lang w:val="da-DK" w:eastAsia="da-DK"/>
        </w:rPr>
        <w:t xml:space="preserve"> forstærkes af tilstedeværelsen af mavesyre. Administration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kan resultere i subterapeutiske koncentrationer af </w:t>
      </w:r>
      <w:proofErr w:type="spellStart"/>
      <w:r w:rsidRPr="00082BA2">
        <w:rPr>
          <w:rStyle w:val="FontStyle39"/>
          <w:sz w:val="24"/>
          <w:szCs w:val="24"/>
          <w:lang w:val="da-DK" w:eastAsia="da-DK"/>
        </w:rPr>
        <w:t>ketoconazol</w:t>
      </w:r>
      <w:proofErr w:type="spellEnd"/>
      <w:r w:rsidRPr="00082BA2">
        <w:rPr>
          <w:rStyle w:val="FontStyle39"/>
          <w:sz w:val="24"/>
          <w:szCs w:val="24"/>
          <w:lang w:val="da-DK" w:eastAsia="da-DK"/>
        </w:rPr>
        <w:t xml:space="preserve"> og </w:t>
      </w:r>
      <w:proofErr w:type="spellStart"/>
      <w:r w:rsidRPr="00082BA2">
        <w:rPr>
          <w:rStyle w:val="FontStyle39"/>
          <w:sz w:val="24"/>
          <w:szCs w:val="24"/>
          <w:lang w:val="da-DK" w:eastAsia="da-DK"/>
        </w:rPr>
        <w:t>itraconazol</w:t>
      </w:r>
      <w:proofErr w:type="spellEnd"/>
      <w:r w:rsidRPr="00082BA2">
        <w:rPr>
          <w:rStyle w:val="FontStyle39"/>
          <w:sz w:val="24"/>
          <w:szCs w:val="24"/>
          <w:lang w:val="da-DK" w:eastAsia="da-DK"/>
        </w:rPr>
        <w:t>, og kombinationen skal undgås.</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proofErr w:type="spellStart"/>
      <w:r w:rsidRPr="00082BA2">
        <w:rPr>
          <w:rStyle w:val="FontStyle39"/>
          <w:sz w:val="24"/>
          <w:szCs w:val="24"/>
          <w:u w:val="single"/>
          <w:lang w:val="da-DK" w:eastAsia="da-DK"/>
        </w:rPr>
        <w:t>Digoxin</w:t>
      </w:r>
      <w:proofErr w:type="spellEnd"/>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Samtidig administration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og </w:t>
      </w:r>
      <w:proofErr w:type="spellStart"/>
      <w:r w:rsidRPr="00082BA2">
        <w:rPr>
          <w:rStyle w:val="FontStyle39"/>
          <w:sz w:val="24"/>
          <w:szCs w:val="24"/>
          <w:lang w:val="da-DK" w:eastAsia="da-DK"/>
        </w:rPr>
        <w:t>digoxin</w:t>
      </w:r>
      <w:proofErr w:type="spellEnd"/>
      <w:r w:rsidRPr="00082BA2">
        <w:rPr>
          <w:rStyle w:val="FontStyle39"/>
          <w:sz w:val="24"/>
          <w:szCs w:val="24"/>
          <w:lang w:val="da-DK" w:eastAsia="da-DK"/>
        </w:rPr>
        <w:t xml:space="preserve"> kan medføre forhøjede plasmakoncentrationer af </w:t>
      </w:r>
      <w:proofErr w:type="spellStart"/>
      <w:r w:rsidRPr="00082BA2">
        <w:rPr>
          <w:rStyle w:val="FontStyle39"/>
          <w:sz w:val="24"/>
          <w:szCs w:val="24"/>
          <w:lang w:val="da-DK" w:eastAsia="da-DK"/>
        </w:rPr>
        <w:t>digoxin</w:t>
      </w:r>
      <w:proofErr w:type="spellEnd"/>
      <w:r w:rsidRPr="00082BA2">
        <w:rPr>
          <w:rStyle w:val="FontStyle39"/>
          <w:sz w:val="24"/>
          <w:szCs w:val="24"/>
          <w:lang w:val="da-DK" w:eastAsia="da-DK"/>
        </w:rPr>
        <w:t xml:space="preserve">. Plasmakoncentrationerne af </w:t>
      </w:r>
      <w:proofErr w:type="spellStart"/>
      <w:r w:rsidRPr="00082BA2">
        <w:rPr>
          <w:rStyle w:val="FontStyle39"/>
          <w:sz w:val="24"/>
          <w:szCs w:val="24"/>
          <w:lang w:val="da-DK" w:eastAsia="da-DK"/>
        </w:rPr>
        <w:t>digoxin</w:t>
      </w:r>
      <w:proofErr w:type="spellEnd"/>
      <w:r w:rsidRPr="00082BA2">
        <w:rPr>
          <w:rStyle w:val="FontStyle39"/>
          <w:sz w:val="24"/>
          <w:szCs w:val="24"/>
          <w:lang w:val="da-DK" w:eastAsia="da-DK"/>
        </w:rPr>
        <w:t xml:space="preserve"> skal derfor overvåges og dosis af </w:t>
      </w:r>
      <w:proofErr w:type="spellStart"/>
      <w:r w:rsidRPr="00082BA2">
        <w:rPr>
          <w:rStyle w:val="FontStyle39"/>
          <w:sz w:val="24"/>
          <w:szCs w:val="24"/>
          <w:lang w:val="da-DK" w:eastAsia="da-DK"/>
        </w:rPr>
        <w:t>digoxin</w:t>
      </w:r>
      <w:proofErr w:type="spellEnd"/>
      <w:r w:rsidRPr="00082BA2">
        <w:rPr>
          <w:rStyle w:val="FontStyle39"/>
          <w:sz w:val="24"/>
          <w:szCs w:val="24"/>
          <w:lang w:val="da-DK" w:eastAsia="da-DK"/>
        </w:rPr>
        <w:t xml:space="preserve"> justeres, hvis det er nødvendigt, når behandling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påbegyndes og afsluttes.</w:t>
      </w:r>
    </w:p>
    <w:p w:rsidR="003301D2" w:rsidRPr="00082BA2" w:rsidRDefault="003301D2" w:rsidP="003301D2">
      <w:pPr>
        <w:pStyle w:val="Style17"/>
        <w:widowControl/>
        <w:spacing w:line="240" w:lineRule="auto"/>
        <w:ind w:left="851" w:hanging="851"/>
        <w:rPr>
          <w:lang w:val="da-DK"/>
        </w:rPr>
      </w:pPr>
    </w:p>
    <w:p w:rsidR="003301D2" w:rsidRPr="00082BA2" w:rsidRDefault="003301D2" w:rsidP="003301D2">
      <w:pPr>
        <w:pStyle w:val="Style17"/>
        <w:widowControl/>
        <w:spacing w:line="240" w:lineRule="auto"/>
        <w:ind w:left="851"/>
        <w:rPr>
          <w:rStyle w:val="FontStyle38"/>
          <w:sz w:val="24"/>
          <w:szCs w:val="24"/>
          <w:lang w:val="da-DK" w:eastAsia="da-DK"/>
        </w:rPr>
      </w:pPr>
      <w:r w:rsidRPr="00082BA2">
        <w:rPr>
          <w:rStyle w:val="FontStyle38"/>
          <w:sz w:val="24"/>
          <w:szCs w:val="24"/>
          <w:lang w:val="da-DK" w:eastAsia="da-DK"/>
        </w:rPr>
        <w:t xml:space="preserve">Lægemidler, der </w:t>
      </w:r>
      <w:proofErr w:type="spellStart"/>
      <w:r w:rsidRPr="00082BA2">
        <w:rPr>
          <w:rStyle w:val="FontStyle38"/>
          <w:sz w:val="24"/>
          <w:szCs w:val="24"/>
          <w:lang w:val="da-DK" w:eastAsia="da-DK"/>
        </w:rPr>
        <w:t>metaboliseres</w:t>
      </w:r>
      <w:proofErr w:type="spellEnd"/>
      <w:r w:rsidRPr="00082BA2">
        <w:rPr>
          <w:rStyle w:val="FontStyle38"/>
          <w:sz w:val="24"/>
          <w:szCs w:val="24"/>
          <w:lang w:val="da-DK" w:eastAsia="da-DK"/>
        </w:rPr>
        <w:t xml:space="preserve"> af P450-enzymer</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kan øge plasmakoncentrationerne af lægemidler, der </w:t>
      </w:r>
      <w:proofErr w:type="spellStart"/>
      <w:r w:rsidRPr="00082BA2">
        <w:rPr>
          <w:rStyle w:val="FontStyle39"/>
          <w:sz w:val="24"/>
          <w:szCs w:val="24"/>
          <w:lang w:val="da-DK" w:eastAsia="da-DK"/>
        </w:rPr>
        <w:t>metaboliseres</w:t>
      </w:r>
      <w:proofErr w:type="spellEnd"/>
      <w:r w:rsidRPr="00082BA2">
        <w:rPr>
          <w:rStyle w:val="FontStyle39"/>
          <w:sz w:val="24"/>
          <w:szCs w:val="24"/>
          <w:lang w:val="da-DK" w:eastAsia="da-DK"/>
        </w:rPr>
        <w:t xml:space="preserve"> af CYP3A4. Forsigtighed tilrådes ved kombination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 lægemidler, der </w:t>
      </w:r>
      <w:proofErr w:type="spellStart"/>
      <w:r w:rsidRPr="00082BA2">
        <w:rPr>
          <w:rStyle w:val="FontStyle39"/>
          <w:sz w:val="24"/>
          <w:szCs w:val="24"/>
          <w:lang w:val="da-DK" w:eastAsia="da-DK"/>
        </w:rPr>
        <w:t>metaboliseres</w:t>
      </w:r>
      <w:proofErr w:type="spellEnd"/>
      <w:r w:rsidRPr="00082BA2">
        <w:rPr>
          <w:rStyle w:val="FontStyle39"/>
          <w:sz w:val="24"/>
          <w:szCs w:val="24"/>
          <w:lang w:val="da-DK" w:eastAsia="da-DK"/>
        </w:rPr>
        <w:t xml:space="preserve"> af dette enzym og har et snævert terapeutisk vindue.</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proofErr w:type="spellStart"/>
      <w:r w:rsidRPr="00082BA2">
        <w:rPr>
          <w:rStyle w:val="FontStyle39"/>
          <w:sz w:val="24"/>
          <w:szCs w:val="24"/>
          <w:u w:val="single"/>
          <w:lang w:val="da-DK" w:eastAsia="da-DK"/>
        </w:rPr>
        <w:t>Theophyllin</w:t>
      </w:r>
      <w:proofErr w:type="spellEnd"/>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reducerer plasmakoncentrationen af </w:t>
      </w:r>
      <w:proofErr w:type="spellStart"/>
      <w:r w:rsidRPr="00082BA2">
        <w:rPr>
          <w:rStyle w:val="FontStyle39"/>
          <w:sz w:val="24"/>
          <w:szCs w:val="24"/>
          <w:lang w:val="da-DK" w:eastAsia="da-DK"/>
        </w:rPr>
        <w:t>theophyllin</w:t>
      </w:r>
      <w:proofErr w:type="spellEnd"/>
      <w:r w:rsidRPr="00082BA2">
        <w:rPr>
          <w:rStyle w:val="FontStyle39"/>
          <w:sz w:val="24"/>
          <w:szCs w:val="24"/>
          <w:lang w:val="da-DK" w:eastAsia="da-DK"/>
        </w:rPr>
        <w:t>, hvilket kan formindske den forventede kliniske effekt af dosis. Der tilrådes forsigtighed ved kombination af de to lægemidler.</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proofErr w:type="spellStart"/>
      <w:r w:rsidRPr="00082BA2">
        <w:rPr>
          <w:rStyle w:val="FontStyle39"/>
          <w:sz w:val="24"/>
          <w:szCs w:val="24"/>
          <w:u w:val="single"/>
          <w:lang w:val="da-DK" w:eastAsia="da-DK"/>
        </w:rPr>
        <w:t>Tacrolimus</w:t>
      </w:r>
      <w:proofErr w:type="spellEnd"/>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Samtidig administration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øger plasmakoncentrationerne af </w:t>
      </w:r>
      <w:proofErr w:type="spellStart"/>
      <w:r w:rsidRPr="00082BA2">
        <w:rPr>
          <w:rStyle w:val="FontStyle39"/>
          <w:sz w:val="24"/>
          <w:szCs w:val="24"/>
          <w:lang w:val="da-DK" w:eastAsia="da-DK"/>
        </w:rPr>
        <w:t>tacrolimus</w:t>
      </w:r>
      <w:proofErr w:type="spellEnd"/>
      <w:r w:rsidRPr="00082BA2">
        <w:rPr>
          <w:rStyle w:val="FontStyle39"/>
          <w:sz w:val="24"/>
          <w:szCs w:val="24"/>
          <w:lang w:val="da-DK" w:eastAsia="da-DK"/>
        </w:rPr>
        <w:t xml:space="preserve"> (et CYP3A- og P-gp-substrat). Eksponering for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forhøjede gennemsnitseksponeringen for </w:t>
      </w:r>
      <w:proofErr w:type="spellStart"/>
      <w:r w:rsidRPr="00082BA2">
        <w:rPr>
          <w:rStyle w:val="FontStyle39"/>
          <w:sz w:val="24"/>
          <w:szCs w:val="24"/>
          <w:lang w:val="da-DK" w:eastAsia="da-DK"/>
        </w:rPr>
        <w:t>tacrolimus</w:t>
      </w:r>
      <w:proofErr w:type="spellEnd"/>
      <w:r w:rsidRPr="00082BA2">
        <w:rPr>
          <w:rStyle w:val="FontStyle39"/>
          <w:sz w:val="24"/>
          <w:szCs w:val="24"/>
          <w:lang w:val="da-DK" w:eastAsia="da-DK"/>
        </w:rPr>
        <w:t xml:space="preserve"> med op til 81 %. Overvågning af plasmakoncentrationerne af </w:t>
      </w:r>
      <w:proofErr w:type="spellStart"/>
      <w:r w:rsidRPr="00082BA2">
        <w:rPr>
          <w:rStyle w:val="FontStyle39"/>
          <w:sz w:val="24"/>
          <w:szCs w:val="24"/>
          <w:lang w:val="da-DK" w:eastAsia="da-DK"/>
        </w:rPr>
        <w:t>tacrolimus</w:t>
      </w:r>
      <w:proofErr w:type="spellEnd"/>
      <w:r w:rsidRPr="00082BA2">
        <w:rPr>
          <w:rStyle w:val="FontStyle39"/>
          <w:sz w:val="24"/>
          <w:szCs w:val="24"/>
          <w:lang w:val="da-DK" w:eastAsia="da-DK"/>
        </w:rPr>
        <w:t xml:space="preserve"> tilrådes, når samtidig behandling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påbegyndes og afsluttes.</w:t>
      </w:r>
    </w:p>
    <w:p w:rsidR="003301D2" w:rsidRPr="00082BA2" w:rsidRDefault="003301D2" w:rsidP="003301D2">
      <w:pPr>
        <w:pStyle w:val="Style25"/>
        <w:widowControl/>
        <w:spacing w:line="240" w:lineRule="auto"/>
        <w:ind w:left="851" w:hanging="851"/>
        <w:jc w:val="left"/>
        <w:rPr>
          <w:rStyle w:val="FontStyle39"/>
          <w:sz w:val="24"/>
          <w:szCs w:val="24"/>
          <w:lang w:val="da-DK" w:eastAsia="da-DK"/>
        </w:rPr>
      </w:pPr>
    </w:p>
    <w:p w:rsidR="003301D2" w:rsidRPr="00082BA2" w:rsidRDefault="003301D2" w:rsidP="003301D2">
      <w:pPr>
        <w:pStyle w:val="Style17"/>
        <w:widowControl/>
        <w:spacing w:line="240" w:lineRule="auto"/>
        <w:ind w:left="851"/>
        <w:rPr>
          <w:rStyle w:val="FontStyle38"/>
          <w:b w:val="0"/>
          <w:sz w:val="24"/>
          <w:szCs w:val="24"/>
          <w:u w:val="single"/>
          <w:lang w:val="da-DK" w:eastAsia="da-DK"/>
        </w:rPr>
      </w:pPr>
      <w:r w:rsidRPr="00082BA2">
        <w:rPr>
          <w:rStyle w:val="FontStyle38"/>
          <w:sz w:val="24"/>
          <w:szCs w:val="24"/>
          <w:u w:val="single"/>
          <w:lang w:val="da-DK" w:eastAsia="da-DK"/>
        </w:rPr>
        <w:t>Lægemidler, der transporteres af P-</w:t>
      </w:r>
      <w:proofErr w:type="spellStart"/>
      <w:r w:rsidRPr="00082BA2">
        <w:rPr>
          <w:rStyle w:val="FontStyle38"/>
          <w:sz w:val="24"/>
          <w:szCs w:val="24"/>
          <w:u w:val="single"/>
          <w:lang w:val="da-DK" w:eastAsia="da-DK"/>
        </w:rPr>
        <w:t>glycoprotein</w:t>
      </w:r>
      <w:proofErr w:type="spellEnd"/>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Det er observeret, at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hæmmer transportproteinet P-</w:t>
      </w:r>
      <w:proofErr w:type="spellStart"/>
      <w:r w:rsidRPr="00082BA2">
        <w:rPr>
          <w:rStyle w:val="FontStyle39"/>
          <w:sz w:val="24"/>
          <w:szCs w:val="24"/>
          <w:lang w:val="da-DK" w:eastAsia="da-DK"/>
        </w:rPr>
        <w:t>glycoprotein</w:t>
      </w:r>
      <w:proofErr w:type="spellEnd"/>
      <w:r w:rsidRPr="00082BA2">
        <w:rPr>
          <w:rStyle w:val="FontStyle39"/>
          <w:sz w:val="24"/>
          <w:szCs w:val="24"/>
          <w:lang w:val="da-DK" w:eastAsia="da-DK"/>
        </w:rPr>
        <w:t xml:space="preserve"> (P-gp) </w:t>
      </w:r>
      <w:r w:rsidRPr="00082BA2">
        <w:rPr>
          <w:rStyle w:val="FontStyle36"/>
          <w:sz w:val="24"/>
          <w:szCs w:val="24"/>
          <w:lang w:val="da-DK" w:eastAsia="da-DK"/>
        </w:rPr>
        <w:t xml:space="preserve">in </w:t>
      </w:r>
      <w:proofErr w:type="spellStart"/>
      <w:r w:rsidRPr="00082BA2">
        <w:rPr>
          <w:rStyle w:val="FontStyle36"/>
          <w:sz w:val="24"/>
          <w:szCs w:val="24"/>
          <w:lang w:val="da-DK" w:eastAsia="da-DK"/>
        </w:rPr>
        <w:t>vitro</w:t>
      </w:r>
      <w:proofErr w:type="spellEnd"/>
      <w:r w:rsidRPr="00082BA2">
        <w:rPr>
          <w:rStyle w:val="FontStyle36"/>
          <w:sz w:val="24"/>
          <w:szCs w:val="24"/>
          <w:lang w:val="da-DK" w:eastAsia="da-DK"/>
        </w:rPr>
        <w:t xml:space="preserve">. </w:t>
      </w:r>
      <w:r w:rsidRPr="00082BA2">
        <w:rPr>
          <w:rStyle w:val="FontStyle39"/>
          <w:sz w:val="24"/>
          <w:szCs w:val="24"/>
          <w:lang w:val="da-DK" w:eastAsia="da-DK"/>
        </w:rPr>
        <w:t>Den kliniske relevans af dette kendes ikke.</w:t>
      </w:r>
    </w:p>
    <w:p w:rsidR="00F96679" w:rsidRDefault="00F96679">
      <w:pPr>
        <w:rPr>
          <w:sz w:val="24"/>
          <w:szCs w:val="24"/>
          <w:lang w:eastAsia="es-ES"/>
        </w:rPr>
      </w:pPr>
      <w:r>
        <w:br w:type="page"/>
      </w:r>
    </w:p>
    <w:p w:rsidR="003301D2" w:rsidRPr="00082BA2" w:rsidRDefault="003301D2" w:rsidP="003301D2">
      <w:pPr>
        <w:pStyle w:val="Style17"/>
        <w:widowControl/>
        <w:spacing w:line="240" w:lineRule="auto"/>
        <w:ind w:left="851" w:hanging="851"/>
        <w:rPr>
          <w:lang w:val="da-DK"/>
        </w:rPr>
      </w:pPr>
    </w:p>
    <w:p w:rsidR="003301D2" w:rsidRPr="00082BA2" w:rsidRDefault="003301D2" w:rsidP="003301D2">
      <w:pPr>
        <w:pStyle w:val="Style17"/>
        <w:widowControl/>
        <w:spacing w:line="240" w:lineRule="auto"/>
        <w:ind w:left="851"/>
        <w:rPr>
          <w:rStyle w:val="FontStyle38"/>
          <w:sz w:val="24"/>
          <w:szCs w:val="24"/>
          <w:u w:val="single"/>
          <w:lang w:val="da-DK" w:eastAsia="da-DK"/>
        </w:rPr>
      </w:pPr>
      <w:r w:rsidRPr="00082BA2">
        <w:rPr>
          <w:rStyle w:val="FontStyle38"/>
          <w:sz w:val="24"/>
          <w:szCs w:val="24"/>
          <w:u w:val="single"/>
          <w:lang w:val="da-DK" w:eastAsia="da-DK"/>
        </w:rPr>
        <w:t xml:space="preserve">Andre lægemidlers effekt på </w:t>
      </w:r>
      <w:proofErr w:type="spellStart"/>
      <w:r w:rsidRPr="00082BA2">
        <w:rPr>
          <w:rStyle w:val="FontStyle38"/>
          <w:sz w:val="24"/>
          <w:szCs w:val="24"/>
          <w:u w:val="single"/>
          <w:lang w:val="da-DK" w:eastAsia="da-DK"/>
        </w:rPr>
        <w:t>lansoprazol</w:t>
      </w:r>
      <w:proofErr w:type="spellEnd"/>
    </w:p>
    <w:p w:rsidR="003301D2" w:rsidRPr="00082BA2" w:rsidRDefault="003301D2" w:rsidP="003301D2">
      <w:pPr>
        <w:pStyle w:val="Style17"/>
        <w:widowControl/>
        <w:spacing w:line="240" w:lineRule="auto"/>
        <w:ind w:left="851" w:hanging="851"/>
        <w:rPr>
          <w:lang w:val="da-DK"/>
        </w:rPr>
      </w:pPr>
    </w:p>
    <w:p w:rsidR="003301D2" w:rsidRPr="00082BA2" w:rsidRDefault="003301D2" w:rsidP="003301D2">
      <w:pPr>
        <w:pStyle w:val="Style17"/>
        <w:widowControl/>
        <w:spacing w:line="240" w:lineRule="auto"/>
        <w:ind w:left="851"/>
        <w:rPr>
          <w:rStyle w:val="FontStyle38"/>
          <w:sz w:val="24"/>
          <w:szCs w:val="24"/>
          <w:lang w:val="da-DK" w:eastAsia="da-DK"/>
        </w:rPr>
      </w:pPr>
      <w:r w:rsidRPr="00082BA2">
        <w:rPr>
          <w:rStyle w:val="FontStyle38"/>
          <w:sz w:val="24"/>
          <w:szCs w:val="24"/>
          <w:lang w:val="da-DK" w:eastAsia="da-DK"/>
        </w:rPr>
        <w:t>Lægemidler, der hæmmer CYP2C19</w:t>
      </w:r>
    </w:p>
    <w:p w:rsidR="003301D2" w:rsidRPr="00082BA2" w:rsidRDefault="003301D2" w:rsidP="003301D2">
      <w:pPr>
        <w:pStyle w:val="Style14"/>
        <w:widowControl/>
        <w:spacing w:line="240" w:lineRule="auto"/>
        <w:ind w:left="851"/>
        <w:rPr>
          <w:rStyle w:val="FontStyle39"/>
          <w:sz w:val="24"/>
          <w:szCs w:val="24"/>
          <w:u w:val="single"/>
          <w:lang w:val="da-DK" w:eastAsia="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proofErr w:type="spellStart"/>
      <w:r w:rsidRPr="00082BA2">
        <w:rPr>
          <w:rStyle w:val="FontStyle39"/>
          <w:sz w:val="24"/>
          <w:szCs w:val="24"/>
          <w:u w:val="single"/>
          <w:lang w:val="da-DK" w:eastAsia="da-DK"/>
        </w:rPr>
        <w:t>Fluvoxamin</w:t>
      </w:r>
      <w:proofErr w:type="spellEnd"/>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En reduktion af dosis kan overvejes, når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kombineres med CYP2C19-hæmmeren </w:t>
      </w:r>
      <w:proofErr w:type="spellStart"/>
      <w:r w:rsidRPr="00082BA2">
        <w:rPr>
          <w:rStyle w:val="FontStyle39"/>
          <w:sz w:val="24"/>
          <w:szCs w:val="24"/>
          <w:lang w:val="da-DK" w:eastAsia="da-DK"/>
        </w:rPr>
        <w:t>fluvoxamin</w:t>
      </w:r>
      <w:proofErr w:type="spellEnd"/>
      <w:r w:rsidRPr="00082BA2">
        <w:rPr>
          <w:rStyle w:val="FontStyle39"/>
          <w:sz w:val="24"/>
          <w:szCs w:val="24"/>
          <w:lang w:val="da-DK" w:eastAsia="da-DK"/>
        </w:rPr>
        <w:t xml:space="preserve">. Plasmakoncentrationerne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øges op til 4 gange.</w:t>
      </w:r>
    </w:p>
    <w:p w:rsidR="003301D2" w:rsidRPr="00082BA2" w:rsidRDefault="003301D2" w:rsidP="003301D2">
      <w:pPr>
        <w:pStyle w:val="Style23"/>
        <w:widowControl/>
        <w:ind w:left="851" w:hanging="851"/>
        <w:jc w:val="left"/>
        <w:rPr>
          <w:lang w:val="da-DK"/>
        </w:rPr>
      </w:pPr>
    </w:p>
    <w:p w:rsidR="003301D2" w:rsidRPr="00082BA2" w:rsidRDefault="003301D2" w:rsidP="003301D2">
      <w:pPr>
        <w:pStyle w:val="Style23"/>
        <w:widowControl/>
        <w:ind w:left="851"/>
        <w:jc w:val="left"/>
        <w:rPr>
          <w:rStyle w:val="FontStyle38"/>
          <w:sz w:val="24"/>
          <w:szCs w:val="24"/>
          <w:lang w:val="da-DK" w:eastAsia="da-DK"/>
        </w:rPr>
      </w:pPr>
      <w:r w:rsidRPr="00082BA2">
        <w:rPr>
          <w:rStyle w:val="FontStyle38"/>
          <w:sz w:val="24"/>
          <w:szCs w:val="24"/>
          <w:lang w:val="da-DK" w:eastAsia="da-DK"/>
        </w:rPr>
        <w:t>Lægemidler, der inducerer CYP2C19 og CYP3A4</w:t>
      </w: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lastRenderedPageBreak/>
        <w:t xml:space="preserve">Enzyminducere, der påvirker CYP2C19 og CYP3A4, som for eksempel </w:t>
      </w:r>
      <w:proofErr w:type="spellStart"/>
      <w:r w:rsidRPr="00082BA2">
        <w:rPr>
          <w:rStyle w:val="FontStyle39"/>
          <w:sz w:val="24"/>
          <w:szCs w:val="24"/>
          <w:lang w:val="da-DK" w:eastAsia="da-DK"/>
        </w:rPr>
        <w:t>rifampicin</w:t>
      </w:r>
      <w:proofErr w:type="spellEnd"/>
      <w:r w:rsidRPr="00082BA2">
        <w:rPr>
          <w:rStyle w:val="FontStyle39"/>
          <w:sz w:val="24"/>
          <w:szCs w:val="24"/>
          <w:lang w:val="da-DK" w:eastAsia="da-DK"/>
        </w:rPr>
        <w:t xml:space="preserve"> og prikbladet perikum </w:t>
      </w:r>
      <w:r w:rsidRPr="00082BA2">
        <w:rPr>
          <w:rStyle w:val="FontStyle36"/>
          <w:sz w:val="24"/>
          <w:szCs w:val="24"/>
          <w:lang w:val="da-DK" w:eastAsia="da-DK"/>
        </w:rPr>
        <w:t>(</w:t>
      </w:r>
      <w:proofErr w:type="spellStart"/>
      <w:r w:rsidRPr="00082BA2">
        <w:rPr>
          <w:rStyle w:val="FontStyle36"/>
          <w:sz w:val="24"/>
          <w:szCs w:val="24"/>
          <w:lang w:val="da-DK" w:eastAsia="da-DK"/>
        </w:rPr>
        <w:t>hypericum</w:t>
      </w:r>
      <w:proofErr w:type="spellEnd"/>
      <w:r w:rsidRPr="00082BA2">
        <w:rPr>
          <w:rStyle w:val="FontStyle36"/>
          <w:sz w:val="24"/>
          <w:szCs w:val="24"/>
          <w:lang w:val="da-DK" w:eastAsia="da-DK"/>
        </w:rPr>
        <w:t xml:space="preserve"> </w:t>
      </w:r>
      <w:proofErr w:type="spellStart"/>
      <w:r w:rsidRPr="00082BA2">
        <w:rPr>
          <w:rStyle w:val="FontStyle36"/>
          <w:sz w:val="24"/>
          <w:szCs w:val="24"/>
          <w:lang w:val="da-DK" w:eastAsia="da-DK"/>
        </w:rPr>
        <w:t>perforatum</w:t>
      </w:r>
      <w:proofErr w:type="spellEnd"/>
      <w:r w:rsidRPr="00082BA2">
        <w:rPr>
          <w:rStyle w:val="FontStyle36"/>
          <w:sz w:val="24"/>
          <w:szCs w:val="24"/>
          <w:lang w:val="da-DK" w:eastAsia="da-DK"/>
        </w:rPr>
        <w:t xml:space="preserve">), </w:t>
      </w:r>
      <w:r w:rsidRPr="00082BA2">
        <w:rPr>
          <w:rStyle w:val="FontStyle39"/>
          <w:sz w:val="24"/>
          <w:szCs w:val="24"/>
          <w:lang w:val="da-DK" w:eastAsia="da-DK"/>
        </w:rPr>
        <w:t xml:space="preserve">kan reducere plasmakoncentrationerne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markant.</w:t>
      </w:r>
    </w:p>
    <w:p w:rsidR="003301D2" w:rsidRPr="00082BA2" w:rsidRDefault="003301D2" w:rsidP="003301D2">
      <w:pPr>
        <w:pStyle w:val="Style23"/>
        <w:widowControl/>
        <w:ind w:left="851" w:hanging="851"/>
        <w:jc w:val="left"/>
        <w:rPr>
          <w:lang w:val="da-DK"/>
        </w:rPr>
      </w:pPr>
    </w:p>
    <w:p w:rsidR="003301D2" w:rsidRPr="00082BA2" w:rsidRDefault="003301D2" w:rsidP="003301D2">
      <w:pPr>
        <w:pStyle w:val="Style23"/>
        <w:widowControl/>
        <w:ind w:left="851"/>
        <w:jc w:val="left"/>
        <w:rPr>
          <w:rStyle w:val="FontStyle38"/>
          <w:sz w:val="24"/>
          <w:szCs w:val="24"/>
          <w:lang w:val="da-DK" w:eastAsia="da-DK"/>
        </w:rPr>
      </w:pPr>
      <w:r w:rsidRPr="00082BA2">
        <w:rPr>
          <w:rStyle w:val="FontStyle38"/>
          <w:sz w:val="24"/>
          <w:szCs w:val="24"/>
          <w:lang w:val="da-DK" w:eastAsia="da-DK"/>
        </w:rPr>
        <w:t>Andet</w:t>
      </w:r>
    </w:p>
    <w:p w:rsidR="003301D2" w:rsidRPr="00F1288F" w:rsidRDefault="003301D2" w:rsidP="003301D2">
      <w:pPr>
        <w:pStyle w:val="Style23"/>
        <w:widowControl/>
        <w:ind w:left="851"/>
        <w:jc w:val="left"/>
        <w:rPr>
          <w:rStyle w:val="FontStyle38"/>
          <w:b w:val="0"/>
          <w:sz w:val="24"/>
          <w:szCs w:val="24"/>
          <w:lang w:val="da-DK" w:eastAsia="da-DK"/>
        </w:rPr>
      </w:pPr>
    </w:p>
    <w:p w:rsidR="003301D2" w:rsidRPr="00082BA2" w:rsidRDefault="003301D2" w:rsidP="003301D2">
      <w:pPr>
        <w:pStyle w:val="Style25"/>
        <w:widowControl/>
        <w:spacing w:line="240" w:lineRule="auto"/>
        <w:ind w:left="851"/>
        <w:jc w:val="left"/>
        <w:rPr>
          <w:rStyle w:val="FontStyle39"/>
          <w:sz w:val="24"/>
          <w:szCs w:val="24"/>
          <w:u w:val="single"/>
          <w:lang w:val="da-DK" w:eastAsia="da-DK"/>
        </w:rPr>
      </w:pPr>
      <w:proofErr w:type="spellStart"/>
      <w:r w:rsidRPr="00082BA2">
        <w:rPr>
          <w:rStyle w:val="FontStyle39"/>
          <w:sz w:val="24"/>
          <w:szCs w:val="24"/>
          <w:u w:val="single"/>
          <w:lang w:val="da-DK" w:eastAsia="da-DK"/>
        </w:rPr>
        <w:t>Sukralfat</w:t>
      </w:r>
      <w:proofErr w:type="spellEnd"/>
      <w:r w:rsidRPr="00082BA2">
        <w:rPr>
          <w:rStyle w:val="FontStyle39"/>
          <w:sz w:val="24"/>
          <w:szCs w:val="24"/>
          <w:u w:val="single"/>
          <w:lang w:val="da-DK" w:eastAsia="da-DK"/>
        </w:rPr>
        <w:t>/</w:t>
      </w:r>
      <w:proofErr w:type="spellStart"/>
      <w:r w:rsidRPr="00082BA2">
        <w:rPr>
          <w:rStyle w:val="FontStyle39"/>
          <w:sz w:val="24"/>
          <w:szCs w:val="24"/>
          <w:u w:val="single"/>
          <w:lang w:val="da-DK" w:eastAsia="da-DK"/>
        </w:rPr>
        <w:t>antacider</w:t>
      </w:r>
      <w:proofErr w:type="spellEnd"/>
    </w:p>
    <w:p w:rsidR="003301D2" w:rsidRPr="00082BA2" w:rsidRDefault="003301D2" w:rsidP="003301D2">
      <w:pPr>
        <w:pStyle w:val="Style25"/>
        <w:widowControl/>
        <w:spacing w:line="240" w:lineRule="auto"/>
        <w:ind w:left="851"/>
        <w:jc w:val="left"/>
        <w:rPr>
          <w:rStyle w:val="FontStyle39"/>
          <w:sz w:val="24"/>
          <w:szCs w:val="24"/>
          <w:lang w:val="da-DK" w:eastAsia="da-DK"/>
        </w:rPr>
      </w:pPr>
      <w:proofErr w:type="spellStart"/>
      <w:r w:rsidRPr="00082BA2">
        <w:rPr>
          <w:rStyle w:val="FontStyle39"/>
          <w:sz w:val="24"/>
          <w:szCs w:val="24"/>
          <w:lang w:val="da-DK" w:eastAsia="da-DK"/>
        </w:rPr>
        <w:t>Sukralfat</w:t>
      </w:r>
      <w:proofErr w:type="spellEnd"/>
      <w:r w:rsidRPr="00082BA2">
        <w:rPr>
          <w:rStyle w:val="FontStyle39"/>
          <w:sz w:val="24"/>
          <w:szCs w:val="24"/>
          <w:lang w:val="da-DK" w:eastAsia="da-DK"/>
        </w:rPr>
        <w:t>/</w:t>
      </w:r>
      <w:proofErr w:type="spellStart"/>
      <w:r w:rsidRPr="00082BA2">
        <w:rPr>
          <w:rStyle w:val="FontStyle39"/>
          <w:sz w:val="24"/>
          <w:szCs w:val="24"/>
          <w:lang w:val="da-DK" w:eastAsia="da-DK"/>
        </w:rPr>
        <w:t>antacider</w:t>
      </w:r>
      <w:proofErr w:type="spellEnd"/>
      <w:r w:rsidRPr="00082BA2">
        <w:rPr>
          <w:rStyle w:val="FontStyle39"/>
          <w:sz w:val="24"/>
          <w:szCs w:val="24"/>
          <w:lang w:val="da-DK" w:eastAsia="da-DK"/>
        </w:rPr>
        <w:t xml:space="preserve"> kan nedsætte </w:t>
      </w:r>
      <w:proofErr w:type="spellStart"/>
      <w:r w:rsidRPr="00082BA2">
        <w:rPr>
          <w:rStyle w:val="FontStyle39"/>
          <w:sz w:val="24"/>
          <w:szCs w:val="24"/>
          <w:lang w:val="da-DK" w:eastAsia="da-DK"/>
        </w:rPr>
        <w:t>lansoprazols</w:t>
      </w:r>
      <w:proofErr w:type="spellEnd"/>
      <w:r w:rsidRPr="00082BA2">
        <w:rPr>
          <w:rStyle w:val="FontStyle39"/>
          <w:sz w:val="24"/>
          <w:szCs w:val="24"/>
          <w:lang w:val="da-DK" w:eastAsia="da-DK"/>
        </w:rPr>
        <w:t xml:space="preserve"> biotilgængelighed. Derfor skal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tages mindst 1 time efter, at disse lægemidler er taget.</w:t>
      </w:r>
    </w:p>
    <w:p w:rsidR="003301D2" w:rsidRPr="00082BA2" w:rsidRDefault="003301D2" w:rsidP="003301D2">
      <w:pPr>
        <w:pStyle w:val="Style25"/>
        <w:widowControl/>
        <w:spacing w:line="240" w:lineRule="auto"/>
        <w:ind w:left="851" w:hanging="851"/>
        <w:jc w:val="left"/>
        <w:rPr>
          <w:lang w:val="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Ingen klinisk signifikante interaktioner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med ikke-</w:t>
      </w:r>
      <w:proofErr w:type="spellStart"/>
      <w:r w:rsidRPr="00082BA2">
        <w:rPr>
          <w:rStyle w:val="FontStyle39"/>
          <w:sz w:val="24"/>
          <w:szCs w:val="24"/>
          <w:lang w:val="da-DK" w:eastAsia="da-DK"/>
        </w:rPr>
        <w:t>steroide</w:t>
      </w:r>
      <w:proofErr w:type="spellEnd"/>
      <w:r w:rsidRPr="00082BA2">
        <w:rPr>
          <w:rStyle w:val="FontStyle39"/>
          <w:sz w:val="24"/>
          <w:szCs w:val="24"/>
          <w:lang w:val="da-DK" w:eastAsia="da-DK"/>
        </w:rPr>
        <w:t xml:space="preserve"> antiinflammatoriske farmaka er blevet påvist. Der er dog ikke udført nogen formelle interaktionsforsøg.</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301D2" w:rsidRPr="00082BA2" w:rsidRDefault="003301D2" w:rsidP="003301D2">
      <w:pPr>
        <w:pStyle w:val="Style25"/>
        <w:widowControl/>
        <w:spacing w:line="240" w:lineRule="auto"/>
        <w:ind w:left="851" w:hanging="851"/>
        <w:jc w:val="left"/>
        <w:rPr>
          <w:lang w:val="da-DK"/>
        </w:rPr>
      </w:pPr>
      <w:r w:rsidRPr="00082BA2">
        <w:tab/>
      </w:r>
    </w:p>
    <w:p w:rsidR="003301D2" w:rsidRPr="00082BA2" w:rsidRDefault="003301D2" w:rsidP="003301D2">
      <w:pPr>
        <w:pStyle w:val="Style25"/>
        <w:widowControl/>
        <w:spacing w:line="240" w:lineRule="auto"/>
        <w:ind w:left="851"/>
        <w:jc w:val="left"/>
        <w:rPr>
          <w:rStyle w:val="FontStyle39"/>
          <w:sz w:val="24"/>
          <w:szCs w:val="24"/>
          <w:u w:val="single"/>
          <w:lang w:val="da-DK" w:eastAsia="da-DK"/>
        </w:rPr>
      </w:pPr>
      <w:r w:rsidRPr="00082BA2">
        <w:rPr>
          <w:rStyle w:val="FontStyle39"/>
          <w:sz w:val="24"/>
          <w:szCs w:val="24"/>
          <w:u w:val="single"/>
          <w:lang w:val="da-DK" w:eastAsia="da-DK"/>
        </w:rPr>
        <w:t>Graviditet</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Der foreligger ingen kliniske data vedrørende eksponering for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under graviditet. Dyreforsøg indikerer ingen direkte eller indirekte skadelige effekter med hensyn til graviditet, den embryonale/</w:t>
      </w:r>
      <w:proofErr w:type="spellStart"/>
      <w:r w:rsidRPr="00082BA2">
        <w:rPr>
          <w:rStyle w:val="FontStyle39"/>
          <w:sz w:val="24"/>
          <w:szCs w:val="24"/>
          <w:lang w:val="da-DK" w:eastAsia="da-DK"/>
        </w:rPr>
        <w:t>føtale</w:t>
      </w:r>
      <w:proofErr w:type="spellEnd"/>
      <w:r w:rsidRPr="00082BA2">
        <w:rPr>
          <w:rStyle w:val="FontStyle39"/>
          <w:sz w:val="24"/>
          <w:szCs w:val="24"/>
          <w:lang w:val="da-DK" w:eastAsia="da-DK"/>
        </w:rPr>
        <w:t xml:space="preserve"> udvikling, fødsel eller den </w:t>
      </w:r>
      <w:proofErr w:type="spellStart"/>
      <w:r w:rsidRPr="00082BA2">
        <w:rPr>
          <w:rStyle w:val="FontStyle39"/>
          <w:sz w:val="24"/>
          <w:szCs w:val="24"/>
          <w:lang w:val="da-DK" w:eastAsia="da-DK"/>
        </w:rPr>
        <w:t>postnatale</w:t>
      </w:r>
      <w:proofErr w:type="spellEnd"/>
      <w:r w:rsidRPr="00082BA2">
        <w:rPr>
          <w:rStyle w:val="FontStyle39"/>
          <w:sz w:val="24"/>
          <w:szCs w:val="24"/>
          <w:lang w:val="da-DK" w:eastAsia="da-DK"/>
        </w:rPr>
        <w:t xml:space="preserve"> udvikling.</w:t>
      </w:r>
    </w:p>
    <w:p w:rsidR="003301D2" w:rsidRPr="00082BA2" w:rsidRDefault="003301D2" w:rsidP="003301D2">
      <w:pPr>
        <w:pStyle w:val="Style25"/>
        <w:widowControl/>
        <w:spacing w:line="240" w:lineRule="auto"/>
        <w:ind w:left="851" w:hanging="851"/>
        <w:rPr>
          <w:lang w:val="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w:t>
      </w:r>
      <w:r w:rsidRPr="00082BA2">
        <w:rPr>
          <w:lang w:val="da-DK"/>
        </w:rPr>
        <w:t>bør derfor ikke anvendes under graviditet</w:t>
      </w:r>
      <w:r w:rsidRPr="00082BA2">
        <w:rPr>
          <w:rStyle w:val="FontStyle39"/>
          <w:sz w:val="24"/>
          <w:szCs w:val="24"/>
          <w:lang w:val="da-DK" w:eastAsia="da-DK"/>
        </w:rPr>
        <w:t>.</w:t>
      </w:r>
    </w:p>
    <w:p w:rsidR="003301D2" w:rsidRPr="00082BA2" w:rsidRDefault="003301D2" w:rsidP="003301D2">
      <w:pPr>
        <w:pStyle w:val="Style25"/>
        <w:widowControl/>
        <w:spacing w:line="240" w:lineRule="auto"/>
        <w:ind w:left="851" w:hanging="851"/>
        <w:jc w:val="left"/>
        <w:rPr>
          <w:lang w:val="da-DK"/>
        </w:rPr>
      </w:pPr>
    </w:p>
    <w:p w:rsidR="003301D2" w:rsidRPr="00082BA2" w:rsidRDefault="003301D2" w:rsidP="003301D2">
      <w:pPr>
        <w:pStyle w:val="Style25"/>
        <w:widowControl/>
        <w:spacing w:line="240" w:lineRule="auto"/>
        <w:ind w:left="851"/>
        <w:jc w:val="left"/>
        <w:rPr>
          <w:rStyle w:val="FontStyle39"/>
          <w:sz w:val="24"/>
          <w:szCs w:val="24"/>
          <w:u w:val="single"/>
          <w:lang w:val="da-DK" w:eastAsia="da-DK"/>
        </w:rPr>
      </w:pPr>
      <w:r w:rsidRPr="00082BA2">
        <w:rPr>
          <w:rStyle w:val="FontStyle39"/>
          <w:sz w:val="24"/>
          <w:szCs w:val="24"/>
          <w:u w:val="single"/>
          <w:lang w:val="da-DK" w:eastAsia="da-DK"/>
        </w:rPr>
        <w:t>Amning</w:t>
      </w: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Det vides ikke, om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udskilles i modermælk. Dyreforsøg har vist, at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udskilles i mælk.</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En beslutning om, hvorvidt amning skal fortsættes/afbrydes, eller om behandling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skal fortsættes/afbrydes, skal tages under hensyntagen til barnets fordel af amning og kvindens fordel af behandling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301D2" w:rsidRPr="00082BA2" w:rsidRDefault="003301D2" w:rsidP="003301D2">
      <w:pPr>
        <w:pStyle w:val="Style14"/>
        <w:widowControl/>
        <w:spacing w:line="240" w:lineRule="auto"/>
        <w:ind w:left="851"/>
        <w:rPr>
          <w:lang w:val="da-DK"/>
        </w:rPr>
      </w:pPr>
      <w:r w:rsidRPr="00082BA2">
        <w:t>Ikke mærkning.</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Bivirkninger som for eksempel svimmelhed, </w:t>
      </w:r>
      <w:proofErr w:type="spellStart"/>
      <w:r w:rsidRPr="00082BA2">
        <w:rPr>
          <w:rStyle w:val="FontStyle39"/>
          <w:sz w:val="24"/>
          <w:szCs w:val="24"/>
          <w:lang w:val="da-DK" w:eastAsia="da-DK"/>
        </w:rPr>
        <w:t>vertigo</w:t>
      </w:r>
      <w:proofErr w:type="spellEnd"/>
      <w:r w:rsidRPr="00082BA2">
        <w:rPr>
          <w:rStyle w:val="FontStyle39"/>
          <w:sz w:val="24"/>
          <w:szCs w:val="24"/>
          <w:lang w:val="da-DK" w:eastAsia="da-DK"/>
        </w:rPr>
        <w:t xml:space="preserve">, synsforstyrrelser og </w:t>
      </w:r>
      <w:proofErr w:type="spellStart"/>
      <w:r w:rsidRPr="00082BA2">
        <w:rPr>
          <w:rStyle w:val="FontStyle39"/>
          <w:sz w:val="24"/>
          <w:szCs w:val="24"/>
          <w:lang w:val="da-DK" w:eastAsia="da-DK"/>
        </w:rPr>
        <w:t>somnolens</w:t>
      </w:r>
      <w:proofErr w:type="spellEnd"/>
      <w:r w:rsidRPr="00082BA2">
        <w:rPr>
          <w:rStyle w:val="FontStyle39"/>
          <w:sz w:val="24"/>
          <w:szCs w:val="24"/>
          <w:lang w:val="da-DK" w:eastAsia="da-DK"/>
        </w:rPr>
        <w:t xml:space="preserve"> kan forekomme (se pkt. 4.8). I disse tilfælde kan reaktionsevnen være nedsat.</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4.8</w:t>
      </w:r>
      <w:r w:rsidRPr="00C84483">
        <w:rPr>
          <w:b/>
          <w:sz w:val="24"/>
          <w:szCs w:val="24"/>
        </w:rPr>
        <w:tab/>
        <w:t>Bivirkninger</w:t>
      </w: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Hyppighederne er defineret som almindelige (&gt;1/100 til &lt;1/10), ikke almindelige (≥1/1.000 til &lt;1/100), sjældne (≥1/10.000 til &lt;1/1.000) og meget sjældne (&lt;1/10.000).</w:t>
      </w:r>
    </w:p>
    <w:p w:rsidR="00F96679" w:rsidRDefault="00F96679">
      <w:pPr>
        <w:rPr>
          <w:sz w:val="24"/>
          <w:szCs w:val="24"/>
        </w:rPr>
      </w:pPr>
      <w:r>
        <w:rPr>
          <w:sz w:val="24"/>
          <w:szCs w:val="24"/>
        </w:rPr>
        <w:br w:type="page"/>
      </w:r>
    </w:p>
    <w:p w:rsidR="003301D2" w:rsidRPr="00082BA2" w:rsidRDefault="003301D2" w:rsidP="003301D2">
      <w:pPr>
        <w:ind w:left="851" w:hanging="851"/>
        <w:rPr>
          <w:sz w:val="24"/>
          <w:szCs w:val="24"/>
        </w:rPr>
      </w:pPr>
    </w:p>
    <w:tbl>
      <w:tblPr>
        <w:tblW w:w="5000" w:type="pct"/>
        <w:jc w:val="center"/>
        <w:tblCellMar>
          <w:left w:w="40" w:type="dxa"/>
          <w:right w:w="40" w:type="dxa"/>
        </w:tblCellMar>
        <w:tblLook w:val="0000" w:firstRow="0" w:lastRow="0" w:firstColumn="0" w:lastColumn="0" w:noHBand="0" w:noVBand="0"/>
      </w:tblPr>
      <w:tblGrid>
        <w:gridCol w:w="1627"/>
        <w:gridCol w:w="1858"/>
        <w:gridCol w:w="1237"/>
        <w:gridCol w:w="1701"/>
        <w:gridCol w:w="1803"/>
        <w:gridCol w:w="1396"/>
      </w:tblGrid>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Almindelige</w:t>
            </w: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Ikke almindelige</w:t>
            </w: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Sjældne</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Meget sjældne</w:t>
            </w: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Ikke kendt</w:t>
            </w: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Blod og lymfesystem</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Trompocyto</w:t>
            </w:r>
            <w:r w:rsidR="00F1288F">
              <w:rPr>
                <w:rStyle w:val="FontStyle39"/>
                <w:sz w:val="22"/>
                <w:szCs w:val="22"/>
                <w:lang w:val="da-DK" w:eastAsia="da-DK"/>
              </w:rPr>
              <w:softHyphen/>
            </w:r>
            <w:r w:rsidRPr="00F1288F">
              <w:rPr>
                <w:rStyle w:val="FontStyle39"/>
                <w:sz w:val="22"/>
                <w:szCs w:val="22"/>
                <w:lang w:val="da-DK" w:eastAsia="da-DK"/>
              </w:rPr>
              <w:t>peni</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eosinofili</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leukopeni</w:t>
            </w:r>
            <w:proofErr w:type="spellEnd"/>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Anæmi</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Agranulocytose</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pancytopeni</w:t>
            </w:r>
            <w:proofErr w:type="spellEnd"/>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eastAsia="da-DK"/>
              </w:rPr>
              <w:t>Metabolisme og ernæring</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roofErr w:type="spellStart"/>
            <w:r w:rsidRPr="00F1288F">
              <w:rPr>
                <w:sz w:val="22"/>
                <w:szCs w:val="22"/>
                <w:lang w:val="en-US"/>
              </w:rPr>
              <w:t>Hypomagnesi</w:t>
            </w:r>
            <w:r w:rsidR="00F1288F">
              <w:rPr>
                <w:sz w:val="22"/>
                <w:szCs w:val="22"/>
                <w:lang w:val="en-US"/>
              </w:rPr>
              <w:softHyphen/>
            </w:r>
            <w:r w:rsidRPr="00F1288F">
              <w:rPr>
                <w:sz w:val="22"/>
                <w:szCs w:val="22"/>
                <w:lang w:val="en-US"/>
              </w:rPr>
              <w:t>æmi</w:t>
            </w:r>
            <w:proofErr w:type="spellEnd"/>
            <w:r w:rsidRPr="00F1288F">
              <w:rPr>
                <w:sz w:val="22"/>
                <w:szCs w:val="22"/>
                <w:lang w:val="en-US"/>
              </w:rPr>
              <w:t xml:space="preserve"> (se pkt. 4.4)</w:t>
            </w: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Psykiske forstyrrelser</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Depression</w:t>
            </w: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Søvnmangel, hallucinationer, konfusion</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roofErr w:type="spellStart"/>
            <w:r w:rsidRPr="00F1288F">
              <w:rPr>
                <w:sz w:val="22"/>
                <w:szCs w:val="22"/>
                <w:lang w:val="en-US"/>
              </w:rPr>
              <w:t>Visuelle</w:t>
            </w:r>
            <w:proofErr w:type="spellEnd"/>
            <w:r w:rsidRPr="00F1288F">
              <w:rPr>
                <w:sz w:val="22"/>
                <w:szCs w:val="22"/>
                <w:lang w:val="en-US"/>
              </w:rPr>
              <w:t xml:space="preserve"> </w:t>
            </w:r>
            <w:proofErr w:type="spellStart"/>
            <w:r w:rsidRPr="00F1288F">
              <w:rPr>
                <w:sz w:val="22"/>
                <w:szCs w:val="22"/>
                <w:lang w:val="en-US"/>
              </w:rPr>
              <w:t>hallucinationer</w:t>
            </w:r>
            <w:proofErr w:type="spellEnd"/>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lastRenderedPageBreak/>
              <w:t>Nervesystemet</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Hovedpine, svimmelhed</w:t>
            </w: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 xml:space="preserve">Rastløshed, </w:t>
            </w:r>
            <w:proofErr w:type="spellStart"/>
            <w:r w:rsidRPr="00F1288F">
              <w:rPr>
                <w:rStyle w:val="FontStyle39"/>
                <w:sz w:val="22"/>
                <w:szCs w:val="22"/>
                <w:lang w:val="da-DK" w:eastAsia="da-DK"/>
              </w:rPr>
              <w:t>vertigo</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paræstesi</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somnolens</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tremor</w:t>
            </w:r>
            <w:proofErr w:type="spellEnd"/>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Øjne</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Synsforstyrrelser</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b/>
                <w:noProof/>
                <w:sz w:val="22"/>
                <w:szCs w:val="22"/>
                <w:lang w:val="da-DK"/>
              </w:rPr>
              <w:t>Mave-tarm-kanalen</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 xml:space="preserve">Kvalme, diarré, </w:t>
            </w:r>
            <w:proofErr w:type="spellStart"/>
            <w:r w:rsidRPr="00F1288F">
              <w:rPr>
                <w:rStyle w:val="FontStyle39"/>
                <w:sz w:val="22"/>
                <w:szCs w:val="22"/>
                <w:lang w:val="da-DK" w:eastAsia="da-DK"/>
              </w:rPr>
              <w:t>abdominalsmerter</w:t>
            </w:r>
            <w:proofErr w:type="spellEnd"/>
            <w:r w:rsidRPr="00F1288F">
              <w:rPr>
                <w:rStyle w:val="FontStyle39"/>
                <w:sz w:val="22"/>
                <w:szCs w:val="22"/>
                <w:lang w:val="da-DK" w:eastAsia="da-DK"/>
              </w:rPr>
              <w:t xml:space="preserve">, obstipation, opkastning, </w:t>
            </w:r>
            <w:proofErr w:type="spellStart"/>
            <w:r w:rsidRPr="00F1288F">
              <w:rPr>
                <w:rStyle w:val="FontStyle39"/>
                <w:sz w:val="22"/>
                <w:szCs w:val="22"/>
                <w:lang w:val="da-DK" w:eastAsia="da-DK"/>
              </w:rPr>
              <w:t>flatulens</w:t>
            </w:r>
            <w:proofErr w:type="spellEnd"/>
            <w:r w:rsidRPr="00F1288F">
              <w:rPr>
                <w:rStyle w:val="FontStyle39"/>
                <w:sz w:val="22"/>
                <w:szCs w:val="22"/>
                <w:lang w:val="da-DK" w:eastAsia="da-DK"/>
              </w:rPr>
              <w:t>, mund- og halstørhed, benigne gastriske polypper</w:t>
            </w: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Glossitis</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candidiasis</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oesophagi</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pankreatitis</w:t>
            </w:r>
            <w:proofErr w:type="spellEnd"/>
            <w:r w:rsidRPr="00F1288F">
              <w:rPr>
                <w:rStyle w:val="FontStyle39"/>
                <w:sz w:val="22"/>
                <w:szCs w:val="22"/>
                <w:lang w:val="da-DK" w:eastAsia="da-DK"/>
              </w:rPr>
              <w:t>, smagsforstyrrelser</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 xml:space="preserve">Colitis, </w:t>
            </w:r>
            <w:proofErr w:type="spellStart"/>
            <w:r w:rsidRPr="00F1288F">
              <w:rPr>
                <w:rStyle w:val="FontStyle39"/>
                <w:sz w:val="22"/>
                <w:szCs w:val="22"/>
                <w:lang w:val="da-DK" w:eastAsia="da-DK"/>
              </w:rPr>
              <w:t>stomatitis</w:t>
            </w:r>
            <w:proofErr w:type="spellEnd"/>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Lever og galdeveje</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Stigning i leverenzymniveauer</w:t>
            </w: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 xml:space="preserve">Hepatitis, </w:t>
            </w:r>
            <w:proofErr w:type="spellStart"/>
            <w:r w:rsidRPr="00F1288F">
              <w:rPr>
                <w:rStyle w:val="FontStyle39"/>
                <w:sz w:val="22"/>
                <w:szCs w:val="22"/>
                <w:lang w:val="da-DK" w:eastAsia="da-DK"/>
              </w:rPr>
              <w:t>icterus</w:t>
            </w:r>
            <w:proofErr w:type="spellEnd"/>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Hud og subkutane væv</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Urtikaria</w:t>
            </w:r>
            <w:proofErr w:type="spellEnd"/>
            <w:r w:rsidRPr="00F1288F">
              <w:rPr>
                <w:rStyle w:val="FontStyle39"/>
                <w:sz w:val="22"/>
                <w:szCs w:val="22"/>
                <w:lang w:val="da-DK" w:eastAsia="da-DK"/>
              </w:rPr>
              <w:t>, kløe, udslæt</w:t>
            </w: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Petekkier</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purpura</w:t>
            </w:r>
            <w:proofErr w:type="spellEnd"/>
            <w:r w:rsidRPr="00F1288F">
              <w:rPr>
                <w:rStyle w:val="FontStyle39"/>
                <w:sz w:val="22"/>
                <w:szCs w:val="22"/>
                <w:lang w:val="da-DK" w:eastAsia="da-DK"/>
              </w:rPr>
              <w:t xml:space="preserve">, hårtab, </w:t>
            </w:r>
            <w:proofErr w:type="spellStart"/>
            <w:r w:rsidRPr="00F1288F">
              <w:rPr>
                <w:rStyle w:val="FontStyle39"/>
                <w:sz w:val="22"/>
                <w:szCs w:val="22"/>
                <w:lang w:val="da-DK" w:eastAsia="da-DK"/>
              </w:rPr>
              <w:t>erythema</w:t>
            </w:r>
            <w:proofErr w:type="spellEnd"/>
            <w:r w:rsidRPr="00F1288F">
              <w:rPr>
                <w:rStyle w:val="FontStyle39"/>
                <w:sz w:val="22"/>
                <w:szCs w:val="22"/>
                <w:lang w:val="da-DK" w:eastAsia="da-DK"/>
              </w:rPr>
              <w:t xml:space="preserve"> multiforme, lysfølsomhed</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sv-SE" w:eastAsia="da-DK"/>
              </w:rPr>
            </w:pPr>
            <w:r w:rsidRPr="00F1288F">
              <w:rPr>
                <w:rStyle w:val="FontStyle39"/>
                <w:sz w:val="22"/>
                <w:szCs w:val="22"/>
                <w:lang w:val="sv-SE" w:eastAsia="da-DK"/>
              </w:rPr>
              <w:t xml:space="preserve">Stevens-Johnson-syndrom, </w:t>
            </w:r>
            <w:proofErr w:type="spellStart"/>
            <w:r w:rsidRPr="00F1288F">
              <w:rPr>
                <w:rStyle w:val="FontStyle39"/>
                <w:sz w:val="22"/>
                <w:szCs w:val="22"/>
                <w:lang w:val="sv-SE" w:eastAsia="da-DK"/>
              </w:rPr>
              <w:t>toksisk</w:t>
            </w:r>
            <w:proofErr w:type="spellEnd"/>
            <w:r w:rsidRPr="00F1288F">
              <w:rPr>
                <w:rStyle w:val="FontStyle39"/>
                <w:sz w:val="22"/>
                <w:szCs w:val="22"/>
                <w:lang w:val="sv-SE" w:eastAsia="da-DK"/>
              </w:rPr>
              <w:t xml:space="preserve"> </w:t>
            </w:r>
            <w:proofErr w:type="spellStart"/>
            <w:r w:rsidRPr="00F1288F">
              <w:rPr>
                <w:rStyle w:val="FontStyle39"/>
                <w:sz w:val="22"/>
                <w:szCs w:val="22"/>
                <w:lang w:val="sv-SE" w:eastAsia="da-DK"/>
              </w:rPr>
              <w:t>epidermal</w:t>
            </w:r>
            <w:proofErr w:type="spellEnd"/>
            <w:r w:rsidRPr="00F1288F">
              <w:rPr>
                <w:rStyle w:val="FontStyle39"/>
                <w:sz w:val="22"/>
                <w:szCs w:val="22"/>
                <w:lang w:val="sv-SE" w:eastAsia="da-DK"/>
              </w:rPr>
              <w:t xml:space="preserve"> </w:t>
            </w:r>
            <w:proofErr w:type="spellStart"/>
            <w:r w:rsidRPr="00F1288F">
              <w:rPr>
                <w:rStyle w:val="FontStyle39"/>
                <w:sz w:val="22"/>
                <w:szCs w:val="22"/>
                <w:lang w:val="sv-SE" w:eastAsia="da-DK"/>
              </w:rPr>
              <w:t>nekrolyse</w:t>
            </w:r>
            <w:proofErr w:type="spellEnd"/>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sv-SE" w:eastAsia="da-DK"/>
              </w:rPr>
            </w:pPr>
            <w:r w:rsidRPr="00F1288F">
              <w:rPr>
                <w:rStyle w:val="FontStyle39"/>
                <w:sz w:val="22"/>
                <w:szCs w:val="22"/>
                <w:lang w:val="sv-SE" w:eastAsia="da-DK"/>
              </w:rPr>
              <w:t xml:space="preserve">Subakut </w:t>
            </w:r>
            <w:proofErr w:type="spellStart"/>
            <w:r w:rsidRPr="00F1288F">
              <w:rPr>
                <w:rStyle w:val="FontStyle39"/>
                <w:sz w:val="22"/>
                <w:szCs w:val="22"/>
                <w:lang w:val="sv-SE" w:eastAsia="da-DK"/>
              </w:rPr>
              <w:t>kutan</w:t>
            </w:r>
            <w:proofErr w:type="spellEnd"/>
            <w:r w:rsidRPr="00F1288F">
              <w:rPr>
                <w:rStyle w:val="FontStyle39"/>
                <w:sz w:val="22"/>
                <w:szCs w:val="22"/>
                <w:lang w:val="sv-SE" w:eastAsia="da-DK"/>
              </w:rPr>
              <w:t xml:space="preserve"> lupus </w:t>
            </w:r>
            <w:proofErr w:type="spellStart"/>
            <w:r w:rsidRPr="00F1288F">
              <w:rPr>
                <w:rStyle w:val="FontStyle39"/>
                <w:sz w:val="22"/>
                <w:szCs w:val="22"/>
                <w:lang w:val="sv-SE" w:eastAsia="da-DK"/>
              </w:rPr>
              <w:t>erythematosus</w:t>
            </w:r>
            <w:proofErr w:type="spellEnd"/>
            <w:r w:rsidRPr="00F1288F">
              <w:rPr>
                <w:rStyle w:val="FontStyle39"/>
                <w:sz w:val="22"/>
                <w:szCs w:val="22"/>
                <w:lang w:val="sv-SE" w:eastAsia="da-DK"/>
              </w:rPr>
              <w:t xml:space="preserve"> (se pkt. 4.4).</w:t>
            </w: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 xml:space="preserve">Knogler, led, muskler og bindevæv </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Artralgi</w:t>
            </w:r>
            <w:proofErr w:type="spellEnd"/>
            <w:r w:rsidRPr="00F1288F">
              <w:rPr>
                <w:rStyle w:val="FontStyle39"/>
                <w:sz w:val="22"/>
                <w:szCs w:val="22"/>
                <w:lang w:val="da-DK" w:eastAsia="da-DK"/>
              </w:rPr>
              <w:t>, myalgi</w:t>
            </w: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Nyrer og urinveje</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B2336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Tubulointerstitiel</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nefritis</w:t>
            </w:r>
            <w:proofErr w:type="spellEnd"/>
            <w:r w:rsidRPr="00F1288F">
              <w:rPr>
                <w:rStyle w:val="FontStyle39"/>
                <w:sz w:val="22"/>
                <w:szCs w:val="22"/>
                <w:lang w:val="da-DK" w:eastAsia="da-DK"/>
              </w:rPr>
              <w:t xml:space="preserve"> (med mulig udvikling til nyresvigt)</w:t>
            </w: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 xml:space="preserve">Det reproduktive system og mammae </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lang w:val="da-DK"/>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Gynækomasti</w:t>
            </w:r>
            <w:proofErr w:type="spellEnd"/>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Almene symptomer og reaktioner på administrations</w:t>
            </w:r>
            <w:r w:rsidRPr="00F1288F">
              <w:rPr>
                <w:rStyle w:val="FontStyle38"/>
                <w:sz w:val="22"/>
                <w:szCs w:val="22"/>
                <w:lang w:val="da-DK" w:eastAsia="da-DK"/>
              </w:rPr>
              <w:softHyphen/>
              <w:t xml:space="preserve">stedet </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Træthed</w:t>
            </w: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Ødem</w:t>
            </w: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e-DE" w:eastAsia="da-DK"/>
              </w:rPr>
            </w:pPr>
            <w:r w:rsidRPr="00F1288F">
              <w:rPr>
                <w:rStyle w:val="FontStyle39"/>
                <w:sz w:val="22"/>
                <w:szCs w:val="22"/>
                <w:lang w:val="de-DE" w:eastAsia="da-DK"/>
              </w:rPr>
              <w:t xml:space="preserve">Feber, </w:t>
            </w:r>
            <w:proofErr w:type="spellStart"/>
            <w:r w:rsidRPr="00F1288F">
              <w:rPr>
                <w:rStyle w:val="FontStyle39"/>
                <w:sz w:val="22"/>
                <w:szCs w:val="22"/>
                <w:lang w:val="de-DE" w:eastAsia="da-DK"/>
              </w:rPr>
              <w:t>hyperhidrose</w:t>
            </w:r>
            <w:proofErr w:type="spellEnd"/>
            <w:r w:rsidRPr="00F1288F">
              <w:rPr>
                <w:rStyle w:val="FontStyle39"/>
                <w:sz w:val="22"/>
                <w:szCs w:val="22"/>
                <w:lang w:val="de-DE" w:eastAsia="da-DK"/>
              </w:rPr>
              <w:t xml:space="preserve">, </w:t>
            </w:r>
            <w:proofErr w:type="spellStart"/>
            <w:r w:rsidRPr="00F1288F">
              <w:rPr>
                <w:rStyle w:val="FontStyle39"/>
                <w:sz w:val="22"/>
                <w:szCs w:val="22"/>
                <w:lang w:val="de-DE" w:eastAsia="da-DK"/>
              </w:rPr>
              <w:t>angioødem</w:t>
            </w:r>
            <w:proofErr w:type="spellEnd"/>
            <w:r w:rsidRPr="00F1288F">
              <w:rPr>
                <w:rStyle w:val="FontStyle39"/>
                <w:sz w:val="22"/>
                <w:szCs w:val="22"/>
                <w:lang w:val="de-DE" w:eastAsia="da-DK"/>
              </w:rPr>
              <w:t xml:space="preserve">, </w:t>
            </w:r>
            <w:proofErr w:type="spellStart"/>
            <w:r w:rsidRPr="00F1288F">
              <w:rPr>
                <w:rStyle w:val="FontStyle39"/>
                <w:sz w:val="22"/>
                <w:szCs w:val="22"/>
                <w:lang w:val="de-DE" w:eastAsia="da-DK"/>
              </w:rPr>
              <w:t>anoreksi</w:t>
            </w:r>
            <w:proofErr w:type="spellEnd"/>
            <w:r w:rsidRPr="00F1288F">
              <w:rPr>
                <w:rStyle w:val="FontStyle39"/>
                <w:sz w:val="22"/>
                <w:szCs w:val="22"/>
                <w:lang w:val="de-DE" w:eastAsia="da-DK"/>
              </w:rPr>
              <w:t xml:space="preserve">, </w:t>
            </w:r>
            <w:proofErr w:type="spellStart"/>
            <w:r w:rsidRPr="00F1288F">
              <w:rPr>
                <w:rStyle w:val="FontStyle39"/>
                <w:sz w:val="22"/>
                <w:szCs w:val="22"/>
                <w:lang w:val="de-DE" w:eastAsia="da-DK"/>
              </w:rPr>
              <w:t>impotens</w:t>
            </w:r>
            <w:proofErr w:type="spellEnd"/>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roofErr w:type="spellStart"/>
            <w:r w:rsidRPr="00F1288F">
              <w:rPr>
                <w:rStyle w:val="FontStyle39"/>
                <w:sz w:val="22"/>
                <w:szCs w:val="22"/>
                <w:lang w:val="da-DK" w:eastAsia="da-DK"/>
              </w:rPr>
              <w:t>Anafylaktisk</w:t>
            </w:r>
            <w:proofErr w:type="spellEnd"/>
            <w:r w:rsidRPr="00F1288F">
              <w:rPr>
                <w:rStyle w:val="FontStyle39"/>
                <w:sz w:val="22"/>
                <w:szCs w:val="22"/>
                <w:lang w:val="da-DK" w:eastAsia="da-DK"/>
              </w:rPr>
              <w:t xml:space="preserve"> </w:t>
            </w:r>
            <w:proofErr w:type="spellStart"/>
            <w:r w:rsidRPr="00F1288F">
              <w:rPr>
                <w:rStyle w:val="FontStyle39"/>
                <w:sz w:val="22"/>
                <w:szCs w:val="22"/>
                <w:lang w:val="da-DK" w:eastAsia="da-DK"/>
              </w:rPr>
              <w:t>shock</w:t>
            </w:r>
            <w:proofErr w:type="spellEnd"/>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
        </w:tc>
      </w:tr>
      <w:tr w:rsidR="003301D2" w:rsidRPr="00F1288F" w:rsidTr="00F1288F">
        <w:trPr>
          <w:jc w:val="center"/>
        </w:trPr>
        <w:tc>
          <w:tcPr>
            <w:tcW w:w="793"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6"/>
              <w:widowControl/>
              <w:spacing w:line="240" w:lineRule="auto"/>
              <w:rPr>
                <w:rStyle w:val="FontStyle38"/>
                <w:sz w:val="22"/>
                <w:szCs w:val="22"/>
                <w:lang w:val="da-DK" w:eastAsia="da-DK"/>
              </w:rPr>
            </w:pPr>
            <w:r w:rsidRPr="00F1288F">
              <w:rPr>
                <w:rStyle w:val="FontStyle38"/>
                <w:sz w:val="22"/>
                <w:szCs w:val="22"/>
                <w:lang w:val="da-DK" w:eastAsia="da-DK"/>
              </w:rPr>
              <w:t>Undersøgelser</w:t>
            </w:r>
          </w:p>
        </w:tc>
        <w:tc>
          <w:tcPr>
            <w:tcW w:w="905"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7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2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9"/>
              <w:widowControl/>
              <w:rPr>
                <w:sz w:val="22"/>
                <w:szCs w:val="22"/>
              </w:rPr>
            </w:pPr>
          </w:p>
        </w:tc>
        <w:tc>
          <w:tcPr>
            <w:tcW w:w="878"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r w:rsidRPr="00F1288F">
              <w:rPr>
                <w:rStyle w:val="FontStyle39"/>
                <w:sz w:val="22"/>
                <w:szCs w:val="22"/>
                <w:lang w:val="da-DK" w:eastAsia="da-DK"/>
              </w:rPr>
              <w:t xml:space="preserve">Stigning i kolesterol- og triglyceridniveauer, </w:t>
            </w:r>
            <w:proofErr w:type="spellStart"/>
            <w:r w:rsidRPr="00F1288F">
              <w:rPr>
                <w:rStyle w:val="FontStyle39"/>
                <w:sz w:val="22"/>
                <w:szCs w:val="22"/>
                <w:lang w:val="da-DK" w:eastAsia="da-DK"/>
              </w:rPr>
              <w:t>hyponatriæmi</w:t>
            </w:r>
            <w:proofErr w:type="spellEnd"/>
          </w:p>
        </w:tc>
        <w:tc>
          <w:tcPr>
            <w:tcW w:w="817" w:type="pct"/>
            <w:tcBorders>
              <w:top w:val="single" w:sz="6" w:space="0" w:color="auto"/>
              <w:left w:val="single" w:sz="6" w:space="0" w:color="auto"/>
              <w:bottom w:val="single" w:sz="6" w:space="0" w:color="auto"/>
              <w:right w:val="single" w:sz="6" w:space="0" w:color="auto"/>
            </w:tcBorders>
          </w:tcPr>
          <w:p w:rsidR="003301D2" w:rsidRPr="00F1288F" w:rsidRDefault="003301D2" w:rsidP="003B4BCE">
            <w:pPr>
              <w:pStyle w:val="Style15"/>
              <w:widowControl/>
              <w:spacing w:line="240" w:lineRule="auto"/>
              <w:rPr>
                <w:rStyle w:val="FontStyle39"/>
                <w:sz w:val="22"/>
                <w:szCs w:val="22"/>
                <w:lang w:val="da-DK" w:eastAsia="da-DK"/>
              </w:rPr>
            </w:pPr>
          </w:p>
        </w:tc>
      </w:tr>
    </w:tbl>
    <w:p w:rsidR="009A4822" w:rsidRDefault="009A4822" w:rsidP="003301D2">
      <w:pPr>
        <w:pStyle w:val="Sidehoved"/>
        <w:tabs>
          <w:tab w:val="clear" w:pos="4819"/>
          <w:tab w:val="clear" w:pos="9638"/>
        </w:tabs>
        <w:ind w:left="851" w:hanging="851"/>
        <w:rPr>
          <w:szCs w:val="24"/>
        </w:rPr>
      </w:pPr>
    </w:p>
    <w:p w:rsidR="009A4822" w:rsidRDefault="009A4822">
      <w:pPr>
        <w:rPr>
          <w:sz w:val="24"/>
          <w:szCs w:val="24"/>
          <w:lang w:eastAsia="da-DK"/>
        </w:rPr>
      </w:pPr>
      <w:r>
        <w:rPr>
          <w:szCs w:val="24"/>
        </w:rPr>
        <w:br w:type="page"/>
      </w:r>
    </w:p>
    <w:p w:rsidR="003301D2" w:rsidRPr="00082BA2" w:rsidRDefault="003301D2" w:rsidP="003301D2">
      <w:pPr>
        <w:pStyle w:val="Sidehoved"/>
        <w:tabs>
          <w:tab w:val="clear" w:pos="4819"/>
          <w:tab w:val="clear" w:pos="9638"/>
        </w:tabs>
        <w:ind w:left="851" w:hanging="851"/>
        <w:rPr>
          <w:szCs w:val="24"/>
        </w:rPr>
      </w:pPr>
    </w:p>
    <w:p w:rsidR="00F1288F" w:rsidRPr="003952CE" w:rsidRDefault="00F1288F" w:rsidP="00F1288F">
      <w:pPr>
        <w:autoSpaceDE w:val="0"/>
        <w:autoSpaceDN w:val="0"/>
        <w:ind w:left="851"/>
        <w:rPr>
          <w:sz w:val="24"/>
          <w:szCs w:val="24"/>
          <w:u w:val="single"/>
        </w:rPr>
      </w:pPr>
      <w:r w:rsidRPr="003952CE">
        <w:rPr>
          <w:sz w:val="24"/>
          <w:szCs w:val="24"/>
          <w:u w:val="single"/>
        </w:rPr>
        <w:t>Indberetning af formodede bivirkninger</w:t>
      </w:r>
    </w:p>
    <w:p w:rsidR="00F1288F" w:rsidRPr="003952CE" w:rsidRDefault="00F1288F" w:rsidP="00F1288F">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F1288F" w:rsidRPr="003952CE" w:rsidRDefault="00F1288F" w:rsidP="00F1288F">
      <w:pPr>
        <w:tabs>
          <w:tab w:val="left" w:pos="2440"/>
        </w:tabs>
        <w:ind w:left="851"/>
        <w:rPr>
          <w:sz w:val="24"/>
          <w:szCs w:val="24"/>
        </w:rPr>
      </w:pPr>
    </w:p>
    <w:p w:rsidR="00F1288F" w:rsidRPr="003952CE" w:rsidRDefault="00F1288F" w:rsidP="00F1288F">
      <w:pPr>
        <w:ind w:left="851"/>
        <w:rPr>
          <w:sz w:val="24"/>
          <w:szCs w:val="24"/>
        </w:rPr>
      </w:pPr>
      <w:r w:rsidRPr="003952CE">
        <w:rPr>
          <w:sz w:val="24"/>
          <w:szCs w:val="24"/>
        </w:rPr>
        <w:t>Lægemiddelstyrelsen</w:t>
      </w:r>
    </w:p>
    <w:p w:rsidR="00F1288F" w:rsidRPr="003952CE" w:rsidRDefault="00F1288F" w:rsidP="00F1288F">
      <w:pPr>
        <w:ind w:left="851"/>
        <w:rPr>
          <w:sz w:val="24"/>
          <w:szCs w:val="24"/>
        </w:rPr>
      </w:pPr>
      <w:r w:rsidRPr="003952CE">
        <w:rPr>
          <w:sz w:val="24"/>
          <w:szCs w:val="24"/>
        </w:rPr>
        <w:t>Axel Heides Gade 1</w:t>
      </w:r>
    </w:p>
    <w:p w:rsidR="00F1288F" w:rsidRPr="003952CE" w:rsidRDefault="00F1288F" w:rsidP="00F1288F">
      <w:pPr>
        <w:ind w:left="851"/>
        <w:rPr>
          <w:sz w:val="24"/>
          <w:szCs w:val="24"/>
        </w:rPr>
      </w:pPr>
      <w:r w:rsidRPr="003952CE">
        <w:rPr>
          <w:sz w:val="24"/>
          <w:szCs w:val="24"/>
        </w:rPr>
        <w:t>DK-2300 København S</w:t>
      </w:r>
    </w:p>
    <w:p w:rsidR="00F1288F" w:rsidRPr="000A1DC3" w:rsidRDefault="00F1288F" w:rsidP="00F1288F">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3301D2" w:rsidRPr="00F1288F" w:rsidRDefault="003301D2" w:rsidP="003301D2">
      <w:pPr>
        <w:pStyle w:val="Style14"/>
        <w:widowControl/>
        <w:spacing w:line="240" w:lineRule="auto"/>
        <w:ind w:left="851"/>
        <w:rPr>
          <w:rStyle w:val="FontStyle39"/>
          <w:sz w:val="24"/>
          <w:szCs w:val="24"/>
          <w:lang w:val="da-DK" w:eastAsia="da-DK"/>
        </w:rPr>
      </w:pPr>
    </w:p>
    <w:p w:rsidR="00082BA2" w:rsidRPr="00C84483" w:rsidRDefault="00082BA2" w:rsidP="00082BA2">
      <w:pPr>
        <w:tabs>
          <w:tab w:val="left" w:pos="851"/>
        </w:tabs>
        <w:ind w:left="851" w:hanging="851"/>
        <w:rPr>
          <w:b/>
          <w:sz w:val="24"/>
          <w:szCs w:val="24"/>
        </w:rPr>
      </w:pPr>
      <w:r w:rsidRPr="00C84483">
        <w:rPr>
          <w:b/>
          <w:sz w:val="24"/>
          <w:szCs w:val="24"/>
        </w:rPr>
        <w:t>4.9</w:t>
      </w:r>
      <w:r w:rsidRPr="00C84483">
        <w:rPr>
          <w:b/>
          <w:sz w:val="24"/>
          <w:szCs w:val="24"/>
        </w:rPr>
        <w:tab/>
        <w:t>Overdosering</w:t>
      </w:r>
    </w:p>
    <w:p w:rsidR="003301D2" w:rsidRPr="00082BA2" w:rsidRDefault="003301D2" w:rsidP="003301D2">
      <w:pPr>
        <w:pStyle w:val="Style3"/>
        <w:widowControl/>
        <w:ind w:left="851" w:hanging="851"/>
        <w:jc w:val="left"/>
        <w:rPr>
          <w:rStyle w:val="FontStyle39"/>
          <w:sz w:val="24"/>
          <w:szCs w:val="24"/>
          <w:lang w:val="da-DK" w:eastAsia="da-DK"/>
        </w:rPr>
      </w:pPr>
      <w:r w:rsidRPr="00082BA2">
        <w:tab/>
      </w:r>
      <w:r w:rsidRPr="00082BA2">
        <w:rPr>
          <w:rStyle w:val="FontStyle39"/>
          <w:sz w:val="24"/>
          <w:szCs w:val="24"/>
          <w:lang w:val="da-DK" w:eastAsia="da-DK"/>
        </w:rPr>
        <w:t xml:space="preserve">Effekterne af overdosering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hos mennesker kendes ikke (selvom den akutte toksicitet sandsynligvis er lav), og der kan derfor ikke gives nogen </w:t>
      </w:r>
      <w:r w:rsidRPr="00082BA2">
        <w:rPr>
          <w:rStyle w:val="FontStyle39"/>
          <w:sz w:val="24"/>
          <w:szCs w:val="24"/>
          <w:lang w:val="da-DK" w:eastAsia="da-DK"/>
        </w:rPr>
        <w:lastRenderedPageBreak/>
        <w:t xml:space="preserve">behandlingsvejledning. Der er dog under forsøg givet daglige doser på op til 180 mg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oralt og op til 90 mg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intravenøst uden signifikante bivirkninger.</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Se pkt. 4.8 for at få yderligere oplysninger om mulige symptomer på overdosering med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color w:val="000000"/>
          <w:lang w:val="da-DK" w:eastAsia="da-DK"/>
        </w:rPr>
      </w:pPr>
      <w:r w:rsidRPr="00082BA2">
        <w:rPr>
          <w:rStyle w:val="FontStyle39"/>
          <w:sz w:val="24"/>
          <w:szCs w:val="24"/>
          <w:lang w:val="da-DK" w:eastAsia="da-DK"/>
        </w:rPr>
        <w:t xml:space="preserve">I tilfælde af mistanke om overdosering skal patienten overvåges.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elimineres ikke signifikant ved hæmodialyse. Hvis det er nødvendigt, anbefales ventrikeltømning, aktivt kul og symptomatisk behandling.</w:t>
      </w:r>
    </w:p>
    <w:p w:rsidR="003301D2" w:rsidRPr="00082BA2" w:rsidRDefault="003301D2" w:rsidP="003301D2">
      <w:pPr>
        <w:ind w:left="851" w:hanging="851"/>
        <w:rPr>
          <w:sz w:val="24"/>
          <w:szCs w:val="24"/>
        </w:rPr>
      </w:pPr>
    </w:p>
    <w:p w:rsidR="00082BA2" w:rsidRPr="00C84483" w:rsidRDefault="00082BA2" w:rsidP="00082BA2">
      <w:pPr>
        <w:tabs>
          <w:tab w:val="left" w:pos="851"/>
        </w:tabs>
        <w:ind w:left="851" w:hanging="851"/>
        <w:rPr>
          <w:b/>
          <w:sz w:val="24"/>
          <w:szCs w:val="24"/>
        </w:rPr>
      </w:pPr>
      <w:r w:rsidRPr="00C84483">
        <w:rPr>
          <w:b/>
          <w:sz w:val="24"/>
          <w:szCs w:val="24"/>
        </w:rPr>
        <w:t>4.10</w:t>
      </w:r>
      <w:r w:rsidRPr="00C84483">
        <w:rPr>
          <w:b/>
          <w:sz w:val="24"/>
          <w:szCs w:val="24"/>
        </w:rPr>
        <w:tab/>
        <w:t>Udlevering</w:t>
      </w:r>
    </w:p>
    <w:p w:rsidR="003301D2" w:rsidRPr="00082BA2" w:rsidRDefault="003301D2" w:rsidP="003301D2">
      <w:pPr>
        <w:ind w:left="851" w:hanging="851"/>
        <w:rPr>
          <w:sz w:val="24"/>
          <w:szCs w:val="24"/>
        </w:rPr>
      </w:pPr>
      <w:r w:rsidRPr="00082BA2">
        <w:rPr>
          <w:sz w:val="24"/>
          <w:szCs w:val="24"/>
        </w:rPr>
        <w:tab/>
        <w:t>HA</w:t>
      </w:r>
    </w:p>
    <w:p w:rsidR="003301D2" w:rsidRPr="00082BA2" w:rsidRDefault="003301D2" w:rsidP="003301D2">
      <w:pPr>
        <w:ind w:left="851" w:hanging="851"/>
        <w:rPr>
          <w:sz w:val="24"/>
          <w:szCs w:val="24"/>
        </w:rPr>
      </w:pP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1288F" w:rsidRPr="00C84483" w:rsidRDefault="00F1288F" w:rsidP="00F1288F">
      <w:pPr>
        <w:tabs>
          <w:tab w:val="left" w:pos="851"/>
        </w:tabs>
        <w:ind w:left="851"/>
        <w:rPr>
          <w:sz w:val="24"/>
          <w:szCs w:val="24"/>
        </w:rPr>
      </w:pPr>
    </w:p>
    <w:p w:rsidR="00F1288F" w:rsidRPr="00C84483" w:rsidRDefault="00F1288F" w:rsidP="00F1288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82BA2" w:rsidRPr="00082BA2" w:rsidRDefault="00082BA2" w:rsidP="00F1288F">
      <w:pPr>
        <w:pStyle w:val="Style3"/>
        <w:widowControl/>
        <w:ind w:left="851"/>
        <w:rPr>
          <w:rStyle w:val="FontStyle39"/>
          <w:sz w:val="24"/>
          <w:szCs w:val="24"/>
          <w:lang w:val="da-DK" w:eastAsia="da-DK"/>
        </w:rPr>
      </w:pPr>
      <w:proofErr w:type="spellStart"/>
      <w:r>
        <w:rPr>
          <w:rStyle w:val="FontStyle39"/>
          <w:sz w:val="24"/>
          <w:szCs w:val="24"/>
          <w:lang w:val="da-DK" w:eastAsia="da-DK"/>
        </w:rPr>
        <w:t>Farmakoterapeutisk</w:t>
      </w:r>
      <w:proofErr w:type="spellEnd"/>
      <w:r>
        <w:rPr>
          <w:rStyle w:val="FontStyle39"/>
          <w:sz w:val="24"/>
          <w:szCs w:val="24"/>
          <w:lang w:val="da-DK" w:eastAsia="da-DK"/>
        </w:rPr>
        <w:t xml:space="preserve"> klassifikation:</w:t>
      </w:r>
      <w:r w:rsidRPr="00082BA2">
        <w:rPr>
          <w:rStyle w:val="FontStyle39"/>
          <w:sz w:val="24"/>
          <w:szCs w:val="24"/>
          <w:lang w:val="da-DK" w:eastAsia="da-DK"/>
        </w:rPr>
        <w:t xml:space="preserve"> </w:t>
      </w:r>
      <w:proofErr w:type="spellStart"/>
      <w:r w:rsidRPr="00082BA2">
        <w:rPr>
          <w:rStyle w:val="FontStyle39"/>
          <w:sz w:val="24"/>
          <w:szCs w:val="24"/>
          <w:lang w:val="da-DK" w:eastAsia="da-DK"/>
        </w:rPr>
        <w:t>Protonpumpehæmmere</w:t>
      </w:r>
      <w:proofErr w:type="spellEnd"/>
      <w:r>
        <w:rPr>
          <w:rStyle w:val="FontStyle39"/>
          <w:sz w:val="24"/>
          <w:szCs w:val="24"/>
          <w:lang w:val="da-DK" w:eastAsia="da-DK"/>
        </w:rPr>
        <w:t xml:space="preserve">, </w:t>
      </w:r>
      <w:r w:rsidRPr="00082BA2">
        <w:rPr>
          <w:rStyle w:val="FontStyle39"/>
          <w:sz w:val="24"/>
          <w:szCs w:val="24"/>
          <w:lang w:val="da-DK" w:eastAsia="da-DK"/>
        </w:rPr>
        <w:t>ATC-kode: A02BC03.</w:t>
      </w:r>
    </w:p>
    <w:p w:rsidR="00082BA2" w:rsidRDefault="00082BA2" w:rsidP="00F1288F">
      <w:pPr>
        <w:pStyle w:val="Style14"/>
        <w:widowControl/>
        <w:spacing w:line="240" w:lineRule="auto"/>
        <w:ind w:left="851"/>
        <w:rPr>
          <w:rStyle w:val="FontStyle39"/>
          <w:sz w:val="24"/>
          <w:szCs w:val="24"/>
          <w:lang w:val="da-DK" w:eastAsia="da-DK"/>
        </w:rPr>
      </w:pPr>
    </w:p>
    <w:p w:rsidR="003301D2" w:rsidRPr="00082BA2" w:rsidRDefault="003301D2" w:rsidP="00F1288F">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er en gastrisk protonpumpehæmmer. Den hæmmer den sidste fase af mavesyreproduktionen ved at hæmme aktiviteten af H+/K+-</w:t>
      </w:r>
      <w:proofErr w:type="spellStart"/>
      <w:r w:rsidRPr="00082BA2">
        <w:rPr>
          <w:rStyle w:val="FontStyle39"/>
          <w:sz w:val="24"/>
          <w:szCs w:val="24"/>
          <w:lang w:val="da-DK" w:eastAsia="da-DK"/>
        </w:rPr>
        <w:t>ATPase</w:t>
      </w:r>
      <w:proofErr w:type="spellEnd"/>
      <w:r w:rsidRPr="00082BA2">
        <w:rPr>
          <w:rStyle w:val="FontStyle39"/>
          <w:sz w:val="24"/>
          <w:szCs w:val="24"/>
          <w:lang w:val="da-DK" w:eastAsia="da-DK"/>
        </w:rPr>
        <w:t xml:space="preserve"> i mavens </w:t>
      </w:r>
      <w:proofErr w:type="spellStart"/>
      <w:r w:rsidRPr="00082BA2">
        <w:rPr>
          <w:rStyle w:val="FontStyle39"/>
          <w:sz w:val="24"/>
          <w:szCs w:val="24"/>
          <w:lang w:val="da-DK" w:eastAsia="da-DK"/>
        </w:rPr>
        <w:t>parietalceller</w:t>
      </w:r>
      <w:proofErr w:type="spellEnd"/>
      <w:r w:rsidRPr="00082BA2">
        <w:rPr>
          <w:rStyle w:val="FontStyle39"/>
          <w:sz w:val="24"/>
          <w:szCs w:val="24"/>
          <w:lang w:val="da-DK" w:eastAsia="da-DK"/>
        </w:rPr>
        <w:t xml:space="preserve">. Hæmningen er dosisafhængig og reversibel, og effekten gælder både den basale og den stimulerede sekretion af mavesyre.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koncentreres i </w:t>
      </w:r>
      <w:proofErr w:type="spellStart"/>
      <w:r w:rsidRPr="00082BA2">
        <w:rPr>
          <w:rStyle w:val="FontStyle39"/>
          <w:sz w:val="24"/>
          <w:szCs w:val="24"/>
          <w:lang w:val="da-DK" w:eastAsia="da-DK"/>
        </w:rPr>
        <w:t>parietalcellerne</w:t>
      </w:r>
      <w:proofErr w:type="spellEnd"/>
      <w:r w:rsidRPr="00082BA2">
        <w:rPr>
          <w:rStyle w:val="FontStyle39"/>
          <w:sz w:val="24"/>
          <w:szCs w:val="24"/>
          <w:lang w:val="da-DK" w:eastAsia="da-DK"/>
        </w:rPr>
        <w:t xml:space="preserve"> og aktiveres i deres sure miljø, hvorefter det reagerer med </w:t>
      </w:r>
      <w:proofErr w:type="spellStart"/>
      <w:r w:rsidRPr="00082BA2">
        <w:rPr>
          <w:rStyle w:val="FontStyle39"/>
          <w:sz w:val="24"/>
          <w:szCs w:val="24"/>
          <w:lang w:val="da-DK" w:eastAsia="da-DK"/>
        </w:rPr>
        <w:t>sulfhydrylgruppen</w:t>
      </w:r>
      <w:proofErr w:type="spellEnd"/>
      <w:r w:rsidRPr="00082BA2">
        <w:rPr>
          <w:rStyle w:val="FontStyle39"/>
          <w:sz w:val="24"/>
          <w:szCs w:val="24"/>
          <w:lang w:val="da-DK" w:eastAsia="da-DK"/>
        </w:rPr>
        <w:t xml:space="preserve"> af H+/K+-</w:t>
      </w:r>
      <w:proofErr w:type="spellStart"/>
      <w:r w:rsidRPr="00082BA2">
        <w:rPr>
          <w:rStyle w:val="FontStyle39"/>
          <w:sz w:val="24"/>
          <w:szCs w:val="24"/>
          <w:lang w:val="da-DK" w:eastAsia="da-DK"/>
        </w:rPr>
        <w:t>ATPase</w:t>
      </w:r>
      <w:proofErr w:type="spellEnd"/>
      <w:r w:rsidRPr="00082BA2">
        <w:rPr>
          <w:rStyle w:val="FontStyle39"/>
          <w:sz w:val="24"/>
          <w:szCs w:val="24"/>
          <w:lang w:val="da-DK" w:eastAsia="da-DK"/>
        </w:rPr>
        <w:t xml:space="preserve"> og dermed hæmmer enzymaktiviteten.</w:t>
      </w:r>
    </w:p>
    <w:p w:rsidR="003301D2" w:rsidRPr="00082BA2" w:rsidRDefault="003301D2" w:rsidP="00F1288F">
      <w:pPr>
        <w:pStyle w:val="Style14"/>
        <w:widowControl/>
        <w:spacing w:line="240" w:lineRule="auto"/>
        <w:ind w:left="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Effekt på mavesyresekretion</w:t>
      </w:r>
    </w:p>
    <w:p w:rsidR="003301D2" w:rsidRPr="00082BA2" w:rsidRDefault="003301D2" w:rsidP="003301D2">
      <w:pPr>
        <w:pStyle w:val="Style14"/>
        <w:widowControl/>
        <w:spacing w:line="240" w:lineRule="auto"/>
        <w:ind w:left="851"/>
        <w:rPr>
          <w:rStyle w:val="FontStyle36"/>
          <w:i w:val="0"/>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er en specifik hæmmer af protonpumpen i </w:t>
      </w:r>
      <w:proofErr w:type="spellStart"/>
      <w:r w:rsidRPr="00082BA2">
        <w:rPr>
          <w:rStyle w:val="FontStyle39"/>
          <w:sz w:val="24"/>
          <w:szCs w:val="24"/>
          <w:lang w:val="da-DK" w:eastAsia="da-DK"/>
        </w:rPr>
        <w:t>parietalcellen</w:t>
      </w:r>
      <w:proofErr w:type="spellEnd"/>
      <w:r w:rsidRPr="00082BA2">
        <w:rPr>
          <w:rStyle w:val="FontStyle39"/>
          <w:sz w:val="24"/>
          <w:szCs w:val="24"/>
          <w:lang w:val="da-DK" w:eastAsia="da-DK"/>
        </w:rPr>
        <w:t xml:space="preserve">. En enkelt oral dosis på 30 mg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hæmmer den </w:t>
      </w:r>
      <w:proofErr w:type="spellStart"/>
      <w:r w:rsidRPr="00082BA2">
        <w:rPr>
          <w:rStyle w:val="FontStyle39"/>
          <w:sz w:val="24"/>
          <w:szCs w:val="24"/>
          <w:lang w:val="da-DK" w:eastAsia="da-DK"/>
        </w:rPr>
        <w:t>pentagastrin</w:t>
      </w:r>
      <w:proofErr w:type="spellEnd"/>
      <w:r w:rsidRPr="00082BA2">
        <w:rPr>
          <w:rStyle w:val="FontStyle39"/>
          <w:sz w:val="24"/>
          <w:szCs w:val="24"/>
          <w:lang w:val="da-DK" w:eastAsia="da-DK"/>
        </w:rPr>
        <w:t xml:space="preserve">-stimulerede mavesyresekretion med cirka 80 %. Efter gentagen daglig administration i syv dage opnås der en hæmning af mavesyresekretionen på cirka 90 %. Den har en tilsvarende effekt på den basale sekretion af mavesyre. En enkelt oral dosis på 30 mg reducerer den basale sekretion med cirka 70 %, og patienternes symptomer lindres derfor fra den allerførste dosis. Efter otte dages gentagen administration er reduktionen cirka 85 %. En hurtig symptomlindring opnås med en kapsel (30 mg) daglig, og de fleste patienter med ulcus </w:t>
      </w:r>
      <w:proofErr w:type="spellStart"/>
      <w:r w:rsidRPr="00082BA2">
        <w:rPr>
          <w:rStyle w:val="FontStyle39"/>
          <w:sz w:val="24"/>
          <w:szCs w:val="24"/>
          <w:lang w:val="da-DK" w:eastAsia="da-DK"/>
        </w:rPr>
        <w:t>duodeni</w:t>
      </w:r>
      <w:proofErr w:type="spellEnd"/>
      <w:r w:rsidRPr="00082BA2">
        <w:rPr>
          <w:rStyle w:val="FontStyle39"/>
          <w:sz w:val="24"/>
          <w:szCs w:val="24"/>
          <w:lang w:val="da-DK" w:eastAsia="da-DK"/>
        </w:rPr>
        <w:t xml:space="preserve"> kommer sig i løbet af 2 uger, mens patienter med ulcus </w:t>
      </w:r>
      <w:proofErr w:type="spellStart"/>
      <w:r w:rsidRPr="00082BA2">
        <w:rPr>
          <w:rStyle w:val="FontStyle39"/>
          <w:sz w:val="24"/>
          <w:szCs w:val="24"/>
          <w:lang w:val="da-DK" w:eastAsia="da-DK"/>
        </w:rPr>
        <w:t>ventriculi</w:t>
      </w:r>
      <w:proofErr w:type="spellEnd"/>
      <w:r w:rsidRPr="00082BA2">
        <w:rPr>
          <w:rStyle w:val="FontStyle39"/>
          <w:sz w:val="24"/>
          <w:szCs w:val="24"/>
          <w:lang w:val="da-DK" w:eastAsia="da-DK"/>
        </w:rPr>
        <w:t xml:space="preserve"> og </w:t>
      </w:r>
      <w:proofErr w:type="spellStart"/>
      <w:r w:rsidRPr="00082BA2">
        <w:rPr>
          <w:rStyle w:val="FontStyle39"/>
          <w:sz w:val="24"/>
          <w:szCs w:val="24"/>
          <w:lang w:val="da-DK" w:eastAsia="da-DK"/>
        </w:rPr>
        <w:t>refluksøsofagitis</w:t>
      </w:r>
      <w:proofErr w:type="spellEnd"/>
      <w:r w:rsidRPr="00082BA2">
        <w:rPr>
          <w:rStyle w:val="FontStyle39"/>
          <w:sz w:val="24"/>
          <w:szCs w:val="24"/>
          <w:lang w:val="da-DK" w:eastAsia="da-DK"/>
        </w:rPr>
        <w:t xml:space="preserve"> kommer sig i løbet af 4 uger. Ved at reducere </w:t>
      </w:r>
      <w:proofErr w:type="spellStart"/>
      <w:r w:rsidRPr="00082BA2">
        <w:rPr>
          <w:rStyle w:val="FontStyle39"/>
          <w:sz w:val="24"/>
          <w:szCs w:val="24"/>
          <w:lang w:val="da-DK" w:eastAsia="da-DK"/>
        </w:rPr>
        <w:t>ventrikelaciditeten</w:t>
      </w:r>
      <w:proofErr w:type="spellEnd"/>
      <w:r w:rsidRPr="00082BA2">
        <w:rPr>
          <w:rStyle w:val="FontStyle39"/>
          <w:sz w:val="24"/>
          <w:szCs w:val="24"/>
          <w:lang w:val="da-DK" w:eastAsia="da-DK"/>
        </w:rPr>
        <w:t xml:space="preserve"> skaber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et miljø, i hvilket passende </w:t>
      </w:r>
      <w:r w:rsidRPr="00082BA2">
        <w:rPr>
          <w:rStyle w:val="FontStyle39"/>
          <w:i/>
          <w:sz w:val="24"/>
          <w:szCs w:val="24"/>
          <w:lang w:val="da-DK" w:eastAsia="da-DK"/>
        </w:rPr>
        <w:t xml:space="preserve">antibiotika kan være effektive mod </w:t>
      </w:r>
      <w:r w:rsidRPr="00082BA2">
        <w:rPr>
          <w:rStyle w:val="FontStyle36"/>
          <w:sz w:val="24"/>
          <w:szCs w:val="24"/>
          <w:lang w:val="da-DK" w:eastAsia="da-DK"/>
        </w:rPr>
        <w:t xml:space="preserve">H. </w:t>
      </w:r>
      <w:proofErr w:type="spellStart"/>
      <w:r w:rsidRPr="00082BA2">
        <w:rPr>
          <w:rStyle w:val="FontStyle36"/>
          <w:sz w:val="24"/>
          <w:szCs w:val="24"/>
          <w:lang w:val="da-DK" w:eastAsia="da-DK"/>
        </w:rPr>
        <w:t>pylori</w:t>
      </w:r>
      <w:proofErr w:type="spellEnd"/>
      <w:r w:rsidRPr="00082BA2">
        <w:rPr>
          <w:rStyle w:val="FontStyle36"/>
          <w:sz w:val="24"/>
          <w:szCs w:val="24"/>
          <w:lang w:val="da-DK" w:eastAsia="da-DK"/>
        </w:rPr>
        <w:t>.</w:t>
      </w:r>
    </w:p>
    <w:p w:rsidR="003301D2" w:rsidRPr="00082BA2" w:rsidRDefault="003301D2" w:rsidP="003301D2">
      <w:pPr>
        <w:pStyle w:val="Style14"/>
        <w:spacing w:line="240" w:lineRule="auto"/>
        <w:ind w:left="851"/>
        <w:rPr>
          <w:iCs/>
          <w:color w:val="000000"/>
          <w:lang w:eastAsia="da-DK"/>
        </w:rPr>
      </w:pPr>
    </w:p>
    <w:p w:rsidR="003301D2" w:rsidRPr="00082BA2" w:rsidRDefault="003301D2" w:rsidP="003301D2">
      <w:pPr>
        <w:pStyle w:val="Style14"/>
        <w:spacing w:line="240" w:lineRule="auto"/>
        <w:ind w:left="851"/>
        <w:rPr>
          <w:iCs/>
          <w:color w:val="000000"/>
          <w:lang w:eastAsia="da-DK"/>
        </w:rPr>
      </w:pPr>
      <w:r w:rsidRPr="00082BA2">
        <w:rPr>
          <w:iCs/>
          <w:color w:val="000000"/>
          <w:lang w:eastAsia="da-DK"/>
        </w:rPr>
        <w:t xml:space="preserve">Under behandling med sekretionshæmmende lægemidler stiger indholdet af gastrin i serum som reaktion på den nedsatte syresekretion. Også indholdet af CgA stiger på grund af den nedsatte gastriske aciditet. Det forhøjede indhold af CgA kan interferere med undersøgelser for neuroendokrine tumorer. </w:t>
      </w:r>
    </w:p>
    <w:p w:rsidR="003301D2" w:rsidRPr="00082BA2" w:rsidRDefault="003301D2" w:rsidP="003301D2">
      <w:pPr>
        <w:pStyle w:val="Style14"/>
        <w:spacing w:line="240" w:lineRule="auto"/>
        <w:ind w:left="851"/>
        <w:rPr>
          <w:iCs/>
          <w:color w:val="000000"/>
          <w:lang w:eastAsia="da-DK"/>
        </w:rPr>
      </w:pPr>
      <w:r w:rsidRPr="00082BA2">
        <w:rPr>
          <w:iCs/>
          <w:color w:val="000000"/>
          <w:lang w:eastAsia="da-DK"/>
        </w:rPr>
        <w:t xml:space="preserve">Den foreliggende publicerede dokumentation antyder, at protonpumpehæmmere bør seponeres mellem 5 dage og 2 uger før måling af CgA. Dette er for at eventuelle falskt forhøjede værdier af CgA i forbindelse med behandling med protonpumpehæmmere kan vende tilbage til referenceområdet. </w:t>
      </w:r>
    </w:p>
    <w:p w:rsidR="003301D2" w:rsidRPr="00082BA2" w:rsidRDefault="003301D2" w:rsidP="003301D2">
      <w:pPr>
        <w:pStyle w:val="Style14"/>
        <w:widowControl/>
        <w:spacing w:line="240" w:lineRule="auto"/>
        <w:ind w:left="851"/>
        <w:rPr>
          <w:rStyle w:val="FontStyle36"/>
          <w:i w:val="0"/>
          <w:sz w:val="24"/>
          <w:szCs w:val="24"/>
          <w:lang w:eastAsia="da-DK"/>
        </w:rPr>
      </w:pPr>
    </w:p>
    <w:p w:rsidR="00F1288F" w:rsidRPr="00C84483" w:rsidRDefault="00F1288F" w:rsidP="00F1288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lastRenderedPageBreak/>
        <w:t>Lansoprazol</w:t>
      </w:r>
      <w:proofErr w:type="spellEnd"/>
      <w:r w:rsidRPr="00082BA2">
        <w:rPr>
          <w:rStyle w:val="FontStyle39"/>
          <w:sz w:val="24"/>
          <w:szCs w:val="24"/>
          <w:lang w:val="da-DK" w:eastAsia="da-DK"/>
        </w:rPr>
        <w:t xml:space="preserve"> er et </w:t>
      </w:r>
      <w:proofErr w:type="spellStart"/>
      <w:r w:rsidRPr="00082BA2">
        <w:rPr>
          <w:rStyle w:val="FontStyle39"/>
          <w:sz w:val="24"/>
          <w:szCs w:val="24"/>
          <w:lang w:val="da-DK" w:eastAsia="da-DK"/>
        </w:rPr>
        <w:t>racemat</w:t>
      </w:r>
      <w:proofErr w:type="spellEnd"/>
      <w:r w:rsidRPr="00082BA2">
        <w:rPr>
          <w:rStyle w:val="FontStyle39"/>
          <w:sz w:val="24"/>
          <w:szCs w:val="24"/>
          <w:lang w:val="da-DK" w:eastAsia="da-DK"/>
        </w:rPr>
        <w:t xml:space="preserve"> af to aktive </w:t>
      </w:r>
      <w:proofErr w:type="spellStart"/>
      <w:r w:rsidRPr="00082BA2">
        <w:rPr>
          <w:rStyle w:val="FontStyle39"/>
          <w:sz w:val="24"/>
          <w:szCs w:val="24"/>
          <w:lang w:val="da-DK" w:eastAsia="da-DK"/>
        </w:rPr>
        <w:t>enantiomerer</w:t>
      </w:r>
      <w:proofErr w:type="spellEnd"/>
      <w:r w:rsidRPr="00082BA2">
        <w:rPr>
          <w:rStyle w:val="FontStyle39"/>
          <w:sz w:val="24"/>
          <w:szCs w:val="24"/>
          <w:lang w:val="da-DK" w:eastAsia="da-DK"/>
        </w:rPr>
        <w:t xml:space="preserve">, der biotransformeres til den aktive form i </w:t>
      </w:r>
      <w:proofErr w:type="spellStart"/>
      <w:r w:rsidRPr="00082BA2">
        <w:rPr>
          <w:rStyle w:val="FontStyle39"/>
          <w:sz w:val="24"/>
          <w:szCs w:val="24"/>
          <w:lang w:val="da-DK" w:eastAsia="da-DK"/>
        </w:rPr>
        <w:t>parietalcellernes</w:t>
      </w:r>
      <w:proofErr w:type="spellEnd"/>
      <w:r w:rsidRPr="00082BA2">
        <w:rPr>
          <w:rStyle w:val="FontStyle39"/>
          <w:sz w:val="24"/>
          <w:szCs w:val="24"/>
          <w:lang w:val="da-DK" w:eastAsia="da-DK"/>
        </w:rPr>
        <w:t xml:space="preserve"> sure miljø. Eftersom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hurtigt inaktiveres af mavesyre, administreres det oralt som </w:t>
      </w:r>
      <w:proofErr w:type="spellStart"/>
      <w:r w:rsidRPr="00082BA2">
        <w:rPr>
          <w:rStyle w:val="FontStyle39"/>
          <w:sz w:val="24"/>
          <w:szCs w:val="24"/>
          <w:lang w:val="da-DK" w:eastAsia="da-DK"/>
        </w:rPr>
        <w:t>enterogranulat</w:t>
      </w:r>
      <w:proofErr w:type="spellEnd"/>
      <w:r w:rsidRPr="00082BA2">
        <w:rPr>
          <w:rStyle w:val="FontStyle39"/>
          <w:sz w:val="24"/>
          <w:szCs w:val="24"/>
          <w:lang w:val="da-DK" w:eastAsia="da-DK"/>
        </w:rPr>
        <w:t xml:space="preserve"> for at opnå systemisk absorption.</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Absorption og distribution</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udviser høj (80-90 %) biotilgængelighed med en enkelt dosis. Maksimale plasmakoncentrationer opnås i løbet af 1,5 til 2,0 timer. Indtagelse af føde sænker </w:t>
      </w:r>
      <w:proofErr w:type="spellStart"/>
      <w:r w:rsidRPr="00082BA2">
        <w:rPr>
          <w:rStyle w:val="FontStyle39"/>
          <w:sz w:val="24"/>
          <w:szCs w:val="24"/>
          <w:lang w:val="da-DK" w:eastAsia="da-DK"/>
        </w:rPr>
        <w:t>lansoprazols</w:t>
      </w:r>
      <w:proofErr w:type="spellEnd"/>
      <w:r w:rsidRPr="00082BA2">
        <w:rPr>
          <w:rStyle w:val="FontStyle39"/>
          <w:sz w:val="24"/>
          <w:szCs w:val="24"/>
          <w:lang w:val="da-DK" w:eastAsia="da-DK"/>
        </w:rPr>
        <w:t xml:space="preserve"> absorptionshastighed og reducerer dets biotilgængelighed med cirka 50 %. Plasmaproteinbindingen er 97 %.</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Forsøg har vist, at granulater fra åbnede kapsler giver samme AUC som den intakte kapsel, hvis granulaterne blandes med en lille mængde appelsinjuice, æblejuice eller tomatjuice, der er blandet med en spiseskefuld æble- eller pæremos eller strøs over en spiseskefuld yoghurt, budding eller hytteost. Samme AUC er også påvist for granulater, der er blandet med æblejuice og administreret via en </w:t>
      </w:r>
      <w:proofErr w:type="spellStart"/>
      <w:r w:rsidRPr="00082BA2">
        <w:rPr>
          <w:rStyle w:val="FontStyle39"/>
          <w:sz w:val="24"/>
          <w:szCs w:val="24"/>
          <w:lang w:val="da-DK" w:eastAsia="da-DK"/>
        </w:rPr>
        <w:t>nasogastrisk</w:t>
      </w:r>
      <w:proofErr w:type="spellEnd"/>
      <w:r w:rsidRPr="00082BA2">
        <w:rPr>
          <w:rStyle w:val="FontStyle39"/>
          <w:sz w:val="24"/>
          <w:szCs w:val="24"/>
          <w:lang w:val="da-DK" w:eastAsia="da-DK"/>
        </w:rPr>
        <w:t xml:space="preserve"> sonde.</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Biotransformation og elimination</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metaboliseres</w:t>
      </w:r>
      <w:proofErr w:type="spellEnd"/>
      <w:r w:rsidRPr="00082BA2">
        <w:rPr>
          <w:rStyle w:val="FontStyle39"/>
          <w:sz w:val="24"/>
          <w:szCs w:val="24"/>
          <w:lang w:val="da-DK" w:eastAsia="da-DK"/>
        </w:rPr>
        <w:t xml:space="preserve"> i vid udstrækning af leveren, og metabolitterne udskilles både ad nyre- og galderuterne. </w:t>
      </w:r>
      <w:proofErr w:type="spellStart"/>
      <w:r w:rsidRPr="00082BA2">
        <w:rPr>
          <w:rStyle w:val="FontStyle39"/>
          <w:sz w:val="24"/>
          <w:szCs w:val="24"/>
          <w:lang w:val="da-DK" w:eastAsia="da-DK"/>
        </w:rPr>
        <w:t>Lansoprazols</w:t>
      </w:r>
      <w:proofErr w:type="spellEnd"/>
      <w:r w:rsidRPr="00082BA2">
        <w:rPr>
          <w:rStyle w:val="FontStyle39"/>
          <w:sz w:val="24"/>
          <w:szCs w:val="24"/>
          <w:lang w:val="da-DK" w:eastAsia="da-DK"/>
        </w:rPr>
        <w:t xml:space="preserve"> biotransformation katalyseres hovedsageligt af enzymet CYP2C19. Enzymet CYP3A4 bidrager også til biotransformationen. Elimineringshalveringstiden i plasma ligger mellem 1 til 2 timer hos raske personer efter administration af enkle eller multiple doser. Der er ikke tegn på akkumulering efter multiple doser administreret til raske personer. </w:t>
      </w:r>
      <w:proofErr w:type="spellStart"/>
      <w:r w:rsidRPr="00082BA2">
        <w:rPr>
          <w:rStyle w:val="FontStyle39"/>
          <w:sz w:val="24"/>
          <w:szCs w:val="24"/>
          <w:lang w:val="da-DK" w:eastAsia="da-DK"/>
        </w:rPr>
        <w:t>Sulfon</w:t>
      </w:r>
      <w:proofErr w:type="spellEnd"/>
      <w:r w:rsidRPr="00082BA2">
        <w:rPr>
          <w:rStyle w:val="FontStyle39"/>
          <w:sz w:val="24"/>
          <w:szCs w:val="24"/>
          <w:lang w:val="da-DK" w:eastAsia="da-DK"/>
        </w:rPr>
        <w:t xml:space="preserve">-, sulfid- og 5-hydroxylderivater af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er blevet fundet i plasma. Disse metabolitter har en meget lille eller ingen </w:t>
      </w:r>
      <w:proofErr w:type="spellStart"/>
      <w:r w:rsidRPr="00082BA2">
        <w:rPr>
          <w:rStyle w:val="FontStyle39"/>
          <w:sz w:val="24"/>
          <w:szCs w:val="24"/>
          <w:lang w:val="da-DK" w:eastAsia="da-DK"/>
        </w:rPr>
        <w:t>antisekrerende</w:t>
      </w:r>
      <w:proofErr w:type="spellEnd"/>
      <w:r w:rsidRPr="00082BA2">
        <w:rPr>
          <w:rStyle w:val="FontStyle39"/>
          <w:sz w:val="24"/>
          <w:szCs w:val="24"/>
          <w:lang w:val="da-DK" w:eastAsia="da-DK"/>
        </w:rPr>
        <w:t xml:space="preserve"> effekt.</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Et forsøg med </w:t>
      </w:r>
      <w:r w:rsidRPr="00082BA2">
        <w:rPr>
          <w:rStyle w:val="FontStyle39"/>
          <w:sz w:val="24"/>
          <w:szCs w:val="24"/>
          <w:vertAlign w:val="superscript"/>
          <w:lang w:val="da-DK" w:eastAsia="da-DK"/>
        </w:rPr>
        <w:t>14</w:t>
      </w:r>
      <w:r w:rsidRPr="00082BA2">
        <w:rPr>
          <w:rStyle w:val="FontStyle39"/>
          <w:sz w:val="24"/>
          <w:szCs w:val="24"/>
          <w:lang w:val="da-DK" w:eastAsia="da-DK"/>
        </w:rPr>
        <w:t xml:space="preserve">C-mærket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indikerede, at cirka en tredjedel af den administrerede strålebehandling blev udskilt i urinen, og to tredjedele blev fundet i fæces.</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Farmakokinetik hos ældre patienter</w:t>
      </w:r>
    </w:p>
    <w:p w:rsidR="003301D2" w:rsidRPr="00082BA2" w:rsidRDefault="003301D2" w:rsidP="003301D2">
      <w:pPr>
        <w:pStyle w:val="Style14"/>
        <w:widowControl/>
        <w:spacing w:line="240" w:lineRule="auto"/>
        <w:ind w:left="851"/>
        <w:rPr>
          <w:rStyle w:val="FontStyle39"/>
          <w:sz w:val="24"/>
          <w:szCs w:val="24"/>
          <w:lang w:val="da-DK" w:eastAsia="da-DK"/>
        </w:rPr>
      </w:pPr>
      <w:proofErr w:type="spellStart"/>
      <w:r w:rsidRPr="00082BA2">
        <w:rPr>
          <w:rStyle w:val="FontStyle39"/>
          <w:sz w:val="24"/>
          <w:szCs w:val="24"/>
          <w:lang w:val="da-DK" w:eastAsia="da-DK"/>
        </w:rPr>
        <w:t>Lansoprazols</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clearance</w:t>
      </w:r>
      <w:proofErr w:type="spellEnd"/>
      <w:r w:rsidRPr="00082BA2">
        <w:rPr>
          <w:rStyle w:val="FontStyle39"/>
          <w:sz w:val="24"/>
          <w:szCs w:val="24"/>
          <w:lang w:val="da-DK" w:eastAsia="da-DK"/>
        </w:rPr>
        <w:t xml:space="preserve"> reduceres hos ældre patienter med en øget elimineringshalveringstid på cirka 50 % til 100 %. De maksimale plasmakoncentrationer steg ikke hos ældre patienter.</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Farmakokinetik hos pædiatriske patienter</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Evalueringen af farmakokinetikken hos børn i alderen 1-17 år viste en lignende eksponering sammenlignet med voksne, når der blev givet doser på 15 mg til personer, som vejede under </w:t>
      </w:r>
      <w:smartTag w:uri="urn:schemas-microsoft-com:office:smarttags" w:element="metricconverter">
        <w:smartTagPr>
          <w:attr w:name="ProductID" w:val="30 kg"/>
        </w:smartTagPr>
        <w:r w:rsidRPr="00082BA2">
          <w:rPr>
            <w:rStyle w:val="FontStyle39"/>
            <w:sz w:val="24"/>
            <w:szCs w:val="24"/>
            <w:lang w:val="da-DK" w:eastAsia="da-DK"/>
          </w:rPr>
          <w:t>30 kg</w:t>
        </w:r>
      </w:smartTag>
      <w:r w:rsidRPr="00082BA2">
        <w:rPr>
          <w:rStyle w:val="FontStyle39"/>
          <w:sz w:val="24"/>
          <w:szCs w:val="24"/>
          <w:lang w:val="da-DK" w:eastAsia="da-DK"/>
        </w:rPr>
        <w:t xml:space="preserve">, og 30 mg til personer over </w:t>
      </w:r>
      <w:smartTag w:uri="urn:schemas-microsoft-com:office:smarttags" w:element="metricconverter">
        <w:smartTagPr>
          <w:attr w:name="ProductID" w:val="30 kg"/>
        </w:smartTagPr>
        <w:r w:rsidRPr="00082BA2">
          <w:rPr>
            <w:rStyle w:val="FontStyle39"/>
            <w:sz w:val="24"/>
            <w:szCs w:val="24"/>
            <w:lang w:val="da-DK" w:eastAsia="da-DK"/>
          </w:rPr>
          <w:t>30 kg</w:t>
        </w:r>
      </w:smartTag>
      <w:r w:rsidRPr="00082BA2">
        <w:rPr>
          <w:rStyle w:val="FontStyle39"/>
          <w:sz w:val="24"/>
          <w:szCs w:val="24"/>
          <w:lang w:val="da-DK" w:eastAsia="da-DK"/>
        </w:rPr>
        <w:t>. Undersøgelsen af en dosis på 17 mg/m</w:t>
      </w:r>
      <w:r w:rsidRPr="00082BA2">
        <w:rPr>
          <w:rStyle w:val="FontStyle39"/>
          <w:sz w:val="24"/>
          <w:szCs w:val="24"/>
          <w:vertAlign w:val="superscript"/>
          <w:lang w:val="da-DK" w:eastAsia="da-DK"/>
        </w:rPr>
        <w:t>2</w:t>
      </w:r>
      <w:r w:rsidRPr="00082BA2">
        <w:rPr>
          <w:rStyle w:val="FontStyle39"/>
          <w:sz w:val="24"/>
          <w:szCs w:val="24"/>
          <w:lang w:val="da-DK" w:eastAsia="da-DK"/>
        </w:rPr>
        <w:t xml:space="preserve"> kropsoverflade eller 1 mg/kg kropsvægt viste også en lignende eksponering for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hos børn i alderen 2-3 måneder op til 1 år sammenlignet med voksne.</w:t>
      </w:r>
    </w:p>
    <w:p w:rsidR="003301D2" w:rsidRPr="00082BA2" w:rsidRDefault="003301D2" w:rsidP="003301D2">
      <w:pPr>
        <w:pStyle w:val="Style25"/>
        <w:widowControl/>
        <w:spacing w:line="240" w:lineRule="auto"/>
        <w:ind w:left="851" w:hanging="851"/>
        <w:rPr>
          <w:lang w:val="da-DK"/>
        </w:rPr>
      </w:pPr>
    </w:p>
    <w:p w:rsidR="003301D2" w:rsidRPr="00082BA2" w:rsidRDefault="003301D2" w:rsidP="003301D2">
      <w:pPr>
        <w:pStyle w:val="Style25"/>
        <w:widowControl/>
        <w:spacing w:line="240" w:lineRule="auto"/>
        <w:ind w:left="851"/>
        <w:rPr>
          <w:rStyle w:val="FontStyle39"/>
          <w:sz w:val="24"/>
          <w:szCs w:val="24"/>
          <w:lang w:val="da-DK" w:eastAsia="da-DK"/>
        </w:rPr>
      </w:pPr>
      <w:r w:rsidRPr="00082BA2">
        <w:rPr>
          <w:rStyle w:val="FontStyle39"/>
          <w:sz w:val="24"/>
          <w:szCs w:val="24"/>
          <w:lang w:val="da-DK" w:eastAsia="da-DK"/>
        </w:rPr>
        <w:t xml:space="preserve">Højere eksponering for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sammenlignet med voksne er blevet set hos spædbørn yngre end 2-3 måneder med doser på både 1,0 mg/kg og 0,5 mg/kg kropsvægt administreret som en enkelt dosis.</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Farmakokinetik ved nedsat leverfunktion</w:t>
      </w: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Eksponeringen for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fordobles hos patienter med mildt nedsat leverfunktion og øges langt mere hos patienter med moderat og svært nedsat leverfunktion.</w:t>
      </w:r>
    </w:p>
    <w:p w:rsidR="003301D2" w:rsidRPr="00082BA2" w:rsidRDefault="003301D2" w:rsidP="003301D2">
      <w:pPr>
        <w:pStyle w:val="Style25"/>
        <w:widowControl/>
        <w:spacing w:line="240" w:lineRule="auto"/>
        <w:ind w:left="851" w:hanging="851"/>
        <w:jc w:val="left"/>
        <w:rPr>
          <w:rStyle w:val="FontStyle39"/>
          <w:sz w:val="24"/>
          <w:szCs w:val="24"/>
          <w:lang w:val="da-DK" w:eastAsia="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Personer med nedsat CYP2C19-metabolisme</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CYP2C19 er genstand for genetisk polymorfisme, og 2-6 % af befolkningen, der har en ringe </w:t>
      </w:r>
      <w:proofErr w:type="spellStart"/>
      <w:r w:rsidRPr="00082BA2">
        <w:rPr>
          <w:rStyle w:val="FontStyle39"/>
          <w:sz w:val="24"/>
          <w:szCs w:val="24"/>
          <w:lang w:val="da-DK" w:eastAsia="da-DK"/>
        </w:rPr>
        <w:t>metaboliseringsevne</w:t>
      </w:r>
      <w:proofErr w:type="spellEnd"/>
      <w:r w:rsidRPr="00082BA2">
        <w:rPr>
          <w:rStyle w:val="FontStyle39"/>
          <w:sz w:val="24"/>
          <w:szCs w:val="24"/>
          <w:lang w:val="da-DK" w:eastAsia="da-DK"/>
        </w:rPr>
        <w:t xml:space="preserve">, er homozygoter for en mutant CYP2C19-allel og mangler </w:t>
      </w:r>
      <w:r w:rsidRPr="00082BA2">
        <w:rPr>
          <w:rStyle w:val="FontStyle39"/>
          <w:sz w:val="24"/>
          <w:szCs w:val="24"/>
          <w:lang w:val="da-DK" w:eastAsia="da-DK"/>
        </w:rPr>
        <w:lastRenderedPageBreak/>
        <w:t xml:space="preserve">derfor et funktionelt CYP2C19-enzym. Eksponeringen for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er flere gange højere hos personer, der har en ringe </w:t>
      </w:r>
      <w:proofErr w:type="spellStart"/>
      <w:r w:rsidRPr="00082BA2">
        <w:rPr>
          <w:rStyle w:val="FontStyle39"/>
          <w:sz w:val="24"/>
          <w:szCs w:val="24"/>
          <w:lang w:val="da-DK" w:eastAsia="da-DK"/>
        </w:rPr>
        <w:t>metaboliseringsevne</w:t>
      </w:r>
      <w:proofErr w:type="spellEnd"/>
      <w:r w:rsidRPr="00082BA2">
        <w:rPr>
          <w:rStyle w:val="FontStyle39"/>
          <w:sz w:val="24"/>
          <w:szCs w:val="24"/>
          <w:lang w:val="da-DK" w:eastAsia="da-DK"/>
        </w:rPr>
        <w:t xml:space="preserve">, end hos personer, som har en god </w:t>
      </w:r>
      <w:proofErr w:type="spellStart"/>
      <w:r w:rsidRPr="00082BA2">
        <w:rPr>
          <w:rStyle w:val="FontStyle39"/>
          <w:sz w:val="24"/>
          <w:szCs w:val="24"/>
          <w:lang w:val="da-DK" w:eastAsia="da-DK"/>
        </w:rPr>
        <w:t>metaboliseringsevne</w:t>
      </w:r>
      <w:proofErr w:type="spellEnd"/>
      <w:r w:rsidRPr="00082BA2">
        <w:rPr>
          <w:rStyle w:val="FontStyle39"/>
          <w:sz w:val="24"/>
          <w:szCs w:val="24"/>
          <w:lang w:val="da-DK" w:eastAsia="da-DK"/>
        </w:rPr>
        <w:t>.</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301D2" w:rsidRPr="00082BA2" w:rsidRDefault="003301D2" w:rsidP="003301D2">
      <w:pPr>
        <w:pStyle w:val="Style25"/>
        <w:widowControl/>
        <w:spacing w:line="240" w:lineRule="auto"/>
        <w:ind w:left="851"/>
        <w:rPr>
          <w:rStyle w:val="FontStyle39"/>
          <w:sz w:val="24"/>
          <w:szCs w:val="24"/>
          <w:lang w:val="da-DK" w:eastAsia="da-DK"/>
        </w:rPr>
      </w:pPr>
      <w:r w:rsidRPr="00082BA2">
        <w:rPr>
          <w:rStyle w:val="FontStyle39"/>
          <w:sz w:val="24"/>
          <w:szCs w:val="24"/>
          <w:lang w:val="da-DK" w:eastAsia="da-DK"/>
        </w:rPr>
        <w:t>Prækliniske data afslører ingen særlige risici for mennesker baseret på konventionelle forsøg vedrørende sikkerhedsfarmakologi, gentagen dosistoksicitet, toksicitet over for reproduktion eller genotoksicitet.</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 xml:space="preserve">I to </w:t>
      </w:r>
      <w:proofErr w:type="spellStart"/>
      <w:r w:rsidRPr="00082BA2">
        <w:rPr>
          <w:rStyle w:val="FontStyle39"/>
          <w:sz w:val="24"/>
          <w:szCs w:val="24"/>
          <w:lang w:val="da-DK" w:eastAsia="da-DK"/>
        </w:rPr>
        <w:t>carcinogenicitetsforsøg</w:t>
      </w:r>
      <w:proofErr w:type="spellEnd"/>
      <w:r w:rsidRPr="00082BA2">
        <w:rPr>
          <w:rStyle w:val="FontStyle39"/>
          <w:sz w:val="24"/>
          <w:szCs w:val="24"/>
          <w:lang w:val="da-DK" w:eastAsia="da-DK"/>
        </w:rPr>
        <w:t xml:space="preserve"> med rotter fremkaldte </w:t>
      </w:r>
      <w:proofErr w:type="spellStart"/>
      <w:r w:rsidRPr="00082BA2">
        <w:rPr>
          <w:rStyle w:val="FontStyle39"/>
          <w:sz w:val="24"/>
          <w:szCs w:val="24"/>
          <w:lang w:val="da-DK" w:eastAsia="da-DK"/>
        </w:rPr>
        <w:t>lansoprazol</w:t>
      </w:r>
      <w:proofErr w:type="spellEnd"/>
      <w:r w:rsidRPr="00082BA2">
        <w:rPr>
          <w:rStyle w:val="FontStyle39"/>
          <w:sz w:val="24"/>
          <w:szCs w:val="24"/>
          <w:lang w:val="da-DK" w:eastAsia="da-DK"/>
        </w:rPr>
        <w:t xml:space="preserve"> dosisrelateret gastrisk ECL-</w:t>
      </w:r>
      <w:proofErr w:type="spellStart"/>
      <w:r w:rsidRPr="00082BA2">
        <w:rPr>
          <w:rStyle w:val="FontStyle39"/>
          <w:sz w:val="24"/>
          <w:szCs w:val="24"/>
          <w:lang w:val="da-DK" w:eastAsia="da-DK"/>
        </w:rPr>
        <w:t>cellehyperplasi</w:t>
      </w:r>
      <w:proofErr w:type="spellEnd"/>
      <w:r w:rsidRPr="00082BA2">
        <w:rPr>
          <w:rStyle w:val="FontStyle39"/>
          <w:sz w:val="24"/>
          <w:szCs w:val="24"/>
          <w:lang w:val="da-DK" w:eastAsia="da-DK"/>
        </w:rPr>
        <w:t xml:space="preserve"> og ECL-</w:t>
      </w:r>
      <w:proofErr w:type="spellStart"/>
      <w:r w:rsidRPr="00082BA2">
        <w:rPr>
          <w:rStyle w:val="FontStyle39"/>
          <w:sz w:val="24"/>
          <w:szCs w:val="24"/>
          <w:lang w:val="da-DK" w:eastAsia="da-DK"/>
        </w:rPr>
        <w:t>cellecarcinoider</w:t>
      </w:r>
      <w:proofErr w:type="spellEnd"/>
      <w:r w:rsidRPr="00082BA2">
        <w:rPr>
          <w:rStyle w:val="FontStyle39"/>
          <w:sz w:val="24"/>
          <w:szCs w:val="24"/>
          <w:lang w:val="da-DK" w:eastAsia="da-DK"/>
        </w:rPr>
        <w:t xml:space="preserve"> forbundet med </w:t>
      </w:r>
      <w:proofErr w:type="spellStart"/>
      <w:r w:rsidRPr="00082BA2">
        <w:rPr>
          <w:rStyle w:val="FontStyle39"/>
          <w:sz w:val="24"/>
          <w:szCs w:val="24"/>
          <w:lang w:val="da-DK" w:eastAsia="da-DK"/>
        </w:rPr>
        <w:t>hypergastrinæmi</w:t>
      </w:r>
      <w:proofErr w:type="spellEnd"/>
      <w:r w:rsidRPr="00082BA2">
        <w:rPr>
          <w:rStyle w:val="FontStyle39"/>
          <w:sz w:val="24"/>
          <w:szCs w:val="24"/>
          <w:lang w:val="da-DK" w:eastAsia="da-DK"/>
        </w:rPr>
        <w:t xml:space="preserve"> på grund af hæmningen af syresekretion. Der blev også observeret </w:t>
      </w:r>
      <w:proofErr w:type="spellStart"/>
      <w:r w:rsidRPr="00082BA2">
        <w:rPr>
          <w:rStyle w:val="FontStyle39"/>
          <w:sz w:val="24"/>
          <w:szCs w:val="24"/>
          <w:lang w:val="da-DK" w:eastAsia="da-DK"/>
        </w:rPr>
        <w:t>intestinal</w:t>
      </w:r>
      <w:proofErr w:type="spellEnd"/>
      <w:r w:rsidRPr="00082BA2">
        <w:rPr>
          <w:rStyle w:val="FontStyle39"/>
          <w:sz w:val="24"/>
          <w:szCs w:val="24"/>
          <w:lang w:val="da-DK" w:eastAsia="da-DK"/>
        </w:rPr>
        <w:t xml:space="preserve"> </w:t>
      </w:r>
      <w:proofErr w:type="spellStart"/>
      <w:r w:rsidRPr="00082BA2">
        <w:rPr>
          <w:rStyle w:val="FontStyle39"/>
          <w:sz w:val="24"/>
          <w:szCs w:val="24"/>
          <w:lang w:val="da-DK" w:eastAsia="da-DK"/>
        </w:rPr>
        <w:t>metaplasi</w:t>
      </w:r>
      <w:proofErr w:type="spellEnd"/>
      <w:r w:rsidRPr="00082BA2">
        <w:rPr>
          <w:rStyle w:val="FontStyle39"/>
          <w:sz w:val="24"/>
          <w:szCs w:val="24"/>
          <w:lang w:val="da-DK" w:eastAsia="da-DK"/>
        </w:rPr>
        <w:t xml:space="preserve"> samt </w:t>
      </w:r>
      <w:proofErr w:type="spellStart"/>
      <w:r w:rsidRPr="00082BA2">
        <w:rPr>
          <w:rStyle w:val="FontStyle39"/>
          <w:sz w:val="24"/>
          <w:szCs w:val="24"/>
          <w:lang w:val="da-DK" w:eastAsia="da-DK"/>
        </w:rPr>
        <w:t>hyperplasi</w:t>
      </w:r>
      <w:proofErr w:type="spellEnd"/>
      <w:r w:rsidRPr="00082BA2">
        <w:rPr>
          <w:rStyle w:val="FontStyle39"/>
          <w:sz w:val="24"/>
          <w:szCs w:val="24"/>
          <w:lang w:val="da-DK" w:eastAsia="da-DK"/>
        </w:rPr>
        <w:t xml:space="preserve"> i </w:t>
      </w:r>
      <w:proofErr w:type="spellStart"/>
      <w:r w:rsidRPr="00082BA2">
        <w:rPr>
          <w:rStyle w:val="FontStyle39"/>
          <w:sz w:val="24"/>
          <w:szCs w:val="24"/>
          <w:lang w:val="da-DK" w:eastAsia="da-DK"/>
        </w:rPr>
        <w:t>Leydig</w:t>
      </w:r>
      <w:proofErr w:type="spellEnd"/>
      <w:r w:rsidRPr="00082BA2">
        <w:rPr>
          <w:rStyle w:val="FontStyle39"/>
          <w:sz w:val="24"/>
          <w:szCs w:val="24"/>
          <w:lang w:val="da-DK" w:eastAsia="da-DK"/>
        </w:rPr>
        <w:t xml:space="preserve">-celler og godartede tumorer i </w:t>
      </w:r>
      <w:proofErr w:type="spellStart"/>
      <w:r w:rsidRPr="00082BA2">
        <w:rPr>
          <w:rStyle w:val="FontStyle39"/>
          <w:sz w:val="24"/>
          <w:szCs w:val="24"/>
          <w:lang w:val="da-DK" w:eastAsia="da-DK"/>
        </w:rPr>
        <w:t>Leydig</w:t>
      </w:r>
      <w:proofErr w:type="spellEnd"/>
      <w:r w:rsidRPr="00082BA2">
        <w:rPr>
          <w:rStyle w:val="FontStyle39"/>
          <w:sz w:val="24"/>
          <w:szCs w:val="24"/>
          <w:lang w:val="da-DK" w:eastAsia="da-DK"/>
        </w:rPr>
        <w:t xml:space="preserve">-celler. Efter 18 måneders behandling blev der observeret </w:t>
      </w:r>
      <w:proofErr w:type="spellStart"/>
      <w:r w:rsidRPr="00082BA2">
        <w:rPr>
          <w:rStyle w:val="FontStyle39"/>
          <w:sz w:val="24"/>
          <w:szCs w:val="24"/>
          <w:lang w:val="da-DK" w:eastAsia="da-DK"/>
        </w:rPr>
        <w:t>retinalatrofi</w:t>
      </w:r>
      <w:proofErr w:type="spellEnd"/>
      <w:r w:rsidRPr="00082BA2">
        <w:rPr>
          <w:rStyle w:val="FontStyle39"/>
          <w:sz w:val="24"/>
          <w:szCs w:val="24"/>
          <w:lang w:val="da-DK" w:eastAsia="da-DK"/>
        </w:rPr>
        <w:t>. Dette blev ikke set hos aber, hunde eller mus.</w:t>
      </w:r>
    </w:p>
    <w:p w:rsidR="003301D2" w:rsidRPr="00082BA2" w:rsidRDefault="003301D2" w:rsidP="003301D2">
      <w:pPr>
        <w:pStyle w:val="Style25"/>
        <w:widowControl/>
        <w:spacing w:line="240" w:lineRule="auto"/>
        <w:ind w:left="851" w:hanging="851"/>
        <w:rPr>
          <w:lang w:val="da-DK"/>
        </w:rPr>
      </w:pPr>
    </w:p>
    <w:p w:rsidR="003301D2" w:rsidRPr="00082BA2" w:rsidRDefault="003301D2" w:rsidP="003301D2">
      <w:pPr>
        <w:pStyle w:val="Style25"/>
        <w:widowControl/>
        <w:spacing w:line="240" w:lineRule="auto"/>
        <w:ind w:left="851"/>
        <w:jc w:val="left"/>
        <w:rPr>
          <w:rStyle w:val="FontStyle39"/>
          <w:sz w:val="24"/>
          <w:szCs w:val="24"/>
          <w:lang w:val="da-DK" w:eastAsia="da-DK"/>
        </w:rPr>
      </w:pPr>
      <w:r w:rsidRPr="00082BA2">
        <w:rPr>
          <w:rStyle w:val="FontStyle39"/>
          <w:sz w:val="24"/>
          <w:szCs w:val="24"/>
          <w:lang w:val="da-DK" w:eastAsia="da-DK"/>
        </w:rPr>
        <w:t xml:space="preserve">I </w:t>
      </w:r>
      <w:proofErr w:type="spellStart"/>
      <w:r w:rsidRPr="00082BA2">
        <w:rPr>
          <w:rStyle w:val="FontStyle39"/>
          <w:sz w:val="24"/>
          <w:szCs w:val="24"/>
          <w:lang w:val="da-DK" w:eastAsia="da-DK"/>
        </w:rPr>
        <w:t>carcinogenicitetsforsøg</w:t>
      </w:r>
      <w:proofErr w:type="spellEnd"/>
      <w:r w:rsidRPr="00082BA2">
        <w:rPr>
          <w:rStyle w:val="FontStyle39"/>
          <w:sz w:val="24"/>
          <w:szCs w:val="24"/>
          <w:lang w:val="da-DK" w:eastAsia="da-DK"/>
        </w:rPr>
        <w:t xml:space="preserve"> med mus blev der udviklet dosisrelateret gastrisk </w:t>
      </w:r>
      <w:proofErr w:type="spellStart"/>
      <w:r w:rsidRPr="00082BA2">
        <w:rPr>
          <w:rStyle w:val="FontStyle39"/>
          <w:sz w:val="24"/>
          <w:szCs w:val="24"/>
          <w:lang w:val="da-DK" w:eastAsia="da-DK"/>
        </w:rPr>
        <w:t>hyperplasi</w:t>
      </w:r>
      <w:proofErr w:type="spellEnd"/>
      <w:r w:rsidRPr="00082BA2">
        <w:rPr>
          <w:rStyle w:val="FontStyle39"/>
          <w:sz w:val="24"/>
          <w:szCs w:val="24"/>
          <w:lang w:val="da-DK" w:eastAsia="da-DK"/>
        </w:rPr>
        <w:t xml:space="preserve"> i ECL-celler samt levertumorer og </w:t>
      </w:r>
      <w:proofErr w:type="spellStart"/>
      <w:r w:rsidRPr="00082BA2">
        <w:rPr>
          <w:rStyle w:val="FontStyle39"/>
          <w:sz w:val="24"/>
          <w:szCs w:val="24"/>
          <w:lang w:val="da-DK" w:eastAsia="da-DK"/>
        </w:rPr>
        <w:t>adenom</w:t>
      </w:r>
      <w:proofErr w:type="spellEnd"/>
      <w:r w:rsidRPr="00082BA2">
        <w:rPr>
          <w:rStyle w:val="FontStyle39"/>
          <w:sz w:val="24"/>
          <w:szCs w:val="24"/>
          <w:lang w:val="da-DK" w:eastAsia="da-DK"/>
        </w:rPr>
        <w:t xml:space="preserve"> i </w:t>
      </w:r>
      <w:proofErr w:type="spellStart"/>
      <w:r w:rsidRPr="00082BA2">
        <w:rPr>
          <w:rStyle w:val="FontStyle39"/>
          <w:sz w:val="24"/>
          <w:szCs w:val="24"/>
          <w:lang w:val="da-DK" w:eastAsia="da-DK"/>
        </w:rPr>
        <w:t>rete</w:t>
      </w:r>
      <w:proofErr w:type="spellEnd"/>
      <w:r w:rsidRPr="00082BA2">
        <w:rPr>
          <w:rStyle w:val="FontStyle39"/>
          <w:sz w:val="24"/>
          <w:szCs w:val="24"/>
          <w:lang w:val="da-DK" w:eastAsia="da-DK"/>
        </w:rPr>
        <w:t xml:space="preserve"> testis.</w:t>
      </w:r>
    </w:p>
    <w:p w:rsidR="003301D2" w:rsidRPr="00082BA2" w:rsidRDefault="003301D2" w:rsidP="003301D2">
      <w:pPr>
        <w:pStyle w:val="Style14"/>
        <w:widowControl/>
        <w:spacing w:line="240" w:lineRule="auto"/>
        <w:ind w:left="851" w:hanging="851"/>
        <w:rPr>
          <w:lang w:val="da-DK"/>
        </w:rPr>
      </w:pP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Den kliniske relevans af disse fund kendes ikke.</w:t>
      </w:r>
    </w:p>
    <w:p w:rsidR="003301D2" w:rsidRPr="00082BA2" w:rsidRDefault="003301D2" w:rsidP="003301D2">
      <w:pPr>
        <w:ind w:left="851" w:hanging="851"/>
        <w:rPr>
          <w:sz w:val="24"/>
          <w:szCs w:val="24"/>
        </w:rPr>
      </w:pP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1288F" w:rsidRPr="00BA09F1" w:rsidRDefault="00F1288F" w:rsidP="00F1288F">
      <w:pPr>
        <w:tabs>
          <w:tab w:val="left" w:pos="851"/>
        </w:tabs>
        <w:ind w:left="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6.1</w:t>
      </w:r>
      <w:r w:rsidRPr="00C84483">
        <w:rPr>
          <w:b/>
          <w:sz w:val="24"/>
          <w:szCs w:val="24"/>
        </w:rPr>
        <w:tab/>
        <w:t>Hjælpestoffer</w:t>
      </w:r>
    </w:p>
    <w:p w:rsidR="003301D2" w:rsidRPr="00082BA2" w:rsidRDefault="003301D2" w:rsidP="003301D2">
      <w:pPr>
        <w:pStyle w:val="Style3"/>
        <w:widowControl/>
        <w:ind w:left="851" w:hanging="851"/>
        <w:rPr>
          <w:rStyle w:val="FontStyle39"/>
          <w:sz w:val="24"/>
          <w:szCs w:val="24"/>
          <w:lang w:val="da-DK" w:eastAsia="da-DK"/>
        </w:rPr>
      </w:pPr>
      <w:r w:rsidRPr="00082BA2">
        <w:tab/>
      </w:r>
      <w:r w:rsidRPr="00082BA2">
        <w:rPr>
          <w:rStyle w:val="FontStyle39"/>
          <w:sz w:val="24"/>
          <w:szCs w:val="24"/>
          <w:lang w:val="da-DK" w:eastAsia="da-DK"/>
        </w:rPr>
        <w:t>Sukkerkugler (</w:t>
      </w:r>
      <w:proofErr w:type="spellStart"/>
      <w:r w:rsidRPr="00082BA2">
        <w:rPr>
          <w:rStyle w:val="FontStyle39"/>
          <w:sz w:val="24"/>
          <w:szCs w:val="24"/>
          <w:lang w:val="da-DK" w:eastAsia="da-DK"/>
        </w:rPr>
        <w:t>saccharose</w:t>
      </w:r>
      <w:proofErr w:type="spellEnd"/>
      <w:r w:rsidRPr="00082BA2">
        <w:rPr>
          <w:rStyle w:val="FontStyle39"/>
          <w:sz w:val="24"/>
          <w:szCs w:val="24"/>
          <w:lang w:val="da-DK" w:eastAsia="da-DK"/>
        </w:rPr>
        <w:t xml:space="preserve"> og majsstivelse)</w:t>
      </w:r>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Natriumlaurilsulfat</w:t>
      </w:r>
      <w:proofErr w:type="spellEnd"/>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Meglumin</w:t>
      </w:r>
      <w:proofErr w:type="spellEnd"/>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Mannitol</w:t>
      </w:r>
      <w:proofErr w:type="spellEnd"/>
      <w:r w:rsidRPr="00082BA2">
        <w:rPr>
          <w:rStyle w:val="FontStyle39"/>
          <w:sz w:val="24"/>
          <w:szCs w:val="24"/>
          <w:lang w:val="da-DK" w:eastAsia="da-DK"/>
        </w:rPr>
        <w:t xml:space="preserve"> (E421)</w:t>
      </w:r>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Hypromellose</w:t>
      </w:r>
      <w:proofErr w:type="spellEnd"/>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Macrogol</w:t>
      </w:r>
      <w:proofErr w:type="spellEnd"/>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Talcum</w:t>
      </w:r>
      <w:proofErr w:type="spellEnd"/>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Polysorbat</w:t>
      </w:r>
      <w:proofErr w:type="spellEnd"/>
      <w:r w:rsidRPr="00082BA2">
        <w:rPr>
          <w:rStyle w:val="FontStyle39"/>
          <w:sz w:val="24"/>
          <w:szCs w:val="24"/>
          <w:lang w:val="da-DK" w:eastAsia="da-DK"/>
        </w:rPr>
        <w:t xml:space="preserve"> 80</w:t>
      </w:r>
    </w:p>
    <w:p w:rsidR="003301D2" w:rsidRPr="00082BA2" w:rsidRDefault="003301D2" w:rsidP="003301D2">
      <w:pPr>
        <w:pStyle w:val="Style3"/>
        <w:widowControl/>
        <w:ind w:left="851"/>
        <w:rPr>
          <w:rStyle w:val="FontStyle39"/>
          <w:sz w:val="24"/>
          <w:szCs w:val="24"/>
          <w:lang w:val="da-DK" w:eastAsia="da-DK"/>
        </w:rPr>
      </w:pPr>
      <w:r w:rsidRPr="00082BA2">
        <w:rPr>
          <w:rStyle w:val="FontStyle39"/>
          <w:sz w:val="24"/>
          <w:szCs w:val="24"/>
          <w:lang w:val="da-DK" w:eastAsia="da-DK"/>
        </w:rPr>
        <w:t>Titandioxid (E171)</w:t>
      </w:r>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Methacrylsyre-ethylacrylat-copolymer</w:t>
      </w:r>
      <w:proofErr w:type="spellEnd"/>
    </w:p>
    <w:p w:rsidR="009A4822" w:rsidRDefault="009A4822">
      <w:pPr>
        <w:rPr>
          <w:rStyle w:val="FontStyle39"/>
          <w:sz w:val="24"/>
          <w:szCs w:val="24"/>
          <w:lang w:eastAsia="da-DK"/>
        </w:rPr>
      </w:pPr>
      <w:r>
        <w:rPr>
          <w:rStyle w:val="FontStyle39"/>
          <w:sz w:val="24"/>
          <w:szCs w:val="24"/>
          <w:lang w:eastAsia="da-DK"/>
        </w:rPr>
        <w:br w:type="page"/>
      </w:r>
    </w:p>
    <w:p w:rsidR="003301D2" w:rsidRPr="00082BA2" w:rsidRDefault="003301D2" w:rsidP="003301D2">
      <w:pPr>
        <w:pStyle w:val="Style3"/>
        <w:widowControl/>
        <w:ind w:left="851"/>
        <w:rPr>
          <w:rStyle w:val="FontStyle39"/>
          <w:sz w:val="24"/>
          <w:szCs w:val="24"/>
          <w:lang w:val="da-DK" w:eastAsia="da-DK"/>
        </w:rPr>
      </w:pPr>
    </w:p>
    <w:p w:rsidR="003301D2" w:rsidRPr="00082BA2" w:rsidRDefault="003301D2" w:rsidP="003301D2">
      <w:pPr>
        <w:pStyle w:val="Style3"/>
        <w:widowControl/>
        <w:ind w:left="851"/>
        <w:rPr>
          <w:rStyle w:val="FontStyle39"/>
          <w:sz w:val="24"/>
          <w:szCs w:val="24"/>
          <w:u w:val="single"/>
          <w:lang w:val="da-DK" w:eastAsia="da-DK"/>
        </w:rPr>
      </w:pPr>
      <w:r w:rsidRPr="00082BA2">
        <w:rPr>
          <w:rStyle w:val="FontStyle39"/>
          <w:sz w:val="24"/>
          <w:szCs w:val="24"/>
          <w:u w:val="single"/>
          <w:lang w:val="da-DK" w:eastAsia="da-DK"/>
        </w:rPr>
        <w:t>Kapselskal</w:t>
      </w:r>
    </w:p>
    <w:p w:rsidR="003301D2" w:rsidRPr="00082BA2" w:rsidRDefault="003301D2" w:rsidP="003301D2">
      <w:pPr>
        <w:pStyle w:val="Style3"/>
        <w:widowControl/>
        <w:ind w:left="851"/>
        <w:rPr>
          <w:rStyle w:val="FontStyle39"/>
          <w:sz w:val="24"/>
          <w:szCs w:val="24"/>
          <w:lang w:val="da-DK" w:eastAsia="da-DK"/>
        </w:rPr>
      </w:pPr>
      <w:r w:rsidRPr="00082BA2">
        <w:rPr>
          <w:rStyle w:val="FontStyle39"/>
          <w:sz w:val="24"/>
          <w:szCs w:val="24"/>
          <w:lang w:val="da-DK" w:eastAsia="da-DK"/>
        </w:rPr>
        <w:t>Gelatine</w:t>
      </w:r>
    </w:p>
    <w:p w:rsidR="003301D2" w:rsidRPr="00082BA2" w:rsidRDefault="003301D2" w:rsidP="003301D2">
      <w:pPr>
        <w:pStyle w:val="Style3"/>
        <w:widowControl/>
        <w:ind w:left="851"/>
        <w:rPr>
          <w:rStyle w:val="FontStyle39"/>
          <w:sz w:val="24"/>
          <w:szCs w:val="24"/>
          <w:lang w:val="da-DK" w:eastAsia="da-DK"/>
        </w:rPr>
      </w:pPr>
      <w:r w:rsidRPr="00082BA2">
        <w:rPr>
          <w:rStyle w:val="FontStyle39"/>
          <w:sz w:val="24"/>
          <w:szCs w:val="24"/>
          <w:lang w:val="da-DK" w:eastAsia="da-DK"/>
        </w:rPr>
        <w:t>Titandioxid (E171)</w:t>
      </w:r>
    </w:p>
    <w:p w:rsidR="003301D2" w:rsidRPr="00082BA2" w:rsidRDefault="003301D2" w:rsidP="003301D2">
      <w:pPr>
        <w:pStyle w:val="Style3"/>
        <w:widowControl/>
        <w:ind w:left="851"/>
        <w:rPr>
          <w:rStyle w:val="FontStyle39"/>
          <w:sz w:val="24"/>
          <w:szCs w:val="24"/>
          <w:lang w:val="da-DK" w:eastAsia="da-DK"/>
        </w:rPr>
      </w:pPr>
      <w:proofErr w:type="spellStart"/>
      <w:r w:rsidRPr="00082BA2">
        <w:rPr>
          <w:rStyle w:val="FontStyle39"/>
          <w:sz w:val="24"/>
          <w:szCs w:val="24"/>
          <w:lang w:val="da-DK" w:eastAsia="da-DK"/>
        </w:rPr>
        <w:t>Quinolingult</w:t>
      </w:r>
      <w:proofErr w:type="spellEnd"/>
      <w:r w:rsidRPr="00082BA2">
        <w:rPr>
          <w:rStyle w:val="FontStyle39"/>
          <w:sz w:val="24"/>
          <w:szCs w:val="24"/>
          <w:lang w:val="da-DK" w:eastAsia="da-DK"/>
        </w:rPr>
        <w:t xml:space="preserve"> (E104)</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6.2</w:t>
      </w:r>
      <w:r w:rsidRPr="00C84483">
        <w:rPr>
          <w:b/>
          <w:sz w:val="24"/>
          <w:szCs w:val="24"/>
        </w:rPr>
        <w:tab/>
        <w:t>Uforligeligheder</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Ikke relevant.</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6.3</w:t>
      </w:r>
      <w:r w:rsidRPr="00C84483">
        <w:rPr>
          <w:b/>
          <w:sz w:val="24"/>
          <w:szCs w:val="24"/>
        </w:rPr>
        <w:tab/>
        <w:t>Opbevaringstid</w:t>
      </w:r>
    </w:p>
    <w:p w:rsidR="003301D2" w:rsidRPr="00082BA2" w:rsidRDefault="003301D2" w:rsidP="003301D2">
      <w:pPr>
        <w:pStyle w:val="Style14"/>
        <w:widowControl/>
        <w:spacing w:line="240" w:lineRule="auto"/>
        <w:ind w:left="851"/>
        <w:rPr>
          <w:rStyle w:val="FontStyle39"/>
          <w:sz w:val="24"/>
          <w:szCs w:val="24"/>
          <w:lang w:val="da-DK" w:eastAsia="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OPA-Al-PVC/Al blister</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3 år.</w:t>
      </w:r>
    </w:p>
    <w:p w:rsidR="003301D2" w:rsidRPr="00082BA2" w:rsidRDefault="003301D2" w:rsidP="003301D2">
      <w:pPr>
        <w:pStyle w:val="Style14"/>
        <w:widowControl/>
        <w:spacing w:line="240" w:lineRule="auto"/>
        <w:ind w:left="851"/>
        <w:rPr>
          <w:rStyle w:val="FontStyle39"/>
          <w:sz w:val="24"/>
          <w:szCs w:val="24"/>
          <w:lang w:val="da-DK" w:eastAsia="da-DK"/>
        </w:rPr>
      </w:pPr>
    </w:p>
    <w:p w:rsidR="003301D2" w:rsidRPr="00082BA2" w:rsidRDefault="003301D2" w:rsidP="003301D2">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HDPE-beholder</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4 år.</w:t>
      </w:r>
    </w:p>
    <w:p w:rsidR="003301D2" w:rsidRPr="00082BA2" w:rsidRDefault="003301D2" w:rsidP="003301D2">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Efter åbning: 6 måneder.</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301D2" w:rsidRPr="00082BA2" w:rsidRDefault="003301D2" w:rsidP="003301D2">
      <w:pPr>
        <w:pStyle w:val="Style3"/>
        <w:widowControl/>
        <w:ind w:left="851"/>
        <w:rPr>
          <w:rStyle w:val="FontStyle39"/>
          <w:sz w:val="24"/>
          <w:szCs w:val="24"/>
          <w:lang w:val="da-DK" w:eastAsia="da-DK"/>
        </w:rPr>
      </w:pPr>
    </w:p>
    <w:p w:rsidR="003301D2" w:rsidRPr="00082BA2" w:rsidRDefault="003301D2" w:rsidP="00DB0F74">
      <w:pPr>
        <w:pStyle w:val="Style3"/>
        <w:widowControl/>
        <w:ind w:left="851"/>
        <w:jc w:val="left"/>
        <w:rPr>
          <w:rStyle w:val="FontStyle39"/>
          <w:sz w:val="24"/>
          <w:szCs w:val="24"/>
          <w:u w:val="single"/>
          <w:lang w:val="da-DK" w:eastAsia="da-DK"/>
        </w:rPr>
      </w:pPr>
      <w:r w:rsidRPr="00082BA2">
        <w:rPr>
          <w:rStyle w:val="FontStyle39"/>
          <w:sz w:val="24"/>
          <w:szCs w:val="24"/>
          <w:u w:val="single"/>
          <w:lang w:val="da-DK" w:eastAsia="da-DK"/>
        </w:rPr>
        <w:t>OPA-Al-PVC/Al blister</w:t>
      </w:r>
    </w:p>
    <w:p w:rsidR="003301D2" w:rsidRPr="00DB0F74" w:rsidRDefault="003301D2" w:rsidP="00DB0F74">
      <w:pPr>
        <w:pStyle w:val="Style3"/>
        <w:widowControl/>
        <w:ind w:left="851"/>
        <w:jc w:val="left"/>
        <w:rPr>
          <w:rStyle w:val="FontStyle38"/>
          <w:b w:val="0"/>
          <w:sz w:val="24"/>
          <w:szCs w:val="24"/>
          <w:lang w:val="da-DK" w:eastAsia="da-DK"/>
        </w:rPr>
      </w:pPr>
      <w:r w:rsidRPr="00082BA2">
        <w:rPr>
          <w:rStyle w:val="FontStyle39"/>
          <w:sz w:val="24"/>
          <w:szCs w:val="24"/>
          <w:lang w:val="da-DK" w:eastAsia="da-DK"/>
        </w:rPr>
        <w:t>Må ikke opbevares ved temperaturer over 30 °C.</w:t>
      </w:r>
    </w:p>
    <w:p w:rsidR="003301D2" w:rsidRPr="00082BA2" w:rsidRDefault="003301D2" w:rsidP="00DB0F74">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Opbevares i den originale yderpakning for at beskytte mod fugt.</w:t>
      </w:r>
    </w:p>
    <w:p w:rsidR="003301D2" w:rsidRPr="00082BA2" w:rsidRDefault="003301D2" w:rsidP="00DB0F74">
      <w:pPr>
        <w:pStyle w:val="Style14"/>
        <w:widowControl/>
        <w:spacing w:line="240" w:lineRule="auto"/>
        <w:ind w:left="851" w:hanging="851"/>
        <w:rPr>
          <w:rStyle w:val="FontStyle39"/>
          <w:sz w:val="24"/>
          <w:szCs w:val="24"/>
          <w:lang w:val="da-DK" w:eastAsia="da-DK"/>
        </w:rPr>
      </w:pPr>
    </w:p>
    <w:p w:rsidR="003301D2" w:rsidRPr="00082BA2" w:rsidRDefault="003301D2" w:rsidP="00DB0F74">
      <w:pPr>
        <w:pStyle w:val="Style14"/>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HDPE-beholder</w:t>
      </w:r>
    </w:p>
    <w:p w:rsidR="003301D2" w:rsidRPr="00082BA2" w:rsidRDefault="003301D2" w:rsidP="00DB0F74">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Må ikke opbevares ved temperaturer over 30 °C.</w:t>
      </w:r>
    </w:p>
    <w:p w:rsidR="003301D2" w:rsidRPr="00082BA2" w:rsidRDefault="003301D2" w:rsidP="00DB0F74">
      <w:pPr>
        <w:pStyle w:val="Style14"/>
        <w:widowControl/>
        <w:spacing w:line="240" w:lineRule="auto"/>
        <w:ind w:left="851"/>
        <w:rPr>
          <w:rStyle w:val="FontStyle39"/>
          <w:sz w:val="24"/>
          <w:szCs w:val="24"/>
          <w:lang w:val="da-DK" w:eastAsia="da-DK"/>
        </w:rPr>
      </w:pPr>
      <w:r w:rsidRPr="00082BA2">
        <w:rPr>
          <w:rStyle w:val="FontStyle39"/>
          <w:sz w:val="24"/>
          <w:szCs w:val="24"/>
          <w:lang w:val="da-DK" w:eastAsia="da-DK"/>
        </w:rPr>
        <w:t>Hold beholderen tæt tillukket for at beskytte mod fugt.</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301D2" w:rsidRPr="00082BA2" w:rsidRDefault="003301D2" w:rsidP="003301D2">
      <w:pPr>
        <w:pStyle w:val="Style19"/>
        <w:widowControl/>
        <w:spacing w:line="240" w:lineRule="auto"/>
        <w:ind w:left="851"/>
        <w:rPr>
          <w:rStyle w:val="FontStyle39"/>
          <w:sz w:val="24"/>
          <w:szCs w:val="24"/>
          <w:lang w:val="da-DK" w:eastAsia="da-DK"/>
        </w:rPr>
      </w:pPr>
    </w:p>
    <w:p w:rsidR="003301D2" w:rsidRPr="00082BA2" w:rsidRDefault="003301D2" w:rsidP="003301D2">
      <w:pPr>
        <w:pStyle w:val="Style19"/>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OPA-Al-PVC/Al blister</w:t>
      </w:r>
    </w:p>
    <w:p w:rsidR="003301D2" w:rsidRPr="00082BA2" w:rsidRDefault="003301D2" w:rsidP="003301D2">
      <w:pPr>
        <w:pStyle w:val="Style19"/>
        <w:widowControl/>
        <w:spacing w:line="240" w:lineRule="auto"/>
        <w:ind w:left="851"/>
        <w:rPr>
          <w:rStyle w:val="FontStyle39"/>
          <w:sz w:val="24"/>
          <w:szCs w:val="24"/>
          <w:lang w:val="da-DK" w:eastAsia="da-DK"/>
        </w:rPr>
      </w:pPr>
      <w:r w:rsidRPr="00082BA2">
        <w:rPr>
          <w:rStyle w:val="FontStyle39"/>
          <w:sz w:val="24"/>
          <w:szCs w:val="24"/>
          <w:lang w:val="da-DK" w:eastAsia="da-DK"/>
        </w:rPr>
        <w:t>Pakningsstørrelser: 14, 28, 30, 35 og 56 stk.</w:t>
      </w:r>
    </w:p>
    <w:p w:rsidR="003301D2" w:rsidRPr="00082BA2" w:rsidRDefault="003301D2" w:rsidP="003301D2">
      <w:pPr>
        <w:pStyle w:val="Style19"/>
        <w:widowControl/>
        <w:spacing w:line="240" w:lineRule="auto"/>
        <w:ind w:left="851"/>
        <w:rPr>
          <w:rStyle w:val="FontStyle39"/>
          <w:sz w:val="24"/>
          <w:szCs w:val="24"/>
          <w:lang w:val="da-DK" w:eastAsia="da-DK"/>
        </w:rPr>
      </w:pPr>
    </w:p>
    <w:p w:rsidR="003301D2" w:rsidRPr="00082BA2" w:rsidRDefault="003301D2" w:rsidP="003301D2">
      <w:pPr>
        <w:pStyle w:val="Style19"/>
        <w:widowControl/>
        <w:spacing w:line="240" w:lineRule="auto"/>
        <w:ind w:left="851"/>
        <w:rPr>
          <w:rStyle w:val="FontStyle39"/>
          <w:sz w:val="24"/>
          <w:szCs w:val="24"/>
          <w:u w:val="single"/>
          <w:lang w:val="da-DK" w:eastAsia="da-DK"/>
        </w:rPr>
      </w:pPr>
      <w:r w:rsidRPr="00082BA2">
        <w:rPr>
          <w:rStyle w:val="FontStyle39"/>
          <w:sz w:val="24"/>
          <w:szCs w:val="24"/>
          <w:u w:val="single"/>
          <w:lang w:val="da-DK" w:eastAsia="da-DK"/>
        </w:rPr>
        <w:t xml:space="preserve">HDPE-beholder med </w:t>
      </w:r>
      <w:proofErr w:type="spellStart"/>
      <w:r w:rsidRPr="00082BA2">
        <w:rPr>
          <w:rStyle w:val="FontStyle39"/>
          <w:sz w:val="24"/>
          <w:szCs w:val="24"/>
          <w:u w:val="single"/>
          <w:lang w:val="da-DK" w:eastAsia="da-DK"/>
        </w:rPr>
        <w:t>silicagel</w:t>
      </w:r>
      <w:proofErr w:type="spellEnd"/>
      <w:r w:rsidRPr="00082BA2">
        <w:rPr>
          <w:rStyle w:val="FontStyle39"/>
          <w:sz w:val="24"/>
          <w:szCs w:val="24"/>
          <w:u w:val="single"/>
          <w:lang w:val="da-DK" w:eastAsia="da-DK"/>
        </w:rPr>
        <w:t xml:space="preserve"> tørremiddel indeholdt i polypropylenlåget</w:t>
      </w:r>
    </w:p>
    <w:p w:rsidR="003301D2" w:rsidRPr="00082BA2" w:rsidRDefault="003301D2" w:rsidP="003301D2">
      <w:pPr>
        <w:pStyle w:val="Style19"/>
        <w:widowControl/>
        <w:spacing w:line="240" w:lineRule="auto"/>
        <w:ind w:left="851"/>
        <w:rPr>
          <w:rStyle w:val="FontStyle39"/>
          <w:sz w:val="24"/>
          <w:szCs w:val="24"/>
          <w:lang w:val="da-DK" w:eastAsia="da-DK"/>
        </w:rPr>
      </w:pPr>
      <w:r w:rsidRPr="00082BA2">
        <w:rPr>
          <w:rStyle w:val="FontStyle39"/>
          <w:sz w:val="24"/>
          <w:szCs w:val="24"/>
          <w:lang w:val="da-DK" w:eastAsia="da-DK"/>
        </w:rPr>
        <w:t>Pakningsstørrelser: 14, 28 og 56 stk.</w:t>
      </w:r>
    </w:p>
    <w:p w:rsidR="003301D2" w:rsidRPr="00082BA2" w:rsidRDefault="003301D2" w:rsidP="003301D2">
      <w:pPr>
        <w:pStyle w:val="Style19"/>
        <w:widowControl/>
        <w:spacing w:line="240" w:lineRule="auto"/>
        <w:ind w:left="851" w:hanging="851"/>
        <w:rPr>
          <w:rStyle w:val="FontStyle39"/>
          <w:sz w:val="24"/>
          <w:szCs w:val="24"/>
          <w:lang w:val="da-DK" w:eastAsia="da-DK"/>
        </w:rPr>
      </w:pPr>
    </w:p>
    <w:p w:rsidR="003301D2" w:rsidRPr="00082BA2" w:rsidRDefault="003301D2" w:rsidP="003301D2">
      <w:pPr>
        <w:pStyle w:val="Style19"/>
        <w:widowControl/>
        <w:spacing w:line="240" w:lineRule="auto"/>
        <w:ind w:left="851"/>
        <w:rPr>
          <w:rStyle w:val="FontStyle39"/>
          <w:sz w:val="24"/>
          <w:szCs w:val="24"/>
          <w:lang w:val="da-DK" w:eastAsia="da-DK"/>
        </w:rPr>
      </w:pPr>
      <w:r w:rsidRPr="00082BA2">
        <w:rPr>
          <w:rStyle w:val="FontStyle39"/>
          <w:sz w:val="24"/>
          <w:szCs w:val="24"/>
          <w:lang w:val="da-DK" w:eastAsia="da-DK"/>
        </w:rPr>
        <w:t>Ikke alle pakningsstørrelser er nødvendigvis markedsført.</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301D2" w:rsidRPr="00082BA2" w:rsidRDefault="003301D2" w:rsidP="003301D2">
      <w:pPr>
        <w:pStyle w:val="Style3"/>
        <w:widowControl/>
        <w:ind w:left="851" w:hanging="851"/>
        <w:rPr>
          <w:rStyle w:val="FontStyle39"/>
          <w:sz w:val="24"/>
          <w:szCs w:val="24"/>
          <w:lang w:val="da-DK" w:eastAsia="da-DK"/>
        </w:rPr>
      </w:pPr>
      <w:r w:rsidRPr="00082BA2">
        <w:tab/>
      </w:r>
      <w:r w:rsidRPr="00082BA2">
        <w:rPr>
          <w:rStyle w:val="FontStyle39"/>
          <w:sz w:val="24"/>
          <w:szCs w:val="24"/>
          <w:lang w:val="da-DK" w:eastAsia="da-DK"/>
        </w:rPr>
        <w:t>Ingen særlige forholdsregler.</w:t>
      </w:r>
    </w:p>
    <w:p w:rsidR="003301D2" w:rsidRPr="00082BA2" w:rsidRDefault="003301D2" w:rsidP="003301D2">
      <w:pPr>
        <w:ind w:left="851" w:hanging="851"/>
        <w:jc w:val="both"/>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301D2" w:rsidRPr="00082BA2" w:rsidRDefault="003301D2" w:rsidP="003301D2">
      <w:pPr>
        <w:ind w:left="851"/>
        <w:rPr>
          <w:bCs/>
          <w:iCs/>
          <w:sz w:val="24"/>
          <w:szCs w:val="24"/>
        </w:rPr>
      </w:pPr>
      <w:r w:rsidRPr="00082BA2">
        <w:rPr>
          <w:bCs/>
          <w:iCs/>
          <w:sz w:val="24"/>
          <w:szCs w:val="24"/>
        </w:rPr>
        <w:t>Medical Valley Invest AB</w:t>
      </w:r>
    </w:p>
    <w:p w:rsidR="003301D2" w:rsidRPr="00082BA2" w:rsidRDefault="003301D2" w:rsidP="003301D2">
      <w:pPr>
        <w:ind w:left="851"/>
        <w:rPr>
          <w:bCs/>
          <w:iCs/>
          <w:sz w:val="24"/>
          <w:szCs w:val="24"/>
        </w:rPr>
      </w:pPr>
      <w:proofErr w:type="spellStart"/>
      <w:r w:rsidRPr="00082BA2">
        <w:rPr>
          <w:bCs/>
          <w:iCs/>
          <w:sz w:val="24"/>
          <w:szCs w:val="24"/>
        </w:rPr>
        <w:t>Brädgårdsvägen</w:t>
      </w:r>
      <w:proofErr w:type="spellEnd"/>
      <w:r w:rsidRPr="00082BA2">
        <w:rPr>
          <w:bCs/>
          <w:iCs/>
          <w:sz w:val="24"/>
          <w:szCs w:val="24"/>
        </w:rPr>
        <w:t xml:space="preserve"> 28</w:t>
      </w:r>
    </w:p>
    <w:p w:rsidR="003301D2" w:rsidRPr="00082BA2" w:rsidRDefault="003301D2" w:rsidP="003301D2">
      <w:pPr>
        <w:ind w:left="851"/>
        <w:rPr>
          <w:bCs/>
          <w:iCs/>
          <w:sz w:val="24"/>
          <w:szCs w:val="24"/>
        </w:rPr>
      </w:pPr>
      <w:r w:rsidRPr="00082BA2">
        <w:rPr>
          <w:bCs/>
          <w:iCs/>
          <w:sz w:val="24"/>
          <w:szCs w:val="24"/>
        </w:rPr>
        <w:t xml:space="preserve">236 32 </w:t>
      </w:r>
      <w:proofErr w:type="spellStart"/>
      <w:r w:rsidRPr="00082BA2">
        <w:rPr>
          <w:bCs/>
          <w:iCs/>
          <w:sz w:val="24"/>
          <w:szCs w:val="24"/>
        </w:rPr>
        <w:t>Höllviken</w:t>
      </w:r>
      <w:proofErr w:type="spellEnd"/>
    </w:p>
    <w:p w:rsidR="003301D2" w:rsidRPr="00082BA2" w:rsidRDefault="003301D2" w:rsidP="003301D2">
      <w:pPr>
        <w:ind w:left="851"/>
        <w:rPr>
          <w:bCs/>
          <w:iCs/>
          <w:sz w:val="24"/>
          <w:szCs w:val="24"/>
        </w:rPr>
      </w:pPr>
      <w:r w:rsidRPr="00082BA2">
        <w:rPr>
          <w:bCs/>
          <w:iCs/>
          <w:sz w:val="24"/>
          <w:szCs w:val="24"/>
        </w:rPr>
        <w:t>Sverige</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301D2" w:rsidRPr="00082BA2" w:rsidRDefault="003301D2" w:rsidP="003301D2">
      <w:pPr>
        <w:ind w:left="851" w:hanging="851"/>
        <w:jc w:val="both"/>
        <w:rPr>
          <w:sz w:val="24"/>
          <w:szCs w:val="24"/>
        </w:rPr>
      </w:pPr>
      <w:r w:rsidRPr="00082BA2">
        <w:rPr>
          <w:sz w:val="24"/>
          <w:szCs w:val="24"/>
        </w:rPr>
        <w:tab/>
        <w:t>46606</w:t>
      </w:r>
    </w:p>
    <w:p w:rsidR="009A4822" w:rsidRDefault="009A4822">
      <w:pPr>
        <w:rPr>
          <w:sz w:val="24"/>
          <w:szCs w:val="24"/>
        </w:rPr>
      </w:pPr>
      <w:r>
        <w:rPr>
          <w:sz w:val="24"/>
          <w:szCs w:val="24"/>
        </w:rPr>
        <w:br w:type="page"/>
      </w:r>
    </w:p>
    <w:p w:rsidR="003301D2" w:rsidRPr="00082BA2" w:rsidRDefault="003301D2" w:rsidP="003301D2">
      <w:pPr>
        <w:ind w:left="851" w:hanging="851"/>
        <w:jc w:val="both"/>
        <w:rPr>
          <w:sz w:val="24"/>
          <w:szCs w:val="24"/>
        </w:rPr>
      </w:pPr>
      <w:bookmarkStart w:id="0" w:name="_GoBack"/>
      <w:bookmarkEnd w:id="0"/>
    </w:p>
    <w:p w:rsidR="00F1288F" w:rsidRPr="00C84483" w:rsidRDefault="00F1288F" w:rsidP="00F1288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301D2" w:rsidRPr="00082BA2" w:rsidRDefault="003301D2" w:rsidP="003301D2">
      <w:pPr>
        <w:ind w:left="851" w:hanging="851"/>
        <w:rPr>
          <w:sz w:val="24"/>
          <w:szCs w:val="24"/>
        </w:rPr>
      </w:pPr>
      <w:r w:rsidRPr="00082BA2">
        <w:rPr>
          <w:sz w:val="24"/>
          <w:szCs w:val="24"/>
        </w:rPr>
        <w:tab/>
        <w:t>20. juni 2012</w:t>
      </w:r>
    </w:p>
    <w:p w:rsidR="003301D2" w:rsidRPr="00082BA2" w:rsidRDefault="003301D2" w:rsidP="003301D2">
      <w:pPr>
        <w:ind w:left="851" w:hanging="851"/>
        <w:rPr>
          <w:sz w:val="24"/>
          <w:szCs w:val="24"/>
        </w:rPr>
      </w:pPr>
    </w:p>
    <w:p w:rsidR="00F1288F" w:rsidRPr="00C84483" w:rsidRDefault="00F1288F" w:rsidP="00F1288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082BA2" w:rsidRDefault="003301D2" w:rsidP="00F1288F">
      <w:pPr>
        <w:ind w:left="851" w:hanging="851"/>
        <w:rPr>
          <w:sz w:val="24"/>
          <w:szCs w:val="24"/>
        </w:rPr>
      </w:pPr>
      <w:r w:rsidRPr="00082BA2">
        <w:rPr>
          <w:sz w:val="24"/>
          <w:szCs w:val="24"/>
        </w:rPr>
        <w:tab/>
      </w:r>
      <w:r w:rsidR="00F1288F">
        <w:rPr>
          <w:sz w:val="24"/>
          <w:szCs w:val="24"/>
        </w:rPr>
        <w:t>2. februar 2023</w:t>
      </w:r>
    </w:p>
    <w:sectPr w:rsidR="009260DE" w:rsidRPr="00082B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1D2" w:rsidRDefault="003301D2">
      <w:r>
        <w:separator/>
      </w:r>
    </w:p>
  </w:endnote>
  <w:endnote w:type="continuationSeparator" w:id="0">
    <w:p w:rsidR="003301D2" w:rsidRDefault="0033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96679">
      <w:rPr>
        <w:i/>
        <w:noProof/>
        <w:sz w:val="18"/>
        <w:szCs w:val="18"/>
      </w:rPr>
      <w:t>Lansoprazol Medical Valley, hårde enterokapsler 15 mg, til og med 56 stk.docx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1D2" w:rsidRDefault="003301D2">
      <w:r>
        <w:separator/>
      </w:r>
    </w:p>
  </w:footnote>
  <w:footnote w:type="continuationSeparator" w:id="0">
    <w:p w:rsidR="003301D2" w:rsidRDefault="0033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1D2"/>
    <w:rsid w:val="000259B9"/>
    <w:rsid w:val="00041491"/>
    <w:rsid w:val="00050D16"/>
    <w:rsid w:val="00074F2A"/>
    <w:rsid w:val="00082BA2"/>
    <w:rsid w:val="000A1CA8"/>
    <w:rsid w:val="000A466B"/>
    <w:rsid w:val="000B058C"/>
    <w:rsid w:val="000E4EE6"/>
    <w:rsid w:val="001454E2"/>
    <w:rsid w:val="00206CE8"/>
    <w:rsid w:val="0021526C"/>
    <w:rsid w:val="00283A2B"/>
    <w:rsid w:val="002B30AD"/>
    <w:rsid w:val="002C2C01"/>
    <w:rsid w:val="003301D2"/>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753D2"/>
    <w:rsid w:val="00907F75"/>
    <w:rsid w:val="009260DE"/>
    <w:rsid w:val="0093258A"/>
    <w:rsid w:val="009A4822"/>
    <w:rsid w:val="009C7BA3"/>
    <w:rsid w:val="009D1F5A"/>
    <w:rsid w:val="00B003BF"/>
    <w:rsid w:val="00B23362"/>
    <w:rsid w:val="00B373D7"/>
    <w:rsid w:val="00B81AD8"/>
    <w:rsid w:val="00C36276"/>
    <w:rsid w:val="00C42586"/>
    <w:rsid w:val="00C60CCD"/>
    <w:rsid w:val="00C84483"/>
    <w:rsid w:val="00C95551"/>
    <w:rsid w:val="00CB20D7"/>
    <w:rsid w:val="00D020B0"/>
    <w:rsid w:val="00D11748"/>
    <w:rsid w:val="00D366CF"/>
    <w:rsid w:val="00DB0F74"/>
    <w:rsid w:val="00DE792D"/>
    <w:rsid w:val="00E108AA"/>
    <w:rsid w:val="00E31812"/>
    <w:rsid w:val="00E3749A"/>
    <w:rsid w:val="00E7437F"/>
    <w:rsid w:val="00E865B8"/>
    <w:rsid w:val="00EC020E"/>
    <w:rsid w:val="00EC0B9B"/>
    <w:rsid w:val="00ED5E9F"/>
    <w:rsid w:val="00F1288F"/>
    <w:rsid w:val="00F66D4F"/>
    <w:rsid w:val="00F966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2D37C4"/>
  <w15:chartTrackingRefBased/>
  <w15:docId w15:val="{6405AC19-129B-4BD8-A6BF-4475D00A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Style25">
    <w:name w:val="Style25"/>
    <w:basedOn w:val="Normal"/>
    <w:uiPriority w:val="99"/>
    <w:rsid w:val="003301D2"/>
    <w:pPr>
      <w:widowControl w:val="0"/>
      <w:autoSpaceDE w:val="0"/>
      <w:autoSpaceDN w:val="0"/>
      <w:adjustRightInd w:val="0"/>
      <w:spacing w:line="252" w:lineRule="exact"/>
      <w:jc w:val="both"/>
    </w:pPr>
    <w:rPr>
      <w:sz w:val="24"/>
      <w:szCs w:val="24"/>
      <w:lang w:val="es-ES" w:eastAsia="es-ES"/>
    </w:rPr>
  </w:style>
  <w:style w:type="paragraph" w:customStyle="1" w:styleId="Style29">
    <w:name w:val="Style29"/>
    <w:basedOn w:val="Normal"/>
    <w:uiPriority w:val="99"/>
    <w:rsid w:val="003301D2"/>
    <w:pPr>
      <w:widowControl w:val="0"/>
      <w:autoSpaceDE w:val="0"/>
      <w:autoSpaceDN w:val="0"/>
      <w:adjustRightInd w:val="0"/>
    </w:pPr>
    <w:rPr>
      <w:sz w:val="24"/>
      <w:szCs w:val="24"/>
      <w:lang w:val="es-ES" w:eastAsia="es-ES"/>
    </w:rPr>
  </w:style>
  <w:style w:type="character" w:customStyle="1" w:styleId="FontStyle39">
    <w:name w:val="Font Style39"/>
    <w:rsid w:val="003301D2"/>
    <w:rPr>
      <w:rFonts w:ascii="Times New Roman" w:hAnsi="Times New Roman" w:cs="Times New Roman"/>
      <w:color w:val="000000"/>
      <w:sz w:val="20"/>
      <w:szCs w:val="20"/>
    </w:rPr>
  </w:style>
  <w:style w:type="paragraph" w:customStyle="1" w:styleId="Style1">
    <w:name w:val="Style1"/>
    <w:basedOn w:val="Normal"/>
    <w:uiPriority w:val="99"/>
    <w:rsid w:val="003301D2"/>
    <w:pPr>
      <w:widowControl w:val="0"/>
      <w:autoSpaceDE w:val="0"/>
      <w:autoSpaceDN w:val="0"/>
      <w:adjustRightInd w:val="0"/>
      <w:spacing w:line="259" w:lineRule="exact"/>
      <w:ind w:hanging="528"/>
    </w:pPr>
    <w:rPr>
      <w:sz w:val="24"/>
      <w:szCs w:val="24"/>
      <w:lang w:val="es-ES" w:eastAsia="es-ES"/>
    </w:rPr>
  </w:style>
  <w:style w:type="paragraph" w:customStyle="1" w:styleId="Style3">
    <w:name w:val="Style3"/>
    <w:basedOn w:val="Normal"/>
    <w:uiPriority w:val="99"/>
    <w:rsid w:val="003301D2"/>
    <w:pPr>
      <w:widowControl w:val="0"/>
      <w:autoSpaceDE w:val="0"/>
      <w:autoSpaceDN w:val="0"/>
      <w:adjustRightInd w:val="0"/>
      <w:jc w:val="both"/>
    </w:pPr>
    <w:rPr>
      <w:sz w:val="24"/>
      <w:szCs w:val="24"/>
      <w:lang w:val="es-ES" w:eastAsia="es-ES"/>
    </w:rPr>
  </w:style>
  <w:style w:type="character" w:customStyle="1" w:styleId="FontStyle38">
    <w:name w:val="Font Style38"/>
    <w:uiPriority w:val="99"/>
    <w:rsid w:val="003301D2"/>
    <w:rPr>
      <w:rFonts w:ascii="Times New Roman" w:hAnsi="Times New Roman" w:cs="Times New Roman"/>
      <w:b/>
      <w:bCs/>
      <w:color w:val="000000"/>
      <w:sz w:val="20"/>
      <w:szCs w:val="20"/>
    </w:rPr>
  </w:style>
  <w:style w:type="paragraph" w:customStyle="1" w:styleId="Style14">
    <w:name w:val="Style14"/>
    <w:basedOn w:val="Normal"/>
    <w:uiPriority w:val="99"/>
    <w:rsid w:val="003301D2"/>
    <w:pPr>
      <w:widowControl w:val="0"/>
      <w:autoSpaceDE w:val="0"/>
      <w:autoSpaceDN w:val="0"/>
      <w:adjustRightInd w:val="0"/>
      <w:spacing w:line="252" w:lineRule="exact"/>
    </w:pPr>
    <w:rPr>
      <w:sz w:val="24"/>
      <w:szCs w:val="24"/>
      <w:lang w:val="es-ES" w:eastAsia="es-ES"/>
    </w:rPr>
  </w:style>
  <w:style w:type="paragraph" w:customStyle="1" w:styleId="Style19">
    <w:name w:val="Style19"/>
    <w:basedOn w:val="Normal"/>
    <w:uiPriority w:val="99"/>
    <w:rsid w:val="003301D2"/>
    <w:pPr>
      <w:widowControl w:val="0"/>
      <w:autoSpaceDE w:val="0"/>
      <w:autoSpaceDN w:val="0"/>
      <w:adjustRightInd w:val="0"/>
      <w:spacing w:line="504" w:lineRule="exact"/>
    </w:pPr>
    <w:rPr>
      <w:sz w:val="24"/>
      <w:szCs w:val="24"/>
      <w:lang w:val="es-ES" w:eastAsia="es-ES"/>
    </w:rPr>
  </w:style>
  <w:style w:type="character" w:customStyle="1" w:styleId="FontStyle36">
    <w:name w:val="Font Style36"/>
    <w:uiPriority w:val="99"/>
    <w:rsid w:val="003301D2"/>
    <w:rPr>
      <w:rFonts w:ascii="Times New Roman" w:hAnsi="Times New Roman" w:cs="Times New Roman"/>
      <w:i/>
      <w:iCs/>
      <w:color w:val="000000"/>
      <w:sz w:val="20"/>
      <w:szCs w:val="20"/>
    </w:rPr>
  </w:style>
  <w:style w:type="paragraph" w:customStyle="1" w:styleId="Style12">
    <w:name w:val="Style12"/>
    <w:basedOn w:val="Normal"/>
    <w:uiPriority w:val="99"/>
    <w:rsid w:val="003301D2"/>
    <w:pPr>
      <w:widowControl w:val="0"/>
      <w:autoSpaceDE w:val="0"/>
      <w:autoSpaceDN w:val="0"/>
      <w:adjustRightInd w:val="0"/>
      <w:spacing w:line="504" w:lineRule="exact"/>
      <w:jc w:val="both"/>
    </w:pPr>
    <w:rPr>
      <w:sz w:val="24"/>
      <w:szCs w:val="24"/>
      <w:lang w:val="es-ES" w:eastAsia="es-ES"/>
    </w:rPr>
  </w:style>
  <w:style w:type="paragraph" w:customStyle="1" w:styleId="Style17">
    <w:name w:val="Style17"/>
    <w:basedOn w:val="Normal"/>
    <w:uiPriority w:val="99"/>
    <w:rsid w:val="003301D2"/>
    <w:pPr>
      <w:widowControl w:val="0"/>
      <w:autoSpaceDE w:val="0"/>
      <w:autoSpaceDN w:val="0"/>
      <w:adjustRightInd w:val="0"/>
      <w:spacing w:line="504" w:lineRule="exact"/>
    </w:pPr>
    <w:rPr>
      <w:sz w:val="24"/>
      <w:szCs w:val="24"/>
      <w:lang w:val="es-ES" w:eastAsia="es-ES"/>
    </w:rPr>
  </w:style>
  <w:style w:type="paragraph" w:customStyle="1" w:styleId="Style23">
    <w:name w:val="Style23"/>
    <w:basedOn w:val="Normal"/>
    <w:uiPriority w:val="99"/>
    <w:rsid w:val="003301D2"/>
    <w:pPr>
      <w:widowControl w:val="0"/>
      <w:autoSpaceDE w:val="0"/>
      <w:autoSpaceDN w:val="0"/>
      <w:adjustRightInd w:val="0"/>
      <w:jc w:val="center"/>
    </w:pPr>
    <w:rPr>
      <w:sz w:val="24"/>
      <w:szCs w:val="24"/>
      <w:lang w:val="es-ES" w:eastAsia="es-ES"/>
    </w:rPr>
  </w:style>
  <w:style w:type="paragraph" w:customStyle="1" w:styleId="Style9">
    <w:name w:val="Style9"/>
    <w:basedOn w:val="Normal"/>
    <w:uiPriority w:val="99"/>
    <w:rsid w:val="003301D2"/>
    <w:pPr>
      <w:widowControl w:val="0"/>
      <w:autoSpaceDE w:val="0"/>
      <w:autoSpaceDN w:val="0"/>
      <w:adjustRightInd w:val="0"/>
    </w:pPr>
    <w:rPr>
      <w:sz w:val="24"/>
      <w:szCs w:val="24"/>
      <w:lang w:val="es-ES" w:eastAsia="es-ES"/>
    </w:rPr>
  </w:style>
  <w:style w:type="paragraph" w:customStyle="1" w:styleId="Style15">
    <w:name w:val="Style15"/>
    <w:basedOn w:val="Normal"/>
    <w:uiPriority w:val="99"/>
    <w:rsid w:val="003301D2"/>
    <w:pPr>
      <w:widowControl w:val="0"/>
      <w:autoSpaceDE w:val="0"/>
      <w:autoSpaceDN w:val="0"/>
      <w:adjustRightInd w:val="0"/>
      <w:spacing w:line="254" w:lineRule="exact"/>
    </w:pPr>
    <w:rPr>
      <w:sz w:val="24"/>
      <w:szCs w:val="24"/>
      <w:lang w:val="es-ES" w:eastAsia="es-ES"/>
    </w:rPr>
  </w:style>
  <w:style w:type="paragraph" w:customStyle="1" w:styleId="Style16">
    <w:name w:val="Style16"/>
    <w:basedOn w:val="Normal"/>
    <w:uiPriority w:val="99"/>
    <w:rsid w:val="003301D2"/>
    <w:pPr>
      <w:widowControl w:val="0"/>
      <w:autoSpaceDE w:val="0"/>
      <w:autoSpaceDN w:val="0"/>
      <w:adjustRightInd w:val="0"/>
      <w:spacing w:line="254" w:lineRule="exact"/>
    </w:pPr>
    <w:rPr>
      <w:sz w:val="24"/>
      <w:szCs w:val="24"/>
      <w:lang w:val="es-ES" w:eastAsia="es-ES"/>
    </w:rPr>
  </w:style>
  <w:style w:type="character" w:styleId="Hyperlink">
    <w:name w:val="Hyperlink"/>
    <w:basedOn w:val="Standardskrifttypeiafsnit"/>
    <w:uiPriority w:val="99"/>
    <w:unhideWhenUsed/>
    <w:rsid w:val="00F12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11</Pages>
  <Words>2701</Words>
  <Characters>17922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2022123287, var. 27, pkt. 4.4 og 4.8 (psusa)</dc:description>
  <cp:lastModifiedBy>Gitte Jørgensen</cp:lastModifiedBy>
  <cp:revision>10</cp:revision>
  <cp:lastPrinted>2012-08-22T08:53:00Z</cp:lastPrinted>
  <dcterms:created xsi:type="dcterms:W3CDTF">2023-02-02T08:48:00Z</dcterms:created>
  <dcterms:modified xsi:type="dcterms:W3CDTF">2023-02-02T09:18:00Z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