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BF4" w:rsidRPr="00303008" w:rsidRDefault="00056601" w:rsidP="004A3BF4">
      <w:pPr>
        <w:rPr>
          <w:sz w:val="24"/>
          <w:szCs w:val="24"/>
          <w:lang w:val="en-GB"/>
        </w:rPr>
      </w:pPr>
      <w:r w:rsidRPr="00303008">
        <w:rPr>
          <w:noProof/>
          <w:sz w:val="24"/>
          <w:szCs w:val="24"/>
          <w:lang w:val="en-GB"/>
        </w:rPr>
        <w:drawing>
          <wp:inline distT="0" distB="0" distL="0" distR="0" wp14:anchorId="3F9BDF2C" wp14:editId="59CD751F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847" w:rsidRPr="00303008" w:rsidRDefault="006B3847" w:rsidP="006B3847">
      <w:pPr>
        <w:rPr>
          <w:sz w:val="24"/>
          <w:szCs w:val="24"/>
          <w:lang w:val="en-GB"/>
        </w:rPr>
      </w:pPr>
    </w:p>
    <w:p w:rsidR="00714033" w:rsidRPr="002C7F3B" w:rsidRDefault="006B3847" w:rsidP="007F22DD">
      <w:pPr>
        <w:tabs>
          <w:tab w:val="right" w:pos="9356"/>
        </w:tabs>
        <w:rPr>
          <w:b/>
          <w:sz w:val="24"/>
          <w:szCs w:val="24"/>
          <w:lang w:val="nb-NO"/>
        </w:rPr>
      </w:pPr>
      <w:r w:rsidRPr="00303008">
        <w:rPr>
          <w:b/>
          <w:sz w:val="24"/>
          <w:szCs w:val="24"/>
          <w:lang w:val="en-GB"/>
        </w:rPr>
        <w:tab/>
      </w:r>
      <w:r w:rsidR="008F1697">
        <w:rPr>
          <w:b/>
          <w:sz w:val="24"/>
          <w:szCs w:val="24"/>
          <w:lang w:val="nb-NO"/>
        </w:rPr>
        <w:t>14</w:t>
      </w:r>
      <w:r w:rsidR="00991790" w:rsidRPr="002C7F3B">
        <w:rPr>
          <w:b/>
          <w:sz w:val="24"/>
          <w:szCs w:val="24"/>
          <w:lang w:val="nb-NO"/>
        </w:rPr>
        <w:t xml:space="preserve">. </w:t>
      </w:r>
      <w:r w:rsidR="008F1697">
        <w:rPr>
          <w:b/>
          <w:sz w:val="24"/>
          <w:szCs w:val="24"/>
          <w:lang w:val="nb-NO"/>
        </w:rPr>
        <w:t>januar</w:t>
      </w:r>
      <w:r w:rsidR="00991790" w:rsidRPr="002C7F3B">
        <w:rPr>
          <w:b/>
          <w:sz w:val="24"/>
          <w:szCs w:val="24"/>
          <w:lang w:val="nb-NO"/>
        </w:rPr>
        <w:t xml:space="preserve"> 202</w:t>
      </w:r>
      <w:r w:rsidR="008F1697">
        <w:rPr>
          <w:b/>
          <w:sz w:val="24"/>
          <w:szCs w:val="24"/>
          <w:lang w:val="nb-NO"/>
        </w:rPr>
        <w:t>5</w:t>
      </w:r>
    </w:p>
    <w:p w:rsidR="00714033" w:rsidRPr="002C7F3B" w:rsidRDefault="00714033" w:rsidP="006B3847">
      <w:pPr>
        <w:rPr>
          <w:sz w:val="24"/>
          <w:szCs w:val="24"/>
          <w:lang w:val="nb-NO"/>
        </w:rPr>
      </w:pPr>
    </w:p>
    <w:p w:rsidR="00C726FE" w:rsidRPr="002C7F3B" w:rsidRDefault="00C726FE" w:rsidP="006B3847">
      <w:pPr>
        <w:rPr>
          <w:sz w:val="24"/>
          <w:szCs w:val="24"/>
          <w:lang w:val="nb-NO"/>
        </w:rPr>
      </w:pPr>
    </w:p>
    <w:p w:rsidR="00005DC7" w:rsidRPr="002C7F3B" w:rsidRDefault="00005DC7" w:rsidP="00C16F7F">
      <w:pPr>
        <w:rPr>
          <w:sz w:val="24"/>
          <w:szCs w:val="24"/>
          <w:lang w:val="nb-NO"/>
        </w:rPr>
      </w:pPr>
      <w:bookmarkStart w:id="0" w:name="_Hlk49158549"/>
    </w:p>
    <w:bookmarkEnd w:id="0"/>
    <w:p w:rsidR="007C5D2A" w:rsidRPr="002C7F3B" w:rsidRDefault="00172583" w:rsidP="007C5D2A">
      <w:pPr>
        <w:jc w:val="center"/>
        <w:rPr>
          <w:b/>
          <w:sz w:val="24"/>
          <w:szCs w:val="24"/>
          <w:lang w:val="nb-NO"/>
        </w:rPr>
      </w:pPr>
      <w:r w:rsidRPr="002C7F3B">
        <w:rPr>
          <w:b/>
          <w:sz w:val="24"/>
          <w:szCs w:val="24"/>
          <w:lang w:val="nb-NO"/>
        </w:rPr>
        <w:t>PRODUKTRESUMÉ</w:t>
      </w:r>
    </w:p>
    <w:p w:rsidR="00172583" w:rsidRPr="002C7F3B" w:rsidRDefault="00172583" w:rsidP="007C5D2A">
      <w:pPr>
        <w:jc w:val="center"/>
        <w:rPr>
          <w:sz w:val="24"/>
          <w:szCs w:val="24"/>
          <w:lang w:val="nb-NO"/>
        </w:rPr>
      </w:pPr>
    </w:p>
    <w:p w:rsidR="007C5D2A" w:rsidRPr="002C7F3B" w:rsidRDefault="007C5D2A" w:rsidP="007C5D2A">
      <w:pPr>
        <w:jc w:val="center"/>
        <w:rPr>
          <w:b/>
          <w:sz w:val="24"/>
          <w:szCs w:val="24"/>
          <w:lang w:val="nb-NO"/>
        </w:rPr>
      </w:pPr>
      <w:r w:rsidRPr="002C7F3B">
        <w:rPr>
          <w:b/>
          <w:sz w:val="24"/>
          <w:szCs w:val="24"/>
          <w:lang w:val="nb-NO"/>
        </w:rPr>
        <w:t>for</w:t>
      </w:r>
    </w:p>
    <w:p w:rsidR="007C5D2A" w:rsidRPr="002C7F3B" w:rsidRDefault="007C5D2A" w:rsidP="007C5D2A">
      <w:pPr>
        <w:jc w:val="center"/>
        <w:rPr>
          <w:sz w:val="24"/>
          <w:szCs w:val="24"/>
          <w:lang w:val="nb-NO"/>
        </w:rPr>
      </w:pPr>
    </w:p>
    <w:p w:rsidR="007C5D2A" w:rsidRPr="002C7F3B" w:rsidRDefault="002904C0" w:rsidP="007C5D2A">
      <w:pPr>
        <w:jc w:val="center"/>
        <w:rPr>
          <w:b/>
          <w:sz w:val="24"/>
          <w:szCs w:val="24"/>
          <w:lang w:val="nb-NO"/>
        </w:rPr>
      </w:pPr>
      <w:r w:rsidRPr="002C7F3B">
        <w:rPr>
          <w:b/>
          <w:sz w:val="24"/>
          <w:szCs w:val="24"/>
          <w:lang w:val="nb-NO"/>
        </w:rPr>
        <w:t>Lanthanum ”Viatris”</w:t>
      </w:r>
      <w:r w:rsidR="00F15AB1" w:rsidRPr="002C7F3B">
        <w:rPr>
          <w:b/>
          <w:sz w:val="24"/>
          <w:szCs w:val="24"/>
          <w:lang w:val="nb-NO"/>
        </w:rPr>
        <w:t xml:space="preserve">, </w:t>
      </w:r>
      <w:r w:rsidR="00C40C77" w:rsidRPr="002C7F3B">
        <w:rPr>
          <w:b/>
          <w:sz w:val="24"/>
          <w:szCs w:val="24"/>
          <w:lang w:val="nb-NO"/>
        </w:rPr>
        <w:t>tyggetabletter</w:t>
      </w:r>
    </w:p>
    <w:p w:rsidR="007C5D2A" w:rsidRPr="002C7F3B" w:rsidRDefault="007C5D2A" w:rsidP="007C5D2A">
      <w:pPr>
        <w:jc w:val="both"/>
        <w:rPr>
          <w:sz w:val="24"/>
          <w:szCs w:val="24"/>
          <w:lang w:val="nb-NO"/>
        </w:rPr>
      </w:pPr>
    </w:p>
    <w:p w:rsidR="0042292D" w:rsidRPr="002C7F3B" w:rsidRDefault="0042292D" w:rsidP="007C5D2A">
      <w:pPr>
        <w:jc w:val="both"/>
        <w:rPr>
          <w:sz w:val="24"/>
          <w:szCs w:val="24"/>
          <w:lang w:val="nb-NO"/>
        </w:rPr>
      </w:pPr>
    </w:p>
    <w:p w:rsidR="008F2F8C" w:rsidRPr="002C7F3B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nb-NO"/>
        </w:rPr>
      </w:pPr>
      <w:r w:rsidRPr="002C7F3B">
        <w:rPr>
          <w:b/>
          <w:sz w:val="24"/>
          <w:szCs w:val="24"/>
          <w:lang w:val="nb-NO"/>
        </w:rPr>
        <w:t>0.</w:t>
      </w:r>
      <w:r w:rsidRPr="002C7F3B">
        <w:rPr>
          <w:b/>
          <w:sz w:val="24"/>
          <w:szCs w:val="24"/>
          <w:lang w:val="nb-NO"/>
        </w:rPr>
        <w:tab/>
        <w:t>D.SP.N</w:t>
      </w:r>
      <w:r w:rsidR="00927D2A" w:rsidRPr="002C7F3B">
        <w:rPr>
          <w:b/>
          <w:sz w:val="24"/>
          <w:szCs w:val="24"/>
          <w:lang w:val="nb-NO"/>
        </w:rPr>
        <w:t>R</w:t>
      </w:r>
      <w:r w:rsidRPr="002C7F3B">
        <w:rPr>
          <w:b/>
          <w:sz w:val="24"/>
          <w:szCs w:val="24"/>
          <w:lang w:val="nb-NO"/>
        </w:rPr>
        <w:t>.</w:t>
      </w:r>
    </w:p>
    <w:p w:rsidR="008F2F8C" w:rsidRPr="002C7F3B" w:rsidRDefault="006976CD" w:rsidP="008F2F8C">
      <w:pPr>
        <w:tabs>
          <w:tab w:val="left" w:pos="8222"/>
        </w:tabs>
        <w:ind w:left="851"/>
        <w:rPr>
          <w:sz w:val="24"/>
          <w:szCs w:val="24"/>
          <w:lang w:val="nb-NO"/>
        </w:rPr>
      </w:pPr>
      <w:r w:rsidRPr="002C7F3B">
        <w:rPr>
          <w:sz w:val="24"/>
          <w:szCs w:val="24"/>
          <w:lang w:val="nb-NO"/>
        </w:rPr>
        <w:t>31363</w:t>
      </w:r>
    </w:p>
    <w:p w:rsidR="007C5D2A" w:rsidRPr="002C7F3B" w:rsidRDefault="007C5D2A" w:rsidP="007C5D2A">
      <w:pPr>
        <w:tabs>
          <w:tab w:val="left" w:pos="851"/>
        </w:tabs>
        <w:jc w:val="both"/>
        <w:rPr>
          <w:sz w:val="24"/>
          <w:szCs w:val="24"/>
          <w:lang w:val="nb-NO"/>
        </w:rPr>
      </w:pPr>
    </w:p>
    <w:p w:rsidR="00B9085D" w:rsidRPr="002C7F3B" w:rsidRDefault="009925C9" w:rsidP="00B9085D">
      <w:pPr>
        <w:tabs>
          <w:tab w:val="left" w:pos="851"/>
        </w:tabs>
        <w:ind w:left="851" w:hanging="851"/>
        <w:rPr>
          <w:b/>
          <w:sz w:val="24"/>
          <w:szCs w:val="24"/>
          <w:lang w:val="nb-NO"/>
        </w:rPr>
      </w:pPr>
      <w:r w:rsidRPr="002C7F3B">
        <w:rPr>
          <w:b/>
          <w:sz w:val="24"/>
          <w:szCs w:val="24"/>
          <w:lang w:val="nb-NO"/>
        </w:rPr>
        <w:t>1.</w:t>
      </w:r>
      <w:r w:rsidR="007C5D2A" w:rsidRPr="002C7F3B">
        <w:rPr>
          <w:b/>
          <w:sz w:val="24"/>
          <w:szCs w:val="24"/>
          <w:lang w:val="nb-NO"/>
        </w:rPr>
        <w:tab/>
      </w:r>
      <w:r w:rsidR="00B9085D" w:rsidRPr="002C7F3B">
        <w:rPr>
          <w:b/>
          <w:sz w:val="24"/>
          <w:szCs w:val="24"/>
          <w:lang w:val="nb-NO"/>
        </w:rPr>
        <w:t>LÆGEMIDLETS NAVN</w:t>
      </w:r>
    </w:p>
    <w:p w:rsidR="007C5D2A" w:rsidRPr="002C7F3B" w:rsidRDefault="002904C0" w:rsidP="004A3BF4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2C7F3B">
        <w:rPr>
          <w:sz w:val="24"/>
          <w:szCs w:val="24"/>
          <w:lang w:val="nb-NO"/>
        </w:rPr>
        <w:t>Lanthanum ”Viatris”</w:t>
      </w:r>
    </w:p>
    <w:p w:rsidR="007C5D2A" w:rsidRPr="002C7F3B" w:rsidRDefault="007C5D2A" w:rsidP="004A3BF4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:rsidR="007C5D2A" w:rsidRPr="002C7F3B" w:rsidRDefault="009925C9" w:rsidP="007C5D2A">
      <w:pPr>
        <w:ind w:left="851" w:hanging="851"/>
        <w:rPr>
          <w:b/>
          <w:sz w:val="24"/>
          <w:szCs w:val="24"/>
          <w:lang w:val="nb-NO"/>
        </w:rPr>
      </w:pPr>
      <w:r w:rsidRPr="002C7F3B">
        <w:rPr>
          <w:b/>
          <w:sz w:val="24"/>
          <w:szCs w:val="24"/>
          <w:lang w:val="nb-NO"/>
        </w:rPr>
        <w:t>2.</w:t>
      </w:r>
      <w:r w:rsidR="007C5D2A" w:rsidRPr="002C7F3B">
        <w:rPr>
          <w:b/>
          <w:sz w:val="24"/>
          <w:szCs w:val="24"/>
          <w:lang w:val="nb-NO"/>
        </w:rPr>
        <w:tab/>
      </w:r>
      <w:r w:rsidR="00B9085D" w:rsidRPr="002C7F3B">
        <w:rPr>
          <w:b/>
          <w:sz w:val="24"/>
          <w:szCs w:val="24"/>
          <w:lang w:val="nb-NO"/>
        </w:rPr>
        <w:t>KVALITATIV OG KVANTITATIV SAMMENSÆTNING</w:t>
      </w:r>
    </w:p>
    <w:p w:rsidR="00533577" w:rsidRPr="002C7F3B" w:rsidRDefault="00533577" w:rsidP="00C7527B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:rsidR="00533577" w:rsidRPr="002C7F3B" w:rsidRDefault="00533577" w:rsidP="00C7527B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  <w:r w:rsidRPr="002C7F3B">
        <w:rPr>
          <w:sz w:val="24"/>
          <w:szCs w:val="24"/>
          <w:u w:val="single"/>
          <w:lang w:val="nb-NO"/>
        </w:rPr>
        <w:t>500 mg</w:t>
      </w:r>
    </w:p>
    <w:p w:rsidR="0021175A" w:rsidRPr="002C7F3B" w:rsidRDefault="0021175A" w:rsidP="00C7527B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2C7F3B">
        <w:rPr>
          <w:sz w:val="24"/>
          <w:szCs w:val="24"/>
          <w:lang w:val="nb-NO"/>
        </w:rPr>
        <w:t xml:space="preserve">Hver 500 mg tyggetablet indeholder lanthanumcarbonatoctahydrat svarende til 500 mg lanthanum. </w:t>
      </w:r>
    </w:p>
    <w:p w:rsidR="00533577" w:rsidRPr="002C7F3B" w:rsidRDefault="00533577" w:rsidP="00C7527B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:rsidR="00533577" w:rsidRPr="002C7F3B" w:rsidRDefault="00533577" w:rsidP="00C7527B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  <w:r w:rsidRPr="002C7F3B">
        <w:rPr>
          <w:sz w:val="24"/>
          <w:szCs w:val="24"/>
          <w:u w:val="single"/>
          <w:lang w:val="nb-NO"/>
        </w:rPr>
        <w:t>750 mg</w:t>
      </w:r>
    </w:p>
    <w:p w:rsidR="0021175A" w:rsidRPr="002C7F3B" w:rsidRDefault="0021175A" w:rsidP="00C7527B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2C7F3B">
        <w:rPr>
          <w:sz w:val="24"/>
          <w:szCs w:val="24"/>
          <w:lang w:val="nb-NO"/>
        </w:rPr>
        <w:t xml:space="preserve">Hver 750 mg tyggetablet indeholder lanthanumcarbonatoctahydrat svarende til 750 mg lanthanum. </w:t>
      </w:r>
    </w:p>
    <w:p w:rsidR="00533577" w:rsidRPr="002C7F3B" w:rsidRDefault="00533577" w:rsidP="00C7527B">
      <w:pPr>
        <w:tabs>
          <w:tab w:val="left" w:pos="851"/>
        </w:tabs>
        <w:ind w:left="851"/>
        <w:rPr>
          <w:sz w:val="24"/>
          <w:szCs w:val="24"/>
          <w:lang w:val="nb-NO"/>
        </w:rPr>
      </w:pPr>
      <w:bookmarkStart w:id="1" w:name="_Hlk58597962"/>
    </w:p>
    <w:p w:rsidR="00533577" w:rsidRPr="002C7F3B" w:rsidRDefault="00533577" w:rsidP="00C7527B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  <w:r w:rsidRPr="002C7F3B">
        <w:rPr>
          <w:sz w:val="24"/>
          <w:szCs w:val="24"/>
          <w:u w:val="single"/>
          <w:lang w:val="nb-NO"/>
        </w:rPr>
        <w:t>1000 mg</w:t>
      </w:r>
    </w:p>
    <w:p w:rsidR="0021175A" w:rsidRPr="002C7F3B" w:rsidRDefault="0021175A" w:rsidP="00C7527B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2C7F3B">
        <w:rPr>
          <w:sz w:val="24"/>
          <w:szCs w:val="24"/>
          <w:lang w:val="nb-NO"/>
        </w:rPr>
        <w:t xml:space="preserve">Hver 1000 mg tyggetablet indeholder lanthanumcarbonatoctahydrat svarende til 1000 mg lanthanum. </w:t>
      </w:r>
      <w:bookmarkEnd w:id="1"/>
    </w:p>
    <w:p w:rsidR="0021175A" w:rsidRPr="002C7F3B" w:rsidRDefault="0021175A" w:rsidP="00C7527B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</w:p>
    <w:p w:rsidR="0021175A" w:rsidRDefault="0021175A" w:rsidP="00C7527B">
      <w:pPr>
        <w:tabs>
          <w:tab w:val="left" w:pos="851"/>
        </w:tabs>
        <w:ind w:left="851"/>
        <w:rPr>
          <w:sz w:val="24"/>
          <w:szCs w:val="24"/>
        </w:rPr>
      </w:pPr>
      <w:r w:rsidRPr="0021175A">
        <w:rPr>
          <w:sz w:val="24"/>
          <w:szCs w:val="24"/>
        </w:rPr>
        <w:t>Alle hjælpestoffer er anført under pkt. 6.1.</w:t>
      </w:r>
    </w:p>
    <w:p w:rsidR="0021175A" w:rsidRPr="0021175A" w:rsidRDefault="0021175A" w:rsidP="00C7527B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C7527B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7527B">
        <w:rPr>
          <w:b/>
          <w:sz w:val="24"/>
          <w:szCs w:val="24"/>
        </w:rPr>
        <w:t>3.</w:t>
      </w:r>
      <w:r w:rsidRPr="00C7527B">
        <w:rPr>
          <w:b/>
          <w:sz w:val="24"/>
          <w:szCs w:val="24"/>
        </w:rPr>
        <w:tab/>
      </w:r>
      <w:r w:rsidR="00B9085D">
        <w:rPr>
          <w:b/>
          <w:sz w:val="24"/>
          <w:szCs w:val="24"/>
        </w:rPr>
        <w:t>LÆGEMIDDELFORM</w:t>
      </w:r>
    </w:p>
    <w:p w:rsidR="00C7527B" w:rsidRPr="00C7527B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  <w:r w:rsidRPr="00C7527B">
        <w:rPr>
          <w:sz w:val="24"/>
          <w:szCs w:val="24"/>
        </w:rPr>
        <w:t>Tyggetablet</w:t>
      </w:r>
      <w:r w:rsidR="005A6D33">
        <w:rPr>
          <w:sz w:val="24"/>
          <w:szCs w:val="24"/>
        </w:rPr>
        <w:t>ter</w:t>
      </w:r>
    </w:p>
    <w:p w:rsidR="00C7527B" w:rsidRPr="00C7527B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</w:p>
    <w:p w:rsidR="00C7527B" w:rsidRPr="00C7527B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  <w:r w:rsidRPr="00C7527B">
        <w:rPr>
          <w:sz w:val="24"/>
          <w:szCs w:val="24"/>
          <w:u w:val="single"/>
        </w:rPr>
        <w:t>500 mg</w:t>
      </w:r>
    </w:p>
    <w:p w:rsidR="00C7527B" w:rsidRPr="005A6D33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  <w:r w:rsidRPr="005A6D33">
        <w:rPr>
          <w:sz w:val="24"/>
          <w:szCs w:val="24"/>
        </w:rPr>
        <w:t>Hvid</w:t>
      </w:r>
      <w:r w:rsidR="00634B52">
        <w:rPr>
          <w:sz w:val="24"/>
          <w:szCs w:val="24"/>
        </w:rPr>
        <w:t xml:space="preserve"> til råhvid</w:t>
      </w:r>
      <w:r w:rsidRPr="005A6D33">
        <w:rPr>
          <w:sz w:val="24"/>
          <w:szCs w:val="24"/>
        </w:rPr>
        <w:t xml:space="preserve">, rund, flad tablet med </w:t>
      </w:r>
      <w:r w:rsidR="00107419">
        <w:rPr>
          <w:sz w:val="24"/>
          <w:szCs w:val="24"/>
        </w:rPr>
        <w:t>skrå</w:t>
      </w:r>
      <w:r w:rsidRPr="005A6D33">
        <w:rPr>
          <w:sz w:val="24"/>
          <w:szCs w:val="24"/>
        </w:rPr>
        <w:t xml:space="preserve"> kant, der er </w:t>
      </w:r>
      <w:r w:rsidR="00107419">
        <w:rPr>
          <w:sz w:val="24"/>
          <w:szCs w:val="24"/>
        </w:rPr>
        <w:t>præget</w:t>
      </w:r>
      <w:r w:rsidRPr="005A6D33">
        <w:rPr>
          <w:sz w:val="24"/>
          <w:szCs w:val="24"/>
        </w:rPr>
        <w:t xml:space="preserve"> med 'M' på den ene side og 'LC'</w:t>
      </w:r>
      <w:r w:rsidR="005A6D33" w:rsidRPr="005A6D33">
        <w:rPr>
          <w:sz w:val="24"/>
          <w:szCs w:val="24"/>
        </w:rPr>
        <w:t xml:space="preserve"> </w:t>
      </w:r>
      <w:r w:rsidRPr="005A6D33">
        <w:rPr>
          <w:sz w:val="24"/>
          <w:szCs w:val="24"/>
        </w:rPr>
        <w:t xml:space="preserve">over '500' på den anden side. Hver tablet er cirka 15 mm i diameter. </w:t>
      </w:r>
    </w:p>
    <w:p w:rsidR="00C7527B" w:rsidRPr="005A6D33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</w:p>
    <w:p w:rsidR="00C7527B" w:rsidRPr="005A6D33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  <w:r w:rsidRPr="005A6D33">
        <w:rPr>
          <w:sz w:val="24"/>
          <w:szCs w:val="24"/>
          <w:u w:val="single"/>
        </w:rPr>
        <w:t>750 m</w:t>
      </w:r>
      <w:r w:rsidR="00C726FE">
        <w:rPr>
          <w:sz w:val="24"/>
          <w:szCs w:val="24"/>
          <w:u w:val="single"/>
        </w:rPr>
        <w:t>g</w:t>
      </w:r>
    </w:p>
    <w:p w:rsidR="00C7527B" w:rsidRPr="005A6D33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  <w:r w:rsidRPr="005A6D33">
        <w:rPr>
          <w:sz w:val="24"/>
          <w:szCs w:val="24"/>
        </w:rPr>
        <w:t>Hvid</w:t>
      </w:r>
      <w:r w:rsidR="00107419">
        <w:rPr>
          <w:sz w:val="24"/>
          <w:szCs w:val="24"/>
        </w:rPr>
        <w:t xml:space="preserve"> til råhvid</w:t>
      </w:r>
      <w:r w:rsidRPr="005A6D33">
        <w:rPr>
          <w:sz w:val="24"/>
          <w:szCs w:val="24"/>
        </w:rPr>
        <w:t xml:space="preserve">, rund, flad tablet med </w:t>
      </w:r>
      <w:r w:rsidR="00107419">
        <w:rPr>
          <w:sz w:val="24"/>
          <w:szCs w:val="24"/>
        </w:rPr>
        <w:t>skrå</w:t>
      </w:r>
      <w:r w:rsidRPr="005A6D33">
        <w:rPr>
          <w:sz w:val="24"/>
          <w:szCs w:val="24"/>
        </w:rPr>
        <w:t xml:space="preserve"> kant, der er </w:t>
      </w:r>
      <w:r w:rsidR="00107419">
        <w:rPr>
          <w:sz w:val="24"/>
          <w:szCs w:val="24"/>
        </w:rPr>
        <w:t>præget</w:t>
      </w:r>
      <w:r w:rsidRPr="005A6D33">
        <w:rPr>
          <w:sz w:val="24"/>
          <w:szCs w:val="24"/>
        </w:rPr>
        <w:t xml:space="preserve"> med 'M' på den ene side og 'LC'</w:t>
      </w:r>
      <w:r w:rsidR="005A6D33" w:rsidRPr="005A6D33">
        <w:rPr>
          <w:sz w:val="24"/>
          <w:szCs w:val="24"/>
        </w:rPr>
        <w:t xml:space="preserve"> </w:t>
      </w:r>
      <w:r w:rsidRPr="005A6D33">
        <w:rPr>
          <w:sz w:val="24"/>
          <w:szCs w:val="24"/>
        </w:rPr>
        <w:t xml:space="preserve">over '750' på den anden side. Hver tablet er cirka 17 mm i diameter. </w:t>
      </w:r>
    </w:p>
    <w:p w:rsidR="00C7527B" w:rsidRPr="005A6D33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</w:p>
    <w:p w:rsidR="00C7527B" w:rsidRPr="005A6D33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  <w:r w:rsidRPr="005A6D33">
        <w:rPr>
          <w:sz w:val="24"/>
          <w:szCs w:val="24"/>
          <w:u w:val="single"/>
        </w:rPr>
        <w:t>1000 mg</w:t>
      </w:r>
    </w:p>
    <w:p w:rsidR="00C7527B" w:rsidRPr="005A6D33" w:rsidRDefault="00C7527B" w:rsidP="00C7527B">
      <w:pPr>
        <w:tabs>
          <w:tab w:val="left" w:pos="851"/>
        </w:tabs>
        <w:ind w:left="851"/>
        <w:rPr>
          <w:sz w:val="24"/>
          <w:szCs w:val="24"/>
        </w:rPr>
      </w:pPr>
      <w:r w:rsidRPr="005A6D33">
        <w:rPr>
          <w:sz w:val="24"/>
          <w:szCs w:val="24"/>
        </w:rPr>
        <w:lastRenderedPageBreak/>
        <w:t>Hvid</w:t>
      </w:r>
      <w:r w:rsidR="00107419">
        <w:rPr>
          <w:sz w:val="24"/>
          <w:szCs w:val="24"/>
        </w:rPr>
        <w:t xml:space="preserve"> til råhvid</w:t>
      </w:r>
      <w:r w:rsidRPr="005A6D33">
        <w:rPr>
          <w:sz w:val="24"/>
          <w:szCs w:val="24"/>
        </w:rPr>
        <w:t xml:space="preserve">, rund, flad tablet med </w:t>
      </w:r>
      <w:r w:rsidR="006272A4">
        <w:rPr>
          <w:sz w:val="24"/>
          <w:szCs w:val="24"/>
        </w:rPr>
        <w:t>skrå</w:t>
      </w:r>
      <w:r w:rsidRPr="005A6D33">
        <w:rPr>
          <w:sz w:val="24"/>
          <w:szCs w:val="24"/>
        </w:rPr>
        <w:t xml:space="preserve"> kant, der er </w:t>
      </w:r>
      <w:r w:rsidR="006272A4">
        <w:rPr>
          <w:sz w:val="24"/>
          <w:szCs w:val="24"/>
        </w:rPr>
        <w:t>præget</w:t>
      </w:r>
      <w:r w:rsidRPr="005A6D33">
        <w:rPr>
          <w:sz w:val="24"/>
          <w:szCs w:val="24"/>
        </w:rPr>
        <w:t xml:space="preserve"> med 'M' på den ene side og 'LC'</w:t>
      </w:r>
      <w:r w:rsidR="005A6D33" w:rsidRPr="005A6D33">
        <w:rPr>
          <w:sz w:val="24"/>
          <w:szCs w:val="24"/>
        </w:rPr>
        <w:t xml:space="preserve"> </w:t>
      </w:r>
      <w:r w:rsidRPr="005A6D33">
        <w:rPr>
          <w:sz w:val="24"/>
          <w:szCs w:val="24"/>
        </w:rPr>
        <w:t xml:space="preserve">over '1000' på den anden side. Hver tablet er </w:t>
      </w:r>
      <w:proofErr w:type="spellStart"/>
      <w:r w:rsidRPr="005A6D33">
        <w:rPr>
          <w:sz w:val="24"/>
          <w:szCs w:val="24"/>
        </w:rPr>
        <w:t>cirk</w:t>
      </w:r>
      <w:proofErr w:type="spellEnd"/>
      <w:r w:rsidRPr="005A6D33">
        <w:rPr>
          <w:sz w:val="24"/>
          <w:szCs w:val="24"/>
        </w:rPr>
        <w:t xml:space="preserve"> a 19 mm i diameter. </w:t>
      </w:r>
    </w:p>
    <w:p w:rsidR="007C5D2A" w:rsidRPr="005A6D33" w:rsidRDefault="007C5D2A" w:rsidP="004A3BF4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5A6D33" w:rsidRDefault="007C5D2A" w:rsidP="004A3BF4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CB57DF" w:rsidRDefault="007C5D2A" w:rsidP="007C5D2A">
      <w:pPr>
        <w:ind w:left="851" w:hanging="851"/>
        <w:rPr>
          <w:b/>
          <w:sz w:val="24"/>
          <w:szCs w:val="24"/>
        </w:rPr>
      </w:pPr>
      <w:r w:rsidRPr="00CB57DF">
        <w:rPr>
          <w:b/>
          <w:sz w:val="24"/>
          <w:szCs w:val="24"/>
        </w:rPr>
        <w:t>4.</w:t>
      </w:r>
      <w:r w:rsidRPr="00CB57DF">
        <w:rPr>
          <w:b/>
          <w:sz w:val="24"/>
          <w:szCs w:val="24"/>
        </w:rPr>
        <w:tab/>
      </w:r>
      <w:r w:rsidR="00B9085D">
        <w:rPr>
          <w:b/>
          <w:sz w:val="24"/>
          <w:szCs w:val="24"/>
        </w:rPr>
        <w:t>KLINISKE OPLYSNINGER</w:t>
      </w:r>
    </w:p>
    <w:p w:rsidR="007C5D2A" w:rsidRPr="00CB57DF" w:rsidRDefault="007C5D2A" w:rsidP="004A3BF4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CB57DF" w:rsidRDefault="007C5D2A" w:rsidP="007C5D2A">
      <w:pPr>
        <w:ind w:left="851" w:hanging="851"/>
        <w:rPr>
          <w:b/>
          <w:sz w:val="24"/>
          <w:szCs w:val="24"/>
          <w:u w:val="single"/>
        </w:rPr>
      </w:pPr>
      <w:r w:rsidRPr="00CB57DF">
        <w:rPr>
          <w:b/>
          <w:sz w:val="24"/>
          <w:szCs w:val="24"/>
        </w:rPr>
        <w:t>4.1</w:t>
      </w:r>
      <w:r w:rsidRPr="00CB57DF">
        <w:rPr>
          <w:b/>
          <w:sz w:val="24"/>
          <w:szCs w:val="24"/>
        </w:rPr>
        <w:tab/>
      </w:r>
      <w:r w:rsidR="00B9085D">
        <w:rPr>
          <w:b/>
          <w:sz w:val="24"/>
          <w:szCs w:val="24"/>
        </w:rPr>
        <w:t>Terapeutiske indikationer</w:t>
      </w:r>
    </w:p>
    <w:p w:rsidR="00CB57DF" w:rsidRPr="00CB57DF" w:rsidRDefault="002904C0" w:rsidP="00CB57D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CB57DF" w:rsidRPr="00CB57DF">
        <w:rPr>
          <w:sz w:val="24"/>
          <w:szCs w:val="24"/>
        </w:rPr>
        <w:t xml:space="preserve"> er indiceret til voksne patienter som et fosfatbindende middel til brug ved kontrol af </w:t>
      </w:r>
      <w:proofErr w:type="spellStart"/>
      <w:r w:rsidR="00CB57DF" w:rsidRPr="00CB57DF">
        <w:rPr>
          <w:sz w:val="24"/>
          <w:szCs w:val="24"/>
        </w:rPr>
        <w:t>hyperfosfatæmi</w:t>
      </w:r>
      <w:proofErr w:type="spellEnd"/>
      <w:r w:rsidR="00CB57DF" w:rsidRPr="00CB57DF">
        <w:rPr>
          <w:sz w:val="24"/>
          <w:szCs w:val="24"/>
        </w:rPr>
        <w:t xml:space="preserve"> hos patienter med kronisk nyresvigt, der er i hæmodialyse eller kontinuerlig ambulant </w:t>
      </w:r>
      <w:proofErr w:type="spellStart"/>
      <w:r w:rsidR="00CB57DF" w:rsidRPr="00CB57DF">
        <w:rPr>
          <w:sz w:val="24"/>
          <w:szCs w:val="24"/>
        </w:rPr>
        <w:t>peritonealdialyse</w:t>
      </w:r>
      <w:proofErr w:type="spellEnd"/>
      <w:r w:rsidR="00CB57DF" w:rsidRPr="00CB57DF">
        <w:rPr>
          <w:sz w:val="24"/>
          <w:szCs w:val="24"/>
        </w:rPr>
        <w:t xml:space="preserve"> (CAPD). </w:t>
      </w:r>
    </w:p>
    <w:p w:rsidR="00CB57DF" w:rsidRPr="00CB57DF" w:rsidRDefault="002904C0" w:rsidP="00CB57D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CB57DF" w:rsidRPr="00CB57DF">
        <w:rPr>
          <w:sz w:val="24"/>
          <w:szCs w:val="24"/>
        </w:rPr>
        <w:t xml:space="preserve"> er desuden indiceret til voksne patienter med kronisk nyresygdom, der ikke er i dialyse, og som har serumfosfatniveauer ≥ 1,78 mmol/l, hvor en fosfatfattig kost alene ikke er tilstrækkelig til at kontrollere serumfosfatniveauerne.</w:t>
      </w:r>
    </w:p>
    <w:p w:rsidR="00156E6A" w:rsidRPr="00CB57DF" w:rsidRDefault="00156E6A" w:rsidP="00156E6A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617298" w:rsidRDefault="009925C9" w:rsidP="007C5D2A">
      <w:pPr>
        <w:tabs>
          <w:tab w:val="left" w:pos="851"/>
        </w:tabs>
        <w:ind w:left="851" w:hanging="851"/>
        <w:rPr>
          <w:sz w:val="24"/>
          <w:szCs w:val="24"/>
        </w:rPr>
      </w:pPr>
      <w:r w:rsidRPr="00617298">
        <w:rPr>
          <w:b/>
          <w:sz w:val="24"/>
          <w:szCs w:val="24"/>
        </w:rPr>
        <w:t>4.2</w:t>
      </w:r>
      <w:r w:rsidR="007C5D2A" w:rsidRPr="00617298">
        <w:rPr>
          <w:b/>
          <w:sz w:val="24"/>
          <w:szCs w:val="24"/>
        </w:rPr>
        <w:tab/>
      </w:r>
      <w:r w:rsidR="00072430" w:rsidRPr="00072430">
        <w:rPr>
          <w:b/>
          <w:sz w:val="24"/>
          <w:szCs w:val="24"/>
        </w:rPr>
        <w:t>Dosering og administration</w:t>
      </w:r>
    </w:p>
    <w:p w:rsidR="007D61CE" w:rsidRPr="00617298" w:rsidRDefault="007D61CE" w:rsidP="007D61CE">
      <w:pPr>
        <w:tabs>
          <w:tab w:val="left" w:pos="851"/>
        </w:tabs>
        <w:ind w:left="851"/>
        <w:rPr>
          <w:sz w:val="24"/>
          <w:szCs w:val="24"/>
        </w:rPr>
      </w:pP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65EFA">
        <w:rPr>
          <w:sz w:val="24"/>
          <w:szCs w:val="24"/>
          <w:u w:val="single"/>
        </w:rPr>
        <w:t>Dosering</w:t>
      </w:r>
    </w:p>
    <w:p w:rsidR="00D65EFA" w:rsidRPr="00D65EFA" w:rsidRDefault="002904C0" w:rsidP="00D65EFA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D65EFA" w:rsidRPr="00D65EFA">
        <w:rPr>
          <w:sz w:val="24"/>
          <w:szCs w:val="24"/>
        </w:rPr>
        <w:t xml:space="preserve"> er til oral administration.</w:t>
      </w: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</w:rPr>
      </w:pP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</w:rPr>
      </w:pPr>
      <w:r w:rsidRPr="00D65EFA">
        <w:rPr>
          <w:sz w:val="24"/>
          <w:szCs w:val="24"/>
        </w:rPr>
        <w:t>Tabletterne skal tygges fuldstændigt og må ikke sluges hele. Tabletterne må gerne knuses</w:t>
      </w:r>
      <w:r w:rsidR="006272A4">
        <w:rPr>
          <w:sz w:val="24"/>
          <w:szCs w:val="24"/>
        </w:rPr>
        <w:t>, så de er nemmere at tygge</w:t>
      </w:r>
      <w:r w:rsidRPr="00D65EFA">
        <w:rPr>
          <w:sz w:val="24"/>
          <w:szCs w:val="24"/>
        </w:rPr>
        <w:t xml:space="preserve">. </w:t>
      </w: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</w:rPr>
      </w:pPr>
      <w:r w:rsidRPr="00D65EFA">
        <w:rPr>
          <w:sz w:val="24"/>
          <w:szCs w:val="24"/>
        </w:rPr>
        <w:t>Der findes andre doseringsformer på markedet til patienter, der har svært ved at tygge tabletterne.</w:t>
      </w: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</w:rPr>
      </w:pPr>
    </w:p>
    <w:p w:rsidR="00D65EFA" w:rsidRPr="00D65EFA" w:rsidRDefault="00D65EFA" w:rsidP="00D65EFA">
      <w:pPr>
        <w:tabs>
          <w:tab w:val="left" w:pos="851"/>
        </w:tabs>
        <w:ind w:left="851"/>
        <w:rPr>
          <w:i/>
          <w:sz w:val="24"/>
          <w:szCs w:val="24"/>
        </w:rPr>
      </w:pPr>
      <w:r w:rsidRPr="00D65EFA">
        <w:rPr>
          <w:i/>
          <w:sz w:val="24"/>
          <w:szCs w:val="24"/>
        </w:rPr>
        <w:t>Voksne, heriblandt ældre (&gt; 65 år)</w:t>
      </w:r>
    </w:p>
    <w:p w:rsidR="00D65EFA" w:rsidRPr="00D65EFA" w:rsidRDefault="002904C0" w:rsidP="00D65EFA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D65EFA" w:rsidRPr="00D65EFA">
        <w:rPr>
          <w:sz w:val="24"/>
          <w:szCs w:val="24"/>
        </w:rPr>
        <w:t xml:space="preserve"> skal tages sammen med mad eller umiddelbart efter et måltid, med den daglige dosis fordelt mellem måltiderne. Patienter skal overholde anbefalede kostplaner for at kontrollere indtagelsen af fosfat og væske. </w:t>
      </w: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D65EFA" w:rsidRPr="00D65EFA">
        <w:rPr>
          <w:sz w:val="24"/>
          <w:szCs w:val="24"/>
        </w:rPr>
        <w:t xml:space="preserve"> gives som tyggetablet, og dermed er det ikke nødvendigt at indtage yderligere væske. </w:t>
      </w: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</w:rPr>
      </w:pPr>
      <w:r w:rsidRPr="00D65EFA">
        <w:rPr>
          <w:sz w:val="24"/>
          <w:szCs w:val="24"/>
        </w:rPr>
        <w:t xml:space="preserve">Serumfosfatniveauer skal overvåges og dosis af </w:t>
      </w:r>
      <w:proofErr w:type="spellStart"/>
      <w:r w:rsidRPr="00D65EFA">
        <w:rPr>
          <w:sz w:val="24"/>
          <w:szCs w:val="24"/>
        </w:rPr>
        <w:t>lanthanumcarbonat</w:t>
      </w:r>
      <w:proofErr w:type="spellEnd"/>
      <w:r w:rsidRPr="00D65EFA">
        <w:rPr>
          <w:sz w:val="24"/>
          <w:szCs w:val="24"/>
        </w:rPr>
        <w:t xml:space="preserve"> titreres hver 2.</w:t>
      </w:r>
      <w:r w:rsidR="00991790">
        <w:rPr>
          <w:sz w:val="24"/>
          <w:szCs w:val="24"/>
        </w:rPr>
        <w:t xml:space="preserve"> til </w:t>
      </w:r>
      <w:r w:rsidRPr="00D65EFA">
        <w:rPr>
          <w:sz w:val="24"/>
          <w:szCs w:val="24"/>
        </w:rPr>
        <w:t xml:space="preserve">3. uge, indtil der er opnået acceptable serumfosfatniveauer, med efterfølgende regelmæssig overvågning. </w:t>
      </w: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</w:rPr>
      </w:pP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65EFA">
        <w:rPr>
          <w:sz w:val="24"/>
          <w:szCs w:val="24"/>
        </w:rPr>
        <w:t xml:space="preserve">Der er vist god fosfatkontrol ved doser startende fra 750 mg om dagen. Den maksimale dosis, der er undersøgt i kliniske forsøg hos et begrænset antal patienter, er 3750 mg. Patienter, der reagerer på behandling med </w:t>
      </w:r>
      <w:proofErr w:type="spellStart"/>
      <w:r w:rsidRPr="00D65EFA">
        <w:rPr>
          <w:sz w:val="24"/>
          <w:szCs w:val="24"/>
        </w:rPr>
        <w:t>lanthanum</w:t>
      </w:r>
      <w:proofErr w:type="spellEnd"/>
      <w:r w:rsidRPr="00D65EFA">
        <w:rPr>
          <w:sz w:val="24"/>
          <w:szCs w:val="24"/>
        </w:rPr>
        <w:t xml:space="preserve">, opretholder normalt acceptable serumfosfatniveauer ved doser på 1500-3000 mg </w:t>
      </w:r>
      <w:proofErr w:type="spellStart"/>
      <w:r w:rsidRPr="00D65EFA">
        <w:rPr>
          <w:sz w:val="24"/>
          <w:szCs w:val="24"/>
        </w:rPr>
        <w:t>lanthanum</w:t>
      </w:r>
      <w:proofErr w:type="spellEnd"/>
      <w:r w:rsidRPr="00D65EFA">
        <w:rPr>
          <w:sz w:val="24"/>
          <w:szCs w:val="24"/>
        </w:rPr>
        <w:t xml:space="preserve"> om dagen.</w:t>
      </w:r>
    </w:p>
    <w:p w:rsidR="00D65EFA" w:rsidRPr="00D65EFA" w:rsidRDefault="00D65EFA" w:rsidP="00D65EFA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D65EFA" w:rsidRPr="00D65EFA" w:rsidRDefault="00D65EFA" w:rsidP="00D65EFA">
      <w:pPr>
        <w:tabs>
          <w:tab w:val="left" w:pos="851"/>
        </w:tabs>
        <w:ind w:left="851"/>
        <w:rPr>
          <w:i/>
          <w:sz w:val="24"/>
          <w:szCs w:val="24"/>
        </w:rPr>
      </w:pPr>
      <w:r w:rsidRPr="00D65EFA">
        <w:rPr>
          <w:i/>
          <w:sz w:val="24"/>
          <w:szCs w:val="24"/>
        </w:rPr>
        <w:t>Pædiatrisk population</w:t>
      </w:r>
    </w:p>
    <w:p w:rsidR="00991790" w:rsidRDefault="002904C0" w:rsidP="0099179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Viatris”</w:t>
      </w:r>
      <w:r w:rsidR="00991790">
        <w:rPr>
          <w:sz w:val="24"/>
          <w:szCs w:val="24"/>
        </w:rPr>
        <w:t>s</w:t>
      </w:r>
      <w:proofErr w:type="spellEnd"/>
      <w:r w:rsidR="00991790">
        <w:rPr>
          <w:sz w:val="24"/>
          <w:szCs w:val="24"/>
        </w:rPr>
        <w:t xml:space="preserve"> sikkerhed og virkning hos børn og unge under 18 år er ikke klarlagt (se pkt. 4.8 og 5.1). Tilgængelige data er beskrevet i pkt. 5.1 og 5.2, men der kan ikke gives anbefalinger vedrørende dosering.</w:t>
      </w: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D65EFA" w:rsidRPr="00D65EFA" w:rsidRDefault="00D65EFA" w:rsidP="00D65EFA">
      <w:pPr>
        <w:tabs>
          <w:tab w:val="left" w:pos="851"/>
        </w:tabs>
        <w:ind w:left="851"/>
        <w:rPr>
          <w:i/>
          <w:sz w:val="24"/>
          <w:szCs w:val="24"/>
        </w:rPr>
      </w:pPr>
      <w:r w:rsidRPr="00D65EFA">
        <w:rPr>
          <w:i/>
          <w:sz w:val="24"/>
          <w:szCs w:val="24"/>
        </w:rPr>
        <w:t>Nedsat leverfunktion</w:t>
      </w:r>
    </w:p>
    <w:p w:rsidR="00D65EFA" w:rsidRPr="00D65EFA" w:rsidRDefault="00D65EFA" w:rsidP="00D65EFA">
      <w:pPr>
        <w:tabs>
          <w:tab w:val="left" w:pos="851"/>
        </w:tabs>
        <w:ind w:left="851"/>
        <w:rPr>
          <w:sz w:val="24"/>
          <w:szCs w:val="24"/>
        </w:rPr>
      </w:pPr>
      <w:r w:rsidRPr="00D65EFA">
        <w:rPr>
          <w:sz w:val="24"/>
          <w:szCs w:val="24"/>
        </w:rPr>
        <w:t xml:space="preserve">Virkningen af nedsat leverfunktion på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Viatris”</w:t>
      </w:r>
      <w:r w:rsidRPr="00D65EFA">
        <w:rPr>
          <w:sz w:val="24"/>
          <w:szCs w:val="24"/>
        </w:rPr>
        <w:t>s</w:t>
      </w:r>
      <w:proofErr w:type="spellEnd"/>
      <w:r w:rsidRPr="00D65EFA">
        <w:rPr>
          <w:sz w:val="24"/>
          <w:szCs w:val="24"/>
        </w:rPr>
        <w:t xml:space="preserve"> farmakokinetik er ikke blevet vurderet. På grund af virkningsmekanismen og manglende metabolisme i leveren skal dosis for patienter med nedsat leverfunktion ikke ændres, men disse patienter bør overvåges nøje (se pkt. 4.4 og 5.2).</w:t>
      </w:r>
    </w:p>
    <w:p w:rsidR="007D61CE" w:rsidRPr="00D65EFA" w:rsidRDefault="007D61CE" w:rsidP="007D61CE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072430" w:rsidRDefault="007C5D2A" w:rsidP="007E7C93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072430">
        <w:rPr>
          <w:b/>
          <w:sz w:val="24"/>
          <w:szCs w:val="24"/>
        </w:rPr>
        <w:lastRenderedPageBreak/>
        <w:t>4.3</w:t>
      </w:r>
      <w:r w:rsidRPr="00072430">
        <w:rPr>
          <w:b/>
          <w:sz w:val="24"/>
          <w:szCs w:val="24"/>
        </w:rPr>
        <w:tab/>
      </w:r>
      <w:r w:rsidR="006E458C" w:rsidRPr="006E458C">
        <w:rPr>
          <w:b/>
          <w:sz w:val="24"/>
          <w:szCs w:val="24"/>
        </w:rPr>
        <w:t>Kontraindikationer</w:t>
      </w:r>
    </w:p>
    <w:p w:rsidR="00072430" w:rsidRPr="00072430" w:rsidRDefault="00072430" w:rsidP="00072430">
      <w:pPr>
        <w:tabs>
          <w:tab w:val="left" w:pos="851"/>
        </w:tabs>
        <w:ind w:left="851"/>
        <w:rPr>
          <w:sz w:val="24"/>
          <w:szCs w:val="24"/>
        </w:rPr>
      </w:pPr>
      <w:r w:rsidRPr="00072430">
        <w:rPr>
          <w:sz w:val="24"/>
          <w:szCs w:val="24"/>
        </w:rPr>
        <w:t>Overfølsomhed over for det aktive stof eller over for et eller flere af hjælpestofferne anført i pkt. 6.1.</w:t>
      </w:r>
    </w:p>
    <w:p w:rsidR="00072430" w:rsidRPr="00617298" w:rsidRDefault="00072430" w:rsidP="0007243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17298">
        <w:rPr>
          <w:sz w:val="24"/>
          <w:szCs w:val="24"/>
        </w:rPr>
        <w:t>Hypofosfatæmi</w:t>
      </w:r>
      <w:proofErr w:type="spellEnd"/>
      <w:r w:rsidRPr="00617298">
        <w:rPr>
          <w:sz w:val="24"/>
          <w:szCs w:val="24"/>
        </w:rPr>
        <w:t>.</w:t>
      </w:r>
    </w:p>
    <w:p w:rsidR="00072430" w:rsidRPr="00617298" w:rsidRDefault="00072430" w:rsidP="00072430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080E1C" w:rsidRDefault="007C5D2A" w:rsidP="007C5D2A">
      <w:pPr>
        <w:tabs>
          <w:tab w:val="left" w:pos="851"/>
        </w:tabs>
        <w:rPr>
          <w:b/>
          <w:sz w:val="24"/>
          <w:szCs w:val="24"/>
        </w:rPr>
      </w:pPr>
      <w:r w:rsidRPr="00080E1C">
        <w:rPr>
          <w:b/>
          <w:sz w:val="24"/>
          <w:szCs w:val="24"/>
        </w:rPr>
        <w:t>4.4</w:t>
      </w:r>
      <w:r w:rsidRPr="00080E1C">
        <w:rPr>
          <w:b/>
          <w:sz w:val="24"/>
          <w:szCs w:val="24"/>
        </w:rPr>
        <w:tab/>
      </w:r>
      <w:r w:rsidR="00080E1C">
        <w:rPr>
          <w:b/>
        </w:rPr>
        <w:t>Særlige advarsler og forsigtighedsregler vedrørende brugen</w:t>
      </w: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  <w:r w:rsidRPr="00080E1C">
        <w:rPr>
          <w:sz w:val="24"/>
          <w:szCs w:val="24"/>
        </w:rPr>
        <w:t xml:space="preserve">Der er set aflejring af </w:t>
      </w:r>
      <w:proofErr w:type="spellStart"/>
      <w:r w:rsidRPr="00080E1C">
        <w:rPr>
          <w:sz w:val="24"/>
          <w:szCs w:val="24"/>
        </w:rPr>
        <w:t>lanthanum</w:t>
      </w:r>
      <w:proofErr w:type="spellEnd"/>
      <w:r w:rsidRPr="00080E1C">
        <w:rPr>
          <w:sz w:val="24"/>
          <w:szCs w:val="24"/>
        </w:rPr>
        <w:t xml:space="preserve"> i væv ved brug af </w:t>
      </w:r>
      <w:proofErr w:type="spellStart"/>
      <w:r w:rsidRPr="00080E1C">
        <w:rPr>
          <w:sz w:val="24"/>
          <w:szCs w:val="24"/>
        </w:rPr>
        <w:t>lanthanumcarbonat</w:t>
      </w:r>
      <w:proofErr w:type="spellEnd"/>
      <w:r w:rsidRPr="00080E1C">
        <w:rPr>
          <w:sz w:val="24"/>
          <w:szCs w:val="24"/>
        </w:rPr>
        <w:t xml:space="preserve"> i dyreforsøg. I 105 knoglebiopsier fra patienter, som havde fået behandling med </w:t>
      </w:r>
      <w:proofErr w:type="spellStart"/>
      <w:r w:rsidRPr="00080E1C">
        <w:rPr>
          <w:sz w:val="24"/>
          <w:szCs w:val="24"/>
        </w:rPr>
        <w:t>lanthanumcarbonat</w:t>
      </w:r>
      <w:proofErr w:type="spellEnd"/>
      <w:r w:rsidRPr="00080E1C">
        <w:rPr>
          <w:sz w:val="24"/>
          <w:szCs w:val="24"/>
        </w:rPr>
        <w:t xml:space="preserve">, nogle i op til 4,5 år, er der set stigende niveauer af </w:t>
      </w:r>
      <w:proofErr w:type="spellStart"/>
      <w:r w:rsidRPr="00080E1C">
        <w:rPr>
          <w:sz w:val="24"/>
          <w:szCs w:val="24"/>
        </w:rPr>
        <w:t>lanthanum</w:t>
      </w:r>
      <w:proofErr w:type="spellEnd"/>
      <w:r w:rsidRPr="00080E1C">
        <w:rPr>
          <w:sz w:val="24"/>
          <w:szCs w:val="24"/>
        </w:rPr>
        <w:t xml:space="preserve"> over tid (se pkt. 5.1). Der er rapporteret tilfælde med aflejring af </w:t>
      </w:r>
      <w:proofErr w:type="spellStart"/>
      <w:r w:rsidRPr="00080E1C">
        <w:rPr>
          <w:sz w:val="24"/>
          <w:szCs w:val="24"/>
        </w:rPr>
        <w:t>lanthanum</w:t>
      </w:r>
      <w:proofErr w:type="spellEnd"/>
      <w:r w:rsidRPr="00080E1C">
        <w:rPr>
          <w:sz w:val="24"/>
          <w:szCs w:val="24"/>
        </w:rPr>
        <w:t xml:space="preserve"> i </w:t>
      </w:r>
      <w:proofErr w:type="spellStart"/>
      <w:r w:rsidRPr="00080E1C">
        <w:rPr>
          <w:sz w:val="24"/>
          <w:szCs w:val="24"/>
        </w:rPr>
        <w:t>gastrointestinal</w:t>
      </w:r>
      <w:proofErr w:type="spellEnd"/>
      <w:r w:rsidRPr="00080E1C">
        <w:rPr>
          <w:sz w:val="24"/>
          <w:szCs w:val="24"/>
        </w:rPr>
        <w:t xml:space="preserve"> slimhinde, hovedsageligt efter langvarig brug. </w:t>
      </w:r>
      <w:r w:rsidR="00991790">
        <w:rPr>
          <w:sz w:val="24"/>
          <w:szCs w:val="24"/>
        </w:rPr>
        <w:t xml:space="preserve">Der er påvist </w:t>
      </w:r>
      <w:proofErr w:type="spellStart"/>
      <w:r w:rsidR="00991790">
        <w:rPr>
          <w:sz w:val="24"/>
          <w:szCs w:val="24"/>
        </w:rPr>
        <w:t>lanthanumaflejringer</w:t>
      </w:r>
      <w:proofErr w:type="spellEnd"/>
      <w:r w:rsidR="00991790">
        <w:rPr>
          <w:sz w:val="24"/>
          <w:szCs w:val="24"/>
        </w:rPr>
        <w:t xml:space="preserve"> i den </w:t>
      </w:r>
      <w:proofErr w:type="spellStart"/>
      <w:r w:rsidR="00991790">
        <w:rPr>
          <w:sz w:val="24"/>
          <w:szCs w:val="24"/>
        </w:rPr>
        <w:t>gastroduodenale</w:t>
      </w:r>
      <w:proofErr w:type="spellEnd"/>
      <w:r w:rsidR="00991790">
        <w:rPr>
          <w:sz w:val="24"/>
          <w:szCs w:val="24"/>
        </w:rPr>
        <w:t xml:space="preserve"> </w:t>
      </w:r>
      <w:proofErr w:type="spellStart"/>
      <w:r w:rsidR="00991790">
        <w:rPr>
          <w:sz w:val="24"/>
          <w:szCs w:val="24"/>
        </w:rPr>
        <w:t>mucosa</w:t>
      </w:r>
      <w:proofErr w:type="spellEnd"/>
      <w:r w:rsidR="00991790">
        <w:rPr>
          <w:sz w:val="24"/>
          <w:szCs w:val="24"/>
        </w:rPr>
        <w:t xml:space="preserve"> ved endoskopi i form af hvidlige læsioner i forskellige størrelser og former. Der er desuden identificeret forskellige patologiske karakteristika i den </w:t>
      </w:r>
      <w:proofErr w:type="spellStart"/>
      <w:r w:rsidR="00991790">
        <w:rPr>
          <w:sz w:val="24"/>
          <w:szCs w:val="24"/>
        </w:rPr>
        <w:t>gastroduodenale</w:t>
      </w:r>
      <w:proofErr w:type="spellEnd"/>
      <w:r w:rsidR="00991790">
        <w:rPr>
          <w:sz w:val="24"/>
          <w:szCs w:val="24"/>
        </w:rPr>
        <w:t xml:space="preserve"> </w:t>
      </w:r>
      <w:proofErr w:type="spellStart"/>
      <w:r w:rsidR="00991790">
        <w:rPr>
          <w:sz w:val="24"/>
          <w:szCs w:val="24"/>
        </w:rPr>
        <w:t>mucosa</w:t>
      </w:r>
      <w:proofErr w:type="spellEnd"/>
      <w:r w:rsidR="00991790">
        <w:rPr>
          <w:sz w:val="24"/>
          <w:szCs w:val="24"/>
        </w:rPr>
        <w:t xml:space="preserve"> med </w:t>
      </w:r>
      <w:proofErr w:type="spellStart"/>
      <w:r w:rsidR="00991790">
        <w:rPr>
          <w:sz w:val="24"/>
          <w:szCs w:val="24"/>
        </w:rPr>
        <w:t>lanthanumaflejringer</w:t>
      </w:r>
      <w:proofErr w:type="spellEnd"/>
      <w:r w:rsidR="00991790">
        <w:rPr>
          <w:sz w:val="24"/>
          <w:szCs w:val="24"/>
        </w:rPr>
        <w:t xml:space="preserve">, såsom kronisk eller aktiv inflammation, </w:t>
      </w:r>
      <w:proofErr w:type="spellStart"/>
      <w:r w:rsidR="00991790">
        <w:rPr>
          <w:sz w:val="24"/>
          <w:szCs w:val="24"/>
        </w:rPr>
        <w:t>g</w:t>
      </w:r>
      <w:r w:rsidR="00991790" w:rsidRPr="008B5C1A">
        <w:rPr>
          <w:sz w:val="24"/>
          <w:szCs w:val="24"/>
        </w:rPr>
        <w:t>l</w:t>
      </w:r>
      <w:r w:rsidR="00991790">
        <w:rPr>
          <w:sz w:val="24"/>
          <w:szCs w:val="24"/>
        </w:rPr>
        <w:t>andulær</w:t>
      </w:r>
      <w:proofErr w:type="spellEnd"/>
      <w:r w:rsidR="00991790">
        <w:rPr>
          <w:sz w:val="24"/>
          <w:szCs w:val="24"/>
        </w:rPr>
        <w:t xml:space="preserve"> atrofi, regenerative forandringer, </w:t>
      </w:r>
      <w:proofErr w:type="spellStart"/>
      <w:r w:rsidR="00991790">
        <w:rPr>
          <w:sz w:val="24"/>
          <w:szCs w:val="24"/>
        </w:rPr>
        <w:t>foveolær</w:t>
      </w:r>
      <w:proofErr w:type="spellEnd"/>
      <w:r w:rsidR="00991790">
        <w:rPr>
          <w:sz w:val="24"/>
          <w:szCs w:val="24"/>
        </w:rPr>
        <w:t xml:space="preserve"> </w:t>
      </w:r>
      <w:proofErr w:type="spellStart"/>
      <w:r w:rsidR="00991790">
        <w:rPr>
          <w:sz w:val="24"/>
          <w:szCs w:val="24"/>
        </w:rPr>
        <w:t>hyperplasi</w:t>
      </w:r>
      <w:proofErr w:type="spellEnd"/>
      <w:r w:rsidR="00991790">
        <w:rPr>
          <w:sz w:val="24"/>
          <w:szCs w:val="24"/>
        </w:rPr>
        <w:t xml:space="preserve">, </w:t>
      </w:r>
      <w:proofErr w:type="spellStart"/>
      <w:r w:rsidR="00991790">
        <w:rPr>
          <w:sz w:val="24"/>
          <w:szCs w:val="24"/>
        </w:rPr>
        <w:t>intestinal</w:t>
      </w:r>
      <w:proofErr w:type="spellEnd"/>
      <w:r w:rsidR="00991790">
        <w:rPr>
          <w:sz w:val="24"/>
          <w:szCs w:val="24"/>
        </w:rPr>
        <w:t xml:space="preserve"> </w:t>
      </w:r>
      <w:proofErr w:type="spellStart"/>
      <w:r w:rsidR="00991790">
        <w:rPr>
          <w:sz w:val="24"/>
          <w:szCs w:val="24"/>
        </w:rPr>
        <w:t>metaplasi</w:t>
      </w:r>
      <w:proofErr w:type="spellEnd"/>
      <w:r w:rsidR="00991790">
        <w:rPr>
          <w:sz w:val="24"/>
          <w:szCs w:val="24"/>
        </w:rPr>
        <w:t xml:space="preserve"> og </w:t>
      </w:r>
      <w:proofErr w:type="spellStart"/>
      <w:r w:rsidR="00991790">
        <w:rPr>
          <w:sz w:val="24"/>
          <w:szCs w:val="24"/>
        </w:rPr>
        <w:t>neoplasi</w:t>
      </w:r>
      <w:proofErr w:type="spellEnd"/>
      <w:r w:rsidR="00991790">
        <w:rPr>
          <w:sz w:val="24"/>
          <w:szCs w:val="24"/>
        </w:rPr>
        <w:t>.</w:t>
      </w: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  <w:r w:rsidRPr="00080E1C">
        <w:rPr>
          <w:sz w:val="24"/>
          <w:szCs w:val="24"/>
        </w:rPr>
        <w:t xml:space="preserve">På nuværende tidspunkt foreligger der kun begrænsede data om </w:t>
      </w:r>
      <w:proofErr w:type="spellStart"/>
      <w:r w:rsidRPr="00080E1C">
        <w:rPr>
          <w:sz w:val="24"/>
          <w:szCs w:val="24"/>
        </w:rPr>
        <w:t>lanthanumcarbonat</w:t>
      </w:r>
      <w:proofErr w:type="spellEnd"/>
      <w:r w:rsidRPr="00080E1C">
        <w:rPr>
          <w:sz w:val="24"/>
          <w:szCs w:val="24"/>
        </w:rPr>
        <w:t xml:space="preserve"> fra kliniske studier med en varighed på mere end 2 år. Behandling af patienter med </w:t>
      </w:r>
      <w:proofErr w:type="spellStart"/>
      <w:r w:rsidRPr="00080E1C">
        <w:rPr>
          <w:sz w:val="24"/>
          <w:szCs w:val="24"/>
        </w:rPr>
        <w:t>lanthanumcarbonat</w:t>
      </w:r>
      <w:proofErr w:type="spellEnd"/>
      <w:r w:rsidRPr="00080E1C">
        <w:rPr>
          <w:sz w:val="24"/>
          <w:szCs w:val="24"/>
        </w:rPr>
        <w:t xml:space="preserve"> i op til 6 år har dog ikke givet anledning til ændringer i benefit/</w:t>
      </w:r>
      <w:proofErr w:type="spellStart"/>
      <w:r w:rsidRPr="00080E1C">
        <w:rPr>
          <w:sz w:val="24"/>
          <w:szCs w:val="24"/>
        </w:rPr>
        <w:t>risk</w:t>
      </w:r>
      <w:proofErr w:type="spellEnd"/>
      <w:r w:rsidRPr="00080E1C">
        <w:rPr>
          <w:sz w:val="24"/>
          <w:szCs w:val="24"/>
        </w:rPr>
        <w:t>-profilen.</w:t>
      </w: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  <w:r w:rsidRPr="00080E1C">
        <w:rPr>
          <w:sz w:val="24"/>
          <w:szCs w:val="24"/>
        </w:rPr>
        <w:t xml:space="preserve">Der har været tilfælde af </w:t>
      </w:r>
      <w:proofErr w:type="spellStart"/>
      <w:r w:rsidRPr="00080E1C">
        <w:rPr>
          <w:sz w:val="24"/>
          <w:szCs w:val="24"/>
        </w:rPr>
        <w:t>gastrointestinal</w:t>
      </w:r>
      <w:proofErr w:type="spellEnd"/>
      <w:r w:rsidRPr="00080E1C">
        <w:rPr>
          <w:sz w:val="24"/>
          <w:szCs w:val="24"/>
        </w:rPr>
        <w:t xml:space="preserve"> obstruktion, </w:t>
      </w:r>
      <w:proofErr w:type="spellStart"/>
      <w:r w:rsidRPr="00080E1C">
        <w:rPr>
          <w:sz w:val="24"/>
          <w:szCs w:val="24"/>
        </w:rPr>
        <w:t>ileus</w:t>
      </w:r>
      <w:proofErr w:type="spellEnd"/>
      <w:r w:rsidRPr="00080E1C">
        <w:rPr>
          <w:sz w:val="24"/>
          <w:szCs w:val="24"/>
        </w:rPr>
        <w:t xml:space="preserve">, </w:t>
      </w:r>
      <w:proofErr w:type="spellStart"/>
      <w:r w:rsidRPr="00080E1C">
        <w:rPr>
          <w:sz w:val="24"/>
          <w:szCs w:val="24"/>
        </w:rPr>
        <w:t>subileus</w:t>
      </w:r>
      <w:proofErr w:type="spellEnd"/>
      <w:r w:rsidRPr="00080E1C">
        <w:rPr>
          <w:sz w:val="24"/>
          <w:szCs w:val="24"/>
        </w:rPr>
        <w:t xml:space="preserve"> og </w:t>
      </w:r>
      <w:proofErr w:type="spellStart"/>
      <w:r w:rsidRPr="00080E1C">
        <w:rPr>
          <w:sz w:val="24"/>
          <w:szCs w:val="24"/>
        </w:rPr>
        <w:t>gastrointestinal</w:t>
      </w:r>
      <w:proofErr w:type="spellEnd"/>
      <w:r w:rsidRPr="00080E1C">
        <w:rPr>
          <w:sz w:val="24"/>
          <w:szCs w:val="24"/>
        </w:rPr>
        <w:t xml:space="preserve"> perforation i forbindelse med </w:t>
      </w:r>
      <w:proofErr w:type="spellStart"/>
      <w:r w:rsidRPr="00080E1C">
        <w:rPr>
          <w:sz w:val="24"/>
          <w:szCs w:val="24"/>
        </w:rPr>
        <w:t>lanthanum</w:t>
      </w:r>
      <w:proofErr w:type="spellEnd"/>
      <w:r w:rsidRPr="00080E1C">
        <w:rPr>
          <w:sz w:val="24"/>
          <w:szCs w:val="24"/>
        </w:rPr>
        <w:t xml:space="preserve">, hvoraf nogle tilfælde krævede operation eller hospitalsindlæggelse (se pkt. 4.8). </w:t>
      </w: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</w:p>
    <w:p w:rsidR="008F1697" w:rsidRDefault="008F1697" w:rsidP="008F16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med </w:t>
      </w: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hos patienter, som er prædisponerede for </w:t>
      </w:r>
      <w:proofErr w:type="spellStart"/>
      <w:r>
        <w:rPr>
          <w:sz w:val="24"/>
          <w:szCs w:val="24"/>
        </w:rPr>
        <w:t>gastrointestinal</w:t>
      </w:r>
      <w:proofErr w:type="spellEnd"/>
      <w:r>
        <w:rPr>
          <w:sz w:val="24"/>
          <w:szCs w:val="24"/>
        </w:rPr>
        <w:t xml:space="preserve"> obstruktion, </w:t>
      </w:r>
      <w:proofErr w:type="spellStart"/>
      <w:r>
        <w:rPr>
          <w:sz w:val="24"/>
          <w:szCs w:val="24"/>
        </w:rPr>
        <w:t>ileus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subileus</w:t>
      </w:r>
      <w:proofErr w:type="spellEnd"/>
      <w:r>
        <w:rPr>
          <w:sz w:val="24"/>
          <w:szCs w:val="24"/>
        </w:rPr>
        <w:t xml:space="preserve"> og perforering, for eksempel på grund af ændret </w:t>
      </w:r>
      <w:proofErr w:type="spellStart"/>
      <w:r>
        <w:rPr>
          <w:sz w:val="24"/>
          <w:szCs w:val="24"/>
        </w:rPr>
        <w:t>gastrointestinal</w:t>
      </w:r>
      <w:proofErr w:type="spellEnd"/>
      <w:r>
        <w:rPr>
          <w:sz w:val="24"/>
          <w:szCs w:val="24"/>
        </w:rPr>
        <w:t xml:space="preserve"> anatomi (såsom </w:t>
      </w:r>
      <w:proofErr w:type="spellStart"/>
      <w:r>
        <w:rPr>
          <w:sz w:val="24"/>
          <w:szCs w:val="24"/>
        </w:rPr>
        <w:t>divertikulitis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peritonitis</w:t>
      </w:r>
      <w:proofErr w:type="spellEnd"/>
      <w:r>
        <w:rPr>
          <w:sz w:val="24"/>
          <w:szCs w:val="24"/>
        </w:rPr>
        <w:t xml:space="preserve">, anamnese med </w:t>
      </w:r>
      <w:proofErr w:type="spellStart"/>
      <w:r>
        <w:rPr>
          <w:sz w:val="24"/>
          <w:szCs w:val="24"/>
        </w:rPr>
        <w:t>gastrointestinal</w:t>
      </w:r>
      <w:proofErr w:type="spellEnd"/>
      <w:r>
        <w:rPr>
          <w:sz w:val="24"/>
          <w:szCs w:val="24"/>
        </w:rPr>
        <w:t xml:space="preserve"> operation, </w:t>
      </w:r>
      <w:proofErr w:type="spellStart"/>
      <w:r>
        <w:rPr>
          <w:sz w:val="24"/>
          <w:szCs w:val="24"/>
        </w:rPr>
        <w:t>gastrointestinal</w:t>
      </w:r>
      <w:proofErr w:type="spellEnd"/>
      <w:r>
        <w:rPr>
          <w:sz w:val="24"/>
          <w:szCs w:val="24"/>
        </w:rPr>
        <w:t xml:space="preserve"> cancer og </w:t>
      </w:r>
      <w:proofErr w:type="spellStart"/>
      <w:r>
        <w:rPr>
          <w:sz w:val="24"/>
          <w:szCs w:val="24"/>
        </w:rPr>
        <w:t>gastrointestinale</w:t>
      </w:r>
      <w:proofErr w:type="spellEnd"/>
      <w:r>
        <w:rPr>
          <w:sz w:val="24"/>
          <w:szCs w:val="24"/>
        </w:rPr>
        <w:t xml:space="preserve"> sår), </w:t>
      </w:r>
      <w:proofErr w:type="spellStart"/>
      <w:r>
        <w:rPr>
          <w:sz w:val="24"/>
          <w:szCs w:val="24"/>
        </w:rPr>
        <w:t>hypomotilitetslidelser</w:t>
      </w:r>
      <w:proofErr w:type="spellEnd"/>
      <w:r>
        <w:rPr>
          <w:sz w:val="24"/>
          <w:szCs w:val="24"/>
        </w:rPr>
        <w:t xml:space="preserve"> (såsom obstipation, diabetisk </w:t>
      </w:r>
      <w:proofErr w:type="spellStart"/>
      <w:r>
        <w:rPr>
          <w:sz w:val="24"/>
          <w:szCs w:val="24"/>
        </w:rPr>
        <w:t>gastroparese</w:t>
      </w:r>
      <w:proofErr w:type="spellEnd"/>
      <w:r>
        <w:rPr>
          <w:sz w:val="24"/>
          <w:szCs w:val="24"/>
        </w:rPr>
        <w:t xml:space="preserve">), og hos brugere der tager lægemidler, der vides at forstærke disse virkninger, bør kun bruges efter nøje overvejelse. </w:t>
      </w:r>
    </w:p>
    <w:p w:rsidR="008F1697" w:rsidRDefault="008F1697" w:rsidP="008F1697">
      <w:pPr>
        <w:tabs>
          <w:tab w:val="left" w:pos="851"/>
        </w:tabs>
        <w:ind w:left="851"/>
        <w:rPr>
          <w:sz w:val="24"/>
          <w:szCs w:val="24"/>
        </w:rPr>
      </w:pPr>
    </w:p>
    <w:p w:rsidR="008F1697" w:rsidRDefault="008F1697" w:rsidP="008F16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Alle brugere, læger og patienter bør være på vagt over for tegn og symptomer på </w:t>
      </w:r>
      <w:proofErr w:type="spellStart"/>
      <w:r>
        <w:rPr>
          <w:sz w:val="24"/>
          <w:szCs w:val="24"/>
        </w:rPr>
        <w:t>gastrointestinale</w:t>
      </w:r>
      <w:proofErr w:type="spellEnd"/>
      <w:r>
        <w:rPr>
          <w:sz w:val="24"/>
          <w:szCs w:val="24"/>
        </w:rPr>
        <w:t xml:space="preserve"> lidelser, især obstipation og </w:t>
      </w:r>
      <w:proofErr w:type="spellStart"/>
      <w:r>
        <w:rPr>
          <w:sz w:val="24"/>
          <w:szCs w:val="24"/>
        </w:rPr>
        <w:t>abdominalsmerter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abdominal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distension</w:t>
      </w:r>
      <w:proofErr w:type="spellEnd"/>
      <w:r>
        <w:rPr>
          <w:sz w:val="24"/>
          <w:szCs w:val="24"/>
        </w:rPr>
        <w:t xml:space="preserve">, som kan være tegn på tarmobstruktion, </w:t>
      </w:r>
      <w:proofErr w:type="spellStart"/>
      <w:r>
        <w:rPr>
          <w:sz w:val="24"/>
          <w:szCs w:val="24"/>
        </w:rPr>
        <w:t>ileus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subileus</w:t>
      </w:r>
      <w:proofErr w:type="spellEnd"/>
      <w:r>
        <w:rPr>
          <w:sz w:val="24"/>
          <w:szCs w:val="24"/>
        </w:rPr>
        <w:t xml:space="preserve"> under behandling med </w:t>
      </w:r>
      <w:proofErr w:type="spellStart"/>
      <w:r>
        <w:rPr>
          <w:sz w:val="24"/>
          <w:szCs w:val="24"/>
        </w:rPr>
        <w:t>lanthanumcarbonat</w:t>
      </w:r>
      <w:proofErr w:type="spellEnd"/>
      <w:r>
        <w:rPr>
          <w:sz w:val="24"/>
          <w:szCs w:val="24"/>
        </w:rPr>
        <w:t xml:space="preserve">. </w:t>
      </w:r>
    </w:p>
    <w:p w:rsidR="008F1697" w:rsidRDefault="008F1697" w:rsidP="008F1697">
      <w:pPr>
        <w:tabs>
          <w:tab w:val="left" w:pos="851"/>
        </w:tabs>
        <w:ind w:left="851"/>
        <w:rPr>
          <w:sz w:val="24"/>
          <w:szCs w:val="24"/>
        </w:rPr>
      </w:pPr>
    </w:p>
    <w:p w:rsidR="008F1697" w:rsidRDefault="008F1697" w:rsidP="008F169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lanthanumcarbonat</w:t>
      </w:r>
      <w:proofErr w:type="spellEnd"/>
      <w:r>
        <w:rPr>
          <w:sz w:val="24"/>
          <w:szCs w:val="24"/>
        </w:rPr>
        <w:t xml:space="preserve"> anbefales hos patienter, der udvikler svær obstipation eller andre alvorlige </w:t>
      </w:r>
      <w:proofErr w:type="spellStart"/>
      <w:r>
        <w:rPr>
          <w:sz w:val="24"/>
          <w:szCs w:val="24"/>
        </w:rPr>
        <w:t>gastrointestinale</w:t>
      </w:r>
      <w:proofErr w:type="spellEnd"/>
      <w:r>
        <w:rPr>
          <w:sz w:val="24"/>
          <w:szCs w:val="24"/>
        </w:rPr>
        <w:t xml:space="preserve"> tegn og symptomer, uafhængig af prædisponerede forhold.</w:t>
      </w:r>
    </w:p>
    <w:p w:rsidR="008F1697" w:rsidRDefault="008F1697" w:rsidP="008F1697">
      <w:pPr>
        <w:tabs>
          <w:tab w:val="left" w:pos="851"/>
        </w:tabs>
        <w:ind w:left="851"/>
        <w:rPr>
          <w:sz w:val="24"/>
          <w:szCs w:val="24"/>
        </w:rPr>
      </w:pPr>
    </w:p>
    <w:p w:rsidR="008F1697" w:rsidRDefault="008F1697" w:rsidP="008F169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med akut ulcus </w:t>
      </w:r>
      <w:proofErr w:type="spellStart"/>
      <w:r>
        <w:rPr>
          <w:sz w:val="24"/>
          <w:szCs w:val="24"/>
        </w:rPr>
        <w:t>pepticum</w:t>
      </w:r>
      <w:proofErr w:type="spellEnd"/>
      <w:r>
        <w:rPr>
          <w:sz w:val="24"/>
          <w:szCs w:val="24"/>
        </w:rPr>
        <w:t xml:space="preserve">, colitis </w:t>
      </w:r>
      <w:proofErr w:type="spellStart"/>
      <w:r>
        <w:rPr>
          <w:sz w:val="24"/>
          <w:szCs w:val="24"/>
        </w:rPr>
        <w:t>ulcerosa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Crohns</w:t>
      </w:r>
      <w:proofErr w:type="spellEnd"/>
      <w:r>
        <w:rPr>
          <w:sz w:val="24"/>
          <w:szCs w:val="24"/>
        </w:rPr>
        <w:t xml:space="preserve"> sygdom eller tarmobstruktion blev ikke inkluderet i kliniske studier med </w:t>
      </w:r>
      <w:proofErr w:type="spellStart"/>
      <w:r>
        <w:rPr>
          <w:sz w:val="24"/>
          <w:szCs w:val="24"/>
        </w:rPr>
        <w:t>lanthanumcarbonat</w:t>
      </w:r>
      <w:proofErr w:type="spellEnd"/>
      <w:r>
        <w:rPr>
          <w:sz w:val="24"/>
          <w:szCs w:val="24"/>
        </w:rPr>
        <w:t>.</w:t>
      </w: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</w:p>
    <w:p w:rsidR="00080E1C" w:rsidRPr="00080E1C" w:rsidRDefault="002904C0" w:rsidP="00080E1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080E1C" w:rsidRPr="00080E1C">
        <w:rPr>
          <w:sz w:val="24"/>
          <w:szCs w:val="24"/>
        </w:rPr>
        <w:t xml:space="preserve">-tabletter skal tygges fuldstændigt og må ikke sluges hele (se pkt. 4.2). Der er rapporteret alvorlige </w:t>
      </w:r>
      <w:proofErr w:type="spellStart"/>
      <w:r w:rsidR="00080E1C" w:rsidRPr="00080E1C">
        <w:rPr>
          <w:sz w:val="24"/>
          <w:szCs w:val="24"/>
        </w:rPr>
        <w:t>gastrointestinale</w:t>
      </w:r>
      <w:proofErr w:type="spellEnd"/>
      <w:r w:rsidR="00080E1C" w:rsidRPr="00080E1C">
        <w:rPr>
          <w:sz w:val="24"/>
          <w:szCs w:val="24"/>
        </w:rPr>
        <w:t xml:space="preserve"> komplikationer i forbindelse med </w:t>
      </w:r>
      <w:proofErr w:type="spellStart"/>
      <w:r w:rsidR="00080E1C" w:rsidRPr="00080E1C">
        <w:rPr>
          <w:sz w:val="24"/>
          <w:szCs w:val="24"/>
        </w:rPr>
        <w:t>utyggede</w:t>
      </w:r>
      <w:proofErr w:type="spellEnd"/>
      <w:r w:rsidR="00080E1C" w:rsidRPr="00080E1C">
        <w:rPr>
          <w:sz w:val="24"/>
          <w:szCs w:val="24"/>
        </w:rPr>
        <w:t xml:space="preserve"> eller delvist tyggede </w:t>
      </w: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080E1C" w:rsidRPr="00080E1C">
        <w:rPr>
          <w:sz w:val="24"/>
          <w:szCs w:val="24"/>
        </w:rPr>
        <w:t>-tabletter.</w:t>
      </w:r>
      <w:r w:rsidR="00080E1C" w:rsidRPr="00080E1C">
        <w:rPr>
          <w:sz w:val="24"/>
          <w:szCs w:val="24"/>
        </w:rPr>
        <w:cr/>
      </w: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  <w:r w:rsidRPr="00080E1C">
        <w:rPr>
          <w:sz w:val="24"/>
          <w:szCs w:val="24"/>
        </w:rPr>
        <w:t xml:space="preserve">Patienter med nedsat nyrefunktion kan udvikle </w:t>
      </w:r>
      <w:proofErr w:type="spellStart"/>
      <w:r w:rsidRPr="00080E1C">
        <w:rPr>
          <w:sz w:val="24"/>
          <w:szCs w:val="24"/>
        </w:rPr>
        <w:t>hypokalcæmi</w:t>
      </w:r>
      <w:proofErr w:type="spellEnd"/>
      <w:r w:rsidRPr="00080E1C">
        <w:rPr>
          <w:sz w:val="24"/>
          <w:szCs w:val="24"/>
        </w:rPr>
        <w:t xml:space="preserve">.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080E1C">
        <w:rPr>
          <w:sz w:val="24"/>
          <w:szCs w:val="24"/>
        </w:rPr>
        <w:t xml:space="preserve"> indeholder ikke kalcium. Derfor skal serumkalciumniveauer i denne patientpopulation overvåges regelmæssigt, og der skal gives passende tilskud.</w:t>
      </w: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  <w:r w:rsidRPr="00080E1C">
        <w:rPr>
          <w:sz w:val="24"/>
          <w:szCs w:val="24"/>
        </w:rPr>
        <w:lastRenderedPageBreak/>
        <w:t xml:space="preserve"> </w:t>
      </w: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80E1C">
        <w:rPr>
          <w:sz w:val="24"/>
          <w:szCs w:val="24"/>
        </w:rPr>
        <w:t>Lanthanum</w:t>
      </w:r>
      <w:proofErr w:type="spellEnd"/>
      <w:r w:rsidRPr="00080E1C">
        <w:rPr>
          <w:sz w:val="24"/>
          <w:szCs w:val="24"/>
        </w:rPr>
        <w:t xml:space="preserve"> </w:t>
      </w:r>
      <w:proofErr w:type="spellStart"/>
      <w:r w:rsidRPr="00080E1C">
        <w:rPr>
          <w:sz w:val="24"/>
          <w:szCs w:val="24"/>
        </w:rPr>
        <w:t>metaboliseres</w:t>
      </w:r>
      <w:proofErr w:type="spellEnd"/>
      <w:r w:rsidRPr="00080E1C">
        <w:rPr>
          <w:sz w:val="24"/>
          <w:szCs w:val="24"/>
        </w:rPr>
        <w:t xml:space="preserve"> ikke af leverenzymer, men udskilles sandsynligvis i galden. Forhold, der resulterer i en væsentlig reducering af galdestrøm, kan være forbundet med trinvis langsommere elimination af </w:t>
      </w:r>
      <w:proofErr w:type="spellStart"/>
      <w:r w:rsidRPr="00080E1C">
        <w:rPr>
          <w:sz w:val="24"/>
          <w:szCs w:val="24"/>
        </w:rPr>
        <w:t>lanthanum</w:t>
      </w:r>
      <w:proofErr w:type="spellEnd"/>
      <w:r w:rsidRPr="00080E1C">
        <w:rPr>
          <w:sz w:val="24"/>
          <w:szCs w:val="24"/>
        </w:rPr>
        <w:t xml:space="preserve">, hvilket kan resultere i højre niveauer i plasma og øget aflejring af </w:t>
      </w:r>
      <w:proofErr w:type="spellStart"/>
      <w:r w:rsidRPr="00080E1C">
        <w:rPr>
          <w:sz w:val="24"/>
          <w:szCs w:val="24"/>
        </w:rPr>
        <w:t>lanthanum</w:t>
      </w:r>
      <w:proofErr w:type="spellEnd"/>
      <w:r w:rsidRPr="00080E1C">
        <w:rPr>
          <w:sz w:val="24"/>
          <w:szCs w:val="24"/>
        </w:rPr>
        <w:t xml:space="preserve"> i vævet (se pkt. 5.2 og 5.3). Eftersom leveren er det primære eliminationsorgan for absorberet </w:t>
      </w:r>
      <w:proofErr w:type="spellStart"/>
      <w:r w:rsidRPr="00080E1C">
        <w:rPr>
          <w:sz w:val="24"/>
          <w:szCs w:val="24"/>
        </w:rPr>
        <w:t>lanthanum</w:t>
      </w:r>
      <w:proofErr w:type="spellEnd"/>
      <w:r w:rsidRPr="00080E1C">
        <w:rPr>
          <w:sz w:val="24"/>
          <w:szCs w:val="24"/>
        </w:rPr>
        <w:t xml:space="preserve">, anbefales det at overvåge leverfunktionsprøver. </w:t>
      </w:r>
    </w:p>
    <w:p w:rsidR="00080E1C" w:rsidRPr="00080E1C" w:rsidRDefault="00080E1C" w:rsidP="00991790">
      <w:pPr>
        <w:tabs>
          <w:tab w:val="left" w:pos="851"/>
        </w:tabs>
        <w:rPr>
          <w:sz w:val="24"/>
          <w:szCs w:val="24"/>
        </w:rPr>
      </w:pPr>
    </w:p>
    <w:p w:rsidR="00080E1C" w:rsidRPr="00080E1C" w:rsidRDefault="002904C0" w:rsidP="00080E1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080E1C" w:rsidRPr="00080E1C">
        <w:rPr>
          <w:sz w:val="24"/>
          <w:szCs w:val="24"/>
        </w:rPr>
        <w:t xml:space="preserve"> skal seponeres, hvis der udvikles </w:t>
      </w:r>
      <w:proofErr w:type="spellStart"/>
      <w:r w:rsidR="00080E1C" w:rsidRPr="00080E1C">
        <w:rPr>
          <w:sz w:val="24"/>
          <w:szCs w:val="24"/>
        </w:rPr>
        <w:t>hypofosfatæmi</w:t>
      </w:r>
      <w:proofErr w:type="spellEnd"/>
      <w:r w:rsidR="00080E1C" w:rsidRPr="00080E1C">
        <w:rPr>
          <w:sz w:val="24"/>
          <w:szCs w:val="24"/>
        </w:rPr>
        <w:t>.</w:t>
      </w: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</w:p>
    <w:p w:rsidR="00080E1C" w:rsidRPr="00080E1C" w:rsidRDefault="00080E1C" w:rsidP="00080E1C">
      <w:pPr>
        <w:tabs>
          <w:tab w:val="left" w:pos="851"/>
        </w:tabs>
        <w:ind w:left="851"/>
        <w:rPr>
          <w:sz w:val="24"/>
          <w:szCs w:val="24"/>
        </w:rPr>
      </w:pPr>
      <w:r w:rsidRPr="00080E1C">
        <w:rPr>
          <w:sz w:val="24"/>
          <w:szCs w:val="24"/>
        </w:rPr>
        <w:t xml:space="preserve">Røntgenbilleder af abdomen hos patienter, der tager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080E1C">
        <w:rPr>
          <w:sz w:val="24"/>
          <w:szCs w:val="24"/>
        </w:rPr>
        <w:t>, kan have skygger, som når der bruges kontrastmiddel.</w:t>
      </w:r>
    </w:p>
    <w:p w:rsidR="007D61CE" w:rsidRPr="00080E1C" w:rsidRDefault="007D61CE" w:rsidP="007D61CE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FE5285" w:rsidRDefault="007C5D2A" w:rsidP="007C5D2A">
      <w:pPr>
        <w:ind w:left="851" w:hanging="851"/>
        <w:rPr>
          <w:b/>
          <w:sz w:val="24"/>
          <w:szCs w:val="24"/>
        </w:rPr>
      </w:pPr>
      <w:r w:rsidRPr="00FE5285">
        <w:rPr>
          <w:b/>
          <w:sz w:val="24"/>
          <w:szCs w:val="24"/>
        </w:rPr>
        <w:t>4.5</w:t>
      </w:r>
      <w:r w:rsidRPr="00FE5285">
        <w:rPr>
          <w:b/>
          <w:sz w:val="24"/>
          <w:szCs w:val="24"/>
        </w:rPr>
        <w:tab/>
      </w:r>
      <w:r w:rsidR="00FE5285">
        <w:rPr>
          <w:b/>
          <w:sz w:val="24"/>
          <w:szCs w:val="24"/>
        </w:rPr>
        <w:t>Interaktion med andre lægemidler og andre former for interaktion</w:t>
      </w: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66D13">
        <w:rPr>
          <w:sz w:val="24"/>
          <w:szCs w:val="24"/>
        </w:rPr>
        <w:t>Lanthanumcarbonathydrat</w:t>
      </w:r>
      <w:proofErr w:type="spellEnd"/>
      <w:r w:rsidRPr="00D66D13">
        <w:rPr>
          <w:sz w:val="24"/>
          <w:szCs w:val="24"/>
        </w:rPr>
        <w:t xml:space="preserve"> kan øge gastrisk pH. Det anbefales, at stoffer, der vides at interagere med </w:t>
      </w:r>
      <w:proofErr w:type="spellStart"/>
      <w:r w:rsidRPr="00D66D13">
        <w:rPr>
          <w:sz w:val="24"/>
          <w:szCs w:val="24"/>
        </w:rPr>
        <w:t>antacida</w:t>
      </w:r>
      <w:proofErr w:type="spellEnd"/>
      <w:r w:rsidRPr="00D66D13">
        <w:rPr>
          <w:sz w:val="24"/>
          <w:szCs w:val="24"/>
        </w:rPr>
        <w:t xml:space="preserve">, ikke indtages inden for 2 timer før eller efter dosering med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D66D13">
        <w:rPr>
          <w:sz w:val="24"/>
          <w:szCs w:val="24"/>
        </w:rPr>
        <w:t xml:space="preserve"> (f.eks. </w:t>
      </w:r>
      <w:proofErr w:type="spellStart"/>
      <w:r w:rsidRPr="00D66D13">
        <w:rPr>
          <w:sz w:val="24"/>
          <w:szCs w:val="24"/>
        </w:rPr>
        <w:t>chloroquin</w:t>
      </w:r>
      <w:proofErr w:type="spellEnd"/>
      <w:r w:rsidRPr="00D66D13">
        <w:rPr>
          <w:sz w:val="24"/>
          <w:szCs w:val="24"/>
        </w:rPr>
        <w:t xml:space="preserve">, </w:t>
      </w:r>
      <w:proofErr w:type="spellStart"/>
      <w:r w:rsidRPr="00D66D13">
        <w:rPr>
          <w:sz w:val="24"/>
          <w:szCs w:val="24"/>
        </w:rPr>
        <w:t>hydroxychloroquin</w:t>
      </w:r>
      <w:proofErr w:type="spellEnd"/>
      <w:r w:rsidRPr="00D66D13">
        <w:rPr>
          <w:sz w:val="24"/>
          <w:szCs w:val="24"/>
        </w:rPr>
        <w:t xml:space="preserve"> og </w:t>
      </w:r>
      <w:proofErr w:type="spellStart"/>
      <w:r w:rsidRPr="00D66D13">
        <w:rPr>
          <w:sz w:val="24"/>
          <w:szCs w:val="24"/>
        </w:rPr>
        <w:t>ketoconazol</w:t>
      </w:r>
      <w:proofErr w:type="spellEnd"/>
      <w:r w:rsidRPr="00D66D13">
        <w:rPr>
          <w:sz w:val="24"/>
          <w:szCs w:val="24"/>
        </w:rPr>
        <w:t>).</w:t>
      </w: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D66D13">
        <w:rPr>
          <w:sz w:val="24"/>
          <w:szCs w:val="24"/>
        </w:rPr>
        <w:t xml:space="preserve">Hos raske personer blev absorption og farmakokinetik af </w:t>
      </w:r>
      <w:proofErr w:type="spellStart"/>
      <w:r w:rsidRPr="00D66D13">
        <w:rPr>
          <w:sz w:val="24"/>
          <w:szCs w:val="24"/>
        </w:rPr>
        <w:t>lanthanum</w:t>
      </w:r>
      <w:proofErr w:type="spellEnd"/>
      <w:r w:rsidRPr="00D66D13">
        <w:rPr>
          <w:sz w:val="24"/>
          <w:szCs w:val="24"/>
        </w:rPr>
        <w:t xml:space="preserve"> ikke påvirket af samtidig administration af citrat.</w:t>
      </w: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D66D13">
        <w:rPr>
          <w:sz w:val="24"/>
          <w:szCs w:val="24"/>
        </w:rPr>
        <w:t xml:space="preserve">Serumniveauer af fedtopløselige vitaminer (A, D, E og K) blev ikke påvirket af administration af </w:t>
      </w:r>
      <w:proofErr w:type="spellStart"/>
      <w:r w:rsidRPr="00D66D13">
        <w:rPr>
          <w:sz w:val="24"/>
          <w:szCs w:val="24"/>
        </w:rPr>
        <w:t>lanthanumcarbonat</w:t>
      </w:r>
      <w:proofErr w:type="spellEnd"/>
      <w:r w:rsidRPr="00D66D13">
        <w:rPr>
          <w:sz w:val="24"/>
          <w:szCs w:val="24"/>
        </w:rPr>
        <w:t xml:space="preserve"> i kliniske studier.</w:t>
      </w: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D66D13">
        <w:rPr>
          <w:sz w:val="24"/>
          <w:szCs w:val="24"/>
        </w:rPr>
        <w:t xml:space="preserve">Studier med frivillige har vist, at samtidig administration af </w:t>
      </w:r>
      <w:proofErr w:type="spellStart"/>
      <w:r w:rsidRPr="00D66D13">
        <w:rPr>
          <w:sz w:val="24"/>
          <w:szCs w:val="24"/>
        </w:rPr>
        <w:t>lanthanumcarbonat</w:t>
      </w:r>
      <w:proofErr w:type="spellEnd"/>
      <w:r w:rsidRPr="00D66D13">
        <w:rPr>
          <w:sz w:val="24"/>
          <w:szCs w:val="24"/>
        </w:rPr>
        <w:t xml:space="preserve"> og </w:t>
      </w:r>
      <w:proofErr w:type="spellStart"/>
      <w:r w:rsidRPr="00D66D13">
        <w:rPr>
          <w:sz w:val="24"/>
          <w:szCs w:val="24"/>
        </w:rPr>
        <w:t>digoxin</w:t>
      </w:r>
      <w:proofErr w:type="spellEnd"/>
      <w:r w:rsidRPr="00D66D13">
        <w:rPr>
          <w:sz w:val="24"/>
          <w:szCs w:val="24"/>
        </w:rPr>
        <w:t xml:space="preserve">, </w:t>
      </w:r>
      <w:proofErr w:type="spellStart"/>
      <w:r w:rsidRPr="00D66D13">
        <w:rPr>
          <w:sz w:val="24"/>
          <w:szCs w:val="24"/>
        </w:rPr>
        <w:t>warfarin</w:t>
      </w:r>
      <w:proofErr w:type="spellEnd"/>
      <w:r w:rsidRPr="00D66D13">
        <w:rPr>
          <w:sz w:val="24"/>
          <w:szCs w:val="24"/>
        </w:rPr>
        <w:t xml:space="preserve"> eller </w:t>
      </w:r>
      <w:proofErr w:type="spellStart"/>
      <w:r w:rsidRPr="00D66D13">
        <w:rPr>
          <w:sz w:val="24"/>
          <w:szCs w:val="24"/>
        </w:rPr>
        <w:t>metoprolol</w:t>
      </w:r>
      <w:proofErr w:type="spellEnd"/>
      <w:r w:rsidRPr="00D66D13">
        <w:rPr>
          <w:sz w:val="24"/>
          <w:szCs w:val="24"/>
        </w:rPr>
        <w:t xml:space="preserve"> ikke genererer klinisk relevante ændringer i disse lægemidlers </w:t>
      </w:r>
      <w:proofErr w:type="spellStart"/>
      <w:r w:rsidRPr="00D66D13">
        <w:rPr>
          <w:sz w:val="24"/>
          <w:szCs w:val="24"/>
        </w:rPr>
        <w:t>farmakokinetiske</w:t>
      </w:r>
      <w:proofErr w:type="spellEnd"/>
      <w:r w:rsidRPr="00D66D13">
        <w:rPr>
          <w:sz w:val="24"/>
          <w:szCs w:val="24"/>
        </w:rPr>
        <w:t xml:space="preserve"> profiler.</w:t>
      </w: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D66D13">
        <w:rPr>
          <w:sz w:val="24"/>
          <w:szCs w:val="24"/>
        </w:rPr>
        <w:t xml:space="preserve">I simuleret mavesyre dannede </w:t>
      </w:r>
      <w:proofErr w:type="spellStart"/>
      <w:r w:rsidRPr="00D66D13">
        <w:rPr>
          <w:sz w:val="24"/>
          <w:szCs w:val="24"/>
        </w:rPr>
        <w:t>lanthanumcarbonathydrat</w:t>
      </w:r>
      <w:proofErr w:type="spellEnd"/>
      <w:r w:rsidRPr="00D66D13">
        <w:rPr>
          <w:sz w:val="24"/>
          <w:szCs w:val="24"/>
        </w:rPr>
        <w:t xml:space="preserve"> ikke uopløselige komplekser med </w:t>
      </w:r>
      <w:proofErr w:type="spellStart"/>
      <w:r w:rsidRPr="00D66D13">
        <w:rPr>
          <w:sz w:val="24"/>
          <w:szCs w:val="24"/>
        </w:rPr>
        <w:t>warfarin</w:t>
      </w:r>
      <w:proofErr w:type="spellEnd"/>
      <w:r w:rsidRPr="00D66D13">
        <w:rPr>
          <w:sz w:val="24"/>
          <w:szCs w:val="24"/>
        </w:rPr>
        <w:t xml:space="preserve">, </w:t>
      </w:r>
      <w:proofErr w:type="spellStart"/>
      <w:r w:rsidRPr="00D66D13">
        <w:rPr>
          <w:sz w:val="24"/>
          <w:szCs w:val="24"/>
        </w:rPr>
        <w:t>digoxin</w:t>
      </w:r>
      <w:proofErr w:type="spellEnd"/>
      <w:r w:rsidRPr="00D66D13">
        <w:rPr>
          <w:sz w:val="24"/>
          <w:szCs w:val="24"/>
        </w:rPr>
        <w:t xml:space="preserve">, </w:t>
      </w:r>
      <w:proofErr w:type="spellStart"/>
      <w:r w:rsidRPr="00D66D13">
        <w:rPr>
          <w:sz w:val="24"/>
          <w:szCs w:val="24"/>
        </w:rPr>
        <w:t>furosemid</w:t>
      </w:r>
      <w:proofErr w:type="spellEnd"/>
      <w:r w:rsidRPr="00D66D13">
        <w:rPr>
          <w:sz w:val="24"/>
          <w:szCs w:val="24"/>
        </w:rPr>
        <w:t xml:space="preserve">, </w:t>
      </w:r>
      <w:proofErr w:type="spellStart"/>
      <w:r w:rsidRPr="00D66D13">
        <w:rPr>
          <w:sz w:val="24"/>
          <w:szCs w:val="24"/>
        </w:rPr>
        <w:t>fenytoin</w:t>
      </w:r>
      <w:proofErr w:type="spellEnd"/>
      <w:r w:rsidRPr="00D66D13">
        <w:rPr>
          <w:sz w:val="24"/>
          <w:szCs w:val="24"/>
        </w:rPr>
        <w:t xml:space="preserve">, </w:t>
      </w:r>
      <w:proofErr w:type="spellStart"/>
      <w:r w:rsidRPr="00D66D13">
        <w:rPr>
          <w:sz w:val="24"/>
          <w:szCs w:val="24"/>
        </w:rPr>
        <w:t>metoprolol</w:t>
      </w:r>
      <w:proofErr w:type="spellEnd"/>
      <w:r w:rsidRPr="00D66D13">
        <w:rPr>
          <w:sz w:val="24"/>
          <w:szCs w:val="24"/>
        </w:rPr>
        <w:t xml:space="preserve"> eller </w:t>
      </w:r>
      <w:proofErr w:type="spellStart"/>
      <w:r w:rsidRPr="00D66D13">
        <w:rPr>
          <w:sz w:val="24"/>
          <w:szCs w:val="24"/>
        </w:rPr>
        <w:t>enalapril</w:t>
      </w:r>
      <w:proofErr w:type="spellEnd"/>
      <w:r w:rsidRPr="00D66D13">
        <w:rPr>
          <w:sz w:val="24"/>
          <w:szCs w:val="24"/>
        </w:rPr>
        <w:t>, hvilket tyder på et lavt potentiale for påvirkning af absorptionen af disse lægemidler.</w:t>
      </w: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D66D13">
        <w:rPr>
          <w:sz w:val="24"/>
          <w:szCs w:val="24"/>
        </w:rPr>
        <w:t xml:space="preserve">Det er dog teoretisk muligt, at der kan forekomme interaktioner med lægemidler som tetracyklin og </w:t>
      </w:r>
      <w:proofErr w:type="spellStart"/>
      <w:r w:rsidRPr="00D66D13">
        <w:rPr>
          <w:sz w:val="24"/>
          <w:szCs w:val="24"/>
        </w:rPr>
        <w:t>doxycyclin</w:t>
      </w:r>
      <w:proofErr w:type="spellEnd"/>
      <w:r w:rsidRPr="00D66D13">
        <w:rPr>
          <w:sz w:val="24"/>
          <w:szCs w:val="24"/>
        </w:rPr>
        <w:t xml:space="preserve">, og hvis disse lægemidler skal administreres samtidigt, anbefales det, at de ikke tages inden for 2 timer før eller efter dosering med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D66D13">
        <w:rPr>
          <w:sz w:val="24"/>
          <w:szCs w:val="24"/>
        </w:rPr>
        <w:t>.</w:t>
      </w: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D66D13">
        <w:rPr>
          <w:sz w:val="24"/>
          <w:szCs w:val="24"/>
        </w:rPr>
        <w:t xml:space="preserve">I et enkeltdosisstudie med raske frivillige faldt biotilgængeligheden af oral </w:t>
      </w:r>
      <w:proofErr w:type="spellStart"/>
      <w:r w:rsidRPr="00D66D13">
        <w:rPr>
          <w:sz w:val="24"/>
          <w:szCs w:val="24"/>
        </w:rPr>
        <w:t>ciprofloxacin</w:t>
      </w:r>
      <w:proofErr w:type="spellEnd"/>
      <w:r w:rsidRPr="00D66D13">
        <w:rPr>
          <w:sz w:val="24"/>
          <w:szCs w:val="24"/>
        </w:rPr>
        <w:t xml:space="preserve"> med ca. 50 %, når det blev taget sammen med </w:t>
      </w:r>
      <w:proofErr w:type="spellStart"/>
      <w:r w:rsidRPr="00D66D13">
        <w:rPr>
          <w:sz w:val="24"/>
          <w:szCs w:val="24"/>
        </w:rPr>
        <w:t>lanthanumcarbonat</w:t>
      </w:r>
      <w:proofErr w:type="spellEnd"/>
      <w:r w:rsidRPr="00D66D13">
        <w:rPr>
          <w:sz w:val="24"/>
          <w:szCs w:val="24"/>
        </w:rPr>
        <w:t xml:space="preserve">. Det anbefales, at orale formuleringer af </w:t>
      </w:r>
      <w:proofErr w:type="spellStart"/>
      <w:r w:rsidRPr="00D66D13">
        <w:rPr>
          <w:sz w:val="24"/>
          <w:szCs w:val="24"/>
        </w:rPr>
        <w:t>floxacin</w:t>
      </w:r>
      <w:proofErr w:type="spellEnd"/>
      <w:r w:rsidRPr="00D66D13">
        <w:rPr>
          <w:sz w:val="24"/>
          <w:szCs w:val="24"/>
        </w:rPr>
        <w:t xml:space="preserve"> tages mindst 2 timer før eller 4 timer efter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D66D13">
        <w:rPr>
          <w:sz w:val="24"/>
          <w:szCs w:val="24"/>
        </w:rPr>
        <w:t>.</w:t>
      </w: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D66D13">
        <w:rPr>
          <w:sz w:val="24"/>
          <w:szCs w:val="24"/>
        </w:rPr>
        <w:t xml:space="preserve">Det er vist, at fosfatbindere (heriblandt </w:t>
      </w:r>
      <w:proofErr w:type="spellStart"/>
      <w:r w:rsidRPr="00D66D13">
        <w:rPr>
          <w:sz w:val="24"/>
          <w:szCs w:val="24"/>
        </w:rPr>
        <w:t>lanthanumcarbonat</w:t>
      </w:r>
      <w:proofErr w:type="spellEnd"/>
      <w:r w:rsidRPr="00D66D13">
        <w:rPr>
          <w:sz w:val="24"/>
          <w:szCs w:val="24"/>
        </w:rPr>
        <w:t xml:space="preserve">) reducerer absorptionen af </w:t>
      </w:r>
      <w:proofErr w:type="spellStart"/>
      <w:r w:rsidRPr="00D66D13">
        <w:rPr>
          <w:sz w:val="24"/>
          <w:szCs w:val="24"/>
        </w:rPr>
        <w:t>levothyroxin</w:t>
      </w:r>
      <w:proofErr w:type="spellEnd"/>
      <w:r w:rsidRPr="00D66D13">
        <w:rPr>
          <w:sz w:val="24"/>
          <w:szCs w:val="24"/>
        </w:rPr>
        <w:t xml:space="preserve">. Som en konsekvens heraf må behandling med </w:t>
      </w:r>
      <w:proofErr w:type="spellStart"/>
      <w:r w:rsidRPr="00D66D13">
        <w:rPr>
          <w:sz w:val="24"/>
          <w:szCs w:val="24"/>
        </w:rPr>
        <w:t>thyroideahormon</w:t>
      </w:r>
      <w:proofErr w:type="spellEnd"/>
      <w:r w:rsidRPr="00D66D13">
        <w:rPr>
          <w:sz w:val="24"/>
          <w:szCs w:val="24"/>
        </w:rPr>
        <w:t xml:space="preserve">-substitution ikke tages inden for 2 timer før eller efter dosering med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D66D13">
        <w:rPr>
          <w:sz w:val="24"/>
          <w:szCs w:val="24"/>
        </w:rPr>
        <w:t>, og det anbefales at overvåge TSH</w:t>
      </w:r>
      <w:r w:rsidRPr="00D66D13">
        <w:rPr>
          <w:sz w:val="24"/>
          <w:szCs w:val="24"/>
        </w:rPr>
        <w:noBreakHyphen/>
        <w:t>niveauer nøje hos patienter, der får begge lægemidler.</w:t>
      </w: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</w:p>
    <w:p w:rsidR="00D66D13" w:rsidRPr="00D66D13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66D13">
        <w:rPr>
          <w:sz w:val="24"/>
          <w:szCs w:val="24"/>
        </w:rPr>
        <w:t>Lanthanumcarbonathydrat</w:t>
      </w:r>
      <w:proofErr w:type="spellEnd"/>
      <w:r w:rsidRPr="00D66D13">
        <w:rPr>
          <w:sz w:val="24"/>
          <w:szCs w:val="24"/>
        </w:rPr>
        <w:t xml:space="preserve"> er ikke et substrat for </w:t>
      </w:r>
      <w:proofErr w:type="spellStart"/>
      <w:r w:rsidRPr="00D66D13">
        <w:rPr>
          <w:sz w:val="24"/>
          <w:szCs w:val="24"/>
        </w:rPr>
        <w:t>cytokrom</w:t>
      </w:r>
      <w:proofErr w:type="spellEnd"/>
      <w:r w:rsidRPr="00D66D13">
        <w:rPr>
          <w:sz w:val="24"/>
          <w:szCs w:val="24"/>
        </w:rPr>
        <w:t xml:space="preserve"> P450 og hæmmer ikke i væsentlig grad aktiviteten af de vigtigste humane </w:t>
      </w:r>
      <w:proofErr w:type="spellStart"/>
      <w:r w:rsidRPr="00D66D13">
        <w:rPr>
          <w:sz w:val="24"/>
          <w:szCs w:val="24"/>
        </w:rPr>
        <w:t>cytokrom</w:t>
      </w:r>
      <w:proofErr w:type="spellEnd"/>
      <w:r w:rsidRPr="00D66D13">
        <w:rPr>
          <w:sz w:val="24"/>
          <w:szCs w:val="24"/>
        </w:rPr>
        <w:t xml:space="preserve"> P450-isoenzymer, CYP1A2, CYP2D6, CYP3A4, CYP2C9 eller CYP2C19, </w:t>
      </w:r>
      <w:r w:rsidRPr="00D66D13">
        <w:rPr>
          <w:i/>
          <w:sz w:val="24"/>
          <w:szCs w:val="24"/>
        </w:rPr>
        <w:t>in </w:t>
      </w:r>
      <w:proofErr w:type="spellStart"/>
      <w:r w:rsidRPr="00D66D13">
        <w:rPr>
          <w:i/>
          <w:sz w:val="24"/>
          <w:szCs w:val="24"/>
        </w:rPr>
        <w:t>vitro</w:t>
      </w:r>
      <w:proofErr w:type="spellEnd"/>
      <w:r w:rsidRPr="00D66D13">
        <w:rPr>
          <w:sz w:val="24"/>
          <w:szCs w:val="24"/>
        </w:rPr>
        <w:t>.</w:t>
      </w:r>
    </w:p>
    <w:p w:rsidR="007C5D2A" w:rsidRPr="00D66D13" w:rsidRDefault="007C5D2A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D66D13" w:rsidRDefault="007C5D2A" w:rsidP="008F169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D66D13">
        <w:rPr>
          <w:b/>
          <w:sz w:val="24"/>
          <w:szCs w:val="24"/>
        </w:rPr>
        <w:lastRenderedPageBreak/>
        <w:t>4.6</w:t>
      </w:r>
      <w:r w:rsidRPr="00D66D13">
        <w:rPr>
          <w:b/>
          <w:sz w:val="24"/>
          <w:szCs w:val="24"/>
        </w:rPr>
        <w:tab/>
      </w:r>
      <w:r w:rsidR="00991790">
        <w:rPr>
          <w:b/>
          <w:sz w:val="24"/>
          <w:szCs w:val="24"/>
        </w:rPr>
        <w:t>Fertilitet, g</w:t>
      </w:r>
      <w:r w:rsidR="00D66D13">
        <w:rPr>
          <w:b/>
          <w:sz w:val="24"/>
          <w:szCs w:val="24"/>
        </w:rPr>
        <w:t>raviditet og amning</w:t>
      </w:r>
    </w:p>
    <w:p w:rsidR="00D2766C" w:rsidRPr="004033CA" w:rsidRDefault="00D2766C" w:rsidP="008F1697">
      <w:pPr>
        <w:keepNext/>
        <w:tabs>
          <w:tab w:val="left" w:pos="851"/>
        </w:tabs>
        <w:ind w:left="851"/>
        <w:rPr>
          <w:i/>
          <w:sz w:val="24"/>
          <w:szCs w:val="24"/>
        </w:rPr>
      </w:pPr>
    </w:p>
    <w:p w:rsidR="00D66D13" w:rsidRPr="004033CA" w:rsidRDefault="00D66D13" w:rsidP="008F1697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4033CA">
        <w:rPr>
          <w:sz w:val="24"/>
          <w:szCs w:val="24"/>
          <w:u w:val="single"/>
        </w:rPr>
        <w:t xml:space="preserve">Graviditet </w:t>
      </w:r>
    </w:p>
    <w:p w:rsidR="00D66D13" w:rsidRPr="004033CA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4033CA">
        <w:rPr>
          <w:sz w:val="24"/>
          <w:szCs w:val="24"/>
        </w:rPr>
        <w:t xml:space="preserve">Der er utilstrækkelige data fra anvendelse af </w:t>
      </w:r>
      <w:proofErr w:type="spellStart"/>
      <w:r w:rsidRPr="004033CA">
        <w:rPr>
          <w:sz w:val="24"/>
          <w:szCs w:val="24"/>
        </w:rPr>
        <w:t>lanthanumcarbonat</w:t>
      </w:r>
      <w:proofErr w:type="spellEnd"/>
      <w:r w:rsidRPr="004033CA">
        <w:rPr>
          <w:sz w:val="24"/>
          <w:szCs w:val="24"/>
        </w:rPr>
        <w:t xml:space="preserve"> til gravide kvinder.</w:t>
      </w:r>
    </w:p>
    <w:p w:rsidR="00D66D13" w:rsidRPr="004033CA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4033CA">
        <w:rPr>
          <w:sz w:val="24"/>
          <w:szCs w:val="24"/>
        </w:rPr>
        <w:t xml:space="preserve">Ét studie med rotter viste reproduktiv </w:t>
      </w:r>
      <w:proofErr w:type="spellStart"/>
      <w:r w:rsidRPr="004033CA">
        <w:rPr>
          <w:sz w:val="24"/>
          <w:szCs w:val="24"/>
        </w:rPr>
        <w:t>føtotoksicitet</w:t>
      </w:r>
      <w:proofErr w:type="spellEnd"/>
      <w:r w:rsidRPr="004033CA">
        <w:rPr>
          <w:sz w:val="24"/>
          <w:szCs w:val="24"/>
        </w:rPr>
        <w:t xml:space="preserve"> (forsinket åbning af øjne og kønsmodning) og reduceret vægt hos afkom ved høje doser (se pkt. 5.3). Den potentielle risiko hos mennesker er ikke kendt. </w:t>
      </w:r>
    </w:p>
    <w:p w:rsidR="00D66D13" w:rsidRPr="004033CA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4033CA">
        <w:rPr>
          <w:sz w:val="24"/>
          <w:szCs w:val="24"/>
        </w:rPr>
        <w:t xml:space="preserve">Brug af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4033CA">
        <w:rPr>
          <w:sz w:val="24"/>
          <w:szCs w:val="24"/>
        </w:rPr>
        <w:t xml:space="preserve"> under graviditet frarådes.</w:t>
      </w:r>
    </w:p>
    <w:p w:rsidR="00D66D13" w:rsidRPr="004033CA" w:rsidRDefault="00D66D13" w:rsidP="00D66D13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D66D13" w:rsidRPr="004033CA" w:rsidRDefault="00D66D13" w:rsidP="00D66D1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033CA">
        <w:rPr>
          <w:sz w:val="24"/>
          <w:szCs w:val="24"/>
          <w:u w:val="single"/>
        </w:rPr>
        <w:t xml:space="preserve">Amning </w:t>
      </w:r>
    </w:p>
    <w:p w:rsidR="00D66D13" w:rsidRPr="004033CA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4033CA">
        <w:rPr>
          <w:sz w:val="24"/>
          <w:szCs w:val="24"/>
        </w:rPr>
        <w:t xml:space="preserve">Det er ukendt, om </w:t>
      </w:r>
      <w:proofErr w:type="spellStart"/>
      <w:r w:rsidRPr="004033CA">
        <w:rPr>
          <w:sz w:val="24"/>
          <w:szCs w:val="24"/>
        </w:rPr>
        <w:t>lanthanum</w:t>
      </w:r>
      <w:proofErr w:type="spellEnd"/>
      <w:r w:rsidRPr="004033CA">
        <w:rPr>
          <w:sz w:val="24"/>
          <w:szCs w:val="24"/>
        </w:rPr>
        <w:t xml:space="preserve"> udskilles i human mælk. Udskillelse af </w:t>
      </w:r>
      <w:proofErr w:type="spellStart"/>
      <w:r w:rsidRPr="004033CA">
        <w:rPr>
          <w:sz w:val="24"/>
          <w:szCs w:val="24"/>
        </w:rPr>
        <w:t>lanthanum</w:t>
      </w:r>
      <w:proofErr w:type="spellEnd"/>
      <w:r w:rsidRPr="004033CA">
        <w:rPr>
          <w:sz w:val="24"/>
          <w:szCs w:val="24"/>
        </w:rPr>
        <w:t xml:space="preserve"> i mælk er ikke blevet undersøgt hos dyr. Der skal udvises forsigtighed, når det skal besluttes om amning skal fortsætte/ophøre, eller om behandlingen med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4033CA">
        <w:rPr>
          <w:sz w:val="24"/>
          <w:szCs w:val="24"/>
        </w:rPr>
        <w:t xml:space="preserve"> skal fortsætte/ophøre, idet der tages højde for de mulige fordele ved amning for barnet i forhold til de terapeutiske fordele ved behandlingen med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4033CA">
        <w:rPr>
          <w:sz w:val="24"/>
          <w:szCs w:val="24"/>
        </w:rPr>
        <w:t xml:space="preserve"> for moderen.</w:t>
      </w:r>
    </w:p>
    <w:p w:rsidR="00D66D13" w:rsidRPr="004033CA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</w:p>
    <w:p w:rsidR="00D66D13" w:rsidRPr="004033CA" w:rsidRDefault="00D66D13" w:rsidP="00D66D13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033CA">
        <w:rPr>
          <w:sz w:val="24"/>
          <w:szCs w:val="24"/>
          <w:u w:val="single"/>
        </w:rPr>
        <w:t xml:space="preserve">Fertilitet </w:t>
      </w:r>
    </w:p>
    <w:p w:rsidR="00D66D13" w:rsidRPr="004033CA" w:rsidRDefault="00D66D13" w:rsidP="00D66D13">
      <w:pPr>
        <w:tabs>
          <w:tab w:val="left" w:pos="851"/>
        </w:tabs>
        <w:ind w:left="851"/>
        <w:rPr>
          <w:sz w:val="24"/>
          <w:szCs w:val="24"/>
        </w:rPr>
      </w:pPr>
      <w:r w:rsidRPr="004033CA">
        <w:rPr>
          <w:sz w:val="24"/>
          <w:szCs w:val="24"/>
        </w:rPr>
        <w:t xml:space="preserve">Der foreligger ingen fertilitetsdata vedrørende </w:t>
      </w:r>
      <w:proofErr w:type="spellStart"/>
      <w:r w:rsidRPr="004033CA">
        <w:rPr>
          <w:sz w:val="24"/>
          <w:szCs w:val="24"/>
        </w:rPr>
        <w:t>lanthanumcarbonat</w:t>
      </w:r>
      <w:proofErr w:type="spellEnd"/>
      <w:r w:rsidRPr="004033CA">
        <w:rPr>
          <w:sz w:val="24"/>
          <w:szCs w:val="24"/>
        </w:rPr>
        <w:t xml:space="preserve"> hos mennesker. I toksikologiske studier med rotter viste </w:t>
      </w:r>
      <w:proofErr w:type="spellStart"/>
      <w:r w:rsidRPr="004033CA">
        <w:rPr>
          <w:sz w:val="24"/>
          <w:szCs w:val="24"/>
        </w:rPr>
        <w:t>lanthanumcarbonat</w:t>
      </w:r>
      <w:proofErr w:type="spellEnd"/>
      <w:r w:rsidRPr="004033CA">
        <w:rPr>
          <w:sz w:val="24"/>
          <w:szCs w:val="24"/>
        </w:rPr>
        <w:t xml:space="preserve"> ingen negativ påvirkning af fertiliteten.</w:t>
      </w:r>
    </w:p>
    <w:p w:rsidR="007C5D2A" w:rsidRPr="00D66D13" w:rsidRDefault="007C5D2A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A27F35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27F35">
        <w:rPr>
          <w:b/>
          <w:sz w:val="24"/>
          <w:szCs w:val="24"/>
        </w:rPr>
        <w:t>4.7</w:t>
      </w:r>
      <w:r w:rsidRPr="00A27F35">
        <w:rPr>
          <w:b/>
          <w:sz w:val="24"/>
          <w:szCs w:val="24"/>
        </w:rPr>
        <w:tab/>
      </w:r>
      <w:r w:rsidR="00A27F35">
        <w:rPr>
          <w:b/>
          <w:sz w:val="24"/>
          <w:szCs w:val="24"/>
        </w:rPr>
        <w:t xml:space="preserve">Virkning på evnen til at føre motorkøretøj </w:t>
      </w:r>
      <w:r w:rsidR="00991790">
        <w:rPr>
          <w:b/>
          <w:sz w:val="24"/>
          <w:szCs w:val="24"/>
        </w:rPr>
        <w:t>og</w:t>
      </w:r>
      <w:r w:rsidR="00A27F35">
        <w:rPr>
          <w:b/>
          <w:sz w:val="24"/>
          <w:szCs w:val="24"/>
        </w:rPr>
        <w:t xml:space="preserve"> betjene maskiner</w:t>
      </w:r>
    </w:p>
    <w:p w:rsidR="0032668F" w:rsidRPr="009739A1" w:rsidRDefault="009739A1" w:rsidP="00D2766C">
      <w:pPr>
        <w:tabs>
          <w:tab w:val="left" w:pos="851"/>
        </w:tabs>
        <w:ind w:left="851"/>
        <w:rPr>
          <w:sz w:val="24"/>
          <w:szCs w:val="24"/>
        </w:rPr>
      </w:pPr>
      <w:r w:rsidRPr="009739A1">
        <w:rPr>
          <w:sz w:val="24"/>
          <w:szCs w:val="24"/>
        </w:rPr>
        <w:t>I</w:t>
      </w:r>
      <w:r>
        <w:rPr>
          <w:sz w:val="24"/>
          <w:szCs w:val="24"/>
        </w:rPr>
        <w:t>kke mærkning.</w:t>
      </w:r>
    </w:p>
    <w:p w:rsidR="009739A1" w:rsidRPr="009739A1" w:rsidRDefault="002904C0" w:rsidP="009739A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9739A1" w:rsidRPr="009739A1">
        <w:rPr>
          <w:sz w:val="24"/>
          <w:szCs w:val="24"/>
        </w:rPr>
        <w:t xml:space="preserve"> kan forårsage svimmelhed og </w:t>
      </w:r>
      <w:proofErr w:type="spellStart"/>
      <w:r w:rsidR="009739A1" w:rsidRPr="009739A1">
        <w:rPr>
          <w:sz w:val="24"/>
          <w:szCs w:val="24"/>
        </w:rPr>
        <w:t>vertigo</w:t>
      </w:r>
      <w:proofErr w:type="spellEnd"/>
      <w:r w:rsidR="009739A1" w:rsidRPr="009739A1">
        <w:rPr>
          <w:sz w:val="24"/>
          <w:szCs w:val="24"/>
        </w:rPr>
        <w:t>, hvilket kan påvirke evnen til at føre motorkøretøj og betjene maskiner.</w:t>
      </w:r>
    </w:p>
    <w:p w:rsidR="007C5D2A" w:rsidRPr="009739A1" w:rsidRDefault="007C5D2A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48347E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48347E">
        <w:rPr>
          <w:b/>
          <w:sz w:val="24"/>
          <w:szCs w:val="24"/>
        </w:rPr>
        <w:t>4.8</w:t>
      </w:r>
      <w:r w:rsidRPr="0048347E">
        <w:rPr>
          <w:b/>
          <w:sz w:val="24"/>
          <w:szCs w:val="24"/>
        </w:rPr>
        <w:tab/>
      </w:r>
      <w:r w:rsidR="0048347E" w:rsidRPr="0048347E">
        <w:rPr>
          <w:b/>
          <w:sz w:val="24"/>
          <w:szCs w:val="24"/>
        </w:rPr>
        <w:t>Bivirkninger</w:t>
      </w: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B4BB6">
        <w:rPr>
          <w:sz w:val="24"/>
          <w:szCs w:val="24"/>
        </w:rPr>
        <w:t xml:space="preserve">De mest almindeligt rapporterede bivirkninger, bortset fra hovedpine og allergiske hudreaktioner, er af </w:t>
      </w:r>
      <w:proofErr w:type="spellStart"/>
      <w:r w:rsidRPr="005B4BB6">
        <w:rPr>
          <w:sz w:val="24"/>
          <w:szCs w:val="24"/>
        </w:rPr>
        <w:t>gastrointestinal</w:t>
      </w:r>
      <w:proofErr w:type="spellEnd"/>
      <w:r w:rsidRPr="005B4BB6">
        <w:rPr>
          <w:sz w:val="24"/>
          <w:szCs w:val="24"/>
        </w:rPr>
        <w:t xml:space="preserve"> natur. Disse minimeres ved at indtage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Pr="005B4BB6">
        <w:rPr>
          <w:sz w:val="24"/>
          <w:szCs w:val="24"/>
        </w:rPr>
        <w:t xml:space="preserve"> sammen med mad og aftager normalt over tid ved kontinuerlig dosering (se pkt. 4.2).</w:t>
      </w: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5B4BB6">
        <w:rPr>
          <w:sz w:val="24"/>
          <w:szCs w:val="24"/>
          <w:u w:val="single"/>
        </w:rPr>
        <w:t>De følgende konventioner anvendes til at beskrive hyppigheden af bivirkninger</w:t>
      </w:r>
    </w:p>
    <w:p w:rsidR="0048347E" w:rsidRPr="005B4BB6" w:rsidRDefault="0048347E" w:rsidP="008F169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B4BB6">
        <w:rPr>
          <w:sz w:val="24"/>
          <w:szCs w:val="24"/>
        </w:rPr>
        <w:t>Meget almindelig (≥ 1/10)</w:t>
      </w:r>
      <w:r w:rsidR="008F1697">
        <w:rPr>
          <w:sz w:val="24"/>
          <w:szCs w:val="24"/>
        </w:rPr>
        <w:t>, a</w:t>
      </w:r>
      <w:r w:rsidRPr="005B4BB6">
        <w:rPr>
          <w:sz w:val="24"/>
          <w:szCs w:val="24"/>
        </w:rPr>
        <w:t>lmindelig (≥ 1/100 til &lt; 1/10)</w:t>
      </w:r>
      <w:r w:rsidR="008F1697">
        <w:rPr>
          <w:sz w:val="24"/>
          <w:szCs w:val="24"/>
        </w:rPr>
        <w:t>, i</w:t>
      </w:r>
      <w:r w:rsidRPr="005B4BB6">
        <w:rPr>
          <w:sz w:val="24"/>
          <w:szCs w:val="24"/>
        </w:rPr>
        <w:t>kke almindelig (≥ 1/1.000 til &lt; 1/100)</w:t>
      </w:r>
      <w:r w:rsidR="008F1697">
        <w:rPr>
          <w:sz w:val="24"/>
          <w:szCs w:val="24"/>
        </w:rPr>
        <w:t>, s</w:t>
      </w:r>
      <w:r w:rsidRPr="005B4BB6">
        <w:rPr>
          <w:sz w:val="24"/>
          <w:szCs w:val="24"/>
        </w:rPr>
        <w:t>jælden (≥ 1/10.000 til &lt; 1/1.000)</w:t>
      </w:r>
      <w:r w:rsidR="008F1697">
        <w:rPr>
          <w:sz w:val="24"/>
          <w:szCs w:val="24"/>
        </w:rPr>
        <w:t>, m</w:t>
      </w:r>
      <w:r w:rsidRPr="005B4BB6">
        <w:rPr>
          <w:sz w:val="24"/>
          <w:szCs w:val="24"/>
        </w:rPr>
        <w:t>eget sjælden (&lt; 1/10.000)</w:t>
      </w:r>
      <w:r w:rsidR="008F1697">
        <w:rPr>
          <w:sz w:val="24"/>
          <w:szCs w:val="24"/>
        </w:rPr>
        <w:t>, i</w:t>
      </w:r>
      <w:r w:rsidRPr="005B4BB6">
        <w:rPr>
          <w:sz w:val="24"/>
          <w:szCs w:val="24"/>
        </w:rPr>
        <w:t>kke kendt (kan ikke estimeres ud fra forhåndenværende data).</w:t>
      </w: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tbl>
      <w:tblPr>
        <w:tblW w:w="4562" w:type="pct"/>
        <w:tblInd w:w="8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229"/>
        <w:gridCol w:w="4559"/>
      </w:tblGrid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b/>
                <w:szCs w:val="22"/>
              </w:rPr>
              <w:t>Infektioner og parasitære sygdomme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 xml:space="preserve">Ikke almindelig 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Gastroenteritis</w:t>
            </w:r>
            <w:proofErr w:type="spellEnd"/>
            <w:r w:rsidRPr="0048347E">
              <w:rPr>
                <w:szCs w:val="22"/>
              </w:rPr>
              <w:t>, laryngitis</w:t>
            </w: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b/>
                <w:szCs w:val="22"/>
              </w:rPr>
              <w:t>Blod og lymfesystem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b/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Eosinofili</w:t>
            </w:r>
            <w:proofErr w:type="spellEnd"/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b/>
                <w:szCs w:val="22"/>
              </w:rPr>
              <w:t>Det endokrine system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b/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Hyperparathyroidisme</w:t>
            </w:r>
            <w:proofErr w:type="spellEnd"/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b/>
                <w:szCs w:val="22"/>
              </w:rPr>
              <w:t>Metabolisme og ernæring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>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Hypokalcæmi</w:t>
            </w:r>
            <w:proofErr w:type="spellEnd"/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Hyperkalcæmi</w:t>
            </w:r>
            <w:proofErr w:type="spellEnd"/>
            <w:r w:rsidRPr="0048347E">
              <w:rPr>
                <w:szCs w:val="22"/>
              </w:rPr>
              <w:t xml:space="preserve">, </w:t>
            </w:r>
            <w:proofErr w:type="spellStart"/>
            <w:r w:rsidRPr="0048347E">
              <w:rPr>
                <w:szCs w:val="22"/>
              </w:rPr>
              <w:t>hyperglykæmi</w:t>
            </w:r>
            <w:proofErr w:type="spellEnd"/>
            <w:r w:rsidRPr="0048347E">
              <w:rPr>
                <w:szCs w:val="22"/>
              </w:rPr>
              <w:t xml:space="preserve">, </w:t>
            </w:r>
            <w:proofErr w:type="spellStart"/>
            <w:r w:rsidRPr="0048347E">
              <w:rPr>
                <w:szCs w:val="22"/>
              </w:rPr>
              <w:t>hyperfosfatæmi</w:t>
            </w:r>
            <w:proofErr w:type="spellEnd"/>
            <w:r w:rsidRPr="0048347E">
              <w:rPr>
                <w:szCs w:val="22"/>
              </w:rPr>
              <w:t xml:space="preserve">, </w:t>
            </w:r>
            <w:proofErr w:type="spellStart"/>
            <w:r w:rsidRPr="0048347E">
              <w:rPr>
                <w:szCs w:val="22"/>
              </w:rPr>
              <w:t>hypofosfatæmi</w:t>
            </w:r>
            <w:proofErr w:type="spellEnd"/>
            <w:r w:rsidRPr="0048347E">
              <w:rPr>
                <w:szCs w:val="22"/>
              </w:rPr>
              <w:t>, anoreksi, øget appetit</w:t>
            </w: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b/>
                <w:szCs w:val="22"/>
              </w:rPr>
              <w:t>Nervesystemet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>Meget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r w:rsidRPr="0048347E">
              <w:rPr>
                <w:szCs w:val="22"/>
              </w:rPr>
              <w:t>Hovedpine</w:t>
            </w: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r w:rsidRPr="0048347E">
              <w:rPr>
                <w:szCs w:val="22"/>
              </w:rPr>
              <w:t>Svimmelhed, smagsforstyrrelser</w:t>
            </w: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b/>
                <w:szCs w:val="22"/>
              </w:rPr>
            </w:pPr>
            <w:r w:rsidRPr="0048347E">
              <w:rPr>
                <w:b/>
                <w:szCs w:val="22"/>
              </w:rPr>
              <w:lastRenderedPageBreak/>
              <w:t>Øre og labyrint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Vertigo</w:t>
            </w:r>
            <w:proofErr w:type="spellEnd"/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b/>
                <w:szCs w:val="22"/>
              </w:rPr>
              <w:t>Mave-tarm-kanalen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>Meget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r w:rsidRPr="0048347E">
              <w:rPr>
                <w:szCs w:val="22"/>
              </w:rPr>
              <w:t>Mavesmerter, diarré, kvalme, opkastning</w:t>
            </w: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>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r w:rsidRPr="0048347E">
              <w:rPr>
                <w:szCs w:val="22"/>
              </w:rPr>
              <w:t xml:space="preserve">Obstipation, dyspepsi, </w:t>
            </w:r>
            <w:proofErr w:type="spellStart"/>
            <w:r w:rsidRPr="0048347E">
              <w:rPr>
                <w:szCs w:val="22"/>
              </w:rPr>
              <w:t>flatulens</w:t>
            </w:r>
            <w:proofErr w:type="spellEnd"/>
          </w:p>
        </w:tc>
      </w:tr>
      <w:tr w:rsidR="0048347E" w:rsidRPr="0048347E" w:rsidTr="00C726FE">
        <w:trPr>
          <w:trHeight w:val="75"/>
        </w:trPr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Ileus</w:t>
            </w:r>
            <w:proofErr w:type="spellEnd"/>
            <w:r w:rsidRPr="0048347E">
              <w:rPr>
                <w:szCs w:val="22"/>
              </w:rPr>
              <w:t xml:space="preserve">, </w:t>
            </w:r>
            <w:proofErr w:type="spellStart"/>
            <w:r w:rsidRPr="0048347E">
              <w:rPr>
                <w:szCs w:val="22"/>
              </w:rPr>
              <w:t>subileus</w:t>
            </w:r>
            <w:proofErr w:type="spellEnd"/>
            <w:r w:rsidRPr="0048347E">
              <w:rPr>
                <w:szCs w:val="22"/>
              </w:rPr>
              <w:t xml:space="preserve">, tarmobstruktion, irritabel tyktarm, </w:t>
            </w:r>
            <w:proofErr w:type="spellStart"/>
            <w:r w:rsidRPr="0048347E">
              <w:rPr>
                <w:szCs w:val="22"/>
              </w:rPr>
              <w:t>øsofagitis</w:t>
            </w:r>
            <w:proofErr w:type="spellEnd"/>
            <w:r w:rsidRPr="0048347E">
              <w:rPr>
                <w:szCs w:val="22"/>
              </w:rPr>
              <w:t xml:space="preserve">, </w:t>
            </w:r>
            <w:proofErr w:type="spellStart"/>
            <w:r w:rsidRPr="0048347E">
              <w:rPr>
                <w:szCs w:val="22"/>
              </w:rPr>
              <w:t>stomatitis</w:t>
            </w:r>
            <w:proofErr w:type="spellEnd"/>
            <w:r w:rsidRPr="0048347E">
              <w:rPr>
                <w:szCs w:val="22"/>
              </w:rPr>
              <w:t xml:space="preserve">, løs afføring, fordøjelsesbesvær, </w:t>
            </w:r>
            <w:proofErr w:type="spellStart"/>
            <w:r w:rsidRPr="0048347E">
              <w:rPr>
                <w:szCs w:val="22"/>
              </w:rPr>
              <w:t>gastrointestinale</w:t>
            </w:r>
            <w:proofErr w:type="spellEnd"/>
            <w:r w:rsidRPr="0048347E">
              <w:rPr>
                <w:szCs w:val="22"/>
              </w:rPr>
              <w:t xml:space="preserve"> lidelser (ikke yderligere specificeret), mundtørhed, tandsygdom, </w:t>
            </w:r>
            <w:proofErr w:type="spellStart"/>
            <w:r w:rsidRPr="0048347E">
              <w:rPr>
                <w:szCs w:val="22"/>
              </w:rPr>
              <w:t>ructus</w:t>
            </w:r>
            <w:proofErr w:type="spellEnd"/>
            <w:r w:rsidRPr="0048347E">
              <w:rPr>
                <w:szCs w:val="22"/>
              </w:rPr>
              <w:t xml:space="preserve"> </w:t>
            </w:r>
          </w:p>
        </w:tc>
      </w:tr>
      <w:tr w:rsidR="0048347E" w:rsidRPr="0048347E" w:rsidTr="00C726FE">
        <w:trPr>
          <w:trHeight w:val="75"/>
        </w:trPr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szCs w:val="22"/>
              </w:rPr>
              <w:t>Sjælden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Intestinal</w:t>
            </w:r>
            <w:proofErr w:type="spellEnd"/>
            <w:r w:rsidRPr="0048347E">
              <w:rPr>
                <w:szCs w:val="22"/>
              </w:rPr>
              <w:t xml:space="preserve"> perforation</w:t>
            </w: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b/>
                <w:szCs w:val="22"/>
              </w:rPr>
            </w:pPr>
            <w:r w:rsidRPr="0048347E">
              <w:rPr>
                <w:b/>
                <w:szCs w:val="22"/>
              </w:rPr>
              <w:t>Hud og subkutane væv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b/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Alopeci</w:t>
            </w:r>
            <w:proofErr w:type="spellEnd"/>
            <w:r w:rsidRPr="0048347E">
              <w:rPr>
                <w:szCs w:val="22"/>
              </w:rPr>
              <w:t>, øget svedtendens</w:t>
            </w: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b/>
                <w:szCs w:val="22"/>
              </w:rPr>
              <w:t>Knogler, led, muskler og bindevæv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b/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proofErr w:type="spellStart"/>
            <w:r w:rsidRPr="0048347E">
              <w:rPr>
                <w:szCs w:val="22"/>
              </w:rPr>
              <w:t>Artralgi</w:t>
            </w:r>
            <w:proofErr w:type="spellEnd"/>
            <w:r w:rsidRPr="0048347E">
              <w:rPr>
                <w:szCs w:val="22"/>
              </w:rPr>
              <w:t>, myalgi, osteoporose</w:t>
            </w: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b/>
                <w:szCs w:val="22"/>
              </w:rPr>
              <w:t>Almene symptomer og reaktioner på administrationsstedet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b/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r w:rsidRPr="0048347E">
              <w:rPr>
                <w:szCs w:val="22"/>
              </w:rPr>
              <w:t>Asteni, brystsmerter, træthed, utilpashed, perifert ødem, smerter, tørst</w:t>
            </w: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 w:rsidRPr="0048347E">
              <w:rPr>
                <w:b/>
                <w:szCs w:val="22"/>
              </w:rPr>
              <w:t>Undersøgelser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</w:p>
        </w:tc>
      </w:tr>
      <w:tr w:rsidR="0048347E" w:rsidRPr="0048347E" w:rsidTr="00C726FE">
        <w:tc>
          <w:tcPr>
            <w:tcW w:w="2406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33"/>
              <w:rPr>
                <w:b/>
                <w:szCs w:val="22"/>
              </w:rPr>
            </w:pPr>
            <w:r w:rsidRPr="0048347E">
              <w:rPr>
                <w:szCs w:val="22"/>
              </w:rPr>
              <w:t>Ikke almindelig</w:t>
            </w:r>
          </w:p>
        </w:tc>
        <w:tc>
          <w:tcPr>
            <w:tcW w:w="2594" w:type="pct"/>
          </w:tcPr>
          <w:p w:rsidR="0048347E" w:rsidRPr="0048347E" w:rsidRDefault="0048347E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r w:rsidRPr="0048347E">
              <w:rPr>
                <w:szCs w:val="22"/>
              </w:rPr>
              <w:t xml:space="preserve">Forhøjet aluminium i blodet, forhøjet GGT, forhøjede </w:t>
            </w:r>
            <w:proofErr w:type="spellStart"/>
            <w:r w:rsidRPr="0048347E">
              <w:rPr>
                <w:szCs w:val="22"/>
              </w:rPr>
              <w:t>levertransaminaser</w:t>
            </w:r>
            <w:proofErr w:type="spellEnd"/>
            <w:r w:rsidRPr="0048347E">
              <w:rPr>
                <w:szCs w:val="22"/>
              </w:rPr>
              <w:t>, forhøjet alkalisk fosfatase, vægttab.</w:t>
            </w:r>
          </w:p>
        </w:tc>
      </w:tr>
      <w:tr w:rsidR="00991790" w:rsidRPr="0048347E" w:rsidTr="00C726FE">
        <w:tc>
          <w:tcPr>
            <w:tcW w:w="2406" w:type="pct"/>
          </w:tcPr>
          <w:p w:rsidR="00991790" w:rsidRPr="0048347E" w:rsidRDefault="00991790" w:rsidP="005B4BB6">
            <w:pPr>
              <w:autoSpaceDE w:val="0"/>
              <w:autoSpaceDN w:val="0"/>
              <w:adjustRightInd w:val="0"/>
              <w:ind w:left="33"/>
              <w:rPr>
                <w:szCs w:val="22"/>
              </w:rPr>
            </w:pPr>
            <w:r>
              <w:rPr>
                <w:szCs w:val="22"/>
              </w:rPr>
              <w:t>Ikke kendt</w:t>
            </w:r>
          </w:p>
        </w:tc>
        <w:tc>
          <w:tcPr>
            <w:tcW w:w="2594" w:type="pct"/>
          </w:tcPr>
          <w:p w:rsidR="00991790" w:rsidRPr="0048347E" w:rsidRDefault="00991790" w:rsidP="005B4BB6">
            <w:pPr>
              <w:autoSpaceDE w:val="0"/>
              <w:autoSpaceDN w:val="0"/>
              <w:adjustRightInd w:val="0"/>
              <w:ind w:left="55"/>
              <w:rPr>
                <w:szCs w:val="22"/>
              </w:rPr>
            </w:pPr>
            <w:r>
              <w:rPr>
                <w:szCs w:val="22"/>
              </w:rPr>
              <w:t>Tilstedeværelse af produktrester</w:t>
            </w:r>
            <w:r>
              <w:rPr>
                <w:szCs w:val="22"/>
                <w:vertAlign w:val="superscript"/>
              </w:rPr>
              <w:t xml:space="preserve"> 1</w:t>
            </w:r>
          </w:p>
        </w:tc>
      </w:tr>
    </w:tbl>
    <w:p w:rsidR="00991790" w:rsidRPr="008B5C1A" w:rsidRDefault="00991790" w:rsidP="00991790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8B5C1A">
        <w:rPr>
          <w:sz w:val="24"/>
          <w:szCs w:val="24"/>
          <w:vertAlign w:val="superscript"/>
        </w:rPr>
        <w:t>1</w:t>
      </w:r>
      <w:r w:rsidRPr="008B5C1A">
        <w:rPr>
          <w:sz w:val="24"/>
          <w:szCs w:val="24"/>
        </w:rPr>
        <w:t xml:space="preserve">Se advarslen om </w:t>
      </w:r>
      <w:proofErr w:type="spellStart"/>
      <w:r w:rsidRPr="008B5C1A">
        <w:rPr>
          <w:sz w:val="24"/>
          <w:szCs w:val="24"/>
        </w:rPr>
        <w:t>lanthanumaflejringer</w:t>
      </w:r>
      <w:proofErr w:type="spellEnd"/>
      <w:r w:rsidRPr="008B5C1A">
        <w:rPr>
          <w:sz w:val="24"/>
          <w:szCs w:val="24"/>
        </w:rPr>
        <w:t xml:space="preserve"> i den </w:t>
      </w:r>
      <w:proofErr w:type="spellStart"/>
      <w:r w:rsidRPr="008B5C1A">
        <w:rPr>
          <w:sz w:val="24"/>
          <w:szCs w:val="24"/>
        </w:rPr>
        <w:t>gastrointestinale</w:t>
      </w:r>
      <w:proofErr w:type="spellEnd"/>
      <w:r w:rsidRPr="008B5C1A">
        <w:rPr>
          <w:sz w:val="24"/>
          <w:szCs w:val="24"/>
        </w:rPr>
        <w:t xml:space="preserve"> </w:t>
      </w:r>
      <w:proofErr w:type="spellStart"/>
      <w:r w:rsidRPr="008B5C1A">
        <w:rPr>
          <w:sz w:val="24"/>
          <w:szCs w:val="24"/>
        </w:rPr>
        <w:t>mucosa</w:t>
      </w:r>
      <w:proofErr w:type="spellEnd"/>
      <w:r w:rsidRPr="008B5C1A">
        <w:rPr>
          <w:sz w:val="24"/>
          <w:szCs w:val="24"/>
        </w:rPr>
        <w:t xml:space="preserve"> i pkt. 4.4</w:t>
      </w:r>
      <w:r w:rsidR="008F1697">
        <w:rPr>
          <w:sz w:val="24"/>
          <w:szCs w:val="24"/>
        </w:rPr>
        <w:t>.</w:t>
      </w:r>
    </w:p>
    <w:p w:rsidR="00991790" w:rsidRPr="005B4BB6" w:rsidRDefault="00991790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8347E" w:rsidRPr="00AE4CC7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E4CC7">
        <w:rPr>
          <w:sz w:val="24"/>
          <w:szCs w:val="24"/>
          <w:u w:val="single"/>
        </w:rPr>
        <w:t>Erfaringer efter markedsføring</w:t>
      </w: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B4BB6">
        <w:rPr>
          <w:sz w:val="24"/>
          <w:szCs w:val="24"/>
        </w:rPr>
        <w:t xml:space="preserve">Under brug af </w:t>
      </w:r>
      <w:proofErr w:type="spellStart"/>
      <w:r w:rsidRPr="005B4BB6">
        <w:rPr>
          <w:sz w:val="24"/>
          <w:szCs w:val="24"/>
        </w:rPr>
        <w:t>lanthanumcarbonat</w:t>
      </w:r>
      <w:proofErr w:type="spellEnd"/>
      <w:r w:rsidRPr="005B4BB6">
        <w:rPr>
          <w:sz w:val="24"/>
          <w:szCs w:val="24"/>
        </w:rPr>
        <w:t xml:space="preserve"> efter godkendelsen er der rapporteret tilfælde af allergiske hudreaktioner (herunder hududslæt, </w:t>
      </w:r>
      <w:proofErr w:type="spellStart"/>
      <w:r w:rsidRPr="005B4BB6">
        <w:rPr>
          <w:sz w:val="24"/>
          <w:szCs w:val="24"/>
        </w:rPr>
        <w:t>urticaria</w:t>
      </w:r>
      <w:proofErr w:type="spellEnd"/>
      <w:r w:rsidRPr="005B4BB6">
        <w:rPr>
          <w:sz w:val="24"/>
          <w:szCs w:val="24"/>
        </w:rPr>
        <w:t xml:space="preserve"> og </w:t>
      </w:r>
      <w:proofErr w:type="spellStart"/>
      <w:r w:rsidRPr="005B4BB6">
        <w:rPr>
          <w:sz w:val="24"/>
          <w:szCs w:val="24"/>
        </w:rPr>
        <w:t>pruritus</w:t>
      </w:r>
      <w:proofErr w:type="spellEnd"/>
      <w:r w:rsidRPr="005B4BB6">
        <w:rPr>
          <w:sz w:val="24"/>
          <w:szCs w:val="24"/>
        </w:rPr>
        <w:t xml:space="preserve">), som viser tæt tidsmæssig sammenhæng med behandling med </w:t>
      </w:r>
      <w:proofErr w:type="spellStart"/>
      <w:r w:rsidRPr="005B4BB6">
        <w:rPr>
          <w:sz w:val="24"/>
          <w:szCs w:val="24"/>
        </w:rPr>
        <w:t>lanthanumcarbonat</w:t>
      </w:r>
      <w:proofErr w:type="spellEnd"/>
      <w:r w:rsidRPr="005B4BB6">
        <w:rPr>
          <w:sz w:val="24"/>
          <w:szCs w:val="24"/>
        </w:rPr>
        <w:t xml:space="preserve">. I kliniske forsøg blev der set allergiske hudreaktioner hos både den gruppe, der fik </w:t>
      </w:r>
      <w:proofErr w:type="spellStart"/>
      <w:r w:rsidRPr="005B4BB6">
        <w:rPr>
          <w:sz w:val="24"/>
          <w:szCs w:val="24"/>
        </w:rPr>
        <w:t>lanthanumcarbonat</w:t>
      </w:r>
      <w:proofErr w:type="spellEnd"/>
      <w:r w:rsidRPr="005B4BB6">
        <w:rPr>
          <w:sz w:val="24"/>
          <w:szCs w:val="24"/>
        </w:rPr>
        <w:t xml:space="preserve">, og den gruppe, der fik placebo/aktiv </w:t>
      </w:r>
      <w:proofErr w:type="spellStart"/>
      <w:r w:rsidRPr="005B4BB6">
        <w:rPr>
          <w:sz w:val="24"/>
          <w:szCs w:val="24"/>
        </w:rPr>
        <w:t>komparator</w:t>
      </w:r>
      <w:proofErr w:type="spellEnd"/>
      <w:r w:rsidRPr="005B4BB6">
        <w:rPr>
          <w:sz w:val="24"/>
          <w:szCs w:val="24"/>
        </w:rPr>
        <w:t xml:space="preserve">, med hyppigheden </w:t>
      </w:r>
      <w:r w:rsidR="008F1697">
        <w:rPr>
          <w:sz w:val="24"/>
          <w:szCs w:val="24"/>
        </w:rPr>
        <w:t>m</w:t>
      </w:r>
      <w:r w:rsidRPr="005B4BB6">
        <w:rPr>
          <w:sz w:val="24"/>
          <w:szCs w:val="24"/>
        </w:rPr>
        <w:t>eget almindelig.</w:t>
      </w: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B4BB6">
        <w:rPr>
          <w:sz w:val="24"/>
          <w:szCs w:val="24"/>
        </w:rPr>
        <w:t>Selvom der er rapporteret et antal yderligere isolerede reaktioner, anses ingen af disse for at være uventede i denne patientpopulation.</w:t>
      </w: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48347E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B4BB6">
        <w:rPr>
          <w:sz w:val="24"/>
          <w:szCs w:val="24"/>
        </w:rPr>
        <w:t>Der er observeret forbigående QT</w:t>
      </w:r>
      <w:r w:rsidRPr="005B4BB6">
        <w:rPr>
          <w:sz w:val="24"/>
          <w:szCs w:val="24"/>
        </w:rPr>
        <w:noBreakHyphen/>
        <w:t>ændringer, men de var ikke forbundet med en stigning i hjerterelaterede bivirkninger.</w:t>
      </w:r>
    </w:p>
    <w:p w:rsidR="00991790" w:rsidRDefault="00991790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991790" w:rsidRDefault="00991790" w:rsidP="00991790">
      <w:pPr>
        <w:ind w:left="85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Pædiatrisk population</w:t>
      </w:r>
    </w:p>
    <w:p w:rsidR="00991790" w:rsidRDefault="00991790" w:rsidP="00991790">
      <w:pPr>
        <w:ind w:left="851"/>
        <w:rPr>
          <w:sz w:val="24"/>
          <w:szCs w:val="24"/>
        </w:rPr>
      </w:pPr>
      <w:r>
        <w:rPr>
          <w:sz w:val="24"/>
          <w:szCs w:val="24"/>
        </w:rPr>
        <w:t>Hyppighed, type og sværhedsgrad af bivirkninger hos børn er ikke fuldstændig fastlagt. Der eksisterer i særdeleshed usikkerhed vedrørende akkumulationen i knogler og risiko for væksthæmning ved behandling af børn.</w:t>
      </w: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5B4BB6">
        <w:rPr>
          <w:sz w:val="24"/>
          <w:szCs w:val="24"/>
          <w:u w:val="single"/>
        </w:rPr>
        <w:t>Indberetning af formodede bivirkninger</w:t>
      </w: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5B4BB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5B4BB6">
        <w:rPr>
          <w:sz w:val="24"/>
          <w:szCs w:val="24"/>
        </w:rPr>
        <w:t>risk</w:t>
      </w:r>
      <w:proofErr w:type="spellEnd"/>
      <w:r w:rsidRPr="005B4BB6">
        <w:rPr>
          <w:sz w:val="24"/>
          <w:szCs w:val="24"/>
        </w:rPr>
        <w:t>-forholdet for lægemidlet. Sundhedspersoner anmodes om at indberette alle formodede bivirkninger via</w:t>
      </w:r>
      <w:r w:rsidR="005B4BB6">
        <w:rPr>
          <w:sz w:val="24"/>
          <w:szCs w:val="24"/>
        </w:rPr>
        <w:t>:</w:t>
      </w:r>
    </w:p>
    <w:p w:rsidR="0048347E" w:rsidRPr="005B4BB6" w:rsidRDefault="0048347E" w:rsidP="0048347E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</w:p>
    <w:p w:rsidR="006641DC" w:rsidRPr="005B4BB6" w:rsidRDefault="006641DC" w:rsidP="007E7C93">
      <w:pPr>
        <w:keepNext/>
        <w:ind w:left="851"/>
        <w:rPr>
          <w:sz w:val="24"/>
          <w:szCs w:val="24"/>
        </w:rPr>
      </w:pPr>
      <w:r w:rsidRPr="005B4BB6">
        <w:rPr>
          <w:sz w:val="24"/>
          <w:szCs w:val="24"/>
        </w:rPr>
        <w:lastRenderedPageBreak/>
        <w:t>Lægemiddelstyrelsen</w:t>
      </w:r>
    </w:p>
    <w:p w:rsidR="006641DC" w:rsidRPr="005B4BB6" w:rsidRDefault="006641DC" w:rsidP="007E7C93">
      <w:pPr>
        <w:keepNext/>
        <w:ind w:left="851"/>
        <w:rPr>
          <w:sz w:val="24"/>
          <w:szCs w:val="24"/>
        </w:rPr>
      </w:pPr>
      <w:r w:rsidRPr="005B4BB6">
        <w:rPr>
          <w:sz w:val="24"/>
          <w:szCs w:val="24"/>
        </w:rPr>
        <w:t>Axel Heides Gade 1</w:t>
      </w:r>
    </w:p>
    <w:p w:rsidR="006641DC" w:rsidRPr="005B4BB6" w:rsidRDefault="006641DC" w:rsidP="006641DC">
      <w:pPr>
        <w:ind w:left="851"/>
        <w:rPr>
          <w:sz w:val="24"/>
          <w:szCs w:val="24"/>
        </w:rPr>
      </w:pPr>
      <w:r w:rsidRPr="005B4BB6">
        <w:rPr>
          <w:sz w:val="24"/>
          <w:szCs w:val="24"/>
        </w:rPr>
        <w:t>DK-2300 København S</w:t>
      </w:r>
    </w:p>
    <w:p w:rsidR="006641DC" w:rsidRPr="00617298" w:rsidRDefault="006641DC" w:rsidP="006641DC">
      <w:pPr>
        <w:ind w:left="851"/>
        <w:rPr>
          <w:sz w:val="24"/>
          <w:szCs w:val="24"/>
        </w:rPr>
      </w:pPr>
      <w:r w:rsidRPr="00617298">
        <w:rPr>
          <w:sz w:val="24"/>
          <w:szCs w:val="24"/>
        </w:rPr>
        <w:t xml:space="preserve">Websted: </w:t>
      </w:r>
      <w:hyperlink r:id="rId8" w:history="1">
        <w:r w:rsidR="00AA4F93" w:rsidRPr="003D684F">
          <w:rPr>
            <w:rStyle w:val="Hyperlink"/>
            <w:sz w:val="24"/>
            <w:szCs w:val="24"/>
          </w:rPr>
          <w:t>www.meldenbivirkning.dk</w:t>
        </w:r>
      </w:hyperlink>
      <w:r w:rsidR="00AA4F93">
        <w:rPr>
          <w:sz w:val="24"/>
          <w:szCs w:val="24"/>
        </w:rPr>
        <w:t xml:space="preserve"> </w:t>
      </w:r>
    </w:p>
    <w:p w:rsidR="007C5D2A" w:rsidRPr="00617298" w:rsidRDefault="007C5D2A" w:rsidP="007E69C5">
      <w:pPr>
        <w:pStyle w:val="Sidehoved"/>
        <w:tabs>
          <w:tab w:val="clear" w:pos="4819"/>
          <w:tab w:val="clear" w:pos="9638"/>
          <w:tab w:val="left" w:pos="851"/>
        </w:tabs>
        <w:ind w:left="851"/>
        <w:rPr>
          <w:szCs w:val="24"/>
        </w:rPr>
      </w:pPr>
    </w:p>
    <w:p w:rsidR="007C5D2A" w:rsidRPr="003740BD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740BD">
        <w:rPr>
          <w:b/>
          <w:sz w:val="24"/>
          <w:szCs w:val="24"/>
        </w:rPr>
        <w:t>4.9</w:t>
      </w:r>
      <w:r w:rsidRPr="003740BD">
        <w:rPr>
          <w:b/>
          <w:sz w:val="24"/>
          <w:szCs w:val="24"/>
        </w:rPr>
        <w:tab/>
        <w:t>Overdose</w:t>
      </w:r>
      <w:r w:rsidR="00AE4CC7" w:rsidRPr="003740BD">
        <w:rPr>
          <w:b/>
          <w:sz w:val="24"/>
          <w:szCs w:val="24"/>
        </w:rPr>
        <w:t>ring</w:t>
      </w:r>
    </w:p>
    <w:p w:rsidR="003740BD" w:rsidRPr="003740BD" w:rsidRDefault="003740BD" w:rsidP="003740BD">
      <w:pPr>
        <w:tabs>
          <w:tab w:val="left" w:pos="851"/>
        </w:tabs>
        <w:ind w:left="851"/>
        <w:rPr>
          <w:i/>
          <w:sz w:val="24"/>
          <w:szCs w:val="24"/>
        </w:rPr>
      </w:pPr>
      <w:r w:rsidRPr="003740BD">
        <w:rPr>
          <w:sz w:val="24"/>
          <w:szCs w:val="24"/>
        </w:rPr>
        <w:t xml:space="preserve">Der er ikke rapporteret tilfælde af overdosering. Den højeste daglige dosis af </w:t>
      </w:r>
      <w:proofErr w:type="spellStart"/>
      <w:r w:rsidRPr="003740BD">
        <w:rPr>
          <w:sz w:val="24"/>
          <w:szCs w:val="24"/>
        </w:rPr>
        <w:t>lanthanum</w:t>
      </w:r>
      <w:proofErr w:type="spellEnd"/>
      <w:r w:rsidRPr="003740BD">
        <w:rPr>
          <w:sz w:val="24"/>
          <w:szCs w:val="24"/>
        </w:rPr>
        <w:t>, der blev administreret til raske frivillige under fase I</w:t>
      </w:r>
      <w:r w:rsidRPr="003740BD">
        <w:rPr>
          <w:sz w:val="24"/>
          <w:szCs w:val="24"/>
        </w:rPr>
        <w:noBreakHyphen/>
        <w:t>studier, var 4</w:t>
      </w:r>
      <w:r w:rsidR="008F1697">
        <w:rPr>
          <w:sz w:val="24"/>
          <w:szCs w:val="24"/>
        </w:rPr>
        <w:t>.</w:t>
      </w:r>
      <w:r w:rsidRPr="003740BD">
        <w:rPr>
          <w:sz w:val="24"/>
          <w:szCs w:val="24"/>
        </w:rPr>
        <w:t>718 mg i 3 dage. De bivirkninger, der blev set, var lette til moderate og omfattede kvalme og hovedpine.</w:t>
      </w:r>
    </w:p>
    <w:p w:rsidR="003740BD" w:rsidRDefault="003740BD">
      <w:pPr>
        <w:rPr>
          <w:sz w:val="24"/>
          <w:szCs w:val="24"/>
        </w:rPr>
      </w:pPr>
    </w:p>
    <w:p w:rsidR="008F2F8C" w:rsidRPr="00617298" w:rsidRDefault="0042292D" w:rsidP="0042292D">
      <w:pPr>
        <w:tabs>
          <w:tab w:val="left" w:pos="851"/>
        </w:tabs>
        <w:rPr>
          <w:b/>
          <w:sz w:val="24"/>
          <w:szCs w:val="24"/>
        </w:rPr>
      </w:pPr>
      <w:r w:rsidRPr="00617298">
        <w:rPr>
          <w:b/>
          <w:sz w:val="24"/>
          <w:szCs w:val="24"/>
        </w:rPr>
        <w:t>4.10</w:t>
      </w:r>
      <w:r w:rsidRPr="00617298">
        <w:rPr>
          <w:b/>
          <w:sz w:val="24"/>
          <w:szCs w:val="24"/>
        </w:rPr>
        <w:tab/>
      </w:r>
      <w:r w:rsidR="0034446D" w:rsidRPr="00617298">
        <w:rPr>
          <w:b/>
          <w:sz w:val="24"/>
          <w:szCs w:val="24"/>
        </w:rPr>
        <w:t>Udlevering</w:t>
      </w:r>
    </w:p>
    <w:p w:rsidR="00AD2E36" w:rsidRPr="00617298" w:rsidRDefault="0065732E" w:rsidP="00AD2E36">
      <w:pPr>
        <w:tabs>
          <w:tab w:val="left" w:pos="851"/>
        </w:tabs>
        <w:ind w:left="851"/>
        <w:rPr>
          <w:sz w:val="24"/>
          <w:szCs w:val="24"/>
        </w:rPr>
      </w:pPr>
      <w:r w:rsidRPr="00617298">
        <w:rPr>
          <w:sz w:val="24"/>
          <w:szCs w:val="24"/>
        </w:rPr>
        <w:t>B</w:t>
      </w:r>
    </w:p>
    <w:p w:rsidR="00010092" w:rsidRPr="00617298" w:rsidRDefault="00010092">
      <w:pPr>
        <w:rPr>
          <w:sz w:val="24"/>
          <w:szCs w:val="24"/>
        </w:rPr>
      </w:pPr>
    </w:p>
    <w:p w:rsidR="00AD2E36" w:rsidRPr="00617298" w:rsidRDefault="00AD2E36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617298" w:rsidRDefault="007C5D2A" w:rsidP="007C5D2A">
      <w:pPr>
        <w:tabs>
          <w:tab w:val="left" w:pos="851"/>
        </w:tabs>
        <w:rPr>
          <w:b/>
          <w:sz w:val="24"/>
          <w:szCs w:val="24"/>
        </w:rPr>
      </w:pPr>
      <w:r w:rsidRPr="00617298">
        <w:rPr>
          <w:b/>
          <w:sz w:val="24"/>
          <w:szCs w:val="24"/>
        </w:rPr>
        <w:t>5.</w:t>
      </w:r>
      <w:r w:rsidRPr="00617298">
        <w:rPr>
          <w:b/>
          <w:sz w:val="24"/>
          <w:szCs w:val="24"/>
        </w:rPr>
        <w:tab/>
      </w:r>
      <w:r w:rsidR="0034446D">
        <w:rPr>
          <w:b/>
          <w:sz w:val="24"/>
          <w:szCs w:val="24"/>
        </w:rPr>
        <w:t>FARMAKOLOGISKE EGENSKABER</w:t>
      </w:r>
    </w:p>
    <w:p w:rsidR="00167B84" w:rsidRPr="00811FD4" w:rsidRDefault="00167B84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7960E6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60E6">
        <w:rPr>
          <w:b/>
          <w:sz w:val="24"/>
          <w:szCs w:val="24"/>
        </w:rPr>
        <w:t>5.1</w:t>
      </w:r>
      <w:r w:rsidRPr="007960E6">
        <w:rPr>
          <w:b/>
          <w:sz w:val="24"/>
          <w:szCs w:val="24"/>
        </w:rPr>
        <w:tab/>
      </w:r>
      <w:proofErr w:type="spellStart"/>
      <w:r w:rsidR="007960E6">
        <w:rPr>
          <w:b/>
          <w:sz w:val="24"/>
          <w:szCs w:val="24"/>
        </w:rPr>
        <w:t>Farmakodynamiske</w:t>
      </w:r>
      <w:proofErr w:type="spellEnd"/>
      <w:r w:rsidR="007960E6">
        <w:rPr>
          <w:b/>
          <w:sz w:val="24"/>
          <w:szCs w:val="24"/>
        </w:rPr>
        <w:t xml:space="preserve"> egenskaber</w:t>
      </w:r>
      <w:r w:rsidRPr="007960E6">
        <w:rPr>
          <w:b/>
          <w:sz w:val="24"/>
          <w:szCs w:val="24"/>
        </w:rPr>
        <w:tab/>
      </w:r>
    </w:p>
    <w:p w:rsidR="00991790" w:rsidRPr="00811FD4" w:rsidRDefault="00991790" w:rsidP="00991790">
      <w:pPr>
        <w:tabs>
          <w:tab w:val="left" w:pos="851"/>
        </w:tabs>
        <w:ind w:left="851" w:hanging="851"/>
        <w:rPr>
          <w:sz w:val="24"/>
          <w:szCs w:val="24"/>
        </w:rPr>
      </w:pPr>
      <w:r w:rsidRPr="00991790">
        <w:rPr>
          <w:sz w:val="24"/>
          <w:szCs w:val="24"/>
        </w:rPr>
        <w:tab/>
      </w:r>
      <w:proofErr w:type="spellStart"/>
      <w:r w:rsidRPr="00991790">
        <w:rPr>
          <w:sz w:val="24"/>
          <w:szCs w:val="24"/>
        </w:rPr>
        <w:t>Farmakoterapeutisk</w:t>
      </w:r>
      <w:proofErr w:type="spellEnd"/>
      <w:r w:rsidRPr="00991790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r w:rsidRPr="00811FD4">
        <w:rPr>
          <w:sz w:val="24"/>
          <w:szCs w:val="24"/>
        </w:rPr>
        <w:t xml:space="preserve">Midler til behandling af </w:t>
      </w:r>
      <w:proofErr w:type="spellStart"/>
      <w:r w:rsidRPr="00811FD4">
        <w:rPr>
          <w:sz w:val="24"/>
          <w:szCs w:val="24"/>
        </w:rPr>
        <w:t>hyperkaliæmi</w:t>
      </w:r>
      <w:proofErr w:type="spellEnd"/>
      <w:r w:rsidRPr="00811FD4">
        <w:rPr>
          <w:sz w:val="24"/>
          <w:szCs w:val="24"/>
        </w:rPr>
        <w:t xml:space="preserve"> og </w:t>
      </w:r>
      <w:proofErr w:type="spellStart"/>
      <w:r w:rsidRPr="00811FD4">
        <w:rPr>
          <w:sz w:val="24"/>
          <w:szCs w:val="24"/>
        </w:rPr>
        <w:t>hyperphosphatæmi</w:t>
      </w:r>
      <w:proofErr w:type="spellEnd"/>
      <w:r w:rsidR="008F1697">
        <w:rPr>
          <w:sz w:val="24"/>
          <w:szCs w:val="24"/>
        </w:rPr>
        <w:t>,</w:t>
      </w:r>
      <w:r w:rsidRPr="00811FD4">
        <w:rPr>
          <w:sz w:val="24"/>
          <w:szCs w:val="24"/>
        </w:rPr>
        <w:t xml:space="preserve"> ATC-kode: V03AE03.</w:t>
      </w:r>
    </w:p>
    <w:p w:rsidR="00991790" w:rsidRDefault="00991790" w:rsidP="00991790">
      <w:pPr>
        <w:tabs>
          <w:tab w:val="left" w:pos="851"/>
        </w:tabs>
        <w:rPr>
          <w:sz w:val="24"/>
          <w:szCs w:val="24"/>
        </w:rPr>
      </w:pPr>
    </w:p>
    <w:p w:rsidR="007960E6" w:rsidRPr="007960E6" w:rsidRDefault="002904C0" w:rsidP="007960E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Viatris</w:t>
      </w:r>
      <w:proofErr w:type="spellEnd"/>
      <w:r>
        <w:rPr>
          <w:sz w:val="24"/>
          <w:szCs w:val="24"/>
        </w:rPr>
        <w:t>”</w:t>
      </w:r>
      <w:r w:rsidR="007960E6" w:rsidRPr="007960E6">
        <w:rPr>
          <w:sz w:val="24"/>
          <w:szCs w:val="24"/>
        </w:rPr>
        <w:t xml:space="preserve"> indeholder </w:t>
      </w:r>
      <w:proofErr w:type="spellStart"/>
      <w:r w:rsidR="007960E6" w:rsidRPr="007960E6">
        <w:rPr>
          <w:sz w:val="24"/>
          <w:szCs w:val="24"/>
        </w:rPr>
        <w:t>lanthanumcarbonathydrat</w:t>
      </w:r>
      <w:proofErr w:type="spellEnd"/>
      <w:r w:rsidR="007960E6" w:rsidRPr="007960E6">
        <w:rPr>
          <w:sz w:val="24"/>
          <w:szCs w:val="24"/>
        </w:rPr>
        <w:t xml:space="preserve">. </w:t>
      </w:r>
      <w:proofErr w:type="spellStart"/>
      <w:r w:rsidR="007960E6" w:rsidRPr="007960E6">
        <w:rPr>
          <w:sz w:val="24"/>
          <w:szCs w:val="24"/>
        </w:rPr>
        <w:t>Lanthanumcarbonathydrats</w:t>
      </w:r>
      <w:proofErr w:type="spellEnd"/>
      <w:r w:rsidR="007960E6" w:rsidRPr="007960E6">
        <w:rPr>
          <w:sz w:val="24"/>
          <w:szCs w:val="24"/>
        </w:rPr>
        <w:t xml:space="preserve"> aktivitet som fosfatbinder afhænger af </w:t>
      </w:r>
      <w:proofErr w:type="spellStart"/>
      <w:r w:rsidR="007960E6" w:rsidRPr="007960E6">
        <w:rPr>
          <w:sz w:val="24"/>
          <w:szCs w:val="24"/>
        </w:rPr>
        <w:t>lanthanumionernes</w:t>
      </w:r>
      <w:proofErr w:type="spellEnd"/>
      <w:r w:rsidR="007960E6" w:rsidRPr="007960E6">
        <w:rPr>
          <w:sz w:val="24"/>
          <w:szCs w:val="24"/>
        </w:rPr>
        <w:t xml:space="preserve"> høje affinitet for fosfat fra kosten. Disse ioner frigøres fra </w:t>
      </w:r>
      <w:proofErr w:type="spellStart"/>
      <w:r w:rsidR="007960E6" w:rsidRPr="007960E6">
        <w:rPr>
          <w:sz w:val="24"/>
          <w:szCs w:val="24"/>
        </w:rPr>
        <w:t>carbonatsaltet</w:t>
      </w:r>
      <w:proofErr w:type="spellEnd"/>
      <w:r w:rsidR="007960E6" w:rsidRPr="007960E6">
        <w:rPr>
          <w:sz w:val="24"/>
          <w:szCs w:val="24"/>
        </w:rPr>
        <w:t xml:space="preserve"> i mavesækkens sure miljø. Der dannes uopløselig </w:t>
      </w:r>
      <w:proofErr w:type="spellStart"/>
      <w:r w:rsidR="007960E6" w:rsidRPr="007960E6">
        <w:rPr>
          <w:sz w:val="24"/>
          <w:szCs w:val="24"/>
        </w:rPr>
        <w:t>lanthanumfosfat</w:t>
      </w:r>
      <w:proofErr w:type="spellEnd"/>
      <w:r w:rsidR="007960E6" w:rsidRPr="007960E6">
        <w:rPr>
          <w:sz w:val="24"/>
          <w:szCs w:val="24"/>
        </w:rPr>
        <w:t xml:space="preserve">, hvilket reducerer absorption af fosfat fra mave-tarm-kanalen. </w:t>
      </w: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  <w:r w:rsidRPr="007960E6">
        <w:rPr>
          <w:sz w:val="24"/>
          <w:szCs w:val="24"/>
        </w:rPr>
        <w:t>I alt 1.130 patienter med kronisk nyresvigt, der var under behandling med permanent hæmodialyse eller CAPD, blev undersøgt i to fase II- og to fase III</w:t>
      </w:r>
      <w:r w:rsidRPr="007960E6">
        <w:rPr>
          <w:sz w:val="24"/>
          <w:szCs w:val="24"/>
        </w:rPr>
        <w:noBreakHyphen/>
        <w:t xml:space="preserve">studier. Tre studier var placebokontrollerede (1 med fast dosis og 2 med titreret dosis), og ét omfattede </w:t>
      </w:r>
      <w:proofErr w:type="spellStart"/>
      <w:r w:rsidRPr="007960E6">
        <w:rPr>
          <w:sz w:val="24"/>
          <w:szCs w:val="24"/>
        </w:rPr>
        <w:t>kalciumcarbonat</w:t>
      </w:r>
      <w:proofErr w:type="spellEnd"/>
      <w:r w:rsidRPr="007960E6">
        <w:rPr>
          <w:sz w:val="24"/>
          <w:szCs w:val="24"/>
        </w:rPr>
        <w:t xml:space="preserve"> som en aktiv </w:t>
      </w:r>
      <w:proofErr w:type="spellStart"/>
      <w:r w:rsidRPr="007960E6">
        <w:rPr>
          <w:sz w:val="24"/>
          <w:szCs w:val="24"/>
        </w:rPr>
        <w:t>komparator</w:t>
      </w:r>
      <w:proofErr w:type="spellEnd"/>
      <w:r w:rsidRPr="007960E6">
        <w:rPr>
          <w:sz w:val="24"/>
          <w:szCs w:val="24"/>
        </w:rPr>
        <w:t xml:space="preserve">. Under disse studier fik 1.016 patienter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, 267 fik </w:t>
      </w:r>
      <w:proofErr w:type="spellStart"/>
      <w:r w:rsidRPr="007960E6">
        <w:rPr>
          <w:sz w:val="24"/>
          <w:szCs w:val="24"/>
        </w:rPr>
        <w:t>kalciumcarbonat</w:t>
      </w:r>
      <w:proofErr w:type="spellEnd"/>
      <w:r w:rsidRPr="007960E6">
        <w:rPr>
          <w:sz w:val="24"/>
          <w:szCs w:val="24"/>
        </w:rPr>
        <w:t xml:space="preserve"> og 176 fik placebo.</w:t>
      </w: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  <w:r w:rsidRPr="007960E6">
        <w:rPr>
          <w:sz w:val="24"/>
          <w:szCs w:val="24"/>
        </w:rPr>
        <w:t xml:space="preserve">To placebokontrollerede, randomiserede studier indskrev patienter i dialyse efter udvaskning af tidligere fosfatbindere. Efter titrering af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 med henblik på at opnå et serumfosfatniveau på mellem 1,3 og 1,8 mmol/l i ét studie (doser op til 2</w:t>
      </w:r>
      <w:r w:rsidR="008F1697">
        <w:rPr>
          <w:sz w:val="24"/>
          <w:szCs w:val="24"/>
        </w:rPr>
        <w:t>.</w:t>
      </w:r>
      <w:r w:rsidRPr="007960E6">
        <w:rPr>
          <w:sz w:val="24"/>
          <w:szCs w:val="24"/>
        </w:rPr>
        <w:t>250 mg/dag) eller ≤ 1,8 mmol/l i et andet studie (doser op til 3</w:t>
      </w:r>
      <w:r w:rsidR="008F1697">
        <w:rPr>
          <w:sz w:val="24"/>
          <w:szCs w:val="24"/>
        </w:rPr>
        <w:t>.</w:t>
      </w:r>
      <w:r w:rsidRPr="007960E6">
        <w:rPr>
          <w:sz w:val="24"/>
          <w:szCs w:val="24"/>
        </w:rPr>
        <w:t xml:space="preserve">000 mg/dag) blev patienterne randomiseret til at få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 eller placebo som vedligeholdelsesbehandling. Efter den 4 uger lange randomiserede, placebokontrollerede fase steg serumfosfatkoncentrationen mellem 0,5 og 0,6 mmol/l for placebogruppen i begge studier i forhold til de patienter, som fortsatte behandling med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. 61 % af de patienter, som fik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>, opretholdt deres respons, sammenlignet med 23 % af dem, som fik placebo.</w:t>
      </w: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  <w:r w:rsidRPr="007960E6">
        <w:rPr>
          <w:sz w:val="24"/>
          <w:szCs w:val="24"/>
        </w:rPr>
        <w:t xml:space="preserve">Studiet med aktiv </w:t>
      </w:r>
      <w:proofErr w:type="spellStart"/>
      <w:r w:rsidRPr="007960E6">
        <w:rPr>
          <w:sz w:val="24"/>
          <w:szCs w:val="24"/>
        </w:rPr>
        <w:t>komparator</w:t>
      </w:r>
      <w:proofErr w:type="spellEnd"/>
      <w:r w:rsidRPr="007960E6">
        <w:rPr>
          <w:sz w:val="24"/>
          <w:szCs w:val="24"/>
        </w:rPr>
        <w:t xml:space="preserve"> viste, at serumfosfatniveauerne blev reduceret til målniveauer på 1,8 mmol/l ved udgangen af 5</w:t>
      </w:r>
      <w:r w:rsidRPr="007960E6">
        <w:rPr>
          <w:sz w:val="24"/>
          <w:szCs w:val="24"/>
        </w:rPr>
        <w:noBreakHyphen/>
        <w:t xml:space="preserve">ugers titreringsperioden hos 51 % af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-gruppen sammenlignet med 57 % i </w:t>
      </w:r>
      <w:proofErr w:type="spellStart"/>
      <w:r w:rsidRPr="007960E6">
        <w:rPr>
          <w:sz w:val="24"/>
          <w:szCs w:val="24"/>
        </w:rPr>
        <w:t>kalciumcarbonat</w:t>
      </w:r>
      <w:proofErr w:type="spellEnd"/>
      <w:r w:rsidRPr="007960E6">
        <w:rPr>
          <w:sz w:val="24"/>
          <w:szCs w:val="24"/>
        </w:rPr>
        <w:t xml:space="preserve">-gruppen. Ved uge 25 var procentdelen af randomiserede patienter med velkontrollerede serumfosfatniveauer sammenlignelig i de to behandlingsgrupper; 29 % af dem, der fik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, og 30 % af dem, der fik </w:t>
      </w:r>
      <w:proofErr w:type="spellStart"/>
      <w:r w:rsidRPr="007960E6">
        <w:rPr>
          <w:sz w:val="24"/>
          <w:szCs w:val="24"/>
        </w:rPr>
        <w:t>kalciumcarbonat</w:t>
      </w:r>
      <w:proofErr w:type="spellEnd"/>
      <w:r w:rsidRPr="007960E6">
        <w:rPr>
          <w:sz w:val="24"/>
          <w:szCs w:val="24"/>
        </w:rPr>
        <w:t xml:space="preserve"> (ved brug af en missing=</w:t>
      </w:r>
      <w:proofErr w:type="spellStart"/>
      <w:r w:rsidRPr="007960E6">
        <w:rPr>
          <w:sz w:val="24"/>
          <w:szCs w:val="24"/>
        </w:rPr>
        <w:t>failure</w:t>
      </w:r>
      <w:proofErr w:type="spellEnd"/>
      <w:r w:rsidRPr="007960E6">
        <w:rPr>
          <w:sz w:val="24"/>
          <w:szCs w:val="24"/>
        </w:rPr>
        <w:t>-tilgang). Middelserumfosfatniveauerne blev reduceret med en tilsvarende mængde i begge behandlingsgrupper.</w:t>
      </w: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  <w:r w:rsidRPr="007960E6">
        <w:rPr>
          <w:sz w:val="24"/>
          <w:szCs w:val="24"/>
        </w:rPr>
        <w:lastRenderedPageBreak/>
        <w:t xml:space="preserve">Yderligere langtidsforlængelsesstudier har vist opretholdelse af fosfatreduktion hos nogle patienter efter fortsat administration af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 i mindst 2 år.</w:t>
      </w: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  <w:r w:rsidRPr="007960E6">
        <w:rPr>
          <w:sz w:val="24"/>
          <w:szCs w:val="24"/>
        </w:rPr>
        <w:t xml:space="preserve">I komparative studier rapporteredes </w:t>
      </w:r>
      <w:proofErr w:type="spellStart"/>
      <w:r w:rsidRPr="007960E6">
        <w:rPr>
          <w:sz w:val="24"/>
          <w:szCs w:val="24"/>
        </w:rPr>
        <w:t>hyperkalcæmi</w:t>
      </w:r>
      <w:proofErr w:type="spellEnd"/>
      <w:r w:rsidRPr="007960E6">
        <w:rPr>
          <w:sz w:val="24"/>
          <w:szCs w:val="24"/>
        </w:rPr>
        <w:t xml:space="preserve"> hos 0,4 % af de patienter, der fik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>, sammenlignet med 20,2 % af dem, der fik kalciumbaserede bindere. Koncentrationen af PTH i serum kan svinge afhængigt af patientens kalcium-, fosfat- og D</w:t>
      </w:r>
      <w:r w:rsidRPr="007960E6">
        <w:rPr>
          <w:sz w:val="24"/>
          <w:szCs w:val="24"/>
        </w:rPr>
        <w:noBreakHyphen/>
        <w:t xml:space="preserve">vitaminstatus i serum. Det er ikke påvist, at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 har nogen direkte virkninger på koncentrationen af PTH i serum.</w:t>
      </w: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  <w:r w:rsidRPr="007960E6">
        <w:rPr>
          <w:sz w:val="24"/>
          <w:szCs w:val="24"/>
        </w:rPr>
        <w:t xml:space="preserve">I de længerevarende studier af knoglesundhed blev en tendens mod øgede koncentrationer af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 i knogle over tid i kontrolpopulationen observeret ud fra gennemsnitsdata, hvor medianen 3-dobledes fra en </w:t>
      </w:r>
      <w:r w:rsidRPr="007960E6">
        <w:rPr>
          <w:i/>
          <w:iCs/>
          <w:sz w:val="24"/>
          <w:szCs w:val="24"/>
        </w:rPr>
        <w:t>baseline</w:t>
      </w:r>
      <w:r w:rsidRPr="007960E6">
        <w:rPr>
          <w:sz w:val="24"/>
          <w:szCs w:val="24"/>
        </w:rPr>
        <w:t xml:space="preserve"> på 53 </w:t>
      </w:r>
      <w:proofErr w:type="spellStart"/>
      <w:r w:rsidRPr="007960E6">
        <w:rPr>
          <w:sz w:val="24"/>
          <w:szCs w:val="24"/>
        </w:rPr>
        <w:t>μg</w:t>
      </w:r>
      <w:proofErr w:type="spellEnd"/>
      <w:r w:rsidRPr="007960E6">
        <w:rPr>
          <w:sz w:val="24"/>
          <w:szCs w:val="24"/>
        </w:rPr>
        <w:t xml:space="preserve">/kg efter 24 måneder. Hos patienter, der fik behandling med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, steg koncentrationen af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 i knogle i løbet af de første 12 måneder af behandlingen med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 op til en median på 1</w:t>
      </w:r>
      <w:r w:rsidR="008F1697">
        <w:rPr>
          <w:sz w:val="24"/>
          <w:szCs w:val="24"/>
        </w:rPr>
        <w:t>.</w:t>
      </w:r>
      <w:r w:rsidRPr="007960E6">
        <w:rPr>
          <w:sz w:val="24"/>
          <w:szCs w:val="24"/>
        </w:rPr>
        <w:t>328 </w:t>
      </w:r>
      <w:proofErr w:type="spellStart"/>
      <w:r w:rsidRPr="007960E6">
        <w:rPr>
          <w:sz w:val="24"/>
          <w:szCs w:val="24"/>
        </w:rPr>
        <w:t>μg</w:t>
      </w:r>
      <w:proofErr w:type="spellEnd"/>
      <w:r w:rsidRPr="007960E6">
        <w:rPr>
          <w:sz w:val="24"/>
          <w:szCs w:val="24"/>
        </w:rPr>
        <w:t>/kg (interval 122-5</w:t>
      </w:r>
      <w:r w:rsidR="008F1697">
        <w:rPr>
          <w:sz w:val="24"/>
          <w:szCs w:val="24"/>
        </w:rPr>
        <w:t>.</w:t>
      </w:r>
      <w:r w:rsidRPr="007960E6">
        <w:rPr>
          <w:sz w:val="24"/>
          <w:szCs w:val="24"/>
        </w:rPr>
        <w:t>513 </w:t>
      </w:r>
      <w:proofErr w:type="spellStart"/>
      <w:r w:rsidRPr="007960E6">
        <w:rPr>
          <w:sz w:val="24"/>
          <w:szCs w:val="24"/>
        </w:rPr>
        <w:t>μg</w:t>
      </w:r>
      <w:proofErr w:type="spellEnd"/>
      <w:r w:rsidRPr="007960E6">
        <w:rPr>
          <w:sz w:val="24"/>
          <w:szCs w:val="24"/>
        </w:rPr>
        <w:t>/kg). Median og interval for koncentrationer efter 18 og 24 måneder var sammenlignelige med dem efter 12 måneder. Median efter 54 måneder var 4</w:t>
      </w:r>
      <w:r w:rsidR="008F1697">
        <w:rPr>
          <w:sz w:val="24"/>
          <w:szCs w:val="24"/>
        </w:rPr>
        <w:t>.</w:t>
      </w:r>
      <w:r w:rsidRPr="007960E6">
        <w:rPr>
          <w:sz w:val="24"/>
          <w:szCs w:val="24"/>
        </w:rPr>
        <w:t>246 </w:t>
      </w:r>
      <w:proofErr w:type="spellStart"/>
      <w:r w:rsidRPr="007960E6">
        <w:rPr>
          <w:sz w:val="24"/>
          <w:szCs w:val="24"/>
        </w:rPr>
        <w:t>μg</w:t>
      </w:r>
      <w:proofErr w:type="spellEnd"/>
      <w:r w:rsidRPr="007960E6">
        <w:rPr>
          <w:sz w:val="24"/>
          <w:szCs w:val="24"/>
        </w:rPr>
        <w:t>/kg (interval 1</w:t>
      </w:r>
      <w:r w:rsidR="008F1697">
        <w:rPr>
          <w:sz w:val="24"/>
          <w:szCs w:val="24"/>
        </w:rPr>
        <w:t>.</w:t>
      </w:r>
      <w:r w:rsidRPr="007960E6">
        <w:rPr>
          <w:sz w:val="24"/>
          <w:szCs w:val="24"/>
        </w:rPr>
        <w:t>673-9</w:t>
      </w:r>
      <w:r w:rsidR="008F1697">
        <w:rPr>
          <w:sz w:val="24"/>
          <w:szCs w:val="24"/>
        </w:rPr>
        <w:t>.</w:t>
      </w:r>
      <w:r w:rsidRPr="007960E6">
        <w:rPr>
          <w:sz w:val="24"/>
          <w:szCs w:val="24"/>
        </w:rPr>
        <w:t>792 </w:t>
      </w:r>
      <w:proofErr w:type="spellStart"/>
      <w:r w:rsidRPr="007960E6">
        <w:rPr>
          <w:sz w:val="24"/>
          <w:szCs w:val="24"/>
        </w:rPr>
        <w:t>μg</w:t>
      </w:r>
      <w:proofErr w:type="spellEnd"/>
      <w:r w:rsidRPr="007960E6">
        <w:rPr>
          <w:sz w:val="24"/>
          <w:szCs w:val="24"/>
        </w:rPr>
        <w:t>/kg).</w:t>
      </w: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  <w:r w:rsidRPr="007960E6">
        <w:rPr>
          <w:sz w:val="24"/>
          <w:szCs w:val="24"/>
        </w:rPr>
        <w:t xml:space="preserve">Parrede knoglebiopsier (ved </w:t>
      </w:r>
      <w:r w:rsidRPr="007960E6">
        <w:rPr>
          <w:i/>
          <w:iCs/>
          <w:sz w:val="24"/>
          <w:szCs w:val="24"/>
        </w:rPr>
        <w:t>baseline</w:t>
      </w:r>
      <w:r w:rsidRPr="007960E6">
        <w:rPr>
          <w:sz w:val="24"/>
          <w:szCs w:val="24"/>
        </w:rPr>
        <w:t xml:space="preserve"> og efter et eller to år) fra patienter, der var blevet randomiseret til enten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 eller </w:t>
      </w:r>
      <w:proofErr w:type="spellStart"/>
      <w:r w:rsidRPr="007960E6">
        <w:rPr>
          <w:sz w:val="24"/>
          <w:szCs w:val="24"/>
        </w:rPr>
        <w:t>kalciumcarbonat</w:t>
      </w:r>
      <w:proofErr w:type="spellEnd"/>
      <w:r w:rsidRPr="007960E6">
        <w:rPr>
          <w:sz w:val="24"/>
          <w:szCs w:val="24"/>
        </w:rPr>
        <w:t xml:space="preserve"> i ét studie, og patienter, der var blevet randomiseret til enten </w:t>
      </w:r>
      <w:proofErr w:type="spellStart"/>
      <w:r w:rsidRPr="007960E6">
        <w:rPr>
          <w:sz w:val="24"/>
          <w:szCs w:val="24"/>
        </w:rPr>
        <w:t>lanthanumcarbonat</w:t>
      </w:r>
      <w:proofErr w:type="spellEnd"/>
      <w:r w:rsidRPr="007960E6">
        <w:rPr>
          <w:sz w:val="24"/>
          <w:szCs w:val="24"/>
        </w:rPr>
        <w:t xml:space="preserve"> eller alternativ behandling i et andet studie, viste ingen forskelle i udvikling af </w:t>
      </w:r>
      <w:proofErr w:type="spellStart"/>
      <w:r w:rsidRPr="007960E6">
        <w:rPr>
          <w:sz w:val="24"/>
          <w:szCs w:val="24"/>
        </w:rPr>
        <w:t>mineraliseringsdefekter</w:t>
      </w:r>
      <w:proofErr w:type="spellEnd"/>
      <w:r w:rsidRPr="007960E6">
        <w:rPr>
          <w:sz w:val="24"/>
          <w:szCs w:val="24"/>
        </w:rPr>
        <w:t xml:space="preserve"> grupperne imellem.</w:t>
      </w:r>
    </w:p>
    <w:p w:rsidR="007960E6" w:rsidRPr="007960E6" w:rsidRDefault="007960E6" w:rsidP="007960E6">
      <w:pPr>
        <w:tabs>
          <w:tab w:val="left" w:pos="851"/>
        </w:tabs>
        <w:ind w:left="851"/>
        <w:rPr>
          <w:sz w:val="24"/>
          <w:szCs w:val="24"/>
        </w:rPr>
      </w:pPr>
    </w:p>
    <w:p w:rsidR="00991790" w:rsidRDefault="00991790" w:rsidP="00991790">
      <w:pPr>
        <w:keepNext/>
        <w:keepLines/>
        <w:ind w:left="85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Pædiatrisk population </w:t>
      </w:r>
    </w:p>
    <w:p w:rsidR="00991790" w:rsidRDefault="00991790" w:rsidP="00991790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Der blev udført et åbent studie med henblik på at undersøge lanthanumcarbonats virkning og sikkerhed hos pædiatriske patienter med hyperfosfatæmi og kronisk nyresygdom og i dialyse. Studiet opnåede ikke det oprindeligt planlagte antal deltagere, der krævedes for statistisk non-inferioritetssammenligning med calciumcarbonat, hvorfor kun en beskrivende analyse af de endelige data blev gennemført. Blandt de 52 patienter i FAS populationen, som blev eksponeret for lanthanumcarbonat i delstudie 2b og 3, indgik 51 patienter i delstudie 2b, hvoraf 10 patienter stoppede, imens 42 patienter indgik i delstudie 3, hvoraf 7 patienter stoppede. Totaleksponering var 26,4 patientår og observationstiden var 36,8 patientår.</w:t>
      </w:r>
    </w:p>
    <w:p w:rsidR="00991790" w:rsidRDefault="00991790" w:rsidP="00991790">
      <w:pPr>
        <w:ind w:left="851"/>
        <w:rPr>
          <w:noProof/>
          <w:sz w:val="24"/>
          <w:szCs w:val="24"/>
        </w:rPr>
      </w:pPr>
    </w:p>
    <w:p w:rsidR="00991790" w:rsidRDefault="00991790" w:rsidP="00991790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Efter 8 ugers behandling med lanthanumcarbonat opnåede 35 % af de deltagere, der var inkluderet i den primære analysepopulation, målniveauerne for fosfor i serum som fastsat i Kidney Disease Outcomes Quality Initiative (KDOQI) (dvs. &lt;1,94 mmol/L for patienter &lt;12 år; &lt;1,78 mmol/L for patienter mellem 12 og 18 år). </w:t>
      </w:r>
    </w:p>
    <w:p w:rsidR="00991790" w:rsidRDefault="00991790" w:rsidP="00991790">
      <w:pPr>
        <w:ind w:left="851"/>
        <w:rPr>
          <w:noProof/>
          <w:sz w:val="24"/>
          <w:szCs w:val="24"/>
        </w:rPr>
      </w:pPr>
    </w:p>
    <w:p w:rsidR="00991790" w:rsidRDefault="00991790" w:rsidP="00991790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noProof/>
          <w:sz w:val="24"/>
          <w:szCs w:val="24"/>
        </w:rPr>
        <w:t>Der blev ikke identificeret nogen nye signifikante bivirkninger med lanthanumcarbonat i studiet hos pædiatriske forsøgspersoner med kronisk nyresygdom, som var i dialyse, ved en gennemsnitlig daglig dosis på 1</w:t>
      </w:r>
      <w:r w:rsidR="008F1697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705 mg (median 1</w:t>
      </w:r>
      <w:r w:rsidR="008F1697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500 mg).</w:t>
      </w:r>
    </w:p>
    <w:p w:rsidR="00C56561" w:rsidRPr="007960E6" w:rsidRDefault="00C56561" w:rsidP="00C56561">
      <w:pPr>
        <w:tabs>
          <w:tab w:val="left" w:pos="851"/>
        </w:tabs>
        <w:ind w:left="851"/>
        <w:rPr>
          <w:sz w:val="24"/>
          <w:szCs w:val="24"/>
        </w:rPr>
      </w:pPr>
      <w:r w:rsidRPr="007960E6">
        <w:rPr>
          <w:sz w:val="24"/>
          <w:szCs w:val="24"/>
        </w:rPr>
        <w:t xml:space="preserve"> </w:t>
      </w:r>
    </w:p>
    <w:p w:rsidR="007C5D2A" w:rsidRPr="00BD79FB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D79FB">
        <w:rPr>
          <w:b/>
          <w:sz w:val="24"/>
          <w:szCs w:val="24"/>
        </w:rPr>
        <w:t>5.2</w:t>
      </w:r>
      <w:r w:rsidRPr="00BD79FB">
        <w:rPr>
          <w:b/>
          <w:sz w:val="24"/>
          <w:szCs w:val="24"/>
        </w:rPr>
        <w:tab/>
      </w:r>
      <w:proofErr w:type="spellStart"/>
      <w:r w:rsidR="00BD79FB">
        <w:rPr>
          <w:b/>
          <w:sz w:val="24"/>
          <w:szCs w:val="24"/>
        </w:rPr>
        <w:t>Farmakokinetiske</w:t>
      </w:r>
      <w:proofErr w:type="spellEnd"/>
      <w:r w:rsidR="00BD79FB">
        <w:rPr>
          <w:b/>
          <w:sz w:val="24"/>
          <w:szCs w:val="24"/>
        </w:rPr>
        <w:t xml:space="preserve"> egenskaber</w:t>
      </w:r>
      <w:r w:rsidRPr="00BD79FB">
        <w:rPr>
          <w:b/>
          <w:sz w:val="24"/>
          <w:szCs w:val="24"/>
        </w:rPr>
        <w:tab/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  <w:r w:rsidRPr="00BD79FB">
        <w:rPr>
          <w:iCs/>
          <w:sz w:val="24"/>
          <w:szCs w:val="24"/>
        </w:rPr>
        <w:t xml:space="preserve">Eftersom binding mellem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og fosfat fra kosten sker i lumen i mavesækken og den øverste del af tyndtarmen, er </w:t>
      </w:r>
      <w:proofErr w:type="spellStart"/>
      <w:r w:rsidRPr="00BD79FB">
        <w:rPr>
          <w:iCs/>
          <w:sz w:val="24"/>
          <w:szCs w:val="24"/>
        </w:rPr>
        <w:t>lanthanumcarbonats</w:t>
      </w:r>
      <w:proofErr w:type="spellEnd"/>
      <w:r w:rsidRPr="00BD79FB">
        <w:rPr>
          <w:iCs/>
          <w:sz w:val="24"/>
          <w:szCs w:val="24"/>
        </w:rPr>
        <w:t xml:space="preserve"> terapeutiske virkning ikke afhængig af niveauerne af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i plasma.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findes i omgivelserne. Måling af baggrundsniveauer hos patienter med kronisk nyresvigt, der ikke var i behandling med </w:t>
      </w:r>
      <w:proofErr w:type="spellStart"/>
      <w:r w:rsidRPr="00BD79FB">
        <w:rPr>
          <w:iCs/>
          <w:sz w:val="24"/>
          <w:szCs w:val="24"/>
        </w:rPr>
        <w:t>lanthanumcarbonathydrat</w:t>
      </w:r>
      <w:proofErr w:type="spellEnd"/>
      <w:r w:rsidRPr="00BD79FB">
        <w:rPr>
          <w:iCs/>
          <w:sz w:val="24"/>
          <w:szCs w:val="24"/>
        </w:rPr>
        <w:t xml:space="preserve">, under kliniske </w:t>
      </w:r>
      <w:r w:rsidRPr="00BD79FB">
        <w:rPr>
          <w:iCs/>
          <w:sz w:val="24"/>
          <w:szCs w:val="24"/>
        </w:rPr>
        <w:lastRenderedPageBreak/>
        <w:t>fase III</w:t>
      </w:r>
      <w:r w:rsidRPr="00BD79FB">
        <w:rPr>
          <w:iCs/>
          <w:sz w:val="24"/>
          <w:szCs w:val="24"/>
        </w:rPr>
        <w:noBreakHyphen/>
        <w:t>forsøg, viste koncentrationer på &lt; 0,05 til 0,90 </w:t>
      </w:r>
      <w:proofErr w:type="spellStart"/>
      <w:r w:rsidRPr="00BD79FB">
        <w:rPr>
          <w:iCs/>
          <w:sz w:val="24"/>
          <w:szCs w:val="24"/>
        </w:rPr>
        <w:t>ng</w:t>
      </w:r>
      <w:proofErr w:type="spellEnd"/>
      <w:r w:rsidRPr="00BD79FB">
        <w:rPr>
          <w:iCs/>
          <w:sz w:val="24"/>
          <w:szCs w:val="24"/>
        </w:rPr>
        <w:t>/ml i plasma og &lt; 0,006 til 1,0 µg/g i knoglebiopsiprøver.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BD79FB">
        <w:rPr>
          <w:iCs/>
          <w:sz w:val="24"/>
          <w:szCs w:val="24"/>
          <w:u w:val="single"/>
        </w:rPr>
        <w:t>Absorption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BD79FB">
        <w:rPr>
          <w:iCs/>
          <w:sz w:val="24"/>
          <w:szCs w:val="24"/>
        </w:rPr>
        <w:t>Lanthanumcarbonathydrat</w:t>
      </w:r>
      <w:proofErr w:type="spellEnd"/>
      <w:r w:rsidRPr="00BD79FB">
        <w:rPr>
          <w:iCs/>
          <w:sz w:val="24"/>
          <w:szCs w:val="24"/>
        </w:rPr>
        <w:t xml:space="preserve"> har lav opløselighed i vand (&lt; 0,01 mg/ml ved pH 7,5) og absorberes kun minimalt efter oral administration. Den absolutte orale biotilgængelighed vurderes at ligge på &lt; 0,002 % hos mennesker. 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  <w:r w:rsidRPr="00BD79FB">
        <w:rPr>
          <w:iCs/>
          <w:sz w:val="24"/>
          <w:szCs w:val="24"/>
        </w:rPr>
        <w:t>Efter orale enkeltdoser på 250 til 1</w:t>
      </w:r>
      <w:r w:rsidR="008F1697">
        <w:rPr>
          <w:iCs/>
          <w:sz w:val="24"/>
          <w:szCs w:val="24"/>
        </w:rPr>
        <w:t>.</w:t>
      </w:r>
      <w:r w:rsidRPr="00BD79FB">
        <w:rPr>
          <w:iCs/>
          <w:sz w:val="24"/>
          <w:szCs w:val="24"/>
        </w:rPr>
        <w:t xml:space="preserve">000 mg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hos raske personer steg plasma-AUC og -</w:t>
      </w:r>
      <w:proofErr w:type="spellStart"/>
      <w:r w:rsidRPr="00BD79FB">
        <w:rPr>
          <w:iCs/>
          <w:sz w:val="24"/>
          <w:szCs w:val="24"/>
        </w:rPr>
        <w:t>C</w:t>
      </w:r>
      <w:r w:rsidRPr="00BD79FB">
        <w:rPr>
          <w:iCs/>
          <w:sz w:val="24"/>
          <w:szCs w:val="24"/>
          <w:vertAlign w:val="subscript"/>
        </w:rPr>
        <w:t>max</w:t>
      </w:r>
      <w:proofErr w:type="spellEnd"/>
      <w:r w:rsidRPr="00BD79FB">
        <w:rPr>
          <w:iCs/>
          <w:sz w:val="24"/>
          <w:szCs w:val="24"/>
        </w:rPr>
        <w:t xml:space="preserve"> som funktion af dosis, men på en mindre end proportional måde, hvilket er i overensstemmelse med opløsningsbegrænset absorption. Hos raske personer var den tilsyneladende eliminations-halveringstid i plasma 36 timer.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  <w:r w:rsidRPr="00BD79FB">
        <w:rPr>
          <w:iCs/>
          <w:sz w:val="24"/>
          <w:szCs w:val="24"/>
        </w:rPr>
        <w:t>Hos patienter i nyredialyse, der fik 1</w:t>
      </w:r>
      <w:r w:rsidR="008F1697">
        <w:rPr>
          <w:iCs/>
          <w:sz w:val="24"/>
          <w:szCs w:val="24"/>
        </w:rPr>
        <w:t>.</w:t>
      </w:r>
      <w:r w:rsidRPr="00BD79FB">
        <w:rPr>
          <w:iCs/>
          <w:sz w:val="24"/>
          <w:szCs w:val="24"/>
        </w:rPr>
        <w:t xml:space="preserve">000 mg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3 gange om dagen i 10 dage, var middelværdien (</w:t>
      </w:r>
      <w:r w:rsidRPr="00BD79FB">
        <w:rPr>
          <w:iCs/>
          <w:sz w:val="24"/>
          <w:szCs w:val="24"/>
        </w:rPr>
        <w:sym w:font="Symbol" w:char="F0B1"/>
      </w:r>
      <w:r w:rsidRPr="00BD79FB">
        <w:rPr>
          <w:iCs/>
          <w:sz w:val="24"/>
          <w:szCs w:val="24"/>
        </w:rPr>
        <w:t> SD) for topkoncentration i plasma 1,06 (</w:t>
      </w:r>
      <w:r w:rsidRPr="00BD79FB">
        <w:rPr>
          <w:iCs/>
          <w:sz w:val="24"/>
          <w:szCs w:val="24"/>
        </w:rPr>
        <w:sym w:font="Symbol" w:char="F0B1"/>
      </w:r>
      <w:r w:rsidRPr="00BD79FB">
        <w:rPr>
          <w:iCs/>
          <w:sz w:val="24"/>
          <w:szCs w:val="24"/>
        </w:rPr>
        <w:t> 1,04) </w:t>
      </w:r>
      <w:proofErr w:type="spellStart"/>
      <w:r w:rsidRPr="00BD79FB">
        <w:rPr>
          <w:iCs/>
          <w:sz w:val="24"/>
          <w:szCs w:val="24"/>
        </w:rPr>
        <w:t>ng</w:t>
      </w:r>
      <w:proofErr w:type="spellEnd"/>
      <w:r w:rsidRPr="00BD79FB">
        <w:rPr>
          <w:iCs/>
          <w:sz w:val="24"/>
          <w:szCs w:val="24"/>
        </w:rPr>
        <w:t xml:space="preserve">/ml, og middelværdien for </w:t>
      </w:r>
      <w:proofErr w:type="spellStart"/>
      <w:r w:rsidRPr="00BD79FB">
        <w:rPr>
          <w:iCs/>
          <w:sz w:val="24"/>
          <w:szCs w:val="24"/>
        </w:rPr>
        <w:t>AUC</w:t>
      </w:r>
      <w:r w:rsidRPr="00BD79FB">
        <w:rPr>
          <w:iCs/>
          <w:sz w:val="24"/>
          <w:szCs w:val="24"/>
          <w:vertAlign w:val="subscript"/>
        </w:rPr>
        <w:t>last</w:t>
      </w:r>
      <w:proofErr w:type="spellEnd"/>
      <w:r w:rsidRPr="00BD79FB">
        <w:rPr>
          <w:iCs/>
          <w:sz w:val="24"/>
          <w:szCs w:val="24"/>
        </w:rPr>
        <w:t xml:space="preserve"> var 31,1 (</w:t>
      </w:r>
      <w:r w:rsidRPr="00BD79FB">
        <w:rPr>
          <w:iCs/>
          <w:sz w:val="24"/>
          <w:szCs w:val="24"/>
        </w:rPr>
        <w:sym w:font="Symbol" w:char="F0B1"/>
      </w:r>
      <w:r w:rsidRPr="00BD79FB">
        <w:rPr>
          <w:iCs/>
          <w:sz w:val="24"/>
          <w:szCs w:val="24"/>
        </w:rPr>
        <w:t> 40,5) </w:t>
      </w:r>
      <w:proofErr w:type="spellStart"/>
      <w:r w:rsidRPr="00BD79FB">
        <w:rPr>
          <w:iCs/>
          <w:sz w:val="24"/>
          <w:szCs w:val="24"/>
        </w:rPr>
        <w:t>ng.h</w:t>
      </w:r>
      <w:proofErr w:type="spellEnd"/>
      <w:r w:rsidRPr="00BD79FB">
        <w:rPr>
          <w:iCs/>
          <w:sz w:val="24"/>
          <w:szCs w:val="24"/>
        </w:rPr>
        <w:t xml:space="preserve">/ml. Regelmæssig overvågning af blodniveau for 1.707 patienter i nyredialyse, der tog </w:t>
      </w:r>
      <w:proofErr w:type="spellStart"/>
      <w:r w:rsidRPr="00BD79FB">
        <w:rPr>
          <w:iCs/>
          <w:sz w:val="24"/>
          <w:szCs w:val="24"/>
        </w:rPr>
        <w:t>lanthanumcarbonathydrat</w:t>
      </w:r>
      <w:proofErr w:type="spellEnd"/>
      <w:r w:rsidRPr="00BD79FB">
        <w:rPr>
          <w:iCs/>
          <w:sz w:val="24"/>
          <w:szCs w:val="24"/>
        </w:rPr>
        <w:t xml:space="preserve"> i op til 2 år, viste ingen stigning i </w:t>
      </w:r>
      <w:proofErr w:type="spellStart"/>
      <w:r w:rsidRPr="00BD79FB">
        <w:rPr>
          <w:iCs/>
          <w:sz w:val="24"/>
          <w:szCs w:val="24"/>
        </w:rPr>
        <w:t>lanthanumkoncentrationer</w:t>
      </w:r>
      <w:proofErr w:type="spellEnd"/>
      <w:r w:rsidRPr="00BD79FB">
        <w:rPr>
          <w:iCs/>
          <w:sz w:val="24"/>
          <w:szCs w:val="24"/>
        </w:rPr>
        <w:t xml:space="preserve"> i plasma i dette tidsrum. 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BD79FB">
        <w:rPr>
          <w:iCs/>
          <w:sz w:val="24"/>
          <w:szCs w:val="24"/>
          <w:u w:val="single"/>
        </w:rPr>
        <w:t>Fordeling</w:t>
      </w:r>
    </w:p>
    <w:p w:rsid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ophober sig ikke i plasma hos patienter eller hos dyr efter gentagen oral administration af </w:t>
      </w:r>
      <w:proofErr w:type="spellStart"/>
      <w:r w:rsidRPr="00BD79FB">
        <w:rPr>
          <w:iCs/>
          <w:sz w:val="24"/>
          <w:szCs w:val="24"/>
        </w:rPr>
        <w:t>lanthanumcarbonathydrat</w:t>
      </w:r>
      <w:proofErr w:type="spellEnd"/>
      <w:r w:rsidRPr="00BD79FB">
        <w:rPr>
          <w:iCs/>
          <w:sz w:val="24"/>
          <w:szCs w:val="24"/>
        </w:rPr>
        <w:t xml:space="preserve">. Den lille andel af oralt administreret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, der absorberes, er ekstensivt bundet til plasmaproteiner (&gt; 99,7 %) og var i dyreforsøg fordelt bredt til systemisk væv, hovedsageligt knogle, lever og mave-tarm-kanalen, heriblandt de mesenteriske lymfeknuder. I længerevarende dyreforsøg steg koncentrationen af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i adskillelige væv, heriblandt mave-tarm-kanalen, knogle og lever, over tid til niveauer, der lå flere gange over dem, der er i plasma. I visse væv blev der opnået et tilsyneladende </w:t>
      </w:r>
      <w:proofErr w:type="spellStart"/>
      <w:r w:rsidRPr="00BD79FB">
        <w:rPr>
          <w:i/>
          <w:iCs/>
          <w:sz w:val="24"/>
          <w:szCs w:val="24"/>
        </w:rPr>
        <w:t>steady</w:t>
      </w:r>
      <w:proofErr w:type="spellEnd"/>
      <w:r w:rsidRPr="00BD79FB">
        <w:rPr>
          <w:i/>
          <w:iCs/>
          <w:sz w:val="24"/>
          <w:szCs w:val="24"/>
        </w:rPr>
        <w:t>-state</w:t>
      </w:r>
      <w:r w:rsidRPr="00BD79FB">
        <w:rPr>
          <w:iCs/>
          <w:sz w:val="24"/>
          <w:szCs w:val="24"/>
        </w:rPr>
        <w:t xml:space="preserve">-niveau for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="008F1697">
        <w:rPr>
          <w:iCs/>
          <w:sz w:val="24"/>
          <w:szCs w:val="24"/>
        </w:rPr>
        <w:t xml:space="preserve"> (</w:t>
      </w:r>
      <w:r w:rsidRPr="00BD79FB">
        <w:rPr>
          <w:iCs/>
          <w:sz w:val="24"/>
          <w:szCs w:val="24"/>
        </w:rPr>
        <w:t>f.eks. i leveren</w:t>
      </w:r>
      <w:r w:rsidR="008F1697">
        <w:rPr>
          <w:iCs/>
          <w:sz w:val="24"/>
          <w:szCs w:val="24"/>
        </w:rPr>
        <w:t>)</w:t>
      </w:r>
      <w:r w:rsidRPr="00BD79FB">
        <w:rPr>
          <w:iCs/>
          <w:sz w:val="24"/>
          <w:szCs w:val="24"/>
        </w:rPr>
        <w:t xml:space="preserve">, hvorimod niveauer i mave-tarm-kanalen steg i takt med behandlingens varighed. Ændringer i </w:t>
      </w:r>
      <w:proofErr w:type="spellStart"/>
      <w:r w:rsidRPr="00BD79FB">
        <w:rPr>
          <w:iCs/>
          <w:sz w:val="24"/>
          <w:szCs w:val="24"/>
        </w:rPr>
        <w:t>lanthanumniveauer</w:t>
      </w:r>
      <w:proofErr w:type="spellEnd"/>
      <w:r w:rsidRPr="00BD79FB">
        <w:rPr>
          <w:iCs/>
          <w:sz w:val="24"/>
          <w:szCs w:val="24"/>
        </w:rPr>
        <w:t xml:space="preserve"> i væv efter behandlingsophør varierede mellem vævstyper. En relativt høj andel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</w:t>
      </w:r>
      <w:proofErr w:type="spellStart"/>
      <w:r w:rsidRPr="00BD79FB">
        <w:rPr>
          <w:iCs/>
          <w:sz w:val="24"/>
          <w:szCs w:val="24"/>
        </w:rPr>
        <w:t>retineredes</w:t>
      </w:r>
      <w:proofErr w:type="spellEnd"/>
      <w:r w:rsidRPr="00BD79FB">
        <w:rPr>
          <w:iCs/>
          <w:sz w:val="24"/>
          <w:szCs w:val="24"/>
        </w:rPr>
        <w:t xml:space="preserve"> i væv i længere end 6 måneder efter endt dosering (median % </w:t>
      </w:r>
      <w:proofErr w:type="spellStart"/>
      <w:r w:rsidRPr="00BD79FB">
        <w:rPr>
          <w:iCs/>
          <w:sz w:val="24"/>
          <w:szCs w:val="24"/>
        </w:rPr>
        <w:t>retineret</w:t>
      </w:r>
      <w:proofErr w:type="spellEnd"/>
      <w:r w:rsidRPr="00BD79FB">
        <w:rPr>
          <w:iCs/>
          <w:sz w:val="24"/>
          <w:szCs w:val="24"/>
        </w:rPr>
        <w:t xml:space="preserve"> i knogle </w:t>
      </w:r>
      <w:r w:rsidRPr="00BD79FB">
        <w:rPr>
          <w:iCs/>
          <w:sz w:val="24"/>
          <w:szCs w:val="24"/>
        </w:rPr>
        <w:sym w:font="Symbol" w:char="F0A3"/>
      </w:r>
      <w:r w:rsidRPr="00BD79FB">
        <w:rPr>
          <w:iCs/>
          <w:sz w:val="24"/>
          <w:szCs w:val="24"/>
        </w:rPr>
        <w:t xml:space="preserve"> 100 % (rotte) og </w:t>
      </w:r>
      <w:r w:rsidRPr="00BD79FB">
        <w:rPr>
          <w:iCs/>
          <w:sz w:val="24"/>
          <w:szCs w:val="24"/>
        </w:rPr>
        <w:sym w:font="Symbol" w:char="F0A3"/>
      </w:r>
      <w:r w:rsidRPr="00BD79FB">
        <w:rPr>
          <w:iCs/>
          <w:sz w:val="24"/>
          <w:szCs w:val="24"/>
        </w:rPr>
        <w:t xml:space="preserve"> 87 % (hund) og i leveren </w:t>
      </w:r>
      <w:r w:rsidRPr="00BD79FB">
        <w:rPr>
          <w:iCs/>
          <w:sz w:val="24"/>
          <w:szCs w:val="24"/>
        </w:rPr>
        <w:sym w:font="Symbol" w:char="F0A3"/>
      </w:r>
      <w:r w:rsidRPr="00BD79FB">
        <w:rPr>
          <w:iCs/>
          <w:sz w:val="24"/>
          <w:szCs w:val="24"/>
        </w:rPr>
        <w:t xml:space="preserve"> 6 % (rotte) og </w:t>
      </w:r>
      <w:r w:rsidRPr="00BD79FB">
        <w:rPr>
          <w:iCs/>
          <w:sz w:val="24"/>
          <w:szCs w:val="24"/>
        </w:rPr>
        <w:sym w:font="Symbol" w:char="F0A3"/>
      </w:r>
      <w:r w:rsidRPr="00BD79FB">
        <w:rPr>
          <w:iCs/>
          <w:sz w:val="24"/>
          <w:szCs w:val="24"/>
        </w:rPr>
        <w:t xml:space="preserve"> 82 % (hund). Der sås ingen bivirkninger i forbindelse med aflejring af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i væv i længerevarende dyreforsøg med højre orale doser af </w:t>
      </w:r>
      <w:proofErr w:type="spellStart"/>
      <w:r w:rsidRPr="00BD79FB">
        <w:rPr>
          <w:iCs/>
          <w:sz w:val="24"/>
          <w:szCs w:val="24"/>
        </w:rPr>
        <w:t>lanthanumcarbonat</w:t>
      </w:r>
      <w:proofErr w:type="spellEnd"/>
      <w:r w:rsidRPr="00BD79FB">
        <w:rPr>
          <w:iCs/>
          <w:sz w:val="24"/>
          <w:szCs w:val="24"/>
        </w:rPr>
        <w:t xml:space="preserve"> (se pkt. 5.3) (se pkt. 5.1 for oplysninger om ændringer i </w:t>
      </w:r>
      <w:proofErr w:type="spellStart"/>
      <w:r w:rsidRPr="00BD79FB">
        <w:rPr>
          <w:iCs/>
          <w:sz w:val="24"/>
          <w:szCs w:val="24"/>
        </w:rPr>
        <w:t>lanthanumkoncentrationer</w:t>
      </w:r>
      <w:proofErr w:type="spellEnd"/>
      <w:r w:rsidRPr="00BD79FB">
        <w:rPr>
          <w:iCs/>
          <w:sz w:val="24"/>
          <w:szCs w:val="24"/>
        </w:rPr>
        <w:t xml:space="preserve"> i knoglebiopsier taget fra patienter i nyredialyse efter ét års behandling med </w:t>
      </w:r>
      <w:proofErr w:type="spellStart"/>
      <w:r w:rsidRPr="00BD79FB">
        <w:rPr>
          <w:iCs/>
          <w:sz w:val="24"/>
          <w:szCs w:val="24"/>
        </w:rPr>
        <w:t>lanthanumcarbonat</w:t>
      </w:r>
      <w:proofErr w:type="spellEnd"/>
      <w:r w:rsidRPr="00BD79FB">
        <w:rPr>
          <w:iCs/>
          <w:sz w:val="24"/>
          <w:szCs w:val="24"/>
        </w:rPr>
        <w:t xml:space="preserve"> kontra kalciumholdige fosfatbindere).</w:t>
      </w:r>
    </w:p>
    <w:p w:rsidR="00991790" w:rsidRDefault="00991790" w:rsidP="00BD79FB">
      <w:pPr>
        <w:tabs>
          <w:tab w:val="left" w:pos="851"/>
        </w:tabs>
        <w:ind w:left="851"/>
        <w:rPr>
          <w:iCs/>
          <w:sz w:val="24"/>
          <w:szCs w:val="24"/>
        </w:rPr>
      </w:pPr>
    </w:p>
    <w:p w:rsidR="00991790" w:rsidRDefault="00991790" w:rsidP="00991790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Middel </w:t>
      </w:r>
      <w:proofErr w:type="spellStart"/>
      <w:r>
        <w:rPr>
          <w:sz w:val="24"/>
          <w:szCs w:val="24"/>
        </w:rPr>
        <w:t>lanthanum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AUC</w:t>
      </w:r>
      <w:r>
        <w:rPr>
          <w:sz w:val="24"/>
          <w:szCs w:val="24"/>
          <w:vertAlign w:val="subscript"/>
        </w:rPr>
        <w:t>last</w:t>
      </w:r>
      <w:proofErr w:type="spellEnd"/>
      <w:r>
        <w:rPr>
          <w:sz w:val="24"/>
          <w:szCs w:val="24"/>
        </w:rPr>
        <w:t xml:space="preserve"> hos børn (&lt;12 år), der fik en enkelt 500</w:t>
      </w:r>
      <w:r>
        <w:rPr>
          <w:sz w:val="24"/>
          <w:szCs w:val="24"/>
        </w:rPr>
        <w:noBreakHyphen/>
        <w:t xml:space="preserve">mg dosis </w:t>
      </w:r>
      <w:proofErr w:type="spellStart"/>
      <w:r>
        <w:rPr>
          <w:sz w:val="24"/>
          <w:szCs w:val="24"/>
        </w:rPr>
        <w:t>lanthanumcarbonat</w:t>
      </w:r>
      <w:proofErr w:type="spellEnd"/>
      <w:r>
        <w:rPr>
          <w:sz w:val="24"/>
          <w:szCs w:val="24"/>
        </w:rPr>
        <w:t xml:space="preserve"> var cirka en tredjedel af værdien, som sås hos unge (≥12 år), der fik 1000 mg </w:t>
      </w:r>
      <w:proofErr w:type="spellStart"/>
      <w:r>
        <w:rPr>
          <w:sz w:val="24"/>
          <w:szCs w:val="24"/>
        </w:rPr>
        <w:t>lanthanumcarbonat</w:t>
      </w:r>
      <w:proofErr w:type="spellEnd"/>
      <w:r>
        <w:rPr>
          <w:sz w:val="24"/>
          <w:szCs w:val="24"/>
        </w:rPr>
        <w:t xml:space="preserve"> (henholdsvis middel 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 0,214 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>/ml vs. 0,646 </w:t>
      </w:r>
      <w:proofErr w:type="spellStart"/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/ml, og middel </w:t>
      </w:r>
      <w:proofErr w:type="spellStart"/>
      <w:r>
        <w:rPr>
          <w:sz w:val="24"/>
          <w:szCs w:val="24"/>
        </w:rPr>
        <w:t>AUC</w:t>
      </w:r>
      <w:r>
        <w:rPr>
          <w:sz w:val="24"/>
          <w:szCs w:val="24"/>
          <w:vertAlign w:val="subscript"/>
        </w:rPr>
        <w:t>last</w:t>
      </w:r>
      <w:proofErr w:type="spellEnd"/>
      <w:r>
        <w:rPr>
          <w:sz w:val="24"/>
          <w:szCs w:val="24"/>
        </w:rPr>
        <w:t xml:space="preserve"> 2,57 </w:t>
      </w:r>
      <w:proofErr w:type="spellStart"/>
      <w:r>
        <w:rPr>
          <w:sz w:val="24"/>
          <w:szCs w:val="24"/>
        </w:rPr>
        <w:t>ng·t</w:t>
      </w:r>
      <w:proofErr w:type="spellEnd"/>
      <w:r>
        <w:rPr>
          <w:sz w:val="24"/>
          <w:szCs w:val="24"/>
        </w:rPr>
        <w:t>/ml vs. 8,31 </w:t>
      </w:r>
      <w:proofErr w:type="spellStart"/>
      <w:r>
        <w:rPr>
          <w:sz w:val="24"/>
          <w:szCs w:val="24"/>
        </w:rPr>
        <w:t>ng·t</w:t>
      </w:r>
      <w:proofErr w:type="spellEnd"/>
      <w:r>
        <w:rPr>
          <w:sz w:val="24"/>
          <w:szCs w:val="24"/>
        </w:rPr>
        <w:t>/ml).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:rsidR="00BD79FB" w:rsidRPr="00BD79FB" w:rsidRDefault="008F1697" w:rsidP="008F1697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>
        <w:rPr>
          <w:iCs/>
          <w:sz w:val="24"/>
          <w:szCs w:val="24"/>
          <w:u w:val="single"/>
        </w:rPr>
        <w:t>Biotransformation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</w:t>
      </w:r>
      <w:proofErr w:type="spellStart"/>
      <w:r w:rsidRPr="00BD79FB">
        <w:rPr>
          <w:iCs/>
          <w:sz w:val="24"/>
          <w:szCs w:val="24"/>
        </w:rPr>
        <w:t>metaboliseres</w:t>
      </w:r>
      <w:proofErr w:type="spellEnd"/>
      <w:r w:rsidRPr="00BD79FB">
        <w:rPr>
          <w:iCs/>
          <w:sz w:val="24"/>
          <w:szCs w:val="24"/>
        </w:rPr>
        <w:t xml:space="preserve"> ikke. 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  <w:r w:rsidRPr="00BD79FB">
        <w:rPr>
          <w:iCs/>
          <w:sz w:val="24"/>
          <w:szCs w:val="24"/>
        </w:rPr>
        <w:t>Der er ikke foretaget studier med patienter med kronisk nyresvigt og nedsat leverfunktion. Hos patienter, der allerede havde leversygdom, da de påbegyndte deltagelse i et klinisk fase III</w:t>
      </w:r>
      <w:r w:rsidRPr="00BD79FB">
        <w:rPr>
          <w:iCs/>
          <w:sz w:val="24"/>
          <w:szCs w:val="24"/>
        </w:rPr>
        <w:noBreakHyphen/>
        <w:t xml:space="preserve">studie, blev der ikke påvist øget plasmaeksponering for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eller forværret leverfunktion efter behandling med </w:t>
      </w:r>
      <w:proofErr w:type="spellStart"/>
      <w:r w:rsidRPr="00BD79FB">
        <w:rPr>
          <w:iCs/>
          <w:sz w:val="24"/>
          <w:szCs w:val="24"/>
        </w:rPr>
        <w:t>lanthanumcarbonat</w:t>
      </w:r>
      <w:proofErr w:type="spellEnd"/>
      <w:r w:rsidRPr="00BD79FB">
        <w:rPr>
          <w:iCs/>
          <w:sz w:val="24"/>
          <w:szCs w:val="24"/>
        </w:rPr>
        <w:t xml:space="preserve"> i perioder på op til 2 år. 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</w:p>
    <w:p w:rsidR="00BD79FB" w:rsidRPr="00BD79FB" w:rsidRDefault="00BD79FB" w:rsidP="007E7C93">
      <w:pPr>
        <w:keepNext/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BD79FB">
        <w:rPr>
          <w:iCs/>
          <w:sz w:val="24"/>
          <w:szCs w:val="24"/>
          <w:u w:val="single"/>
        </w:rPr>
        <w:lastRenderedPageBreak/>
        <w:t>Elimination</w:t>
      </w:r>
    </w:p>
    <w:p w:rsidR="00BD79FB" w:rsidRPr="00BD79FB" w:rsidRDefault="00BD79FB" w:rsidP="00BD79FB">
      <w:pPr>
        <w:tabs>
          <w:tab w:val="left" w:pos="851"/>
        </w:tabs>
        <w:ind w:left="851"/>
        <w:rPr>
          <w:bCs/>
          <w:iCs/>
          <w:sz w:val="24"/>
          <w:szCs w:val="24"/>
        </w:rPr>
      </w:pP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udskilles hovedsageligt i fæces, og kun ca. 0,000031 % af en oral dosis udskilles via urinen hos raske personer (</w:t>
      </w:r>
      <w:proofErr w:type="spellStart"/>
      <w:r w:rsidRPr="00BD79FB">
        <w:rPr>
          <w:iCs/>
          <w:sz w:val="24"/>
          <w:szCs w:val="24"/>
        </w:rPr>
        <w:t>renal</w:t>
      </w:r>
      <w:proofErr w:type="spellEnd"/>
      <w:r w:rsidRPr="00BD79FB">
        <w:rPr>
          <w:iCs/>
          <w:sz w:val="24"/>
          <w:szCs w:val="24"/>
        </w:rPr>
        <w:t xml:space="preserve"> </w:t>
      </w:r>
      <w:proofErr w:type="spellStart"/>
      <w:r w:rsidRPr="00BD79FB">
        <w:rPr>
          <w:iCs/>
          <w:sz w:val="24"/>
          <w:szCs w:val="24"/>
        </w:rPr>
        <w:t>clearance</w:t>
      </w:r>
      <w:proofErr w:type="spellEnd"/>
      <w:r w:rsidRPr="00BD79FB">
        <w:rPr>
          <w:iCs/>
          <w:sz w:val="24"/>
          <w:szCs w:val="24"/>
        </w:rPr>
        <w:t xml:space="preserve"> er ca. 1 ml/min, hvilket repræsenterer &lt; 2 % af den totale </w:t>
      </w:r>
      <w:proofErr w:type="spellStart"/>
      <w:r w:rsidRPr="00BD79FB">
        <w:rPr>
          <w:iCs/>
          <w:sz w:val="24"/>
          <w:szCs w:val="24"/>
        </w:rPr>
        <w:t>plasmaclearance</w:t>
      </w:r>
      <w:proofErr w:type="spellEnd"/>
      <w:r w:rsidRPr="00BD79FB">
        <w:rPr>
          <w:iCs/>
          <w:sz w:val="24"/>
          <w:szCs w:val="24"/>
        </w:rPr>
        <w:t>).</w:t>
      </w:r>
    </w:p>
    <w:p w:rsidR="00BD79FB" w:rsidRPr="00BD79FB" w:rsidRDefault="00BD79FB" w:rsidP="00BD79FB">
      <w:pPr>
        <w:tabs>
          <w:tab w:val="left" w:pos="851"/>
        </w:tabs>
        <w:ind w:left="851"/>
        <w:rPr>
          <w:iCs/>
          <w:sz w:val="24"/>
          <w:szCs w:val="24"/>
        </w:rPr>
      </w:pPr>
      <w:r w:rsidRPr="00BD79FB">
        <w:rPr>
          <w:iCs/>
          <w:sz w:val="24"/>
          <w:szCs w:val="24"/>
        </w:rPr>
        <w:t xml:space="preserve">Efter intravenøs administration til dyr udskilles </w:t>
      </w:r>
      <w:proofErr w:type="spellStart"/>
      <w:r w:rsidRPr="00BD79FB">
        <w:rPr>
          <w:iCs/>
          <w:sz w:val="24"/>
          <w:szCs w:val="24"/>
        </w:rPr>
        <w:t>lanthanum</w:t>
      </w:r>
      <w:proofErr w:type="spellEnd"/>
      <w:r w:rsidRPr="00BD79FB">
        <w:rPr>
          <w:iCs/>
          <w:sz w:val="24"/>
          <w:szCs w:val="24"/>
        </w:rPr>
        <w:t xml:space="preserve"> hovedsageligt i fæces (74 % af dosis), både via galde og direkte overførsel over tarmvæggen. Udskillelse via nyrerne udgjorde en mindre rute.</w:t>
      </w:r>
    </w:p>
    <w:p w:rsidR="00BD79FB" w:rsidRPr="00BD79FB" w:rsidRDefault="00BD79FB" w:rsidP="00BD79FB">
      <w:pPr>
        <w:tabs>
          <w:tab w:val="left" w:pos="851"/>
        </w:tabs>
        <w:ind w:left="851"/>
        <w:rPr>
          <w:b/>
          <w:iCs/>
          <w:sz w:val="24"/>
          <w:szCs w:val="24"/>
        </w:rPr>
      </w:pPr>
    </w:p>
    <w:p w:rsidR="00A96734" w:rsidRDefault="00180A12" w:rsidP="00A9673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96734">
        <w:rPr>
          <w:b/>
          <w:sz w:val="24"/>
          <w:szCs w:val="24"/>
        </w:rPr>
        <w:t>5.3</w:t>
      </w:r>
      <w:r w:rsidRPr="00A96734">
        <w:rPr>
          <w:b/>
          <w:sz w:val="24"/>
          <w:szCs w:val="24"/>
        </w:rPr>
        <w:tab/>
      </w:r>
      <w:r w:rsidR="00991790">
        <w:rPr>
          <w:b/>
          <w:sz w:val="24"/>
          <w:szCs w:val="24"/>
        </w:rPr>
        <w:t>Non-</w:t>
      </w:r>
      <w:r w:rsidR="00A96734">
        <w:rPr>
          <w:b/>
          <w:sz w:val="24"/>
          <w:szCs w:val="24"/>
        </w:rPr>
        <w:t>kliniske sikkerhedsdata</w:t>
      </w:r>
    </w:p>
    <w:p w:rsidR="00A96734" w:rsidRPr="00A96734" w:rsidRDefault="00A96734" w:rsidP="00A96734">
      <w:pPr>
        <w:ind w:left="851"/>
        <w:rPr>
          <w:sz w:val="24"/>
          <w:szCs w:val="24"/>
        </w:rPr>
      </w:pPr>
      <w:r w:rsidRPr="00A96734">
        <w:rPr>
          <w:sz w:val="24"/>
          <w:szCs w:val="24"/>
        </w:rPr>
        <w:t>Non</w:t>
      </w:r>
      <w:r w:rsidRPr="00A96734">
        <w:rPr>
          <w:sz w:val="24"/>
          <w:szCs w:val="24"/>
        </w:rPr>
        <w:noBreakHyphen/>
        <w:t xml:space="preserve">kliniske data viser ingen speciel risiko for mennesker vurderet ud fra konventionelle studier af sikkerhedsfarmakologi, toksicitet efter gentagne doser eller genotoksicitet. </w:t>
      </w:r>
    </w:p>
    <w:p w:rsidR="00A96734" w:rsidRPr="00A96734" w:rsidRDefault="00A96734" w:rsidP="00A96734">
      <w:pPr>
        <w:ind w:left="851"/>
        <w:rPr>
          <w:sz w:val="24"/>
          <w:szCs w:val="24"/>
        </w:rPr>
      </w:pPr>
    </w:p>
    <w:p w:rsidR="00A96734" w:rsidRPr="00A96734" w:rsidRDefault="00A96734" w:rsidP="00A96734">
      <w:pPr>
        <w:ind w:left="851"/>
        <w:rPr>
          <w:sz w:val="24"/>
          <w:szCs w:val="24"/>
        </w:rPr>
      </w:pPr>
      <w:r w:rsidRPr="00A96734">
        <w:rPr>
          <w:sz w:val="24"/>
          <w:szCs w:val="24"/>
        </w:rPr>
        <w:t xml:space="preserve">I et farmakologisk sikkerhedsstudie reducerede </w:t>
      </w:r>
      <w:proofErr w:type="spellStart"/>
      <w:r w:rsidRPr="00A96734">
        <w:rPr>
          <w:sz w:val="24"/>
          <w:szCs w:val="24"/>
        </w:rPr>
        <w:t>lanthanumcarbonathydrat</w:t>
      </w:r>
      <w:proofErr w:type="spellEnd"/>
      <w:r w:rsidRPr="00A96734">
        <w:rPr>
          <w:sz w:val="24"/>
          <w:szCs w:val="24"/>
        </w:rPr>
        <w:t xml:space="preserve"> gastrisk </w:t>
      </w:r>
      <w:proofErr w:type="spellStart"/>
      <w:r w:rsidRPr="00A96734">
        <w:rPr>
          <w:sz w:val="24"/>
          <w:szCs w:val="24"/>
        </w:rPr>
        <w:t>aciditet</w:t>
      </w:r>
      <w:proofErr w:type="spellEnd"/>
      <w:r w:rsidRPr="00A96734">
        <w:rPr>
          <w:sz w:val="24"/>
          <w:szCs w:val="24"/>
        </w:rPr>
        <w:t xml:space="preserve"> hos rotter.</w:t>
      </w:r>
    </w:p>
    <w:p w:rsidR="00A96734" w:rsidRPr="00A96734" w:rsidRDefault="00A96734" w:rsidP="00A96734">
      <w:pPr>
        <w:ind w:left="851"/>
        <w:rPr>
          <w:sz w:val="24"/>
          <w:szCs w:val="24"/>
        </w:rPr>
      </w:pPr>
    </w:p>
    <w:p w:rsidR="00A96734" w:rsidRPr="00A96734" w:rsidRDefault="00A96734" w:rsidP="00A96734">
      <w:pPr>
        <w:ind w:left="851"/>
        <w:rPr>
          <w:sz w:val="24"/>
          <w:szCs w:val="24"/>
        </w:rPr>
      </w:pPr>
      <w:r w:rsidRPr="00A96734">
        <w:rPr>
          <w:sz w:val="24"/>
          <w:szCs w:val="24"/>
        </w:rPr>
        <w:t xml:space="preserve">Hos rotter, der fik høje doser af </w:t>
      </w:r>
      <w:proofErr w:type="spellStart"/>
      <w:r w:rsidRPr="00A96734">
        <w:rPr>
          <w:sz w:val="24"/>
          <w:szCs w:val="24"/>
        </w:rPr>
        <w:t>lanthanumcarbonathydrat</w:t>
      </w:r>
      <w:proofErr w:type="spellEnd"/>
      <w:r w:rsidRPr="00A96734">
        <w:rPr>
          <w:sz w:val="24"/>
          <w:szCs w:val="24"/>
        </w:rPr>
        <w:t xml:space="preserve"> fra dag 6 i drægtighedsperioden til dag 20 </w:t>
      </w:r>
      <w:proofErr w:type="spellStart"/>
      <w:r w:rsidRPr="00A96734">
        <w:rPr>
          <w:sz w:val="24"/>
          <w:szCs w:val="24"/>
        </w:rPr>
        <w:t>postpartum</w:t>
      </w:r>
      <w:proofErr w:type="spellEnd"/>
      <w:r w:rsidRPr="00A96734">
        <w:rPr>
          <w:sz w:val="24"/>
          <w:szCs w:val="24"/>
        </w:rPr>
        <w:t xml:space="preserve">, var der ingen </w:t>
      </w:r>
      <w:proofErr w:type="spellStart"/>
      <w:r w:rsidRPr="00A96734">
        <w:rPr>
          <w:sz w:val="24"/>
          <w:szCs w:val="24"/>
        </w:rPr>
        <w:t>maternelle</w:t>
      </w:r>
      <w:proofErr w:type="spellEnd"/>
      <w:r w:rsidRPr="00A96734">
        <w:rPr>
          <w:sz w:val="24"/>
          <w:szCs w:val="24"/>
        </w:rPr>
        <w:t xml:space="preserve"> virkninger, men der sås reduceret vægt hos afkom og forsinkelser i visse udviklingsmarkører (åbning af øjne og vagina). Hos kaniner, der fik høje daglige doser af </w:t>
      </w:r>
      <w:proofErr w:type="spellStart"/>
      <w:r w:rsidRPr="00A96734">
        <w:rPr>
          <w:sz w:val="24"/>
          <w:szCs w:val="24"/>
        </w:rPr>
        <w:t>lanthanumcarbonathydrat</w:t>
      </w:r>
      <w:proofErr w:type="spellEnd"/>
      <w:r w:rsidRPr="00A96734">
        <w:rPr>
          <w:sz w:val="24"/>
          <w:szCs w:val="24"/>
        </w:rPr>
        <w:t xml:space="preserve"> i drægtighedsperioden, sås </w:t>
      </w:r>
      <w:proofErr w:type="spellStart"/>
      <w:r w:rsidRPr="00A96734">
        <w:rPr>
          <w:sz w:val="24"/>
          <w:szCs w:val="24"/>
        </w:rPr>
        <w:t>maternel</w:t>
      </w:r>
      <w:proofErr w:type="spellEnd"/>
      <w:r w:rsidRPr="00A96734">
        <w:rPr>
          <w:sz w:val="24"/>
          <w:szCs w:val="24"/>
        </w:rPr>
        <w:t xml:space="preserve"> toksicitet med reduceret </w:t>
      </w:r>
      <w:proofErr w:type="spellStart"/>
      <w:r w:rsidRPr="00A96734">
        <w:rPr>
          <w:sz w:val="24"/>
          <w:szCs w:val="24"/>
        </w:rPr>
        <w:t>maternel</w:t>
      </w:r>
      <w:proofErr w:type="spellEnd"/>
      <w:r w:rsidRPr="00A96734">
        <w:rPr>
          <w:sz w:val="24"/>
          <w:szCs w:val="24"/>
        </w:rPr>
        <w:t xml:space="preserve"> fødeindtagelse og vægtforøgelse, højere præ- og post-</w:t>
      </w:r>
      <w:proofErr w:type="spellStart"/>
      <w:r w:rsidRPr="00A96734">
        <w:rPr>
          <w:sz w:val="24"/>
          <w:szCs w:val="24"/>
        </w:rPr>
        <w:t>implantative</w:t>
      </w:r>
      <w:proofErr w:type="spellEnd"/>
      <w:r w:rsidRPr="00A96734">
        <w:rPr>
          <w:sz w:val="24"/>
          <w:szCs w:val="24"/>
        </w:rPr>
        <w:t xml:space="preserve"> tab og reduceret vægt hos afkom. </w:t>
      </w:r>
    </w:p>
    <w:p w:rsidR="00A96734" w:rsidRPr="00A96734" w:rsidRDefault="00A96734" w:rsidP="00A96734">
      <w:pPr>
        <w:ind w:left="851"/>
        <w:rPr>
          <w:sz w:val="24"/>
          <w:szCs w:val="24"/>
        </w:rPr>
      </w:pPr>
    </w:p>
    <w:p w:rsidR="00A96734" w:rsidRPr="00A96734" w:rsidRDefault="00A96734" w:rsidP="00A96734">
      <w:pPr>
        <w:ind w:left="851"/>
        <w:rPr>
          <w:sz w:val="24"/>
          <w:szCs w:val="24"/>
        </w:rPr>
      </w:pPr>
      <w:proofErr w:type="spellStart"/>
      <w:r w:rsidRPr="00A96734">
        <w:rPr>
          <w:sz w:val="24"/>
          <w:szCs w:val="24"/>
        </w:rPr>
        <w:t>Lanthanumcarbonathydrat</w:t>
      </w:r>
      <w:proofErr w:type="spellEnd"/>
      <w:r w:rsidRPr="00A96734">
        <w:rPr>
          <w:sz w:val="24"/>
          <w:szCs w:val="24"/>
        </w:rPr>
        <w:t xml:space="preserve"> var ikke </w:t>
      </w:r>
      <w:proofErr w:type="spellStart"/>
      <w:r w:rsidRPr="00A96734">
        <w:rPr>
          <w:sz w:val="24"/>
          <w:szCs w:val="24"/>
        </w:rPr>
        <w:t>karcinogent</w:t>
      </w:r>
      <w:proofErr w:type="spellEnd"/>
      <w:r w:rsidRPr="00A96734">
        <w:rPr>
          <w:sz w:val="24"/>
          <w:szCs w:val="24"/>
        </w:rPr>
        <w:t xml:space="preserve"> hos mus og rotter. Hos mus sås et øget antal </w:t>
      </w:r>
      <w:proofErr w:type="spellStart"/>
      <w:r w:rsidRPr="00A96734">
        <w:rPr>
          <w:sz w:val="24"/>
          <w:szCs w:val="24"/>
        </w:rPr>
        <w:t>glandulære</w:t>
      </w:r>
      <w:proofErr w:type="spellEnd"/>
      <w:r w:rsidRPr="00A96734">
        <w:rPr>
          <w:sz w:val="24"/>
          <w:szCs w:val="24"/>
        </w:rPr>
        <w:t xml:space="preserve"> </w:t>
      </w:r>
      <w:proofErr w:type="spellStart"/>
      <w:r w:rsidRPr="00A96734">
        <w:rPr>
          <w:sz w:val="24"/>
          <w:szCs w:val="24"/>
        </w:rPr>
        <w:t>adenomer</w:t>
      </w:r>
      <w:proofErr w:type="spellEnd"/>
      <w:r w:rsidRPr="00A96734">
        <w:rPr>
          <w:sz w:val="24"/>
          <w:szCs w:val="24"/>
        </w:rPr>
        <w:t xml:space="preserve"> i ventriklen hos højdosisgruppen (1500 mg/kg/dag). Det neoplastiske respons hos mus antages at være forbundet med en forværring af spontane patologiske ændringer i ventriklen og ikke af væsentlig klinisk signifikans.</w:t>
      </w:r>
    </w:p>
    <w:p w:rsidR="00A96734" w:rsidRPr="00A96734" w:rsidRDefault="00A96734" w:rsidP="00A96734">
      <w:pPr>
        <w:ind w:left="851"/>
        <w:rPr>
          <w:sz w:val="24"/>
          <w:szCs w:val="24"/>
        </w:rPr>
      </w:pPr>
    </w:p>
    <w:p w:rsidR="00A96734" w:rsidRPr="00A96734" w:rsidRDefault="00A96734" w:rsidP="00A96734">
      <w:pPr>
        <w:ind w:left="851"/>
        <w:rPr>
          <w:sz w:val="24"/>
          <w:szCs w:val="24"/>
        </w:rPr>
      </w:pPr>
      <w:r w:rsidRPr="00A96734">
        <w:rPr>
          <w:sz w:val="24"/>
          <w:szCs w:val="24"/>
        </w:rPr>
        <w:t xml:space="preserve">Dyreforsøg har vist aflejring af </w:t>
      </w:r>
      <w:proofErr w:type="spellStart"/>
      <w:r w:rsidRPr="00A96734">
        <w:rPr>
          <w:sz w:val="24"/>
          <w:szCs w:val="24"/>
        </w:rPr>
        <w:t>lanthanum</w:t>
      </w:r>
      <w:proofErr w:type="spellEnd"/>
      <w:r w:rsidRPr="00A96734">
        <w:rPr>
          <w:sz w:val="24"/>
          <w:szCs w:val="24"/>
        </w:rPr>
        <w:t xml:space="preserve"> i væv, hovedsageligt i mave-tarm-kanalen, de mesenteriske lymfeknuder, lever og knogle (se pkt. 5.2). Livstidsstudier hos raske dyr indikerer dog ikke en risiko for mennesker forårsaget af brug af </w:t>
      </w:r>
      <w:proofErr w:type="spellStart"/>
      <w:r w:rsidRPr="00A96734">
        <w:rPr>
          <w:sz w:val="24"/>
          <w:szCs w:val="24"/>
        </w:rPr>
        <w:t>lanthanumcarbonat</w:t>
      </w:r>
      <w:proofErr w:type="spellEnd"/>
      <w:r w:rsidRPr="00A96734">
        <w:rPr>
          <w:sz w:val="24"/>
          <w:szCs w:val="24"/>
        </w:rPr>
        <w:t>. Der er ikke udført specifikke immuntoksicitetsstudier.</w:t>
      </w:r>
    </w:p>
    <w:p w:rsidR="00DA32EE" w:rsidRPr="00617298" w:rsidRDefault="00DA32EE">
      <w:pPr>
        <w:rPr>
          <w:sz w:val="24"/>
          <w:szCs w:val="24"/>
        </w:rPr>
      </w:pPr>
    </w:p>
    <w:p w:rsidR="007C5D2A" w:rsidRPr="00617298" w:rsidRDefault="007C5D2A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0419B3" w:rsidRDefault="009925C9" w:rsidP="007C5D2A">
      <w:pPr>
        <w:ind w:left="851" w:hanging="851"/>
        <w:rPr>
          <w:b/>
          <w:sz w:val="24"/>
          <w:szCs w:val="24"/>
        </w:rPr>
      </w:pPr>
      <w:r w:rsidRPr="000419B3">
        <w:rPr>
          <w:b/>
          <w:sz w:val="24"/>
          <w:szCs w:val="24"/>
        </w:rPr>
        <w:t>6.</w:t>
      </w:r>
      <w:r w:rsidR="007C5D2A" w:rsidRPr="000419B3">
        <w:rPr>
          <w:b/>
          <w:sz w:val="24"/>
          <w:szCs w:val="24"/>
        </w:rPr>
        <w:tab/>
      </w:r>
      <w:r w:rsidR="002F692B">
        <w:rPr>
          <w:b/>
          <w:sz w:val="24"/>
          <w:szCs w:val="24"/>
        </w:rPr>
        <w:t>FARMACEUTISKE OPLYSNINGER</w:t>
      </w:r>
    </w:p>
    <w:p w:rsidR="007C5D2A" w:rsidRPr="000419B3" w:rsidRDefault="007C5D2A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0419B3" w:rsidRDefault="007C5D2A" w:rsidP="007C5D2A">
      <w:pPr>
        <w:ind w:left="851" w:hanging="851"/>
        <w:rPr>
          <w:b/>
          <w:sz w:val="24"/>
          <w:szCs w:val="24"/>
        </w:rPr>
      </w:pPr>
      <w:r w:rsidRPr="000419B3">
        <w:rPr>
          <w:b/>
          <w:sz w:val="24"/>
          <w:szCs w:val="24"/>
        </w:rPr>
        <w:t>6.1</w:t>
      </w:r>
      <w:r w:rsidRPr="000419B3">
        <w:rPr>
          <w:b/>
          <w:sz w:val="24"/>
          <w:szCs w:val="24"/>
        </w:rPr>
        <w:tab/>
      </w:r>
      <w:r w:rsidR="002F692B">
        <w:rPr>
          <w:b/>
          <w:sz w:val="24"/>
          <w:szCs w:val="24"/>
        </w:rPr>
        <w:t>Hjælpestoffer</w:t>
      </w:r>
    </w:p>
    <w:p w:rsidR="000419B3" w:rsidRPr="000419B3" w:rsidRDefault="000419B3" w:rsidP="000419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419B3">
        <w:rPr>
          <w:sz w:val="24"/>
          <w:szCs w:val="24"/>
        </w:rPr>
        <w:t>Hypromellose</w:t>
      </w:r>
      <w:proofErr w:type="spellEnd"/>
    </w:p>
    <w:p w:rsidR="000419B3" w:rsidRPr="000419B3" w:rsidRDefault="000419B3" w:rsidP="000419B3">
      <w:pPr>
        <w:tabs>
          <w:tab w:val="left" w:pos="851"/>
        </w:tabs>
        <w:ind w:left="851"/>
        <w:rPr>
          <w:sz w:val="24"/>
          <w:szCs w:val="24"/>
        </w:rPr>
      </w:pPr>
      <w:r w:rsidRPr="000419B3">
        <w:rPr>
          <w:sz w:val="24"/>
          <w:szCs w:val="24"/>
        </w:rPr>
        <w:t>Mikrokrystallinsk cellulose</w:t>
      </w:r>
      <w:r w:rsidR="00991790">
        <w:rPr>
          <w:sz w:val="24"/>
          <w:szCs w:val="24"/>
        </w:rPr>
        <w:t xml:space="preserve"> og</w:t>
      </w:r>
      <w:r w:rsidR="008B5C1A">
        <w:rPr>
          <w:sz w:val="24"/>
          <w:szCs w:val="24"/>
        </w:rPr>
        <w:t xml:space="preserve"> </w:t>
      </w:r>
      <w:proofErr w:type="spellStart"/>
      <w:r w:rsidRPr="000419B3">
        <w:rPr>
          <w:sz w:val="24"/>
          <w:szCs w:val="24"/>
        </w:rPr>
        <w:t>Guargummi</w:t>
      </w:r>
      <w:proofErr w:type="spellEnd"/>
    </w:p>
    <w:p w:rsidR="000419B3" w:rsidRPr="000419B3" w:rsidRDefault="000419B3" w:rsidP="000419B3">
      <w:pPr>
        <w:tabs>
          <w:tab w:val="left" w:pos="851"/>
        </w:tabs>
        <w:ind w:left="851"/>
        <w:rPr>
          <w:sz w:val="24"/>
          <w:szCs w:val="24"/>
        </w:rPr>
      </w:pPr>
      <w:r w:rsidRPr="000419B3">
        <w:rPr>
          <w:sz w:val="24"/>
          <w:szCs w:val="24"/>
        </w:rPr>
        <w:t>Mikrokrystallinsk cellulose</w:t>
      </w:r>
    </w:p>
    <w:p w:rsidR="000419B3" w:rsidRPr="000419B3" w:rsidRDefault="000419B3" w:rsidP="000419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419B3">
        <w:rPr>
          <w:sz w:val="24"/>
          <w:szCs w:val="24"/>
        </w:rPr>
        <w:t>Hydroxypropylcellulose</w:t>
      </w:r>
      <w:proofErr w:type="spellEnd"/>
      <w:r w:rsidRPr="000419B3">
        <w:rPr>
          <w:sz w:val="24"/>
          <w:szCs w:val="24"/>
        </w:rPr>
        <w:t xml:space="preserve"> </w:t>
      </w:r>
    </w:p>
    <w:p w:rsidR="000419B3" w:rsidRPr="000419B3" w:rsidRDefault="000419B3" w:rsidP="000419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419B3">
        <w:rPr>
          <w:sz w:val="24"/>
          <w:szCs w:val="24"/>
        </w:rPr>
        <w:t>Silica</w:t>
      </w:r>
      <w:proofErr w:type="spellEnd"/>
      <w:r w:rsidRPr="000419B3">
        <w:rPr>
          <w:sz w:val="24"/>
          <w:szCs w:val="24"/>
        </w:rPr>
        <w:t>, kolloid vandfri</w:t>
      </w:r>
    </w:p>
    <w:p w:rsidR="000419B3" w:rsidRPr="000419B3" w:rsidRDefault="000419B3" w:rsidP="000419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419B3">
        <w:rPr>
          <w:sz w:val="24"/>
          <w:szCs w:val="24"/>
        </w:rPr>
        <w:t>Acesulfamkalium</w:t>
      </w:r>
      <w:proofErr w:type="spellEnd"/>
      <w:r w:rsidRPr="000419B3">
        <w:rPr>
          <w:sz w:val="24"/>
          <w:szCs w:val="24"/>
        </w:rPr>
        <w:t xml:space="preserve"> [E950]</w:t>
      </w:r>
    </w:p>
    <w:p w:rsidR="000419B3" w:rsidRPr="000419B3" w:rsidRDefault="000419B3" w:rsidP="000419B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419B3">
        <w:rPr>
          <w:sz w:val="24"/>
          <w:szCs w:val="24"/>
        </w:rPr>
        <w:t>Magnesiumstearat</w:t>
      </w:r>
      <w:proofErr w:type="spellEnd"/>
    </w:p>
    <w:p w:rsidR="007C5D2A" w:rsidRPr="00655B53" w:rsidRDefault="007C5D2A" w:rsidP="003D727E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655B53" w:rsidRDefault="007C5D2A" w:rsidP="007C5D2A">
      <w:pPr>
        <w:ind w:left="851" w:hanging="851"/>
        <w:rPr>
          <w:b/>
          <w:sz w:val="24"/>
          <w:szCs w:val="24"/>
        </w:rPr>
      </w:pPr>
      <w:r w:rsidRPr="00655B53">
        <w:rPr>
          <w:b/>
          <w:sz w:val="24"/>
          <w:szCs w:val="24"/>
        </w:rPr>
        <w:t>6.2</w:t>
      </w:r>
      <w:r w:rsidRPr="00655B53">
        <w:rPr>
          <w:b/>
          <w:sz w:val="24"/>
          <w:szCs w:val="24"/>
        </w:rPr>
        <w:tab/>
      </w:r>
      <w:r w:rsidR="002F692B">
        <w:rPr>
          <w:b/>
          <w:sz w:val="24"/>
          <w:szCs w:val="24"/>
        </w:rPr>
        <w:t>Uforligeligheder</w:t>
      </w:r>
    </w:p>
    <w:p w:rsidR="00E922AC" w:rsidRPr="00655B53" w:rsidRDefault="00655B53" w:rsidP="00E922A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655B53">
        <w:rPr>
          <w:sz w:val="24"/>
          <w:szCs w:val="24"/>
        </w:rPr>
        <w:t>Ikke relevant.</w:t>
      </w:r>
      <w:r w:rsidR="00E922AC" w:rsidRPr="00655B53">
        <w:rPr>
          <w:sz w:val="24"/>
          <w:szCs w:val="24"/>
        </w:rPr>
        <w:t xml:space="preserve"> </w:t>
      </w:r>
    </w:p>
    <w:p w:rsidR="007C5D2A" w:rsidRPr="00655B53" w:rsidRDefault="007C5D2A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D35571" w:rsidRDefault="007C5D2A" w:rsidP="007C5D2A">
      <w:pPr>
        <w:ind w:left="851" w:hanging="851"/>
        <w:rPr>
          <w:b/>
          <w:sz w:val="24"/>
          <w:szCs w:val="24"/>
        </w:rPr>
      </w:pPr>
      <w:r w:rsidRPr="00D35571">
        <w:rPr>
          <w:b/>
          <w:sz w:val="24"/>
          <w:szCs w:val="24"/>
        </w:rPr>
        <w:t>6.3</w:t>
      </w:r>
      <w:r w:rsidRPr="00D35571">
        <w:rPr>
          <w:b/>
          <w:sz w:val="24"/>
          <w:szCs w:val="24"/>
        </w:rPr>
        <w:tab/>
      </w:r>
      <w:r w:rsidR="002F692B">
        <w:rPr>
          <w:b/>
          <w:sz w:val="24"/>
          <w:szCs w:val="24"/>
        </w:rPr>
        <w:t>Opbevaringstid</w:t>
      </w:r>
    </w:p>
    <w:p w:rsidR="00E922AC" w:rsidRPr="00D35571" w:rsidRDefault="00E922AC" w:rsidP="00E922AC">
      <w:pPr>
        <w:tabs>
          <w:tab w:val="left" w:pos="851"/>
        </w:tabs>
        <w:ind w:left="851"/>
        <w:rPr>
          <w:sz w:val="24"/>
          <w:szCs w:val="24"/>
        </w:rPr>
      </w:pPr>
      <w:r w:rsidRPr="00D35571">
        <w:rPr>
          <w:sz w:val="24"/>
          <w:szCs w:val="24"/>
        </w:rPr>
        <w:t xml:space="preserve">2 </w:t>
      </w:r>
      <w:r w:rsidR="00655B53" w:rsidRPr="00D35571">
        <w:rPr>
          <w:sz w:val="24"/>
          <w:szCs w:val="24"/>
        </w:rPr>
        <w:t>år</w:t>
      </w:r>
      <w:r w:rsidRPr="00D35571">
        <w:rPr>
          <w:sz w:val="24"/>
          <w:szCs w:val="24"/>
        </w:rPr>
        <w:t>.</w:t>
      </w:r>
    </w:p>
    <w:p w:rsidR="007C5D2A" w:rsidRPr="00D35571" w:rsidRDefault="007C5D2A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D35571" w:rsidRDefault="007C5D2A" w:rsidP="007E7C93">
      <w:pPr>
        <w:keepNext/>
        <w:ind w:left="851" w:hanging="851"/>
        <w:rPr>
          <w:b/>
          <w:sz w:val="24"/>
          <w:szCs w:val="24"/>
        </w:rPr>
      </w:pPr>
      <w:r w:rsidRPr="00D35571">
        <w:rPr>
          <w:b/>
          <w:sz w:val="24"/>
          <w:szCs w:val="24"/>
        </w:rPr>
        <w:lastRenderedPageBreak/>
        <w:t>6.4</w:t>
      </w:r>
      <w:r w:rsidRPr="00D35571">
        <w:rPr>
          <w:b/>
          <w:sz w:val="24"/>
          <w:szCs w:val="24"/>
        </w:rPr>
        <w:tab/>
      </w:r>
      <w:r w:rsidR="00095A64">
        <w:rPr>
          <w:b/>
          <w:sz w:val="24"/>
          <w:szCs w:val="24"/>
        </w:rPr>
        <w:t>Særlige opbevaringsforhold</w:t>
      </w:r>
    </w:p>
    <w:p w:rsidR="00D35571" w:rsidRDefault="00D35571" w:rsidP="00D35571">
      <w:pPr>
        <w:tabs>
          <w:tab w:val="left" w:pos="851"/>
        </w:tabs>
        <w:ind w:left="851"/>
        <w:rPr>
          <w:sz w:val="24"/>
          <w:szCs w:val="24"/>
        </w:rPr>
      </w:pPr>
      <w:r w:rsidRPr="00D35571">
        <w:rPr>
          <w:sz w:val="24"/>
          <w:szCs w:val="24"/>
        </w:rPr>
        <w:t>Der er ingen særlige krav vedrørende opbevaringstemperaturer for dette lægemiddel.</w:t>
      </w:r>
    </w:p>
    <w:p w:rsidR="00D35571" w:rsidRDefault="00D35571" w:rsidP="00D35571">
      <w:pPr>
        <w:tabs>
          <w:tab w:val="left" w:pos="851"/>
        </w:tabs>
        <w:ind w:left="851"/>
        <w:rPr>
          <w:sz w:val="24"/>
          <w:szCs w:val="24"/>
        </w:rPr>
      </w:pPr>
    </w:p>
    <w:p w:rsidR="00D35571" w:rsidRPr="00D35571" w:rsidRDefault="00D35571" w:rsidP="00D35571">
      <w:pPr>
        <w:tabs>
          <w:tab w:val="left" w:pos="851"/>
        </w:tabs>
        <w:ind w:left="851"/>
        <w:rPr>
          <w:sz w:val="24"/>
          <w:szCs w:val="24"/>
        </w:rPr>
      </w:pPr>
      <w:r w:rsidRPr="00D35571">
        <w:rPr>
          <w:sz w:val="24"/>
          <w:szCs w:val="24"/>
        </w:rPr>
        <w:t>Opbevares i den originale yderpakning for at beskytte mod lys.</w:t>
      </w:r>
    </w:p>
    <w:p w:rsidR="007C5D2A" w:rsidRPr="00D35571" w:rsidRDefault="007C5D2A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095A64" w:rsidRPr="00617298" w:rsidRDefault="007C5D2A" w:rsidP="00095A6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617298">
        <w:rPr>
          <w:b/>
          <w:sz w:val="24"/>
          <w:szCs w:val="24"/>
        </w:rPr>
        <w:t>6.5</w:t>
      </w:r>
      <w:r w:rsidRPr="00617298">
        <w:rPr>
          <w:b/>
          <w:sz w:val="24"/>
          <w:szCs w:val="24"/>
        </w:rPr>
        <w:tab/>
      </w:r>
      <w:r w:rsidR="00095A64" w:rsidRPr="00617298">
        <w:rPr>
          <w:b/>
          <w:sz w:val="24"/>
          <w:szCs w:val="24"/>
        </w:rPr>
        <w:t>Emballagetype og pakningsstørrelser</w:t>
      </w:r>
    </w:p>
    <w:p w:rsidR="00D35571" w:rsidRPr="00D35571" w:rsidRDefault="00D35571" w:rsidP="00D35571">
      <w:pPr>
        <w:tabs>
          <w:tab w:val="left" w:pos="851"/>
        </w:tabs>
        <w:ind w:left="851"/>
        <w:rPr>
          <w:sz w:val="24"/>
          <w:szCs w:val="24"/>
        </w:rPr>
      </w:pPr>
      <w:r w:rsidRPr="00D35571">
        <w:rPr>
          <w:sz w:val="24"/>
          <w:szCs w:val="24"/>
        </w:rPr>
        <w:t>HDPE-flaske med uigennemsigtigt polypropylenskruelåg med aluminiumsinduktions</w:t>
      </w:r>
      <w:r w:rsidR="00441709">
        <w:rPr>
          <w:sz w:val="24"/>
          <w:szCs w:val="24"/>
        </w:rPr>
        <w:softHyphen/>
      </w:r>
      <w:r w:rsidRPr="00D35571">
        <w:rPr>
          <w:sz w:val="24"/>
          <w:szCs w:val="24"/>
        </w:rPr>
        <w:t xml:space="preserve">forsegling og absorberende vat. </w:t>
      </w:r>
    </w:p>
    <w:p w:rsidR="00D35571" w:rsidRPr="00D35571" w:rsidRDefault="00D35571" w:rsidP="00D35571">
      <w:pPr>
        <w:tabs>
          <w:tab w:val="left" w:pos="851"/>
        </w:tabs>
        <w:ind w:left="851"/>
        <w:rPr>
          <w:sz w:val="24"/>
          <w:szCs w:val="24"/>
        </w:rPr>
      </w:pPr>
    </w:p>
    <w:p w:rsidR="009074CA" w:rsidRPr="009074CA" w:rsidRDefault="009074CA" w:rsidP="00D3557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074CA">
        <w:rPr>
          <w:sz w:val="24"/>
          <w:szCs w:val="24"/>
          <w:u w:val="single"/>
        </w:rPr>
        <w:t>Pakningsstørrelser</w:t>
      </w:r>
    </w:p>
    <w:p w:rsidR="00D35571" w:rsidRDefault="009074CA" w:rsidP="009074CA">
      <w:pPr>
        <w:tabs>
          <w:tab w:val="left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D35571" w:rsidRPr="00D35571">
        <w:rPr>
          <w:sz w:val="24"/>
          <w:szCs w:val="24"/>
        </w:rPr>
        <w:t xml:space="preserve">Hver pakning med 500 mg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="00D35571" w:rsidRPr="00D35571">
        <w:rPr>
          <w:sz w:val="24"/>
          <w:szCs w:val="24"/>
        </w:rPr>
        <w:t>-tabletter indeholder 1 flaske med 45 tabletter eller 2 flasker med hver 45 tabletter (90 tabletter).</w:t>
      </w:r>
    </w:p>
    <w:p w:rsidR="00D35571" w:rsidRPr="00D35571" w:rsidRDefault="009074CA" w:rsidP="009074CA">
      <w:pPr>
        <w:tabs>
          <w:tab w:val="left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D35571" w:rsidRPr="00D35571">
        <w:rPr>
          <w:sz w:val="24"/>
          <w:szCs w:val="24"/>
        </w:rPr>
        <w:t xml:space="preserve">Hver pakning med 750 mg og 1000 mg </w:t>
      </w:r>
      <w:proofErr w:type="spellStart"/>
      <w:r w:rsidR="002904C0">
        <w:rPr>
          <w:sz w:val="24"/>
          <w:szCs w:val="24"/>
        </w:rPr>
        <w:t>Lanthanum</w:t>
      </w:r>
      <w:proofErr w:type="spellEnd"/>
      <w:r w:rsidR="002904C0">
        <w:rPr>
          <w:sz w:val="24"/>
          <w:szCs w:val="24"/>
        </w:rPr>
        <w:t xml:space="preserve"> ”</w:t>
      </w:r>
      <w:proofErr w:type="spellStart"/>
      <w:r w:rsidR="002904C0">
        <w:rPr>
          <w:sz w:val="24"/>
          <w:szCs w:val="24"/>
        </w:rPr>
        <w:t>Viatris</w:t>
      </w:r>
      <w:proofErr w:type="spellEnd"/>
      <w:r w:rsidR="002904C0">
        <w:rPr>
          <w:sz w:val="24"/>
          <w:szCs w:val="24"/>
        </w:rPr>
        <w:t>”</w:t>
      </w:r>
      <w:r w:rsidR="00D35571" w:rsidRPr="00D35571">
        <w:rPr>
          <w:sz w:val="24"/>
          <w:szCs w:val="24"/>
        </w:rPr>
        <w:t>-tabletter indeholder 1 flaske med 15 tabletter eller 6 flasker med hver 15 tabletter (90 tabletter).</w:t>
      </w:r>
    </w:p>
    <w:p w:rsidR="00D35571" w:rsidRPr="00D35571" w:rsidRDefault="00D35571" w:rsidP="00D35571">
      <w:pPr>
        <w:tabs>
          <w:tab w:val="left" w:pos="851"/>
        </w:tabs>
        <w:ind w:left="851"/>
        <w:rPr>
          <w:sz w:val="24"/>
          <w:szCs w:val="24"/>
        </w:rPr>
      </w:pPr>
    </w:p>
    <w:p w:rsidR="00D35571" w:rsidRPr="00D35571" w:rsidRDefault="00D35571" w:rsidP="00D35571">
      <w:pPr>
        <w:tabs>
          <w:tab w:val="left" w:pos="851"/>
        </w:tabs>
        <w:ind w:left="851"/>
        <w:rPr>
          <w:sz w:val="24"/>
          <w:szCs w:val="24"/>
        </w:rPr>
      </w:pPr>
      <w:r w:rsidRPr="00D35571">
        <w:rPr>
          <w:sz w:val="24"/>
          <w:szCs w:val="24"/>
        </w:rPr>
        <w:t>Ikke alle pakningsstørrelser er nødvendigvis markedsført.</w:t>
      </w:r>
    </w:p>
    <w:p w:rsidR="007C5D2A" w:rsidRPr="00617298" w:rsidRDefault="007C5D2A" w:rsidP="003E0341">
      <w:pPr>
        <w:tabs>
          <w:tab w:val="left" w:pos="851"/>
        </w:tabs>
        <w:ind w:left="851"/>
        <w:rPr>
          <w:sz w:val="24"/>
          <w:szCs w:val="24"/>
        </w:rPr>
      </w:pPr>
    </w:p>
    <w:p w:rsidR="007C5D2A" w:rsidRPr="00095A64" w:rsidRDefault="007C5D2A" w:rsidP="007C5D2A">
      <w:pPr>
        <w:ind w:left="851" w:hanging="851"/>
        <w:rPr>
          <w:b/>
          <w:sz w:val="24"/>
          <w:szCs w:val="24"/>
        </w:rPr>
      </w:pPr>
      <w:r w:rsidRPr="00095A64">
        <w:rPr>
          <w:b/>
          <w:sz w:val="24"/>
          <w:szCs w:val="24"/>
        </w:rPr>
        <w:t>6.6</w:t>
      </w:r>
      <w:r w:rsidRPr="00095A64">
        <w:rPr>
          <w:b/>
          <w:sz w:val="24"/>
          <w:szCs w:val="24"/>
        </w:rPr>
        <w:tab/>
      </w:r>
      <w:r w:rsidR="00095A64">
        <w:rPr>
          <w:b/>
          <w:sz w:val="24"/>
          <w:szCs w:val="24"/>
        </w:rPr>
        <w:t xml:space="preserve">Regler for </w:t>
      </w:r>
      <w:r w:rsidR="008B5C1A">
        <w:rPr>
          <w:b/>
          <w:sz w:val="24"/>
          <w:szCs w:val="24"/>
        </w:rPr>
        <w:t>bortskaffelse</w:t>
      </w:r>
      <w:r w:rsidR="00095A64">
        <w:rPr>
          <w:b/>
          <w:sz w:val="24"/>
          <w:szCs w:val="24"/>
        </w:rPr>
        <w:t xml:space="preserve"> og anden håndtering</w:t>
      </w:r>
    </w:p>
    <w:p w:rsidR="004D0822" w:rsidRPr="00441709" w:rsidRDefault="00441709" w:rsidP="00420013">
      <w:pPr>
        <w:ind w:left="851"/>
        <w:rPr>
          <w:sz w:val="24"/>
          <w:szCs w:val="24"/>
        </w:rPr>
      </w:pPr>
      <w:r w:rsidRPr="00441709">
        <w:rPr>
          <w:sz w:val="24"/>
          <w:szCs w:val="24"/>
        </w:rPr>
        <w:t>Ikke anvendt lægemiddel samt affald heraf skal bortskaffes i henhold til lokale retningslinjer.</w:t>
      </w:r>
    </w:p>
    <w:p w:rsidR="007C5D2A" w:rsidRPr="00441709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095A64" w:rsidRDefault="007C5D2A" w:rsidP="00095A64">
      <w:pPr>
        <w:tabs>
          <w:tab w:val="left" w:pos="851"/>
        </w:tabs>
        <w:ind w:left="851" w:hanging="851"/>
        <w:jc w:val="both"/>
        <w:rPr>
          <w:b/>
          <w:sz w:val="24"/>
          <w:szCs w:val="24"/>
        </w:rPr>
      </w:pPr>
      <w:r w:rsidRPr="00617298">
        <w:rPr>
          <w:b/>
          <w:sz w:val="24"/>
          <w:szCs w:val="24"/>
        </w:rPr>
        <w:t>7.</w:t>
      </w:r>
      <w:r w:rsidRPr="00617298">
        <w:rPr>
          <w:b/>
          <w:sz w:val="24"/>
          <w:szCs w:val="24"/>
        </w:rPr>
        <w:tab/>
      </w:r>
      <w:r w:rsidR="00095A64">
        <w:rPr>
          <w:b/>
          <w:sz w:val="24"/>
          <w:szCs w:val="24"/>
        </w:rPr>
        <w:t>INDEHAVER AF MARKEDSFØRINGSTILLADELSEN</w:t>
      </w:r>
    </w:p>
    <w:p w:rsidR="002904C0" w:rsidRPr="002C7F3B" w:rsidRDefault="002904C0" w:rsidP="002904C0">
      <w:pPr>
        <w:ind w:firstLine="851"/>
        <w:rPr>
          <w:sz w:val="24"/>
          <w:szCs w:val="24"/>
        </w:rPr>
      </w:pPr>
      <w:proofErr w:type="spellStart"/>
      <w:r w:rsidRPr="002C7F3B">
        <w:rPr>
          <w:sz w:val="24"/>
          <w:szCs w:val="24"/>
        </w:rPr>
        <w:t>Viatris</w:t>
      </w:r>
      <w:proofErr w:type="spellEnd"/>
      <w:r w:rsidRPr="002C7F3B">
        <w:rPr>
          <w:sz w:val="24"/>
          <w:szCs w:val="24"/>
        </w:rPr>
        <w:t xml:space="preserve"> Limited</w:t>
      </w:r>
    </w:p>
    <w:p w:rsidR="002904C0" w:rsidRPr="002C7F3B" w:rsidRDefault="002904C0" w:rsidP="002904C0">
      <w:pPr>
        <w:ind w:firstLine="851"/>
        <w:rPr>
          <w:sz w:val="24"/>
          <w:szCs w:val="24"/>
        </w:rPr>
      </w:pPr>
      <w:proofErr w:type="spellStart"/>
      <w:r w:rsidRPr="002C7F3B">
        <w:rPr>
          <w:sz w:val="24"/>
          <w:szCs w:val="24"/>
        </w:rPr>
        <w:t>Damastown</w:t>
      </w:r>
      <w:proofErr w:type="spellEnd"/>
      <w:r w:rsidRPr="002C7F3B">
        <w:rPr>
          <w:sz w:val="24"/>
          <w:szCs w:val="24"/>
        </w:rPr>
        <w:t xml:space="preserve"> Industrial Park</w:t>
      </w:r>
    </w:p>
    <w:p w:rsidR="002904C0" w:rsidRPr="002C7F3B" w:rsidRDefault="002904C0" w:rsidP="002904C0">
      <w:pPr>
        <w:ind w:firstLine="851"/>
        <w:rPr>
          <w:sz w:val="24"/>
          <w:szCs w:val="24"/>
        </w:rPr>
      </w:pPr>
      <w:proofErr w:type="spellStart"/>
      <w:r w:rsidRPr="002C7F3B">
        <w:rPr>
          <w:sz w:val="24"/>
          <w:szCs w:val="24"/>
        </w:rPr>
        <w:t>Mulhuddart</w:t>
      </w:r>
      <w:proofErr w:type="spellEnd"/>
    </w:p>
    <w:p w:rsidR="002904C0" w:rsidRPr="004F770B" w:rsidRDefault="002904C0" w:rsidP="002904C0">
      <w:pPr>
        <w:ind w:firstLine="851"/>
        <w:rPr>
          <w:sz w:val="24"/>
          <w:szCs w:val="24"/>
        </w:rPr>
      </w:pPr>
      <w:r w:rsidRPr="004F770B">
        <w:rPr>
          <w:sz w:val="24"/>
          <w:szCs w:val="24"/>
        </w:rPr>
        <w:t>Dublin 15</w:t>
      </w:r>
    </w:p>
    <w:p w:rsidR="002904C0" w:rsidRPr="004F770B" w:rsidRDefault="002904C0" w:rsidP="002904C0">
      <w:pPr>
        <w:ind w:firstLine="851"/>
        <w:rPr>
          <w:sz w:val="24"/>
          <w:szCs w:val="24"/>
        </w:rPr>
      </w:pPr>
      <w:r w:rsidRPr="004F770B">
        <w:rPr>
          <w:sz w:val="24"/>
          <w:szCs w:val="24"/>
        </w:rPr>
        <w:t>Dublin</w:t>
      </w:r>
    </w:p>
    <w:p w:rsidR="002904C0" w:rsidRDefault="002904C0" w:rsidP="002904C0">
      <w:pPr>
        <w:ind w:firstLine="851"/>
        <w:rPr>
          <w:sz w:val="24"/>
          <w:szCs w:val="24"/>
        </w:rPr>
      </w:pPr>
      <w:r w:rsidRPr="004F770B">
        <w:rPr>
          <w:sz w:val="24"/>
          <w:szCs w:val="24"/>
        </w:rPr>
        <w:t>Ireland</w:t>
      </w:r>
    </w:p>
    <w:p w:rsidR="00BB2DDA" w:rsidRPr="00617298" w:rsidRDefault="00BB2DDA" w:rsidP="003E034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BB2DDA" w:rsidRPr="00617298" w:rsidRDefault="0084263A" w:rsidP="003E0341">
      <w:pPr>
        <w:tabs>
          <w:tab w:val="left" w:pos="851"/>
        </w:tabs>
        <w:ind w:left="851"/>
        <w:jc w:val="both"/>
        <w:rPr>
          <w:b/>
          <w:sz w:val="24"/>
          <w:szCs w:val="24"/>
        </w:rPr>
      </w:pPr>
      <w:r w:rsidRPr="00617298">
        <w:rPr>
          <w:b/>
          <w:sz w:val="24"/>
          <w:szCs w:val="24"/>
        </w:rPr>
        <w:t>Repræsentant</w:t>
      </w:r>
    </w:p>
    <w:p w:rsidR="00AA4F93" w:rsidRPr="00AA4F93" w:rsidRDefault="00AA4F93" w:rsidP="00AA4F93">
      <w:pPr>
        <w:tabs>
          <w:tab w:val="left" w:pos="851"/>
        </w:tabs>
        <w:ind w:left="851"/>
        <w:jc w:val="both"/>
        <w:rPr>
          <w:sz w:val="24"/>
          <w:szCs w:val="24"/>
        </w:rPr>
      </w:pPr>
      <w:proofErr w:type="spellStart"/>
      <w:r w:rsidRPr="00AA4F93">
        <w:rPr>
          <w:sz w:val="24"/>
          <w:szCs w:val="24"/>
        </w:rPr>
        <w:t>Viatris</w:t>
      </w:r>
      <w:proofErr w:type="spellEnd"/>
      <w:r w:rsidRPr="00AA4F93">
        <w:rPr>
          <w:sz w:val="24"/>
          <w:szCs w:val="24"/>
        </w:rPr>
        <w:t xml:space="preserve"> ApS</w:t>
      </w:r>
    </w:p>
    <w:p w:rsidR="00AA4F93" w:rsidRPr="00AA4F93" w:rsidRDefault="00AA4F93" w:rsidP="00AA4F93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AA4F93">
        <w:rPr>
          <w:sz w:val="24"/>
          <w:szCs w:val="24"/>
        </w:rPr>
        <w:t>Borupvang 1</w:t>
      </w:r>
    </w:p>
    <w:p w:rsidR="00BB2DDA" w:rsidRPr="00617298" w:rsidRDefault="00AA4F93" w:rsidP="00AA4F93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AA4F93">
        <w:rPr>
          <w:sz w:val="24"/>
          <w:szCs w:val="24"/>
        </w:rPr>
        <w:t>2750 Ballerup</w:t>
      </w:r>
    </w:p>
    <w:p w:rsidR="00BB2DDA" w:rsidRPr="00617298" w:rsidRDefault="00BB2DDA" w:rsidP="003E034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C5D2A" w:rsidRPr="00617298" w:rsidRDefault="007C5D2A" w:rsidP="007C5D2A">
      <w:pPr>
        <w:ind w:left="851" w:hanging="851"/>
        <w:jc w:val="both"/>
        <w:rPr>
          <w:b/>
          <w:sz w:val="24"/>
          <w:szCs w:val="24"/>
        </w:rPr>
      </w:pPr>
      <w:r w:rsidRPr="00617298">
        <w:rPr>
          <w:b/>
          <w:sz w:val="24"/>
          <w:szCs w:val="24"/>
        </w:rPr>
        <w:t>8.</w:t>
      </w:r>
      <w:r w:rsidRPr="00617298">
        <w:rPr>
          <w:b/>
          <w:sz w:val="24"/>
          <w:szCs w:val="24"/>
        </w:rPr>
        <w:tab/>
      </w:r>
      <w:r w:rsidR="0084263A">
        <w:rPr>
          <w:b/>
          <w:sz w:val="24"/>
          <w:szCs w:val="24"/>
        </w:rPr>
        <w:t>MARKEDSFØRINGSTILLADELSESNUMMER (</w:t>
      </w:r>
      <w:r w:rsidR="008B5C1A">
        <w:rPr>
          <w:b/>
          <w:sz w:val="24"/>
          <w:szCs w:val="24"/>
        </w:rPr>
        <w:t>-</w:t>
      </w:r>
      <w:r w:rsidR="0084263A">
        <w:rPr>
          <w:b/>
          <w:sz w:val="24"/>
          <w:szCs w:val="24"/>
        </w:rPr>
        <w:t>NUMRE</w:t>
      </w:r>
      <w:r w:rsidRPr="00617298">
        <w:rPr>
          <w:b/>
          <w:sz w:val="24"/>
          <w:szCs w:val="24"/>
        </w:rPr>
        <w:t>)</w:t>
      </w:r>
    </w:p>
    <w:p w:rsidR="007C5D2A" w:rsidRPr="00617298" w:rsidRDefault="004D0822" w:rsidP="004D0822">
      <w:pPr>
        <w:tabs>
          <w:tab w:val="left" w:pos="1843"/>
        </w:tabs>
        <w:ind w:left="851"/>
        <w:jc w:val="both"/>
        <w:rPr>
          <w:sz w:val="24"/>
          <w:szCs w:val="24"/>
        </w:rPr>
      </w:pPr>
      <w:r w:rsidRPr="00617298">
        <w:rPr>
          <w:sz w:val="24"/>
          <w:szCs w:val="24"/>
        </w:rPr>
        <w:t>500 mg:</w:t>
      </w:r>
      <w:r w:rsidRPr="00617298">
        <w:rPr>
          <w:sz w:val="24"/>
          <w:szCs w:val="24"/>
        </w:rPr>
        <w:tab/>
        <w:t>61808</w:t>
      </w:r>
    </w:p>
    <w:p w:rsidR="004D0822" w:rsidRPr="00617298" w:rsidRDefault="004D0822" w:rsidP="004D0822">
      <w:pPr>
        <w:tabs>
          <w:tab w:val="left" w:pos="1843"/>
        </w:tabs>
        <w:ind w:left="851"/>
        <w:jc w:val="both"/>
        <w:rPr>
          <w:sz w:val="24"/>
          <w:szCs w:val="24"/>
        </w:rPr>
      </w:pPr>
      <w:r w:rsidRPr="00617298">
        <w:rPr>
          <w:sz w:val="24"/>
          <w:szCs w:val="24"/>
        </w:rPr>
        <w:t>750 mg:</w:t>
      </w:r>
      <w:r w:rsidRPr="00617298">
        <w:rPr>
          <w:sz w:val="24"/>
          <w:szCs w:val="24"/>
        </w:rPr>
        <w:tab/>
        <w:t>61809</w:t>
      </w:r>
    </w:p>
    <w:p w:rsidR="004D0822" w:rsidRPr="00617298" w:rsidRDefault="004D0822" w:rsidP="004D0822">
      <w:pPr>
        <w:tabs>
          <w:tab w:val="left" w:pos="1843"/>
        </w:tabs>
        <w:ind w:left="851"/>
        <w:jc w:val="both"/>
        <w:rPr>
          <w:sz w:val="24"/>
          <w:szCs w:val="24"/>
        </w:rPr>
      </w:pPr>
      <w:r w:rsidRPr="00617298">
        <w:rPr>
          <w:sz w:val="24"/>
          <w:szCs w:val="24"/>
        </w:rPr>
        <w:t>1000 mg:</w:t>
      </w:r>
      <w:r w:rsidRPr="00617298">
        <w:rPr>
          <w:sz w:val="24"/>
          <w:szCs w:val="24"/>
        </w:rPr>
        <w:tab/>
        <w:t>61810</w:t>
      </w:r>
    </w:p>
    <w:p w:rsidR="007C5D2A" w:rsidRPr="00617298" w:rsidRDefault="007C5D2A" w:rsidP="004D0822">
      <w:pPr>
        <w:tabs>
          <w:tab w:val="left" w:pos="1843"/>
        </w:tabs>
        <w:ind w:left="851"/>
        <w:jc w:val="both"/>
        <w:rPr>
          <w:sz w:val="24"/>
          <w:szCs w:val="24"/>
        </w:rPr>
      </w:pPr>
    </w:p>
    <w:p w:rsidR="007C5D2A" w:rsidRPr="00617298" w:rsidRDefault="007C5D2A" w:rsidP="007C5D2A">
      <w:pPr>
        <w:tabs>
          <w:tab w:val="left" w:pos="851"/>
        </w:tabs>
        <w:jc w:val="both"/>
        <w:rPr>
          <w:sz w:val="24"/>
          <w:szCs w:val="24"/>
        </w:rPr>
      </w:pPr>
      <w:r w:rsidRPr="00617298">
        <w:rPr>
          <w:b/>
          <w:sz w:val="24"/>
          <w:szCs w:val="24"/>
        </w:rPr>
        <w:t>9.</w:t>
      </w:r>
      <w:r w:rsidRPr="00617298">
        <w:rPr>
          <w:b/>
          <w:sz w:val="24"/>
          <w:szCs w:val="24"/>
        </w:rPr>
        <w:tab/>
      </w:r>
      <w:r w:rsidR="00C25441">
        <w:rPr>
          <w:b/>
          <w:sz w:val="24"/>
          <w:szCs w:val="24"/>
        </w:rPr>
        <w:t>DATO FOR FØRSTE MARKEDSFØRINGSTILLADELSE</w:t>
      </w:r>
    </w:p>
    <w:p w:rsidR="007C5D2A" w:rsidRPr="003A770E" w:rsidRDefault="0074337F" w:rsidP="00A85D26">
      <w:pPr>
        <w:ind w:left="851"/>
        <w:jc w:val="both"/>
        <w:rPr>
          <w:sz w:val="24"/>
          <w:szCs w:val="24"/>
        </w:rPr>
      </w:pPr>
      <w:r w:rsidRPr="003A770E">
        <w:rPr>
          <w:sz w:val="24"/>
          <w:szCs w:val="24"/>
        </w:rPr>
        <w:t xml:space="preserve">16 </w:t>
      </w:r>
      <w:r w:rsidR="002A699B">
        <w:rPr>
          <w:sz w:val="24"/>
          <w:szCs w:val="24"/>
        </w:rPr>
        <w:t>december</w:t>
      </w:r>
      <w:r w:rsidRPr="003A770E">
        <w:rPr>
          <w:sz w:val="24"/>
          <w:szCs w:val="24"/>
        </w:rPr>
        <w:t xml:space="preserve"> 2020</w:t>
      </w:r>
    </w:p>
    <w:p w:rsidR="007C5D2A" w:rsidRPr="003A770E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A699B" w:rsidRDefault="002A699B" w:rsidP="002A699B">
      <w:pPr>
        <w:tabs>
          <w:tab w:val="left" w:pos="851"/>
        </w:tabs>
        <w:ind w:left="851" w:hanging="851"/>
        <w:jc w:val="both"/>
        <w:rPr>
          <w:b/>
        </w:rPr>
      </w:pPr>
      <w:r>
        <w:rPr>
          <w:b/>
        </w:rPr>
        <w:t>10.</w:t>
      </w:r>
      <w:r>
        <w:rPr>
          <w:b/>
        </w:rPr>
        <w:tab/>
        <w:t>DATO FOR ÆNDRING AF TEKSTEN</w:t>
      </w:r>
    </w:p>
    <w:p w:rsidR="007C5D2A" w:rsidRPr="002A699B" w:rsidRDefault="008F1697" w:rsidP="003E0341">
      <w:p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2904C0">
        <w:rPr>
          <w:sz w:val="24"/>
          <w:szCs w:val="24"/>
        </w:rPr>
        <w:t xml:space="preserve">. </w:t>
      </w:r>
      <w:r>
        <w:rPr>
          <w:sz w:val="24"/>
          <w:szCs w:val="24"/>
        </w:rPr>
        <w:t>januar</w:t>
      </w:r>
      <w:r w:rsidR="002904C0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bookmarkStart w:id="2" w:name="_GoBack"/>
      <w:bookmarkEnd w:id="2"/>
    </w:p>
    <w:sectPr w:rsidR="007C5D2A" w:rsidRPr="002A699B" w:rsidSect="004A3BF4">
      <w:headerReference w:type="default" r:id="rId9"/>
      <w:footerReference w:type="defaul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AB1" w:rsidRDefault="00F15AB1">
      <w:r>
        <w:separator/>
      </w:r>
    </w:p>
  </w:endnote>
  <w:endnote w:type="continuationSeparator" w:id="0">
    <w:p w:rsidR="00F15AB1" w:rsidRDefault="00F1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38" w:rsidRDefault="00864538">
    <w:pPr>
      <w:pStyle w:val="Sidefod"/>
      <w:pBdr>
        <w:bottom w:val="single" w:sz="6" w:space="1" w:color="auto"/>
      </w:pBdr>
    </w:pPr>
  </w:p>
  <w:p w:rsidR="00864538" w:rsidRDefault="00864538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864538" w:rsidRPr="002C7F3B" w:rsidRDefault="00E36A80" w:rsidP="00AC033C">
    <w:pPr>
      <w:pStyle w:val="Sidefod"/>
      <w:tabs>
        <w:tab w:val="clear" w:pos="4819"/>
        <w:tab w:val="left" w:pos="8364"/>
      </w:tabs>
      <w:rPr>
        <w:i/>
        <w:sz w:val="18"/>
        <w:lang w:val="nb-NO"/>
      </w:rPr>
    </w:pPr>
    <w:r>
      <w:rPr>
        <w:i/>
        <w:snapToGrid w:val="0"/>
        <w:sz w:val="18"/>
      </w:rPr>
      <w:fldChar w:fldCharType="begin"/>
    </w:r>
    <w:r w:rsidR="00864538" w:rsidRPr="002C7F3B">
      <w:rPr>
        <w:i/>
        <w:snapToGrid w:val="0"/>
        <w:sz w:val="18"/>
        <w:lang w:val="nb-NO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9112A4" w:rsidRPr="002C7F3B">
      <w:rPr>
        <w:i/>
        <w:noProof/>
        <w:snapToGrid w:val="0"/>
        <w:sz w:val="18"/>
        <w:lang w:val="nb-NO"/>
      </w:rPr>
      <w:t xml:space="preserve">Lanthanum </w:t>
    </w:r>
    <w:r w:rsidR="002904C0" w:rsidRPr="002C7F3B">
      <w:rPr>
        <w:i/>
        <w:noProof/>
        <w:snapToGrid w:val="0"/>
        <w:sz w:val="18"/>
        <w:lang w:val="nb-NO"/>
      </w:rPr>
      <w:t>Viatris</w:t>
    </w:r>
    <w:r w:rsidR="009112A4" w:rsidRPr="002C7F3B">
      <w:rPr>
        <w:i/>
        <w:noProof/>
        <w:snapToGrid w:val="0"/>
        <w:sz w:val="18"/>
        <w:lang w:val="nb-NO"/>
      </w:rPr>
      <w:t>, tyggetabletter 500 mg, 750 mg og 1000 mg</w:t>
    </w:r>
    <w:r>
      <w:rPr>
        <w:i/>
        <w:snapToGrid w:val="0"/>
        <w:sz w:val="18"/>
      </w:rPr>
      <w:fldChar w:fldCharType="end"/>
    </w:r>
    <w:r w:rsidR="00864538" w:rsidRPr="002C7F3B">
      <w:rPr>
        <w:i/>
        <w:snapToGrid w:val="0"/>
        <w:sz w:val="18"/>
        <w:lang w:val="nb-NO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 w:rsidRPr="002C7F3B">
      <w:rPr>
        <w:i/>
        <w:snapToGrid w:val="0"/>
        <w:sz w:val="18"/>
        <w:lang w:val="nb-NO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AC033C" w:rsidRPr="002C7F3B">
      <w:rPr>
        <w:i/>
        <w:noProof/>
        <w:snapToGrid w:val="0"/>
        <w:sz w:val="18"/>
        <w:lang w:val="nb-NO"/>
      </w:rPr>
      <w:t>1</w:t>
    </w:r>
    <w:r>
      <w:rPr>
        <w:i/>
        <w:snapToGrid w:val="0"/>
        <w:sz w:val="18"/>
      </w:rPr>
      <w:fldChar w:fldCharType="end"/>
    </w:r>
    <w:r w:rsidR="00864538" w:rsidRPr="002C7F3B">
      <w:rPr>
        <w:i/>
        <w:snapToGrid w:val="0"/>
        <w:sz w:val="18"/>
        <w:lang w:val="nb-NO"/>
      </w:rPr>
      <w:t xml:space="preserve"> of </w:t>
    </w:r>
    <w:r>
      <w:rPr>
        <w:i/>
        <w:snapToGrid w:val="0"/>
        <w:sz w:val="18"/>
      </w:rPr>
      <w:fldChar w:fldCharType="begin"/>
    </w:r>
    <w:r w:rsidR="00864538" w:rsidRPr="002C7F3B">
      <w:rPr>
        <w:i/>
        <w:snapToGrid w:val="0"/>
        <w:sz w:val="18"/>
        <w:lang w:val="nb-NO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C033C" w:rsidRPr="002C7F3B">
      <w:rPr>
        <w:i/>
        <w:noProof/>
        <w:snapToGrid w:val="0"/>
        <w:sz w:val="18"/>
        <w:lang w:val="nb-NO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38" w:rsidRDefault="00864538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:rsidR="00864538" w:rsidRDefault="00864538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:rsidR="00864538" w:rsidRDefault="00E36A80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864538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9112A4">
      <w:rPr>
        <w:i/>
        <w:noProof/>
        <w:snapToGrid w:val="0"/>
        <w:sz w:val="18"/>
      </w:rPr>
      <w:t>Lanthanum Mylan, tyggetabletter 500 mg, 750 mg og 1000 mg</w:t>
    </w:r>
    <w:r>
      <w:rPr>
        <w:i/>
        <w:snapToGrid w:val="0"/>
        <w:sz w:val="18"/>
      </w:rPr>
      <w:fldChar w:fldCharType="end"/>
    </w:r>
    <w:r w:rsidR="00864538"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 w:rsidR="00864538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D97B77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864538"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 w:rsidR="00864538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1290F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AB1" w:rsidRDefault="00F15AB1">
      <w:r>
        <w:separator/>
      </w:r>
    </w:p>
  </w:footnote>
  <w:footnote w:type="continuationSeparator" w:id="0">
    <w:p w:rsidR="00F15AB1" w:rsidRDefault="00F1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538" w:rsidRDefault="000D3C9D">
    <w:pPr>
      <w:pStyle w:val="Sidehoved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B1"/>
    <w:rsid w:val="00005DC7"/>
    <w:rsid w:val="00010092"/>
    <w:rsid w:val="00010F36"/>
    <w:rsid w:val="000419B3"/>
    <w:rsid w:val="00056601"/>
    <w:rsid w:val="00072430"/>
    <w:rsid w:val="00076F13"/>
    <w:rsid w:val="00080E1C"/>
    <w:rsid w:val="00095A64"/>
    <w:rsid w:val="000C3846"/>
    <w:rsid w:val="000C6218"/>
    <w:rsid w:val="000C6C22"/>
    <w:rsid w:val="000D3C9D"/>
    <w:rsid w:val="000F0D47"/>
    <w:rsid w:val="00107419"/>
    <w:rsid w:val="001242DE"/>
    <w:rsid w:val="00156E6A"/>
    <w:rsid w:val="00157470"/>
    <w:rsid w:val="00167B84"/>
    <w:rsid w:val="00172583"/>
    <w:rsid w:val="00180A12"/>
    <w:rsid w:val="0021175A"/>
    <w:rsid w:val="00214331"/>
    <w:rsid w:val="00214CF4"/>
    <w:rsid w:val="00227235"/>
    <w:rsid w:val="00281F03"/>
    <w:rsid w:val="002904C0"/>
    <w:rsid w:val="0029458A"/>
    <w:rsid w:val="002A1587"/>
    <w:rsid w:val="002A5959"/>
    <w:rsid w:val="002A699B"/>
    <w:rsid w:val="002B27C5"/>
    <w:rsid w:val="002C7F3B"/>
    <w:rsid w:val="002F6250"/>
    <w:rsid w:val="002F692B"/>
    <w:rsid w:val="00303008"/>
    <w:rsid w:val="0032668F"/>
    <w:rsid w:val="0034446D"/>
    <w:rsid w:val="00366592"/>
    <w:rsid w:val="00373B55"/>
    <w:rsid w:val="003740BD"/>
    <w:rsid w:val="003A770E"/>
    <w:rsid w:val="003D727E"/>
    <w:rsid w:val="003E0341"/>
    <w:rsid w:val="003E3402"/>
    <w:rsid w:val="003F4736"/>
    <w:rsid w:val="00401B49"/>
    <w:rsid w:val="004033CA"/>
    <w:rsid w:val="00420013"/>
    <w:rsid w:val="0042292D"/>
    <w:rsid w:val="00440254"/>
    <w:rsid w:val="00441709"/>
    <w:rsid w:val="0048347E"/>
    <w:rsid w:val="004860D3"/>
    <w:rsid w:val="0049555B"/>
    <w:rsid w:val="004A3BF4"/>
    <w:rsid w:val="004A5DB3"/>
    <w:rsid w:val="004D0822"/>
    <w:rsid w:val="005152D9"/>
    <w:rsid w:val="00533577"/>
    <w:rsid w:val="00533AD4"/>
    <w:rsid w:val="00534849"/>
    <w:rsid w:val="005537DB"/>
    <w:rsid w:val="00560102"/>
    <w:rsid w:val="00562EA1"/>
    <w:rsid w:val="00573FBD"/>
    <w:rsid w:val="005A6D33"/>
    <w:rsid w:val="005B4BB6"/>
    <w:rsid w:val="006152C5"/>
    <w:rsid w:val="00617298"/>
    <w:rsid w:val="00617BB8"/>
    <w:rsid w:val="006272A4"/>
    <w:rsid w:val="00634B52"/>
    <w:rsid w:val="00655B53"/>
    <w:rsid w:val="0065732E"/>
    <w:rsid w:val="006641DC"/>
    <w:rsid w:val="00670DE1"/>
    <w:rsid w:val="00680052"/>
    <w:rsid w:val="00683267"/>
    <w:rsid w:val="006844E9"/>
    <w:rsid w:val="006976CD"/>
    <w:rsid w:val="006B3847"/>
    <w:rsid w:val="006E458C"/>
    <w:rsid w:val="00714033"/>
    <w:rsid w:val="00741AB9"/>
    <w:rsid w:val="0074337F"/>
    <w:rsid w:val="0075453D"/>
    <w:rsid w:val="00772119"/>
    <w:rsid w:val="007960E6"/>
    <w:rsid w:val="007C3623"/>
    <w:rsid w:val="007C5D2A"/>
    <w:rsid w:val="007D61CE"/>
    <w:rsid w:val="007E229F"/>
    <w:rsid w:val="007E69C5"/>
    <w:rsid w:val="007E7C93"/>
    <w:rsid w:val="007F1E00"/>
    <w:rsid w:val="007F22DD"/>
    <w:rsid w:val="00811FD4"/>
    <w:rsid w:val="008400E3"/>
    <w:rsid w:val="0084263A"/>
    <w:rsid w:val="00864538"/>
    <w:rsid w:val="00873B4F"/>
    <w:rsid w:val="008B5C1A"/>
    <w:rsid w:val="008E51AE"/>
    <w:rsid w:val="008F1697"/>
    <w:rsid w:val="008F2F8C"/>
    <w:rsid w:val="008F422A"/>
    <w:rsid w:val="009074CA"/>
    <w:rsid w:val="009112A4"/>
    <w:rsid w:val="00927D2A"/>
    <w:rsid w:val="009739A1"/>
    <w:rsid w:val="00991790"/>
    <w:rsid w:val="009925C9"/>
    <w:rsid w:val="00A128C3"/>
    <w:rsid w:val="00A179D0"/>
    <w:rsid w:val="00A27F35"/>
    <w:rsid w:val="00A358A3"/>
    <w:rsid w:val="00A46747"/>
    <w:rsid w:val="00A47701"/>
    <w:rsid w:val="00A53641"/>
    <w:rsid w:val="00A56380"/>
    <w:rsid w:val="00A80446"/>
    <w:rsid w:val="00A85D26"/>
    <w:rsid w:val="00A85F68"/>
    <w:rsid w:val="00A9153A"/>
    <w:rsid w:val="00A96734"/>
    <w:rsid w:val="00AA4F93"/>
    <w:rsid w:val="00AC033C"/>
    <w:rsid w:val="00AD2E36"/>
    <w:rsid w:val="00AE4CC7"/>
    <w:rsid w:val="00B12670"/>
    <w:rsid w:val="00B9085D"/>
    <w:rsid w:val="00BB2DDA"/>
    <w:rsid w:val="00BD3490"/>
    <w:rsid w:val="00BD79FB"/>
    <w:rsid w:val="00C16F7F"/>
    <w:rsid w:val="00C25441"/>
    <w:rsid w:val="00C26226"/>
    <w:rsid w:val="00C3571D"/>
    <w:rsid w:val="00C40C77"/>
    <w:rsid w:val="00C54F0B"/>
    <w:rsid w:val="00C56561"/>
    <w:rsid w:val="00C726FE"/>
    <w:rsid w:val="00C7527B"/>
    <w:rsid w:val="00C82621"/>
    <w:rsid w:val="00CB1423"/>
    <w:rsid w:val="00CB57DF"/>
    <w:rsid w:val="00D02508"/>
    <w:rsid w:val="00D14920"/>
    <w:rsid w:val="00D16338"/>
    <w:rsid w:val="00D2766C"/>
    <w:rsid w:val="00D35571"/>
    <w:rsid w:val="00D6011A"/>
    <w:rsid w:val="00D65EFA"/>
    <w:rsid w:val="00D66D13"/>
    <w:rsid w:val="00D778CC"/>
    <w:rsid w:val="00D82FE9"/>
    <w:rsid w:val="00D97B77"/>
    <w:rsid w:val="00DA32EE"/>
    <w:rsid w:val="00DB6A85"/>
    <w:rsid w:val="00E06B32"/>
    <w:rsid w:val="00E1290F"/>
    <w:rsid w:val="00E36A80"/>
    <w:rsid w:val="00E44A16"/>
    <w:rsid w:val="00E922AC"/>
    <w:rsid w:val="00EA197D"/>
    <w:rsid w:val="00EB21D7"/>
    <w:rsid w:val="00EE3EB7"/>
    <w:rsid w:val="00F15AB1"/>
    <w:rsid w:val="00F57E16"/>
    <w:rsid w:val="00F60336"/>
    <w:rsid w:val="00FD652E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1AD92"/>
  <w15:chartTrackingRefBased/>
  <w15:docId w15:val="{C28D5113-483C-45B7-83E2-B71932A9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AA4F9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A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3560</Words>
  <Characters>22763</Characters>
  <Application>Microsoft Office Word</Application>
  <DocSecurity>0</DocSecurity>
  <Lines>189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Victoria Alexandra Ringgaard</dc:creator>
  <cp:keywords/>
  <dc:description>2024064555_x000d_
SPC pkt. 2, 4.4, 4.8, 4.9, 5.1 og 5.2</dc:description>
  <cp:lastModifiedBy>Victoria Alexsandra Ringgaard</cp:lastModifiedBy>
  <cp:revision>3</cp:revision>
  <cp:lastPrinted>2021-02-04T10:27:00Z</cp:lastPrinted>
  <dcterms:created xsi:type="dcterms:W3CDTF">2025-01-11T11:17:00Z</dcterms:created>
  <dcterms:modified xsi:type="dcterms:W3CDTF">2025-01-11T11:25:00Z</dcterms:modified>
</cp:coreProperties>
</file>