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1124" w14:textId="77777777" w:rsidR="009260DE" w:rsidRPr="000C2646" w:rsidRDefault="0021526C" w:rsidP="009260DE">
      <w:pPr>
        <w:rPr>
          <w:sz w:val="24"/>
          <w:szCs w:val="24"/>
        </w:rPr>
      </w:pPr>
      <w:r w:rsidRPr="000C2646">
        <w:rPr>
          <w:noProof/>
          <w:sz w:val="24"/>
          <w:szCs w:val="24"/>
          <w:lang w:eastAsia="da-DK"/>
        </w:rPr>
        <w:drawing>
          <wp:anchor distT="0" distB="0" distL="114300" distR="114300" simplePos="0" relativeHeight="251658240" behindDoc="0" locked="0" layoutInCell="1" allowOverlap="1" wp14:anchorId="1C4C75DD" wp14:editId="3C524D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2646">
        <w:rPr>
          <w:sz w:val="24"/>
          <w:szCs w:val="24"/>
        </w:rPr>
        <w:br w:type="textWrapping" w:clear="all"/>
      </w:r>
    </w:p>
    <w:p w14:paraId="2B2CCD25" w14:textId="3FF57163" w:rsidR="009260DE" w:rsidRPr="000C2646" w:rsidRDefault="009260DE" w:rsidP="009260DE">
      <w:pPr>
        <w:pStyle w:val="Titel"/>
        <w:tabs>
          <w:tab w:val="right" w:pos="9356"/>
        </w:tabs>
        <w:jc w:val="left"/>
        <w:rPr>
          <w:b w:val="0"/>
          <w:szCs w:val="24"/>
          <w:lang w:eastAsia="en-US"/>
        </w:rPr>
      </w:pPr>
      <w:r w:rsidRPr="000C2646">
        <w:rPr>
          <w:b w:val="0"/>
          <w:szCs w:val="24"/>
          <w:lang w:eastAsia="en-US"/>
        </w:rPr>
        <w:tab/>
      </w:r>
      <w:r w:rsidR="00C23D65">
        <w:rPr>
          <w:szCs w:val="24"/>
        </w:rPr>
        <w:t>9. juni</w:t>
      </w:r>
      <w:r w:rsidR="004F5E1E">
        <w:rPr>
          <w:szCs w:val="24"/>
        </w:rPr>
        <w:t xml:space="preserve"> 2023</w:t>
      </w:r>
    </w:p>
    <w:p w14:paraId="163F195E" w14:textId="77777777" w:rsidR="009260DE" w:rsidRPr="000C2646" w:rsidRDefault="009260DE" w:rsidP="009260DE">
      <w:pPr>
        <w:pStyle w:val="Titel"/>
        <w:jc w:val="left"/>
        <w:rPr>
          <w:b w:val="0"/>
          <w:szCs w:val="24"/>
        </w:rPr>
      </w:pPr>
    </w:p>
    <w:p w14:paraId="0DBCF34F" w14:textId="77777777" w:rsidR="009260DE" w:rsidRPr="000C2646" w:rsidRDefault="009260DE" w:rsidP="009260DE">
      <w:pPr>
        <w:pStyle w:val="Titel"/>
        <w:jc w:val="left"/>
        <w:rPr>
          <w:b w:val="0"/>
          <w:szCs w:val="24"/>
        </w:rPr>
      </w:pPr>
    </w:p>
    <w:p w14:paraId="24CECE1B" w14:textId="77777777" w:rsidR="009260DE" w:rsidRPr="000C2646" w:rsidRDefault="009260DE" w:rsidP="009260DE">
      <w:pPr>
        <w:jc w:val="center"/>
        <w:rPr>
          <w:b/>
          <w:sz w:val="24"/>
          <w:szCs w:val="24"/>
        </w:rPr>
      </w:pPr>
      <w:r w:rsidRPr="000C2646">
        <w:rPr>
          <w:b/>
          <w:sz w:val="24"/>
          <w:szCs w:val="24"/>
        </w:rPr>
        <w:t>PRODUKTRESUMÉ</w:t>
      </w:r>
    </w:p>
    <w:p w14:paraId="2CC5A253" w14:textId="77777777" w:rsidR="009260DE" w:rsidRPr="000C2646" w:rsidRDefault="009260DE" w:rsidP="009260DE">
      <w:pPr>
        <w:jc w:val="center"/>
        <w:rPr>
          <w:b/>
          <w:sz w:val="24"/>
          <w:szCs w:val="24"/>
        </w:rPr>
      </w:pPr>
    </w:p>
    <w:p w14:paraId="34F10CB1" w14:textId="77777777" w:rsidR="009260DE" w:rsidRPr="000C2646" w:rsidRDefault="009260DE" w:rsidP="009260DE">
      <w:pPr>
        <w:jc w:val="center"/>
        <w:rPr>
          <w:b/>
          <w:sz w:val="24"/>
          <w:szCs w:val="24"/>
        </w:rPr>
      </w:pPr>
      <w:r w:rsidRPr="000C2646">
        <w:rPr>
          <w:b/>
          <w:sz w:val="24"/>
          <w:szCs w:val="24"/>
        </w:rPr>
        <w:t>for</w:t>
      </w:r>
    </w:p>
    <w:p w14:paraId="1E80A12B" w14:textId="77777777" w:rsidR="000B058C" w:rsidRPr="000C2646" w:rsidRDefault="000B058C" w:rsidP="009260DE">
      <w:pPr>
        <w:jc w:val="center"/>
        <w:rPr>
          <w:b/>
          <w:sz w:val="24"/>
          <w:szCs w:val="24"/>
        </w:rPr>
      </w:pPr>
    </w:p>
    <w:p w14:paraId="47B3B14F" w14:textId="0BB5B49E" w:rsidR="009260DE" w:rsidRPr="000C2646" w:rsidRDefault="0009639F" w:rsidP="009260DE">
      <w:pPr>
        <w:jc w:val="center"/>
        <w:rPr>
          <w:b/>
          <w:sz w:val="24"/>
          <w:szCs w:val="24"/>
        </w:rPr>
      </w:pPr>
      <w:proofErr w:type="spellStart"/>
      <w:r w:rsidRPr="000C2646">
        <w:rPr>
          <w:b/>
          <w:sz w:val="24"/>
          <w:szCs w:val="24"/>
        </w:rPr>
        <w:t>Lapatinib</w:t>
      </w:r>
      <w:proofErr w:type="spellEnd"/>
      <w:r w:rsidRPr="000C2646">
        <w:rPr>
          <w:b/>
          <w:sz w:val="24"/>
          <w:szCs w:val="24"/>
        </w:rPr>
        <w:t xml:space="preserve"> </w:t>
      </w:r>
      <w:r w:rsidR="002417A3">
        <w:rPr>
          <w:b/>
          <w:sz w:val="24"/>
          <w:szCs w:val="24"/>
        </w:rPr>
        <w:t>"</w:t>
      </w:r>
      <w:proofErr w:type="spellStart"/>
      <w:r w:rsidRPr="000C2646">
        <w:rPr>
          <w:b/>
          <w:sz w:val="24"/>
          <w:szCs w:val="24"/>
        </w:rPr>
        <w:t>Newbury</w:t>
      </w:r>
      <w:proofErr w:type="spellEnd"/>
      <w:r w:rsidR="002417A3">
        <w:rPr>
          <w:b/>
          <w:sz w:val="24"/>
          <w:szCs w:val="24"/>
        </w:rPr>
        <w:t>"</w:t>
      </w:r>
      <w:r w:rsidRPr="000C2646">
        <w:rPr>
          <w:b/>
          <w:sz w:val="24"/>
          <w:szCs w:val="24"/>
        </w:rPr>
        <w:t>, filmovertrukne tabletter</w:t>
      </w:r>
    </w:p>
    <w:p w14:paraId="53A5F080" w14:textId="77777777" w:rsidR="009260DE" w:rsidRPr="000C2646" w:rsidRDefault="009260DE" w:rsidP="009260DE">
      <w:pPr>
        <w:jc w:val="both"/>
        <w:rPr>
          <w:sz w:val="24"/>
          <w:szCs w:val="24"/>
        </w:rPr>
      </w:pPr>
    </w:p>
    <w:p w14:paraId="20083F4F" w14:textId="77777777" w:rsidR="009260DE" w:rsidRPr="000C2646" w:rsidRDefault="009260DE" w:rsidP="009260DE">
      <w:pPr>
        <w:jc w:val="both"/>
        <w:rPr>
          <w:sz w:val="24"/>
          <w:szCs w:val="24"/>
        </w:rPr>
      </w:pPr>
    </w:p>
    <w:p w14:paraId="7771873F" w14:textId="77777777" w:rsidR="009260DE" w:rsidRPr="000C2646" w:rsidRDefault="009260DE" w:rsidP="009260DE">
      <w:pPr>
        <w:tabs>
          <w:tab w:val="left" w:pos="851"/>
        </w:tabs>
        <w:ind w:left="851" w:hanging="851"/>
        <w:rPr>
          <w:b/>
          <w:sz w:val="24"/>
          <w:szCs w:val="24"/>
        </w:rPr>
      </w:pPr>
      <w:r w:rsidRPr="000C2646">
        <w:rPr>
          <w:b/>
          <w:sz w:val="24"/>
          <w:szCs w:val="24"/>
        </w:rPr>
        <w:t>0.</w:t>
      </w:r>
      <w:r w:rsidRPr="000C2646">
        <w:rPr>
          <w:b/>
          <w:sz w:val="24"/>
          <w:szCs w:val="24"/>
        </w:rPr>
        <w:tab/>
        <w:t>D.SP.NR.</w:t>
      </w:r>
    </w:p>
    <w:p w14:paraId="595E7C03" w14:textId="3385C3E4" w:rsidR="009260DE" w:rsidRPr="000C2646" w:rsidRDefault="0022216C" w:rsidP="009260DE">
      <w:pPr>
        <w:tabs>
          <w:tab w:val="left" w:pos="851"/>
        </w:tabs>
        <w:ind w:left="851"/>
        <w:rPr>
          <w:sz w:val="24"/>
          <w:szCs w:val="24"/>
        </w:rPr>
      </w:pPr>
      <w:r w:rsidRPr="000C2646">
        <w:rPr>
          <w:sz w:val="24"/>
          <w:szCs w:val="24"/>
        </w:rPr>
        <w:t>32923</w:t>
      </w:r>
    </w:p>
    <w:p w14:paraId="18C8704F" w14:textId="77777777" w:rsidR="009260DE" w:rsidRPr="000C2646" w:rsidRDefault="009260DE" w:rsidP="009260DE">
      <w:pPr>
        <w:tabs>
          <w:tab w:val="left" w:pos="851"/>
        </w:tabs>
        <w:ind w:left="851"/>
        <w:rPr>
          <w:sz w:val="24"/>
          <w:szCs w:val="24"/>
        </w:rPr>
      </w:pPr>
    </w:p>
    <w:p w14:paraId="5C894BC8" w14:textId="77777777" w:rsidR="009260DE" w:rsidRPr="000C2646" w:rsidRDefault="009260DE" w:rsidP="009260DE">
      <w:pPr>
        <w:tabs>
          <w:tab w:val="left" w:pos="851"/>
        </w:tabs>
        <w:ind w:left="851" w:hanging="851"/>
        <w:rPr>
          <w:b/>
          <w:sz w:val="24"/>
          <w:szCs w:val="24"/>
        </w:rPr>
      </w:pPr>
      <w:r w:rsidRPr="000C2646">
        <w:rPr>
          <w:b/>
          <w:sz w:val="24"/>
          <w:szCs w:val="24"/>
        </w:rPr>
        <w:t>1.</w:t>
      </w:r>
      <w:r w:rsidRPr="000C2646">
        <w:rPr>
          <w:b/>
          <w:sz w:val="24"/>
          <w:szCs w:val="24"/>
        </w:rPr>
        <w:tab/>
        <w:t>LÆGEMIDLETS NAVN</w:t>
      </w:r>
    </w:p>
    <w:p w14:paraId="1A2D23A1" w14:textId="09BF601C" w:rsidR="009260DE" w:rsidRPr="000C2646" w:rsidRDefault="0009639F" w:rsidP="009260DE">
      <w:pPr>
        <w:tabs>
          <w:tab w:val="left" w:pos="851"/>
        </w:tabs>
        <w:ind w:left="851"/>
        <w:rPr>
          <w:sz w:val="24"/>
          <w:szCs w:val="24"/>
        </w:rPr>
      </w:pP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p>
    <w:p w14:paraId="50BCA783" w14:textId="77777777" w:rsidR="009260DE" w:rsidRPr="000C2646" w:rsidRDefault="009260DE" w:rsidP="009260DE">
      <w:pPr>
        <w:tabs>
          <w:tab w:val="left" w:pos="851"/>
        </w:tabs>
        <w:ind w:left="851"/>
        <w:rPr>
          <w:sz w:val="24"/>
          <w:szCs w:val="24"/>
        </w:rPr>
      </w:pPr>
    </w:p>
    <w:p w14:paraId="70732620" w14:textId="77777777" w:rsidR="009260DE" w:rsidRPr="000C2646" w:rsidRDefault="009260DE" w:rsidP="009260DE">
      <w:pPr>
        <w:tabs>
          <w:tab w:val="left" w:pos="851"/>
        </w:tabs>
        <w:ind w:left="851" w:hanging="851"/>
        <w:rPr>
          <w:b/>
          <w:sz w:val="24"/>
          <w:szCs w:val="24"/>
        </w:rPr>
      </w:pPr>
      <w:r w:rsidRPr="000C2646">
        <w:rPr>
          <w:b/>
          <w:sz w:val="24"/>
          <w:szCs w:val="24"/>
        </w:rPr>
        <w:t>2.</w:t>
      </w:r>
      <w:r w:rsidRPr="000C2646">
        <w:rPr>
          <w:b/>
          <w:sz w:val="24"/>
          <w:szCs w:val="24"/>
        </w:rPr>
        <w:tab/>
        <w:t>KVALITATIV OG KVANTITATIV SAMMENSÆTNING</w:t>
      </w:r>
    </w:p>
    <w:p w14:paraId="113B52A4" w14:textId="77747C2B" w:rsidR="00925ABE" w:rsidRPr="000C2646" w:rsidRDefault="00925ABE" w:rsidP="009534FE">
      <w:pPr>
        <w:suppressAutoHyphens/>
        <w:ind w:left="851"/>
        <w:rPr>
          <w:sz w:val="24"/>
          <w:szCs w:val="24"/>
        </w:rPr>
      </w:pPr>
      <w:r w:rsidRPr="000C2646">
        <w:rPr>
          <w:sz w:val="24"/>
          <w:szCs w:val="24"/>
        </w:rPr>
        <w:t>Hver filmovertrukke</w:t>
      </w:r>
      <w:r w:rsidR="002417A3">
        <w:rPr>
          <w:sz w:val="24"/>
          <w:szCs w:val="24"/>
        </w:rPr>
        <w:t>t</w:t>
      </w:r>
      <w:r w:rsidRPr="000C2646">
        <w:rPr>
          <w:sz w:val="24"/>
          <w:szCs w:val="24"/>
        </w:rPr>
        <w:t xml:space="preserve"> tablet indeholder </w:t>
      </w:r>
      <w:proofErr w:type="spellStart"/>
      <w:r w:rsidRPr="000C2646">
        <w:rPr>
          <w:sz w:val="24"/>
          <w:szCs w:val="24"/>
        </w:rPr>
        <w:t>lapatinibditosylatmonohydrat</w:t>
      </w:r>
      <w:proofErr w:type="spellEnd"/>
      <w:r w:rsidRPr="000C2646">
        <w:rPr>
          <w:sz w:val="24"/>
          <w:szCs w:val="24"/>
        </w:rPr>
        <w:t xml:space="preserve"> svarende til 250 mg </w:t>
      </w:r>
      <w:proofErr w:type="spellStart"/>
      <w:r w:rsidRPr="000C2646">
        <w:rPr>
          <w:sz w:val="24"/>
          <w:szCs w:val="24"/>
        </w:rPr>
        <w:t>lapatinib</w:t>
      </w:r>
      <w:proofErr w:type="spellEnd"/>
      <w:r w:rsidRPr="000C2646">
        <w:rPr>
          <w:sz w:val="24"/>
          <w:szCs w:val="24"/>
        </w:rPr>
        <w:t>.</w:t>
      </w:r>
    </w:p>
    <w:p w14:paraId="2BDE27C2" w14:textId="77777777" w:rsidR="00925ABE" w:rsidRPr="000C2646" w:rsidRDefault="00925ABE" w:rsidP="009534FE">
      <w:pPr>
        <w:suppressAutoHyphens/>
        <w:ind w:left="851"/>
        <w:rPr>
          <w:sz w:val="24"/>
          <w:szCs w:val="24"/>
        </w:rPr>
      </w:pPr>
    </w:p>
    <w:p w14:paraId="04A81093" w14:textId="77777777" w:rsidR="00925ABE" w:rsidRPr="000C2646" w:rsidRDefault="00925ABE" w:rsidP="009534FE">
      <w:pPr>
        <w:tabs>
          <w:tab w:val="left" w:pos="567"/>
        </w:tabs>
        <w:spacing w:line="260" w:lineRule="exact"/>
        <w:ind w:left="851"/>
        <w:rPr>
          <w:sz w:val="24"/>
          <w:szCs w:val="24"/>
        </w:rPr>
      </w:pPr>
      <w:r w:rsidRPr="000C2646">
        <w:rPr>
          <w:sz w:val="24"/>
          <w:szCs w:val="24"/>
        </w:rPr>
        <w:t>Alle hjælpestoffer er anført under pkt. 6.1.</w:t>
      </w:r>
    </w:p>
    <w:p w14:paraId="3C9547D4" w14:textId="77777777" w:rsidR="009260DE" w:rsidRPr="000C2646" w:rsidRDefault="009260DE" w:rsidP="009260DE">
      <w:pPr>
        <w:tabs>
          <w:tab w:val="left" w:pos="851"/>
        </w:tabs>
        <w:ind w:left="851"/>
        <w:rPr>
          <w:sz w:val="24"/>
          <w:szCs w:val="24"/>
        </w:rPr>
      </w:pPr>
    </w:p>
    <w:p w14:paraId="45F16AAE" w14:textId="77777777" w:rsidR="009260DE" w:rsidRPr="000C2646" w:rsidRDefault="009260DE" w:rsidP="009260DE">
      <w:pPr>
        <w:tabs>
          <w:tab w:val="left" w:pos="851"/>
        </w:tabs>
        <w:ind w:left="851" w:hanging="851"/>
        <w:rPr>
          <w:b/>
          <w:sz w:val="24"/>
          <w:szCs w:val="24"/>
        </w:rPr>
      </w:pPr>
      <w:r w:rsidRPr="000C2646">
        <w:rPr>
          <w:b/>
          <w:sz w:val="24"/>
          <w:szCs w:val="24"/>
        </w:rPr>
        <w:t>3.</w:t>
      </w:r>
      <w:r w:rsidRPr="000C2646">
        <w:rPr>
          <w:b/>
          <w:sz w:val="24"/>
          <w:szCs w:val="24"/>
        </w:rPr>
        <w:tab/>
        <w:t>LÆGEMIDDELFORM</w:t>
      </w:r>
    </w:p>
    <w:p w14:paraId="2CFEEC71" w14:textId="4ACC6AA4" w:rsidR="00925ABE" w:rsidRPr="000C2646" w:rsidRDefault="00925ABE" w:rsidP="009534FE">
      <w:pPr>
        <w:tabs>
          <w:tab w:val="left" w:pos="-720"/>
        </w:tabs>
        <w:suppressAutoHyphens/>
        <w:ind w:left="851"/>
        <w:rPr>
          <w:sz w:val="24"/>
          <w:szCs w:val="24"/>
        </w:rPr>
      </w:pPr>
      <w:r w:rsidRPr="000C2646">
        <w:rPr>
          <w:sz w:val="24"/>
          <w:szCs w:val="24"/>
        </w:rPr>
        <w:t>Filmovertrukne tabletter (tabletter)</w:t>
      </w:r>
    </w:p>
    <w:p w14:paraId="4AC17382" w14:textId="77777777" w:rsidR="00925ABE" w:rsidRPr="000C2646" w:rsidRDefault="00925ABE" w:rsidP="009534FE">
      <w:pPr>
        <w:tabs>
          <w:tab w:val="left" w:pos="-720"/>
        </w:tabs>
        <w:suppressAutoHyphens/>
        <w:ind w:left="851"/>
        <w:rPr>
          <w:sz w:val="24"/>
          <w:szCs w:val="24"/>
        </w:rPr>
      </w:pPr>
    </w:p>
    <w:p w14:paraId="7A790E80" w14:textId="01D0E6A1" w:rsidR="00925ABE" w:rsidRPr="000C2646" w:rsidRDefault="00925ABE" w:rsidP="009534FE">
      <w:pPr>
        <w:tabs>
          <w:tab w:val="left" w:pos="-720"/>
        </w:tabs>
        <w:suppressAutoHyphens/>
        <w:ind w:left="851"/>
        <w:rPr>
          <w:sz w:val="24"/>
          <w:szCs w:val="24"/>
        </w:rPr>
      </w:pPr>
      <w:r w:rsidRPr="000C2646">
        <w:rPr>
          <w:sz w:val="24"/>
          <w:szCs w:val="24"/>
        </w:rPr>
        <w:t xml:space="preserve">Ovale, </w:t>
      </w:r>
      <w:proofErr w:type="spellStart"/>
      <w:r w:rsidRPr="000C2646">
        <w:rPr>
          <w:sz w:val="24"/>
          <w:szCs w:val="24"/>
        </w:rPr>
        <w:t>bikonvekse</w:t>
      </w:r>
      <w:proofErr w:type="spellEnd"/>
      <w:r w:rsidRPr="000C2646">
        <w:rPr>
          <w:sz w:val="24"/>
          <w:szCs w:val="24"/>
        </w:rPr>
        <w:t xml:space="preserve">, </w:t>
      </w:r>
      <w:proofErr w:type="spellStart"/>
      <w:r w:rsidRPr="000C2646">
        <w:rPr>
          <w:sz w:val="24"/>
          <w:szCs w:val="24"/>
        </w:rPr>
        <w:t>off-white</w:t>
      </w:r>
      <w:proofErr w:type="spellEnd"/>
      <w:r w:rsidRPr="000C2646">
        <w:rPr>
          <w:sz w:val="24"/>
          <w:szCs w:val="24"/>
        </w:rPr>
        <w:t xml:space="preserve">, filmovertrukne tabletter, præget med </w:t>
      </w:r>
      <w:r w:rsidR="002417A3">
        <w:rPr>
          <w:sz w:val="24"/>
          <w:szCs w:val="24"/>
        </w:rPr>
        <w:t>"</w:t>
      </w:r>
      <w:r w:rsidRPr="000C2646">
        <w:rPr>
          <w:sz w:val="24"/>
          <w:szCs w:val="24"/>
        </w:rPr>
        <w:t>250</w:t>
      </w:r>
      <w:r w:rsidR="002417A3">
        <w:rPr>
          <w:sz w:val="24"/>
          <w:szCs w:val="24"/>
        </w:rPr>
        <w:t>"</w:t>
      </w:r>
      <w:r w:rsidRPr="000C2646">
        <w:rPr>
          <w:sz w:val="24"/>
          <w:szCs w:val="24"/>
        </w:rPr>
        <w:t xml:space="preserve"> på den ene side. Cirka 17 × 8 mm.</w:t>
      </w:r>
    </w:p>
    <w:p w14:paraId="79F2E59E" w14:textId="77777777" w:rsidR="009260DE" w:rsidRPr="000C2646" w:rsidRDefault="009260DE" w:rsidP="009260DE">
      <w:pPr>
        <w:tabs>
          <w:tab w:val="left" w:pos="851"/>
        </w:tabs>
        <w:ind w:left="851"/>
        <w:rPr>
          <w:sz w:val="24"/>
          <w:szCs w:val="24"/>
        </w:rPr>
      </w:pPr>
    </w:p>
    <w:p w14:paraId="765FD71B" w14:textId="77777777" w:rsidR="009260DE" w:rsidRPr="000C2646" w:rsidRDefault="009260DE" w:rsidP="009260DE">
      <w:pPr>
        <w:tabs>
          <w:tab w:val="left" w:pos="851"/>
        </w:tabs>
        <w:ind w:left="851"/>
        <w:rPr>
          <w:sz w:val="24"/>
          <w:szCs w:val="24"/>
        </w:rPr>
      </w:pPr>
    </w:p>
    <w:p w14:paraId="55CC18A0" w14:textId="77777777" w:rsidR="009260DE" w:rsidRPr="000C2646" w:rsidRDefault="009260DE" w:rsidP="009260DE">
      <w:pPr>
        <w:tabs>
          <w:tab w:val="left" w:pos="851"/>
        </w:tabs>
        <w:ind w:left="851" w:hanging="851"/>
        <w:rPr>
          <w:b/>
          <w:sz w:val="24"/>
          <w:szCs w:val="24"/>
        </w:rPr>
      </w:pPr>
      <w:r w:rsidRPr="000C2646">
        <w:rPr>
          <w:b/>
          <w:sz w:val="24"/>
          <w:szCs w:val="24"/>
        </w:rPr>
        <w:t>4.</w:t>
      </w:r>
      <w:r w:rsidRPr="000C2646">
        <w:rPr>
          <w:b/>
          <w:sz w:val="24"/>
          <w:szCs w:val="24"/>
        </w:rPr>
        <w:tab/>
        <w:t>KLINISKE OPLYSNINGER</w:t>
      </w:r>
    </w:p>
    <w:p w14:paraId="11D988AC" w14:textId="77777777" w:rsidR="009260DE" w:rsidRPr="000C2646" w:rsidRDefault="009260DE" w:rsidP="009260DE">
      <w:pPr>
        <w:tabs>
          <w:tab w:val="left" w:pos="851"/>
        </w:tabs>
        <w:ind w:left="851"/>
        <w:rPr>
          <w:b/>
          <w:sz w:val="24"/>
          <w:szCs w:val="24"/>
        </w:rPr>
      </w:pPr>
    </w:p>
    <w:p w14:paraId="615CDA17" w14:textId="77777777" w:rsidR="009260DE" w:rsidRPr="000C2646" w:rsidRDefault="009260DE" w:rsidP="009260DE">
      <w:pPr>
        <w:tabs>
          <w:tab w:val="left" w:pos="851"/>
        </w:tabs>
        <w:ind w:left="851" w:hanging="851"/>
        <w:rPr>
          <w:b/>
          <w:sz w:val="24"/>
          <w:szCs w:val="24"/>
          <w:u w:val="single"/>
        </w:rPr>
      </w:pPr>
      <w:r w:rsidRPr="000C2646">
        <w:rPr>
          <w:b/>
          <w:sz w:val="24"/>
          <w:szCs w:val="24"/>
        </w:rPr>
        <w:t>4.1</w:t>
      </w:r>
      <w:r w:rsidRPr="000C2646">
        <w:rPr>
          <w:b/>
          <w:sz w:val="24"/>
          <w:szCs w:val="24"/>
        </w:rPr>
        <w:tab/>
        <w:t>Terapeutiske indikationer</w:t>
      </w:r>
    </w:p>
    <w:p w14:paraId="438B9292" w14:textId="77777777" w:rsidR="00925ABE" w:rsidRPr="000C2646" w:rsidRDefault="00925ABE" w:rsidP="000C2646">
      <w:pPr>
        <w:ind w:left="851"/>
        <w:rPr>
          <w:sz w:val="24"/>
          <w:szCs w:val="24"/>
        </w:rPr>
      </w:pPr>
      <w:proofErr w:type="spellStart"/>
      <w:r w:rsidRPr="000C2646">
        <w:rPr>
          <w:sz w:val="24"/>
          <w:szCs w:val="24"/>
        </w:rPr>
        <w:t>Lapatinib</w:t>
      </w:r>
      <w:proofErr w:type="spellEnd"/>
      <w:r w:rsidRPr="000C2646">
        <w:rPr>
          <w:sz w:val="24"/>
          <w:szCs w:val="24"/>
        </w:rPr>
        <w:t xml:space="preserve"> er indiceret til behandling af voksne patienter med brystcancer, hvis tumorer har </w:t>
      </w:r>
      <w:proofErr w:type="spellStart"/>
      <w:r w:rsidRPr="000C2646">
        <w:rPr>
          <w:sz w:val="24"/>
          <w:szCs w:val="24"/>
        </w:rPr>
        <w:t>overekspression</w:t>
      </w:r>
      <w:proofErr w:type="spellEnd"/>
      <w:r w:rsidRPr="000C2646">
        <w:rPr>
          <w:sz w:val="24"/>
          <w:szCs w:val="24"/>
        </w:rPr>
        <w:t xml:space="preserve"> af HER2 (ErbB2):</w:t>
      </w:r>
    </w:p>
    <w:p w14:paraId="5C82CD7E" w14:textId="77777777" w:rsidR="00925ABE" w:rsidRPr="000C2646" w:rsidRDefault="00925ABE" w:rsidP="000C2646">
      <w:pPr>
        <w:ind w:left="851"/>
        <w:rPr>
          <w:sz w:val="24"/>
          <w:szCs w:val="24"/>
        </w:rPr>
      </w:pPr>
    </w:p>
    <w:p w14:paraId="21124E8A" w14:textId="77777777" w:rsidR="00925ABE" w:rsidRPr="000C2646" w:rsidRDefault="00925ABE" w:rsidP="009534FE">
      <w:pPr>
        <w:pStyle w:val="Listeafsnit"/>
        <w:numPr>
          <w:ilvl w:val="0"/>
          <w:numId w:val="6"/>
        </w:numPr>
        <w:ind w:left="1276" w:hanging="425"/>
        <w:rPr>
          <w:sz w:val="24"/>
          <w:szCs w:val="24"/>
        </w:rPr>
      </w:pPr>
      <w:r w:rsidRPr="000C2646">
        <w:rPr>
          <w:sz w:val="24"/>
          <w:szCs w:val="24"/>
        </w:rPr>
        <w:t xml:space="preserve">i kombination med </w:t>
      </w:r>
      <w:proofErr w:type="spellStart"/>
      <w:r w:rsidRPr="000C2646">
        <w:rPr>
          <w:sz w:val="24"/>
          <w:szCs w:val="24"/>
        </w:rPr>
        <w:t>capecitabin</w:t>
      </w:r>
      <w:proofErr w:type="spellEnd"/>
      <w:r w:rsidRPr="000C2646">
        <w:rPr>
          <w:sz w:val="24"/>
          <w:szCs w:val="24"/>
        </w:rPr>
        <w:t xml:space="preserve"> til patienter med avanceret eller metastatisk brystcancer. Patienterne skal have progredierende sygdom efter behandling med </w:t>
      </w:r>
      <w:proofErr w:type="spellStart"/>
      <w:r w:rsidRPr="000C2646">
        <w:rPr>
          <w:sz w:val="24"/>
          <w:szCs w:val="24"/>
        </w:rPr>
        <w:t>antracyklin</w:t>
      </w:r>
      <w:proofErr w:type="spellEnd"/>
      <w:r w:rsidRPr="000C2646">
        <w:rPr>
          <w:sz w:val="24"/>
          <w:szCs w:val="24"/>
        </w:rPr>
        <w:t xml:space="preserve">, </w:t>
      </w:r>
      <w:proofErr w:type="spellStart"/>
      <w:r w:rsidRPr="000C2646">
        <w:rPr>
          <w:sz w:val="24"/>
          <w:szCs w:val="24"/>
        </w:rPr>
        <w:t>taxan</w:t>
      </w:r>
      <w:proofErr w:type="spellEnd"/>
      <w:r w:rsidRPr="000C2646">
        <w:rPr>
          <w:sz w:val="24"/>
          <w:szCs w:val="24"/>
        </w:rPr>
        <w:t xml:space="preserve"> og </w:t>
      </w:r>
      <w:proofErr w:type="spellStart"/>
      <w:r w:rsidRPr="000C2646">
        <w:rPr>
          <w:sz w:val="24"/>
          <w:szCs w:val="24"/>
        </w:rPr>
        <w:t>trastuzumab</w:t>
      </w:r>
      <w:proofErr w:type="spellEnd"/>
      <w:r w:rsidRPr="000C2646">
        <w:rPr>
          <w:sz w:val="24"/>
          <w:szCs w:val="24"/>
        </w:rPr>
        <w:t xml:space="preserve">. </w:t>
      </w:r>
      <w:proofErr w:type="spellStart"/>
      <w:r w:rsidRPr="000C2646">
        <w:rPr>
          <w:sz w:val="24"/>
          <w:szCs w:val="24"/>
        </w:rPr>
        <w:t>Trastuzumab</w:t>
      </w:r>
      <w:proofErr w:type="spellEnd"/>
      <w:r w:rsidRPr="000C2646">
        <w:rPr>
          <w:sz w:val="24"/>
          <w:szCs w:val="24"/>
        </w:rPr>
        <w:t xml:space="preserve"> skal være givet for metastatisk sygdom (se pkt. 5.1).</w:t>
      </w:r>
    </w:p>
    <w:p w14:paraId="565BCFF6" w14:textId="77777777" w:rsidR="00925ABE" w:rsidRPr="000C2646" w:rsidRDefault="00925ABE" w:rsidP="009534FE">
      <w:pPr>
        <w:ind w:left="1276" w:hanging="425"/>
        <w:rPr>
          <w:sz w:val="24"/>
          <w:szCs w:val="24"/>
        </w:rPr>
      </w:pPr>
    </w:p>
    <w:p w14:paraId="1B45E351" w14:textId="77777777" w:rsidR="00925ABE" w:rsidRPr="000C2646" w:rsidRDefault="00925ABE" w:rsidP="009534FE">
      <w:pPr>
        <w:pStyle w:val="Listeafsnit"/>
        <w:numPr>
          <w:ilvl w:val="0"/>
          <w:numId w:val="6"/>
        </w:numPr>
        <w:ind w:left="1276" w:hanging="425"/>
        <w:rPr>
          <w:sz w:val="24"/>
          <w:szCs w:val="24"/>
        </w:rPr>
      </w:pPr>
      <w:r w:rsidRPr="000C2646">
        <w:rPr>
          <w:sz w:val="24"/>
          <w:szCs w:val="24"/>
        </w:rPr>
        <w:t xml:space="preserve">i kombination med </w:t>
      </w:r>
      <w:proofErr w:type="spellStart"/>
      <w:r w:rsidRPr="000C2646">
        <w:rPr>
          <w:sz w:val="24"/>
          <w:szCs w:val="24"/>
        </w:rPr>
        <w:t>trastuzumab</w:t>
      </w:r>
      <w:proofErr w:type="spellEnd"/>
      <w:r w:rsidRPr="000C2646">
        <w:rPr>
          <w:sz w:val="24"/>
          <w:szCs w:val="24"/>
        </w:rPr>
        <w:t xml:space="preserve"> til patienter med hormonreceptor-negativ metastatisk sygdom, som er progredieret under tidligere behandling(er) med </w:t>
      </w:r>
      <w:proofErr w:type="spellStart"/>
      <w:r w:rsidRPr="000C2646">
        <w:rPr>
          <w:sz w:val="24"/>
          <w:szCs w:val="24"/>
        </w:rPr>
        <w:t>trastuzumab</w:t>
      </w:r>
      <w:proofErr w:type="spellEnd"/>
      <w:r w:rsidRPr="000C2646">
        <w:rPr>
          <w:sz w:val="24"/>
          <w:szCs w:val="24"/>
        </w:rPr>
        <w:t xml:space="preserve"> i kombination med kemoterapi (se pkt. 5.1).</w:t>
      </w:r>
    </w:p>
    <w:p w14:paraId="632E50D2" w14:textId="77777777" w:rsidR="00925ABE" w:rsidRPr="000C2646" w:rsidRDefault="00925ABE" w:rsidP="009534FE">
      <w:pPr>
        <w:ind w:left="1276" w:hanging="425"/>
        <w:rPr>
          <w:sz w:val="24"/>
          <w:szCs w:val="24"/>
        </w:rPr>
      </w:pPr>
    </w:p>
    <w:p w14:paraId="02DF838D" w14:textId="77777777" w:rsidR="00925ABE" w:rsidRPr="000C2646" w:rsidRDefault="00925ABE" w:rsidP="009534FE">
      <w:pPr>
        <w:pStyle w:val="Listeafsnit"/>
        <w:numPr>
          <w:ilvl w:val="0"/>
          <w:numId w:val="6"/>
        </w:numPr>
        <w:ind w:left="1276" w:hanging="425"/>
        <w:rPr>
          <w:sz w:val="24"/>
          <w:szCs w:val="24"/>
        </w:rPr>
      </w:pPr>
      <w:r w:rsidRPr="000C2646">
        <w:rPr>
          <w:sz w:val="24"/>
          <w:szCs w:val="24"/>
        </w:rPr>
        <w:t xml:space="preserve">i kombination med en </w:t>
      </w:r>
      <w:proofErr w:type="spellStart"/>
      <w:r w:rsidRPr="000C2646">
        <w:rPr>
          <w:sz w:val="24"/>
          <w:szCs w:val="24"/>
        </w:rPr>
        <w:t>aromatasehæmmer</w:t>
      </w:r>
      <w:proofErr w:type="spellEnd"/>
      <w:r w:rsidRPr="000C2646">
        <w:rPr>
          <w:sz w:val="24"/>
          <w:szCs w:val="24"/>
        </w:rPr>
        <w:t xml:space="preserve"> til </w:t>
      </w:r>
      <w:proofErr w:type="spellStart"/>
      <w:r w:rsidRPr="000C2646">
        <w:rPr>
          <w:sz w:val="24"/>
          <w:szCs w:val="24"/>
        </w:rPr>
        <w:t>postmenopausale</w:t>
      </w:r>
      <w:proofErr w:type="spellEnd"/>
      <w:r w:rsidRPr="000C2646">
        <w:rPr>
          <w:sz w:val="24"/>
          <w:szCs w:val="24"/>
        </w:rPr>
        <w:t xml:space="preserve"> kvinder med hormonreceptorpositiv metastatisk sygdom, som det på nuværende tidspunkt ikke er </w:t>
      </w:r>
      <w:r w:rsidRPr="000C2646">
        <w:rPr>
          <w:sz w:val="24"/>
          <w:szCs w:val="24"/>
        </w:rPr>
        <w:lastRenderedPageBreak/>
        <w:t xml:space="preserve">hensigtsmæssigt at behandle med kemoterapi. Patienterne i registreringsstudiet var ikke tidligere blevet behandlet med </w:t>
      </w:r>
      <w:proofErr w:type="spellStart"/>
      <w:r w:rsidRPr="000C2646">
        <w:rPr>
          <w:sz w:val="24"/>
          <w:szCs w:val="24"/>
        </w:rPr>
        <w:t>trastuzumab</w:t>
      </w:r>
      <w:proofErr w:type="spellEnd"/>
      <w:r w:rsidRPr="000C2646">
        <w:rPr>
          <w:sz w:val="24"/>
          <w:szCs w:val="24"/>
        </w:rPr>
        <w:t xml:space="preserve"> eller en </w:t>
      </w:r>
      <w:proofErr w:type="spellStart"/>
      <w:r w:rsidRPr="000C2646">
        <w:rPr>
          <w:sz w:val="24"/>
          <w:szCs w:val="24"/>
        </w:rPr>
        <w:t>aromatasehæmmer</w:t>
      </w:r>
      <w:proofErr w:type="spellEnd"/>
      <w:r w:rsidRPr="000C2646">
        <w:rPr>
          <w:sz w:val="24"/>
          <w:szCs w:val="24"/>
        </w:rPr>
        <w:t xml:space="preserve"> (se pkt. 4.4 og 5.1). Der er ingen data for virkningen af denne kombination i forhold til </w:t>
      </w:r>
      <w:proofErr w:type="spellStart"/>
      <w:r w:rsidRPr="000C2646">
        <w:rPr>
          <w:sz w:val="24"/>
          <w:szCs w:val="24"/>
        </w:rPr>
        <w:t>trastuzumab</w:t>
      </w:r>
      <w:proofErr w:type="spellEnd"/>
      <w:r w:rsidRPr="000C2646">
        <w:rPr>
          <w:sz w:val="24"/>
          <w:szCs w:val="24"/>
        </w:rPr>
        <w:t xml:space="preserve"> i kombination med en </w:t>
      </w:r>
      <w:proofErr w:type="spellStart"/>
      <w:r w:rsidRPr="000C2646">
        <w:rPr>
          <w:sz w:val="24"/>
          <w:szCs w:val="24"/>
        </w:rPr>
        <w:t>aromatasehæmmer</w:t>
      </w:r>
      <w:proofErr w:type="spellEnd"/>
      <w:r w:rsidRPr="000C2646">
        <w:rPr>
          <w:sz w:val="24"/>
          <w:szCs w:val="24"/>
        </w:rPr>
        <w:t xml:space="preserve"> hos denne patientpopulation.</w:t>
      </w:r>
    </w:p>
    <w:p w14:paraId="043D2682" w14:textId="77777777" w:rsidR="009260DE" w:rsidRPr="000C2646" w:rsidRDefault="009260DE" w:rsidP="009260DE">
      <w:pPr>
        <w:tabs>
          <w:tab w:val="left" w:pos="851"/>
        </w:tabs>
        <w:ind w:left="851"/>
        <w:rPr>
          <w:sz w:val="24"/>
          <w:szCs w:val="24"/>
        </w:rPr>
      </w:pPr>
    </w:p>
    <w:p w14:paraId="38FAF01D" w14:textId="77777777" w:rsidR="009260DE" w:rsidRPr="000C2646" w:rsidRDefault="009260DE" w:rsidP="009260DE">
      <w:pPr>
        <w:tabs>
          <w:tab w:val="left" w:pos="851"/>
        </w:tabs>
        <w:ind w:left="851" w:hanging="851"/>
        <w:rPr>
          <w:b/>
          <w:sz w:val="24"/>
          <w:szCs w:val="24"/>
        </w:rPr>
      </w:pPr>
      <w:r w:rsidRPr="000C2646">
        <w:rPr>
          <w:b/>
          <w:sz w:val="24"/>
          <w:szCs w:val="24"/>
        </w:rPr>
        <w:t>4.2</w:t>
      </w:r>
      <w:r w:rsidRPr="000C2646">
        <w:rPr>
          <w:b/>
          <w:sz w:val="24"/>
          <w:szCs w:val="24"/>
        </w:rPr>
        <w:tab/>
        <w:t xml:space="preserve">Dosering og </w:t>
      </w:r>
      <w:r w:rsidR="002C1EC0" w:rsidRPr="000C2646">
        <w:rPr>
          <w:b/>
          <w:sz w:val="24"/>
          <w:szCs w:val="24"/>
        </w:rPr>
        <w:t>administration</w:t>
      </w:r>
    </w:p>
    <w:p w14:paraId="410BE74D" w14:textId="77777777" w:rsidR="00925ABE" w:rsidRPr="000C2646" w:rsidRDefault="00925ABE" w:rsidP="009534FE">
      <w:pPr>
        <w:ind w:left="851"/>
        <w:rPr>
          <w:sz w:val="24"/>
          <w:szCs w:val="24"/>
        </w:rPr>
      </w:pPr>
      <w:r w:rsidRPr="000C2646">
        <w:rPr>
          <w:sz w:val="24"/>
          <w:szCs w:val="24"/>
        </w:rPr>
        <w:t xml:space="preserve">Behandling med </w:t>
      </w:r>
      <w:proofErr w:type="spellStart"/>
      <w:r w:rsidRPr="000C2646">
        <w:rPr>
          <w:sz w:val="24"/>
          <w:szCs w:val="24"/>
        </w:rPr>
        <w:t>lapatinib</w:t>
      </w:r>
      <w:proofErr w:type="spellEnd"/>
      <w:r w:rsidRPr="000C2646">
        <w:rPr>
          <w:sz w:val="24"/>
          <w:szCs w:val="24"/>
        </w:rPr>
        <w:t xml:space="preserve"> bør kun igangsættes af en læge, der har erfaring i brugen af lægemidler mod cancer.</w:t>
      </w:r>
    </w:p>
    <w:p w14:paraId="00B5496C" w14:textId="77777777" w:rsidR="00925ABE" w:rsidRPr="000C2646" w:rsidRDefault="00925ABE" w:rsidP="009534FE">
      <w:pPr>
        <w:ind w:left="851"/>
        <w:rPr>
          <w:sz w:val="24"/>
          <w:szCs w:val="24"/>
        </w:rPr>
      </w:pPr>
    </w:p>
    <w:p w14:paraId="45CE5C8C" w14:textId="77777777" w:rsidR="00925ABE" w:rsidRPr="000C2646" w:rsidRDefault="00925ABE" w:rsidP="009534FE">
      <w:pPr>
        <w:ind w:left="851"/>
        <w:rPr>
          <w:sz w:val="24"/>
          <w:szCs w:val="24"/>
        </w:rPr>
      </w:pPr>
      <w:r w:rsidRPr="000C2646">
        <w:rPr>
          <w:sz w:val="24"/>
          <w:szCs w:val="24"/>
        </w:rPr>
        <w:t xml:space="preserve">Tumorer med </w:t>
      </w:r>
      <w:proofErr w:type="spellStart"/>
      <w:r w:rsidRPr="000C2646">
        <w:rPr>
          <w:sz w:val="24"/>
          <w:szCs w:val="24"/>
        </w:rPr>
        <w:t>overekspression</w:t>
      </w:r>
      <w:proofErr w:type="spellEnd"/>
      <w:r w:rsidRPr="000C2646">
        <w:rPr>
          <w:sz w:val="24"/>
          <w:szCs w:val="24"/>
        </w:rPr>
        <w:t xml:space="preserve"> af HER2 (ErbB2) er karakteriseret ved IHC3+ eller IHC2+ med </w:t>
      </w:r>
      <w:proofErr w:type="spellStart"/>
      <w:r w:rsidRPr="000C2646">
        <w:rPr>
          <w:sz w:val="24"/>
          <w:szCs w:val="24"/>
        </w:rPr>
        <w:t>genamplifikation</w:t>
      </w:r>
      <w:proofErr w:type="spellEnd"/>
      <w:r w:rsidRPr="000C2646">
        <w:rPr>
          <w:sz w:val="24"/>
          <w:szCs w:val="24"/>
        </w:rPr>
        <w:t xml:space="preserve"> eller </w:t>
      </w:r>
      <w:proofErr w:type="spellStart"/>
      <w:r w:rsidRPr="000C2646">
        <w:rPr>
          <w:sz w:val="24"/>
          <w:szCs w:val="24"/>
        </w:rPr>
        <w:t>genamplifikation</w:t>
      </w:r>
      <w:proofErr w:type="spellEnd"/>
      <w:r w:rsidRPr="000C2646">
        <w:rPr>
          <w:sz w:val="24"/>
          <w:szCs w:val="24"/>
        </w:rPr>
        <w:t xml:space="preserve"> alene. Patientens HER2-status skal bestemmes ved brug af nøjagtige og validerede metoder.</w:t>
      </w:r>
    </w:p>
    <w:p w14:paraId="18C13610" w14:textId="77777777" w:rsidR="00925ABE" w:rsidRPr="000C2646" w:rsidRDefault="00925ABE" w:rsidP="009534FE">
      <w:pPr>
        <w:ind w:left="851"/>
        <w:rPr>
          <w:sz w:val="24"/>
          <w:szCs w:val="24"/>
        </w:rPr>
      </w:pPr>
    </w:p>
    <w:p w14:paraId="4743C287" w14:textId="77777777" w:rsidR="00925ABE" w:rsidRPr="000C2646" w:rsidRDefault="00925ABE" w:rsidP="009534FE">
      <w:pPr>
        <w:ind w:left="851"/>
        <w:rPr>
          <w:sz w:val="24"/>
          <w:szCs w:val="24"/>
          <w:u w:val="single"/>
        </w:rPr>
      </w:pPr>
      <w:r w:rsidRPr="000C2646">
        <w:rPr>
          <w:sz w:val="24"/>
          <w:szCs w:val="24"/>
          <w:u w:val="single"/>
        </w:rPr>
        <w:t>Dosering</w:t>
      </w:r>
    </w:p>
    <w:p w14:paraId="0D8A9029" w14:textId="77777777" w:rsidR="00925ABE" w:rsidRPr="000C2646" w:rsidRDefault="00925ABE" w:rsidP="009534FE">
      <w:pPr>
        <w:ind w:left="851"/>
        <w:rPr>
          <w:sz w:val="24"/>
          <w:szCs w:val="24"/>
        </w:rPr>
      </w:pPr>
    </w:p>
    <w:p w14:paraId="17C92394" w14:textId="77777777" w:rsidR="00925ABE" w:rsidRPr="000C2646" w:rsidRDefault="00925ABE" w:rsidP="009534FE">
      <w:pPr>
        <w:ind w:left="851"/>
        <w:rPr>
          <w:i/>
          <w:iCs/>
          <w:sz w:val="24"/>
          <w:szCs w:val="24"/>
        </w:rPr>
      </w:pPr>
      <w:r w:rsidRPr="000C2646">
        <w:rPr>
          <w:i/>
          <w:iCs/>
          <w:sz w:val="24"/>
          <w:szCs w:val="24"/>
        </w:rPr>
        <w:t xml:space="preserve">Dosering ved kombination af </w:t>
      </w:r>
      <w:proofErr w:type="spellStart"/>
      <w:r w:rsidRPr="000C2646">
        <w:rPr>
          <w:i/>
          <w:iCs/>
          <w:sz w:val="24"/>
          <w:szCs w:val="24"/>
        </w:rPr>
        <w:t>lapatinib</w:t>
      </w:r>
      <w:proofErr w:type="spellEnd"/>
      <w:r w:rsidRPr="000C2646">
        <w:rPr>
          <w:i/>
          <w:iCs/>
          <w:sz w:val="24"/>
          <w:szCs w:val="24"/>
        </w:rPr>
        <w:t xml:space="preserve"> og </w:t>
      </w:r>
      <w:proofErr w:type="spellStart"/>
      <w:r w:rsidRPr="000C2646">
        <w:rPr>
          <w:i/>
          <w:iCs/>
          <w:sz w:val="24"/>
          <w:szCs w:val="24"/>
        </w:rPr>
        <w:t>capecitabin</w:t>
      </w:r>
      <w:proofErr w:type="spellEnd"/>
    </w:p>
    <w:p w14:paraId="1A669E77" w14:textId="6DA108C7" w:rsidR="00925ABE" w:rsidRPr="000C2646" w:rsidRDefault="00925ABE" w:rsidP="009534FE">
      <w:pPr>
        <w:ind w:left="851"/>
        <w:rPr>
          <w:sz w:val="24"/>
          <w:szCs w:val="24"/>
        </w:rPr>
      </w:pPr>
      <w:r w:rsidRPr="000C2646">
        <w:rPr>
          <w:sz w:val="24"/>
          <w:szCs w:val="24"/>
        </w:rPr>
        <w:t xml:space="preserve">Den anbefalede dosis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er 1250 mg (dvs. fem tabletter) én gang dagligt kontinuerligt.</w:t>
      </w:r>
    </w:p>
    <w:p w14:paraId="6DD9E975" w14:textId="77777777" w:rsidR="00925ABE" w:rsidRPr="000C2646" w:rsidRDefault="00925ABE" w:rsidP="009534FE">
      <w:pPr>
        <w:ind w:left="851"/>
        <w:rPr>
          <w:sz w:val="24"/>
          <w:szCs w:val="24"/>
        </w:rPr>
      </w:pPr>
    </w:p>
    <w:p w14:paraId="5BDE307A" w14:textId="77777777" w:rsidR="00925ABE" w:rsidRPr="000C2646" w:rsidRDefault="00925ABE" w:rsidP="009534FE">
      <w:pPr>
        <w:ind w:left="851"/>
        <w:rPr>
          <w:sz w:val="24"/>
          <w:szCs w:val="24"/>
        </w:rPr>
      </w:pPr>
      <w:r w:rsidRPr="000C2646">
        <w:rPr>
          <w:sz w:val="24"/>
          <w:szCs w:val="24"/>
        </w:rPr>
        <w:t xml:space="preserve">Den anbefalede dosis af </w:t>
      </w:r>
      <w:proofErr w:type="spellStart"/>
      <w:r w:rsidRPr="000C2646">
        <w:rPr>
          <w:sz w:val="24"/>
          <w:szCs w:val="24"/>
        </w:rPr>
        <w:t>capecitabin</w:t>
      </w:r>
      <w:proofErr w:type="spellEnd"/>
      <w:r w:rsidRPr="000C2646">
        <w:rPr>
          <w:sz w:val="24"/>
          <w:szCs w:val="24"/>
        </w:rPr>
        <w:t xml:space="preserve"> er 2000 mg/m</w:t>
      </w:r>
      <w:r w:rsidRPr="000C2646">
        <w:rPr>
          <w:sz w:val="24"/>
          <w:szCs w:val="24"/>
          <w:vertAlign w:val="superscript"/>
        </w:rPr>
        <w:t>2</w:t>
      </w:r>
      <w:r w:rsidRPr="000C2646">
        <w:rPr>
          <w:sz w:val="24"/>
          <w:szCs w:val="24"/>
        </w:rPr>
        <w:t xml:space="preserve">/dag fordelt på to doser med 12 timers mellemrum. Behandlingen gives dag 1 til 14 i serier på 21 dage (se pkt. 5.1). </w:t>
      </w:r>
      <w:proofErr w:type="spellStart"/>
      <w:r w:rsidRPr="000C2646">
        <w:rPr>
          <w:sz w:val="24"/>
          <w:szCs w:val="24"/>
        </w:rPr>
        <w:t>Capecitabin</w:t>
      </w:r>
      <w:proofErr w:type="spellEnd"/>
      <w:r w:rsidRPr="000C2646">
        <w:rPr>
          <w:sz w:val="24"/>
          <w:szCs w:val="24"/>
        </w:rPr>
        <w:t xml:space="preserve"> bør tages sammen med mad eller inden for 30 minutter efter et måltid. Se endvidere produktinformationen for </w:t>
      </w:r>
      <w:proofErr w:type="spellStart"/>
      <w:r w:rsidRPr="000C2646">
        <w:rPr>
          <w:sz w:val="24"/>
          <w:szCs w:val="24"/>
        </w:rPr>
        <w:t>capecitabin</w:t>
      </w:r>
      <w:proofErr w:type="spellEnd"/>
      <w:r w:rsidRPr="000C2646">
        <w:rPr>
          <w:sz w:val="24"/>
          <w:szCs w:val="24"/>
        </w:rPr>
        <w:t>.</w:t>
      </w:r>
    </w:p>
    <w:p w14:paraId="75F6A5A3" w14:textId="77777777" w:rsidR="00925ABE" w:rsidRPr="000C2646" w:rsidRDefault="00925ABE" w:rsidP="009534FE">
      <w:pPr>
        <w:ind w:left="851"/>
        <w:rPr>
          <w:sz w:val="24"/>
          <w:szCs w:val="24"/>
        </w:rPr>
      </w:pPr>
    </w:p>
    <w:p w14:paraId="123D5EF2" w14:textId="77777777" w:rsidR="00925ABE" w:rsidRPr="000C2646" w:rsidRDefault="00925ABE" w:rsidP="009534FE">
      <w:pPr>
        <w:ind w:left="851"/>
        <w:rPr>
          <w:i/>
          <w:iCs/>
          <w:sz w:val="24"/>
          <w:szCs w:val="24"/>
        </w:rPr>
      </w:pPr>
      <w:r w:rsidRPr="000C2646">
        <w:rPr>
          <w:i/>
          <w:iCs/>
          <w:sz w:val="24"/>
          <w:szCs w:val="24"/>
        </w:rPr>
        <w:t xml:space="preserve">Dosering ved kombinationen </w:t>
      </w:r>
      <w:proofErr w:type="spellStart"/>
      <w:r w:rsidRPr="000C2646">
        <w:rPr>
          <w:i/>
          <w:iCs/>
          <w:sz w:val="24"/>
          <w:szCs w:val="24"/>
        </w:rPr>
        <w:t>lapatinib</w:t>
      </w:r>
      <w:proofErr w:type="spellEnd"/>
      <w:r w:rsidRPr="000C2646">
        <w:rPr>
          <w:i/>
          <w:iCs/>
          <w:sz w:val="24"/>
          <w:szCs w:val="24"/>
        </w:rPr>
        <w:t xml:space="preserve"> og </w:t>
      </w:r>
      <w:proofErr w:type="spellStart"/>
      <w:r w:rsidRPr="000C2646">
        <w:rPr>
          <w:i/>
          <w:iCs/>
          <w:sz w:val="24"/>
          <w:szCs w:val="24"/>
        </w:rPr>
        <w:t>trastuzumab</w:t>
      </w:r>
      <w:proofErr w:type="spellEnd"/>
    </w:p>
    <w:p w14:paraId="57701FC9" w14:textId="3AB32AB8" w:rsidR="00925ABE" w:rsidRPr="000C2646" w:rsidRDefault="00925ABE" w:rsidP="009534FE">
      <w:pPr>
        <w:ind w:left="851"/>
        <w:rPr>
          <w:sz w:val="24"/>
          <w:szCs w:val="24"/>
        </w:rPr>
      </w:pPr>
      <w:r w:rsidRPr="000C2646">
        <w:rPr>
          <w:sz w:val="24"/>
          <w:szCs w:val="24"/>
        </w:rPr>
        <w:t xml:space="preserve">Den anbefalede dosis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er 1000 mg (dvs. fire tabletter) én gang dagligt kontinuerligt.</w:t>
      </w:r>
    </w:p>
    <w:p w14:paraId="038052DE" w14:textId="77777777" w:rsidR="00925ABE" w:rsidRPr="000C2646" w:rsidRDefault="00925ABE" w:rsidP="009534FE">
      <w:pPr>
        <w:ind w:left="851"/>
        <w:rPr>
          <w:sz w:val="24"/>
          <w:szCs w:val="24"/>
        </w:rPr>
      </w:pPr>
    </w:p>
    <w:p w14:paraId="6CF7B0E3" w14:textId="77777777" w:rsidR="00925ABE" w:rsidRPr="000C2646" w:rsidRDefault="00925ABE" w:rsidP="009534FE">
      <w:pPr>
        <w:ind w:left="851"/>
        <w:rPr>
          <w:sz w:val="24"/>
          <w:szCs w:val="24"/>
        </w:rPr>
      </w:pPr>
      <w:r w:rsidRPr="000C2646">
        <w:rPr>
          <w:sz w:val="24"/>
          <w:szCs w:val="24"/>
        </w:rPr>
        <w:t xml:space="preserve">Den anbefalede dosis af </w:t>
      </w:r>
      <w:proofErr w:type="spellStart"/>
      <w:r w:rsidRPr="000C2646">
        <w:rPr>
          <w:sz w:val="24"/>
          <w:szCs w:val="24"/>
        </w:rPr>
        <w:t>trastuzumab</w:t>
      </w:r>
      <w:proofErr w:type="spellEnd"/>
      <w:r w:rsidRPr="000C2646">
        <w:rPr>
          <w:sz w:val="24"/>
          <w:szCs w:val="24"/>
        </w:rPr>
        <w:t xml:space="preserve"> er 4 mg/kg administreret som en intravenøs støddosis efterfulgt af 2 mg/kg intravenøs ugentligt (se pkt. 5.1). Se endvidere produktinformationen for </w:t>
      </w:r>
      <w:proofErr w:type="spellStart"/>
      <w:r w:rsidRPr="000C2646">
        <w:rPr>
          <w:sz w:val="24"/>
          <w:szCs w:val="24"/>
        </w:rPr>
        <w:t>trastuzumab</w:t>
      </w:r>
      <w:proofErr w:type="spellEnd"/>
      <w:r w:rsidRPr="000C2646">
        <w:rPr>
          <w:sz w:val="24"/>
          <w:szCs w:val="24"/>
        </w:rPr>
        <w:t>.</w:t>
      </w:r>
    </w:p>
    <w:p w14:paraId="7549F50A" w14:textId="77777777" w:rsidR="00925ABE" w:rsidRPr="000C2646" w:rsidRDefault="00925ABE" w:rsidP="009534FE">
      <w:pPr>
        <w:ind w:left="851"/>
        <w:rPr>
          <w:sz w:val="24"/>
          <w:szCs w:val="24"/>
        </w:rPr>
      </w:pPr>
    </w:p>
    <w:p w14:paraId="314A7526" w14:textId="77777777" w:rsidR="00925ABE" w:rsidRPr="000C2646" w:rsidRDefault="00925ABE" w:rsidP="009534FE">
      <w:pPr>
        <w:ind w:left="851"/>
        <w:rPr>
          <w:i/>
          <w:iCs/>
          <w:sz w:val="24"/>
          <w:szCs w:val="24"/>
        </w:rPr>
      </w:pPr>
      <w:r w:rsidRPr="000C2646">
        <w:rPr>
          <w:i/>
          <w:iCs/>
          <w:sz w:val="24"/>
          <w:szCs w:val="24"/>
        </w:rPr>
        <w:t xml:space="preserve">Dosering ved kombination af </w:t>
      </w:r>
      <w:proofErr w:type="spellStart"/>
      <w:r w:rsidRPr="000C2646">
        <w:rPr>
          <w:i/>
          <w:iCs/>
          <w:sz w:val="24"/>
          <w:szCs w:val="24"/>
        </w:rPr>
        <w:t>lapatinib</w:t>
      </w:r>
      <w:proofErr w:type="spellEnd"/>
      <w:r w:rsidRPr="000C2646">
        <w:rPr>
          <w:i/>
          <w:iCs/>
          <w:sz w:val="24"/>
          <w:szCs w:val="24"/>
        </w:rPr>
        <w:t xml:space="preserve"> og en </w:t>
      </w:r>
      <w:proofErr w:type="spellStart"/>
      <w:r w:rsidRPr="000C2646">
        <w:rPr>
          <w:i/>
          <w:iCs/>
          <w:sz w:val="24"/>
          <w:szCs w:val="24"/>
        </w:rPr>
        <w:t>aromatasehæmmer</w:t>
      </w:r>
      <w:proofErr w:type="spellEnd"/>
    </w:p>
    <w:p w14:paraId="107CF7AB" w14:textId="77777777" w:rsidR="00925ABE" w:rsidRPr="000C2646" w:rsidRDefault="00925ABE" w:rsidP="009534FE">
      <w:pPr>
        <w:ind w:left="851"/>
        <w:rPr>
          <w:sz w:val="24"/>
          <w:szCs w:val="24"/>
        </w:rPr>
      </w:pPr>
      <w:r w:rsidRPr="000C2646">
        <w:rPr>
          <w:sz w:val="24"/>
          <w:szCs w:val="24"/>
        </w:rPr>
        <w:t xml:space="preserve">Den anbefalede dosis af </w:t>
      </w:r>
      <w:proofErr w:type="spellStart"/>
      <w:r w:rsidRPr="000C2646">
        <w:rPr>
          <w:sz w:val="24"/>
          <w:szCs w:val="24"/>
        </w:rPr>
        <w:t>lapatinib</w:t>
      </w:r>
      <w:proofErr w:type="spellEnd"/>
      <w:r w:rsidRPr="000C2646">
        <w:rPr>
          <w:sz w:val="24"/>
          <w:szCs w:val="24"/>
        </w:rPr>
        <w:t xml:space="preserve"> er 1500 mg (dvs. seks tabletter) én gang dagligt kontinuerligt. Se produktinformationen for den samtidigt administrerede </w:t>
      </w:r>
      <w:proofErr w:type="spellStart"/>
      <w:r w:rsidRPr="000C2646">
        <w:rPr>
          <w:sz w:val="24"/>
          <w:szCs w:val="24"/>
        </w:rPr>
        <w:t>aromatasehæmmer</w:t>
      </w:r>
      <w:proofErr w:type="spellEnd"/>
      <w:r w:rsidRPr="000C2646">
        <w:rPr>
          <w:sz w:val="24"/>
          <w:szCs w:val="24"/>
        </w:rPr>
        <w:t xml:space="preserve"> for nærmere oplysninger om dosering.</w:t>
      </w:r>
    </w:p>
    <w:p w14:paraId="25360BD4" w14:textId="77777777" w:rsidR="00925ABE" w:rsidRPr="000C2646" w:rsidRDefault="00925ABE" w:rsidP="009534FE">
      <w:pPr>
        <w:ind w:left="851"/>
        <w:rPr>
          <w:sz w:val="24"/>
          <w:szCs w:val="24"/>
        </w:rPr>
      </w:pPr>
    </w:p>
    <w:p w14:paraId="25707A0A" w14:textId="77777777" w:rsidR="00925ABE" w:rsidRPr="000C2646" w:rsidRDefault="00925ABE" w:rsidP="009534FE">
      <w:pPr>
        <w:ind w:left="851"/>
        <w:rPr>
          <w:i/>
          <w:iCs/>
          <w:sz w:val="24"/>
          <w:szCs w:val="24"/>
          <w:u w:val="single"/>
        </w:rPr>
      </w:pPr>
      <w:r w:rsidRPr="000C2646">
        <w:rPr>
          <w:i/>
          <w:iCs/>
          <w:sz w:val="24"/>
          <w:szCs w:val="24"/>
          <w:u w:val="single"/>
        </w:rPr>
        <w:t>Midlertidig afbrydelse af behandling og nedsættelse af dosis</w:t>
      </w:r>
    </w:p>
    <w:p w14:paraId="6706AA0C" w14:textId="77777777" w:rsidR="00925ABE" w:rsidRPr="000C2646" w:rsidRDefault="00925ABE" w:rsidP="009534FE">
      <w:pPr>
        <w:ind w:left="851"/>
        <w:rPr>
          <w:sz w:val="24"/>
          <w:szCs w:val="24"/>
        </w:rPr>
      </w:pPr>
    </w:p>
    <w:p w14:paraId="05B67517" w14:textId="77777777" w:rsidR="00925ABE" w:rsidRPr="000C2646" w:rsidRDefault="00925ABE" w:rsidP="009534FE">
      <w:pPr>
        <w:ind w:left="851"/>
        <w:rPr>
          <w:i/>
          <w:iCs/>
          <w:sz w:val="24"/>
          <w:szCs w:val="24"/>
        </w:rPr>
      </w:pPr>
      <w:proofErr w:type="spellStart"/>
      <w:r w:rsidRPr="000C2646">
        <w:rPr>
          <w:i/>
          <w:iCs/>
          <w:sz w:val="24"/>
          <w:szCs w:val="24"/>
        </w:rPr>
        <w:t>Kardielle</w:t>
      </w:r>
      <w:proofErr w:type="spellEnd"/>
      <w:r w:rsidRPr="000C2646">
        <w:rPr>
          <w:i/>
          <w:iCs/>
          <w:sz w:val="24"/>
          <w:szCs w:val="24"/>
        </w:rPr>
        <w:t xml:space="preserve"> hændelser</w:t>
      </w:r>
    </w:p>
    <w:p w14:paraId="43B6A7F5" w14:textId="4E06C307" w:rsidR="00925ABE" w:rsidRPr="000C2646" w:rsidRDefault="00925ABE" w:rsidP="009534FE">
      <w:pPr>
        <w:ind w:left="851"/>
        <w:rPr>
          <w:sz w:val="24"/>
          <w:szCs w:val="24"/>
        </w:rPr>
      </w:pPr>
      <w:r w:rsidRPr="000C2646">
        <w:rPr>
          <w:sz w:val="24"/>
          <w:szCs w:val="24"/>
        </w:rPr>
        <w:t xml:space="preserve">Behandlingen med </w:t>
      </w:r>
      <w:proofErr w:type="spellStart"/>
      <w:r w:rsidRPr="000C2646">
        <w:rPr>
          <w:sz w:val="24"/>
          <w:szCs w:val="24"/>
        </w:rPr>
        <w:t>lapatinib</w:t>
      </w:r>
      <w:proofErr w:type="spellEnd"/>
      <w:r w:rsidRPr="000C2646">
        <w:rPr>
          <w:sz w:val="24"/>
          <w:szCs w:val="24"/>
        </w:rPr>
        <w:t xml:space="preserve"> skal afbrydes hos patienter, der får symptomer associeret med nedsat uddrivningsfraktion fra venstre ventrikel (</w:t>
      </w:r>
      <w:proofErr w:type="spellStart"/>
      <w:r w:rsidRPr="000C2646">
        <w:rPr>
          <w:i/>
          <w:iCs/>
          <w:sz w:val="24"/>
          <w:szCs w:val="24"/>
        </w:rPr>
        <w:t>Left</w:t>
      </w:r>
      <w:proofErr w:type="spellEnd"/>
      <w:r w:rsidRPr="000C2646">
        <w:rPr>
          <w:i/>
          <w:iCs/>
          <w:sz w:val="24"/>
          <w:szCs w:val="24"/>
        </w:rPr>
        <w:t xml:space="preserve"> </w:t>
      </w:r>
      <w:proofErr w:type="spellStart"/>
      <w:r w:rsidRPr="000C2646">
        <w:rPr>
          <w:i/>
          <w:iCs/>
          <w:sz w:val="24"/>
          <w:szCs w:val="24"/>
        </w:rPr>
        <w:t>ventricular</w:t>
      </w:r>
      <w:proofErr w:type="spellEnd"/>
      <w:r w:rsidRPr="000C2646">
        <w:rPr>
          <w:i/>
          <w:iCs/>
          <w:sz w:val="24"/>
          <w:szCs w:val="24"/>
        </w:rPr>
        <w:t xml:space="preserve"> </w:t>
      </w:r>
      <w:proofErr w:type="spellStart"/>
      <w:r w:rsidRPr="000C2646">
        <w:rPr>
          <w:i/>
          <w:iCs/>
          <w:sz w:val="24"/>
          <w:szCs w:val="24"/>
        </w:rPr>
        <w:t>ejection</w:t>
      </w:r>
      <w:proofErr w:type="spellEnd"/>
      <w:r w:rsidRPr="000C2646">
        <w:rPr>
          <w:i/>
          <w:iCs/>
          <w:sz w:val="24"/>
          <w:szCs w:val="24"/>
        </w:rPr>
        <w:t xml:space="preserve"> </w:t>
      </w:r>
      <w:proofErr w:type="spellStart"/>
      <w:r w:rsidRPr="000C2646">
        <w:rPr>
          <w:i/>
          <w:iCs/>
          <w:sz w:val="24"/>
          <w:szCs w:val="24"/>
        </w:rPr>
        <w:t>fraction</w:t>
      </w:r>
      <w:proofErr w:type="spellEnd"/>
      <w:r w:rsidRPr="000C2646">
        <w:rPr>
          <w:sz w:val="24"/>
          <w:szCs w:val="24"/>
        </w:rPr>
        <w:t xml:space="preserve"> (LVEF)), der ifølge </w:t>
      </w:r>
      <w:r w:rsidR="002417A3">
        <w:rPr>
          <w:sz w:val="24"/>
          <w:szCs w:val="24"/>
        </w:rPr>
        <w:t>"</w:t>
      </w:r>
      <w:r w:rsidRPr="000C2646">
        <w:rPr>
          <w:sz w:val="24"/>
          <w:szCs w:val="24"/>
        </w:rPr>
        <w:t xml:space="preserve">National Cancer Institute Common </w:t>
      </w:r>
      <w:proofErr w:type="spellStart"/>
      <w:r w:rsidRPr="000C2646">
        <w:rPr>
          <w:sz w:val="24"/>
          <w:szCs w:val="24"/>
        </w:rPr>
        <w:t>Terminology</w:t>
      </w:r>
      <w:proofErr w:type="spellEnd"/>
      <w:r w:rsidRPr="000C2646">
        <w:rPr>
          <w:sz w:val="24"/>
          <w:szCs w:val="24"/>
        </w:rPr>
        <w:t xml:space="preserve"> </w:t>
      </w:r>
      <w:proofErr w:type="spellStart"/>
      <w:r w:rsidRPr="000C2646">
        <w:rPr>
          <w:sz w:val="24"/>
          <w:szCs w:val="24"/>
        </w:rPr>
        <w:t>Criteria</w:t>
      </w:r>
      <w:proofErr w:type="spellEnd"/>
      <w:r w:rsidRPr="000C2646">
        <w:rPr>
          <w:sz w:val="24"/>
          <w:szCs w:val="24"/>
        </w:rPr>
        <w:t xml:space="preserve"> for </w:t>
      </w:r>
      <w:proofErr w:type="spellStart"/>
      <w:r w:rsidRPr="000C2646">
        <w:rPr>
          <w:sz w:val="24"/>
          <w:szCs w:val="24"/>
        </w:rPr>
        <w:t>Adverse</w:t>
      </w:r>
      <w:proofErr w:type="spellEnd"/>
      <w:r w:rsidRPr="000C2646">
        <w:rPr>
          <w:sz w:val="24"/>
          <w:szCs w:val="24"/>
        </w:rPr>
        <w:t xml:space="preserve"> Events (NCI CTCAE)</w:t>
      </w:r>
      <w:r w:rsidR="002417A3">
        <w:rPr>
          <w:sz w:val="24"/>
          <w:szCs w:val="24"/>
        </w:rPr>
        <w:t>"</w:t>
      </w:r>
      <w:r w:rsidRPr="000C2646">
        <w:rPr>
          <w:sz w:val="24"/>
          <w:szCs w:val="24"/>
        </w:rPr>
        <w:t xml:space="preserve"> svarer til eller er større end grad 3, eller hvis patienternes LVEF falder til under normalområdets nedre grænse (se pkt. 4.4). Behandlingen med </w:t>
      </w:r>
      <w:proofErr w:type="spellStart"/>
      <w:r w:rsidRPr="000C2646">
        <w:rPr>
          <w:sz w:val="24"/>
          <w:szCs w:val="24"/>
        </w:rPr>
        <w:t>lapatinib</w:t>
      </w:r>
      <w:proofErr w:type="spellEnd"/>
      <w:r w:rsidRPr="000C2646">
        <w:rPr>
          <w:sz w:val="24"/>
          <w:szCs w:val="24"/>
        </w:rPr>
        <w:t xml:space="preserve"> kan genoptages med reduceret dosis (750 mg dagligt ved kombination med </w:t>
      </w:r>
      <w:proofErr w:type="spellStart"/>
      <w:r w:rsidRPr="000C2646">
        <w:rPr>
          <w:sz w:val="24"/>
          <w:szCs w:val="24"/>
        </w:rPr>
        <w:t>trastuzumab</w:t>
      </w:r>
      <w:proofErr w:type="spellEnd"/>
      <w:r w:rsidRPr="000C2646">
        <w:rPr>
          <w:sz w:val="24"/>
          <w:szCs w:val="24"/>
        </w:rPr>
        <w:t xml:space="preserve">, 1000 mg dagligt ved kombination med </w:t>
      </w:r>
      <w:proofErr w:type="spellStart"/>
      <w:r w:rsidRPr="000C2646">
        <w:rPr>
          <w:sz w:val="24"/>
          <w:szCs w:val="24"/>
        </w:rPr>
        <w:t>capecitabin</w:t>
      </w:r>
      <w:proofErr w:type="spellEnd"/>
      <w:r w:rsidRPr="000C2646">
        <w:rPr>
          <w:sz w:val="24"/>
          <w:szCs w:val="24"/>
        </w:rPr>
        <w:t xml:space="preserve"> eller 1250 mg dagligt ved kombination med en </w:t>
      </w:r>
      <w:proofErr w:type="spellStart"/>
      <w:r w:rsidRPr="000C2646">
        <w:rPr>
          <w:sz w:val="24"/>
          <w:szCs w:val="24"/>
        </w:rPr>
        <w:t>aromatasehæmmer</w:t>
      </w:r>
      <w:proofErr w:type="spellEnd"/>
      <w:r w:rsidRPr="000C2646">
        <w:rPr>
          <w:sz w:val="24"/>
          <w:szCs w:val="24"/>
        </w:rPr>
        <w:t>) efter minimum 2 uger, hvis LVEF igen er normal, og patienten er symptomfri.</w:t>
      </w:r>
    </w:p>
    <w:p w14:paraId="5156291C" w14:textId="77777777" w:rsidR="00925ABE" w:rsidRPr="000C2646" w:rsidRDefault="00925ABE" w:rsidP="009534FE">
      <w:pPr>
        <w:ind w:left="851"/>
        <w:rPr>
          <w:sz w:val="24"/>
          <w:szCs w:val="24"/>
        </w:rPr>
      </w:pPr>
    </w:p>
    <w:p w14:paraId="7173FF78" w14:textId="77777777" w:rsidR="00925ABE" w:rsidRPr="000C2646" w:rsidRDefault="00925ABE" w:rsidP="009534FE">
      <w:pPr>
        <w:ind w:left="851"/>
        <w:rPr>
          <w:i/>
          <w:iCs/>
          <w:sz w:val="24"/>
          <w:szCs w:val="24"/>
        </w:rPr>
      </w:pPr>
      <w:proofErr w:type="spellStart"/>
      <w:r w:rsidRPr="000C2646">
        <w:rPr>
          <w:i/>
          <w:iCs/>
          <w:sz w:val="24"/>
          <w:szCs w:val="24"/>
        </w:rPr>
        <w:t>Interstitiel</w:t>
      </w:r>
      <w:proofErr w:type="spellEnd"/>
      <w:r w:rsidRPr="000C2646">
        <w:rPr>
          <w:i/>
          <w:iCs/>
          <w:sz w:val="24"/>
          <w:szCs w:val="24"/>
        </w:rPr>
        <w:t xml:space="preserve"> lungesygdom/pneumonitis</w:t>
      </w:r>
    </w:p>
    <w:p w14:paraId="0A1C98CE" w14:textId="77777777" w:rsidR="00925ABE" w:rsidRPr="000C2646" w:rsidRDefault="00925ABE" w:rsidP="009534FE">
      <w:pPr>
        <w:ind w:left="851"/>
        <w:rPr>
          <w:sz w:val="24"/>
          <w:szCs w:val="24"/>
        </w:rPr>
      </w:pPr>
      <w:r w:rsidRPr="000C2646">
        <w:rPr>
          <w:sz w:val="24"/>
          <w:szCs w:val="24"/>
        </w:rPr>
        <w:lastRenderedPageBreak/>
        <w:t xml:space="preserve">Behandlingen med </w:t>
      </w:r>
      <w:proofErr w:type="spellStart"/>
      <w:r w:rsidRPr="000C2646">
        <w:rPr>
          <w:sz w:val="24"/>
          <w:szCs w:val="24"/>
        </w:rPr>
        <w:t>lapatinib</w:t>
      </w:r>
      <w:proofErr w:type="spellEnd"/>
      <w:r w:rsidRPr="000C2646">
        <w:rPr>
          <w:sz w:val="24"/>
          <w:szCs w:val="24"/>
        </w:rPr>
        <w:t xml:space="preserve"> skal afbrydes hos patienter, der får </w:t>
      </w:r>
      <w:proofErr w:type="spellStart"/>
      <w:r w:rsidRPr="000C2646">
        <w:rPr>
          <w:sz w:val="24"/>
          <w:szCs w:val="24"/>
        </w:rPr>
        <w:t>pulmonale</w:t>
      </w:r>
      <w:proofErr w:type="spellEnd"/>
      <w:r w:rsidRPr="000C2646">
        <w:rPr>
          <w:sz w:val="24"/>
          <w:szCs w:val="24"/>
        </w:rPr>
        <w:t xml:space="preserve"> symptomer, der ifølge NCI CTCAE svarer til eller er større end grad 3 (se pkt. 4.4).</w:t>
      </w:r>
    </w:p>
    <w:p w14:paraId="061ED435" w14:textId="77777777" w:rsidR="00925ABE" w:rsidRPr="000C2646" w:rsidRDefault="00925ABE" w:rsidP="009534FE">
      <w:pPr>
        <w:ind w:left="851"/>
        <w:rPr>
          <w:sz w:val="24"/>
          <w:szCs w:val="24"/>
        </w:rPr>
      </w:pPr>
    </w:p>
    <w:p w14:paraId="67BF9FA9" w14:textId="77777777" w:rsidR="00925ABE" w:rsidRPr="000C2646" w:rsidRDefault="00925ABE" w:rsidP="009534FE">
      <w:pPr>
        <w:ind w:left="851"/>
        <w:rPr>
          <w:i/>
          <w:iCs/>
          <w:sz w:val="24"/>
          <w:szCs w:val="24"/>
        </w:rPr>
      </w:pPr>
      <w:r w:rsidRPr="000C2646">
        <w:rPr>
          <w:i/>
          <w:iCs/>
          <w:sz w:val="24"/>
          <w:szCs w:val="24"/>
        </w:rPr>
        <w:t>Diarré</w:t>
      </w:r>
    </w:p>
    <w:p w14:paraId="3D5D0F41" w14:textId="3C54E5CE" w:rsidR="00925ABE" w:rsidRPr="000C2646" w:rsidRDefault="00925ABE" w:rsidP="009534FE">
      <w:pPr>
        <w:ind w:left="851"/>
        <w:rPr>
          <w:sz w:val="24"/>
          <w:szCs w:val="24"/>
          <w:u w:val="single"/>
        </w:rPr>
      </w:pPr>
      <w:r w:rsidRPr="000C2646">
        <w:rPr>
          <w:sz w:val="24"/>
          <w:szCs w:val="24"/>
        </w:rPr>
        <w:t xml:space="preserve">Behandling med </w:t>
      </w:r>
      <w:proofErr w:type="spellStart"/>
      <w:r w:rsidRPr="000C2646">
        <w:rPr>
          <w:sz w:val="24"/>
          <w:szCs w:val="24"/>
        </w:rPr>
        <w:t>lapatinib</w:t>
      </w:r>
      <w:proofErr w:type="spellEnd"/>
      <w:r w:rsidRPr="000C2646">
        <w:rPr>
          <w:sz w:val="24"/>
          <w:szCs w:val="24"/>
        </w:rPr>
        <w:t xml:space="preserve"> skal afbrydes hos patienter med diarré NCI </w:t>
      </w:r>
      <w:proofErr w:type="gramStart"/>
      <w:r w:rsidRPr="000C2646">
        <w:rPr>
          <w:sz w:val="24"/>
          <w:szCs w:val="24"/>
        </w:rPr>
        <w:t>CTCAE grad</w:t>
      </w:r>
      <w:proofErr w:type="gramEnd"/>
      <w:r w:rsidRPr="000C2646">
        <w:rPr>
          <w:sz w:val="24"/>
          <w:szCs w:val="24"/>
        </w:rPr>
        <w:t xml:space="preserve"> 3 eller med grad 1 eller grad 2 med komplikationer (moderate til svære </w:t>
      </w:r>
      <w:proofErr w:type="spellStart"/>
      <w:r w:rsidRPr="000C2646">
        <w:rPr>
          <w:sz w:val="24"/>
          <w:szCs w:val="24"/>
        </w:rPr>
        <w:t>abdominale</w:t>
      </w:r>
      <w:proofErr w:type="spellEnd"/>
      <w:r w:rsidRPr="000C2646">
        <w:rPr>
          <w:sz w:val="24"/>
          <w:szCs w:val="24"/>
        </w:rPr>
        <w:t xml:space="preserve"> kramper, kvalme eller opkastning mere end eller lig med NCI CTCAE grad 2, nedsat performance-status, feber, sepsis, </w:t>
      </w:r>
      <w:proofErr w:type="spellStart"/>
      <w:r w:rsidRPr="000C2646">
        <w:rPr>
          <w:sz w:val="24"/>
          <w:szCs w:val="24"/>
        </w:rPr>
        <w:t>neutropeni</w:t>
      </w:r>
      <w:proofErr w:type="spellEnd"/>
      <w:r w:rsidRPr="000C2646">
        <w:rPr>
          <w:sz w:val="24"/>
          <w:szCs w:val="24"/>
        </w:rPr>
        <w:t xml:space="preserve">, synlig blødning eller dehydrering) (se pkt. 4.4 og 4.8).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kan eventuelt genoptages ved en lavere dosis (nedsat fra 1000 mg/dag til 750 mg/dag, fra 1250 mg/dag til 1000 mg/dag eller fra 1500 mg/dag til 1250 mg/dag), når diarréen er bedret til grad 1 eller mindre.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skal seponeres permanent hos patienter, der får diarré NCI </w:t>
      </w:r>
      <w:proofErr w:type="gramStart"/>
      <w:r w:rsidRPr="000C2646">
        <w:rPr>
          <w:sz w:val="24"/>
          <w:szCs w:val="24"/>
        </w:rPr>
        <w:t>CTCAE grad</w:t>
      </w:r>
      <w:proofErr w:type="gramEnd"/>
      <w:r w:rsidRPr="000C2646">
        <w:rPr>
          <w:sz w:val="24"/>
          <w:szCs w:val="24"/>
        </w:rPr>
        <w:t> 4.</w:t>
      </w:r>
    </w:p>
    <w:p w14:paraId="361F09EE" w14:textId="77777777" w:rsidR="00925ABE" w:rsidRPr="000C2646" w:rsidRDefault="00925ABE" w:rsidP="009534FE">
      <w:pPr>
        <w:ind w:left="851"/>
        <w:rPr>
          <w:sz w:val="24"/>
          <w:szCs w:val="24"/>
          <w:u w:val="single"/>
        </w:rPr>
      </w:pPr>
    </w:p>
    <w:p w14:paraId="5FCCB6B7" w14:textId="77777777" w:rsidR="00925ABE" w:rsidRPr="000C2646" w:rsidRDefault="00925ABE" w:rsidP="009534FE">
      <w:pPr>
        <w:ind w:left="851"/>
        <w:rPr>
          <w:i/>
          <w:iCs/>
          <w:sz w:val="24"/>
          <w:szCs w:val="24"/>
        </w:rPr>
      </w:pPr>
      <w:r w:rsidRPr="000C2646">
        <w:rPr>
          <w:i/>
          <w:iCs/>
          <w:sz w:val="24"/>
          <w:szCs w:val="24"/>
        </w:rPr>
        <w:t>Anden toksicitet</w:t>
      </w:r>
    </w:p>
    <w:p w14:paraId="4B8A80B8" w14:textId="77777777" w:rsidR="00925ABE" w:rsidRPr="000C2646" w:rsidRDefault="00925ABE" w:rsidP="009534FE">
      <w:pPr>
        <w:ind w:left="851"/>
        <w:rPr>
          <w:sz w:val="24"/>
          <w:szCs w:val="24"/>
        </w:rPr>
      </w:pPr>
      <w:r w:rsidRPr="000C2646">
        <w:rPr>
          <w:sz w:val="24"/>
          <w:szCs w:val="24"/>
        </w:rPr>
        <w:t xml:space="preserve">Det bør overvejes at ophøre eller midlertidigt afbryde behandlingen med </w:t>
      </w:r>
      <w:proofErr w:type="spellStart"/>
      <w:r w:rsidRPr="000C2646">
        <w:rPr>
          <w:sz w:val="24"/>
          <w:szCs w:val="24"/>
        </w:rPr>
        <w:t>lapatinib</w:t>
      </w:r>
      <w:proofErr w:type="spellEnd"/>
      <w:r w:rsidRPr="000C2646">
        <w:rPr>
          <w:sz w:val="24"/>
          <w:szCs w:val="24"/>
        </w:rPr>
        <w:t xml:space="preserve">, hvis en patient udvikler toksicitet, der ifølge NCI CTCAE svarer til eller er større end grad 2. Når toksiciteten er bedret til grad1 eller mindre, kan behandlingen med </w:t>
      </w:r>
      <w:proofErr w:type="spellStart"/>
      <w:r w:rsidRPr="000C2646">
        <w:rPr>
          <w:sz w:val="24"/>
          <w:szCs w:val="24"/>
        </w:rPr>
        <w:t>lapatinib</w:t>
      </w:r>
      <w:proofErr w:type="spellEnd"/>
      <w:r w:rsidRPr="000C2646">
        <w:rPr>
          <w:sz w:val="24"/>
          <w:szCs w:val="24"/>
        </w:rPr>
        <w:t xml:space="preserve"> genoptages med 1000 mg dagligt ved kombination med </w:t>
      </w:r>
      <w:proofErr w:type="spellStart"/>
      <w:r w:rsidRPr="000C2646">
        <w:rPr>
          <w:sz w:val="24"/>
          <w:szCs w:val="24"/>
        </w:rPr>
        <w:t>trastuzumab</w:t>
      </w:r>
      <w:proofErr w:type="spellEnd"/>
      <w:r w:rsidRPr="000C2646">
        <w:rPr>
          <w:sz w:val="24"/>
          <w:szCs w:val="24"/>
        </w:rPr>
        <w:t xml:space="preserve">, 1250 mg dagligt ved kombination med </w:t>
      </w:r>
      <w:proofErr w:type="spellStart"/>
      <w:r w:rsidRPr="000C2646">
        <w:rPr>
          <w:sz w:val="24"/>
          <w:szCs w:val="24"/>
        </w:rPr>
        <w:t>capecitabin</w:t>
      </w:r>
      <w:proofErr w:type="spellEnd"/>
      <w:r w:rsidRPr="000C2646">
        <w:rPr>
          <w:sz w:val="24"/>
          <w:szCs w:val="24"/>
        </w:rPr>
        <w:t xml:space="preserve"> eller 1500 mg dagligt ved kombination med en </w:t>
      </w:r>
      <w:proofErr w:type="spellStart"/>
      <w:r w:rsidRPr="000C2646">
        <w:rPr>
          <w:sz w:val="24"/>
          <w:szCs w:val="24"/>
        </w:rPr>
        <w:t>aromatasehæmmer</w:t>
      </w:r>
      <w:proofErr w:type="spellEnd"/>
      <w:r w:rsidRPr="000C2646">
        <w:rPr>
          <w:sz w:val="24"/>
          <w:szCs w:val="24"/>
        </w:rPr>
        <w:t xml:space="preserve">. Hvis toksiciteten kommer igen, bør behandlingen med </w:t>
      </w:r>
      <w:proofErr w:type="spellStart"/>
      <w:r w:rsidRPr="000C2646">
        <w:rPr>
          <w:sz w:val="24"/>
          <w:szCs w:val="24"/>
        </w:rPr>
        <w:t>lapatinib</w:t>
      </w:r>
      <w:proofErr w:type="spellEnd"/>
      <w:r w:rsidRPr="000C2646">
        <w:rPr>
          <w:sz w:val="24"/>
          <w:szCs w:val="24"/>
        </w:rPr>
        <w:t xml:space="preserve"> genoptages med en lavere dosis (750 mg dagligt ved kombination med </w:t>
      </w:r>
      <w:proofErr w:type="spellStart"/>
      <w:r w:rsidRPr="000C2646">
        <w:rPr>
          <w:sz w:val="24"/>
          <w:szCs w:val="24"/>
        </w:rPr>
        <w:t>trastuzumab</w:t>
      </w:r>
      <w:proofErr w:type="spellEnd"/>
      <w:r w:rsidRPr="000C2646">
        <w:rPr>
          <w:sz w:val="24"/>
          <w:szCs w:val="24"/>
        </w:rPr>
        <w:t xml:space="preserve">, 1000 mg dagligt ved kombination med </w:t>
      </w:r>
      <w:proofErr w:type="spellStart"/>
      <w:r w:rsidRPr="000C2646">
        <w:rPr>
          <w:sz w:val="24"/>
          <w:szCs w:val="24"/>
        </w:rPr>
        <w:t>capecitabin</w:t>
      </w:r>
      <w:proofErr w:type="spellEnd"/>
      <w:r w:rsidRPr="000C2646">
        <w:rPr>
          <w:sz w:val="24"/>
          <w:szCs w:val="24"/>
        </w:rPr>
        <w:t xml:space="preserve"> eller 1250 mg dagligt ved kombination med en </w:t>
      </w:r>
      <w:proofErr w:type="spellStart"/>
      <w:r w:rsidRPr="000C2646">
        <w:rPr>
          <w:sz w:val="24"/>
          <w:szCs w:val="24"/>
        </w:rPr>
        <w:t>aromatasehæmmer</w:t>
      </w:r>
      <w:proofErr w:type="spellEnd"/>
      <w:r w:rsidRPr="000C2646">
        <w:rPr>
          <w:sz w:val="24"/>
          <w:szCs w:val="24"/>
        </w:rPr>
        <w:t>).</w:t>
      </w:r>
    </w:p>
    <w:p w14:paraId="1B78DE73" w14:textId="77777777" w:rsidR="00925ABE" w:rsidRPr="000C2646" w:rsidRDefault="00925ABE" w:rsidP="009534FE">
      <w:pPr>
        <w:ind w:left="851"/>
        <w:rPr>
          <w:sz w:val="24"/>
          <w:szCs w:val="24"/>
        </w:rPr>
      </w:pPr>
    </w:p>
    <w:p w14:paraId="06FA9FD2" w14:textId="77777777" w:rsidR="00925ABE" w:rsidRPr="000C2646" w:rsidRDefault="00925ABE" w:rsidP="009534FE">
      <w:pPr>
        <w:ind w:left="851"/>
        <w:rPr>
          <w:i/>
          <w:iCs/>
          <w:sz w:val="24"/>
          <w:szCs w:val="24"/>
        </w:rPr>
      </w:pPr>
      <w:r w:rsidRPr="000C2646">
        <w:rPr>
          <w:i/>
          <w:iCs/>
          <w:sz w:val="24"/>
          <w:szCs w:val="24"/>
        </w:rPr>
        <w:t>Nedsat nyrefunktion</w:t>
      </w:r>
    </w:p>
    <w:p w14:paraId="57D1FE0D" w14:textId="77777777" w:rsidR="00925ABE" w:rsidRPr="000C2646" w:rsidRDefault="00925ABE" w:rsidP="009534FE">
      <w:pPr>
        <w:ind w:left="851"/>
        <w:rPr>
          <w:sz w:val="24"/>
          <w:szCs w:val="24"/>
        </w:rPr>
      </w:pPr>
      <w:r w:rsidRPr="000C2646">
        <w:rPr>
          <w:sz w:val="24"/>
          <w:szCs w:val="24"/>
        </w:rPr>
        <w:t xml:space="preserve">Det er ikke nødvendigt med dosisændringer til patienter med let til moderat nedsat nyrefunktion. Der bør udvises forsigtighed ved patienter med svært nedsat nyrefunktion, da der ikke er erfaring med </w:t>
      </w:r>
      <w:proofErr w:type="spellStart"/>
      <w:r w:rsidRPr="000C2646">
        <w:rPr>
          <w:sz w:val="24"/>
          <w:szCs w:val="24"/>
        </w:rPr>
        <w:t>lapatinib</w:t>
      </w:r>
      <w:proofErr w:type="spellEnd"/>
      <w:r w:rsidRPr="000C2646">
        <w:rPr>
          <w:sz w:val="24"/>
          <w:szCs w:val="24"/>
        </w:rPr>
        <w:t xml:space="preserve"> hos denne population (se pkt. 5.2).</w:t>
      </w:r>
    </w:p>
    <w:p w14:paraId="2E0C0C7E" w14:textId="77777777" w:rsidR="00925ABE" w:rsidRPr="000C2646" w:rsidRDefault="00925ABE" w:rsidP="009534FE">
      <w:pPr>
        <w:ind w:left="851"/>
        <w:rPr>
          <w:sz w:val="24"/>
          <w:szCs w:val="24"/>
        </w:rPr>
      </w:pPr>
    </w:p>
    <w:p w14:paraId="1F481A76" w14:textId="77777777" w:rsidR="00925ABE" w:rsidRPr="000C2646" w:rsidRDefault="00925ABE" w:rsidP="009534FE">
      <w:pPr>
        <w:ind w:left="851"/>
        <w:rPr>
          <w:i/>
          <w:iCs/>
          <w:sz w:val="24"/>
          <w:szCs w:val="24"/>
        </w:rPr>
      </w:pPr>
      <w:r w:rsidRPr="000C2646">
        <w:rPr>
          <w:i/>
          <w:iCs/>
          <w:sz w:val="24"/>
          <w:szCs w:val="24"/>
        </w:rPr>
        <w:t>Nedsat leverfunktion</w:t>
      </w:r>
    </w:p>
    <w:p w14:paraId="2C2BEECB" w14:textId="77777777" w:rsidR="00925ABE" w:rsidRPr="000C2646" w:rsidRDefault="00925ABE" w:rsidP="009534FE">
      <w:pPr>
        <w:ind w:left="851"/>
        <w:rPr>
          <w:sz w:val="24"/>
          <w:szCs w:val="24"/>
        </w:rPr>
      </w:pPr>
      <w:r w:rsidRPr="000C2646">
        <w:rPr>
          <w:sz w:val="24"/>
          <w:szCs w:val="24"/>
        </w:rPr>
        <w:t xml:space="preserve">Behandlingen med </w:t>
      </w:r>
      <w:proofErr w:type="spellStart"/>
      <w:r w:rsidRPr="000C2646">
        <w:rPr>
          <w:sz w:val="24"/>
          <w:szCs w:val="24"/>
        </w:rPr>
        <w:t>lapatinib</w:t>
      </w:r>
      <w:proofErr w:type="spellEnd"/>
      <w:r w:rsidRPr="000C2646">
        <w:rPr>
          <w:sz w:val="24"/>
          <w:szCs w:val="24"/>
        </w:rPr>
        <w:t xml:space="preserve"> bør afbrydes ved alvorlige ændringer i leverfunktionen, og behandlingen bør ikke genoptages hos disse patienter (se pkt. 4.4).</w:t>
      </w:r>
    </w:p>
    <w:p w14:paraId="2C74B7FD" w14:textId="77777777" w:rsidR="00925ABE" w:rsidRPr="000C2646" w:rsidRDefault="00925ABE" w:rsidP="009534FE">
      <w:pPr>
        <w:ind w:left="851"/>
        <w:rPr>
          <w:sz w:val="24"/>
          <w:szCs w:val="24"/>
        </w:rPr>
      </w:pPr>
    </w:p>
    <w:p w14:paraId="14C34160" w14:textId="77777777" w:rsidR="00925ABE" w:rsidRPr="000C2646" w:rsidRDefault="00925ABE" w:rsidP="009534FE">
      <w:pPr>
        <w:ind w:left="851"/>
        <w:rPr>
          <w:sz w:val="24"/>
          <w:szCs w:val="24"/>
        </w:rPr>
      </w:pPr>
      <w:r w:rsidRPr="000C2646">
        <w:rPr>
          <w:sz w:val="24"/>
          <w:szCs w:val="24"/>
        </w:rPr>
        <w:t xml:space="preserve">Administration af </w:t>
      </w:r>
      <w:proofErr w:type="spellStart"/>
      <w:r w:rsidRPr="000C2646">
        <w:rPr>
          <w:sz w:val="24"/>
          <w:szCs w:val="24"/>
        </w:rPr>
        <w:t>lapatinib</w:t>
      </w:r>
      <w:proofErr w:type="spellEnd"/>
      <w:r w:rsidRPr="000C2646">
        <w:rPr>
          <w:sz w:val="24"/>
          <w:szCs w:val="24"/>
        </w:rPr>
        <w:t xml:space="preserve"> til patienter med moderat til svært nedsat leverfunktion bør ske med forsigtighed pga. øget eksponering for lægemidlet. Der findes ikke tilstrækkelige data fra patienter med nedsat leverfunktion til at kunne anbefale en bestemt dosisjustering (se pkt. 5.2).</w:t>
      </w:r>
    </w:p>
    <w:p w14:paraId="21AFB8E6" w14:textId="77777777" w:rsidR="00925ABE" w:rsidRPr="000C2646" w:rsidRDefault="00925ABE" w:rsidP="009534FE">
      <w:pPr>
        <w:ind w:left="851"/>
        <w:rPr>
          <w:sz w:val="24"/>
          <w:szCs w:val="24"/>
        </w:rPr>
      </w:pPr>
    </w:p>
    <w:p w14:paraId="6D550BCB" w14:textId="77777777" w:rsidR="00925ABE" w:rsidRPr="000C2646" w:rsidRDefault="00925ABE" w:rsidP="009534FE">
      <w:pPr>
        <w:ind w:left="851"/>
        <w:rPr>
          <w:i/>
          <w:iCs/>
          <w:sz w:val="24"/>
          <w:szCs w:val="24"/>
          <w:u w:val="single"/>
        </w:rPr>
      </w:pPr>
      <w:r w:rsidRPr="000C2646">
        <w:rPr>
          <w:i/>
          <w:iCs/>
          <w:sz w:val="24"/>
          <w:szCs w:val="24"/>
          <w:u w:val="single"/>
        </w:rPr>
        <w:t>Ældre</w:t>
      </w:r>
    </w:p>
    <w:p w14:paraId="72B26C72" w14:textId="77777777" w:rsidR="00925ABE" w:rsidRPr="000C2646" w:rsidRDefault="00925ABE" w:rsidP="009534FE">
      <w:pPr>
        <w:ind w:left="851"/>
        <w:rPr>
          <w:i/>
          <w:iCs/>
          <w:sz w:val="24"/>
          <w:szCs w:val="24"/>
          <w:u w:val="single"/>
        </w:rPr>
      </w:pPr>
    </w:p>
    <w:p w14:paraId="41F73B70" w14:textId="77777777" w:rsidR="00925ABE" w:rsidRPr="000C2646" w:rsidRDefault="00925ABE" w:rsidP="009534FE">
      <w:pPr>
        <w:ind w:left="851"/>
        <w:rPr>
          <w:sz w:val="24"/>
          <w:szCs w:val="24"/>
        </w:rPr>
      </w:pPr>
      <w:r w:rsidRPr="000C2646">
        <w:rPr>
          <w:sz w:val="24"/>
          <w:szCs w:val="24"/>
        </w:rPr>
        <w:t xml:space="preserve">Der er begrænset information om brug af </w:t>
      </w:r>
      <w:proofErr w:type="spellStart"/>
      <w:r w:rsidRPr="000C2646">
        <w:rPr>
          <w:sz w:val="24"/>
          <w:szCs w:val="24"/>
        </w:rPr>
        <w:t>lapatinib</w:t>
      </w:r>
      <w:proofErr w:type="spellEnd"/>
      <w:r w:rsidRPr="000C2646">
        <w:rPr>
          <w:sz w:val="24"/>
          <w:szCs w:val="24"/>
        </w:rPr>
        <w:t>/</w:t>
      </w:r>
      <w:proofErr w:type="spellStart"/>
      <w:r w:rsidRPr="000C2646">
        <w:rPr>
          <w:sz w:val="24"/>
          <w:szCs w:val="24"/>
        </w:rPr>
        <w:t>capecitabin</w:t>
      </w:r>
      <w:proofErr w:type="spellEnd"/>
      <w:r w:rsidRPr="000C2646">
        <w:rPr>
          <w:sz w:val="24"/>
          <w:szCs w:val="24"/>
        </w:rPr>
        <w:t xml:space="preserve"> og </w:t>
      </w:r>
      <w:proofErr w:type="spellStart"/>
      <w:r w:rsidRPr="000C2646">
        <w:rPr>
          <w:sz w:val="24"/>
          <w:szCs w:val="24"/>
        </w:rPr>
        <w:t>lapatinib</w:t>
      </w:r>
      <w:proofErr w:type="spellEnd"/>
      <w:r w:rsidRPr="000C2646">
        <w:rPr>
          <w:sz w:val="24"/>
          <w:szCs w:val="24"/>
        </w:rPr>
        <w:t>/</w:t>
      </w:r>
      <w:proofErr w:type="spellStart"/>
      <w:r w:rsidRPr="000C2646">
        <w:rPr>
          <w:sz w:val="24"/>
          <w:szCs w:val="24"/>
        </w:rPr>
        <w:t>trastuzumab</w:t>
      </w:r>
      <w:proofErr w:type="spellEnd"/>
      <w:r w:rsidRPr="000C2646">
        <w:rPr>
          <w:sz w:val="24"/>
          <w:szCs w:val="24"/>
        </w:rPr>
        <w:t xml:space="preserve"> hos patienter på ≥ 65 år.</w:t>
      </w:r>
    </w:p>
    <w:p w14:paraId="44B0126D" w14:textId="77777777" w:rsidR="00925ABE" w:rsidRPr="000C2646" w:rsidRDefault="00925ABE" w:rsidP="009534FE">
      <w:pPr>
        <w:ind w:left="851"/>
        <w:rPr>
          <w:sz w:val="24"/>
          <w:szCs w:val="24"/>
        </w:rPr>
      </w:pPr>
    </w:p>
    <w:p w14:paraId="31BFB82A" w14:textId="77777777" w:rsidR="00925ABE" w:rsidRPr="000C2646" w:rsidRDefault="00925ABE" w:rsidP="009534FE">
      <w:pPr>
        <w:ind w:left="851"/>
        <w:rPr>
          <w:sz w:val="24"/>
          <w:szCs w:val="24"/>
        </w:rPr>
      </w:pPr>
      <w:r w:rsidRPr="000C2646">
        <w:rPr>
          <w:sz w:val="24"/>
          <w:szCs w:val="24"/>
        </w:rPr>
        <w:t xml:space="preserve">I et klinisk fase III-studie med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letrozol</w:t>
      </w:r>
      <w:proofErr w:type="spellEnd"/>
      <w:r w:rsidRPr="000C2646">
        <w:rPr>
          <w:sz w:val="24"/>
          <w:szCs w:val="24"/>
        </w:rPr>
        <w:t xml:space="preserve"> var 44 % af det samlede antal patienter med hormonreceptorpositiv metastatisk brystcancer ≥ 65 år (</w:t>
      </w:r>
      <w:r w:rsidRPr="000C2646">
        <w:rPr>
          <w:i/>
          <w:iCs/>
          <w:sz w:val="24"/>
          <w:szCs w:val="24"/>
        </w:rPr>
        <w:t xml:space="preserve">intent to </w:t>
      </w:r>
      <w:proofErr w:type="spellStart"/>
      <w:r w:rsidRPr="000C2646">
        <w:rPr>
          <w:i/>
          <w:iCs/>
          <w:sz w:val="24"/>
          <w:szCs w:val="24"/>
        </w:rPr>
        <w:t>treat</w:t>
      </w:r>
      <w:proofErr w:type="spellEnd"/>
      <w:r w:rsidRPr="000C2646">
        <w:rPr>
          <w:sz w:val="24"/>
          <w:szCs w:val="24"/>
        </w:rPr>
        <w:t xml:space="preserve"> (ITT)-population: n = 642). Der blev ikke observeret overordnede forskelle i virkningen af og sikkerheden ved kombinationen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letrozol</w:t>
      </w:r>
      <w:proofErr w:type="spellEnd"/>
      <w:r w:rsidRPr="000C2646">
        <w:rPr>
          <w:sz w:val="24"/>
          <w:szCs w:val="24"/>
        </w:rPr>
        <w:t xml:space="preserve"> mellem disse patienter og patienter &lt; 65 år.</w:t>
      </w:r>
    </w:p>
    <w:p w14:paraId="2308F18F" w14:textId="77777777" w:rsidR="00925ABE" w:rsidRPr="000C2646" w:rsidRDefault="00925ABE" w:rsidP="009534FE">
      <w:pPr>
        <w:ind w:left="851"/>
        <w:rPr>
          <w:sz w:val="24"/>
          <w:szCs w:val="24"/>
        </w:rPr>
      </w:pPr>
    </w:p>
    <w:p w14:paraId="2927CDAC" w14:textId="77777777" w:rsidR="00925ABE" w:rsidRPr="000C2646" w:rsidRDefault="00925ABE" w:rsidP="009534FE">
      <w:pPr>
        <w:ind w:left="851"/>
        <w:rPr>
          <w:i/>
          <w:iCs/>
          <w:sz w:val="24"/>
          <w:szCs w:val="24"/>
          <w:u w:val="single"/>
        </w:rPr>
      </w:pPr>
      <w:r w:rsidRPr="000C2646">
        <w:rPr>
          <w:i/>
          <w:iCs/>
          <w:sz w:val="24"/>
          <w:szCs w:val="24"/>
          <w:u w:val="single"/>
        </w:rPr>
        <w:t>Pædiatrisk population</w:t>
      </w:r>
    </w:p>
    <w:p w14:paraId="770A0756" w14:textId="77777777" w:rsidR="00925ABE" w:rsidRPr="000C2646" w:rsidRDefault="00925ABE" w:rsidP="009534FE">
      <w:pPr>
        <w:ind w:left="851"/>
        <w:rPr>
          <w:i/>
          <w:iCs/>
          <w:sz w:val="24"/>
          <w:szCs w:val="24"/>
          <w:u w:val="single"/>
        </w:rPr>
      </w:pPr>
    </w:p>
    <w:p w14:paraId="56C875DD" w14:textId="77777777" w:rsidR="00925ABE" w:rsidRPr="000C2646" w:rsidRDefault="00925ABE" w:rsidP="009534FE">
      <w:pPr>
        <w:ind w:left="851"/>
        <w:rPr>
          <w:sz w:val="24"/>
          <w:szCs w:val="24"/>
        </w:rPr>
      </w:pPr>
      <w:proofErr w:type="spellStart"/>
      <w:r w:rsidRPr="000C2646">
        <w:rPr>
          <w:sz w:val="24"/>
          <w:szCs w:val="24"/>
        </w:rPr>
        <w:lastRenderedPageBreak/>
        <w:t>Lapatinibs</w:t>
      </w:r>
      <w:proofErr w:type="spellEnd"/>
      <w:r w:rsidRPr="000C2646">
        <w:rPr>
          <w:sz w:val="24"/>
          <w:szCs w:val="24"/>
        </w:rPr>
        <w:t xml:space="preserve"> sikkerhed og virkning hos børn under 18 år er endnu ikke klarlagt. Der foreligger ingen data.</w:t>
      </w:r>
    </w:p>
    <w:p w14:paraId="635E706E" w14:textId="77777777" w:rsidR="00925ABE" w:rsidRPr="000C2646" w:rsidRDefault="00925ABE" w:rsidP="009534FE">
      <w:pPr>
        <w:ind w:left="851"/>
        <w:rPr>
          <w:sz w:val="24"/>
          <w:szCs w:val="24"/>
        </w:rPr>
      </w:pPr>
    </w:p>
    <w:p w14:paraId="390C214D" w14:textId="77777777" w:rsidR="00925ABE" w:rsidRPr="000C2646" w:rsidRDefault="00925ABE" w:rsidP="009534FE">
      <w:pPr>
        <w:ind w:left="851"/>
        <w:rPr>
          <w:sz w:val="24"/>
          <w:szCs w:val="24"/>
          <w:u w:val="single"/>
        </w:rPr>
      </w:pPr>
      <w:r w:rsidRPr="000C2646">
        <w:rPr>
          <w:sz w:val="24"/>
          <w:szCs w:val="24"/>
          <w:u w:val="single"/>
        </w:rPr>
        <w:t>Administration</w:t>
      </w:r>
    </w:p>
    <w:p w14:paraId="6C7241B4" w14:textId="28DAF80E"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er til oral anvendelse.</w:t>
      </w:r>
    </w:p>
    <w:p w14:paraId="764F7B04" w14:textId="77777777" w:rsidR="00925ABE" w:rsidRPr="000C2646" w:rsidRDefault="00925ABE" w:rsidP="009534FE">
      <w:pPr>
        <w:ind w:left="851"/>
        <w:rPr>
          <w:sz w:val="24"/>
          <w:szCs w:val="24"/>
        </w:rPr>
      </w:pPr>
    </w:p>
    <w:p w14:paraId="622F468E" w14:textId="6755EC78" w:rsidR="00925ABE" w:rsidRPr="000C2646" w:rsidRDefault="00925ABE" w:rsidP="009534FE">
      <w:pPr>
        <w:ind w:left="851"/>
        <w:rPr>
          <w:sz w:val="24"/>
          <w:szCs w:val="24"/>
        </w:rPr>
      </w:pPr>
      <w:r w:rsidRPr="000C2646">
        <w:rPr>
          <w:sz w:val="24"/>
          <w:szCs w:val="24"/>
        </w:rPr>
        <w:t xml:space="preserve">Den daglige dosis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bør ikke deles. Tabletterne bør synkes hele for at sikre, at hele dosen administreres.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skal tages enten mindst én time før eller mindst én time efter et måltid. For at minimere variationen hos den enkelte patient bør indtagelsen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standardiseres i forhold til måltiderne, så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f.eks. altid tages én time før et måltid (for oplysninger om absorption, se pkt. 4.5 og 5.2).</w:t>
      </w:r>
    </w:p>
    <w:p w14:paraId="4AB2AA66" w14:textId="77777777" w:rsidR="00925ABE" w:rsidRPr="000C2646" w:rsidRDefault="00925ABE" w:rsidP="009534FE">
      <w:pPr>
        <w:ind w:left="851"/>
        <w:rPr>
          <w:sz w:val="24"/>
          <w:szCs w:val="24"/>
        </w:rPr>
      </w:pPr>
    </w:p>
    <w:p w14:paraId="433FEBB6" w14:textId="77777777" w:rsidR="00925ABE" w:rsidRPr="000C2646" w:rsidRDefault="00925ABE" w:rsidP="009534FE">
      <w:pPr>
        <w:ind w:left="851"/>
        <w:rPr>
          <w:sz w:val="24"/>
          <w:szCs w:val="24"/>
        </w:rPr>
      </w:pPr>
      <w:r w:rsidRPr="000C2646">
        <w:rPr>
          <w:sz w:val="24"/>
          <w:szCs w:val="24"/>
        </w:rPr>
        <w:t>Glemte doser skal ikke erstattes, og behandlingen skal genoptages ved næste planlagte daglige dosis (se pkt. 4.9).</w:t>
      </w:r>
    </w:p>
    <w:p w14:paraId="06428B19" w14:textId="77777777" w:rsidR="00925ABE" w:rsidRPr="000C2646" w:rsidRDefault="00925ABE" w:rsidP="009534FE">
      <w:pPr>
        <w:ind w:left="851"/>
        <w:rPr>
          <w:sz w:val="24"/>
          <w:szCs w:val="24"/>
        </w:rPr>
      </w:pPr>
    </w:p>
    <w:p w14:paraId="41DEF9BA" w14:textId="77777777" w:rsidR="00925ABE" w:rsidRPr="000C2646" w:rsidRDefault="00925ABE" w:rsidP="009534FE">
      <w:pPr>
        <w:ind w:left="851"/>
        <w:rPr>
          <w:sz w:val="24"/>
          <w:szCs w:val="24"/>
          <w:u w:val="single"/>
        </w:rPr>
      </w:pPr>
      <w:r w:rsidRPr="000C2646">
        <w:rPr>
          <w:sz w:val="24"/>
          <w:szCs w:val="24"/>
        </w:rPr>
        <w:t>Der henvises til produktinformationen for lægemidler, der administreres samtidig, for relevante oplysninger om dosering, herunder eventuelle dosisreduktioner, kontraindikationer og sikkerhedsoplysninger.</w:t>
      </w:r>
    </w:p>
    <w:p w14:paraId="0F8C5C93" w14:textId="77777777" w:rsidR="009260DE" w:rsidRPr="000C2646" w:rsidRDefault="009260DE" w:rsidP="009260DE">
      <w:pPr>
        <w:tabs>
          <w:tab w:val="left" w:pos="851"/>
        </w:tabs>
        <w:ind w:left="851"/>
        <w:rPr>
          <w:sz w:val="24"/>
          <w:szCs w:val="24"/>
        </w:rPr>
      </w:pPr>
    </w:p>
    <w:p w14:paraId="16C8290E" w14:textId="77777777" w:rsidR="009260DE" w:rsidRPr="000C2646" w:rsidRDefault="009260DE" w:rsidP="009260DE">
      <w:pPr>
        <w:tabs>
          <w:tab w:val="left" w:pos="851"/>
        </w:tabs>
        <w:ind w:left="851" w:hanging="851"/>
        <w:rPr>
          <w:b/>
          <w:sz w:val="24"/>
          <w:szCs w:val="24"/>
        </w:rPr>
      </w:pPr>
      <w:r w:rsidRPr="000C2646">
        <w:rPr>
          <w:b/>
          <w:sz w:val="24"/>
          <w:szCs w:val="24"/>
        </w:rPr>
        <w:t>4.3</w:t>
      </w:r>
      <w:r w:rsidRPr="000C2646">
        <w:rPr>
          <w:b/>
          <w:sz w:val="24"/>
          <w:szCs w:val="24"/>
        </w:rPr>
        <w:tab/>
        <w:t>Kontraindikationer</w:t>
      </w:r>
    </w:p>
    <w:p w14:paraId="0A6B7899" w14:textId="77777777" w:rsidR="00925ABE" w:rsidRPr="000C2646" w:rsidRDefault="00925ABE" w:rsidP="009534FE">
      <w:pPr>
        <w:ind w:left="851"/>
        <w:rPr>
          <w:sz w:val="24"/>
          <w:szCs w:val="24"/>
        </w:rPr>
      </w:pPr>
      <w:r w:rsidRPr="000C2646">
        <w:rPr>
          <w:sz w:val="24"/>
          <w:szCs w:val="24"/>
        </w:rPr>
        <w:t>Overfølsomhed over for det aktive stof eller over for et eller flere af hjælpestofferne anført i pkt. 6.1.</w:t>
      </w:r>
    </w:p>
    <w:p w14:paraId="62882F5D" w14:textId="77777777" w:rsidR="009260DE" w:rsidRPr="000C2646" w:rsidRDefault="009260DE" w:rsidP="009260DE">
      <w:pPr>
        <w:tabs>
          <w:tab w:val="left" w:pos="851"/>
        </w:tabs>
        <w:ind w:left="851"/>
        <w:rPr>
          <w:sz w:val="24"/>
          <w:szCs w:val="24"/>
        </w:rPr>
      </w:pPr>
    </w:p>
    <w:p w14:paraId="1D8DDBE1" w14:textId="77777777" w:rsidR="009260DE" w:rsidRPr="000C2646" w:rsidRDefault="009260DE" w:rsidP="009260DE">
      <w:pPr>
        <w:tabs>
          <w:tab w:val="left" w:pos="851"/>
        </w:tabs>
        <w:ind w:left="851" w:hanging="851"/>
        <w:rPr>
          <w:b/>
          <w:sz w:val="24"/>
          <w:szCs w:val="24"/>
        </w:rPr>
      </w:pPr>
      <w:r w:rsidRPr="000C2646">
        <w:rPr>
          <w:b/>
          <w:sz w:val="24"/>
          <w:szCs w:val="24"/>
        </w:rPr>
        <w:t>4.4</w:t>
      </w:r>
      <w:r w:rsidRPr="000C2646">
        <w:rPr>
          <w:b/>
          <w:sz w:val="24"/>
          <w:szCs w:val="24"/>
        </w:rPr>
        <w:tab/>
        <w:t>Særlige advarsler og forsigtighedsregler vedrørende brugen</w:t>
      </w:r>
    </w:p>
    <w:p w14:paraId="37DAB82B" w14:textId="77777777" w:rsidR="00925ABE" w:rsidRPr="000C2646" w:rsidRDefault="00925ABE" w:rsidP="009534FE">
      <w:pPr>
        <w:autoSpaceDE w:val="0"/>
        <w:autoSpaceDN w:val="0"/>
        <w:adjustRightInd w:val="0"/>
        <w:ind w:left="851"/>
        <w:rPr>
          <w:sz w:val="24"/>
          <w:szCs w:val="24"/>
        </w:rPr>
      </w:pPr>
      <w:r w:rsidRPr="000C2646">
        <w:rPr>
          <w:sz w:val="24"/>
          <w:szCs w:val="24"/>
        </w:rPr>
        <w:t xml:space="preserve">Data har vist, at </w:t>
      </w:r>
      <w:proofErr w:type="spellStart"/>
      <w:r w:rsidRPr="000C2646">
        <w:rPr>
          <w:sz w:val="24"/>
          <w:szCs w:val="24"/>
        </w:rPr>
        <w:t>lapatinib</w:t>
      </w:r>
      <w:proofErr w:type="spellEnd"/>
      <w:r w:rsidRPr="000C2646">
        <w:rPr>
          <w:sz w:val="24"/>
          <w:szCs w:val="24"/>
        </w:rPr>
        <w:t xml:space="preserve"> i kombination med kemoterapi er mindre effektivt end </w:t>
      </w:r>
      <w:proofErr w:type="spellStart"/>
      <w:r w:rsidRPr="000C2646">
        <w:rPr>
          <w:sz w:val="24"/>
          <w:szCs w:val="24"/>
        </w:rPr>
        <w:t>trastuzumab</w:t>
      </w:r>
      <w:proofErr w:type="spellEnd"/>
      <w:r w:rsidRPr="000C2646">
        <w:rPr>
          <w:sz w:val="24"/>
          <w:szCs w:val="24"/>
        </w:rPr>
        <w:t xml:space="preserve"> i kombination med kemoterapi.</w:t>
      </w:r>
    </w:p>
    <w:p w14:paraId="5CD82A34" w14:textId="77777777" w:rsidR="00925ABE" w:rsidRPr="000C2646" w:rsidRDefault="00925ABE" w:rsidP="009534FE">
      <w:pPr>
        <w:autoSpaceDE w:val="0"/>
        <w:autoSpaceDN w:val="0"/>
        <w:adjustRightInd w:val="0"/>
        <w:ind w:left="851"/>
        <w:rPr>
          <w:sz w:val="24"/>
          <w:szCs w:val="24"/>
        </w:rPr>
      </w:pPr>
    </w:p>
    <w:p w14:paraId="6BD7EBE6" w14:textId="77777777" w:rsidR="00925ABE" w:rsidRPr="000C2646" w:rsidRDefault="00925ABE" w:rsidP="000C2646">
      <w:pPr>
        <w:ind w:left="851"/>
        <w:rPr>
          <w:sz w:val="24"/>
          <w:szCs w:val="24"/>
          <w:u w:val="single"/>
        </w:rPr>
      </w:pPr>
      <w:proofErr w:type="spellStart"/>
      <w:r w:rsidRPr="000C2646">
        <w:rPr>
          <w:sz w:val="24"/>
          <w:szCs w:val="24"/>
          <w:u w:val="single"/>
        </w:rPr>
        <w:t>Kardiel</w:t>
      </w:r>
      <w:proofErr w:type="spellEnd"/>
      <w:r w:rsidRPr="000C2646">
        <w:rPr>
          <w:sz w:val="24"/>
          <w:szCs w:val="24"/>
          <w:u w:val="single"/>
        </w:rPr>
        <w:t xml:space="preserve"> toksicitet</w:t>
      </w:r>
    </w:p>
    <w:p w14:paraId="5581BCAE" w14:textId="77777777" w:rsidR="00925ABE" w:rsidRPr="000C2646" w:rsidRDefault="00925ABE" w:rsidP="000C2646">
      <w:pPr>
        <w:ind w:left="851"/>
        <w:rPr>
          <w:sz w:val="24"/>
          <w:szCs w:val="24"/>
        </w:rPr>
      </w:pPr>
    </w:p>
    <w:p w14:paraId="6D304F3A" w14:textId="72B537E3" w:rsidR="00925ABE" w:rsidRPr="000C2646" w:rsidRDefault="00925ABE" w:rsidP="009534FE">
      <w:pPr>
        <w:autoSpaceDE w:val="0"/>
        <w:autoSpaceDN w:val="0"/>
        <w:adjustRightInd w:val="0"/>
        <w:ind w:left="851"/>
        <w:rPr>
          <w:sz w:val="24"/>
          <w:szCs w:val="24"/>
        </w:rPr>
      </w:pPr>
      <w:proofErr w:type="spellStart"/>
      <w:r w:rsidRPr="000C2646">
        <w:rPr>
          <w:sz w:val="24"/>
          <w:szCs w:val="24"/>
        </w:rPr>
        <w:t>Lapatinib</w:t>
      </w:r>
      <w:proofErr w:type="spellEnd"/>
      <w:r w:rsidRPr="000C2646">
        <w:rPr>
          <w:sz w:val="24"/>
          <w:szCs w:val="24"/>
        </w:rPr>
        <w:t xml:space="preserve"> har været associeret med fald i LVEF (se pkt. 4.8). </w:t>
      </w:r>
      <w:proofErr w:type="spellStart"/>
      <w:r w:rsidRPr="000C2646">
        <w:rPr>
          <w:sz w:val="24"/>
          <w:szCs w:val="24"/>
        </w:rPr>
        <w:t>Lapatinib</w:t>
      </w:r>
      <w:proofErr w:type="spellEnd"/>
      <w:r w:rsidRPr="000C2646">
        <w:rPr>
          <w:sz w:val="24"/>
          <w:szCs w:val="24"/>
        </w:rPr>
        <w:t xml:space="preserve"> er ikke undersøgt hos patienter med symptomatisk hjerteinsufficiens. Der skal udvises forsigtighed, hvis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gives til patienter med tilstande, der kan hæmme venstre ventrikels funktion (herunder samtidig administration af potentielt </w:t>
      </w:r>
      <w:proofErr w:type="spellStart"/>
      <w:r w:rsidRPr="000C2646">
        <w:rPr>
          <w:sz w:val="24"/>
          <w:szCs w:val="24"/>
        </w:rPr>
        <w:t>kardiotoksiske</w:t>
      </w:r>
      <w:proofErr w:type="spellEnd"/>
      <w:r w:rsidRPr="000C2646">
        <w:rPr>
          <w:sz w:val="24"/>
          <w:szCs w:val="24"/>
        </w:rPr>
        <w:t xml:space="preserve"> lægemidler). Hjertefunktionen, herunder LVEF, skal måles hos alle patienter før initiering af behandling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for at sikre, at patienten har en </w:t>
      </w:r>
      <w:r w:rsidRPr="000C2646">
        <w:rPr>
          <w:i/>
          <w:iCs/>
          <w:sz w:val="24"/>
          <w:szCs w:val="24"/>
        </w:rPr>
        <w:t>baseline</w:t>
      </w:r>
      <w:r w:rsidRPr="000C2646">
        <w:rPr>
          <w:sz w:val="24"/>
          <w:szCs w:val="24"/>
        </w:rPr>
        <w:t>-LVEF, der ligger inden for normalområdet.</w:t>
      </w:r>
    </w:p>
    <w:p w14:paraId="715C531D" w14:textId="77777777" w:rsidR="00925ABE" w:rsidRPr="000C2646" w:rsidRDefault="00925ABE" w:rsidP="009534FE">
      <w:pPr>
        <w:autoSpaceDE w:val="0"/>
        <w:autoSpaceDN w:val="0"/>
        <w:adjustRightInd w:val="0"/>
        <w:ind w:left="851"/>
        <w:rPr>
          <w:sz w:val="24"/>
          <w:szCs w:val="24"/>
        </w:rPr>
      </w:pPr>
      <w:r w:rsidRPr="000C2646">
        <w:rPr>
          <w:sz w:val="24"/>
          <w:szCs w:val="24"/>
        </w:rPr>
        <w:t xml:space="preserve">LVEF bør evalueres, så længe der behandles med </w:t>
      </w:r>
      <w:proofErr w:type="spellStart"/>
      <w:r w:rsidRPr="000C2646">
        <w:rPr>
          <w:sz w:val="24"/>
          <w:szCs w:val="24"/>
        </w:rPr>
        <w:t>lapatinib</w:t>
      </w:r>
      <w:proofErr w:type="spellEnd"/>
      <w:r w:rsidRPr="000C2646">
        <w:rPr>
          <w:sz w:val="24"/>
          <w:szCs w:val="24"/>
        </w:rPr>
        <w:t xml:space="preserve"> for at sikre, at LVEF ikke falder til et uacceptabelt niveau (se pkt. 4.2). I nogle tilfælde kan fald i LVEF være svære og medføre hjerteinsufficiens. Der er rapporteret om letale tilfælde, hvor dødsårsagen er uvis. I studier i forbindelse med </w:t>
      </w:r>
      <w:proofErr w:type="spellStart"/>
      <w:r w:rsidRPr="000C2646">
        <w:rPr>
          <w:sz w:val="24"/>
          <w:szCs w:val="24"/>
        </w:rPr>
        <w:t>lapatinibs</w:t>
      </w:r>
      <w:proofErr w:type="spellEnd"/>
      <w:r w:rsidRPr="000C2646">
        <w:rPr>
          <w:sz w:val="24"/>
          <w:szCs w:val="24"/>
        </w:rPr>
        <w:t xml:space="preserve"> kliniske udviklingsprogram er der rapporteret </w:t>
      </w:r>
      <w:proofErr w:type="spellStart"/>
      <w:r w:rsidRPr="000C2646">
        <w:rPr>
          <w:sz w:val="24"/>
          <w:szCs w:val="24"/>
        </w:rPr>
        <w:t>kardielle</w:t>
      </w:r>
      <w:proofErr w:type="spellEnd"/>
      <w:r w:rsidRPr="000C2646">
        <w:rPr>
          <w:sz w:val="24"/>
          <w:szCs w:val="24"/>
        </w:rPr>
        <w:t xml:space="preserve"> bivirkninger hos ca. 1 % af patienterne, herunder fald i LVEF. Der blev observeret symptomatisk fald i LVEF hos ca. 0,3 % af de patienter, der fik </w:t>
      </w:r>
      <w:proofErr w:type="spellStart"/>
      <w:r w:rsidRPr="000C2646">
        <w:rPr>
          <w:sz w:val="24"/>
          <w:szCs w:val="24"/>
        </w:rPr>
        <w:t>lapatinib</w:t>
      </w:r>
      <w:proofErr w:type="spellEnd"/>
      <w:r w:rsidRPr="000C2646">
        <w:rPr>
          <w:sz w:val="24"/>
          <w:szCs w:val="24"/>
        </w:rPr>
        <w:t xml:space="preserve">. Når </w:t>
      </w:r>
      <w:proofErr w:type="spellStart"/>
      <w:r w:rsidRPr="000C2646">
        <w:rPr>
          <w:sz w:val="24"/>
          <w:szCs w:val="24"/>
        </w:rPr>
        <w:t>lapatinib</w:t>
      </w:r>
      <w:proofErr w:type="spellEnd"/>
      <w:r w:rsidRPr="000C2646">
        <w:rPr>
          <w:sz w:val="24"/>
          <w:szCs w:val="24"/>
        </w:rPr>
        <w:t xml:space="preserve"> blev administreret i kombination med </w:t>
      </w:r>
      <w:proofErr w:type="spellStart"/>
      <w:r w:rsidRPr="000C2646">
        <w:rPr>
          <w:sz w:val="24"/>
          <w:szCs w:val="24"/>
        </w:rPr>
        <w:t>trastuzumab</w:t>
      </w:r>
      <w:proofErr w:type="spellEnd"/>
      <w:r w:rsidRPr="000C2646">
        <w:rPr>
          <w:sz w:val="24"/>
          <w:szCs w:val="24"/>
        </w:rPr>
        <w:t xml:space="preserve"> mod metastatisk sygdom i det pivotale studie var </w:t>
      </w:r>
      <w:proofErr w:type="spellStart"/>
      <w:r w:rsidRPr="000C2646">
        <w:rPr>
          <w:sz w:val="24"/>
          <w:szCs w:val="24"/>
        </w:rPr>
        <w:t>incidensen</w:t>
      </w:r>
      <w:proofErr w:type="spellEnd"/>
      <w:r w:rsidRPr="000C2646">
        <w:rPr>
          <w:sz w:val="24"/>
          <w:szCs w:val="24"/>
        </w:rPr>
        <w:t xml:space="preserve"> af </w:t>
      </w:r>
      <w:proofErr w:type="spellStart"/>
      <w:r w:rsidRPr="000C2646">
        <w:rPr>
          <w:sz w:val="24"/>
          <w:szCs w:val="24"/>
        </w:rPr>
        <w:t>kardielle</w:t>
      </w:r>
      <w:proofErr w:type="spellEnd"/>
      <w:r w:rsidRPr="000C2646">
        <w:rPr>
          <w:sz w:val="24"/>
          <w:szCs w:val="24"/>
        </w:rPr>
        <w:t xml:space="preserve"> bivirkninger, herunder fald i LVEF, imidlertid højere (7 %) i forhold til </w:t>
      </w:r>
      <w:proofErr w:type="spellStart"/>
      <w:r w:rsidRPr="000C2646">
        <w:rPr>
          <w:sz w:val="24"/>
          <w:szCs w:val="24"/>
        </w:rPr>
        <w:t>lapatinib</w:t>
      </w:r>
      <w:proofErr w:type="spellEnd"/>
      <w:r w:rsidRPr="000C2646">
        <w:rPr>
          <w:sz w:val="24"/>
          <w:szCs w:val="24"/>
        </w:rPr>
        <w:t xml:space="preserve"> administreret alene (2 %). De </w:t>
      </w:r>
      <w:proofErr w:type="spellStart"/>
      <w:r w:rsidRPr="000C2646">
        <w:rPr>
          <w:sz w:val="24"/>
          <w:szCs w:val="24"/>
        </w:rPr>
        <w:t>kardielle</w:t>
      </w:r>
      <w:proofErr w:type="spellEnd"/>
      <w:r w:rsidRPr="000C2646">
        <w:rPr>
          <w:sz w:val="24"/>
          <w:szCs w:val="24"/>
        </w:rPr>
        <w:t xml:space="preserve"> bivirkninger set i dette studie havde samme karakter og sværhedsgrad som dem, der tidligere er set med </w:t>
      </w:r>
      <w:proofErr w:type="spellStart"/>
      <w:r w:rsidRPr="000C2646">
        <w:rPr>
          <w:sz w:val="24"/>
          <w:szCs w:val="24"/>
        </w:rPr>
        <w:t>lapatinib</w:t>
      </w:r>
      <w:proofErr w:type="spellEnd"/>
      <w:r w:rsidRPr="000C2646">
        <w:rPr>
          <w:sz w:val="24"/>
          <w:szCs w:val="24"/>
        </w:rPr>
        <w:t>.</w:t>
      </w:r>
    </w:p>
    <w:p w14:paraId="7DED60DD" w14:textId="77777777" w:rsidR="00925ABE" w:rsidRPr="000C2646" w:rsidRDefault="00925ABE" w:rsidP="009534FE">
      <w:pPr>
        <w:autoSpaceDE w:val="0"/>
        <w:autoSpaceDN w:val="0"/>
        <w:adjustRightInd w:val="0"/>
        <w:ind w:left="851"/>
        <w:rPr>
          <w:sz w:val="24"/>
          <w:szCs w:val="24"/>
        </w:rPr>
      </w:pPr>
    </w:p>
    <w:p w14:paraId="16A9FCB1" w14:textId="77777777" w:rsidR="00925ABE" w:rsidRPr="000C2646" w:rsidRDefault="00925ABE" w:rsidP="009534FE">
      <w:pPr>
        <w:autoSpaceDE w:val="0"/>
        <w:autoSpaceDN w:val="0"/>
        <w:adjustRightInd w:val="0"/>
        <w:ind w:left="851"/>
        <w:rPr>
          <w:sz w:val="24"/>
          <w:szCs w:val="24"/>
        </w:rPr>
      </w:pPr>
      <w:r w:rsidRPr="000C2646">
        <w:rPr>
          <w:sz w:val="24"/>
          <w:szCs w:val="24"/>
        </w:rPr>
        <w:lastRenderedPageBreak/>
        <w:t>Der blev vist en koncentrationsafhængig forlængelse af QT-intervallet i et specifikt placebokontrolleret, crossover-studie hos forsøgspersoner med fremskredne, solide tumorer.</w:t>
      </w:r>
    </w:p>
    <w:p w14:paraId="124FD644" w14:textId="77777777" w:rsidR="00925ABE" w:rsidRPr="000C2646" w:rsidRDefault="00925ABE" w:rsidP="009534FE">
      <w:pPr>
        <w:autoSpaceDE w:val="0"/>
        <w:autoSpaceDN w:val="0"/>
        <w:adjustRightInd w:val="0"/>
        <w:ind w:left="851"/>
        <w:rPr>
          <w:sz w:val="24"/>
          <w:szCs w:val="24"/>
        </w:rPr>
      </w:pPr>
    </w:p>
    <w:p w14:paraId="1BDB9884" w14:textId="03750E7D" w:rsidR="00925ABE" w:rsidRPr="000C2646" w:rsidRDefault="00925ABE" w:rsidP="009534FE">
      <w:pPr>
        <w:autoSpaceDE w:val="0"/>
        <w:autoSpaceDN w:val="0"/>
        <w:adjustRightInd w:val="0"/>
        <w:ind w:left="851"/>
        <w:rPr>
          <w:sz w:val="24"/>
          <w:szCs w:val="24"/>
        </w:rPr>
      </w:pPr>
      <w:r w:rsidRPr="000C2646">
        <w:rPr>
          <w:sz w:val="24"/>
          <w:szCs w:val="24"/>
        </w:rPr>
        <w:t xml:space="preserve">Der skal udvises forsigtighed, hvis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administreres til patienter med tilstande, som kan medføre </w:t>
      </w:r>
      <w:proofErr w:type="spellStart"/>
      <w:r w:rsidRPr="000C2646">
        <w:rPr>
          <w:sz w:val="24"/>
          <w:szCs w:val="24"/>
        </w:rPr>
        <w:t>QTc</w:t>
      </w:r>
      <w:proofErr w:type="spellEnd"/>
      <w:r w:rsidRPr="000C2646">
        <w:rPr>
          <w:sz w:val="24"/>
          <w:szCs w:val="24"/>
        </w:rPr>
        <w:t xml:space="preserve">-forlængelse (herunder </w:t>
      </w:r>
      <w:proofErr w:type="spellStart"/>
      <w:r w:rsidRPr="000C2646">
        <w:rPr>
          <w:sz w:val="24"/>
          <w:szCs w:val="24"/>
        </w:rPr>
        <w:t>hypokaliæmi</w:t>
      </w:r>
      <w:proofErr w:type="spellEnd"/>
      <w:r w:rsidRPr="000C2646">
        <w:rPr>
          <w:sz w:val="24"/>
          <w:szCs w:val="24"/>
        </w:rPr>
        <w:t xml:space="preserve">, </w:t>
      </w:r>
      <w:proofErr w:type="spellStart"/>
      <w:r w:rsidRPr="000C2646">
        <w:rPr>
          <w:sz w:val="24"/>
          <w:szCs w:val="24"/>
        </w:rPr>
        <w:t>hypomagnesiæmi</w:t>
      </w:r>
      <w:proofErr w:type="spellEnd"/>
      <w:r w:rsidRPr="000C2646">
        <w:rPr>
          <w:sz w:val="24"/>
          <w:szCs w:val="24"/>
        </w:rPr>
        <w:t xml:space="preserve"> og medfødt langt QT-syndrom), samtidig administration af andre lægemidler, der kan medføre QT-forlængelse eller tilstande der øger eksponeringen for </w:t>
      </w:r>
      <w:proofErr w:type="spellStart"/>
      <w:r w:rsidRPr="000C2646">
        <w:rPr>
          <w:sz w:val="24"/>
          <w:szCs w:val="24"/>
        </w:rPr>
        <w:t>lapatinib</w:t>
      </w:r>
      <w:proofErr w:type="spellEnd"/>
      <w:r w:rsidRPr="000C2646">
        <w:rPr>
          <w:sz w:val="24"/>
          <w:szCs w:val="24"/>
        </w:rPr>
        <w:t>, såsom samtidig administration af stærke inhibitorer af CYP3A4).</w:t>
      </w:r>
    </w:p>
    <w:p w14:paraId="5276C111" w14:textId="711F20B7" w:rsidR="00925ABE" w:rsidRPr="000C2646" w:rsidRDefault="00925ABE" w:rsidP="009534FE">
      <w:pPr>
        <w:autoSpaceDE w:val="0"/>
        <w:autoSpaceDN w:val="0"/>
        <w:adjustRightInd w:val="0"/>
        <w:ind w:left="851"/>
        <w:rPr>
          <w:sz w:val="24"/>
          <w:szCs w:val="24"/>
        </w:rPr>
      </w:pPr>
      <w:r w:rsidRPr="000C2646">
        <w:rPr>
          <w:sz w:val="24"/>
          <w:szCs w:val="24"/>
        </w:rPr>
        <w:t xml:space="preserve">Der skal korrigeres for </w:t>
      </w:r>
      <w:proofErr w:type="spellStart"/>
      <w:r w:rsidRPr="000C2646">
        <w:rPr>
          <w:sz w:val="24"/>
          <w:szCs w:val="24"/>
        </w:rPr>
        <w:t>hypokaliæmi</w:t>
      </w:r>
      <w:proofErr w:type="spellEnd"/>
      <w:r w:rsidRPr="000C2646">
        <w:rPr>
          <w:sz w:val="24"/>
          <w:szCs w:val="24"/>
        </w:rPr>
        <w:t xml:space="preserve"> eller </w:t>
      </w:r>
      <w:proofErr w:type="spellStart"/>
      <w:r w:rsidRPr="000C2646">
        <w:rPr>
          <w:sz w:val="24"/>
          <w:szCs w:val="24"/>
        </w:rPr>
        <w:t>hypomagnesiæmi</w:t>
      </w:r>
      <w:proofErr w:type="spellEnd"/>
      <w:r w:rsidRPr="000C2646">
        <w:rPr>
          <w:sz w:val="24"/>
          <w:szCs w:val="24"/>
        </w:rPr>
        <w:t xml:space="preserve"> før behandlingen. Elektrokardiogram med QT-måling bør foretages før og en til to uger efter opstart af behandling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Hvis klinisk indiceret, f.eks. efter opstart af en samtidig behandling, som kan påvirke QT eller som kan interagere med </w:t>
      </w:r>
      <w:proofErr w:type="spellStart"/>
      <w:r w:rsidRPr="000C2646">
        <w:rPr>
          <w:sz w:val="24"/>
          <w:szCs w:val="24"/>
        </w:rPr>
        <w:t>lapatinib</w:t>
      </w:r>
      <w:proofErr w:type="spellEnd"/>
      <w:r w:rsidRPr="000C2646">
        <w:rPr>
          <w:sz w:val="24"/>
          <w:szCs w:val="24"/>
        </w:rPr>
        <w:t>, bør en ECG-måling også overvejes.</w:t>
      </w:r>
    </w:p>
    <w:p w14:paraId="30D97D19" w14:textId="77777777" w:rsidR="00925ABE" w:rsidRPr="000C2646" w:rsidRDefault="00925ABE" w:rsidP="009534FE">
      <w:pPr>
        <w:autoSpaceDE w:val="0"/>
        <w:autoSpaceDN w:val="0"/>
        <w:adjustRightInd w:val="0"/>
        <w:ind w:left="851"/>
        <w:rPr>
          <w:sz w:val="24"/>
          <w:szCs w:val="24"/>
        </w:rPr>
      </w:pPr>
    </w:p>
    <w:p w14:paraId="22A0EC58" w14:textId="77777777" w:rsidR="00925ABE" w:rsidRPr="000C2646" w:rsidRDefault="00925ABE" w:rsidP="000C2646">
      <w:pPr>
        <w:ind w:left="851"/>
        <w:rPr>
          <w:sz w:val="24"/>
          <w:szCs w:val="24"/>
          <w:u w:val="single"/>
        </w:rPr>
      </w:pPr>
      <w:proofErr w:type="spellStart"/>
      <w:r w:rsidRPr="000C2646">
        <w:rPr>
          <w:sz w:val="24"/>
          <w:szCs w:val="24"/>
          <w:u w:val="single"/>
        </w:rPr>
        <w:t>Interstitiel</w:t>
      </w:r>
      <w:proofErr w:type="spellEnd"/>
      <w:r w:rsidRPr="000C2646">
        <w:rPr>
          <w:sz w:val="24"/>
          <w:szCs w:val="24"/>
          <w:u w:val="single"/>
        </w:rPr>
        <w:t xml:space="preserve"> lungesygdom og pneumonitis</w:t>
      </w:r>
    </w:p>
    <w:p w14:paraId="1297B1A8" w14:textId="77777777" w:rsidR="00925ABE" w:rsidRPr="000C2646" w:rsidRDefault="00925ABE" w:rsidP="000C2646">
      <w:pPr>
        <w:ind w:left="851"/>
        <w:rPr>
          <w:sz w:val="24"/>
          <w:szCs w:val="24"/>
        </w:rPr>
      </w:pPr>
    </w:p>
    <w:p w14:paraId="60872AA8" w14:textId="77777777" w:rsidR="00925ABE" w:rsidRPr="000C2646" w:rsidRDefault="00925ABE" w:rsidP="009534FE">
      <w:pPr>
        <w:autoSpaceDE w:val="0"/>
        <w:autoSpaceDN w:val="0"/>
        <w:adjustRightInd w:val="0"/>
        <w:ind w:left="851"/>
        <w:rPr>
          <w:sz w:val="24"/>
          <w:szCs w:val="24"/>
        </w:rPr>
      </w:pPr>
      <w:proofErr w:type="spellStart"/>
      <w:r w:rsidRPr="000C2646">
        <w:rPr>
          <w:sz w:val="24"/>
          <w:szCs w:val="24"/>
        </w:rPr>
        <w:t>Lapatinib</w:t>
      </w:r>
      <w:proofErr w:type="spellEnd"/>
      <w:r w:rsidRPr="000C2646">
        <w:rPr>
          <w:sz w:val="24"/>
          <w:szCs w:val="24"/>
        </w:rPr>
        <w:t xml:space="preserve"> har været associeret med rapporter om </w:t>
      </w:r>
      <w:proofErr w:type="spellStart"/>
      <w:r w:rsidRPr="000C2646">
        <w:rPr>
          <w:sz w:val="24"/>
          <w:szCs w:val="24"/>
        </w:rPr>
        <w:t>pulmonal</w:t>
      </w:r>
      <w:proofErr w:type="spellEnd"/>
      <w:r w:rsidRPr="000C2646">
        <w:rPr>
          <w:sz w:val="24"/>
          <w:szCs w:val="24"/>
        </w:rPr>
        <w:t xml:space="preserve"> toksicitet herunder </w:t>
      </w:r>
      <w:proofErr w:type="spellStart"/>
      <w:r w:rsidRPr="000C2646">
        <w:rPr>
          <w:sz w:val="24"/>
          <w:szCs w:val="24"/>
        </w:rPr>
        <w:t>interstitiel</w:t>
      </w:r>
      <w:proofErr w:type="spellEnd"/>
      <w:r w:rsidRPr="000C2646">
        <w:rPr>
          <w:sz w:val="24"/>
          <w:szCs w:val="24"/>
        </w:rPr>
        <w:t xml:space="preserve"> lungesygdom og pneumonitis (se pkt. 4.8). Patienterne bør monitoreres for </w:t>
      </w:r>
      <w:proofErr w:type="spellStart"/>
      <w:r w:rsidRPr="000C2646">
        <w:rPr>
          <w:sz w:val="24"/>
          <w:szCs w:val="24"/>
        </w:rPr>
        <w:t>pulmonal</w:t>
      </w:r>
      <w:proofErr w:type="spellEnd"/>
      <w:r w:rsidRPr="000C2646">
        <w:rPr>
          <w:sz w:val="24"/>
          <w:szCs w:val="24"/>
        </w:rPr>
        <w:t xml:space="preserve"> toksicitet (dyspnø, hoste, feber), og behandlingen skal seponeres hos patienter, som får symptomer af NCI CTCAE-grad 3 eller derover. </w:t>
      </w:r>
      <w:proofErr w:type="spellStart"/>
      <w:r w:rsidRPr="000C2646">
        <w:rPr>
          <w:sz w:val="24"/>
          <w:szCs w:val="24"/>
        </w:rPr>
        <w:t>Pulmonal</w:t>
      </w:r>
      <w:proofErr w:type="spellEnd"/>
      <w:r w:rsidRPr="000C2646">
        <w:rPr>
          <w:sz w:val="24"/>
          <w:szCs w:val="24"/>
        </w:rPr>
        <w:t xml:space="preserve"> toksicitet kan være svær og medføre respirationsinsufficiens. Der er rapporteret om letale tilfælde, hvor dødsårsagen er uvis.</w:t>
      </w:r>
    </w:p>
    <w:p w14:paraId="3C7C6AD0" w14:textId="77777777" w:rsidR="00925ABE" w:rsidRPr="000C2646" w:rsidRDefault="00925ABE" w:rsidP="009534FE">
      <w:pPr>
        <w:ind w:left="851"/>
        <w:rPr>
          <w:sz w:val="24"/>
          <w:szCs w:val="24"/>
        </w:rPr>
      </w:pPr>
    </w:p>
    <w:p w14:paraId="0C1A8A1A" w14:textId="77777777" w:rsidR="00925ABE" w:rsidRPr="000C2646" w:rsidRDefault="00925ABE" w:rsidP="000C2646">
      <w:pPr>
        <w:ind w:left="851"/>
        <w:rPr>
          <w:sz w:val="24"/>
          <w:szCs w:val="24"/>
          <w:u w:val="single"/>
        </w:rPr>
      </w:pPr>
      <w:r w:rsidRPr="000C2646">
        <w:rPr>
          <w:sz w:val="24"/>
          <w:szCs w:val="24"/>
          <w:u w:val="single"/>
        </w:rPr>
        <w:t>Levertoksicitet</w:t>
      </w:r>
    </w:p>
    <w:p w14:paraId="7130C76E" w14:textId="77777777" w:rsidR="00925ABE" w:rsidRPr="000C2646" w:rsidRDefault="00925ABE" w:rsidP="000C2646">
      <w:pPr>
        <w:ind w:left="851"/>
        <w:rPr>
          <w:sz w:val="24"/>
          <w:szCs w:val="24"/>
        </w:rPr>
      </w:pPr>
    </w:p>
    <w:p w14:paraId="775FCBCE" w14:textId="3EC8117B" w:rsidR="00925ABE" w:rsidRPr="000C2646" w:rsidRDefault="00925ABE" w:rsidP="009534FE">
      <w:pPr>
        <w:ind w:left="851"/>
        <w:rPr>
          <w:sz w:val="24"/>
          <w:szCs w:val="24"/>
        </w:rPr>
      </w:pPr>
      <w:r w:rsidRPr="000C2646">
        <w:rPr>
          <w:sz w:val="24"/>
          <w:szCs w:val="24"/>
        </w:rPr>
        <w:t xml:space="preserve">Levertoksicitet er set ved brug af </w:t>
      </w:r>
      <w:proofErr w:type="spellStart"/>
      <w:r w:rsidRPr="000C2646">
        <w:rPr>
          <w:sz w:val="24"/>
          <w:szCs w:val="24"/>
        </w:rPr>
        <w:t>lapatinib</w:t>
      </w:r>
      <w:proofErr w:type="spellEnd"/>
      <w:r w:rsidRPr="000C2646">
        <w:rPr>
          <w:sz w:val="24"/>
          <w:szCs w:val="24"/>
        </w:rPr>
        <w:t xml:space="preserve"> og kan i sjældne tilfælde være letal. Levertoksicitet kan forekomme dage til flere måneder efter behandlingens påbegyndelse. Ved behandlingsstart skal patienterne informeres om risikoen for levertoksicitet. Leverfunktionen (</w:t>
      </w:r>
      <w:proofErr w:type="spellStart"/>
      <w:r w:rsidRPr="000C2646">
        <w:rPr>
          <w:sz w:val="24"/>
          <w:szCs w:val="24"/>
        </w:rPr>
        <w:t>transaminaser</w:t>
      </w:r>
      <w:proofErr w:type="spellEnd"/>
      <w:r w:rsidRPr="000C2646">
        <w:rPr>
          <w:sz w:val="24"/>
          <w:szCs w:val="24"/>
        </w:rPr>
        <w:t xml:space="preserve">, bilirubin og alkalisk fosfatase) bør monitoreres, før behandlingen påbegyndes og månedligt derefter, eller som klinisk indiceret. Behandlingen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bør afbrydes ved alvorlige ændringer i leverfunktionen, og behandlingen bør ikke genoptages hos disse patienter. Patienter, som er bærere af HLA-allelerne DQA1*02:01 og DRB1*07:01, har øget risiko for </w:t>
      </w:r>
      <w:proofErr w:type="spellStart"/>
      <w:r w:rsidRPr="000C2646">
        <w:rPr>
          <w:sz w:val="24"/>
          <w:szCs w:val="24"/>
        </w:rPr>
        <w:t>lapatinib</w:t>
      </w:r>
      <w:proofErr w:type="spellEnd"/>
      <w:r w:rsidRPr="000C2646">
        <w:rPr>
          <w:sz w:val="24"/>
          <w:szCs w:val="24"/>
        </w:rPr>
        <w:t xml:space="preserve">-associeret levertoksicitet. I et stort randomiseret klinisk studie med </w:t>
      </w:r>
      <w:proofErr w:type="spellStart"/>
      <w:r w:rsidRPr="000C2646">
        <w:rPr>
          <w:sz w:val="24"/>
          <w:szCs w:val="24"/>
        </w:rPr>
        <w:t>lapatinib</w:t>
      </w:r>
      <w:proofErr w:type="spellEnd"/>
      <w:r w:rsidRPr="000C2646">
        <w:rPr>
          <w:sz w:val="24"/>
          <w:szCs w:val="24"/>
        </w:rPr>
        <w:t xml:space="preserve">-monoterapi (n = 1194) var den kumulative frekvens af alvorlige leverskader (ALAT &gt; 5 gange øvre normalgrænse, NCI </w:t>
      </w:r>
      <w:proofErr w:type="gramStart"/>
      <w:r w:rsidRPr="000C2646">
        <w:rPr>
          <w:sz w:val="24"/>
          <w:szCs w:val="24"/>
        </w:rPr>
        <w:t>CTCAE grad</w:t>
      </w:r>
      <w:proofErr w:type="gramEnd"/>
      <w:r w:rsidRPr="000C2646">
        <w:rPr>
          <w:sz w:val="24"/>
          <w:szCs w:val="24"/>
        </w:rPr>
        <w:t> 3) samlet set 2,8 % efter 1 års behandling. Den kumulative frekvens var 10,3 % hos bærere af allelerne DQA1*02:01 og DRB1*07:01 og 0,5 % hos ikke-bærere. Bærere af HLA-risiko-alleler er almindeligt forekommende (15-25 %) i kaukasiske, asiatiske, afrikanske og latinamerikanske populationer, men lavere (1 %) i japanske populationer.</w:t>
      </w:r>
    </w:p>
    <w:p w14:paraId="311A9FFD" w14:textId="77777777" w:rsidR="00925ABE" w:rsidRPr="000C2646" w:rsidRDefault="00925ABE" w:rsidP="009534FE">
      <w:pPr>
        <w:ind w:left="851"/>
        <w:rPr>
          <w:sz w:val="24"/>
          <w:szCs w:val="24"/>
        </w:rPr>
      </w:pPr>
    </w:p>
    <w:p w14:paraId="65787404" w14:textId="77777777" w:rsidR="00925ABE" w:rsidRPr="000C2646" w:rsidRDefault="00925ABE" w:rsidP="009534FE">
      <w:pPr>
        <w:ind w:left="851"/>
        <w:rPr>
          <w:sz w:val="24"/>
          <w:szCs w:val="24"/>
        </w:rPr>
      </w:pPr>
      <w:r w:rsidRPr="000C2646">
        <w:rPr>
          <w:sz w:val="24"/>
          <w:szCs w:val="24"/>
        </w:rPr>
        <w:t xml:space="preserve">Der skal udvises forsigtighed, hvis </w:t>
      </w:r>
      <w:proofErr w:type="spellStart"/>
      <w:r w:rsidRPr="000C2646">
        <w:rPr>
          <w:sz w:val="24"/>
          <w:szCs w:val="24"/>
        </w:rPr>
        <w:t>lapatinib</w:t>
      </w:r>
      <w:proofErr w:type="spellEnd"/>
      <w:r w:rsidRPr="000C2646">
        <w:rPr>
          <w:sz w:val="24"/>
          <w:szCs w:val="24"/>
        </w:rPr>
        <w:t xml:space="preserve"> gives til patienter med moderat eller svært nedsat leverfunktion og til patienter med svært nedsat nyrefunktion (se pkt. 4.2 og 5.2).</w:t>
      </w:r>
    </w:p>
    <w:p w14:paraId="5907A5C1" w14:textId="77777777" w:rsidR="00925ABE" w:rsidRPr="000C2646" w:rsidRDefault="00925ABE" w:rsidP="009534FE">
      <w:pPr>
        <w:ind w:left="851"/>
        <w:rPr>
          <w:sz w:val="24"/>
          <w:szCs w:val="24"/>
        </w:rPr>
      </w:pPr>
    </w:p>
    <w:p w14:paraId="156EB0F6" w14:textId="77777777" w:rsidR="00925ABE" w:rsidRPr="000C2646" w:rsidRDefault="00925ABE" w:rsidP="000C2646">
      <w:pPr>
        <w:ind w:left="851"/>
        <w:rPr>
          <w:sz w:val="24"/>
          <w:szCs w:val="24"/>
          <w:u w:val="single"/>
        </w:rPr>
      </w:pPr>
      <w:r w:rsidRPr="000C2646">
        <w:rPr>
          <w:sz w:val="24"/>
          <w:szCs w:val="24"/>
          <w:u w:val="single"/>
        </w:rPr>
        <w:t>Diarré</w:t>
      </w:r>
    </w:p>
    <w:p w14:paraId="52878AA8" w14:textId="77777777" w:rsidR="00925ABE" w:rsidRPr="000C2646" w:rsidRDefault="00925ABE" w:rsidP="000C2646">
      <w:pPr>
        <w:ind w:left="851"/>
        <w:rPr>
          <w:sz w:val="24"/>
          <w:szCs w:val="24"/>
        </w:rPr>
      </w:pPr>
    </w:p>
    <w:p w14:paraId="34DF3F33" w14:textId="77777777" w:rsidR="00925ABE" w:rsidRPr="000C2646" w:rsidRDefault="00925ABE" w:rsidP="009534FE">
      <w:pPr>
        <w:ind w:left="851"/>
        <w:rPr>
          <w:sz w:val="24"/>
          <w:szCs w:val="24"/>
        </w:rPr>
      </w:pPr>
      <w:r w:rsidRPr="000C2646">
        <w:rPr>
          <w:sz w:val="24"/>
          <w:szCs w:val="24"/>
        </w:rPr>
        <w:t xml:space="preserve">Der er rapporteret om diarré herunder svær diarré ved behandling med </w:t>
      </w:r>
      <w:proofErr w:type="spellStart"/>
      <w:r w:rsidRPr="000C2646">
        <w:rPr>
          <w:sz w:val="24"/>
          <w:szCs w:val="24"/>
        </w:rPr>
        <w:t>lapatinib</w:t>
      </w:r>
      <w:proofErr w:type="spellEnd"/>
      <w:r w:rsidRPr="000C2646">
        <w:rPr>
          <w:sz w:val="24"/>
          <w:szCs w:val="24"/>
        </w:rPr>
        <w:t xml:space="preserve"> (se pkt. 4.8). Diarré kan potentielt være livstruende, hvis der opstår dehydrering, nyreinsufficiens, </w:t>
      </w:r>
      <w:proofErr w:type="spellStart"/>
      <w:r w:rsidRPr="000C2646">
        <w:rPr>
          <w:sz w:val="24"/>
          <w:szCs w:val="24"/>
        </w:rPr>
        <w:t>neutropeni</w:t>
      </w:r>
      <w:proofErr w:type="spellEnd"/>
      <w:r w:rsidRPr="000C2646">
        <w:rPr>
          <w:sz w:val="24"/>
          <w:szCs w:val="24"/>
        </w:rPr>
        <w:t xml:space="preserve"> og/eller ubalance i elektrolytter, og tilfælde med dødelig udgang er rapporteret. Normalt opstår diarré tidligt i behandlingen med </w:t>
      </w:r>
      <w:proofErr w:type="spellStart"/>
      <w:r w:rsidRPr="000C2646">
        <w:rPr>
          <w:sz w:val="24"/>
          <w:szCs w:val="24"/>
        </w:rPr>
        <w:t>lapatinib</w:t>
      </w:r>
      <w:proofErr w:type="spellEnd"/>
      <w:r w:rsidRPr="000C2646">
        <w:rPr>
          <w:sz w:val="24"/>
          <w:szCs w:val="24"/>
        </w:rPr>
        <w:t xml:space="preserve">. Diarré </w:t>
      </w:r>
      <w:r w:rsidRPr="000C2646">
        <w:rPr>
          <w:sz w:val="24"/>
          <w:szCs w:val="24"/>
        </w:rPr>
        <w:lastRenderedPageBreak/>
        <w:t xml:space="preserve">optrådte inden for de første 6 dage af behandlingen hos næsten halvdelen af de patienter, som fik diarré. Diarréen varer normal 4-5 dage. Diarré på grund af </w:t>
      </w:r>
      <w:proofErr w:type="spellStart"/>
      <w:r w:rsidRPr="000C2646">
        <w:rPr>
          <w:sz w:val="24"/>
          <w:szCs w:val="24"/>
        </w:rPr>
        <w:t>lapatinib</w:t>
      </w:r>
      <w:proofErr w:type="spellEnd"/>
      <w:r w:rsidRPr="000C2646">
        <w:rPr>
          <w:sz w:val="24"/>
          <w:szCs w:val="24"/>
        </w:rPr>
        <w:t xml:space="preserve"> er normalt af lav grad, alvorlig diarré NCI </w:t>
      </w:r>
      <w:proofErr w:type="gramStart"/>
      <w:r w:rsidRPr="000C2646">
        <w:rPr>
          <w:sz w:val="24"/>
          <w:szCs w:val="24"/>
        </w:rPr>
        <w:t>CTCAE grad</w:t>
      </w:r>
      <w:proofErr w:type="gramEnd"/>
      <w:r w:rsidRPr="000C2646">
        <w:rPr>
          <w:sz w:val="24"/>
          <w:szCs w:val="24"/>
        </w:rPr>
        <w:t xml:space="preserve"> 3 og 4 ses hos henholdsvis &lt; 10 % og &lt; 1 % af patienterne. Ved behandlingsstart bør patientens afføringsmønster og eventuelle andre symptomer (f.eks. feber, krampelignende mavesmerter, kvalme, opkastning, svimmelhed og tørst) fastlægges for at gøre det muligt at opdage ændringer under behandlingen og gøre det nemmere at identificere patienter med øget risiko for diarré. Patienterne skal informeres om øjeblikkeligt at indberette eventuelle ændringer i afføringsmønsteret. I potentielt alvorlige tilfælde af diarré skal måling af </w:t>
      </w:r>
      <w:proofErr w:type="spellStart"/>
      <w:r w:rsidRPr="000C2646">
        <w:rPr>
          <w:sz w:val="24"/>
          <w:szCs w:val="24"/>
        </w:rPr>
        <w:t>neutrofiltal</w:t>
      </w:r>
      <w:proofErr w:type="spellEnd"/>
      <w:r w:rsidRPr="000C2646">
        <w:rPr>
          <w:sz w:val="24"/>
          <w:szCs w:val="24"/>
        </w:rPr>
        <w:t xml:space="preserve"> og kropstemperatur overvejes. Proaktiv behandling af diarré med </w:t>
      </w:r>
      <w:proofErr w:type="spellStart"/>
      <w:r w:rsidRPr="000C2646">
        <w:rPr>
          <w:sz w:val="24"/>
          <w:szCs w:val="24"/>
        </w:rPr>
        <w:t>obstipantia</w:t>
      </w:r>
      <w:proofErr w:type="spellEnd"/>
      <w:r w:rsidRPr="000C2646">
        <w:rPr>
          <w:sz w:val="24"/>
          <w:szCs w:val="24"/>
        </w:rPr>
        <w:t xml:space="preserve"> er vigtigt. Svære tilfælde af diarré kan nødvendiggøre administration af orale eller intravenøse elektrolytter og væsker, brug af antibiotika såsom </w:t>
      </w:r>
      <w:proofErr w:type="spellStart"/>
      <w:r w:rsidRPr="000C2646">
        <w:rPr>
          <w:sz w:val="24"/>
          <w:szCs w:val="24"/>
        </w:rPr>
        <w:t>fluoroquinoloner</w:t>
      </w:r>
      <w:proofErr w:type="spellEnd"/>
      <w:r w:rsidRPr="000C2646">
        <w:rPr>
          <w:sz w:val="24"/>
          <w:szCs w:val="24"/>
        </w:rPr>
        <w:t xml:space="preserve"> (specielt, hvis diarréen har varet over 24 timer, eller hvis der er feber eller grad 3 eller 4 </w:t>
      </w:r>
      <w:proofErr w:type="spellStart"/>
      <w:r w:rsidRPr="000C2646">
        <w:rPr>
          <w:sz w:val="24"/>
          <w:szCs w:val="24"/>
        </w:rPr>
        <w:t>neutropeni</w:t>
      </w:r>
      <w:proofErr w:type="spellEnd"/>
      <w:r w:rsidRPr="000C2646">
        <w:rPr>
          <w:sz w:val="24"/>
          <w:szCs w:val="24"/>
        </w:rPr>
        <w:t xml:space="preserve">) og afbrydelse eller </w:t>
      </w:r>
      <w:proofErr w:type="spellStart"/>
      <w:r w:rsidRPr="000C2646">
        <w:rPr>
          <w:sz w:val="24"/>
          <w:szCs w:val="24"/>
        </w:rPr>
        <w:t>seponering</w:t>
      </w:r>
      <w:proofErr w:type="spellEnd"/>
      <w:r w:rsidRPr="000C2646">
        <w:rPr>
          <w:sz w:val="24"/>
          <w:szCs w:val="24"/>
        </w:rPr>
        <w:t xml:space="preserve"> af </w:t>
      </w:r>
      <w:proofErr w:type="spellStart"/>
      <w:r w:rsidRPr="000C2646">
        <w:rPr>
          <w:sz w:val="24"/>
          <w:szCs w:val="24"/>
        </w:rPr>
        <w:t>lapatinib</w:t>
      </w:r>
      <w:proofErr w:type="spellEnd"/>
      <w:r w:rsidRPr="000C2646">
        <w:rPr>
          <w:sz w:val="24"/>
          <w:szCs w:val="24"/>
        </w:rPr>
        <w:t>-behandlingen (se pkt. 4.2 - midlertidig afbrydelse af behandling og nedsættelse af dosis - diarré).</w:t>
      </w:r>
    </w:p>
    <w:p w14:paraId="73885E24" w14:textId="77777777" w:rsidR="00925ABE" w:rsidRPr="000C2646" w:rsidRDefault="00925ABE" w:rsidP="009534FE">
      <w:pPr>
        <w:ind w:left="851"/>
        <w:rPr>
          <w:sz w:val="24"/>
          <w:szCs w:val="24"/>
        </w:rPr>
      </w:pPr>
    </w:p>
    <w:p w14:paraId="51908A61" w14:textId="77777777" w:rsidR="00925ABE" w:rsidRPr="000C2646" w:rsidRDefault="00925ABE" w:rsidP="000C2646">
      <w:pPr>
        <w:ind w:left="851"/>
        <w:rPr>
          <w:sz w:val="24"/>
          <w:szCs w:val="24"/>
          <w:u w:val="single"/>
        </w:rPr>
      </w:pPr>
      <w:r w:rsidRPr="000C2646">
        <w:rPr>
          <w:sz w:val="24"/>
          <w:szCs w:val="24"/>
          <w:u w:val="single"/>
        </w:rPr>
        <w:t>Alvorlige hudlidelser</w:t>
      </w:r>
    </w:p>
    <w:p w14:paraId="31199C75" w14:textId="77777777" w:rsidR="00925ABE" w:rsidRPr="000C2646" w:rsidRDefault="00925ABE" w:rsidP="000C2646">
      <w:pPr>
        <w:ind w:left="851"/>
        <w:rPr>
          <w:sz w:val="24"/>
          <w:szCs w:val="24"/>
        </w:rPr>
      </w:pPr>
    </w:p>
    <w:p w14:paraId="3E93F997" w14:textId="5C2BB185" w:rsidR="00925ABE" w:rsidRPr="000C2646" w:rsidRDefault="00925ABE" w:rsidP="009534FE">
      <w:pPr>
        <w:ind w:left="851"/>
        <w:rPr>
          <w:sz w:val="24"/>
          <w:szCs w:val="24"/>
        </w:rPr>
      </w:pPr>
      <w:r w:rsidRPr="000C2646">
        <w:rPr>
          <w:sz w:val="24"/>
          <w:szCs w:val="24"/>
        </w:rPr>
        <w:t xml:space="preserve">Alvorlige hudlidelser er set ved anvendelse af </w:t>
      </w:r>
      <w:proofErr w:type="spellStart"/>
      <w:r w:rsidRPr="000C2646">
        <w:rPr>
          <w:sz w:val="24"/>
          <w:szCs w:val="24"/>
        </w:rPr>
        <w:t>lapatinib</w:t>
      </w:r>
      <w:proofErr w:type="spellEnd"/>
      <w:r w:rsidRPr="000C2646">
        <w:rPr>
          <w:sz w:val="24"/>
          <w:szCs w:val="24"/>
        </w:rPr>
        <w:t xml:space="preserve">. Hvis der er mistanke om </w:t>
      </w:r>
      <w:proofErr w:type="spellStart"/>
      <w:r w:rsidRPr="000C2646">
        <w:rPr>
          <w:sz w:val="24"/>
          <w:szCs w:val="24"/>
        </w:rPr>
        <w:t>erythema</w:t>
      </w:r>
      <w:proofErr w:type="spellEnd"/>
      <w:r w:rsidRPr="000C2646">
        <w:rPr>
          <w:sz w:val="24"/>
          <w:szCs w:val="24"/>
        </w:rPr>
        <w:t xml:space="preserve"> multiforme eller livstruende lidelser såsom Stevens-Johnsons syndrom eller toksisk </w:t>
      </w:r>
      <w:proofErr w:type="spellStart"/>
      <w:r w:rsidRPr="000C2646">
        <w:rPr>
          <w:sz w:val="24"/>
          <w:szCs w:val="24"/>
        </w:rPr>
        <w:t>epidermal</w:t>
      </w:r>
      <w:proofErr w:type="spellEnd"/>
      <w:r w:rsidRPr="000C2646">
        <w:rPr>
          <w:sz w:val="24"/>
          <w:szCs w:val="24"/>
        </w:rPr>
        <w:t xml:space="preserve"> </w:t>
      </w:r>
      <w:proofErr w:type="spellStart"/>
      <w:r w:rsidRPr="000C2646">
        <w:rPr>
          <w:sz w:val="24"/>
          <w:szCs w:val="24"/>
        </w:rPr>
        <w:t>nekrolyse</w:t>
      </w:r>
      <w:proofErr w:type="spellEnd"/>
      <w:r w:rsidRPr="000C2646">
        <w:rPr>
          <w:sz w:val="24"/>
          <w:szCs w:val="24"/>
        </w:rPr>
        <w:t xml:space="preserve"> (f.eks. progressivt hududslæt ofte med blærer eller </w:t>
      </w:r>
      <w:proofErr w:type="spellStart"/>
      <w:r w:rsidRPr="000C2646">
        <w:rPr>
          <w:sz w:val="24"/>
          <w:szCs w:val="24"/>
        </w:rPr>
        <w:t>mucosale</w:t>
      </w:r>
      <w:proofErr w:type="spellEnd"/>
      <w:r w:rsidRPr="000C2646">
        <w:rPr>
          <w:sz w:val="24"/>
          <w:szCs w:val="24"/>
        </w:rPr>
        <w:t xml:space="preserve"> læsioner) skal behandlingen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seponeres.</w:t>
      </w:r>
    </w:p>
    <w:p w14:paraId="4DDADB77" w14:textId="77777777" w:rsidR="00925ABE" w:rsidRPr="000C2646" w:rsidRDefault="00925ABE" w:rsidP="009534FE">
      <w:pPr>
        <w:ind w:left="851"/>
        <w:rPr>
          <w:sz w:val="24"/>
          <w:szCs w:val="24"/>
        </w:rPr>
      </w:pPr>
    </w:p>
    <w:p w14:paraId="60223441" w14:textId="77777777" w:rsidR="00925ABE" w:rsidRPr="000C2646" w:rsidRDefault="00925ABE" w:rsidP="000C2646">
      <w:pPr>
        <w:ind w:left="851"/>
        <w:rPr>
          <w:sz w:val="24"/>
          <w:szCs w:val="24"/>
          <w:u w:val="single"/>
        </w:rPr>
      </w:pPr>
      <w:r w:rsidRPr="000C2646">
        <w:rPr>
          <w:sz w:val="24"/>
          <w:szCs w:val="24"/>
          <w:u w:val="single"/>
        </w:rPr>
        <w:t>Samtidig behandling med CYP3A4-hæmmere eller -induktorer</w:t>
      </w:r>
    </w:p>
    <w:p w14:paraId="1B3B7B28" w14:textId="77777777" w:rsidR="00925ABE" w:rsidRPr="000C2646" w:rsidRDefault="00925ABE" w:rsidP="000C2646">
      <w:pPr>
        <w:ind w:left="851"/>
        <w:rPr>
          <w:sz w:val="24"/>
          <w:szCs w:val="24"/>
        </w:rPr>
      </w:pPr>
    </w:p>
    <w:p w14:paraId="53F06354" w14:textId="77777777" w:rsidR="00925ABE" w:rsidRPr="000C2646" w:rsidRDefault="00925ABE" w:rsidP="009534FE">
      <w:pPr>
        <w:ind w:left="851"/>
        <w:rPr>
          <w:sz w:val="24"/>
          <w:szCs w:val="24"/>
        </w:rPr>
      </w:pPr>
      <w:r w:rsidRPr="000C2646">
        <w:rPr>
          <w:sz w:val="24"/>
          <w:szCs w:val="24"/>
        </w:rPr>
        <w:t xml:space="preserve">Samtidig behandling med induktorer af CYP3A4 bør undgås pga. risiko for nedsat optagelse af </w:t>
      </w:r>
      <w:proofErr w:type="spellStart"/>
      <w:r w:rsidRPr="000C2646">
        <w:rPr>
          <w:sz w:val="24"/>
          <w:szCs w:val="24"/>
        </w:rPr>
        <w:t>lapatinib</w:t>
      </w:r>
      <w:proofErr w:type="spellEnd"/>
      <w:r w:rsidRPr="000C2646">
        <w:rPr>
          <w:sz w:val="24"/>
          <w:szCs w:val="24"/>
        </w:rPr>
        <w:t xml:space="preserve"> (se pkt. 4.5).</w:t>
      </w:r>
    </w:p>
    <w:p w14:paraId="481F7764" w14:textId="77777777" w:rsidR="00925ABE" w:rsidRPr="000C2646" w:rsidRDefault="00925ABE" w:rsidP="009534FE">
      <w:pPr>
        <w:ind w:left="851"/>
        <w:rPr>
          <w:sz w:val="24"/>
          <w:szCs w:val="24"/>
        </w:rPr>
      </w:pPr>
    </w:p>
    <w:p w14:paraId="7A34040D" w14:textId="77777777" w:rsidR="00925ABE" w:rsidRPr="000C2646" w:rsidRDefault="00925ABE" w:rsidP="009534FE">
      <w:pPr>
        <w:ind w:left="851"/>
        <w:rPr>
          <w:sz w:val="24"/>
          <w:szCs w:val="24"/>
        </w:rPr>
      </w:pPr>
      <w:r w:rsidRPr="000C2646">
        <w:rPr>
          <w:sz w:val="24"/>
          <w:szCs w:val="24"/>
        </w:rPr>
        <w:t xml:space="preserve">Samtidig behandling med stærke inhibitorer af CYP3A4 bør undgås pga. risiko for øget optagelse af </w:t>
      </w:r>
      <w:proofErr w:type="spellStart"/>
      <w:r w:rsidRPr="000C2646">
        <w:rPr>
          <w:sz w:val="24"/>
          <w:szCs w:val="24"/>
        </w:rPr>
        <w:t>lapatinib</w:t>
      </w:r>
      <w:proofErr w:type="spellEnd"/>
      <w:r w:rsidRPr="000C2646">
        <w:rPr>
          <w:sz w:val="24"/>
          <w:szCs w:val="24"/>
        </w:rPr>
        <w:t xml:space="preserve"> (se pkt. 4.5).</w:t>
      </w:r>
    </w:p>
    <w:p w14:paraId="388C66ED" w14:textId="77777777" w:rsidR="00925ABE" w:rsidRPr="000C2646" w:rsidRDefault="00925ABE" w:rsidP="009534FE">
      <w:pPr>
        <w:ind w:left="851"/>
        <w:rPr>
          <w:sz w:val="24"/>
          <w:szCs w:val="24"/>
        </w:rPr>
      </w:pPr>
    </w:p>
    <w:p w14:paraId="7D5563D7" w14:textId="477FE4A0" w:rsidR="00925ABE" w:rsidRPr="000C2646" w:rsidRDefault="00925ABE" w:rsidP="009534FE">
      <w:pPr>
        <w:ind w:left="851"/>
        <w:rPr>
          <w:sz w:val="24"/>
          <w:szCs w:val="24"/>
        </w:rPr>
      </w:pPr>
      <w:r w:rsidRPr="000C2646">
        <w:rPr>
          <w:sz w:val="24"/>
          <w:szCs w:val="24"/>
        </w:rPr>
        <w:t xml:space="preserve">Indtagelse af grapefrugtjuice bør undgås under behandling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(se pkt. 4.5).</w:t>
      </w:r>
    </w:p>
    <w:p w14:paraId="4FE435D3" w14:textId="77777777" w:rsidR="00925ABE" w:rsidRPr="000C2646" w:rsidRDefault="00925ABE" w:rsidP="009534FE">
      <w:pPr>
        <w:ind w:left="851"/>
        <w:rPr>
          <w:sz w:val="24"/>
          <w:szCs w:val="24"/>
        </w:rPr>
      </w:pPr>
    </w:p>
    <w:p w14:paraId="00F1D046" w14:textId="5C7BA4C5"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med oralt administrerede lægemidler med et smalt terapeutisk vindue, som er substrater for CYP3A4 og/eller CYP2C8, bør undgås (se pkt. 4.5).</w:t>
      </w:r>
    </w:p>
    <w:p w14:paraId="57CFC121" w14:textId="77777777" w:rsidR="00925ABE" w:rsidRPr="000C2646" w:rsidRDefault="00925ABE" w:rsidP="009534FE">
      <w:pPr>
        <w:ind w:left="851"/>
        <w:rPr>
          <w:sz w:val="24"/>
          <w:szCs w:val="24"/>
        </w:rPr>
      </w:pPr>
    </w:p>
    <w:p w14:paraId="5830F591" w14:textId="77777777" w:rsidR="00925ABE" w:rsidRPr="000C2646" w:rsidRDefault="00925ABE" w:rsidP="009534FE">
      <w:pPr>
        <w:ind w:left="851"/>
        <w:rPr>
          <w:sz w:val="24"/>
          <w:szCs w:val="24"/>
        </w:rPr>
      </w:pPr>
      <w:r w:rsidRPr="000C2646">
        <w:rPr>
          <w:sz w:val="24"/>
          <w:szCs w:val="24"/>
        </w:rPr>
        <w:t xml:space="preserve">Samtidig behandling med stoffer, der øger gastrisk pH, bør undgås, idet opløseligheden og absorptionen af </w:t>
      </w:r>
      <w:proofErr w:type="spellStart"/>
      <w:r w:rsidRPr="000C2646">
        <w:rPr>
          <w:sz w:val="24"/>
          <w:szCs w:val="24"/>
        </w:rPr>
        <w:t>lapatinib</w:t>
      </w:r>
      <w:proofErr w:type="spellEnd"/>
      <w:r w:rsidRPr="000C2646">
        <w:rPr>
          <w:sz w:val="24"/>
          <w:szCs w:val="24"/>
        </w:rPr>
        <w:t xml:space="preserve"> kan reduceres (se pkt. 4.5).</w:t>
      </w:r>
    </w:p>
    <w:p w14:paraId="6949942A" w14:textId="77777777" w:rsidR="00925ABE" w:rsidRPr="000C2646" w:rsidRDefault="00925ABE" w:rsidP="009534FE">
      <w:pPr>
        <w:ind w:left="851"/>
        <w:rPr>
          <w:sz w:val="24"/>
          <w:szCs w:val="24"/>
        </w:rPr>
      </w:pPr>
    </w:p>
    <w:p w14:paraId="46C5FCF4" w14:textId="46549D0E" w:rsidR="00925ABE" w:rsidRPr="000C2646" w:rsidRDefault="00925ABE" w:rsidP="000C2646">
      <w:pPr>
        <w:ind w:left="851"/>
        <w:rPr>
          <w:sz w:val="24"/>
          <w:szCs w:val="24"/>
          <w:u w:val="single"/>
        </w:rPr>
      </w:pPr>
      <w:proofErr w:type="spellStart"/>
      <w:r w:rsidRPr="000C2646">
        <w:rPr>
          <w:sz w:val="24"/>
          <w:szCs w:val="24"/>
          <w:u w:val="single"/>
        </w:rPr>
        <w:t>Lapatinib</w:t>
      </w:r>
      <w:proofErr w:type="spellEnd"/>
      <w:r w:rsidRPr="000C2646">
        <w:rPr>
          <w:sz w:val="24"/>
          <w:szCs w:val="24"/>
          <w:u w:val="single"/>
        </w:rPr>
        <w:t xml:space="preserve"> </w:t>
      </w:r>
      <w:r w:rsidR="002417A3">
        <w:rPr>
          <w:sz w:val="24"/>
          <w:szCs w:val="24"/>
          <w:u w:val="single"/>
        </w:rPr>
        <w:t>"</w:t>
      </w:r>
      <w:proofErr w:type="spellStart"/>
      <w:r w:rsidRPr="000C2646">
        <w:rPr>
          <w:sz w:val="24"/>
          <w:szCs w:val="24"/>
          <w:u w:val="single"/>
        </w:rPr>
        <w:t>Newbury</w:t>
      </w:r>
      <w:proofErr w:type="spellEnd"/>
      <w:r w:rsidR="002417A3">
        <w:rPr>
          <w:sz w:val="24"/>
          <w:szCs w:val="24"/>
          <w:u w:val="single"/>
        </w:rPr>
        <w:t>"</w:t>
      </w:r>
      <w:r w:rsidRPr="000C2646">
        <w:rPr>
          <w:sz w:val="24"/>
          <w:szCs w:val="24"/>
          <w:u w:val="single"/>
        </w:rPr>
        <w:t xml:space="preserve"> indeholder natrium</w:t>
      </w:r>
    </w:p>
    <w:p w14:paraId="3485F37C" w14:textId="77777777" w:rsidR="00925ABE" w:rsidRPr="000C2646" w:rsidRDefault="00925ABE" w:rsidP="000C2646">
      <w:pPr>
        <w:ind w:left="851"/>
        <w:rPr>
          <w:sz w:val="24"/>
          <w:szCs w:val="24"/>
        </w:rPr>
      </w:pPr>
    </w:p>
    <w:p w14:paraId="11DAA388" w14:textId="77777777" w:rsidR="00925ABE" w:rsidRPr="000C2646" w:rsidRDefault="00925ABE" w:rsidP="009534FE">
      <w:pPr>
        <w:ind w:left="851"/>
        <w:rPr>
          <w:sz w:val="24"/>
          <w:szCs w:val="24"/>
        </w:rPr>
      </w:pPr>
      <w:r w:rsidRPr="000C2646">
        <w:rPr>
          <w:sz w:val="24"/>
          <w:szCs w:val="24"/>
        </w:rPr>
        <w:t>Dette lægemiddel indeholder mindre end 1 mmol (23 mg) natrium pr. tablet, dvs. det er i det væsentlige natriumfrit.</w:t>
      </w:r>
    </w:p>
    <w:p w14:paraId="32B8C398" w14:textId="77777777" w:rsidR="009260DE" w:rsidRPr="000C2646" w:rsidRDefault="009260DE" w:rsidP="009260DE">
      <w:pPr>
        <w:tabs>
          <w:tab w:val="left" w:pos="851"/>
        </w:tabs>
        <w:ind w:left="851"/>
        <w:rPr>
          <w:sz w:val="24"/>
          <w:szCs w:val="24"/>
        </w:rPr>
      </w:pPr>
    </w:p>
    <w:p w14:paraId="753468B2" w14:textId="77777777" w:rsidR="009260DE" w:rsidRPr="000C2646" w:rsidRDefault="009260DE" w:rsidP="009260DE">
      <w:pPr>
        <w:tabs>
          <w:tab w:val="left" w:pos="851"/>
        </w:tabs>
        <w:ind w:left="851" w:hanging="851"/>
        <w:rPr>
          <w:b/>
          <w:sz w:val="24"/>
          <w:szCs w:val="24"/>
        </w:rPr>
      </w:pPr>
      <w:r w:rsidRPr="000C2646">
        <w:rPr>
          <w:b/>
          <w:sz w:val="24"/>
          <w:szCs w:val="24"/>
        </w:rPr>
        <w:t>4.5</w:t>
      </w:r>
      <w:r w:rsidRPr="000C2646">
        <w:rPr>
          <w:b/>
          <w:sz w:val="24"/>
          <w:szCs w:val="24"/>
        </w:rPr>
        <w:tab/>
        <w:t>Interaktion med andre lægemidler og andre former for interaktion</w:t>
      </w:r>
    </w:p>
    <w:p w14:paraId="6DB07708" w14:textId="77777777" w:rsidR="007B7687" w:rsidRDefault="007B7687" w:rsidP="007B7687">
      <w:pPr>
        <w:ind w:left="851"/>
        <w:rPr>
          <w:sz w:val="24"/>
          <w:szCs w:val="24"/>
        </w:rPr>
      </w:pPr>
    </w:p>
    <w:p w14:paraId="112CDB47" w14:textId="3F7103ED" w:rsidR="00925ABE" w:rsidRPr="007B7687" w:rsidRDefault="00925ABE" w:rsidP="007B7687">
      <w:pPr>
        <w:ind w:left="851"/>
        <w:rPr>
          <w:sz w:val="24"/>
          <w:szCs w:val="24"/>
          <w:u w:val="single"/>
        </w:rPr>
      </w:pPr>
      <w:r w:rsidRPr="007B7687">
        <w:rPr>
          <w:sz w:val="24"/>
          <w:szCs w:val="24"/>
          <w:u w:val="single"/>
        </w:rPr>
        <w:t xml:space="preserve">Andre lægemidlers virkning på </w:t>
      </w:r>
      <w:proofErr w:type="spellStart"/>
      <w:r w:rsidRPr="007B7687">
        <w:rPr>
          <w:sz w:val="24"/>
          <w:szCs w:val="24"/>
          <w:u w:val="single"/>
        </w:rPr>
        <w:t>lapatinib</w:t>
      </w:r>
      <w:proofErr w:type="spellEnd"/>
    </w:p>
    <w:p w14:paraId="00E4DA49" w14:textId="77777777" w:rsidR="00925ABE" w:rsidRPr="007B7687" w:rsidRDefault="00925ABE" w:rsidP="007B7687">
      <w:pPr>
        <w:ind w:left="851"/>
        <w:rPr>
          <w:sz w:val="24"/>
          <w:szCs w:val="24"/>
        </w:rPr>
      </w:pPr>
    </w:p>
    <w:p w14:paraId="6696CB6E"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w:t>
      </w:r>
      <w:proofErr w:type="spellStart"/>
      <w:r w:rsidRPr="000C2646">
        <w:rPr>
          <w:sz w:val="24"/>
          <w:szCs w:val="24"/>
        </w:rPr>
        <w:t>metaboliseres</w:t>
      </w:r>
      <w:proofErr w:type="spellEnd"/>
      <w:r w:rsidRPr="000C2646">
        <w:rPr>
          <w:sz w:val="24"/>
          <w:szCs w:val="24"/>
        </w:rPr>
        <w:t xml:space="preserve"> hovedsageligt af CYP3A (se pkt. 5.2).</w:t>
      </w:r>
    </w:p>
    <w:p w14:paraId="42071B8B" w14:textId="77777777" w:rsidR="00925ABE" w:rsidRPr="000C2646" w:rsidRDefault="00925ABE" w:rsidP="009534FE">
      <w:pPr>
        <w:ind w:left="851"/>
        <w:rPr>
          <w:sz w:val="24"/>
          <w:szCs w:val="24"/>
        </w:rPr>
      </w:pPr>
    </w:p>
    <w:p w14:paraId="25B88DF9" w14:textId="77777777" w:rsidR="00925ABE" w:rsidRPr="000C2646" w:rsidRDefault="00925ABE" w:rsidP="009534FE">
      <w:pPr>
        <w:ind w:left="851"/>
        <w:rPr>
          <w:sz w:val="24"/>
          <w:szCs w:val="24"/>
        </w:rPr>
      </w:pPr>
      <w:r w:rsidRPr="000C2646">
        <w:rPr>
          <w:sz w:val="24"/>
          <w:szCs w:val="24"/>
        </w:rPr>
        <w:t xml:space="preserve">Hos raske frivillige, der fik </w:t>
      </w:r>
      <w:proofErr w:type="spellStart"/>
      <w:r w:rsidRPr="000C2646">
        <w:rPr>
          <w:sz w:val="24"/>
          <w:szCs w:val="24"/>
        </w:rPr>
        <w:t>ketoconazol</w:t>
      </w:r>
      <w:proofErr w:type="spellEnd"/>
      <w:r w:rsidRPr="000C2646">
        <w:rPr>
          <w:sz w:val="24"/>
          <w:szCs w:val="24"/>
        </w:rPr>
        <w:t xml:space="preserve">, en stærk CYP3A4-inhibitor, i en dosis på 200 mg to gange dagligt i 7 dage, øgedes den systemiske optagelse af </w:t>
      </w:r>
      <w:proofErr w:type="spellStart"/>
      <w:r w:rsidRPr="000C2646">
        <w:rPr>
          <w:sz w:val="24"/>
          <w:szCs w:val="24"/>
        </w:rPr>
        <w:t>lapatinib</w:t>
      </w:r>
      <w:proofErr w:type="spellEnd"/>
      <w:r w:rsidRPr="000C2646">
        <w:rPr>
          <w:sz w:val="24"/>
          <w:szCs w:val="24"/>
        </w:rPr>
        <w:t xml:space="preserve"> (100 mg/dag) med ca. 3,6 gange og halveringstiden øgedes 1,7 gange. Administration af </w:t>
      </w:r>
      <w:proofErr w:type="spellStart"/>
      <w:r w:rsidRPr="000C2646">
        <w:rPr>
          <w:sz w:val="24"/>
          <w:szCs w:val="24"/>
        </w:rPr>
        <w:t>lapatinib</w:t>
      </w:r>
      <w:proofErr w:type="spellEnd"/>
      <w:r w:rsidRPr="000C2646">
        <w:rPr>
          <w:sz w:val="24"/>
          <w:szCs w:val="24"/>
        </w:rPr>
        <w:t xml:space="preserve"> samtidig med stærke inhibitorer af CYP3A4 (f.eks. </w:t>
      </w:r>
      <w:proofErr w:type="spellStart"/>
      <w:r w:rsidRPr="000C2646">
        <w:rPr>
          <w:sz w:val="24"/>
          <w:szCs w:val="24"/>
        </w:rPr>
        <w:t>ritonavir</w:t>
      </w:r>
      <w:proofErr w:type="spellEnd"/>
      <w:r w:rsidRPr="000C2646">
        <w:rPr>
          <w:sz w:val="24"/>
          <w:szCs w:val="24"/>
        </w:rPr>
        <w:t xml:space="preserve">, </w:t>
      </w:r>
      <w:proofErr w:type="spellStart"/>
      <w:r w:rsidRPr="000C2646">
        <w:rPr>
          <w:sz w:val="24"/>
          <w:szCs w:val="24"/>
        </w:rPr>
        <w:t>saquinavir</w:t>
      </w:r>
      <w:proofErr w:type="spellEnd"/>
      <w:r w:rsidRPr="000C2646">
        <w:rPr>
          <w:sz w:val="24"/>
          <w:szCs w:val="24"/>
        </w:rPr>
        <w:t xml:space="preserve">, </w:t>
      </w:r>
      <w:proofErr w:type="spellStart"/>
      <w:r w:rsidRPr="000C2646">
        <w:rPr>
          <w:sz w:val="24"/>
          <w:szCs w:val="24"/>
        </w:rPr>
        <w:t>telithromycin</w:t>
      </w:r>
      <w:proofErr w:type="spellEnd"/>
      <w:r w:rsidRPr="000C2646">
        <w:rPr>
          <w:sz w:val="24"/>
          <w:szCs w:val="24"/>
        </w:rPr>
        <w:t xml:space="preserve">, </w:t>
      </w:r>
      <w:proofErr w:type="spellStart"/>
      <w:r w:rsidRPr="000C2646">
        <w:rPr>
          <w:sz w:val="24"/>
          <w:szCs w:val="24"/>
        </w:rPr>
        <w:t>ketoconazol</w:t>
      </w:r>
      <w:proofErr w:type="spellEnd"/>
      <w:r w:rsidRPr="000C2646">
        <w:rPr>
          <w:sz w:val="24"/>
          <w:szCs w:val="24"/>
        </w:rPr>
        <w:t xml:space="preserve">, </w:t>
      </w:r>
      <w:proofErr w:type="spellStart"/>
      <w:r w:rsidRPr="000C2646">
        <w:rPr>
          <w:sz w:val="24"/>
          <w:szCs w:val="24"/>
        </w:rPr>
        <w:t>itraconazol</w:t>
      </w:r>
      <w:proofErr w:type="spellEnd"/>
      <w:r w:rsidRPr="000C2646">
        <w:rPr>
          <w:sz w:val="24"/>
          <w:szCs w:val="24"/>
        </w:rPr>
        <w:t xml:space="preserve">, </w:t>
      </w:r>
      <w:proofErr w:type="spellStart"/>
      <w:r w:rsidRPr="000C2646">
        <w:rPr>
          <w:sz w:val="24"/>
          <w:szCs w:val="24"/>
        </w:rPr>
        <w:t>voriconazol</w:t>
      </w:r>
      <w:proofErr w:type="spellEnd"/>
      <w:r w:rsidRPr="000C2646">
        <w:rPr>
          <w:sz w:val="24"/>
          <w:szCs w:val="24"/>
        </w:rPr>
        <w:t xml:space="preserve">, </w:t>
      </w:r>
      <w:proofErr w:type="spellStart"/>
      <w:r w:rsidRPr="000C2646">
        <w:rPr>
          <w:sz w:val="24"/>
          <w:szCs w:val="24"/>
        </w:rPr>
        <w:t>posaconazol</w:t>
      </w:r>
      <w:proofErr w:type="spellEnd"/>
      <w:r w:rsidRPr="000C2646">
        <w:rPr>
          <w:sz w:val="24"/>
          <w:szCs w:val="24"/>
        </w:rPr>
        <w:t xml:space="preserve">, </w:t>
      </w:r>
      <w:proofErr w:type="spellStart"/>
      <w:r w:rsidRPr="000C2646">
        <w:rPr>
          <w:sz w:val="24"/>
          <w:szCs w:val="24"/>
        </w:rPr>
        <w:t>nefazodon</w:t>
      </w:r>
      <w:proofErr w:type="spellEnd"/>
      <w:r w:rsidRPr="000C2646">
        <w:rPr>
          <w:sz w:val="24"/>
          <w:szCs w:val="24"/>
        </w:rPr>
        <w:t xml:space="preserve">) bør undgås. Administration af </w:t>
      </w:r>
      <w:proofErr w:type="spellStart"/>
      <w:r w:rsidRPr="000C2646">
        <w:rPr>
          <w:sz w:val="24"/>
          <w:szCs w:val="24"/>
        </w:rPr>
        <w:t>lapatinib</w:t>
      </w:r>
      <w:proofErr w:type="spellEnd"/>
      <w:r w:rsidRPr="000C2646">
        <w:rPr>
          <w:sz w:val="24"/>
          <w:szCs w:val="24"/>
        </w:rPr>
        <w:t xml:space="preserve"> samtidig med moderate inhibitorer af CYP3A4 bør ske med forsigtighed, og kliniske bivirkninger bør monitoreres omhyggeligt.</w:t>
      </w:r>
    </w:p>
    <w:p w14:paraId="342B4134" w14:textId="77777777" w:rsidR="00925ABE" w:rsidRPr="000C2646" w:rsidRDefault="00925ABE" w:rsidP="009534FE">
      <w:pPr>
        <w:ind w:left="851"/>
        <w:rPr>
          <w:sz w:val="24"/>
          <w:szCs w:val="24"/>
        </w:rPr>
      </w:pPr>
    </w:p>
    <w:p w14:paraId="7A71471F" w14:textId="43F2F3DC" w:rsidR="00925ABE" w:rsidRPr="000C2646" w:rsidRDefault="00925ABE" w:rsidP="009534FE">
      <w:pPr>
        <w:ind w:left="851"/>
        <w:rPr>
          <w:sz w:val="24"/>
          <w:szCs w:val="24"/>
        </w:rPr>
      </w:pPr>
      <w:r w:rsidRPr="000C2646">
        <w:rPr>
          <w:sz w:val="24"/>
          <w:szCs w:val="24"/>
        </w:rPr>
        <w:t xml:space="preserve">Hos raske frivillige, der fik </w:t>
      </w:r>
      <w:proofErr w:type="spellStart"/>
      <w:r w:rsidRPr="000C2646">
        <w:rPr>
          <w:sz w:val="24"/>
          <w:szCs w:val="24"/>
        </w:rPr>
        <w:t>carbamazepin</w:t>
      </w:r>
      <w:proofErr w:type="spellEnd"/>
      <w:r w:rsidRPr="000C2646">
        <w:rPr>
          <w:sz w:val="24"/>
          <w:szCs w:val="24"/>
        </w:rPr>
        <w:t xml:space="preserve">, en CYP3A4-induktor, i en dosis på 100 mg to gange dagligt i 3 dage og 200 mg to gange dagligt i 17 dage, faldt den systemiske optagelse af </w:t>
      </w:r>
      <w:proofErr w:type="spellStart"/>
      <w:r w:rsidRPr="000C2646">
        <w:rPr>
          <w:sz w:val="24"/>
          <w:szCs w:val="24"/>
        </w:rPr>
        <w:t>lapatinib</w:t>
      </w:r>
      <w:proofErr w:type="spellEnd"/>
      <w:r w:rsidRPr="000C2646">
        <w:rPr>
          <w:sz w:val="24"/>
          <w:szCs w:val="24"/>
        </w:rPr>
        <w:t xml:space="preserve"> med ca. 72 %. Administration af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samtidig med kendte induktorer af CYP3A4 (f.eks. </w:t>
      </w:r>
      <w:proofErr w:type="spellStart"/>
      <w:r w:rsidRPr="000C2646">
        <w:rPr>
          <w:sz w:val="24"/>
          <w:szCs w:val="24"/>
        </w:rPr>
        <w:t>rifampicin</w:t>
      </w:r>
      <w:proofErr w:type="spellEnd"/>
      <w:r w:rsidRPr="000C2646">
        <w:rPr>
          <w:sz w:val="24"/>
          <w:szCs w:val="24"/>
        </w:rPr>
        <w:t xml:space="preserve">, </w:t>
      </w:r>
      <w:proofErr w:type="spellStart"/>
      <w:r w:rsidRPr="000C2646">
        <w:rPr>
          <w:sz w:val="24"/>
          <w:szCs w:val="24"/>
        </w:rPr>
        <w:t>rifabutin</w:t>
      </w:r>
      <w:proofErr w:type="spellEnd"/>
      <w:r w:rsidRPr="000C2646">
        <w:rPr>
          <w:sz w:val="24"/>
          <w:szCs w:val="24"/>
        </w:rPr>
        <w:t xml:space="preserve">, </w:t>
      </w:r>
      <w:proofErr w:type="spellStart"/>
      <w:r w:rsidRPr="000C2646">
        <w:rPr>
          <w:sz w:val="24"/>
          <w:szCs w:val="24"/>
        </w:rPr>
        <w:t>carbamazepin</w:t>
      </w:r>
      <w:proofErr w:type="spellEnd"/>
      <w:r w:rsidRPr="000C2646">
        <w:rPr>
          <w:sz w:val="24"/>
          <w:szCs w:val="24"/>
        </w:rPr>
        <w:t xml:space="preserve">, </w:t>
      </w:r>
      <w:proofErr w:type="spellStart"/>
      <w:r w:rsidRPr="000C2646">
        <w:rPr>
          <w:sz w:val="24"/>
          <w:szCs w:val="24"/>
        </w:rPr>
        <w:t>phenytoin</w:t>
      </w:r>
      <w:proofErr w:type="spellEnd"/>
      <w:r w:rsidRPr="000C2646">
        <w:rPr>
          <w:sz w:val="24"/>
          <w:szCs w:val="24"/>
        </w:rPr>
        <w:t xml:space="preserve"> eller perikon (</w:t>
      </w:r>
      <w:proofErr w:type="spellStart"/>
      <w:r w:rsidRPr="000C2646">
        <w:rPr>
          <w:sz w:val="24"/>
          <w:szCs w:val="24"/>
        </w:rPr>
        <w:t>Hypericum</w:t>
      </w:r>
      <w:proofErr w:type="spellEnd"/>
      <w:r w:rsidRPr="000C2646">
        <w:rPr>
          <w:sz w:val="24"/>
          <w:szCs w:val="24"/>
        </w:rPr>
        <w:t xml:space="preserve"> </w:t>
      </w:r>
      <w:proofErr w:type="spellStart"/>
      <w:r w:rsidRPr="000C2646">
        <w:rPr>
          <w:sz w:val="24"/>
          <w:szCs w:val="24"/>
        </w:rPr>
        <w:t>perforatum</w:t>
      </w:r>
      <w:proofErr w:type="spellEnd"/>
      <w:r w:rsidRPr="000C2646">
        <w:rPr>
          <w:sz w:val="24"/>
          <w:szCs w:val="24"/>
        </w:rPr>
        <w:t>)) bør undgås.</w:t>
      </w:r>
    </w:p>
    <w:p w14:paraId="66C26B4B" w14:textId="77777777" w:rsidR="00925ABE" w:rsidRPr="000C2646" w:rsidRDefault="00925ABE" w:rsidP="009534FE">
      <w:pPr>
        <w:ind w:left="851"/>
        <w:rPr>
          <w:sz w:val="24"/>
          <w:szCs w:val="24"/>
        </w:rPr>
      </w:pPr>
    </w:p>
    <w:p w14:paraId="4B9AFFFA"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er et substrat for transportproteinerne p-</w:t>
      </w:r>
      <w:proofErr w:type="spellStart"/>
      <w:r w:rsidRPr="000C2646">
        <w:rPr>
          <w:sz w:val="24"/>
          <w:szCs w:val="24"/>
        </w:rPr>
        <w:t>glykoprotein</w:t>
      </w:r>
      <w:proofErr w:type="spellEnd"/>
      <w:r w:rsidRPr="000C2646">
        <w:rPr>
          <w:sz w:val="24"/>
          <w:szCs w:val="24"/>
        </w:rPr>
        <w:t xml:space="preserve"> (</w:t>
      </w:r>
      <w:proofErr w:type="spellStart"/>
      <w:r w:rsidRPr="000C2646">
        <w:rPr>
          <w:sz w:val="24"/>
          <w:szCs w:val="24"/>
        </w:rPr>
        <w:t>Pgp</w:t>
      </w:r>
      <w:proofErr w:type="spellEnd"/>
      <w:r w:rsidRPr="000C2646">
        <w:rPr>
          <w:sz w:val="24"/>
          <w:szCs w:val="24"/>
        </w:rPr>
        <w:t>) og brystcancer-resistent protein (BCRP). Inhibitorer (</w:t>
      </w:r>
      <w:proofErr w:type="spellStart"/>
      <w:r w:rsidRPr="000C2646">
        <w:rPr>
          <w:sz w:val="24"/>
          <w:szCs w:val="24"/>
        </w:rPr>
        <w:t>ketoconazol</w:t>
      </w:r>
      <w:proofErr w:type="spellEnd"/>
      <w:r w:rsidRPr="000C2646">
        <w:rPr>
          <w:sz w:val="24"/>
          <w:szCs w:val="24"/>
        </w:rPr>
        <w:t xml:space="preserve">, </w:t>
      </w:r>
      <w:proofErr w:type="spellStart"/>
      <w:r w:rsidRPr="000C2646">
        <w:rPr>
          <w:sz w:val="24"/>
          <w:szCs w:val="24"/>
        </w:rPr>
        <w:t>itraconazol</w:t>
      </w:r>
      <w:proofErr w:type="spellEnd"/>
      <w:r w:rsidRPr="000C2646">
        <w:rPr>
          <w:sz w:val="24"/>
          <w:szCs w:val="24"/>
        </w:rPr>
        <w:t xml:space="preserve">, </w:t>
      </w:r>
      <w:proofErr w:type="spellStart"/>
      <w:r w:rsidRPr="000C2646">
        <w:rPr>
          <w:sz w:val="24"/>
          <w:szCs w:val="24"/>
        </w:rPr>
        <w:t>kinidin</w:t>
      </w:r>
      <w:proofErr w:type="spellEnd"/>
      <w:r w:rsidRPr="000C2646">
        <w:rPr>
          <w:sz w:val="24"/>
          <w:szCs w:val="24"/>
        </w:rPr>
        <w:t xml:space="preserve">, </w:t>
      </w:r>
      <w:proofErr w:type="spellStart"/>
      <w:r w:rsidRPr="000C2646">
        <w:rPr>
          <w:sz w:val="24"/>
          <w:szCs w:val="24"/>
        </w:rPr>
        <w:t>verapamil</w:t>
      </w:r>
      <w:proofErr w:type="spellEnd"/>
      <w:r w:rsidRPr="000C2646">
        <w:rPr>
          <w:sz w:val="24"/>
          <w:szCs w:val="24"/>
        </w:rPr>
        <w:t xml:space="preserve">, </w:t>
      </w:r>
      <w:proofErr w:type="spellStart"/>
      <w:r w:rsidRPr="000C2646">
        <w:rPr>
          <w:sz w:val="24"/>
          <w:szCs w:val="24"/>
        </w:rPr>
        <w:t>ciclosporin</w:t>
      </w:r>
      <w:proofErr w:type="spellEnd"/>
      <w:r w:rsidRPr="000C2646">
        <w:rPr>
          <w:sz w:val="24"/>
          <w:szCs w:val="24"/>
        </w:rPr>
        <w:t xml:space="preserve"> og </w:t>
      </w:r>
      <w:proofErr w:type="spellStart"/>
      <w:r w:rsidRPr="000C2646">
        <w:rPr>
          <w:sz w:val="24"/>
          <w:szCs w:val="24"/>
        </w:rPr>
        <w:t>erythromycin</w:t>
      </w:r>
      <w:proofErr w:type="spellEnd"/>
      <w:r w:rsidRPr="000C2646">
        <w:rPr>
          <w:sz w:val="24"/>
          <w:szCs w:val="24"/>
        </w:rPr>
        <w:t>) og induktorer (</w:t>
      </w:r>
      <w:proofErr w:type="spellStart"/>
      <w:r w:rsidRPr="000C2646">
        <w:rPr>
          <w:sz w:val="24"/>
          <w:szCs w:val="24"/>
        </w:rPr>
        <w:t>rifampicin</w:t>
      </w:r>
      <w:proofErr w:type="spellEnd"/>
      <w:r w:rsidRPr="000C2646">
        <w:rPr>
          <w:sz w:val="24"/>
          <w:szCs w:val="24"/>
        </w:rPr>
        <w:t xml:space="preserve"> og perikon) af disse proteiner kan ændre optagelsen og/eller fordelingen af </w:t>
      </w:r>
      <w:proofErr w:type="spellStart"/>
      <w:r w:rsidRPr="000C2646">
        <w:rPr>
          <w:sz w:val="24"/>
          <w:szCs w:val="24"/>
        </w:rPr>
        <w:t>lapatinib</w:t>
      </w:r>
      <w:proofErr w:type="spellEnd"/>
      <w:r w:rsidRPr="000C2646">
        <w:rPr>
          <w:sz w:val="24"/>
          <w:szCs w:val="24"/>
        </w:rPr>
        <w:t xml:space="preserve"> (se pkt. 5.2).</w:t>
      </w:r>
    </w:p>
    <w:p w14:paraId="145AEA99" w14:textId="77777777" w:rsidR="00925ABE" w:rsidRPr="000C2646" w:rsidRDefault="00925ABE" w:rsidP="009534FE">
      <w:pPr>
        <w:ind w:left="851"/>
        <w:rPr>
          <w:sz w:val="24"/>
          <w:szCs w:val="24"/>
        </w:rPr>
      </w:pPr>
    </w:p>
    <w:p w14:paraId="7EE69BB6" w14:textId="77777777" w:rsidR="00925ABE" w:rsidRPr="000C2646" w:rsidRDefault="00925ABE" w:rsidP="009534FE">
      <w:pPr>
        <w:ind w:left="851"/>
        <w:rPr>
          <w:sz w:val="24"/>
          <w:szCs w:val="24"/>
        </w:rPr>
      </w:pPr>
      <w:r w:rsidRPr="000C2646">
        <w:rPr>
          <w:sz w:val="24"/>
          <w:szCs w:val="24"/>
        </w:rPr>
        <w:t xml:space="preserve">Opløseligheden af </w:t>
      </w:r>
      <w:proofErr w:type="spellStart"/>
      <w:r w:rsidRPr="000C2646">
        <w:rPr>
          <w:sz w:val="24"/>
          <w:szCs w:val="24"/>
        </w:rPr>
        <w:t>lapatinib</w:t>
      </w:r>
      <w:proofErr w:type="spellEnd"/>
      <w:r w:rsidRPr="000C2646">
        <w:rPr>
          <w:sz w:val="24"/>
          <w:szCs w:val="24"/>
        </w:rPr>
        <w:t xml:space="preserve"> er pH-afhængig. Samtidig behandling med stoffer, der øger gastrisk pH, bør undgås, idet opløseligheden og absorptionen af </w:t>
      </w:r>
      <w:proofErr w:type="spellStart"/>
      <w:r w:rsidRPr="000C2646">
        <w:rPr>
          <w:sz w:val="24"/>
          <w:szCs w:val="24"/>
        </w:rPr>
        <w:t>lapatinib</w:t>
      </w:r>
      <w:proofErr w:type="spellEnd"/>
      <w:r w:rsidRPr="000C2646">
        <w:rPr>
          <w:sz w:val="24"/>
          <w:szCs w:val="24"/>
        </w:rPr>
        <w:t xml:space="preserve"> kan reduceres. Forudgående behandling med en protonpumpehæmmer (</w:t>
      </w:r>
      <w:proofErr w:type="spellStart"/>
      <w:r w:rsidRPr="000C2646">
        <w:rPr>
          <w:sz w:val="24"/>
          <w:szCs w:val="24"/>
        </w:rPr>
        <w:t>esomeprazol</w:t>
      </w:r>
      <w:proofErr w:type="spellEnd"/>
      <w:r w:rsidRPr="000C2646">
        <w:rPr>
          <w:sz w:val="24"/>
          <w:szCs w:val="24"/>
        </w:rPr>
        <w:t xml:space="preserve">) nedsatte </w:t>
      </w:r>
      <w:proofErr w:type="spellStart"/>
      <w:r w:rsidRPr="000C2646">
        <w:rPr>
          <w:sz w:val="24"/>
          <w:szCs w:val="24"/>
        </w:rPr>
        <w:t>lapatinib</w:t>
      </w:r>
      <w:proofErr w:type="spellEnd"/>
      <w:r w:rsidRPr="000C2646">
        <w:rPr>
          <w:sz w:val="24"/>
          <w:szCs w:val="24"/>
        </w:rPr>
        <w:t>-eksponeringen med i gennemsnit 27 % (interval: 6 % til 49 %). Denne effekt faldt med stigende alder fra ca. 40 år til 60 år.</w:t>
      </w:r>
    </w:p>
    <w:p w14:paraId="6FF094CB" w14:textId="77777777" w:rsidR="00925ABE" w:rsidRPr="000C2646" w:rsidRDefault="00925ABE" w:rsidP="009534FE">
      <w:pPr>
        <w:ind w:left="851"/>
        <w:rPr>
          <w:sz w:val="24"/>
          <w:szCs w:val="24"/>
        </w:rPr>
      </w:pPr>
    </w:p>
    <w:p w14:paraId="7B891D5D" w14:textId="77777777" w:rsidR="00925ABE" w:rsidRPr="007B7687" w:rsidRDefault="00925ABE" w:rsidP="007B7687">
      <w:pPr>
        <w:ind w:left="851"/>
        <w:rPr>
          <w:sz w:val="24"/>
          <w:szCs w:val="24"/>
          <w:u w:val="single"/>
        </w:rPr>
      </w:pPr>
      <w:proofErr w:type="spellStart"/>
      <w:r w:rsidRPr="007B7687">
        <w:rPr>
          <w:sz w:val="24"/>
          <w:szCs w:val="24"/>
          <w:u w:val="single"/>
        </w:rPr>
        <w:t>Lapatinibs</w:t>
      </w:r>
      <w:proofErr w:type="spellEnd"/>
      <w:r w:rsidRPr="007B7687">
        <w:rPr>
          <w:sz w:val="24"/>
          <w:szCs w:val="24"/>
          <w:u w:val="single"/>
        </w:rPr>
        <w:t xml:space="preserve"> virkning på andre lægemidler</w:t>
      </w:r>
    </w:p>
    <w:p w14:paraId="56386F19" w14:textId="77777777" w:rsidR="00925ABE" w:rsidRPr="007B7687" w:rsidRDefault="00925ABE" w:rsidP="007B7687">
      <w:pPr>
        <w:ind w:left="851"/>
        <w:rPr>
          <w:sz w:val="24"/>
          <w:szCs w:val="24"/>
        </w:rPr>
      </w:pPr>
    </w:p>
    <w:p w14:paraId="4E0AE4BA"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hæmmer CYP3A4 </w:t>
      </w:r>
      <w:r w:rsidRPr="000C2646">
        <w:rPr>
          <w:i/>
          <w:iCs/>
          <w:sz w:val="24"/>
          <w:szCs w:val="24"/>
        </w:rPr>
        <w:t>in </w:t>
      </w:r>
      <w:proofErr w:type="spellStart"/>
      <w:r w:rsidRPr="000C2646">
        <w:rPr>
          <w:i/>
          <w:iCs/>
          <w:sz w:val="24"/>
          <w:szCs w:val="24"/>
        </w:rPr>
        <w:t>vitro</w:t>
      </w:r>
      <w:proofErr w:type="spellEnd"/>
      <w:r w:rsidRPr="000C2646">
        <w:rPr>
          <w:sz w:val="24"/>
          <w:szCs w:val="24"/>
        </w:rPr>
        <w:t xml:space="preserve"> ved klinisk relevante koncentrationer. Samtidig administration af </w:t>
      </w:r>
      <w:proofErr w:type="spellStart"/>
      <w:r w:rsidRPr="000C2646">
        <w:rPr>
          <w:sz w:val="24"/>
          <w:szCs w:val="24"/>
        </w:rPr>
        <w:t>lapatinib</w:t>
      </w:r>
      <w:proofErr w:type="spellEnd"/>
      <w:r w:rsidRPr="000C2646">
        <w:rPr>
          <w:sz w:val="24"/>
          <w:szCs w:val="24"/>
        </w:rPr>
        <w:t xml:space="preserve"> med oralt administreret </w:t>
      </w:r>
      <w:proofErr w:type="spellStart"/>
      <w:r w:rsidRPr="000C2646">
        <w:rPr>
          <w:sz w:val="24"/>
          <w:szCs w:val="24"/>
        </w:rPr>
        <w:t>midazolam</w:t>
      </w:r>
      <w:proofErr w:type="spellEnd"/>
      <w:r w:rsidRPr="000C2646">
        <w:rPr>
          <w:sz w:val="24"/>
          <w:szCs w:val="24"/>
        </w:rPr>
        <w:t xml:space="preserve"> resulterede i en ca. 45 % stigning i AUC af </w:t>
      </w:r>
      <w:proofErr w:type="spellStart"/>
      <w:r w:rsidRPr="000C2646">
        <w:rPr>
          <w:sz w:val="24"/>
          <w:szCs w:val="24"/>
        </w:rPr>
        <w:t>midazolam</w:t>
      </w:r>
      <w:proofErr w:type="spellEnd"/>
      <w:r w:rsidRPr="000C2646">
        <w:rPr>
          <w:sz w:val="24"/>
          <w:szCs w:val="24"/>
        </w:rPr>
        <w:t xml:space="preserve">. Der var ingen klinisk betydningsfuld stigning i AUC ved intravenøs administration af </w:t>
      </w:r>
      <w:proofErr w:type="spellStart"/>
      <w:r w:rsidRPr="000C2646">
        <w:rPr>
          <w:sz w:val="24"/>
          <w:szCs w:val="24"/>
        </w:rPr>
        <w:t>midazolam</w:t>
      </w:r>
      <w:proofErr w:type="spellEnd"/>
      <w:r w:rsidRPr="000C2646">
        <w:rPr>
          <w:sz w:val="24"/>
          <w:szCs w:val="24"/>
        </w:rPr>
        <w:t xml:space="preserve">. Samtidig administration af </w:t>
      </w:r>
      <w:proofErr w:type="spellStart"/>
      <w:r w:rsidRPr="000C2646">
        <w:rPr>
          <w:sz w:val="24"/>
          <w:szCs w:val="24"/>
        </w:rPr>
        <w:t>lapatinib</w:t>
      </w:r>
      <w:proofErr w:type="spellEnd"/>
      <w:r w:rsidRPr="000C2646">
        <w:rPr>
          <w:sz w:val="24"/>
          <w:szCs w:val="24"/>
        </w:rPr>
        <w:t xml:space="preserve"> med oralt administrerede lægemidler, der har et smalt terapeutisk vindue, og som er substrater for CYP3A4 (f.eks. </w:t>
      </w:r>
      <w:proofErr w:type="spellStart"/>
      <w:r w:rsidRPr="000C2646">
        <w:rPr>
          <w:sz w:val="24"/>
          <w:szCs w:val="24"/>
        </w:rPr>
        <w:t>cisaprid</w:t>
      </w:r>
      <w:proofErr w:type="spellEnd"/>
      <w:r w:rsidRPr="000C2646">
        <w:rPr>
          <w:sz w:val="24"/>
          <w:szCs w:val="24"/>
        </w:rPr>
        <w:t xml:space="preserve">, </w:t>
      </w:r>
      <w:proofErr w:type="spellStart"/>
      <w:r w:rsidRPr="000C2646">
        <w:rPr>
          <w:sz w:val="24"/>
          <w:szCs w:val="24"/>
        </w:rPr>
        <w:t>pimozid</w:t>
      </w:r>
      <w:proofErr w:type="spellEnd"/>
      <w:r w:rsidRPr="000C2646">
        <w:rPr>
          <w:sz w:val="24"/>
          <w:szCs w:val="24"/>
        </w:rPr>
        <w:t xml:space="preserve"> og </w:t>
      </w:r>
      <w:proofErr w:type="spellStart"/>
      <w:r w:rsidRPr="000C2646">
        <w:rPr>
          <w:sz w:val="24"/>
          <w:szCs w:val="24"/>
        </w:rPr>
        <w:t>kinidin</w:t>
      </w:r>
      <w:proofErr w:type="spellEnd"/>
      <w:r w:rsidRPr="000C2646">
        <w:rPr>
          <w:sz w:val="24"/>
          <w:szCs w:val="24"/>
        </w:rPr>
        <w:t>), bør undgås (se pkt. 4.4 og 5.2).</w:t>
      </w:r>
    </w:p>
    <w:p w14:paraId="12F59AD3" w14:textId="77777777" w:rsidR="00925ABE" w:rsidRPr="000C2646" w:rsidRDefault="00925ABE" w:rsidP="009534FE">
      <w:pPr>
        <w:ind w:left="851"/>
        <w:rPr>
          <w:sz w:val="24"/>
          <w:szCs w:val="24"/>
        </w:rPr>
      </w:pPr>
    </w:p>
    <w:p w14:paraId="73414FAA"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hæmmer CYP2C8 </w:t>
      </w:r>
      <w:r w:rsidRPr="000C2646">
        <w:rPr>
          <w:i/>
          <w:iCs/>
          <w:sz w:val="24"/>
          <w:szCs w:val="24"/>
        </w:rPr>
        <w:t>in </w:t>
      </w:r>
      <w:proofErr w:type="spellStart"/>
      <w:r w:rsidRPr="000C2646">
        <w:rPr>
          <w:i/>
          <w:iCs/>
          <w:sz w:val="24"/>
          <w:szCs w:val="24"/>
        </w:rPr>
        <w:t>vitro</w:t>
      </w:r>
      <w:proofErr w:type="spellEnd"/>
      <w:r w:rsidRPr="000C2646">
        <w:rPr>
          <w:sz w:val="24"/>
          <w:szCs w:val="24"/>
        </w:rPr>
        <w:t xml:space="preserve"> ved klinisk relevante koncentrationer. Samtidig administration af </w:t>
      </w:r>
      <w:proofErr w:type="spellStart"/>
      <w:r w:rsidRPr="000C2646">
        <w:rPr>
          <w:sz w:val="24"/>
          <w:szCs w:val="24"/>
        </w:rPr>
        <w:t>lapatinib</w:t>
      </w:r>
      <w:proofErr w:type="spellEnd"/>
      <w:r w:rsidRPr="000C2646">
        <w:rPr>
          <w:sz w:val="24"/>
          <w:szCs w:val="24"/>
        </w:rPr>
        <w:t xml:space="preserve"> med lægemidler med et smalt terapeutisk vindue, som er substrater for CYP2C8 (f.eks. </w:t>
      </w:r>
      <w:proofErr w:type="spellStart"/>
      <w:r w:rsidRPr="000C2646">
        <w:rPr>
          <w:sz w:val="24"/>
          <w:szCs w:val="24"/>
        </w:rPr>
        <w:t>repaglinid</w:t>
      </w:r>
      <w:proofErr w:type="spellEnd"/>
      <w:r w:rsidRPr="000C2646">
        <w:rPr>
          <w:sz w:val="24"/>
          <w:szCs w:val="24"/>
        </w:rPr>
        <w:t>), bør undgås (se pkt. 4.4 og 5.2).</w:t>
      </w:r>
    </w:p>
    <w:p w14:paraId="2B9A23BF" w14:textId="77777777" w:rsidR="00925ABE" w:rsidRPr="000C2646" w:rsidRDefault="00925ABE" w:rsidP="009534FE">
      <w:pPr>
        <w:ind w:left="851"/>
        <w:rPr>
          <w:sz w:val="24"/>
          <w:szCs w:val="24"/>
        </w:rPr>
      </w:pPr>
    </w:p>
    <w:p w14:paraId="535A1AF2" w14:textId="77777777"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og intravenøst </w:t>
      </w:r>
      <w:proofErr w:type="spellStart"/>
      <w:r w:rsidRPr="000C2646">
        <w:rPr>
          <w:sz w:val="24"/>
          <w:szCs w:val="24"/>
        </w:rPr>
        <w:t>paclitaxel</w:t>
      </w:r>
      <w:proofErr w:type="spellEnd"/>
      <w:r w:rsidRPr="000C2646">
        <w:rPr>
          <w:sz w:val="24"/>
          <w:szCs w:val="24"/>
        </w:rPr>
        <w:t xml:space="preserve"> øgede </w:t>
      </w:r>
      <w:proofErr w:type="spellStart"/>
      <w:r w:rsidRPr="000C2646">
        <w:rPr>
          <w:sz w:val="24"/>
          <w:szCs w:val="24"/>
        </w:rPr>
        <w:t>paclitaxel</w:t>
      </w:r>
      <w:proofErr w:type="spellEnd"/>
      <w:r w:rsidRPr="000C2646">
        <w:rPr>
          <w:sz w:val="24"/>
          <w:szCs w:val="24"/>
        </w:rPr>
        <w:t xml:space="preserve">-eksponeringen med 23 % på grund af </w:t>
      </w:r>
      <w:proofErr w:type="spellStart"/>
      <w:r w:rsidRPr="000C2646">
        <w:rPr>
          <w:sz w:val="24"/>
          <w:szCs w:val="24"/>
        </w:rPr>
        <w:t>lapatinibs</w:t>
      </w:r>
      <w:proofErr w:type="spellEnd"/>
      <w:r w:rsidRPr="000C2646">
        <w:rPr>
          <w:sz w:val="24"/>
          <w:szCs w:val="24"/>
        </w:rPr>
        <w:t xml:space="preserve"> hæmning af CYP2C8 og/eller </w:t>
      </w:r>
      <w:proofErr w:type="spellStart"/>
      <w:r w:rsidRPr="000C2646">
        <w:rPr>
          <w:sz w:val="24"/>
          <w:szCs w:val="24"/>
        </w:rPr>
        <w:t>Pgp</w:t>
      </w:r>
      <w:proofErr w:type="spellEnd"/>
      <w:r w:rsidRPr="000C2646">
        <w:rPr>
          <w:sz w:val="24"/>
          <w:szCs w:val="24"/>
        </w:rPr>
        <w:t xml:space="preserve">. En øgning af hyppigheden og sværhedsgraden af diarré og </w:t>
      </w:r>
      <w:proofErr w:type="spellStart"/>
      <w:r w:rsidRPr="000C2646">
        <w:rPr>
          <w:sz w:val="24"/>
          <w:szCs w:val="24"/>
        </w:rPr>
        <w:t>neutropeni</w:t>
      </w:r>
      <w:proofErr w:type="spellEnd"/>
      <w:r w:rsidRPr="000C2646">
        <w:rPr>
          <w:sz w:val="24"/>
          <w:szCs w:val="24"/>
        </w:rPr>
        <w:t xml:space="preserve"> er blevet observeret ved kombination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paclitaxel</w:t>
      </w:r>
      <w:proofErr w:type="spellEnd"/>
      <w:r w:rsidRPr="000C2646">
        <w:rPr>
          <w:sz w:val="24"/>
          <w:szCs w:val="24"/>
        </w:rPr>
        <w:t xml:space="preserve"> i kliniske studier. Der bør udvises forsigtighed ved samtidig administration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paclitaxel</w:t>
      </w:r>
      <w:proofErr w:type="spellEnd"/>
      <w:r w:rsidRPr="000C2646">
        <w:rPr>
          <w:sz w:val="24"/>
          <w:szCs w:val="24"/>
        </w:rPr>
        <w:t>.</w:t>
      </w:r>
    </w:p>
    <w:p w14:paraId="42C89779" w14:textId="77777777" w:rsidR="00925ABE" w:rsidRPr="000C2646" w:rsidRDefault="00925ABE" w:rsidP="009534FE">
      <w:pPr>
        <w:ind w:left="851"/>
        <w:rPr>
          <w:sz w:val="24"/>
          <w:szCs w:val="24"/>
        </w:rPr>
      </w:pPr>
    </w:p>
    <w:p w14:paraId="2467C377" w14:textId="77777777"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og intravenøst administreret </w:t>
      </w:r>
      <w:proofErr w:type="spellStart"/>
      <w:r w:rsidRPr="000C2646">
        <w:rPr>
          <w:sz w:val="24"/>
          <w:szCs w:val="24"/>
        </w:rPr>
        <w:t>docetaxel</w:t>
      </w:r>
      <w:proofErr w:type="spellEnd"/>
      <w:r w:rsidRPr="000C2646">
        <w:rPr>
          <w:sz w:val="24"/>
          <w:szCs w:val="24"/>
        </w:rPr>
        <w:t xml:space="preserve"> påvirkede ikke i signifikant grad AUC eller </w:t>
      </w:r>
      <w:proofErr w:type="spellStart"/>
      <w:r w:rsidRPr="000C2646">
        <w:rPr>
          <w:sz w:val="24"/>
          <w:szCs w:val="24"/>
        </w:rPr>
        <w:t>C</w:t>
      </w:r>
      <w:r w:rsidRPr="000C2646">
        <w:rPr>
          <w:sz w:val="24"/>
          <w:szCs w:val="24"/>
          <w:vertAlign w:val="subscript"/>
        </w:rPr>
        <w:t>max</w:t>
      </w:r>
      <w:proofErr w:type="spellEnd"/>
      <w:r w:rsidRPr="000C2646">
        <w:rPr>
          <w:sz w:val="24"/>
          <w:szCs w:val="24"/>
        </w:rPr>
        <w:t xml:space="preserve"> af hverken </w:t>
      </w:r>
      <w:proofErr w:type="spellStart"/>
      <w:r w:rsidRPr="000C2646">
        <w:rPr>
          <w:sz w:val="24"/>
          <w:szCs w:val="24"/>
        </w:rPr>
        <w:t>lapatinib</w:t>
      </w:r>
      <w:proofErr w:type="spellEnd"/>
      <w:r w:rsidRPr="000C2646">
        <w:rPr>
          <w:sz w:val="24"/>
          <w:szCs w:val="24"/>
        </w:rPr>
        <w:t xml:space="preserve"> eller </w:t>
      </w:r>
      <w:proofErr w:type="spellStart"/>
      <w:r w:rsidRPr="000C2646">
        <w:rPr>
          <w:sz w:val="24"/>
          <w:szCs w:val="24"/>
        </w:rPr>
        <w:t>docetaxel</w:t>
      </w:r>
      <w:proofErr w:type="spellEnd"/>
      <w:r w:rsidRPr="000C2646">
        <w:rPr>
          <w:sz w:val="24"/>
          <w:szCs w:val="24"/>
        </w:rPr>
        <w:t xml:space="preserve">. Imidlertid ses en øget forekomst af </w:t>
      </w:r>
      <w:proofErr w:type="spellStart"/>
      <w:r w:rsidRPr="000C2646">
        <w:rPr>
          <w:sz w:val="24"/>
          <w:szCs w:val="24"/>
        </w:rPr>
        <w:t>docetaxel</w:t>
      </w:r>
      <w:proofErr w:type="spellEnd"/>
      <w:r w:rsidRPr="000C2646">
        <w:rPr>
          <w:sz w:val="24"/>
          <w:szCs w:val="24"/>
        </w:rPr>
        <w:t xml:space="preserve">-induceret </w:t>
      </w:r>
      <w:proofErr w:type="spellStart"/>
      <w:r w:rsidRPr="000C2646">
        <w:rPr>
          <w:sz w:val="24"/>
          <w:szCs w:val="24"/>
        </w:rPr>
        <w:t>neutropeni</w:t>
      </w:r>
      <w:proofErr w:type="spellEnd"/>
      <w:r w:rsidRPr="000C2646">
        <w:rPr>
          <w:sz w:val="24"/>
          <w:szCs w:val="24"/>
        </w:rPr>
        <w:t>.</w:t>
      </w:r>
    </w:p>
    <w:p w14:paraId="3BC28326" w14:textId="77777777" w:rsidR="00925ABE" w:rsidRPr="000C2646" w:rsidRDefault="00925ABE" w:rsidP="009534FE">
      <w:pPr>
        <w:ind w:left="851"/>
        <w:rPr>
          <w:sz w:val="24"/>
          <w:szCs w:val="24"/>
        </w:rPr>
      </w:pPr>
    </w:p>
    <w:p w14:paraId="302E1742" w14:textId="77777777"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med </w:t>
      </w:r>
      <w:proofErr w:type="spellStart"/>
      <w:r w:rsidRPr="000C2646">
        <w:rPr>
          <w:sz w:val="24"/>
          <w:szCs w:val="24"/>
        </w:rPr>
        <w:t>irinotecan</w:t>
      </w:r>
      <w:proofErr w:type="spellEnd"/>
      <w:r w:rsidRPr="000C2646">
        <w:rPr>
          <w:sz w:val="24"/>
          <w:szCs w:val="24"/>
        </w:rPr>
        <w:t xml:space="preserve"> (når det blev administreret som en del af FOLFIRI-regimet) resulterede i en ca. 40 % stigning i AUC af SN-38, den aktive </w:t>
      </w:r>
      <w:r w:rsidRPr="000C2646">
        <w:rPr>
          <w:sz w:val="24"/>
          <w:szCs w:val="24"/>
        </w:rPr>
        <w:lastRenderedPageBreak/>
        <w:t xml:space="preserve">metabolit af </w:t>
      </w:r>
      <w:proofErr w:type="spellStart"/>
      <w:r w:rsidRPr="000C2646">
        <w:rPr>
          <w:sz w:val="24"/>
          <w:szCs w:val="24"/>
        </w:rPr>
        <w:t>irinotecan</w:t>
      </w:r>
      <w:proofErr w:type="spellEnd"/>
      <w:r w:rsidRPr="000C2646">
        <w:rPr>
          <w:sz w:val="24"/>
          <w:szCs w:val="24"/>
        </w:rPr>
        <w:t xml:space="preserve">. Den præcise mekanisme for denne interaktion kendes ikke, men det antages, at interaktionen skyldes </w:t>
      </w:r>
      <w:proofErr w:type="spellStart"/>
      <w:r w:rsidRPr="000C2646">
        <w:rPr>
          <w:sz w:val="24"/>
          <w:szCs w:val="24"/>
        </w:rPr>
        <w:t>lapatinibs</w:t>
      </w:r>
      <w:proofErr w:type="spellEnd"/>
      <w:r w:rsidRPr="000C2646">
        <w:rPr>
          <w:sz w:val="24"/>
          <w:szCs w:val="24"/>
        </w:rPr>
        <w:t xml:space="preserve"> hæmning af et eller flere transportproteiner. Bivirkninger bør monitoreres tæt, hvis </w:t>
      </w:r>
      <w:proofErr w:type="spellStart"/>
      <w:r w:rsidRPr="000C2646">
        <w:rPr>
          <w:sz w:val="24"/>
          <w:szCs w:val="24"/>
        </w:rPr>
        <w:t>lapatinib</w:t>
      </w:r>
      <w:proofErr w:type="spellEnd"/>
      <w:r w:rsidRPr="000C2646">
        <w:rPr>
          <w:sz w:val="24"/>
          <w:szCs w:val="24"/>
        </w:rPr>
        <w:t xml:space="preserve"> administreres samtidig med </w:t>
      </w:r>
      <w:proofErr w:type="spellStart"/>
      <w:r w:rsidRPr="000C2646">
        <w:rPr>
          <w:sz w:val="24"/>
          <w:szCs w:val="24"/>
        </w:rPr>
        <w:t>irinotecan</w:t>
      </w:r>
      <w:proofErr w:type="spellEnd"/>
      <w:r w:rsidRPr="000C2646">
        <w:rPr>
          <w:sz w:val="24"/>
          <w:szCs w:val="24"/>
        </w:rPr>
        <w:t xml:space="preserve">, og dosisreduktion af </w:t>
      </w:r>
      <w:proofErr w:type="spellStart"/>
      <w:r w:rsidRPr="000C2646">
        <w:rPr>
          <w:sz w:val="24"/>
          <w:szCs w:val="24"/>
        </w:rPr>
        <w:t>irinotecan</w:t>
      </w:r>
      <w:proofErr w:type="spellEnd"/>
      <w:r w:rsidRPr="000C2646">
        <w:rPr>
          <w:sz w:val="24"/>
          <w:szCs w:val="24"/>
        </w:rPr>
        <w:t xml:space="preserve"> bør overvejes.</w:t>
      </w:r>
    </w:p>
    <w:p w14:paraId="733EF945" w14:textId="77777777" w:rsidR="00925ABE" w:rsidRPr="000C2646" w:rsidRDefault="00925ABE" w:rsidP="009534FE">
      <w:pPr>
        <w:ind w:left="851"/>
        <w:rPr>
          <w:sz w:val="24"/>
          <w:szCs w:val="24"/>
        </w:rPr>
      </w:pPr>
    </w:p>
    <w:p w14:paraId="51EDB20B"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hæmmer transportproteinet </w:t>
      </w:r>
      <w:proofErr w:type="spellStart"/>
      <w:r w:rsidRPr="000C2646">
        <w:rPr>
          <w:sz w:val="24"/>
          <w:szCs w:val="24"/>
        </w:rPr>
        <w:t>Pgp</w:t>
      </w:r>
      <w:proofErr w:type="spellEnd"/>
      <w:r w:rsidRPr="000C2646">
        <w:rPr>
          <w:sz w:val="24"/>
          <w:szCs w:val="24"/>
        </w:rPr>
        <w:t xml:space="preserve"> </w:t>
      </w:r>
      <w:r w:rsidRPr="000C2646">
        <w:rPr>
          <w:i/>
          <w:iCs/>
          <w:sz w:val="24"/>
          <w:szCs w:val="24"/>
        </w:rPr>
        <w:t>in </w:t>
      </w:r>
      <w:proofErr w:type="spellStart"/>
      <w:r w:rsidRPr="000C2646">
        <w:rPr>
          <w:i/>
          <w:iCs/>
          <w:sz w:val="24"/>
          <w:szCs w:val="24"/>
        </w:rPr>
        <w:t>vitro</w:t>
      </w:r>
      <w:proofErr w:type="spellEnd"/>
      <w:r w:rsidRPr="000C2646">
        <w:rPr>
          <w:sz w:val="24"/>
          <w:szCs w:val="24"/>
        </w:rPr>
        <w:t xml:space="preserve"> ved klinisk relevante koncentrationer.</w:t>
      </w:r>
    </w:p>
    <w:p w14:paraId="26D43214" w14:textId="77777777"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og oralt administreret </w:t>
      </w:r>
      <w:proofErr w:type="spellStart"/>
      <w:r w:rsidRPr="000C2646">
        <w:rPr>
          <w:sz w:val="24"/>
          <w:szCs w:val="24"/>
        </w:rPr>
        <w:t>digoxin</w:t>
      </w:r>
      <w:proofErr w:type="spellEnd"/>
      <w:r w:rsidRPr="000C2646">
        <w:rPr>
          <w:sz w:val="24"/>
          <w:szCs w:val="24"/>
        </w:rPr>
        <w:t xml:space="preserve"> resulterede i ca. 80 % øgning af </w:t>
      </w:r>
      <w:proofErr w:type="spellStart"/>
      <w:r w:rsidRPr="000C2646">
        <w:rPr>
          <w:sz w:val="24"/>
          <w:szCs w:val="24"/>
        </w:rPr>
        <w:t>digoxins</w:t>
      </w:r>
      <w:proofErr w:type="spellEnd"/>
      <w:r w:rsidRPr="000C2646">
        <w:rPr>
          <w:sz w:val="24"/>
          <w:szCs w:val="24"/>
        </w:rPr>
        <w:t xml:space="preserve"> AUC. Der bør udvises forsigtighed ved administration af </w:t>
      </w:r>
      <w:proofErr w:type="spellStart"/>
      <w:r w:rsidRPr="000C2646">
        <w:rPr>
          <w:sz w:val="24"/>
          <w:szCs w:val="24"/>
        </w:rPr>
        <w:t>lapatinib</w:t>
      </w:r>
      <w:proofErr w:type="spellEnd"/>
      <w:r w:rsidRPr="000C2646">
        <w:rPr>
          <w:sz w:val="24"/>
          <w:szCs w:val="24"/>
        </w:rPr>
        <w:t xml:space="preserve"> samtidig med lægemidler, der er substrater for </w:t>
      </w:r>
      <w:proofErr w:type="spellStart"/>
      <w:r w:rsidRPr="000C2646">
        <w:rPr>
          <w:sz w:val="24"/>
          <w:szCs w:val="24"/>
        </w:rPr>
        <w:t>Pgp</w:t>
      </w:r>
      <w:proofErr w:type="spellEnd"/>
      <w:r w:rsidRPr="000C2646">
        <w:rPr>
          <w:sz w:val="24"/>
          <w:szCs w:val="24"/>
        </w:rPr>
        <w:t xml:space="preserve">, og som har et smalt terapeutisk vindue. Dosisreduktion af </w:t>
      </w:r>
      <w:proofErr w:type="spellStart"/>
      <w:r w:rsidRPr="000C2646">
        <w:rPr>
          <w:sz w:val="24"/>
          <w:szCs w:val="24"/>
        </w:rPr>
        <w:t>Pgp</w:t>
      </w:r>
      <w:proofErr w:type="spellEnd"/>
      <w:r w:rsidRPr="000C2646">
        <w:rPr>
          <w:sz w:val="24"/>
          <w:szCs w:val="24"/>
        </w:rPr>
        <w:t>-substratet bør overvejes.</w:t>
      </w:r>
    </w:p>
    <w:p w14:paraId="3591FA30" w14:textId="77777777" w:rsidR="00925ABE" w:rsidRPr="000C2646" w:rsidRDefault="00925ABE" w:rsidP="009534FE">
      <w:pPr>
        <w:ind w:left="851"/>
        <w:rPr>
          <w:sz w:val="24"/>
          <w:szCs w:val="24"/>
        </w:rPr>
      </w:pPr>
    </w:p>
    <w:p w14:paraId="3C37E3DF"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hæmmer transportproteinerne BCRP og OATP1B1 (organisk anion-transporter) </w:t>
      </w:r>
      <w:r w:rsidRPr="000C2646">
        <w:rPr>
          <w:i/>
          <w:iCs/>
          <w:sz w:val="24"/>
          <w:szCs w:val="24"/>
        </w:rPr>
        <w:t>in </w:t>
      </w:r>
      <w:proofErr w:type="spellStart"/>
      <w:r w:rsidRPr="000C2646">
        <w:rPr>
          <w:i/>
          <w:iCs/>
          <w:sz w:val="24"/>
          <w:szCs w:val="24"/>
        </w:rPr>
        <w:t>vitro</w:t>
      </w:r>
      <w:proofErr w:type="spellEnd"/>
      <w:r w:rsidRPr="000C2646">
        <w:rPr>
          <w:sz w:val="24"/>
          <w:szCs w:val="24"/>
        </w:rPr>
        <w:t xml:space="preserve">. Den kliniske relevans af denne virkning er ikke blevet evalueret. Det kan ikke udelukkes, at </w:t>
      </w:r>
      <w:proofErr w:type="spellStart"/>
      <w:r w:rsidRPr="000C2646">
        <w:rPr>
          <w:sz w:val="24"/>
          <w:szCs w:val="24"/>
        </w:rPr>
        <w:t>lapatinib</w:t>
      </w:r>
      <w:proofErr w:type="spellEnd"/>
      <w:r w:rsidRPr="000C2646">
        <w:rPr>
          <w:sz w:val="24"/>
          <w:szCs w:val="24"/>
        </w:rPr>
        <w:t xml:space="preserve"> påvirker farmakokinetikken af substrater for BCRP (f.eks. </w:t>
      </w:r>
      <w:proofErr w:type="spellStart"/>
      <w:r w:rsidRPr="000C2646">
        <w:rPr>
          <w:sz w:val="24"/>
          <w:szCs w:val="24"/>
        </w:rPr>
        <w:t>topotecan</w:t>
      </w:r>
      <w:proofErr w:type="spellEnd"/>
      <w:r w:rsidRPr="000C2646">
        <w:rPr>
          <w:sz w:val="24"/>
          <w:szCs w:val="24"/>
        </w:rPr>
        <w:t xml:space="preserve">) og OATP1B1 (f.eks. </w:t>
      </w:r>
      <w:proofErr w:type="spellStart"/>
      <w:r w:rsidRPr="000C2646">
        <w:rPr>
          <w:sz w:val="24"/>
          <w:szCs w:val="24"/>
        </w:rPr>
        <w:t>rosuvastatin</w:t>
      </w:r>
      <w:proofErr w:type="spellEnd"/>
      <w:r w:rsidRPr="000C2646">
        <w:rPr>
          <w:sz w:val="24"/>
          <w:szCs w:val="24"/>
        </w:rPr>
        <w:t xml:space="preserve">) (se pkt. 5.2). </w:t>
      </w:r>
    </w:p>
    <w:p w14:paraId="472DB316" w14:textId="77777777" w:rsidR="00925ABE" w:rsidRPr="000C2646" w:rsidRDefault="00925ABE" w:rsidP="009534FE">
      <w:pPr>
        <w:ind w:left="851"/>
        <w:rPr>
          <w:sz w:val="24"/>
          <w:szCs w:val="24"/>
        </w:rPr>
      </w:pPr>
    </w:p>
    <w:p w14:paraId="3F3C1B00" w14:textId="77777777" w:rsidR="00925ABE" w:rsidRPr="000C2646" w:rsidRDefault="00925ABE" w:rsidP="009534FE">
      <w:pPr>
        <w:ind w:left="851"/>
        <w:rPr>
          <w:sz w:val="24"/>
          <w:szCs w:val="24"/>
        </w:rPr>
      </w:pPr>
      <w:r w:rsidRPr="000C2646">
        <w:rPr>
          <w:sz w:val="24"/>
          <w:szCs w:val="24"/>
        </w:rPr>
        <w:t xml:space="preserve">Samtidig administration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capecitabin</w:t>
      </w:r>
      <w:proofErr w:type="spellEnd"/>
      <w:r w:rsidRPr="000C2646">
        <w:rPr>
          <w:sz w:val="24"/>
          <w:szCs w:val="24"/>
        </w:rPr>
        <w:t xml:space="preserve">, </w:t>
      </w:r>
      <w:proofErr w:type="spellStart"/>
      <w:r w:rsidRPr="000C2646">
        <w:rPr>
          <w:sz w:val="24"/>
          <w:szCs w:val="24"/>
        </w:rPr>
        <w:t>letrozol</w:t>
      </w:r>
      <w:proofErr w:type="spellEnd"/>
      <w:r w:rsidRPr="000C2646">
        <w:rPr>
          <w:sz w:val="24"/>
          <w:szCs w:val="24"/>
        </w:rPr>
        <w:t xml:space="preserve"> eller </w:t>
      </w:r>
      <w:proofErr w:type="spellStart"/>
      <w:r w:rsidRPr="000C2646">
        <w:rPr>
          <w:sz w:val="24"/>
          <w:szCs w:val="24"/>
        </w:rPr>
        <w:t>trastuzumab</w:t>
      </w:r>
      <w:proofErr w:type="spellEnd"/>
      <w:r w:rsidRPr="000C2646">
        <w:rPr>
          <w:sz w:val="24"/>
          <w:szCs w:val="24"/>
        </w:rPr>
        <w:t xml:space="preserve"> ændrede ikke farmakokinetikken for disse lægemidler (eller metabolitterne af </w:t>
      </w:r>
      <w:proofErr w:type="spellStart"/>
      <w:r w:rsidRPr="000C2646">
        <w:rPr>
          <w:sz w:val="24"/>
          <w:szCs w:val="24"/>
        </w:rPr>
        <w:t>capecitabin</w:t>
      </w:r>
      <w:proofErr w:type="spellEnd"/>
      <w:r w:rsidRPr="000C2646">
        <w:rPr>
          <w:sz w:val="24"/>
          <w:szCs w:val="24"/>
        </w:rPr>
        <w:t xml:space="preserve">) eller </w:t>
      </w:r>
      <w:proofErr w:type="spellStart"/>
      <w:r w:rsidRPr="000C2646">
        <w:rPr>
          <w:sz w:val="24"/>
          <w:szCs w:val="24"/>
        </w:rPr>
        <w:t>lapatinib</w:t>
      </w:r>
      <w:proofErr w:type="spellEnd"/>
      <w:r w:rsidRPr="000C2646">
        <w:rPr>
          <w:sz w:val="24"/>
          <w:szCs w:val="24"/>
        </w:rPr>
        <w:t xml:space="preserve"> i betydelig grad.</w:t>
      </w:r>
    </w:p>
    <w:p w14:paraId="7FE497D4" w14:textId="77777777" w:rsidR="00925ABE" w:rsidRPr="000C2646" w:rsidRDefault="00925ABE" w:rsidP="009534FE">
      <w:pPr>
        <w:ind w:left="851"/>
        <w:rPr>
          <w:sz w:val="24"/>
          <w:szCs w:val="24"/>
        </w:rPr>
      </w:pPr>
    </w:p>
    <w:p w14:paraId="7FA18F21" w14:textId="77777777" w:rsidR="00925ABE" w:rsidRPr="007B7687" w:rsidRDefault="00925ABE" w:rsidP="007B7687">
      <w:pPr>
        <w:ind w:left="851"/>
        <w:rPr>
          <w:sz w:val="24"/>
          <w:szCs w:val="24"/>
          <w:u w:val="single"/>
        </w:rPr>
      </w:pPr>
      <w:r w:rsidRPr="007B7687">
        <w:rPr>
          <w:sz w:val="24"/>
          <w:szCs w:val="24"/>
          <w:u w:val="single"/>
        </w:rPr>
        <w:t>Interaktioner med mad og drikke</w:t>
      </w:r>
    </w:p>
    <w:p w14:paraId="73FCF393" w14:textId="77777777" w:rsidR="00925ABE" w:rsidRPr="007B7687" w:rsidRDefault="00925ABE" w:rsidP="007B7687">
      <w:pPr>
        <w:ind w:left="851"/>
        <w:rPr>
          <w:sz w:val="24"/>
          <w:szCs w:val="24"/>
        </w:rPr>
      </w:pPr>
    </w:p>
    <w:p w14:paraId="4A1941B7" w14:textId="77777777" w:rsidR="00925ABE" w:rsidRPr="000C2646" w:rsidRDefault="00925ABE" w:rsidP="009534FE">
      <w:pPr>
        <w:ind w:left="851"/>
        <w:rPr>
          <w:sz w:val="24"/>
          <w:szCs w:val="24"/>
        </w:rPr>
      </w:pPr>
      <w:proofErr w:type="spellStart"/>
      <w:r w:rsidRPr="000C2646">
        <w:rPr>
          <w:sz w:val="24"/>
          <w:szCs w:val="24"/>
        </w:rPr>
        <w:t>Lapatinibs</w:t>
      </w:r>
      <w:proofErr w:type="spellEnd"/>
      <w:r w:rsidRPr="000C2646">
        <w:rPr>
          <w:sz w:val="24"/>
          <w:szCs w:val="24"/>
        </w:rPr>
        <w:t xml:space="preserve"> biotilgængelighed øges op til fire gange, når det indtages sammen med mad afhængigt af f.eks. fedtindholdet i måltidet. Ydermere, afhængigt af hvilken type mad der indtages, er </w:t>
      </w:r>
      <w:proofErr w:type="spellStart"/>
      <w:r w:rsidRPr="000C2646">
        <w:rPr>
          <w:sz w:val="24"/>
          <w:szCs w:val="24"/>
        </w:rPr>
        <w:t>lapatinibs</w:t>
      </w:r>
      <w:proofErr w:type="spellEnd"/>
      <w:r w:rsidRPr="000C2646">
        <w:rPr>
          <w:sz w:val="24"/>
          <w:szCs w:val="24"/>
        </w:rPr>
        <w:t xml:space="preserve"> biotilgængelighed ca. 2-3 gange højere, når </w:t>
      </w:r>
      <w:proofErr w:type="spellStart"/>
      <w:r w:rsidRPr="000C2646">
        <w:rPr>
          <w:sz w:val="24"/>
          <w:szCs w:val="24"/>
        </w:rPr>
        <w:t>lapatinib</w:t>
      </w:r>
      <w:proofErr w:type="spellEnd"/>
      <w:r w:rsidRPr="000C2646">
        <w:rPr>
          <w:sz w:val="24"/>
          <w:szCs w:val="24"/>
        </w:rPr>
        <w:t xml:space="preserve"> indtages 1 time efter fødeindtagelse sammenlignet med indtagelse 1 time før dagens første måltid (se pkt. 4.2 og 5.2).</w:t>
      </w:r>
    </w:p>
    <w:p w14:paraId="45FAF84D" w14:textId="77777777" w:rsidR="00925ABE" w:rsidRPr="000C2646" w:rsidRDefault="00925ABE" w:rsidP="009534FE">
      <w:pPr>
        <w:ind w:left="851"/>
        <w:rPr>
          <w:sz w:val="24"/>
          <w:szCs w:val="24"/>
        </w:rPr>
      </w:pPr>
    </w:p>
    <w:p w14:paraId="48146E40" w14:textId="79C0E2D1" w:rsidR="00925ABE" w:rsidRPr="000C2646" w:rsidRDefault="00925ABE" w:rsidP="009534FE">
      <w:pPr>
        <w:ind w:left="851"/>
        <w:rPr>
          <w:sz w:val="24"/>
          <w:szCs w:val="24"/>
        </w:rPr>
      </w:pPr>
      <w:r w:rsidRPr="000C2646">
        <w:rPr>
          <w:sz w:val="24"/>
          <w:szCs w:val="24"/>
        </w:rPr>
        <w:t xml:space="preserve">Grapefrugtjuice kan hæmme CYP3A4 i tarmvæggen og dermed øge biotilgængeligheden af </w:t>
      </w:r>
      <w:proofErr w:type="spellStart"/>
      <w:r w:rsidRPr="000C2646">
        <w:rPr>
          <w:sz w:val="24"/>
          <w:szCs w:val="24"/>
        </w:rPr>
        <w:t>lapatinib</w:t>
      </w:r>
      <w:proofErr w:type="spellEnd"/>
      <w:r w:rsidRPr="000C2646">
        <w:rPr>
          <w:sz w:val="24"/>
          <w:szCs w:val="24"/>
        </w:rPr>
        <w:t xml:space="preserve">. Grapefrugtjuice bør derfor ikke indtages under behandling med </w:t>
      </w: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w:t>
      </w:r>
    </w:p>
    <w:p w14:paraId="28781824" w14:textId="77777777" w:rsidR="009260DE" w:rsidRPr="000C2646" w:rsidRDefault="009260DE" w:rsidP="009260DE">
      <w:pPr>
        <w:tabs>
          <w:tab w:val="left" w:pos="851"/>
        </w:tabs>
        <w:ind w:left="851"/>
        <w:rPr>
          <w:sz w:val="24"/>
          <w:szCs w:val="24"/>
        </w:rPr>
      </w:pPr>
    </w:p>
    <w:p w14:paraId="2242F246" w14:textId="77777777" w:rsidR="009260DE" w:rsidRPr="000C2646" w:rsidRDefault="009260DE" w:rsidP="009260DE">
      <w:pPr>
        <w:tabs>
          <w:tab w:val="left" w:pos="851"/>
        </w:tabs>
        <w:ind w:left="851" w:hanging="851"/>
        <w:rPr>
          <w:b/>
          <w:sz w:val="24"/>
          <w:szCs w:val="24"/>
        </w:rPr>
      </w:pPr>
      <w:r w:rsidRPr="000C2646">
        <w:rPr>
          <w:b/>
          <w:sz w:val="24"/>
          <w:szCs w:val="24"/>
        </w:rPr>
        <w:t>4.6</w:t>
      </w:r>
      <w:r w:rsidRPr="000C2646">
        <w:rPr>
          <w:b/>
          <w:sz w:val="24"/>
          <w:szCs w:val="24"/>
        </w:rPr>
        <w:tab/>
      </w:r>
      <w:r w:rsidR="0071241E" w:rsidRPr="000C2646">
        <w:rPr>
          <w:b/>
          <w:sz w:val="24"/>
          <w:szCs w:val="24"/>
        </w:rPr>
        <w:t>Fertilitet, g</w:t>
      </w:r>
      <w:r w:rsidRPr="000C2646">
        <w:rPr>
          <w:b/>
          <w:sz w:val="24"/>
          <w:szCs w:val="24"/>
        </w:rPr>
        <w:t>raviditet og amning</w:t>
      </w:r>
    </w:p>
    <w:p w14:paraId="13D925E4" w14:textId="77777777" w:rsidR="007B7687" w:rsidRDefault="007B7687" w:rsidP="007B7687">
      <w:pPr>
        <w:ind w:left="851"/>
        <w:rPr>
          <w:sz w:val="24"/>
          <w:szCs w:val="24"/>
        </w:rPr>
      </w:pPr>
    </w:p>
    <w:p w14:paraId="2CF456D2" w14:textId="3BC1C617" w:rsidR="00925ABE" w:rsidRPr="007B7687" w:rsidRDefault="00925ABE" w:rsidP="007B7687">
      <w:pPr>
        <w:ind w:left="851"/>
        <w:rPr>
          <w:sz w:val="24"/>
          <w:szCs w:val="24"/>
          <w:u w:val="single"/>
        </w:rPr>
      </w:pPr>
      <w:r w:rsidRPr="007B7687">
        <w:rPr>
          <w:sz w:val="24"/>
          <w:szCs w:val="24"/>
          <w:u w:val="single"/>
        </w:rPr>
        <w:t>Kvinder i den fertile alder</w:t>
      </w:r>
    </w:p>
    <w:p w14:paraId="34B3875D" w14:textId="77777777" w:rsidR="00925ABE" w:rsidRPr="007B7687" w:rsidRDefault="00925ABE" w:rsidP="007B7687">
      <w:pPr>
        <w:ind w:left="851"/>
        <w:rPr>
          <w:sz w:val="24"/>
          <w:szCs w:val="24"/>
        </w:rPr>
      </w:pPr>
    </w:p>
    <w:p w14:paraId="665CC2CA" w14:textId="22B3BE36" w:rsidR="00925ABE" w:rsidRPr="007B7687" w:rsidRDefault="00925ABE" w:rsidP="007B7687">
      <w:pPr>
        <w:ind w:left="851"/>
        <w:rPr>
          <w:sz w:val="24"/>
          <w:szCs w:val="24"/>
        </w:rPr>
      </w:pPr>
      <w:r w:rsidRPr="007B7687">
        <w:rPr>
          <w:sz w:val="24"/>
          <w:szCs w:val="24"/>
        </w:rPr>
        <w:t xml:space="preserve">Kvinder i den fertile alder skal anvende sikker </w:t>
      </w:r>
      <w:proofErr w:type="spellStart"/>
      <w:r w:rsidRPr="007B7687">
        <w:rPr>
          <w:sz w:val="24"/>
          <w:szCs w:val="24"/>
        </w:rPr>
        <w:t>kontraception</w:t>
      </w:r>
      <w:proofErr w:type="spellEnd"/>
      <w:r w:rsidRPr="007B7687">
        <w:rPr>
          <w:sz w:val="24"/>
          <w:szCs w:val="24"/>
        </w:rPr>
        <w:t xml:space="preserve"> og undgå at blive gravide under behandlingen med </w:t>
      </w:r>
      <w:proofErr w:type="spellStart"/>
      <w:r w:rsidRPr="007B7687">
        <w:rPr>
          <w:sz w:val="24"/>
          <w:szCs w:val="24"/>
        </w:rPr>
        <w:t>Lapatinib</w:t>
      </w:r>
      <w:proofErr w:type="spellEnd"/>
      <w:r w:rsidRPr="007B7687">
        <w:rPr>
          <w:sz w:val="24"/>
          <w:szCs w:val="24"/>
        </w:rPr>
        <w:t xml:space="preserve"> </w:t>
      </w:r>
      <w:r w:rsidR="002417A3">
        <w:rPr>
          <w:sz w:val="24"/>
          <w:szCs w:val="24"/>
        </w:rPr>
        <w:t>"</w:t>
      </w:r>
      <w:proofErr w:type="spellStart"/>
      <w:r w:rsidRPr="007B7687">
        <w:rPr>
          <w:sz w:val="24"/>
          <w:szCs w:val="24"/>
        </w:rPr>
        <w:t>Newbury</w:t>
      </w:r>
      <w:proofErr w:type="spellEnd"/>
      <w:r w:rsidR="002417A3">
        <w:rPr>
          <w:sz w:val="24"/>
          <w:szCs w:val="24"/>
        </w:rPr>
        <w:t>"</w:t>
      </w:r>
      <w:r w:rsidRPr="007B7687">
        <w:rPr>
          <w:sz w:val="24"/>
          <w:szCs w:val="24"/>
        </w:rPr>
        <w:t xml:space="preserve"> og i mindst 5 dage efter den sidste dosis.</w:t>
      </w:r>
    </w:p>
    <w:p w14:paraId="0FA9AE94" w14:textId="77777777" w:rsidR="00925ABE" w:rsidRPr="007B7687" w:rsidRDefault="00925ABE" w:rsidP="007B7687">
      <w:pPr>
        <w:ind w:left="851"/>
        <w:rPr>
          <w:sz w:val="24"/>
          <w:szCs w:val="24"/>
        </w:rPr>
      </w:pPr>
    </w:p>
    <w:p w14:paraId="7B9B2C85" w14:textId="77777777" w:rsidR="00925ABE" w:rsidRPr="007B7687" w:rsidRDefault="00925ABE" w:rsidP="007B7687">
      <w:pPr>
        <w:ind w:left="851"/>
        <w:rPr>
          <w:sz w:val="24"/>
          <w:szCs w:val="24"/>
          <w:u w:val="single"/>
        </w:rPr>
      </w:pPr>
      <w:r w:rsidRPr="007B7687">
        <w:rPr>
          <w:sz w:val="24"/>
          <w:szCs w:val="24"/>
          <w:u w:val="single"/>
        </w:rPr>
        <w:t>Graviditet</w:t>
      </w:r>
    </w:p>
    <w:p w14:paraId="0B07D278" w14:textId="77777777" w:rsidR="00925ABE" w:rsidRPr="007B7687" w:rsidRDefault="00925ABE" w:rsidP="007B7687">
      <w:pPr>
        <w:ind w:left="851"/>
        <w:rPr>
          <w:sz w:val="24"/>
          <w:szCs w:val="24"/>
        </w:rPr>
      </w:pPr>
    </w:p>
    <w:p w14:paraId="46220BA7" w14:textId="77777777" w:rsidR="00925ABE" w:rsidRPr="000C2646" w:rsidRDefault="00925ABE" w:rsidP="009534FE">
      <w:pPr>
        <w:ind w:left="851"/>
        <w:rPr>
          <w:sz w:val="24"/>
          <w:szCs w:val="24"/>
        </w:rPr>
      </w:pPr>
      <w:r w:rsidRPr="000C2646">
        <w:rPr>
          <w:sz w:val="24"/>
          <w:szCs w:val="24"/>
        </w:rPr>
        <w:t xml:space="preserve">Der foreligger ikke tilstrækkelige data om brugen af </w:t>
      </w:r>
      <w:proofErr w:type="spellStart"/>
      <w:r w:rsidRPr="000C2646">
        <w:rPr>
          <w:sz w:val="24"/>
          <w:szCs w:val="24"/>
        </w:rPr>
        <w:t>lapatinib</w:t>
      </w:r>
      <w:proofErr w:type="spellEnd"/>
      <w:r w:rsidRPr="000C2646">
        <w:rPr>
          <w:sz w:val="24"/>
          <w:szCs w:val="24"/>
        </w:rPr>
        <w:t xml:space="preserve"> hos gravide kvinder. Dyrestudier har påvist reproduktionstoksicitet (se pkt. 5.3). Den potentielle risiko for mennesker er ukendt.</w:t>
      </w:r>
    </w:p>
    <w:p w14:paraId="2325D924" w14:textId="77777777" w:rsidR="00925ABE" w:rsidRPr="000C2646" w:rsidRDefault="00925ABE" w:rsidP="009534FE">
      <w:pPr>
        <w:ind w:left="851"/>
        <w:rPr>
          <w:sz w:val="24"/>
          <w:szCs w:val="24"/>
        </w:rPr>
      </w:pPr>
    </w:p>
    <w:p w14:paraId="7E07FAE3" w14:textId="6CAA56C8"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bør ikke anvendes under graviditet, medmindre det er absolut nødvendigt.</w:t>
      </w:r>
    </w:p>
    <w:p w14:paraId="1330DB3E" w14:textId="7474B909" w:rsidR="002417A3" w:rsidRDefault="002417A3">
      <w:pPr>
        <w:rPr>
          <w:sz w:val="24"/>
          <w:szCs w:val="24"/>
        </w:rPr>
      </w:pPr>
      <w:r>
        <w:rPr>
          <w:sz w:val="24"/>
          <w:szCs w:val="24"/>
        </w:rPr>
        <w:br w:type="page"/>
      </w:r>
    </w:p>
    <w:p w14:paraId="3CEB71C6" w14:textId="77777777" w:rsidR="00925ABE" w:rsidRPr="000C2646" w:rsidRDefault="00925ABE" w:rsidP="009534FE">
      <w:pPr>
        <w:ind w:left="851"/>
        <w:rPr>
          <w:sz w:val="24"/>
          <w:szCs w:val="24"/>
        </w:rPr>
      </w:pPr>
    </w:p>
    <w:p w14:paraId="545787E7" w14:textId="77777777" w:rsidR="00925ABE" w:rsidRPr="007B7687" w:rsidRDefault="00925ABE" w:rsidP="007B7687">
      <w:pPr>
        <w:ind w:left="851"/>
        <w:rPr>
          <w:sz w:val="24"/>
          <w:szCs w:val="24"/>
          <w:u w:val="single"/>
        </w:rPr>
      </w:pPr>
      <w:r w:rsidRPr="007B7687">
        <w:rPr>
          <w:sz w:val="24"/>
          <w:szCs w:val="24"/>
          <w:u w:val="single"/>
        </w:rPr>
        <w:t>Amning</w:t>
      </w:r>
    </w:p>
    <w:p w14:paraId="3D059377" w14:textId="77777777" w:rsidR="00925ABE" w:rsidRPr="007B7687" w:rsidRDefault="00925ABE" w:rsidP="007B7687">
      <w:pPr>
        <w:ind w:left="851"/>
        <w:rPr>
          <w:sz w:val="24"/>
          <w:szCs w:val="24"/>
        </w:rPr>
      </w:pPr>
    </w:p>
    <w:p w14:paraId="19F72150" w14:textId="6255C9F6" w:rsidR="00925ABE" w:rsidRPr="007B7687" w:rsidRDefault="00925ABE" w:rsidP="007B7687">
      <w:pPr>
        <w:ind w:left="851"/>
        <w:rPr>
          <w:sz w:val="24"/>
          <w:szCs w:val="24"/>
        </w:rPr>
      </w:pPr>
      <w:r w:rsidRPr="007B7687">
        <w:rPr>
          <w:sz w:val="24"/>
          <w:szCs w:val="24"/>
        </w:rPr>
        <w:t xml:space="preserve">Sikker anvendelse af </w:t>
      </w:r>
      <w:proofErr w:type="spellStart"/>
      <w:r w:rsidRPr="007B7687">
        <w:rPr>
          <w:sz w:val="24"/>
          <w:szCs w:val="24"/>
        </w:rPr>
        <w:t>lapatinib</w:t>
      </w:r>
      <w:proofErr w:type="spellEnd"/>
      <w:r w:rsidRPr="007B7687">
        <w:rPr>
          <w:sz w:val="24"/>
          <w:szCs w:val="24"/>
        </w:rPr>
        <w:t xml:space="preserve"> under amning er ikke etableret. Det vides ikke, om </w:t>
      </w:r>
      <w:proofErr w:type="spellStart"/>
      <w:r w:rsidRPr="007B7687">
        <w:rPr>
          <w:sz w:val="24"/>
          <w:szCs w:val="24"/>
        </w:rPr>
        <w:t>lapatinib</w:t>
      </w:r>
      <w:proofErr w:type="spellEnd"/>
      <w:r w:rsidRPr="007B7687">
        <w:rPr>
          <w:sz w:val="24"/>
          <w:szCs w:val="24"/>
        </w:rPr>
        <w:t xml:space="preserve"> udskilles i human mælk. Der sås en vækstreduktion hos rotteyngel, der fik </w:t>
      </w:r>
      <w:proofErr w:type="spellStart"/>
      <w:r w:rsidRPr="007B7687">
        <w:rPr>
          <w:sz w:val="24"/>
          <w:szCs w:val="24"/>
        </w:rPr>
        <w:t>lapatinib</w:t>
      </w:r>
      <w:proofErr w:type="spellEnd"/>
      <w:r w:rsidRPr="007B7687">
        <w:rPr>
          <w:sz w:val="24"/>
          <w:szCs w:val="24"/>
        </w:rPr>
        <w:t xml:space="preserve"> gennem modermælk. Kvinder, der behandles med </w:t>
      </w:r>
      <w:proofErr w:type="spellStart"/>
      <w:r w:rsidRPr="007B7687">
        <w:rPr>
          <w:sz w:val="24"/>
          <w:szCs w:val="24"/>
        </w:rPr>
        <w:t>Lapatinib</w:t>
      </w:r>
      <w:proofErr w:type="spellEnd"/>
      <w:r w:rsidRPr="007B7687">
        <w:rPr>
          <w:sz w:val="24"/>
          <w:szCs w:val="24"/>
        </w:rPr>
        <w:t xml:space="preserve"> </w:t>
      </w:r>
      <w:r w:rsidR="002417A3">
        <w:rPr>
          <w:sz w:val="24"/>
          <w:szCs w:val="24"/>
        </w:rPr>
        <w:t>"</w:t>
      </w:r>
      <w:proofErr w:type="spellStart"/>
      <w:r w:rsidRPr="007B7687">
        <w:rPr>
          <w:sz w:val="24"/>
          <w:szCs w:val="24"/>
        </w:rPr>
        <w:t>Newbury</w:t>
      </w:r>
      <w:proofErr w:type="spellEnd"/>
      <w:r w:rsidR="002417A3">
        <w:rPr>
          <w:sz w:val="24"/>
          <w:szCs w:val="24"/>
        </w:rPr>
        <w:t>"</w:t>
      </w:r>
      <w:r w:rsidRPr="007B7687">
        <w:rPr>
          <w:sz w:val="24"/>
          <w:szCs w:val="24"/>
        </w:rPr>
        <w:t>, skal ophøre med at amme og i mindst 5 dage efter den sidste dosis.</w:t>
      </w:r>
    </w:p>
    <w:p w14:paraId="38C5AED0" w14:textId="77777777" w:rsidR="00925ABE" w:rsidRPr="007B7687" w:rsidRDefault="00925ABE" w:rsidP="007B7687">
      <w:pPr>
        <w:ind w:left="851"/>
        <w:rPr>
          <w:sz w:val="24"/>
          <w:szCs w:val="24"/>
        </w:rPr>
      </w:pPr>
    </w:p>
    <w:p w14:paraId="12D0369C" w14:textId="77777777" w:rsidR="00925ABE" w:rsidRPr="007B7687" w:rsidRDefault="00925ABE" w:rsidP="007B7687">
      <w:pPr>
        <w:ind w:left="851"/>
        <w:rPr>
          <w:sz w:val="24"/>
          <w:szCs w:val="24"/>
          <w:u w:val="single"/>
        </w:rPr>
      </w:pPr>
      <w:r w:rsidRPr="007B7687">
        <w:rPr>
          <w:sz w:val="24"/>
          <w:szCs w:val="24"/>
          <w:u w:val="single"/>
        </w:rPr>
        <w:t>Fertilitet</w:t>
      </w:r>
    </w:p>
    <w:p w14:paraId="58CBB85E" w14:textId="77777777" w:rsidR="00925ABE" w:rsidRPr="007B7687" w:rsidRDefault="00925ABE" w:rsidP="007B7687">
      <w:pPr>
        <w:ind w:left="851"/>
        <w:rPr>
          <w:sz w:val="24"/>
          <w:szCs w:val="24"/>
        </w:rPr>
      </w:pPr>
    </w:p>
    <w:p w14:paraId="1A6CC2BF" w14:textId="77777777" w:rsidR="00925ABE" w:rsidRPr="007B7687" w:rsidRDefault="00925ABE" w:rsidP="007B7687">
      <w:pPr>
        <w:ind w:left="851"/>
        <w:rPr>
          <w:sz w:val="24"/>
          <w:szCs w:val="24"/>
        </w:rPr>
      </w:pPr>
      <w:r w:rsidRPr="007B7687">
        <w:rPr>
          <w:sz w:val="24"/>
          <w:szCs w:val="24"/>
        </w:rPr>
        <w:t xml:space="preserve">Der foreligger ikke tilstrækkelige data fra anvendelse af </w:t>
      </w:r>
      <w:proofErr w:type="spellStart"/>
      <w:r w:rsidRPr="007B7687">
        <w:rPr>
          <w:sz w:val="24"/>
          <w:szCs w:val="24"/>
        </w:rPr>
        <w:t>lapatinib</w:t>
      </w:r>
      <w:proofErr w:type="spellEnd"/>
      <w:r w:rsidRPr="007B7687">
        <w:rPr>
          <w:sz w:val="24"/>
          <w:szCs w:val="24"/>
        </w:rPr>
        <w:t xml:space="preserve"> til kvinder i den fertile alder.</w:t>
      </w:r>
    </w:p>
    <w:p w14:paraId="47FB452A" w14:textId="77777777" w:rsidR="009260DE" w:rsidRPr="000C2646" w:rsidRDefault="009260DE" w:rsidP="009260DE">
      <w:pPr>
        <w:tabs>
          <w:tab w:val="left" w:pos="851"/>
        </w:tabs>
        <w:ind w:left="851"/>
        <w:rPr>
          <w:sz w:val="24"/>
          <w:szCs w:val="24"/>
        </w:rPr>
      </w:pPr>
    </w:p>
    <w:p w14:paraId="0D9939B2" w14:textId="77777777" w:rsidR="009260DE" w:rsidRPr="000C2646" w:rsidRDefault="009260DE" w:rsidP="009260DE">
      <w:pPr>
        <w:tabs>
          <w:tab w:val="left" w:pos="851"/>
        </w:tabs>
        <w:ind w:left="851" w:hanging="851"/>
        <w:rPr>
          <w:b/>
          <w:sz w:val="24"/>
          <w:szCs w:val="24"/>
        </w:rPr>
      </w:pPr>
      <w:r w:rsidRPr="000C2646">
        <w:rPr>
          <w:b/>
          <w:sz w:val="24"/>
          <w:szCs w:val="24"/>
        </w:rPr>
        <w:t>4.7</w:t>
      </w:r>
      <w:r w:rsidRPr="000C2646">
        <w:rPr>
          <w:b/>
          <w:sz w:val="24"/>
          <w:szCs w:val="24"/>
        </w:rPr>
        <w:tab/>
        <w:t xml:space="preserve">Virkning på evnen til at føre motorkøretøj </w:t>
      </w:r>
      <w:r w:rsidR="0071241E" w:rsidRPr="000C2646">
        <w:rPr>
          <w:b/>
          <w:sz w:val="24"/>
          <w:szCs w:val="24"/>
        </w:rPr>
        <w:t>og</w:t>
      </w:r>
      <w:r w:rsidRPr="000C2646">
        <w:rPr>
          <w:b/>
          <w:sz w:val="24"/>
          <w:szCs w:val="24"/>
        </w:rPr>
        <w:t xml:space="preserve"> betjene maskiner</w:t>
      </w:r>
    </w:p>
    <w:p w14:paraId="488509AC" w14:textId="77777777" w:rsidR="00925ABE" w:rsidRPr="007B7687" w:rsidRDefault="00925ABE" w:rsidP="007B7687">
      <w:pPr>
        <w:ind w:left="851"/>
        <w:rPr>
          <w:sz w:val="24"/>
          <w:szCs w:val="24"/>
        </w:rPr>
      </w:pPr>
      <w:r w:rsidRPr="007B7687">
        <w:rPr>
          <w:sz w:val="24"/>
          <w:szCs w:val="24"/>
        </w:rPr>
        <w:t>Ikke mærkning.</w:t>
      </w:r>
    </w:p>
    <w:p w14:paraId="32D0F5F5" w14:textId="2E30A8FD"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w:t>
      </w:r>
      <w:r w:rsidR="002417A3">
        <w:rPr>
          <w:sz w:val="24"/>
          <w:szCs w:val="24"/>
        </w:rPr>
        <w:t>"</w:t>
      </w:r>
      <w:proofErr w:type="spellStart"/>
      <w:r w:rsidRPr="000C2646">
        <w:rPr>
          <w:sz w:val="24"/>
          <w:szCs w:val="24"/>
        </w:rPr>
        <w:t>Newbury</w:t>
      </w:r>
      <w:proofErr w:type="spellEnd"/>
      <w:r w:rsidR="002417A3">
        <w:rPr>
          <w:sz w:val="24"/>
          <w:szCs w:val="24"/>
        </w:rPr>
        <w:t>"</w:t>
      </w:r>
      <w:r w:rsidRPr="000C2646">
        <w:rPr>
          <w:sz w:val="24"/>
          <w:szCs w:val="24"/>
        </w:rPr>
        <w:t xml:space="preserve"> påvirker ikke evnen til at føre motorkøretøj og betjene maskiner. En negativ påvirkning af sådanne aktiviteter kan ikke forudsiges ud fra </w:t>
      </w:r>
      <w:proofErr w:type="spellStart"/>
      <w:r w:rsidRPr="000C2646">
        <w:rPr>
          <w:sz w:val="24"/>
          <w:szCs w:val="24"/>
        </w:rPr>
        <w:t>lapatinibs</w:t>
      </w:r>
      <w:proofErr w:type="spellEnd"/>
      <w:r w:rsidRPr="000C2646">
        <w:rPr>
          <w:sz w:val="24"/>
          <w:szCs w:val="24"/>
        </w:rPr>
        <w:t xml:space="preserve"> farmakologi. Patientens kliniske tilstand og </w:t>
      </w:r>
      <w:proofErr w:type="spellStart"/>
      <w:r w:rsidRPr="000C2646">
        <w:rPr>
          <w:sz w:val="24"/>
          <w:szCs w:val="24"/>
        </w:rPr>
        <w:t>lapatinibs</w:t>
      </w:r>
      <w:proofErr w:type="spellEnd"/>
      <w:r w:rsidRPr="000C2646">
        <w:rPr>
          <w:sz w:val="24"/>
          <w:szCs w:val="24"/>
        </w:rPr>
        <w:t xml:space="preserve"> sikkerhedsprofil skal tages i betragtning, når patientens evne til at udføre opgaver, der kræver dømmekraft, motoriske eller kognitive færdigheder, skal vurderes.</w:t>
      </w:r>
    </w:p>
    <w:p w14:paraId="26EB5642" w14:textId="77777777" w:rsidR="009260DE" w:rsidRPr="000C2646" w:rsidRDefault="009260DE" w:rsidP="009260DE">
      <w:pPr>
        <w:tabs>
          <w:tab w:val="left" w:pos="851"/>
        </w:tabs>
        <w:ind w:left="851"/>
        <w:rPr>
          <w:sz w:val="24"/>
          <w:szCs w:val="24"/>
        </w:rPr>
      </w:pPr>
    </w:p>
    <w:p w14:paraId="2D58DBD3" w14:textId="77777777" w:rsidR="009260DE" w:rsidRPr="000C2646" w:rsidRDefault="009260DE" w:rsidP="009260DE">
      <w:pPr>
        <w:tabs>
          <w:tab w:val="left" w:pos="851"/>
        </w:tabs>
        <w:ind w:left="851" w:hanging="851"/>
        <w:rPr>
          <w:b/>
          <w:sz w:val="24"/>
          <w:szCs w:val="24"/>
        </w:rPr>
      </w:pPr>
      <w:r w:rsidRPr="000C2646">
        <w:rPr>
          <w:b/>
          <w:sz w:val="24"/>
          <w:szCs w:val="24"/>
        </w:rPr>
        <w:t>4.8</w:t>
      </w:r>
      <w:r w:rsidRPr="000C2646">
        <w:rPr>
          <w:b/>
          <w:sz w:val="24"/>
          <w:szCs w:val="24"/>
        </w:rPr>
        <w:tab/>
        <w:t>Bivirkninger</w:t>
      </w:r>
    </w:p>
    <w:p w14:paraId="78F624A2" w14:textId="77777777" w:rsidR="007B7687" w:rsidRDefault="007B7687" w:rsidP="007B7687">
      <w:pPr>
        <w:ind w:left="851"/>
        <w:rPr>
          <w:sz w:val="24"/>
          <w:szCs w:val="24"/>
        </w:rPr>
      </w:pPr>
    </w:p>
    <w:p w14:paraId="2BCCAF52" w14:textId="4908FD9C" w:rsidR="00925ABE" w:rsidRPr="007B7687" w:rsidRDefault="00925ABE" w:rsidP="007B7687">
      <w:pPr>
        <w:ind w:left="851"/>
        <w:rPr>
          <w:sz w:val="24"/>
          <w:szCs w:val="24"/>
          <w:u w:val="single"/>
        </w:rPr>
      </w:pPr>
      <w:r w:rsidRPr="007B7687">
        <w:rPr>
          <w:sz w:val="24"/>
          <w:szCs w:val="24"/>
          <w:u w:val="single"/>
        </w:rPr>
        <w:t>Sammendrag af sikkerhedsprofilen</w:t>
      </w:r>
    </w:p>
    <w:p w14:paraId="666EB1C1" w14:textId="77777777" w:rsidR="00925ABE" w:rsidRPr="007B7687" w:rsidRDefault="00925ABE" w:rsidP="007B7687">
      <w:pPr>
        <w:ind w:left="851"/>
        <w:rPr>
          <w:sz w:val="24"/>
          <w:szCs w:val="24"/>
        </w:rPr>
      </w:pPr>
    </w:p>
    <w:p w14:paraId="3FA63891" w14:textId="77777777" w:rsidR="00925ABE" w:rsidRPr="000C2646" w:rsidRDefault="00925ABE" w:rsidP="009534FE">
      <w:pPr>
        <w:ind w:left="851"/>
        <w:rPr>
          <w:sz w:val="24"/>
          <w:szCs w:val="24"/>
        </w:rPr>
      </w:pPr>
      <w:r w:rsidRPr="000C2646">
        <w:rPr>
          <w:sz w:val="24"/>
          <w:szCs w:val="24"/>
        </w:rPr>
        <w:t xml:space="preserve">Sikkerheden ved </w:t>
      </w:r>
      <w:proofErr w:type="spellStart"/>
      <w:r w:rsidRPr="000C2646">
        <w:rPr>
          <w:sz w:val="24"/>
          <w:szCs w:val="24"/>
        </w:rPr>
        <w:t>lapatinib</w:t>
      </w:r>
      <w:proofErr w:type="spellEnd"/>
      <w:r w:rsidRPr="000C2646">
        <w:rPr>
          <w:sz w:val="24"/>
          <w:szCs w:val="24"/>
        </w:rPr>
        <w:t xml:space="preserve"> som monoterapi eller i kombination med andre kemoterapeutika mod forskellige cancerformer er blevet undersøgt hos over 20.000 patienter, herunder 198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149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trastuzumab</w:t>
      </w:r>
      <w:proofErr w:type="spellEnd"/>
      <w:r w:rsidRPr="000C2646">
        <w:rPr>
          <w:sz w:val="24"/>
          <w:szCs w:val="24"/>
        </w:rPr>
        <w:t xml:space="preserve">, og 654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letrozol</w:t>
      </w:r>
      <w:proofErr w:type="spellEnd"/>
      <w:r w:rsidRPr="000C2646">
        <w:rPr>
          <w:sz w:val="24"/>
          <w:szCs w:val="24"/>
        </w:rPr>
        <w:t xml:space="preserve"> (se pkt. 5.1).</w:t>
      </w:r>
    </w:p>
    <w:p w14:paraId="66D4EB64" w14:textId="77777777" w:rsidR="00925ABE" w:rsidRPr="000C2646" w:rsidRDefault="00925ABE" w:rsidP="009534FE">
      <w:pPr>
        <w:ind w:left="851"/>
        <w:rPr>
          <w:sz w:val="24"/>
          <w:szCs w:val="24"/>
        </w:rPr>
      </w:pPr>
    </w:p>
    <w:p w14:paraId="11573791" w14:textId="77777777" w:rsidR="00925ABE" w:rsidRPr="000C2646" w:rsidRDefault="00925ABE" w:rsidP="009534FE">
      <w:pPr>
        <w:ind w:left="851"/>
        <w:rPr>
          <w:sz w:val="24"/>
          <w:szCs w:val="24"/>
        </w:rPr>
      </w:pPr>
      <w:r w:rsidRPr="000C2646">
        <w:rPr>
          <w:sz w:val="24"/>
          <w:szCs w:val="24"/>
        </w:rPr>
        <w:t xml:space="preserve">De almindeligste bivirkninger (&gt; 25 %) undervejs i behandlingen med </w:t>
      </w:r>
      <w:proofErr w:type="spellStart"/>
      <w:r w:rsidRPr="000C2646">
        <w:rPr>
          <w:sz w:val="24"/>
          <w:szCs w:val="24"/>
        </w:rPr>
        <w:t>lapatinib</w:t>
      </w:r>
      <w:proofErr w:type="spellEnd"/>
      <w:r w:rsidRPr="000C2646">
        <w:rPr>
          <w:sz w:val="24"/>
          <w:szCs w:val="24"/>
        </w:rPr>
        <w:t xml:space="preserve"> var </w:t>
      </w:r>
      <w:proofErr w:type="spellStart"/>
      <w:r w:rsidRPr="000C2646">
        <w:rPr>
          <w:sz w:val="24"/>
          <w:szCs w:val="24"/>
        </w:rPr>
        <w:t>gastrointestinale</w:t>
      </w:r>
      <w:proofErr w:type="spellEnd"/>
      <w:r w:rsidRPr="000C2646">
        <w:rPr>
          <w:sz w:val="24"/>
          <w:szCs w:val="24"/>
        </w:rPr>
        <w:t xml:space="preserve"> hændelser (f.eks. diarré, kvalme og opkastning) samt udslæt. </w:t>
      </w:r>
      <w:proofErr w:type="spellStart"/>
      <w:r w:rsidRPr="000C2646">
        <w:rPr>
          <w:sz w:val="24"/>
          <w:szCs w:val="24"/>
        </w:rPr>
        <w:t>Palmoplantar</w:t>
      </w:r>
      <w:proofErr w:type="spellEnd"/>
      <w:r w:rsidRPr="000C2646">
        <w:rPr>
          <w:sz w:val="24"/>
          <w:szCs w:val="24"/>
        </w:rPr>
        <w:t xml:space="preserve"> </w:t>
      </w:r>
      <w:proofErr w:type="spellStart"/>
      <w:r w:rsidRPr="000C2646">
        <w:rPr>
          <w:sz w:val="24"/>
          <w:szCs w:val="24"/>
        </w:rPr>
        <w:t>erytrodysæstesi</w:t>
      </w:r>
      <w:proofErr w:type="spellEnd"/>
      <w:r w:rsidRPr="000C2646">
        <w:rPr>
          <w:sz w:val="24"/>
          <w:szCs w:val="24"/>
        </w:rPr>
        <w:t xml:space="preserve"> (PPE) (hånd-fod-syndrom) var også almindeligt (&gt; 25 %), når </w:t>
      </w:r>
      <w:proofErr w:type="spellStart"/>
      <w:r w:rsidRPr="000C2646">
        <w:rPr>
          <w:sz w:val="24"/>
          <w:szCs w:val="24"/>
        </w:rPr>
        <w:t>lapatinib</w:t>
      </w:r>
      <w:proofErr w:type="spellEnd"/>
      <w:r w:rsidRPr="000C2646">
        <w:rPr>
          <w:sz w:val="24"/>
          <w:szCs w:val="24"/>
        </w:rPr>
        <w:t xml:space="preserve"> blev administreret i kombination med </w:t>
      </w:r>
      <w:proofErr w:type="spellStart"/>
      <w:r w:rsidRPr="000C2646">
        <w:rPr>
          <w:sz w:val="24"/>
          <w:szCs w:val="24"/>
        </w:rPr>
        <w:t>capecitabin</w:t>
      </w:r>
      <w:proofErr w:type="spellEnd"/>
      <w:r w:rsidRPr="000C2646">
        <w:rPr>
          <w:sz w:val="24"/>
          <w:szCs w:val="24"/>
        </w:rPr>
        <w:t xml:space="preserve">. Forekomsten af PPE var sammenlignelig i behandlingsarmen med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capecitabin</w:t>
      </w:r>
      <w:proofErr w:type="spellEnd"/>
      <w:r w:rsidRPr="000C2646">
        <w:rPr>
          <w:sz w:val="24"/>
          <w:szCs w:val="24"/>
        </w:rPr>
        <w:t xml:space="preserve"> og i behandlingsarmen med </w:t>
      </w:r>
      <w:proofErr w:type="spellStart"/>
      <w:r w:rsidRPr="000C2646">
        <w:rPr>
          <w:sz w:val="24"/>
          <w:szCs w:val="24"/>
        </w:rPr>
        <w:t>capecitabin</w:t>
      </w:r>
      <w:proofErr w:type="spellEnd"/>
      <w:r w:rsidRPr="000C2646">
        <w:rPr>
          <w:sz w:val="24"/>
          <w:szCs w:val="24"/>
        </w:rPr>
        <w:t xml:space="preserve"> alene. Diarré var den bivirkning, der hyppigst medførte </w:t>
      </w:r>
      <w:proofErr w:type="spellStart"/>
      <w:r w:rsidRPr="000C2646">
        <w:rPr>
          <w:sz w:val="24"/>
          <w:szCs w:val="24"/>
        </w:rPr>
        <w:t>seponering</w:t>
      </w:r>
      <w:proofErr w:type="spellEnd"/>
      <w:r w:rsidRPr="000C2646">
        <w:rPr>
          <w:sz w:val="24"/>
          <w:szCs w:val="24"/>
        </w:rPr>
        <w:t xml:space="preserve"> af behandlingen, når </w:t>
      </w:r>
      <w:proofErr w:type="spellStart"/>
      <w:r w:rsidRPr="000C2646">
        <w:rPr>
          <w:sz w:val="24"/>
          <w:szCs w:val="24"/>
        </w:rPr>
        <w:t>lapatinib</w:t>
      </w:r>
      <w:proofErr w:type="spellEnd"/>
      <w:r w:rsidRPr="000C2646">
        <w:rPr>
          <w:sz w:val="24"/>
          <w:szCs w:val="24"/>
        </w:rPr>
        <w:t xml:space="preserve"> blev administreret i kombination med </w:t>
      </w:r>
      <w:proofErr w:type="spellStart"/>
      <w:r w:rsidRPr="000C2646">
        <w:rPr>
          <w:sz w:val="24"/>
          <w:szCs w:val="24"/>
        </w:rPr>
        <w:t>capecitabin</w:t>
      </w:r>
      <w:proofErr w:type="spellEnd"/>
      <w:r w:rsidRPr="000C2646">
        <w:rPr>
          <w:sz w:val="24"/>
          <w:szCs w:val="24"/>
        </w:rPr>
        <w:t xml:space="preserve"> eller </w:t>
      </w:r>
      <w:proofErr w:type="spellStart"/>
      <w:r w:rsidRPr="000C2646">
        <w:rPr>
          <w:sz w:val="24"/>
          <w:szCs w:val="24"/>
        </w:rPr>
        <w:t>letrozol</w:t>
      </w:r>
      <w:proofErr w:type="spellEnd"/>
      <w:r w:rsidRPr="000C2646">
        <w:rPr>
          <w:sz w:val="24"/>
          <w:szCs w:val="24"/>
        </w:rPr>
        <w:t>.</w:t>
      </w:r>
    </w:p>
    <w:p w14:paraId="59FB8027" w14:textId="77777777" w:rsidR="00925ABE" w:rsidRPr="000C2646" w:rsidRDefault="00925ABE" w:rsidP="009534FE">
      <w:pPr>
        <w:ind w:left="851"/>
        <w:rPr>
          <w:sz w:val="24"/>
          <w:szCs w:val="24"/>
        </w:rPr>
      </w:pPr>
    </w:p>
    <w:p w14:paraId="20704724" w14:textId="77777777" w:rsidR="00925ABE" w:rsidRPr="000C2646" w:rsidRDefault="00925ABE" w:rsidP="009534FE">
      <w:pPr>
        <w:ind w:left="851"/>
        <w:rPr>
          <w:sz w:val="24"/>
          <w:szCs w:val="24"/>
        </w:rPr>
      </w:pPr>
      <w:r w:rsidRPr="000C2646">
        <w:rPr>
          <w:sz w:val="24"/>
          <w:szCs w:val="24"/>
        </w:rPr>
        <w:t xml:space="preserve">Der blev ikke rapporteret om yderligere bivirkninger forbundet med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trastuzumab</w:t>
      </w:r>
      <w:proofErr w:type="spellEnd"/>
      <w:r w:rsidRPr="000C2646">
        <w:rPr>
          <w:sz w:val="24"/>
          <w:szCs w:val="24"/>
        </w:rPr>
        <w:t xml:space="preserve">. Der var en øget forekomst af </w:t>
      </w:r>
      <w:proofErr w:type="spellStart"/>
      <w:r w:rsidRPr="000C2646">
        <w:rPr>
          <w:sz w:val="24"/>
          <w:szCs w:val="24"/>
        </w:rPr>
        <w:t>kardiel</w:t>
      </w:r>
      <w:proofErr w:type="spellEnd"/>
      <w:r w:rsidRPr="000C2646">
        <w:rPr>
          <w:sz w:val="24"/>
          <w:szCs w:val="24"/>
        </w:rPr>
        <w:t xml:space="preserve"> toksicitet, men disse bivirkninger havde samme karakter og sværhedsgrad som dem, der blev rapporteret i forbindelse med </w:t>
      </w:r>
      <w:proofErr w:type="spellStart"/>
      <w:r w:rsidRPr="000C2646">
        <w:rPr>
          <w:sz w:val="24"/>
          <w:szCs w:val="24"/>
        </w:rPr>
        <w:t>lapatinibs</w:t>
      </w:r>
      <w:proofErr w:type="spellEnd"/>
      <w:r w:rsidRPr="000C2646">
        <w:rPr>
          <w:sz w:val="24"/>
          <w:szCs w:val="24"/>
        </w:rPr>
        <w:t xml:space="preserve"> kliniske program (se pkt. 4.4 - </w:t>
      </w:r>
      <w:proofErr w:type="spellStart"/>
      <w:r w:rsidRPr="000C2646">
        <w:rPr>
          <w:sz w:val="24"/>
          <w:szCs w:val="24"/>
        </w:rPr>
        <w:t>kardiel</w:t>
      </w:r>
      <w:proofErr w:type="spellEnd"/>
      <w:r w:rsidRPr="000C2646">
        <w:rPr>
          <w:sz w:val="24"/>
          <w:szCs w:val="24"/>
        </w:rPr>
        <w:t xml:space="preserve"> toksicitet). Disse data er baseret på 149 patienter, der blev behandlet med denne kombination i det pivotale studie.</w:t>
      </w:r>
    </w:p>
    <w:p w14:paraId="0E65E3EF" w14:textId="77777777" w:rsidR="00925ABE" w:rsidRPr="000C2646" w:rsidRDefault="00925ABE" w:rsidP="007B7687">
      <w:pPr>
        <w:ind w:left="851"/>
      </w:pPr>
    </w:p>
    <w:p w14:paraId="75E5EF9C" w14:textId="77777777" w:rsidR="00925ABE" w:rsidRPr="007B7687" w:rsidRDefault="00925ABE" w:rsidP="007B7687">
      <w:pPr>
        <w:ind w:left="851"/>
        <w:rPr>
          <w:sz w:val="24"/>
          <w:szCs w:val="24"/>
          <w:u w:val="single"/>
        </w:rPr>
      </w:pPr>
      <w:r w:rsidRPr="007B7687">
        <w:rPr>
          <w:sz w:val="24"/>
          <w:szCs w:val="24"/>
          <w:u w:val="single"/>
        </w:rPr>
        <w:t>Liste over bivirkninger i tabelform</w:t>
      </w:r>
    </w:p>
    <w:p w14:paraId="11261ED3" w14:textId="77777777" w:rsidR="00925ABE" w:rsidRPr="007B7687" w:rsidRDefault="00925ABE" w:rsidP="007B7687">
      <w:pPr>
        <w:ind w:left="851"/>
        <w:rPr>
          <w:sz w:val="24"/>
          <w:szCs w:val="24"/>
        </w:rPr>
      </w:pPr>
    </w:p>
    <w:p w14:paraId="7E792E89" w14:textId="77777777" w:rsidR="00925ABE" w:rsidRPr="000C2646" w:rsidRDefault="00925ABE" w:rsidP="009534FE">
      <w:pPr>
        <w:ind w:left="851"/>
        <w:rPr>
          <w:sz w:val="24"/>
          <w:szCs w:val="24"/>
        </w:rPr>
      </w:pPr>
      <w:r w:rsidRPr="000C2646">
        <w:rPr>
          <w:sz w:val="24"/>
          <w:szCs w:val="24"/>
        </w:rPr>
        <w:t xml:space="preserve">Følgende bivirkninger er indberettet som havende en årsagsmæssig sammenhæng med </w:t>
      </w:r>
      <w:proofErr w:type="spellStart"/>
      <w:r w:rsidRPr="000C2646">
        <w:rPr>
          <w:sz w:val="24"/>
          <w:szCs w:val="24"/>
        </w:rPr>
        <w:t>lapatinib</w:t>
      </w:r>
      <w:proofErr w:type="spellEnd"/>
      <w:r w:rsidRPr="000C2646">
        <w:rPr>
          <w:sz w:val="24"/>
          <w:szCs w:val="24"/>
        </w:rPr>
        <w:t xml:space="preserve"> alene eller med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w:t>
      </w:r>
      <w:proofErr w:type="spellStart"/>
      <w:r w:rsidRPr="000C2646">
        <w:rPr>
          <w:sz w:val="24"/>
          <w:szCs w:val="24"/>
        </w:rPr>
        <w:t>trastuzumab</w:t>
      </w:r>
      <w:proofErr w:type="spellEnd"/>
      <w:r w:rsidRPr="000C2646">
        <w:rPr>
          <w:sz w:val="24"/>
          <w:szCs w:val="24"/>
        </w:rPr>
        <w:t xml:space="preserve"> eller </w:t>
      </w:r>
      <w:proofErr w:type="spellStart"/>
      <w:r w:rsidRPr="000C2646">
        <w:rPr>
          <w:sz w:val="24"/>
          <w:szCs w:val="24"/>
        </w:rPr>
        <w:t>letrozol</w:t>
      </w:r>
      <w:proofErr w:type="spellEnd"/>
      <w:r w:rsidRPr="000C2646">
        <w:rPr>
          <w:sz w:val="24"/>
          <w:szCs w:val="24"/>
        </w:rPr>
        <w:t>.</w:t>
      </w:r>
    </w:p>
    <w:p w14:paraId="09FB2C38" w14:textId="77777777" w:rsidR="00925ABE" w:rsidRPr="000C2646" w:rsidRDefault="00925ABE" w:rsidP="009534FE">
      <w:pPr>
        <w:ind w:left="851"/>
        <w:rPr>
          <w:sz w:val="24"/>
          <w:szCs w:val="24"/>
        </w:rPr>
      </w:pPr>
    </w:p>
    <w:p w14:paraId="03DC09EF" w14:textId="77777777" w:rsidR="00925ABE" w:rsidRPr="000C2646" w:rsidRDefault="00925ABE" w:rsidP="009534FE">
      <w:pPr>
        <w:ind w:left="851"/>
        <w:rPr>
          <w:sz w:val="24"/>
          <w:szCs w:val="24"/>
        </w:rPr>
      </w:pPr>
      <w:r w:rsidRPr="000C2646">
        <w:rPr>
          <w:sz w:val="24"/>
          <w:szCs w:val="24"/>
        </w:rPr>
        <w:lastRenderedPageBreak/>
        <w:t>Følgende konvention er anvendt til klassifikation af frekvenserne: meget almindelig (</w:t>
      </w:r>
      <w:r w:rsidRPr="000C2646">
        <w:rPr>
          <w:sz w:val="24"/>
          <w:szCs w:val="24"/>
        </w:rPr>
        <w:sym w:font="Symbol" w:char="F0B3"/>
      </w:r>
      <w:r w:rsidRPr="000C2646">
        <w:rPr>
          <w:sz w:val="24"/>
          <w:szCs w:val="24"/>
        </w:rPr>
        <w:t> 1/10), almindelig (</w:t>
      </w:r>
      <w:r w:rsidRPr="000C2646">
        <w:rPr>
          <w:sz w:val="24"/>
          <w:szCs w:val="24"/>
        </w:rPr>
        <w:sym w:font="Symbol" w:char="F0B3"/>
      </w:r>
      <w:r w:rsidRPr="000C2646">
        <w:rPr>
          <w:sz w:val="24"/>
          <w:szCs w:val="24"/>
        </w:rPr>
        <w:t> 1/100, &lt; 1/10), ikke almindelig (</w:t>
      </w:r>
      <w:r w:rsidRPr="000C2646">
        <w:rPr>
          <w:sz w:val="24"/>
          <w:szCs w:val="24"/>
        </w:rPr>
        <w:sym w:font="Symbol" w:char="F0B3"/>
      </w:r>
      <w:r w:rsidRPr="000C2646">
        <w:rPr>
          <w:sz w:val="24"/>
          <w:szCs w:val="24"/>
        </w:rPr>
        <w:t> 1/1000, &lt; 1/100), sjælden (</w:t>
      </w:r>
      <w:r w:rsidRPr="000C2646">
        <w:rPr>
          <w:sz w:val="24"/>
          <w:szCs w:val="24"/>
        </w:rPr>
        <w:sym w:font="Symbol" w:char="F0B3"/>
      </w:r>
      <w:r w:rsidRPr="000C2646">
        <w:rPr>
          <w:sz w:val="24"/>
          <w:szCs w:val="24"/>
        </w:rPr>
        <w:t> 1/10000, &lt; 1/1000) og meget sjælden (&lt; 1/10000), ikke kendt (kan ikke estimeres ud fra de forhåndenværende data).</w:t>
      </w:r>
    </w:p>
    <w:p w14:paraId="2B75C209" w14:textId="77777777" w:rsidR="00925ABE" w:rsidRPr="000C2646" w:rsidRDefault="00925ABE" w:rsidP="009534FE">
      <w:pPr>
        <w:ind w:left="851"/>
        <w:rPr>
          <w:sz w:val="24"/>
          <w:szCs w:val="24"/>
        </w:rPr>
      </w:pPr>
    </w:p>
    <w:p w14:paraId="5FA18D30" w14:textId="77777777" w:rsidR="00925ABE" w:rsidRPr="000C2646" w:rsidRDefault="00925ABE" w:rsidP="009534FE">
      <w:pPr>
        <w:ind w:left="851"/>
        <w:rPr>
          <w:sz w:val="24"/>
          <w:szCs w:val="24"/>
        </w:rPr>
      </w:pPr>
      <w:r w:rsidRPr="000C2646">
        <w:rPr>
          <w:sz w:val="24"/>
          <w:szCs w:val="24"/>
        </w:rPr>
        <w:t>Inden for hver enkelt frekvensgruppe er bivirkningerne opstillet efter, hvor alvorlige de er. De alvorligste bivirkninger er anført først.</w:t>
      </w:r>
    </w:p>
    <w:p w14:paraId="53B253F0" w14:textId="77777777" w:rsidR="00925ABE" w:rsidRPr="000C2646" w:rsidRDefault="00925ABE" w:rsidP="00531060">
      <w:pPr>
        <w:ind w:left="851"/>
        <w:rPr>
          <w:sz w:val="24"/>
          <w:szCs w:val="24"/>
        </w:rPr>
      </w:pPr>
    </w:p>
    <w:tbl>
      <w:tblPr>
        <w:tblStyle w:val="Tabel-Gitter"/>
        <w:tblW w:w="9055" w:type="dxa"/>
        <w:tblInd w:w="846" w:type="dxa"/>
        <w:tblLook w:val="04A0" w:firstRow="1" w:lastRow="0" w:firstColumn="1" w:lastColumn="0" w:noHBand="0" w:noVBand="1"/>
      </w:tblPr>
      <w:tblGrid>
        <w:gridCol w:w="2830"/>
        <w:gridCol w:w="6225"/>
      </w:tblGrid>
      <w:tr w:rsidR="00925ABE" w:rsidRPr="00531060" w14:paraId="04AA06C6"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7B4AEE6F" w14:textId="77777777" w:rsidR="00925ABE" w:rsidRPr="00531060" w:rsidRDefault="00925ABE">
            <w:pPr>
              <w:rPr>
                <w:b/>
                <w:bCs/>
                <w:sz w:val="24"/>
                <w:szCs w:val="24"/>
                <w:lang w:val="da-DK"/>
              </w:rPr>
            </w:pPr>
            <w:r w:rsidRPr="00531060">
              <w:rPr>
                <w:b/>
                <w:bCs/>
                <w:sz w:val="24"/>
                <w:szCs w:val="24"/>
                <w:lang w:val="da-DK"/>
              </w:rPr>
              <w:t>Immunsystemet</w:t>
            </w:r>
          </w:p>
        </w:tc>
      </w:tr>
      <w:tr w:rsidR="00925ABE" w:rsidRPr="00531060" w14:paraId="2AD4C1F7"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09D28385" w14:textId="77777777" w:rsidR="00925ABE" w:rsidRPr="00531060" w:rsidRDefault="00925ABE">
            <w:pPr>
              <w:rPr>
                <w:sz w:val="24"/>
                <w:szCs w:val="24"/>
                <w:lang w:val="da-DK"/>
              </w:rPr>
            </w:pPr>
            <w:r w:rsidRPr="00531060">
              <w:rPr>
                <w:sz w:val="24"/>
                <w:szCs w:val="24"/>
                <w:lang w:val="da-DK"/>
              </w:rPr>
              <w:t>Sjælden</w:t>
            </w:r>
          </w:p>
        </w:tc>
        <w:tc>
          <w:tcPr>
            <w:tcW w:w="6225" w:type="dxa"/>
            <w:tcBorders>
              <w:top w:val="single" w:sz="4" w:space="0" w:color="auto"/>
              <w:left w:val="single" w:sz="4" w:space="0" w:color="auto"/>
              <w:bottom w:val="single" w:sz="4" w:space="0" w:color="auto"/>
              <w:right w:val="single" w:sz="4" w:space="0" w:color="auto"/>
            </w:tcBorders>
            <w:hideMark/>
          </w:tcPr>
          <w:p w14:paraId="6C0C3186" w14:textId="77777777" w:rsidR="00925ABE" w:rsidRPr="00531060" w:rsidRDefault="00925ABE">
            <w:pPr>
              <w:tabs>
                <w:tab w:val="left" w:pos="1182"/>
              </w:tabs>
              <w:rPr>
                <w:sz w:val="24"/>
                <w:szCs w:val="24"/>
                <w:lang w:val="da-DK"/>
              </w:rPr>
            </w:pPr>
            <w:r w:rsidRPr="00531060">
              <w:rPr>
                <w:sz w:val="24"/>
                <w:szCs w:val="24"/>
                <w:lang w:val="da-DK"/>
              </w:rPr>
              <w:t>Overfølsomhedsreaktioner, herunder anafylaksi (se pkt. 4.3)</w:t>
            </w:r>
          </w:p>
        </w:tc>
      </w:tr>
      <w:tr w:rsidR="00925ABE" w:rsidRPr="00531060" w14:paraId="12326BC5"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3F21E3F1" w14:textId="77777777" w:rsidR="00925ABE" w:rsidRPr="00531060" w:rsidRDefault="00925ABE">
            <w:pPr>
              <w:rPr>
                <w:b/>
                <w:bCs/>
                <w:sz w:val="24"/>
                <w:szCs w:val="24"/>
                <w:lang w:val="da-DK"/>
              </w:rPr>
            </w:pPr>
            <w:r w:rsidRPr="00531060">
              <w:rPr>
                <w:b/>
                <w:bCs/>
                <w:sz w:val="24"/>
                <w:szCs w:val="24"/>
                <w:lang w:val="da-DK"/>
              </w:rPr>
              <w:t>Metabolisme og ernæring</w:t>
            </w:r>
          </w:p>
        </w:tc>
      </w:tr>
      <w:tr w:rsidR="00925ABE" w:rsidRPr="00531060" w14:paraId="50648C75"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335D2887"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17E89338" w14:textId="77777777" w:rsidR="00925ABE" w:rsidRPr="00531060" w:rsidRDefault="00925ABE">
            <w:pPr>
              <w:rPr>
                <w:sz w:val="24"/>
                <w:szCs w:val="24"/>
                <w:lang w:val="da-DK"/>
              </w:rPr>
            </w:pPr>
            <w:r w:rsidRPr="00531060">
              <w:rPr>
                <w:sz w:val="24"/>
                <w:szCs w:val="24"/>
                <w:lang w:val="da-DK"/>
              </w:rPr>
              <w:t>Anoreksi</w:t>
            </w:r>
          </w:p>
        </w:tc>
      </w:tr>
      <w:tr w:rsidR="00925ABE" w:rsidRPr="00531060" w14:paraId="451A71DB"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3C6D386D" w14:textId="77777777" w:rsidR="00925ABE" w:rsidRPr="00531060" w:rsidRDefault="00925ABE">
            <w:pPr>
              <w:rPr>
                <w:b/>
                <w:bCs/>
                <w:sz w:val="24"/>
                <w:szCs w:val="24"/>
                <w:lang w:val="da-DK"/>
              </w:rPr>
            </w:pPr>
            <w:r w:rsidRPr="00531060">
              <w:rPr>
                <w:b/>
                <w:bCs/>
                <w:sz w:val="24"/>
                <w:szCs w:val="24"/>
                <w:lang w:val="da-DK"/>
              </w:rPr>
              <w:t>Psykiske forstyrrelser</w:t>
            </w:r>
          </w:p>
        </w:tc>
      </w:tr>
      <w:tr w:rsidR="00925ABE" w:rsidRPr="00531060" w14:paraId="14F72665"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28ECA9B"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5AFF734D" w14:textId="77777777" w:rsidR="00925ABE" w:rsidRPr="00531060" w:rsidRDefault="00925ABE">
            <w:pPr>
              <w:rPr>
                <w:sz w:val="24"/>
                <w:szCs w:val="24"/>
                <w:lang w:val="da-DK"/>
              </w:rPr>
            </w:pPr>
            <w:r w:rsidRPr="00531060">
              <w:rPr>
                <w:sz w:val="24"/>
                <w:szCs w:val="24"/>
                <w:lang w:val="da-DK"/>
              </w:rPr>
              <w:t>Søvnløshed</w:t>
            </w:r>
            <w:r w:rsidRPr="00531060">
              <w:rPr>
                <w:sz w:val="24"/>
                <w:szCs w:val="24"/>
                <w:vertAlign w:val="superscript"/>
                <w:lang w:val="da-DK"/>
              </w:rPr>
              <w:t>*</w:t>
            </w:r>
          </w:p>
        </w:tc>
      </w:tr>
      <w:tr w:rsidR="00925ABE" w:rsidRPr="00531060" w14:paraId="5D7652A3"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6888A6DD" w14:textId="77777777" w:rsidR="00925ABE" w:rsidRPr="00531060" w:rsidRDefault="00925ABE">
            <w:pPr>
              <w:rPr>
                <w:b/>
                <w:bCs/>
                <w:sz w:val="24"/>
                <w:szCs w:val="24"/>
                <w:lang w:val="da-DK"/>
              </w:rPr>
            </w:pPr>
            <w:r w:rsidRPr="00531060">
              <w:rPr>
                <w:b/>
                <w:bCs/>
                <w:sz w:val="24"/>
                <w:szCs w:val="24"/>
                <w:lang w:val="da-DK"/>
              </w:rPr>
              <w:t>Nervesystemet</w:t>
            </w:r>
          </w:p>
        </w:tc>
      </w:tr>
      <w:tr w:rsidR="00925ABE" w:rsidRPr="00531060" w14:paraId="036DEC17"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1F4D15B4"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6B464FBD" w14:textId="77777777" w:rsidR="00925ABE" w:rsidRPr="00531060" w:rsidRDefault="00925ABE">
            <w:pPr>
              <w:rPr>
                <w:sz w:val="24"/>
                <w:szCs w:val="24"/>
                <w:lang w:val="da-DK"/>
              </w:rPr>
            </w:pPr>
            <w:r w:rsidRPr="00531060">
              <w:rPr>
                <w:sz w:val="24"/>
                <w:szCs w:val="24"/>
                <w:lang w:val="da-DK"/>
              </w:rPr>
              <w:t>Hovedpine</w:t>
            </w:r>
            <w:r w:rsidRPr="00531060">
              <w:rPr>
                <w:sz w:val="24"/>
                <w:szCs w:val="24"/>
                <w:vertAlign w:val="superscript"/>
                <w:lang w:val="da-DK"/>
              </w:rPr>
              <w:t>†</w:t>
            </w:r>
          </w:p>
        </w:tc>
      </w:tr>
      <w:tr w:rsidR="00925ABE" w:rsidRPr="00531060" w14:paraId="0CC9A50F"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B06ED86" w14:textId="77777777" w:rsidR="00925ABE" w:rsidRPr="00531060" w:rsidRDefault="00925ABE">
            <w:pPr>
              <w:rPr>
                <w:sz w:val="24"/>
                <w:szCs w:val="24"/>
                <w:lang w:val="da-DK"/>
              </w:rPr>
            </w:pPr>
            <w:r w:rsidRPr="00531060">
              <w:rPr>
                <w:sz w:val="24"/>
                <w:szCs w:val="24"/>
                <w:lang w:val="da-DK"/>
              </w:rPr>
              <w:t>Almindelig</w:t>
            </w:r>
          </w:p>
        </w:tc>
        <w:tc>
          <w:tcPr>
            <w:tcW w:w="6225" w:type="dxa"/>
            <w:tcBorders>
              <w:top w:val="single" w:sz="4" w:space="0" w:color="auto"/>
              <w:left w:val="single" w:sz="4" w:space="0" w:color="auto"/>
              <w:bottom w:val="single" w:sz="4" w:space="0" w:color="auto"/>
              <w:right w:val="single" w:sz="4" w:space="0" w:color="auto"/>
            </w:tcBorders>
            <w:hideMark/>
          </w:tcPr>
          <w:p w14:paraId="43D2E5E0" w14:textId="77777777" w:rsidR="00925ABE" w:rsidRPr="00531060" w:rsidRDefault="00925ABE">
            <w:pPr>
              <w:rPr>
                <w:sz w:val="24"/>
                <w:szCs w:val="24"/>
                <w:lang w:val="da-DK"/>
              </w:rPr>
            </w:pPr>
            <w:r w:rsidRPr="00531060">
              <w:rPr>
                <w:sz w:val="24"/>
                <w:szCs w:val="24"/>
                <w:lang w:val="da-DK"/>
              </w:rPr>
              <w:t>Hovedpine</w:t>
            </w:r>
            <w:r w:rsidRPr="00531060">
              <w:rPr>
                <w:sz w:val="24"/>
                <w:szCs w:val="24"/>
                <w:vertAlign w:val="superscript"/>
                <w:lang w:val="da-DK"/>
              </w:rPr>
              <w:t>*</w:t>
            </w:r>
          </w:p>
        </w:tc>
      </w:tr>
      <w:tr w:rsidR="00925ABE" w:rsidRPr="00531060" w14:paraId="2CF29E28"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2ECDEC65" w14:textId="77777777" w:rsidR="00925ABE" w:rsidRPr="00531060" w:rsidRDefault="00925ABE">
            <w:pPr>
              <w:rPr>
                <w:b/>
                <w:bCs/>
                <w:sz w:val="24"/>
                <w:szCs w:val="24"/>
                <w:lang w:val="da-DK"/>
              </w:rPr>
            </w:pPr>
            <w:r w:rsidRPr="00531060">
              <w:rPr>
                <w:b/>
                <w:bCs/>
                <w:sz w:val="24"/>
                <w:szCs w:val="24"/>
                <w:lang w:val="da-DK"/>
              </w:rPr>
              <w:t>Hjerte</w:t>
            </w:r>
          </w:p>
        </w:tc>
      </w:tr>
      <w:tr w:rsidR="00925ABE" w:rsidRPr="00531060" w14:paraId="463ECEF5"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72AA3899" w14:textId="77777777" w:rsidR="00925ABE" w:rsidRPr="00531060" w:rsidRDefault="00925ABE">
            <w:pPr>
              <w:rPr>
                <w:sz w:val="24"/>
                <w:szCs w:val="24"/>
                <w:lang w:val="da-DK"/>
              </w:rPr>
            </w:pPr>
            <w:r w:rsidRPr="00531060">
              <w:rPr>
                <w:sz w:val="24"/>
                <w:szCs w:val="24"/>
                <w:lang w:val="da-DK"/>
              </w:rPr>
              <w:t>Almindelig</w:t>
            </w:r>
          </w:p>
        </w:tc>
        <w:tc>
          <w:tcPr>
            <w:tcW w:w="6225" w:type="dxa"/>
            <w:tcBorders>
              <w:top w:val="single" w:sz="4" w:space="0" w:color="auto"/>
              <w:left w:val="single" w:sz="4" w:space="0" w:color="auto"/>
              <w:bottom w:val="single" w:sz="4" w:space="0" w:color="auto"/>
              <w:right w:val="single" w:sz="4" w:space="0" w:color="auto"/>
            </w:tcBorders>
            <w:hideMark/>
          </w:tcPr>
          <w:p w14:paraId="074A3E25" w14:textId="77777777" w:rsidR="00925ABE" w:rsidRPr="00531060" w:rsidRDefault="00925ABE">
            <w:pPr>
              <w:rPr>
                <w:sz w:val="24"/>
                <w:szCs w:val="24"/>
                <w:lang w:val="da-DK"/>
              </w:rPr>
            </w:pPr>
            <w:r w:rsidRPr="00531060">
              <w:rPr>
                <w:sz w:val="24"/>
                <w:szCs w:val="24"/>
                <w:lang w:val="da-DK"/>
              </w:rPr>
              <w:t xml:space="preserve">Nedsat uddrivningsfraktion fra venstre ventrikel (se pkt. 4.2 - midlertidig afbrydelse af behandling og nedsættelse af dosis - </w:t>
            </w:r>
            <w:proofErr w:type="spellStart"/>
            <w:r w:rsidRPr="00531060">
              <w:rPr>
                <w:sz w:val="24"/>
                <w:szCs w:val="24"/>
                <w:lang w:val="da-DK"/>
              </w:rPr>
              <w:t>kardielle</w:t>
            </w:r>
            <w:proofErr w:type="spellEnd"/>
            <w:r w:rsidRPr="00531060">
              <w:rPr>
                <w:sz w:val="24"/>
                <w:szCs w:val="24"/>
                <w:lang w:val="da-DK"/>
              </w:rPr>
              <w:t xml:space="preserve"> hændelser og pkt. 4.4)</w:t>
            </w:r>
          </w:p>
        </w:tc>
      </w:tr>
      <w:tr w:rsidR="00925ABE" w:rsidRPr="00531060" w14:paraId="4AE1A76F"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72966BB6" w14:textId="77777777" w:rsidR="00925ABE" w:rsidRPr="00531060" w:rsidRDefault="00925ABE">
            <w:pPr>
              <w:rPr>
                <w:sz w:val="24"/>
                <w:szCs w:val="24"/>
                <w:lang w:val="da-DK"/>
              </w:rPr>
            </w:pPr>
            <w:r w:rsidRPr="00531060">
              <w:rPr>
                <w:sz w:val="24"/>
                <w:szCs w:val="24"/>
                <w:lang w:val="da-DK"/>
              </w:rPr>
              <w:t>Ikke kendt</w:t>
            </w:r>
          </w:p>
        </w:tc>
        <w:tc>
          <w:tcPr>
            <w:tcW w:w="6225" w:type="dxa"/>
            <w:tcBorders>
              <w:top w:val="single" w:sz="4" w:space="0" w:color="auto"/>
              <w:left w:val="single" w:sz="4" w:space="0" w:color="auto"/>
              <w:bottom w:val="single" w:sz="4" w:space="0" w:color="auto"/>
              <w:right w:val="single" w:sz="4" w:space="0" w:color="auto"/>
            </w:tcBorders>
            <w:hideMark/>
          </w:tcPr>
          <w:p w14:paraId="0FAF15BD" w14:textId="77777777" w:rsidR="00925ABE" w:rsidRPr="00531060" w:rsidRDefault="00925ABE">
            <w:pPr>
              <w:rPr>
                <w:sz w:val="24"/>
                <w:szCs w:val="24"/>
                <w:lang w:val="da-DK"/>
              </w:rPr>
            </w:pPr>
            <w:proofErr w:type="spellStart"/>
            <w:r w:rsidRPr="00531060">
              <w:rPr>
                <w:sz w:val="24"/>
                <w:szCs w:val="24"/>
                <w:lang w:val="da-DK"/>
              </w:rPr>
              <w:t>Ventrikulære</w:t>
            </w:r>
            <w:proofErr w:type="spellEnd"/>
            <w:r w:rsidRPr="00531060">
              <w:rPr>
                <w:sz w:val="24"/>
                <w:szCs w:val="24"/>
                <w:lang w:val="da-DK"/>
              </w:rPr>
              <w:t xml:space="preserve"> </w:t>
            </w:r>
            <w:proofErr w:type="spellStart"/>
            <w:r w:rsidRPr="00531060">
              <w:rPr>
                <w:sz w:val="24"/>
                <w:szCs w:val="24"/>
                <w:lang w:val="da-DK"/>
              </w:rPr>
              <w:t>arytmier</w:t>
            </w:r>
            <w:proofErr w:type="spellEnd"/>
            <w:r w:rsidRPr="00531060">
              <w:rPr>
                <w:sz w:val="24"/>
                <w:szCs w:val="24"/>
                <w:lang w:val="da-DK"/>
              </w:rPr>
              <w:t>/</w:t>
            </w:r>
            <w:proofErr w:type="spellStart"/>
            <w:r w:rsidRPr="00531060">
              <w:rPr>
                <w:sz w:val="24"/>
                <w:szCs w:val="24"/>
                <w:lang w:val="da-DK"/>
              </w:rPr>
              <w:t>Torsades</w:t>
            </w:r>
            <w:proofErr w:type="spellEnd"/>
            <w:r w:rsidRPr="00531060">
              <w:rPr>
                <w:sz w:val="24"/>
                <w:szCs w:val="24"/>
                <w:lang w:val="da-DK"/>
              </w:rPr>
              <w:t xml:space="preserve"> de Pointes, QT-forlængelse på elektrokardiogram</w:t>
            </w:r>
          </w:p>
        </w:tc>
      </w:tr>
      <w:tr w:rsidR="00925ABE" w:rsidRPr="00531060" w14:paraId="549C45EB"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4DE13ADE" w14:textId="77777777" w:rsidR="00925ABE" w:rsidRPr="00531060" w:rsidRDefault="00925ABE">
            <w:pPr>
              <w:rPr>
                <w:b/>
                <w:bCs/>
                <w:sz w:val="24"/>
                <w:szCs w:val="24"/>
                <w:lang w:val="da-DK"/>
              </w:rPr>
            </w:pPr>
            <w:proofErr w:type="spellStart"/>
            <w:r w:rsidRPr="00531060">
              <w:rPr>
                <w:b/>
                <w:bCs/>
                <w:sz w:val="24"/>
                <w:szCs w:val="24"/>
                <w:lang w:val="da-DK"/>
              </w:rPr>
              <w:t>Vaskulære</w:t>
            </w:r>
            <w:proofErr w:type="spellEnd"/>
            <w:r w:rsidRPr="00531060">
              <w:rPr>
                <w:b/>
                <w:bCs/>
                <w:sz w:val="24"/>
                <w:szCs w:val="24"/>
                <w:lang w:val="da-DK"/>
              </w:rPr>
              <w:t xml:space="preserve"> sygdomme</w:t>
            </w:r>
          </w:p>
        </w:tc>
      </w:tr>
      <w:tr w:rsidR="00925ABE" w:rsidRPr="00531060" w14:paraId="05647009"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0A331819"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653034BF" w14:textId="77777777" w:rsidR="00925ABE" w:rsidRPr="00531060" w:rsidRDefault="00925ABE">
            <w:pPr>
              <w:rPr>
                <w:sz w:val="24"/>
                <w:szCs w:val="24"/>
                <w:lang w:val="da-DK"/>
              </w:rPr>
            </w:pPr>
            <w:r w:rsidRPr="00531060">
              <w:rPr>
                <w:sz w:val="24"/>
                <w:szCs w:val="24"/>
                <w:lang w:val="da-DK"/>
              </w:rPr>
              <w:t>Hedeture</w:t>
            </w:r>
            <w:r w:rsidRPr="00531060">
              <w:rPr>
                <w:sz w:val="24"/>
                <w:szCs w:val="24"/>
                <w:vertAlign w:val="superscript"/>
                <w:lang w:val="da-DK"/>
              </w:rPr>
              <w:t>†</w:t>
            </w:r>
          </w:p>
        </w:tc>
      </w:tr>
      <w:tr w:rsidR="00925ABE" w:rsidRPr="00531060" w14:paraId="79C563F7"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792ACB47" w14:textId="77777777" w:rsidR="00925ABE" w:rsidRPr="00531060" w:rsidRDefault="00925ABE">
            <w:pPr>
              <w:rPr>
                <w:b/>
                <w:bCs/>
                <w:sz w:val="24"/>
                <w:szCs w:val="24"/>
                <w:lang w:val="da-DK"/>
              </w:rPr>
            </w:pPr>
            <w:r w:rsidRPr="00531060">
              <w:rPr>
                <w:b/>
                <w:bCs/>
                <w:sz w:val="24"/>
                <w:szCs w:val="24"/>
                <w:lang w:val="da-DK"/>
              </w:rPr>
              <w:t xml:space="preserve">Luftveje, thorax og </w:t>
            </w:r>
            <w:proofErr w:type="spellStart"/>
            <w:r w:rsidRPr="00531060">
              <w:rPr>
                <w:b/>
                <w:bCs/>
                <w:sz w:val="24"/>
                <w:szCs w:val="24"/>
                <w:lang w:val="da-DK"/>
              </w:rPr>
              <w:t>mediastinum</w:t>
            </w:r>
            <w:proofErr w:type="spellEnd"/>
          </w:p>
        </w:tc>
      </w:tr>
      <w:tr w:rsidR="00925ABE" w:rsidRPr="00531060" w14:paraId="236F5517"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49900A1"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1CB9EABF" w14:textId="77777777" w:rsidR="00925ABE" w:rsidRPr="00531060" w:rsidRDefault="00925ABE">
            <w:pPr>
              <w:rPr>
                <w:sz w:val="24"/>
                <w:szCs w:val="24"/>
                <w:lang w:val="da-DK"/>
              </w:rPr>
            </w:pPr>
            <w:proofErr w:type="spellStart"/>
            <w:r w:rsidRPr="00531060">
              <w:rPr>
                <w:sz w:val="24"/>
                <w:szCs w:val="24"/>
                <w:lang w:val="da-DK"/>
              </w:rPr>
              <w:t>Epistaxis</w:t>
            </w:r>
            <w:proofErr w:type="spellEnd"/>
            <w:r w:rsidRPr="00531060">
              <w:rPr>
                <w:sz w:val="24"/>
                <w:szCs w:val="24"/>
                <w:vertAlign w:val="superscript"/>
                <w:lang w:val="da-DK"/>
              </w:rPr>
              <w:t>†</w:t>
            </w:r>
            <w:r w:rsidRPr="00531060">
              <w:rPr>
                <w:sz w:val="24"/>
                <w:szCs w:val="24"/>
                <w:lang w:val="da-DK"/>
              </w:rPr>
              <w:t>, hoste</w:t>
            </w:r>
            <w:r w:rsidRPr="00531060">
              <w:rPr>
                <w:sz w:val="24"/>
                <w:szCs w:val="24"/>
                <w:vertAlign w:val="superscript"/>
                <w:lang w:val="da-DK"/>
              </w:rPr>
              <w:t>†</w:t>
            </w:r>
            <w:r w:rsidRPr="00531060">
              <w:rPr>
                <w:sz w:val="24"/>
                <w:szCs w:val="24"/>
                <w:lang w:val="da-DK"/>
              </w:rPr>
              <w:t>, dyspnø</w:t>
            </w:r>
            <w:r w:rsidRPr="00531060">
              <w:rPr>
                <w:sz w:val="24"/>
                <w:szCs w:val="24"/>
                <w:vertAlign w:val="superscript"/>
                <w:lang w:val="da-DK"/>
              </w:rPr>
              <w:t>†</w:t>
            </w:r>
          </w:p>
        </w:tc>
      </w:tr>
      <w:tr w:rsidR="00925ABE" w:rsidRPr="00531060" w14:paraId="59B27C86"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01201393" w14:textId="77777777" w:rsidR="00925ABE" w:rsidRPr="00531060" w:rsidRDefault="00925ABE">
            <w:pPr>
              <w:rPr>
                <w:sz w:val="24"/>
                <w:szCs w:val="24"/>
                <w:lang w:val="da-DK"/>
              </w:rPr>
            </w:pPr>
            <w:r w:rsidRPr="00531060">
              <w:rPr>
                <w:sz w:val="24"/>
                <w:szCs w:val="24"/>
                <w:lang w:val="da-DK"/>
              </w:rPr>
              <w:t>Ikke almindelig</w:t>
            </w:r>
          </w:p>
        </w:tc>
        <w:tc>
          <w:tcPr>
            <w:tcW w:w="6225" w:type="dxa"/>
            <w:tcBorders>
              <w:top w:val="single" w:sz="4" w:space="0" w:color="auto"/>
              <w:left w:val="single" w:sz="4" w:space="0" w:color="auto"/>
              <w:bottom w:val="single" w:sz="4" w:space="0" w:color="auto"/>
              <w:right w:val="single" w:sz="4" w:space="0" w:color="auto"/>
            </w:tcBorders>
            <w:hideMark/>
          </w:tcPr>
          <w:p w14:paraId="469B9511" w14:textId="77777777" w:rsidR="00925ABE" w:rsidRPr="00531060" w:rsidRDefault="00925ABE">
            <w:pPr>
              <w:rPr>
                <w:sz w:val="24"/>
                <w:szCs w:val="24"/>
                <w:lang w:val="da-DK"/>
              </w:rPr>
            </w:pPr>
            <w:proofErr w:type="spellStart"/>
            <w:r w:rsidRPr="00531060">
              <w:rPr>
                <w:sz w:val="24"/>
                <w:szCs w:val="24"/>
                <w:lang w:val="da-DK"/>
              </w:rPr>
              <w:t>Interstitiel</w:t>
            </w:r>
            <w:proofErr w:type="spellEnd"/>
            <w:r w:rsidRPr="00531060">
              <w:rPr>
                <w:sz w:val="24"/>
                <w:szCs w:val="24"/>
                <w:lang w:val="da-DK"/>
              </w:rPr>
              <w:t xml:space="preserve"> lungesygdom/pneumoni</w:t>
            </w:r>
          </w:p>
        </w:tc>
      </w:tr>
      <w:tr w:rsidR="00925ABE" w:rsidRPr="00531060" w14:paraId="22CA6B91"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F6013B2" w14:textId="77777777" w:rsidR="00925ABE" w:rsidRPr="00531060" w:rsidRDefault="00925ABE">
            <w:pPr>
              <w:rPr>
                <w:sz w:val="24"/>
                <w:szCs w:val="24"/>
                <w:lang w:val="da-DK"/>
              </w:rPr>
            </w:pPr>
            <w:r w:rsidRPr="00531060">
              <w:rPr>
                <w:sz w:val="24"/>
                <w:szCs w:val="24"/>
                <w:lang w:val="da-DK"/>
              </w:rPr>
              <w:t>Ikke kendt</w:t>
            </w:r>
          </w:p>
        </w:tc>
        <w:tc>
          <w:tcPr>
            <w:tcW w:w="6225" w:type="dxa"/>
            <w:tcBorders>
              <w:top w:val="single" w:sz="4" w:space="0" w:color="auto"/>
              <w:left w:val="single" w:sz="4" w:space="0" w:color="auto"/>
              <w:bottom w:val="single" w:sz="4" w:space="0" w:color="auto"/>
              <w:right w:val="single" w:sz="4" w:space="0" w:color="auto"/>
            </w:tcBorders>
            <w:hideMark/>
          </w:tcPr>
          <w:p w14:paraId="13E0668A" w14:textId="77777777" w:rsidR="00925ABE" w:rsidRPr="00531060" w:rsidRDefault="00925ABE">
            <w:pPr>
              <w:rPr>
                <w:sz w:val="24"/>
                <w:szCs w:val="24"/>
                <w:lang w:val="da-DK"/>
              </w:rPr>
            </w:pPr>
            <w:proofErr w:type="spellStart"/>
            <w:r w:rsidRPr="00531060">
              <w:rPr>
                <w:sz w:val="24"/>
                <w:szCs w:val="24"/>
                <w:lang w:val="da-DK"/>
              </w:rPr>
              <w:t>Pulmonal</w:t>
            </w:r>
            <w:proofErr w:type="spellEnd"/>
            <w:r w:rsidRPr="00531060">
              <w:rPr>
                <w:sz w:val="24"/>
                <w:szCs w:val="24"/>
                <w:lang w:val="da-DK"/>
              </w:rPr>
              <w:t xml:space="preserve"> arteriel hypertension</w:t>
            </w:r>
            <w:r w:rsidRPr="00531060">
              <w:rPr>
                <w:sz w:val="24"/>
                <w:szCs w:val="24"/>
                <w:vertAlign w:val="superscript"/>
                <w:lang w:val="da-DK"/>
              </w:rPr>
              <w:t>**</w:t>
            </w:r>
          </w:p>
        </w:tc>
      </w:tr>
      <w:tr w:rsidR="00925ABE" w:rsidRPr="00531060" w14:paraId="29B60444"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4A8D4C54" w14:textId="77777777" w:rsidR="00925ABE" w:rsidRPr="00531060" w:rsidRDefault="00925ABE">
            <w:pPr>
              <w:rPr>
                <w:b/>
                <w:bCs/>
                <w:sz w:val="24"/>
                <w:szCs w:val="24"/>
                <w:lang w:val="da-DK"/>
              </w:rPr>
            </w:pPr>
            <w:r w:rsidRPr="00531060">
              <w:rPr>
                <w:b/>
                <w:bCs/>
                <w:sz w:val="24"/>
                <w:szCs w:val="24"/>
                <w:lang w:val="da-DK"/>
              </w:rPr>
              <w:t>Mave-tarm-kanalen</w:t>
            </w:r>
          </w:p>
        </w:tc>
      </w:tr>
      <w:tr w:rsidR="00925ABE" w:rsidRPr="00531060" w14:paraId="6F31BB7A"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46CE5EB3"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7613C321" w14:textId="77777777" w:rsidR="00925ABE" w:rsidRPr="00531060" w:rsidRDefault="00925ABE">
            <w:pPr>
              <w:rPr>
                <w:sz w:val="24"/>
                <w:szCs w:val="24"/>
                <w:lang w:val="da-DK"/>
              </w:rPr>
            </w:pPr>
            <w:r w:rsidRPr="00531060">
              <w:rPr>
                <w:sz w:val="24"/>
                <w:szCs w:val="24"/>
                <w:lang w:val="da-DK"/>
              </w:rPr>
              <w:t>Diarré, som kan medføre dehydrering (se pkt. 4.2 - midlertidig afbrydelse af behandling og nedsættelse af dosis - anden toksicitet og pkt. 4.4), kvalme, opkastning, dyspepsi</w:t>
            </w:r>
            <w:r w:rsidRPr="00531060">
              <w:rPr>
                <w:sz w:val="24"/>
                <w:szCs w:val="24"/>
                <w:vertAlign w:val="superscript"/>
                <w:lang w:val="da-DK"/>
              </w:rPr>
              <w:t>*</w:t>
            </w:r>
            <w:r w:rsidRPr="00531060">
              <w:rPr>
                <w:sz w:val="24"/>
                <w:szCs w:val="24"/>
                <w:lang w:val="da-DK"/>
              </w:rPr>
              <w:t xml:space="preserve">, </w:t>
            </w:r>
            <w:proofErr w:type="spellStart"/>
            <w:r w:rsidRPr="00531060">
              <w:rPr>
                <w:sz w:val="24"/>
                <w:szCs w:val="24"/>
                <w:lang w:val="da-DK"/>
              </w:rPr>
              <w:t>stomatitis</w:t>
            </w:r>
            <w:proofErr w:type="spellEnd"/>
            <w:r w:rsidRPr="00531060">
              <w:rPr>
                <w:sz w:val="24"/>
                <w:szCs w:val="24"/>
                <w:vertAlign w:val="superscript"/>
                <w:lang w:val="da-DK"/>
              </w:rPr>
              <w:t>*</w:t>
            </w:r>
            <w:r w:rsidRPr="00531060">
              <w:rPr>
                <w:sz w:val="24"/>
                <w:szCs w:val="24"/>
                <w:lang w:val="da-DK"/>
              </w:rPr>
              <w:t>, obstipation</w:t>
            </w:r>
            <w:r w:rsidRPr="00531060">
              <w:rPr>
                <w:sz w:val="24"/>
                <w:szCs w:val="24"/>
                <w:vertAlign w:val="superscript"/>
                <w:lang w:val="da-DK"/>
              </w:rPr>
              <w:t>*</w:t>
            </w:r>
            <w:r w:rsidRPr="00531060">
              <w:rPr>
                <w:sz w:val="24"/>
                <w:szCs w:val="24"/>
                <w:lang w:val="da-DK"/>
              </w:rPr>
              <w:t xml:space="preserve">, </w:t>
            </w:r>
            <w:proofErr w:type="spellStart"/>
            <w:r w:rsidRPr="00531060">
              <w:rPr>
                <w:sz w:val="24"/>
                <w:szCs w:val="24"/>
                <w:lang w:val="da-DK"/>
              </w:rPr>
              <w:t>abdominalsmerter</w:t>
            </w:r>
            <w:proofErr w:type="spellEnd"/>
            <w:r w:rsidRPr="00531060">
              <w:rPr>
                <w:sz w:val="24"/>
                <w:szCs w:val="24"/>
                <w:vertAlign w:val="superscript"/>
                <w:lang w:val="da-DK"/>
              </w:rPr>
              <w:t>*</w:t>
            </w:r>
          </w:p>
        </w:tc>
      </w:tr>
      <w:tr w:rsidR="00925ABE" w:rsidRPr="00531060" w14:paraId="2B2CFC53"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61F22623" w14:textId="77777777" w:rsidR="00925ABE" w:rsidRPr="00531060" w:rsidRDefault="00925ABE">
            <w:pPr>
              <w:rPr>
                <w:sz w:val="24"/>
                <w:szCs w:val="24"/>
                <w:lang w:val="da-DK"/>
              </w:rPr>
            </w:pPr>
            <w:r w:rsidRPr="00531060">
              <w:rPr>
                <w:sz w:val="24"/>
                <w:szCs w:val="24"/>
                <w:lang w:val="da-DK"/>
              </w:rPr>
              <w:t>Almindelig</w:t>
            </w:r>
          </w:p>
        </w:tc>
        <w:tc>
          <w:tcPr>
            <w:tcW w:w="6225" w:type="dxa"/>
            <w:tcBorders>
              <w:top w:val="single" w:sz="4" w:space="0" w:color="auto"/>
              <w:left w:val="single" w:sz="4" w:space="0" w:color="auto"/>
              <w:bottom w:val="single" w:sz="4" w:space="0" w:color="auto"/>
              <w:right w:val="single" w:sz="4" w:space="0" w:color="auto"/>
            </w:tcBorders>
            <w:hideMark/>
          </w:tcPr>
          <w:p w14:paraId="21ADFF6F" w14:textId="77777777" w:rsidR="00925ABE" w:rsidRPr="00531060" w:rsidRDefault="00925ABE">
            <w:pPr>
              <w:rPr>
                <w:sz w:val="24"/>
                <w:szCs w:val="24"/>
                <w:lang w:val="da-DK"/>
              </w:rPr>
            </w:pPr>
            <w:r w:rsidRPr="00531060">
              <w:rPr>
                <w:sz w:val="24"/>
                <w:szCs w:val="24"/>
                <w:lang w:val="da-DK"/>
              </w:rPr>
              <w:t>Obstipation</w:t>
            </w:r>
            <w:r w:rsidRPr="00531060">
              <w:rPr>
                <w:sz w:val="24"/>
                <w:szCs w:val="24"/>
                <w:vertAlign w:val="superscript"/>
                <w:lang w:val="da-DK"/>
              </w:rPr>
              <w:t>†</w:t>
            </w:r>
          </w:p>
        </w:tc>
      </w:tr>
      <w:tr w:rsidR="00925ABE" w:rsidRPr="00531060" w14:paraId="50B3AFB1"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77D8BC10" w14:textId="77777777" w:rsidR="00925ABE" w:rsidRPr="00531060" w:rsidRDefault="00925ABE">
            <w:pPr>
              <w:rPr>
                <w:sz w:val="24"/>
                <w:szCs w:val="24"/>
                <w:lang w:val="da-DK"/>
              </w:rPr>
            </w:pPr>
            <w:r w:rsidRPr="00531060">
              <w:rPr>
                <w:b/>
                <w:bCs/>
                <w:sz w:val="24"/>
                <w:szCs w:val="24"/>
                <w:lang w:val="da-DK"/>
              </w:rPr>
              <w:t>Lever og galdeveje</w:t>
            </w:r>
          </w:p>
        </w:tc>
      </w:tr>
      <w:tr w:rsidR="00925ABE" w:rsidRPr="00531060" w14:paraId="4FD11F64"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1867F923" w14:textId="77777777" w:rsidR="00925ABE" w:rsidRPr="00531060" w:rsidRDefault="00925ABE">
            <w:pPr>
              <w:rPr>
                <w:sz w:val="24"/>
                <w:szCs w:val="24"/>
                <w:lang w:val="da-DK"/>
              </w:rPr>
            </w:pPr>
            <w:r w:rsidRPr="00531060">
              <w:rPr>
                <w:sz w:val="24"/>
                <w:szCs w:val="24"/>
                <w:lang w:val="da-DK"/>
              </w:rPr>
              <w:t>Almindelig</w:t>
            </w:r>
          </w:p>
        </w:tc>
        <w:tc>
          <w:tcPr>
            <w:tcW w:w="6225" w:type="dxa"/>
            <w:tcBorders>
              <w:top w:val="single" w:sz="4" w:space="0" w:color="auto"/>
              <w:left w:val="single" w:sz="4" w:space="0" w:color="auto"/>
              <w:bottom w:val="single" w:sz="4" w:space="0" w:color="auto"/>
              <w:right w:val="single" w:sz="4" w:space="0" w:color="auto"/>
            </w:tcBorders>
            <w:hideMark/>
          </w:tcPr>
          <w:p w14:paraId="67CD7367" w14:textId="77777777" w:rsidR="00925ABE" w:rsidRPr="00531060" w:rsidRDefault="00925ABE">
            <w:pPr>
              <w:rPr>
                <w:sz w:val="24"/>
                <w:szCs w:val="24"/>
                <w:lang w:val="da-DK"/>
              </w:rPr>
            </w:pPr>
            <w:proofErr w:type="spellStart"/>
            <w:r w:rsidRPr="00531060">
              <w:rPr>
                <w:sz w:val="24"/>
                <w:szCs w:val="24"/>
                <w:lang w:val="da-DK"/>
              </w:rPr>
              <w:t>Hyperbilirubinæmi</w:t>
            </w:r>
            <w:proofErr w:type="spellEnd"/>
            <w:r w:rsidRPr="00531060">
              <w:rPr>
                <w:sz w:val="24"/>
                <w:szCs w:val="24"/>
                <w:lang w:val="da-DK"/>
              </w:rPr>
              <w:t>, levertoksicitet (se pkt. 4.4)</w:t>
            </w:r>
          </w:p>
        </w:tc>
      </w:tr>
      <w:tr w:rsidR="00925ABE" w:rsidRPr="00531060" w14:paraId="529365D9"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4AE2B87" w14:textId="77777777" w:rsidR="00925ABE" w:rsidRPr="00531060" w:rsidRDefault="00925ABE">
            <w:pPr>
              <w:rPr>
                <w:b/>
                <w:bCs/>
                <w:sz w:val="24"/>
                <w:szCs w:val="24"/>
                <w:lang w:val="da-DK"/>
              </w:rPr>
            </w:pPr>
            <w:r w:rsidRPr="00531060">
              <w:rPr>
                <w:b/>
                <w:bCs/>
                <w:sz w:val="24"/>
                <w:szCs w:val="24"/>
                <w:lang w:val="da-DK"/>
              </w:rPr>
              <w:t>Hud og subkutane væv</w:t>
            </w:r>
          </w:p>
        </w:tc>
        <w:tc>
          <w:tcPr>
            <w:tcW w:w="6225" w:type="dxa"/>
            <w:tcBorders>
              <w:top w:val="single" w:sz="4" w:space="0" w:color="auto"/>
              <w:left w:val="single" w:sz="4" w:space="0" w:color="auto"/>
              <w:bottom w:val="single" w:sz="4" w:space="0" w:color="auto"/>
              <w:right w:val="single" w:sz="4" w:space="0" w:color="auto"/>
            </w:tcBorders>
          </w:tcPr>
          <w:p w14:paraId="48C8989C" w14:textId="77777777" w:rsidR="00925ABE" w:rsidRPr="00531060" w:rsidRDefault="00925ABE">
            <w:pPr>
              <w:rPr>
                <w:sz w:val="24"/>
                <w:szCs w:val="24"/>
                <w:lang w:val="da-DK"/>
              </w:rPr>
            </w:pPr>
          </w:p>
        </w:tc>
      </w:tr>
      <w:tr w:rsidR="00925ABE" w:rsidRPr="00531060" w14:paraId="7D1CDDE3"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7BB7131D"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39654535" w14:textId="77777777" w:rsidR="00925ABE" w:rsidRPr="00531060" w:rsidRDefault="00925ABE">
            <w:pPr>
              <w:rPr>
                <w:sz w:val="24"/>
                <w:szCs w:val="24"/>
                <w:lang w:val="da-DK"/>
              </w:rPr>
            </w:pPr>
            <w:r w:rsidRPr="00531060">
              <w:rPr>
                <w:sz w:val="24"/>
                <w:szCs w:val="24"/>
                <w:lang w:val="da-DK"/>
              </w:rPr>
              <w:t xml:space="preserve">Udslæt (herunder </w:t>
            </w:r>
            <w:proofErr w:type="spellStart"/>
            <w:r w:rsidRPr="00531060">
              <w:rPr>
                <w:sz w:val="24"/>
                <w:szCs w:val="24"/>
                <w:lang w:val="da-DK"/>
              </w:rPr>
              <w:t>akneiform</w:t>
            </w:r>
            <w:proofErr w:type="spellEnd"/>
            <w:r w:rsidRPr="00531060">
              <w:rPr>
                <w:sz w:val="24"/>
                <w:szCs w:val="24"/>
                <w:lang w:val="da-DK"/>
              </w:rPr>
              <w:t xml:space="preserve"> </w:t>
            </w:r>
            <w:proofErr w:type="spellStart"/>
            <w:r w:rsidRPr="00531060">
              <w:rPr>
                <w:sz w:val="24"/>
                <w:szCs w:val="24"/>
                <w:lang w:val="da-DK"/>
              </w:rPr>
              <w:t>dermatitis</w:t>
            </w:r>
            <w:proofErr w:type="spellEnd"/>
            <w:r w:rsidRPr="00531060">
              <w:rPr>
                <w:sz w:val="24"/>
                <w:szCs w:val="24"/>
                <w:lang w:val="da-DK"/>
              </w:rPr>
              <w:t>) (se pkt. 4.2 - midlertidig afbrydelse af behandling og nedsættelse af dosis - anden toksicitet), tør hud</w:t>
            </w:r>
            <w:r w:rsidRPr="00531060">
              <w:rPr>
                <w:sz w:val="24"/>
                <w:szCs w:val="24"/>
                <w:vertAlign w:val="superscript"/>
                <w:lang w:val="da-DK"/>
              </w:rPr>
              <w:t>*†</w:t>
            </w:r>
            <w:r w:rsidRPr="00531060">
              <w:rPr>
                <w:sz w:val="24"/>
                <w:szCs w:val="24"/>
                <w:lang w:val="da-DK"/>
              </w:rPr>
              <w:t xml:space="preserve">, </w:t>
            </w:r>
            <w:proofErr w:type="spellStart"/>
            <w:r w:rsidRPr="00531060">
              <w:rPr>
                <w:sz w:val="24"/>
                <w:szCs w:val="24"/>
                <w:lang w:val="da-DK"/>
              </w:rPr>
              <w:t>palmoplantar</w:t>
            </w:r>
            <w:proofErr w:type="spellEnd"/>
            <w:r w:rsidRPr="00531060">
              <w:rPr>
                <w:sz w:val="24"/>
                <w:szCs w:val="24"/>
                <w:lang w:val="da-DK"/>
              </w:rPr>
              <w:t xml:space="preserve"> </w:t>
            </w:r>
            <w:proofErr w:type="spellStart"/>
            <w:r w:rsidRPr="00531060">
              <w:rPr>
                <w:sz w:val="24"/>
                <w:szCs w:val="24"/>
                <w:lang w:val="da-DK"/>
              </w:rPr>
              <w:t>erytrodysæstesi</w:t>
            </w:r>
            <w:proofErr w:type="spellEnd"/>
            <w:r w:rsidRPr="00531060">
              <w:rPr>
                <w:sz w:val="24"/>
                <w:szCs w:val="24"/>
                <w:lang w:val="da-DK"/>
              </w:rPr>
              <w:t xml:space="preserve"> (PPE) (hånd-fod-</w:t>
            </w:r>
            <w:proofErr w:type="gramStart"/>
            <w:r w:rsidRPr="00531060">
              <w:rPr>
                <w:sz w:val="24"/>
                <w:szCs w:val="24"/>
                <w:lang w:val="da-DK"/>
              </w:rPr>
              <w:t>syndrom)</w:t>
            </w:r>
            <w:r w:rsidRPr="00531060">
              <w:rPr>
                <w:sz w:val="24"/>
                <w:szCs w:val="24"/>
                <w:vertAlign w:val="superscript"/>
                <w:lang w:val="da-DK"/>
              </w:rPr>
              <w:t>*</w:t>
            </w:r>
            <w:proofErr w:type="gramEnd"/>
            <w:r w:rsidRPr="00531060">
              <w:rPr>
                <w:sz w:val="24"/>
                <w:szCs w:val="24"/>
                <w:lang w:val="da-DK"/>
              </w:rPr>
              <w:t xml:space="preserve">, </w:t>
            </w:r>
            <w:proofErr w:type="spellStart"/>
            <w:r w:rsidRPr="00531060">
              <w:rPr>
                <w:sz w:val="24"/>
                <w:szCs w:val="24"/>
                <w:lang w:val="da-DK"/>
              </w:rPr>
              <w:t>alopeci</w:t>
            </w:r>
            <w:proofErr w:type="spellEnd"/>
            <w:r w:rsidRPr="00531060">
              <w:rPr>
                <w:sz w:val="24"/>
                <w:szCs w:val="24"/>
                <w:vertAlign w:val="superscript"/>
                <w:lang w:val="da-DK"/>
              </w:rPr>
              <w:t>†</w:t>
            </w:r>
            <w:r w:rsidRPr="00531060">
              <w:rPr>
                <w:sz w:val="24"/>
                <w:szCs w:val="24"/>
                <w:lang w:val="da-DK"/>
              </w:rPr>
              <w:t xml:space="preserve"> , </w:t>
            </w:r>
            <w:proofErr w:type="spellStart"/>
            <w:r w:rsidRPr="00531060">
              <w:rPr>
                <w:sz w:val="24"/>
                <w:szCs w:val="24"/>
                <w:lang w:val="da-DK"/>
              </w:rPr>
              <w:t>pruritus</w:t>
            </w:r>
            <w:proofErr w:type="spellEnd"/>
            <w:r w:rsidRPr="00531060">
              <w:rPr>
                <w:sz w:val="24"/>
                <w:szCs w:val="24"/>
                <w:vertAlign w:val="superscript"/>
                <w:lang w:val="da-DK"/>
              </w:rPr>
              <w:t>†</w:t>
            </w:r>
          </w:p>
        </w:tc>
      </w:tr>
      <w:tr w:rsidR="00925ABE" w:rsidRPr="00531060" w14:paraId="2AA58CAE"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57795349" w14:textId="77777777" w:rsidR="00925ABE" w:rsidRPr="00531060" w:rsidRDefault="00925ABE">
            <w:pPr>
              <w:rPr>
                <w:sz w:val="24"/>
                <w:szCs w:val="24"/>
                <w:lang w:val="da-DK"/>
              </w:rPr>
            </w:pPr>
            <w:r w:rsidRPr="00531060">
              <w:rPr>
                <w:sz w:val="24"/>
                <w:szCs w:val="24"/>
                <w:lang w:val="da-DK"/>
              </w:rPr>
              <w:t>Almindelig</w:t>
            </w:r>
          </w:p>
        </w:tc>
        <w:tc>
          <w:tcPr>
            <w:tcW w:w="6225" w:type="dxa"/>
            <w:tcBorders>
              <w:top w:val="single" w:sz="4" w:space="0" w:color="auto"/>
              <w:left w:val="single" w:sz="4" w:space="0" w:color="auto"/>
              <w:bottom w:val="single" w:sz="4" w:space="0" w:color="auto"/>
              <w:right w:val="single" w:sz="4" w:space="0" w:color="auto"/>
            </w:tcBorders>
            <w:hideMark/>
          </w:tcPr>
          <w:p w14:paraId="647D013E" w14:textId="77777777" w:rsidR="00925ABE" w:rsidRPr="00531060" w:rsidRDefault="00925ABE">
            <w:pPr>
              <w:rPr>
                <w:sz w:val="24"/>
                <w:szCs w:val="24"/>
                <w:lang w:val="da-DK"/>
              </w:rPr>
            </w:pPr>
            <w:r w:rsidRPr="00531060">
              <w:rPr>
                <w:sz w:val="24"/>
                <w:szCs w:val="24"/>
                <w:lang w:val="da-DK"/>
              </w:rPr>
              <w:t xml:space="preserve">Neglelidelser, herunder </w:t>
            </w:r>
            <w:proofErr w:type="spellStart"/>
            <w:r w:rsidRPr="00531060">
              <w:rPr>
                <w:sz w:val="24"/>
                <w:szCs w:val="24"/>
                <w:lang w:val="da-DK"/>
              </w:rPr>
              <w:t>paronychia</w:t>
            </w:r>
            <w:proofErr w:type="spellEnd"/>
            <w:r w:rsidRPr="00531060">
              <w:rPr>
                <w:sz w:val="24"/>
                <w:szCs w:val="24"/>
                <w:lang w:val="da-DK"/>
              </w:rPr>
              <w:t>, hudfissurer</w:t>
            </w:r>
          </w:p>
        </w:tc>
      </w:tr>
      <w:tr w:rsidR="00925ABE" w:rsidRPr="00531060" w14:paraId="6623B908"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2C12AAEE" w14:textId="77777777" w:rsidR="00925ABE" w:rsidRPr="00531060" w:rsidRDefault="00925ABE">
            <w:pPr>
              <w:rPr>
                <w:sz w:val="24"/>
                <w:szCs w:val="24"/>
                <w:lang w:val="da-DK"/>
              </w:rPr>
            </w:pPr>
            <w:r w:rsidRPr="00531060">
              <w:rPr>
                <w:sz w:val="24"/>
                <w:szCs w:val="24"/>
                <w:lang w:val="da-DK"/>
              </w:rPr>
              <w:t>Ikke kendt</w:t>
            </w:r>
          </w:p>
        </w:tc>
        <w:tc>
          <w:tcPr>
            <w:tcW w:w="6225" w:type="dxa"/>
            <w:tcBorders>
              <w:top w:val="single" w:sz="4" w:space="0" w:color="auto"/>
              <w:left w:val="single" w:sz="4" w:space="0" w:color="auto"/>
              <w:bottom w:val="single" w:sz="4" w:space="0" w:color="auto"/>
              <w:right w:val="single" w:sz="4" w:space="0" w:color="auto"/>
            </w:tcBorders>
            <w:hideMark/>
          </w:tcPr>
          <w:p w14:paraId="63343D62" w14:textId="77777777" w:rsidR="00925ABE" w:rsidRPr="00531060" w:rsidRDefault="00925ABE">
            <w:pPr>
              <w:rPr>
                <w:sz w:val="24"/>
                <w:szCs w:val="24"/>
                <w:lang w:val="da-DK"/>
              </w:rPr>
            </w:pPr>
            <w:r w:rsidRPr="00531060">
              <w:rPr>
                <w:sz w:val="24"/>
                <w:szCs w:val="24"/>
                <w:lang w:val="da-DK"/>
              </w:rPr>
              <w:t xml:space="preserve">Alvorlige hudlidelser herunder Stevens-Johnson syndrom (SJS) og toksisk </w:t>
            </w:r>
            <w:proofErr w:type="spellStart"/>
            <w:r w:rsidRPr="00531060">
              <w:rPr>
                <w:sz w:val="24"/>
                <w:szCs w:val="24"/>
                <w:lang w:val="da-DK"/>
              </w:rPr>
              <w:t>epidermal</w:t>
            </w:r>
            <w:proofErr w:type="spellEnd"/>
            <w:r w:rsidRPr="00531060">
              <w:rPr>
                <w:sz w:val="24"/>
                <w:szCs w:val="24"/>
                <w:lang w:val="da-DK"/>
              </w:rPr>
              <w:t xml:space="preserve"> </w:t>
            </w:r>
            <w:proofErr w:type="spellStart"/>
            <w:r w:rsidRPr="00531060">
              <w:rPr>
                <w:sz w:val="24"/>
                <w:szCs w:val="24"/>
                <w:lang w:val="da-DK"/>
              </w:rPr>
              <w:t>nekrolyse</w:t>
            </w:r>
            <w:proofErr w:type="spellEnd"/>
            <w:r w:rsidRPr="00531060">
              <w:rPr>
                <w:sz w:val="24"/>
                <w:szCs w:val="24"/>
                <w:lang w:val="da-DK"/>
              </w:rPr>
              <w:t xml:space="preserve"> (TEN)</w:t>
            </w:r>
            <w:r w:rsidRPr="00531060">
              <w:rPr>
                <w:sz w:val="24"/>
                <w:szCs w:val="24"/>
                <w:vertAlign w:val="superscript"/>
                <w:lang w:val="da-DK"/>
              </w:rPr>
              <w:t>**</w:t>
            </w:r>
          </w:p>
        </w:tc>
      </w:tr>
      <w:tr w:rsidR="00925ABE" w:rsidRPr="00531060" w14:paraId="221C7AFA"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037E5F59" w14:textId="77777777" w:rsidR="00925ABE" w:rsidRPr="00531060" w:rsidRDefault="00925ABE">
            <w:pPr>
              <w:rPr>
                <w:sz w:val="24"/>
                <w:szCs w:val="24"/>
                <w:lang w:val="da-DK"/>
              </w:rPr>
            </w:pPr>
            <w:r w:rsidRPr="00531060">
              <w:rPr>
                <w:b/>
                <w:bCs/>
                <w:sz w:val="24"/>
                <w:szCs w:val="24"/>
                <w:lang w:val="da-DK"/>
              </w:rPr>
              <w:t>Knogler, led, muskler og bindevæv</w:t>
            </w:r>
          </w:p>
        </w:tc>
      </w:tr>
      <w:tr w:rsidR="00925ABE" w:rsidRPr="00531060" w14:paraId="00682364"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39A691A7"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462E7C6C" w14:textId="77777777" w:rsidR="00925ABE" w:rsidRPr="00531060" w:rsidRDefault="00925ABE">
            <w:pPr>
              <w:rPr>
                <w:sz w:val="24"/>
                <w:szCs w:val="24"/>
                <w:lang w:val="da-DK"/>
              </w:rPr>
            </w:pPr>
            <w:r w:rsidRPr="00531060">
              <w:rPr>
                <w:sz w:val="24"/>
                <w:szCs w:val="24"/>
                <w:lang w:val="da-DK"/>
              </w:rPr>
              <w:t>Smerter i ekstremiteter</w:t>
            </w:r>
            <w:r w:rsidRPr="00531060">
              <w:rPr>
                <w:sz w:val="24"/>
                <w:szCs w:val="24"/>
                <w:vertAlign w:val="superscript"/>
                <w:lang w:val="da-DK"/>
              </w:rPr>
              <w:t>*†</w:t>
            </w:r>
            <w:r w:rsidRPr="00531060">
              <w:rPr>
                <w:sz w:val="24"/>
                <w:szCs w:val="24"/>
                <w:lang w:val="da-DK"/>
              </w:rPr>
              <w:t>, rygsmerter</w:t>
            </w:r>
            <w:r w:rsidRPr="00531060">
              <w:rPr>
                <w:sz w:val="24"/>
                <w:szCs w:val="24"/>
                <w:vertAlign w:val="superscript"/>
                <w:lang w:val="da-DK"/>
              </w:rPr>
              <w:t>*†</w:t>
            </w:r>
            <w:r w:rsidRPr="00531060">
              <w:rPr>
                <w:sz w:val="24"/>
                <w:szCs w:val="24"/>
                <w:lang w:val="da-DK"/>
              </w:rPr>
              <w:t xml:space="preserve">, </w:t>
            </w:r>
            <w:proofErr w:type="spellStart"/>
            <w:r w:rsidRPr="00531060">
              <w:rPr>
                <w:sz w:val="24"/>
                <w:szCs w:val="24"/>
                <w:lang w:val="da-DK"/>
              </w:rPr>
              <w:t>artralgi</w:t>
            </w:r>
            <w:proofErr w:type="spellEnd"/>
            <w:r w:rsidRPr="00531060">
              <w:rPr>
                <w:sz w:val="24"/>
                <w:szCs w:val="24"/>
                <w:vertAlign w:val="superscript"/>
                <w:lang w:val="da-DK"/>
              </w:rPr>
              <w:t>†</w:t>
            </w:r>
          </w:p>
        </w:tc>
      </w:tr>
      <w:tr w:rsidR="00925ABE" w:rsidRPr="00531060" w14:paraId="5DD220E9" w14:textId="77777777" w:rsidTr="009534FE">
        <w:tc>
          <w:tcPr>
            <w:tcW w:w="9055" w:type="dxa"/>
            <w:gridSpan w:val="2"/>
            <w:tcBorders>
              <w:top w:val="single" w:sz="4" w:space="0" w:color="auto"/>
              <w:left w:val="single" w:sz="4" w:space="0" w:color="auto"/>
              <w:bottom w:val="single" w:sz="4" w:space="0" w:color="auto"/>
              <w:right w:val="single" w:sz="4" w:space="0" w:color="auto"/>
            </w:tcBorders>
            <w:hideMark/>
          </w:tcPr>
          <w:p w14:paraId="362252E0" w14:textId="77777777" w:rsidR="00925ABE" w:rsidRPr="00531060" w:rsidRDefault="00925ABE">
            <w:pPr>
              <w:rPr>
                <w:sz w:val="24"/>
                <w:szCs w:val="24"/>
                <w:lang w:val="da-DK"/>
              </w:rPr>
            </w:pPr>
            <w:r w:rsidRPr="00531060">
              <w:rPr>
                <w:b/>
                <w:bCs/>
                <w:sz w:val="24"/>
                <w:szCs w:val="24"/>
                <w:lang w:val="da-DK"/>
              </w:rPr>
              <w:t>Almene symptomer og reaktioner på administrationsstedet</w:t>
            </w:r>
          </w:p>
        </w:tc>
      </w:tr>
      <w:tr w:rsidR="00925ABE" w:rsidRPr="00531060" w14:paraId="0C36C1BC" w14:textId="77777777" w:rsidTr="009534FE">
        <w:tc>
          <w:tcPr>
            <w:tcW w:w="2830" w:type="dxa"/>
            <w:tcBorders>
              <w:top w:val="single" w:sz="4" w:space="0" w:color="auto"/>
              <w:left w:val="single" w:sz="4" w:space="0" w:color="auto"/>
              <w:bottom w:val="single" w:sz="4" w:space="0" w:color="auto"/>
              <w:right w:val="single" w:sz="4" w:space="0" w:color="auto"/>
            </w:tcBorders>
            <w:hideMark/>
          </w:tcPr>
          <w:p w14:paraId="61456216" w14:textId="77777777" w:rsidR="00925ABE" w:rsidRPr="00531060" w:rsidRDefault="00925ABE">
            <w:pPr>
              <w:rPr>
                <w:sz w:val="24"/>
                <w:szCs w:val="24"/>
                <w:lang w:val="da-DK"/>
              </w:rPr>
            </w:pPr>
            <w:r w:rsidRPr="00531060">
              <w:rPr>
                <w:sz w:val="24"/>
                <w:szCs w:val="24"/>
                <w:lang w:val="da-DK"/>
              </w:rPr>
              <w:t>Meget almindelig</w:t>
            </w:r>
          </w:p>
        </w:tc>
        <w:tc>
          <w:tcPr>
            <w:tcW w:w="6225" w:type="dxa"/>
            <w:tcBorders>
              <w:top w:val="single" w:sz="4" w:space="0" w:color="auto"/>
              <w:left w:val="single" w:sz="4" w:space="0" w:color="auto"/>
              <w:bottom w:val="single" w:sz="4" w:space="0" w:color="auto"/>
              <w:right w:val="single" w:sz="4" w:space="0" w:color="auto"/>
            </w:tcBorders>
            <w:hideMark/>
          </w:tcPr>
          <w:p w14:paraId="3DD0BEDC" w14:textId="77777777" w:rsidR="00925ABE" w:rsidRPr="00531060" w:rsidRDefault="00925ABE">
            <w:pPr>
              <w:rPr>
                <w:sz w:val="24"/>
                <w:szCs w:val="24"/>
                <w:lang w:val="da-DK"/>
              </w:rPr>
            </w:pPr>
            <w:r w:rsidRPr="00531060">
              <w:rPr>
                <w:sz w:val="24"/>
                <w:szCs w:val="24"/>
                <w:lang w:val="da-DK"/>
              </w:rPr>
              <w:t>Træthed, slimhindebetændelse</w:t>
            </w:r>
            <w:r w:rsidRPr="00531060">
              <w:rPr>
                <w:sz w:val="24"/>
                <w:szCs w:val="24"/>
                <w:vertAlign w:val="superscript"/>
                <w:lang w:val="da-DK"/>
              </w:rPr>
              <w:t>*</w:t>
            </w:r>
            <w:r w:rsidRPr="00531060">
              <w:rPr>
                <w:sz w:val="24"/>
                <w:szCs w:val="24"/>
                <w:lang w:val="da-DK"/>
              </w:rPr>
              <w:t>, asteni</w:t>
            </w:r>
            <w:r w:rsidRPr="00531060">
              <w:rPr>
                <w:sz w:val="24"/>
                <w:szCs w:val="24"/>
                <w:vertAlign w:val="superscript"/>
                <w:lang w:val="da-DK"/>
              </w:rPr>
              <w:t>†</w:t>
            </w:r>
          </w:p>
        </w:tc>
      </w:tr>
    </w:tbl>
    <w:p w14:paraId="2BB30B89" w14:textId="2F789B29" w:rsidR="00925ABE" w:rsidRPr="000C2646" w:rsidRDefault="00925ABE" w:rsidP="002417A3">
      <w:pPr>
        <w:tabs>
          <w:tab w:val="left" w:pos="1276"/>
        </w:tabs>
        <w:ind w:left="1271" w:hanging="420"/>
        <w:rPr>
          <w:sz w:val="24"/>
          <w:szCs w:val="24"/>
        </w:rPr>
      </w:pPr>
      <w:r w:rsidRPr="000C2646">
        <w:rPr>
          <w:sz w:val="24"/>
          <w:szCs w:val="24"/>
          <w:vertAlign w:val="superscript"/>
        </w:rPr>
        <w:lastRenderedPageBreak/>
        <w:t>*</w:t>
      </w:r>
      <w:r w:rsidRPr="000C2646">
        <w:rPr>
          <w:sz w:val="24"/>
          <w:szCs w:val="24"/>
        </w:rPr>
        <w:t xml:space="preserve"> </w:t>
      </w:r>
      <w:r w:rsidR="002417A3">
        <w:rPr>
          <w:sz w:val="24"/>
          <w:szCs w:val="24"/>
        </w:rPr>
        <w:tab/>
      </w:r>
      <w:r w:rsidRPr="000C2646">
        <w:rPr>
          <w:sz w:val="24"/>
          <w:szCs w:val="24"/>
        </w:rPr>
        <w:t xml:space="preserve">Disse bivirkninger blev observeret, når </w:t>
      </w:r>
      <w:proofErr w:type="spellStart"/>
      <w:r w:rsidRPr="000C2646">
        <w:rPr>
          <w:sz w:val="24"/>
          <w:szCs w:val="24"/>
        </w:rPr>
        <w:t>lapatinib</w:t>
      </w:r>
      <w:proofErr w:type="spellEnd"/>
      <w:r w:rsidRPr="000C2646">
        <w:rPr>
          <w:sz w:val="24"/>
          <w:szCs w:val="24"/>
        </w:rPr>
        <w:t xml:space="preserve"> blev administreret i kombination med </w:t>
      </w:r>
      <w:proofErr w:type="spellStart"/>
      <w:r w:rsidRPr="000C2646">
        <w:rPr>
          <w:sz w:val="24"/>
          <w:szCs w:val="24"/>
        </w:rPr>
        <w:t>capecitabin</w:t>
      </w:r>
      <w:proofErr w:type="spellEnd"/>
    </w:p>
    <w:p w14:paraId="0ECE5021" w14:textId="40E552C1" w:rsidR="00925ABE" w:rsidRPr="000C2646" w:rsidRDefault="00925ABE" w:rsidP="002417A3">
      <w:pPr>
        <w:tabs>
          <w:tab w:val="left" w:pos="1276"/>
        </w:tabs>
        <w:ind w:left="1271" w:hanging="420"/>
        <w:rPr>
          <w:sz w:val="24"/>
          <w:szCs w:val="24"/>
        </w:rPr>
      </w:pPr>
      <w:r w:rsidRPr="000C2646">
        <w:rPr>
          <w:sz w:val="24"/>
          <w:szCs w:val="24"/>
          <w:vertAlign w:val="superscript"/>
        </w:rPr>
        <w:t>†</w:t>
      </w:r>
      <w:r w:rsidRPr="000C2646">
        <w:rPr>
          <w:sz w:val="24"/>
          <w:szCs w:val="24"/>
        </w:rPr>
        <w:t xml:space="preserve"> </w:t>
      </w:r>
      <w:r w:rsidR="002417A3">
        <w:rPr>
          <w:sz w:val="24"/>
          <w:szCs w:val="24"/>
        </w:rPr>
        <w:tab/>
      </w:r>
      <w:r w:rsidRPr="000C2646">
        <w:rPr>
          <w:sz w:val="24"/>
          <w:szCs w:val="24"/>
        </w:rPr>
        <w:t xml:space="preserve">Disse bivirkninger blev observeret, når </w:t>
      </w:r>
      <w:proofErr w:type="spellStart"/>
      <w:r w:rsidRPr="000C2646">
        <w:rPr>
          <w:sz w:val="24"/>
          <w:szCs w:val="24"/>
        </w:rPr>
        <w:t>lapatinib</w:t>
      </w:r>
      <w:proofErr w:type="spellEnd"/>
      <w:r w:rsidRPr="000C2646">
        <w:rPr>
          <w:sz w:val="24"/>
          <w:szCs w:val="24"/>
        </w:rPr>
        <w:t xml:space="preserve"> blev administreret i kombination med </w:t>
      </w:r>
      <w:proofErr w:type="spellStart"/>
      <w:r w:rsidRPr="000C2646">
        <w:rPr>
          <w:sz w:val="24"/>
          <w:szCs w:val="24"/>
        </w:rPr>
        <w:t>letrozol</w:t>
      </w:r>
      <w:proofErr w:type="spellEnd"/>
    </w:p>
    <w:p w14:paraId="1BE4AECC" w14:textId="38A48E4E" w:rsidR="00925ABE" w:rsidRPr="000C2646" w:rsidRDefault="00925ABE" w:rsidP="002417A3">
      <w:pPr>
        <w:tabs>
          <w:tab w:val="left" w:pos="1276"/>
        </w:tabs>
        <w:ind w:left="851"/>
        <w:rPr>
          <w:sz w:val="24"/>
          <w:szCs w:val="24"/>
        </w:rPr>
      </w:pPr>
      <w:r w:rsidRPr="000C2646">
        <w:rPr>
          <w:sz w:val="24"/>
          <w:szCs w:val="24"/>
          <w:vertAlign w:val="superscript"/>
        </w:rPr>
        <w:t>**</w:t>
      </w:r>
      <w:r w:rsidRPr="000C2646">
        <w:rPr>
          <w:sz w:val="24"/>
          <w:szCs w:val="24"/>
        </w:rPr>
        <w:t xml:space="preserve"> </w:t>
      </w:r>
      <w:r w:rsidR="002417A3">
        <w:rPr>
          <w:sz w:val="24"/>
          <w:szCs w:val="24"/>
        </w:rPr>
        <w:tab/>
      </w:r>
      <w:r w:rsidRPr="000C2646">
        <w:rPr>
          <w:sz w:val="24"/>
          <w:szCs w:val="24"/>
        </w:rPr>
        <w:t>Bivirkninger fra spontane indberetninger og litteraturen</w:t>
      </w:r>
    </w:p>
    <w:p w14:paraId="2F12936A" w14:textId="77777777" w:rsidR="00925ABE" w:rsidRPr="000C2646" w:rsidRDefault="00925ABE" w:rsidP="00925ABE">
      <w:pPr>
        <w:rPr>
          <w:sz w:val="24"/>
          <w:szCs w:val="24"/>
        </w:rPr>
      </w:pPr>
    </w:p>
    <w:p w14:paraId="76AE1209" w14:textId="77777777" w:rsidR="00925ABE" w:rsidRPr="00531060" w:rsidRDefault="00925ABE" w:rsidP="00531060">
      <w:pPr>
        <w:ind w:left="851"/>
        <w:rPr>
          <w:sz w:val="24"/>
          <w:szCs w:val="24"/>
          <w:u w:val="single"/>
        </w:rPr>
      </w:pPr>
      <w:r w:rsidRPr="00531060">
        <w:rPr>
          <w:sz w:val="24"/>
          <w:szCs w:val="24"/>
          <w:u w:val="single"/>
        </w:rPr>
        <w:t>Beskrivelse af udvalgte bivirkninger</w:t>
      </w:r>
    </w:p>
    <w:p w14:paraId="0EF6DCE2" w14:textId="77777777" w:rsidR="00925ABE" w:rsidRPr="00531060" w:rsidRDefault="00925ABE" w:rsidP="00531060">
      <w:pPr>
        <w:ind w:left="851"/>
        <w:rPr>
          <w:sz w:val="24"/>
          <w:szCs w:val="24"/>
          <w:u w:val="single"/>
        </w:rPr>
      </w:pPr>
    </w:p>
    <w:p w14:paraId="2F847616" w14:textId="77777777" w:rsidR="00925ABE" w:rsidRPr="00531060" w:rsidRDefault="00925ABE" w:rsidP="00531060">
      <w:pPr>
        <w:ind w:left="851"/>
        <w:rPr>
          <w:i/>
          <w:iCs/>
          <w:sz w:val="24"/>
          <w:szCs w:val="24"/>
          <w:u w:val="single"/>
        </w:rPr>
      </w:pPr>
      <w:r w:rsidRPr="00531060">
        <w:rPr>
          <w:i/>
          <w:iCs/>
          <w:sz w:val="24"/>
          <w:szCs w:val="24"/>
          <w:u w:val="single"/>
        </w:rPr>
        <w:t>Nedsat uddrivningsfraktion fra venstre ventrikel og forlængelse af QT-intervallet</w:t>
      </w:r>
    </w:p>
    <w:p w14:paraId="07B2F560" w14:textId="77777777" w:rsidR="00925ABE" w:rsidRPr="00531060" w:rsidRDefault="00925ABE" w:rsidP="00531060">
      <w:pPr>
        <w:ind w:left="851"/>
        <w:rPr>
          <w:sz w:val="24"/>
          <w:szCs w:val="24"/>
        </w:rPr>
      </w:pPr>
    </w:p>
    <w:p w14:paraId="777C0D02" w14:textId="77777777" w:rsidR="00925ABE" w:rsidRPr="000C2646" w:rsidRDefault="00925ABE" w:rsidP="009534FE">
      <w:pPr>
        <w:ind w:left="851"/>
        <w:rPr>
          <w:sz w:val="24"/>
          <w:szCs w:val="24"/>
        </w:rPr>
      </w:pPr>
      <w:r w:rsidRPr="000C2646">
        <w:rPr>
          <w:sz w:val="24"/>
          <w:szCs w:val="24"/>
        </w:rPr>
        <w:t xml:space="preserve">Nedsat uddrivningsfraktion fra venstre ventrikel (LVEF) er rapporteret hos ca. 1 % af de patienter, der har fået </w:t>
      </w:r>
      <w:proofErr w:type="spellStart"/>
      <w:r w:rsidRPr="000C2646">
        <w:rPr>
          <w:sz w:val="24"/>
          <w:szCs w:val="24"/>
        </w:rPr>
        <w:t>lapatinib</w:t>
      </w:r>
      <w:proofErr w:type="spellEnd"/>
      <w:r w:rsidRPr="000C2646">
        <w:rPr>
          <w:sz w:val="24"/>
          <w:szCs w:val="24"/>
        </w:rPr>
        <w:t xml:space="preserve">, og var asymptomatisk i mere end 70 % af tilfældene. Fald i LVEF blev normaliseret eller forbedret i over 70 % af tilfældene, heraf ca. 60 % ved </w:t>
      </w:r>
      <w:proofErr w:type="spellStart"/>
      <w:r w:rsidRPr="000C2646">
        <w:rPr>
          <w:sz w:val="24"/>
          <w:szCs w:val="24"/>
        </w:rPr>
        <w:t>seponering</w:t>
      </w:r>
      <w:proofErr w:type="spellEnd"/>
      <w:r w:rsidRPr="000C2646">
        <w:rPr>
          <w:sz w:val="24"/>
          <w:szCs w:val="24"/>
        </w:rPr>
        <w:t xml:space="preserve"> af behandlingen med </w:t>
      </w:r>
      <w:proofErr w:type="spellStart"/>
      <w:r w:rsidRPr="000C2646">
        <w:rPr>
          <w:sz w:val="24"/>
          <w:szCs w:val="24"/>
        </w:rPr>
        <w:t>lapatinib</w:t>
      </w:r>
      <w:proofErr w:type="spellEnd"/>
      <w:r w:rsidRPr="000C2646">
        <w:rPr>
          <w:sz w:val="24"/>
          <w:szCs w:val="24"/>
        </w:rPr>
        <w:t xml:space="preserve"> og ca. 40 % ved fortsat behandling med </w:t>
      </w:r>
      <w:proofErr w:type="spellStart"/>
      <w:r w:rsidRPr="000C2646">
        <w:rPr>
          <w:sz w:val="24"/>
          <w:szCs w:val="24"/>
        </w:rPr>
        <w:t>lapatinib</w:t>
      </w:r>
      <w:proofErr w:type="spellEnd"/>
      <w:r w:rsidRPr="000C2646">
        <w:rPr>
          <w:sz w:val="24"/>
          <w:szCs w:val="24"/>
        </w:rPr>
        <w:t xml:space="preserve">. Der blev observeret symptomatiske fald i LVEF hos ca. 0,3 % af de patienter, der fik </w:t>
      </w:r>
      <w:proofErr w:type="spellStart"/>
      <w:r w:rsidRPr="000C2646">
        <w:rPr>
          <w:sz w:val="24"/>
          <w:szCs w:val="24"/>
        </w:rPr>
        <w:t>lapatinib</w:t>
      </w:r>
      <w:proofErr w:type="spellEnd"/>
      <w:r w:rsidRPr="000C2646">
        <w:rPr>
          <w:sz w:val="24"/>
          <w:szCs w:val="24"/>
        </w:rPr>
        <w:t xml:space="preserve"> som monoterapi eller i kombination med andre lægemidler til behandling af cancer. De observerede bivirkninger inkluderer dyspnø, hjerteinsufficiens og </w:t>
      </w:r>
      <w:proofErr w:type="spellStart"/>
      <w:r w:rsidRPr="000C2646">
        <w:rPr>
          <w:sz w:val="24"/>
          <w:szCs w:val="24"/>
        </w:rPr>
        <w:t>palpitationer</w:t>
      </w:r>
      <w:proofErr w:type="spellEnd"/>
      <w:r w:rsidRPr="000C2646">
        <w:rPr>
          <w:sz w:val="24"/>
          <w:szCs w:val="24"/>
        </w:rPr>
        <w:t xml:space="preserve">. I alt 58 % af disse symptomatiske patienter kom sig. LVEF-fald blev rapporteret hos 2,5 % af de patienter, der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sammenlignet med 1,0 % ved </w:t>
      </w:r>
      <w:proofErr w:type="spellStart"/>
      <w:r w:rsidRPr="000C2646">
        <w:rPr>
          <w:sz w:val="24"/>
          <w:szCs w:val="24"/>
        </w:rPr>
        <w:t>capecitabin</w:t>
      </w:r>
      <w:proofErr w:type="spellEnd"/>
      <w:r w:rsidRPr="000C2646">
        <w:rPr>
          <w:sz w:val="24"/>
          <w:szCs w:val="24"/>
        </w:rPr>
        <w:t xml:space="preserve"> alene. Der blev rapporteret om fald i LVEF hos 3,1 % af de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letrozol</w:t>
      </w:r>
      <w:proofErr w:type="spellEnd"/>
      <w:r w:rsidRPr="000C2646">
        <w:rPr>
          <w:sz w:val="24"/>
          <w:szCs w:val="24"/>
        </w:rPr>
        <w:t xml:space="preserve">, sammenlignet med 1,3 % af de patienter, som fik </w:t>
      </w:r>
      <w:proofErr w:type="spellStart"/>
      <w:r w:rsidRPr="000C2646">
        <w:rPr>
          <w:sz w:val="24"/>
          <w:szCs w:val="24"/>
        </w:rPr>
        <w:t>letrozol</w:t>
      </w:r>
      <w:proofErr w:type="spellEnd"/>
      <w:r w:rsidRPr="000C2646">
        <w:rPr>
          <w:sz w:val="24"/>
          <w:szCs w:val="24"/>
        </w:rPr>
        <w:t xml:space="preserve"> og placebo. Fald i LVEF blev rapporteret hos 6,7 % af de patienter, der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trastuzumab</w:t>
      </w:r>
      <w:proofErr w:type="spellEnd"/>
      <w:r w:rsidRPr="000C2646">
        <w:rPr>
          <w:sz w:val="24"/>
          <w:szCs w:val="24"/>
        </w:rPr>
        <w:t xml:space="preserve">, sammenlignet med hos 2,1 % af de patienter, der fik </w:t>
      </w:r>
      <w:proofErr w:type="spellStart"/>
      <w:r w:rsidRPr="000C2646">
        <w:rPr>
          <w:sz w:val="24"/>
          <w:szCs w:val="24"/>
        </w:rPr>
        <w:t>lapatinib</w:t>
      </w:r>
      <w:proofErr w:type="spellEnd"/>
      <w:r w:rsidRPr="000C2646">
        <w:rPr>
          <w:sz w:val="24"/>
          <w:szCs w:val="24"/>
        </w:rPr>
        <w:t xml:space="preserve"> alene.</w:t>
      </w:r>
    </w:p>
    <w:p w14:paraId="6D0BFB36" w14:textId="77777777" w:rsidR="00925ABE" w:rsidRPr="000C2646" w:rsidRDefault="00925ABE" w:rsidP="009534FE">
      <w:pPr>
        <w:ind w:left="851"/>
        <w:rPr>
          <w:sz w:val="24"/>
          <w:szCs w:val="24"/>
        </w:rPr>
      </w:pPr>
    </w:p>
    <w:p w14:paraId="7FB13F9F" w14:textId="77777777" w:rsidR="00925ABE" w:rsidRPr="000C2646" w:rsidRDefault="00925ABE" w:rsidP="009534FE">
      <w:pPr>
        <w:ind w:left="851"/>
        <w:rPr>
          <w:sz w:val="24"/>
          <w:szCs w:val="24"/>
        </w:rPr>
      </w:pPr>
      <w:r w:rsidRPr="000C2646">
        <w:rPr>
          <w:sz w:val="24"/>
          <w:szCs w:val="24"/>
        </w:rPr>
        <w:t xml:space="preserve">En koncentrationsafhængig forlængelse af </w:t>
      </w:r>
      <w:proofErr w:type="spellStart"/>
      <w:r w:rsidRPr="000C2646">
        <w:rPr>
          <w:sz w:val="24"/>
          <w:szCs w:val="24"/>
        </w:rPr>
        <w:t>QTcF</w:t>
      </w:r>
      <w:proofErr w:type="spellEnd"/>
      <w:r w:rsidRPr="000C2646">
        <w:rPr>
          <w:sz w:val="24"/>
          <w:szCs w:val="24"/>
        </w:rPr>
        <w:t xml:space="preserve"> (maksimalt gennemsnit </w:t>
      </w:r>
      <w:proofErr w:type="spellStart"/>
      <w:r w:rsidRPr="000C2646">
        <w:rPr>
          <w:sz w:val="24"/>
          <w:szCs w:val="24"/>
        </w:rPr>
        <w:t>ΔΔQTcF</w:t>
      </w:r>
      <w:proofErr w:type="spellEnd"/>
      <w:r w:rsidRPr="000C2646">
        <w:rPr>
          <w:sz w:val="24"/>
          <w:szCs w:val="24"/>
        </w:rPr>
        <w:t xml:space="preserve"> 8,75 ms; 90 % CI 4,08; 13,42) blev observeret i et specifikt QT-studie hos patienter med fremskredne, solide tumorer (se pkt. 4.4).</w:t>
      </w:r>
    </w:p>
    <w:p w14:paraId="4DE2C473" w14:textId="77777777" w:rsidR="00925ABE" w:rsidRPr="000C2646" w:rsidRDefault="00925ABE" w:rsidP="009534FE">
      <w:pPr>
        <w:ind w:left="851"/>
        <w:rPr>
          <w:sz w:val="24"/>
          <w:szCs w:val="24"/>
        </w:rPr>
      </w:pPr>
    </w:p>
    <w:p w14:paraId="0F975C34" w14:textId="77777777" w:rsidR="00925ABE" w:rsidRPr="00531060" w:rsidRDefault="00925ABE" w:rsidP="00531060">
      <w:pPr>
        <w:ind w:left="851"/>
        <w:rPr>
          <w:i/>
          <w:sz w:val="24"/>
          <w:szCs w:val="24"/>
          <w:u w:val="single"/>
        </w:rPr>
      </w:pPr>
      <w:r w:rsidRPr="00531060">
        <w:rPr>
          <w:i/>
          <w:sz w:val="24"/>
          <w:szCs w:val="24"/>
          <w:u w:val="single"/>
        </w:rPr>
        <w:t>Diarré</w:t>
      </w:r>
    </w:p>
    <w:p w14:paraId="3CB8E3FF" w14:textId="77777777" w:rsidR="00925ABE" w:rsidRPr="00531060" w:rsidRDefault="00925ABE" w:rsidP="00531060">
      <w:pPr>
        <w:ind w:left="851"/>
        <w:rPr>
          <w:sz w:val="24"/>
          <w:szCs w:val="24"/>
        </w:rPr>
      </w:pPr>
    </w:p>
    <w:p w14:paraId="1C0F94D1" w14:textId="77777777" w:rsidR="00925ABE" w:rsidRPr="000C2646" w:rsidRDefault="00925ABE" w:rsidP="009534FE">
      <w:pPr>
        <w:ind w:left="851"/>
        <w:rPr>
          <w:sz w:val="24"/>
          <w:szCs w:val="24"/>
        </w:rPr>
      </w:pPr>
      <w:r w:rsidRPr="000C2646">
        <w:rPr>
          <w:sz w:val="24"/>
          <w:szCs w:val="24"/>
        </w:rPr>
        <w:t xml:space="preserve">Diarré opstod hos ca. 65 % af de patienter, der blev behandlet med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hos 64 % af de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letrozol</w:t>
      </w:r>
      <w:proofErr w:type="spellEnd"/>
      <w:r w:rsidRPr="000C2646">
        <w:rPr>
          <w:sz w:val="24"/>
          <w:szCs w:val="24"/>
        </w:rPr>
        <w:t xml:space="preserve">, og hos 62 % af de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trastuzumab</w:t>
      </w:r>
      <w:proofErr w:type="spellEnd"/>
      <w:r w:rsidRPr="000C2646">
        <w:rPr>
          <w:sz w:val="24"/>
          <w:szCs w:val="24"/>
        </w:rPr>
        <w:t xml:space="preserve">. De fleste tilfælde af diarré var grad 1 eller 2, og medførte ikke afbrydelse af behandlingen med </w:t>
      </w:r>
      <w:proofErr w:type="spellStart"/>
      <w:r w:rsidRPr="000C2646">
        <w:rPr>
          <w:sz w:val="24"/>
          <w:szCs w:val="24"/>
        </w:rPr>
        <w:t>lapatinib</w:t>
      </w:r>
      <w:proofErr w:type="spellEnd"/>
      <w:r w:rsidRPr="000C2646">
        <w:rPr>
          <w:sz w:val="24"/>
          <w:szCs w:val="24"/>
        </w:rPr>
        <w:t>. Diarréen kan afhjælpes med proaktiv behandling (se pkt. 4.4). Der er dog set få tilfælde af akut nyresvigt, hvilket er opstået som følge af svær dehydrering pga. diarré.</w:t>
      </w:r>
    </w:p>
    <w:p w14:paraId="1CCCCDFA" w14:textId="77777777" w:rsidR="00925ABE" w:rsidRPr="000C2646" w:rsidRDefault="00925ABE" w:rsidP="009534FE">
      <w:pPr>
        <w:ind w:left="851"/>
        <w:rPr>
          <w:sz w:val="24"/>
          <w:szCs w:val="24"/>
        </w:rPr>
      </w:pPr>
    </w:p>
    <w:p w14:paraId="78069E33" w14:textId="77777777" w:rsidR="00925ABE" w:rsidRPr="00531060" w:rsidRDefault="00925ABE" w:rsidP="00531060">
      <w:pPr>
        <w:ind w:left="851"/>
        <w:rPr>
          <w:i/>
          <w:sz w:val="24"/>
          <w:szCs w:val="24"/>
          <w:u w:val="single"/>
        </w:rPr>
      </w:pPr>
      <w:r w:rsidRPr="00531060">
        <w:rPr>
          <w:i/>
          <w:sz w:val="24"/>
          <w:szCs w:val="24"/>
          <w:u w:val="single"/>
        </w:rPr>
        <w:t>Udslæt</w:t>
      </w:r>
    </w:p>
    <w:p w14:paraId="30EFF514" w14:textId="77777777" w:rsidR="00925ABE" w:rsidRPr="00531060" w:rsidRDefault="00925ABE" w:rsidP="00531060">
      <w:pPr>
        <w:ind w:left="851"/>
        <w:rPr>
          <w:sz w:val="24"/>
          <w:szCs w:val="24"/>
        </w:rPr>
      </w:pPr>
    </w:p>
    <w:p w14:paraId="0099BF22" w14:textId="77777777" w:rsidR="00925ABE" w:rsidRPr="000C2646" w:rsidRDefault="00925ABE" w:rsidP="009534FE">
      <w:pPr>
        <w:ind w:left="851"/>
        <w:rPr>
          <w:sz w:val="24"/>
          <w:szCs w:val="24"/>
        </w:rPr>
      </w:pPr>
      <w:r w:rsidRPr="000C2646">
        <w:rPr>
          <w:sz w:val="24"/>
          <w:szCs w:val="24"/>
        </w:rPr>
        <w:t xml:space="preserve">Udslæt opstod hos ca. 28 % af de patienter, der blev behandlet med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hos 45 % af de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letrozol</w:t>
      </w:r>
      <w:proofErr w:type="spellEnd"/>
      <w:r w:rsidRPr="000C2646">
        <w:rPr>
          <w:sz w:val="24"/>
          <w:szCs w:val="24"/>
        </w:rPr>
        <w:t xml:space="preserve">, og hos 23 % af de patienter, som fik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trastuzumab</w:t>
      </w:r>
      <w:proofErr w:type="spellEnd"/>
      <w:r w:rsidRPr="000C2646">
        <w:rPr>
          <w:sz w:val="24"/>
          <w:szCs w:val="24"/>
        </w:rPr>
        <w:t xml:space="preserve">. Udslættet var generelt let og resulterede ikke i afbrydelse af behandlingen med </w:t>
      </w:r>
      <w:proofErr w:type="spellStart"/>
      <w:r w:rsidRPr="000C2646">
        <w:rPr>
          <w:sz w:val="24"/>
          <w:szCs w:val="24"/>
        </w:rPr>
        <w:t>lapatinib</w:t>
      </w:r>
      <w:proofErr w:type="spellEnd"/>
      <w:r w:rsidRPr="000C2646">
        <w:rPr>
          <w:sz w:val="24"/>
          <w:szCs w:val="24"/>
        </w:rPr>
        <w:t xml:space="preserve">. Det anbefales, at den ordinerende læge udfører en undersøgelse af huden før behandlingsstart og regelmæssigt under behandlingen. Patienter, som får hudreaktioner, skal rådes til at undgå sollys og til at anvende solcreme med en beskyttelsesfaktor (SPF) på </w:t>
      </w:r>
      <w:r w:rsidRPr="000C2646">
        <w:rPr>
          <w:sz w:val="24"/>
          <w:szCs w:val="24"/>
        </w:rPr>
        <w:sym w:font="Symbol" w:char="F0B3"/>
      </w:r>
      <w:r w:rsidRPr="000C2646">
        <w:rPr>
          <w:sz w:val="24"/>
          <w:szCs w:val="24"/>
        </w:rPr>
        <w:t> 30. Hvis patienten får en hudreaktion, skal hele kroppen undersøges ved hvert besøg indtil en måned efter, reaktionen er forsvundet. Patienter med omfattende eller vedvarende hudreaktioner bør henvises til en dermatolog.</w:t>
      </w:r>
    </w:p>
    <w:p w14:paraId="25463E0A" w14:textId="77777777" w:rsidR="00925ABE" w:rsidRPr="000C2646" w:rsidRDefault="00925ABE" w:rsidP="009534FE">
      <w:pPr>
        <w:ind w:left="851"/>
        <w:rPr>
          <w:sz w:val="24"/>
          <w:szCs w:val="24"/>
        </w:rPr>
      </w:pPr>
    </w:p>
    <w:p w14:paraId="12C6D270" w14:textId="77777777" w:rsidR="00925ABE" w:rsidRPr="00531060" w:rsidRDefault="00925ABE" w:rsidP="00531060">
      <w:pPr>
        <w:ind w:left="851"/>
        <w:rPr>
          <w:i/>
          <w:sz w:val="24"/>
          <w:szCs w:val="24"/>
          <w:u w:val="single"/>
        </w:rPr>
      </w:pPr>
      <w:r w:rsidRPr="00531060">
        <w:rPr>
          <w:i/>
          <w:sz w:val="24"/>
          <w:szCs w:val="24"/>
          <w:u w:val="single"/>
        </w:rPr>
        <w:lastRenderedPageBreak/>
        <w:t>Levertoksicitet</w:t>
      </w:r>
    </w:p>
    <w:p w14:paraId="7083D8A1" w14:textId="77777777" w:rsidR="00925ABE" w:rsidRPr="00531060" w:rsidRDefault="00925ABE" w:rsidP="00531060">
      <w:pPr>
        <w:ind w:left="851"/>
        <w:rPr>
          <w:sz w:val="24"/>
          <w:szCs w:val="24"/>
        </w:rPr>
      </w:pPr>
    </w:p>
    <w:p w14:paraId="0D1A9B0E" w14:textId="77777777" w:rsidR="00925ABE" w:rsidRPr="00531060" w:rsidRDefault="00925ABE" w:rsidP="00531060">
      <w:pPr>
        <w:ind w:left="851"/>
        <w:rPr>
          <w:sz w:val="24"/>
          <w:szCs w:val="24"/>
        </w:rPr>
      </w:pPr>
      <w:r w:rsidRPr="00531060">
        <w:rPr>
          <w:sz w:val="24"/>
          <w:szCs w:val="24"/>
        </w:rPr>
        <w:t xml:space="preserve">Risikoen for </w:t>
      </w:r>
      <w:proofErr w:type="spellStart"/>
      <w:r w:rsidRPr="00531060">
        <w:rPr>
          <w:sz w:val="24"/>
          <w:szCs w:val="24"/>
        </w:rPr>
        <w:t>lapatinib</w:t>
      </w:r>
      <w:proofErr w:type="spellEnd"/>
      <w:r w:rsidRPr="00531060">
        <w:rPr>
          <w:sz w:val="24"/>
          <w:szCs w:val="24"/>
        </w:rPr>
        <w:t>-induceret levertoksicitet var associeret med bærertilstand af HLA-</w:t>
      </w:r>
      <w:proofErr w:type="spellStart"/>
      <w:r w:rsidRPr="00531060">
        <w:rPr>
          <w:sz w:val="24"/>
          <w:szCs w:val="24"/>
        </w:rPr>
        <w:t>allellerne</w:t>
      </w:r>
      <w:proofErr w:type="spellEnd"/>
      <w:r w:rsidRPr="00531060">
        <w:rPr>
          <w:sz w:val="24"/>
          <w:szCs w:val="24"/>
        </w:rPr>
        <w:t xml:space="preserve"> DQA1*02:01 og DRB1*07:01 (se pkt. 4.4).</w:t>
      </w:r>
    </w:p>
    <w:p w14:paraId="50BB1C03" w14:textId="77777777" w:rsidR="00925ABE" w:rsidRPr="00531060" w:rsidRDefault="00925ABE" w:rsidP="00531060">
      <w:pPr>
        <w:ind w:left="851"/>
        <w:rPr>
          <w:sz w:val="24"/>
          <w:szCs w:val="24"/>
        </w:rPr>
      </w:pPr>
    </w:p>
    <w:p w14:paraId="352E7436" w14:textId="77777777" w:rsidR="00925ABE" w:rsidRPr="00531060" w:rsidRDefault="00925ABE" w:rsidP="00531060">
      <w:pPr>
        <w:ind w:left="851"/>
        <w:rPr>
          <w:sz w:val="24"/>
          <w:szCs w:val="24"/>
          <w:u w:val="single"/>
        </w:rPr>
      </w:pPr>
      <w:r w:rsidRPr="00531060">
        <w:rPr>
          <w:sz w:val="24"/>
          <w:szCs w:val="24"/>
          <w:u w:val="single"/>
        </w:rPr>
        <w:t>Indberetning af formodede bivirkninger</w:t>
      </w:r>
    </w:p>
    <w:p w14:paraId="522CFC48" w14:textId="77777777" w:rsidR="00925ABE" w:rsidRPr="00531060" w:rsidRDefault="00925ABE" w:rsidP="00531060">
      <w:pPr>
        <w:ind w:left="851"/>
        <w:rPr>
          <w:sz w:val="24"/>
          <w:szCs w:val="24"/>
        </w:rPr>
      </w:pPr>
      <w:r w:rsidRPr="00531060">
        <w:rPr>
          <w:sz w:val="24"/>
          <w:szCs w:val="24"/>
        </w:rPr>
        <w:t>Når lægemidlet er godkendt, er indberetning af formodede bivirkninger vigtig. Det muliggør løbende overvågning af benefit/</w:t>
      </w:r>
      <w:proofErr w:type="spellStart"/>
      <w:r w:rsidRPr="00531060">
        <w:rPr>
          <w:sz w:val="24"/>
          <w:szCs w:val="24"/>
        </w:rPr>
        <w:t>risk</w:t>
      </w:r>
      <w:proofErr w:type="spellEnd"/>
      <w:r w:rsidRPr="00531060">
        <w:rPr>
          <w:sz w:val="24"/>
          <w:szCs w:val="24"/>
        </w:rPr>
        <w:t>-forholdet for lægemidlet. Sundhedspersoner anmodes om at indberette alle formodede bivirkninger via</w:t>
      </w:r>
    </w:p>
    <w:p w14:paraId="2AE2B7CC" w14:textId="77777777" w:rsidR="009534FE" w:rsidRPr="00531060" w:rsidRDefault="009534FE" w:rsidP="00531060">
      <w:pPr>
        <w:ind w:left="851"/>
        <w:rPr>
          <w:sz w:val="24"/>
          <w:szCs w:val="24"/>
        </w:rPr>
      </w:pPr>
    </w:p>
    <w:p w14:paraId="22D726A2" w14:textId="3ACECEDD" w:rsidR="00925ABE" w:rsidRPr="000C2646" w:rsidRDefault="00925ABE" w:rsidP="009534FE">
      <w:pPr>
        <w:autoSpaceDE w:val="0"/>
        <w:autoSpaceDN w:val="0"/>
        <w:adjustRightInd w:val="0"/>
        <w:ind w:left="851"/>
        <w:rPr>
          <w:sz w:val="24"/>
          <w:szCs w:val="24"/>
        </w:rPr>
      </w:pPr>
      <w:r w:rsidRPr="000C2646">
        <w:rPr>
          <w:sz w:val="24"/>
          <w:szCs w:val="24"/>
        </w:rPr>
        <w:t>Lægemiddelstyrelsen</w:t>
      </w:r>
    </w:p>
    <w:p w14:paraId="32F1CB7A" w14:textId="77777777" w:rsidR="00925ABE" w:rsidRPr="000C2646" w:rsidRDefault="00925ABE" w:rsidP="009534FE">
      <w:pPr>
        <w:autoSpaceDE w:val="0"/>
        <w:autoSpaceDN w:val="0"/>
        <w:adjustRightInd w:val="0"/>
        <w:ind w:left="851"/>
        <w:rPr>
          <w:sz w:val="24"/>
          <w:szCs w:val="24"/>
        </w:rPr>
      </w:pPr>
      <w:r w:rsidRPr="000C2646">
        <w:rPr>
          <w:sz w:val="24"/>
          <w:szCs w:val="24"/>
        </w:rPr>
        <w:t>Axel Heides Gade 1</w:t>
      </w:r>
    </w:p>
    <w:p w14:paraId="0117CAC3" w14:textId="77777777" w:rsidR="00925ABE" w:rsidRPr="000C2646" w:rsidRDefault="00925ABE" w:rsidP="009534FE">
      <w:pPr>
        <w:autoSpaceDE w:val="0"/>
        <w:autoSpaceDN w:val="0"/>
        <w:adjustRightInd w:val="0"/>
        <w:ind w:left="851"/>
        <w:rPr>
          <w:sz w:val="24"/>
          <w:szCs w:val="24"/>
        </w:rPr>
      </w:pPr>
      <w:r w:rsidRPr="000C2646">
        <w:rPr>
          <w:sz w:val="24"/>
          <w:szCs w:val="24"/>
        </w:rPr>
        <w:t>DK-2300 København S</w:t>
      </w:r>
    </w:p>
    <w:p w14:paraId="08CA3A3D" w14:textId="77777777" w:rsidR="00925ABE" w:rsidRPr="000C2646" w:rsidRDefault="00925ABE" w:rsidP="009534FE">
      <w:pPr>
        <w:autoSpaceDE w:val="0"/>
        <w:autoSpaceDN w:val="0"/>
        <w:adjustRightInd w:val="0"/>
        <w:ind w:left="851"/>
        <w:rPr>
          <w:sz w:val="24"/>
          <w:szCs w:val="24"/>
        </w:rPr>
      </w:pPr>
      <w:r w:rsidRPr="000C2646">
        <w:rPr>
          <w:sz w:val="24"/>
          <w:szCs w:val="24"/>
        </w:rPr>
        <w:t xml:space="preserve">Websted: </w:t>
      </w:r>
      <w:hyperlink r:id="rId8" w:history="1">
        <w:r w:rsidRPr="000C2646">
          <w:rPr>
            <w:rStyle w:val="Hyperlink"/>
            <w:sz w:val="24"/>
            <w:szCs w:val="24"/>
          </w:rPr>
          <w:t>www.meldenbivirkning.dk</w:t>
        </w:r>
      </w:hyperlink>
    </w:p>
    <w:p w14:paraId="2917F1A9" w14:textId="77777777" w:rsidR="009260DE" w:rsidRPr="000C2646" w:rsidRDefault="009260DE" w:rsidP="00A10294">
      <w:pPr>
        <w:tabs>
          <w:tab w:val="left" w:pos="851"/>
        </w:tabs>
        <w:ind w:left="851"/>
        <w:rPr>
          <w:sz w:val="24"/>
          <w:szCs w:val="24"/>
        </w:rPr>
      </w:pPr>
    </w:p>
    <w:p w14:paraId="169EA81B" w14:textId="77777777" w:rsidR="009260DE" w:rsidRPr="000C2646" w:rsidRDefault="009260DE" w:rsidP="009260DE">
      <w:pPr>
        <w:tabs>
          <w:tab w:val="left" w:pos="851"/>
        </w:tabs>
        <w:ind w:left="851" w:hanging="851"/>
        <w:rPr>
          <w:b/>
          <w:sz w:val="24"/>
          <w:szCs w:val="24"/>
        </w:rPr>
      </w:pPr>
      <w:r w:rsidRPr="000C2646">
        <w:rPr>
          <w:b/>
          <w:sz w:val="24"/>
          <w:szCs w:val="24"/>
        </w:rPr>
        <w:t>4.9</w:t>
      </w:r>
      <w:r w:rsidRPr="000C2646">
        <w:rPr>
          <w:b/>
          <w:sz w:val="24"/>
          <w:szCs w:val="24"/>
        </w:rPr>
        <w:tab/>
        <w:t>Overdosering</w:t>
      </w:r>
    </w:p>
    <w:p w14:paraId="741C01C9" w14:textId="77777777" w:rsidR="00925ABE" w:rsidRPr="000C2646" w:rsidRDefault="00925ABE" w:rsidP="009534FE">
      <w:pPr>
        <w:ind w:left="851"/>
        <w:rPr>
          <w:sz w:val="24"/>
          <w:szCs w:val="24"/>
        </w:rPr>
      </w:pPr>
      <w:r w:rsidRPr="000C2646">
        <w:rPr>
          <w:sz w:val="24"/>
          <w:szCs w:val="24"/>
        </w:rPr>
        <w:t xml:space="preserve">Der findes ingen specifik </w:t>
      </w:r>
      <w:proofErr w:type="spellStart"/>
      <w:r w:rsidRPr="000C2646">
        <w:rPr>
          <w:sz w:val="24"/>
          <w:szCs w:val="24"/>
        </w:rPr>
        <w:t>antidot</w:t>
      </w:r>
      <w:proofErr w:type="spellEnd"/>
      <w:r w:rsidRPr="000C2646">
        <w:rPr>
          <w:sz w:val="24"/>
          <w:szCs w:val="24"/>
        </w:rPr>
        <w:t xml:space="preserve"> til hæmning af EGFR (ErbB</w:t>
      </w:r>
      <w:proofErr w:type="gramStart"/>
      <w:r w:rsidRPr="000C2646">
        <w:rPr>
          <w:sz w:val="24"/>
          <w:szCs w:val="24"/>
        </w:rPr>
        <w:t>1)-</w:t>
      </w:r>
      <w:proofErr w:type="gramEnd"/>
      <w:r w:rsidRPr="000C2646">
        <w:rPr>
          <w:sz w:val="24"/>
          <w:szCs w:val="24"/>
        </w:rPr>
        <w:t xml:space="preserve"> og/eller HER2 (ErbB2)-</w:t>
      </w:r>
      <w:proofErr w:type="spellStart"/>
      <w:r w:rsidRPr="000C2646">
        <w:rPr>
          <w:sz w:val="24"/>
          <w:szCs w:val="24"/>
        </w:rPr>
        <w:t>tyrosinphosphorylering</w:t>
      </w:r>
      <w:proofErr w:type="spellEnd"/>
      <w:r w:rsidRPr="000C2646">
        <w:rPr>
          <w:sz w:val="24"/>
          <w:szCs w:val="24"/>
        </w:rPr>
        <w:t xml:space="preserve">. Den maksimale orale dosis </w:t>
      </w:r>
      <w:proofErr w:type="spellStart"/>
      <w:r w:rsidRPr="000C2646">
        <w:rPr>
          <w:sz w:val="24"/>
          <w:szCs w:val="24"/>
        </w:rPr>
        <w:t>lapatinib</w:t>
      </w:r>
      <w:proofErr w:type="spellEnd"/>
      <w:r w:rsidRPr="000C2646">
        <w:rPr>
          <w:sz w:val="24"/>
          <w:szCs w:val="24"/>
        </w:rPr>
        <w:t>, der er administreret i kliniske studier, er 1800 mg én gang dagligt.</w:t>
      </w:r>
    </w:p>
    <w:p w14:paraId="717D7D58" w14:textId="77777777" w:rsidR="00925ABE" w:rsidRPr="000C2646" w:rsidRDefault="00925ABE" w:rsidP="009534FE">
      <w:pPr>
        <w:ind w:left="851"/>
        <w:rPr>
          <w:sz w:val="24"/>
          <w:szCs w:val="24"/>
        </w:rPr>
      </w:pPr>
    </w:p>
    <w:p w14:paraId="763E8696" w14:textId="77777777" w:rsidR="00925ABE" w:rsidRPr="000C2646" w:rsidRDefault="00925ABE" w:rsidP="009534FE">
      <w:pPr>
        <w:ind w:left="851"/>
        <w:rPr>
          <w:sz w:val="24"/>
          <w:szCs w:val="24"/>
        </w:rPr>
      </w:pPr>
      <w:r w:rsidRPr="000C2646">
        <w:rPr>
          <w:sz w:val="24"/>
          <w:szCs w:val="24"/>
        </w:rPr>
        <w:t xml:space="preserve">Asymptomatiske og symptomatiske tilfælde af overdosering er rapporteret hos patienter i behandling med </w:t>
      </w:r>
      <w:proofErr w:type="spellStart"/>
      <w:r w:rsidRPr="000C2646">
        <w:rPr>
          <w:sz w:val="24"/>
          <w:szCs w:val="24"/>
        </w:rPr>
        <w:t>lapatinib</w:t>
      </w:r>
      <w:proofErr w:type="spellEnd"/>
      <w:r w:rsidRPr="000C2646">
        <w:rPr>
          <w:sz w:val="24"/>
          <w:szCs w:val="24"/>
        </w:rPr>
        <w:t xml:space="preserve">. Hos patienter, der tog op til 5000 mg </w:t>
      </w:r>
      <w:proofErr w:type="spellStart"/>
      <w:r w:rsidRPr="000C2646">
        <w:rPr>
          <w:sz w:val="24"/>
          <w:szCs w:val="24"/>
        </w:rPr>
        <w:t>lapatinib</w:t>
      </w:r>
      <w:proofErr w:type="spellEnd"/>
      <w:r w:rsidRPr="000C2646">
        <w:rPr>
          <w:sz w:val="24"/>
          <w:szCs w:val="24"/>
        </w:rPr>
        <w:t xml:space="preserve">, sås allerede kendte symptomer relateret til </w:t>
      </w:r>
      <w:proofErr w:type="spellStart"/>
      <w:r w:rsidRPr="000C2646">
        <w:rPr>
          <w:sz w:val="24"/>
          <w:szCs w:val="24"/>
        </w:rPr>
        <w:t>lapatinib</w:t>
      </w:r>
      <w:proofErr w:type="spellEnd"/>
      <w:r w:rsidRPr="000C2646">
        <w:rPr>
          <w:sz w:val="24"/>
          <w:szCs w:val="24"/>
        </w:rPr>
        <w:t xml:space="preserve"> (se pkt. 4.8) samt i nogle tilfælde øm hovedbund og/eller slimhindeinflammation. I et enkelt tilfælde, hvor en patient tog 9000 mg </w:t>
      </w:r>
      <w:proofErr w:type="spellStart"/>
      <w:r w:rsidRPr="000C2646">
        <w:rPr>
          <w:sz w:val="24"/>
          <w:szCs w:val="24"/>
        </w:rPr>
        <w:t>lapatinib</w:t>
      </w:r>
      <w:proofErr w:type="spellEnd"/>
      <w:r w:rsidRPr="000C2646">
        <w:rPr>
          <w:sz w:val="24"/>
          <w:szCs w:val="24"/>
        </w:rPr>
        <w:t>, sås sinus-</w:t>
      </w:r>
      <w:proofErr w:type="spellStart"/>
      <w:r w:rsidRPr="000C2646">
        <w:rPr>
          <w:sz w:val="24"/>
          <w:szCs w:val="24"/>
        </w:rPr>
        <w:t>takykardi</w:t>
      </w:r>
      <w:proofErr w:type="spellEnd"/>
      <w:r w:rsidRPr="000C2646">
        <w:rPr>
          <w:sz w:val="24"/>
          <w:szCs w:val="24"/>
        </w:rPr>
        <w:t xml:space="preserve"> (patienten havde et ellers normalt ekg).</w:t>
      </w:r>
    </w:p>
    <w:p w14:paraId="57BE1ECE" w14:textId="77777777" w:rsidR="00925ABE" w:rsidRPr="000C2646" w:rsidRDefault="00925ABE" w:rsidP="009534FE">
      <w:pPr>
        <w:ind w:left="851"/>
        <w:rPr>
          <w:sz w:val="24"/>
          <w:szCs w:val="24"/>
        </w:rPr>
      </w:pPr>
    </w:p>
    <w:p w14:paraId="33B0977C" w14:textId="77777777" w:rsidR="00925ABE" w:rsidRPr="000C2646" w:rsidRDefault="00925ABE" w:rsidP="009534FE">
      <w:pPr>
        <w:ind w:left="851"/>
        <w:rPr>
          <w:sz w:val="24"/>
          <w:szCs w:val="24"/>
        </w:rPr>
      </w:pPr>
      <w:proofErr w:type="spellStart"/>
      <w:r w:rsidRPr="000C2646">
        <w:rPr>
          <w:sz w:val="24"/>
          <w:szCs w:val="24"/>
        </w:rPr>
        <w:t>Lapatinib</w:t>
      </w:r>
      <w:proofErr w:type="spellEnd"/>
      <w:r w:rsidRPr="000C2646">
        <w:rPr>
          <w:sz w:val="24"/>
          <w:szCs w:val="24"/>
        </w:rPr>
        <w:t xml:space="preserve"> udskilles ikke væsentligt via nyrerne og bindes i høj grad til plasmaproteiner. Det kan derfor ikke forventes, at hæmodialyse vil være en effektiv måde at øge udskillelsen af </w:t>
      </w:r>
      <w:proofErr w:type="spellStart"/>
      <w:r w:rsidRPr="000C2646">
        <w:rPr>
          <w:sz w:val="24"/>
          <w:szCs w:val="24"/>
        </w:rPr>
        <w:t>lapatinib</w:t>
      </w:r>
      <w:proofErr w:type="spellEnd"/>
      <w:r w:rsidRPr="000C2646">
        <w:rPr>
          <w:sz w:val="24"/>
          <w:szCs w:val="24"/>
        </w:rPr>
        <w:t>.</w:t>
      </w:r>
    </w:p>
    <w:p w14:paraId="18B030F0" w14:textId="77777777" w:rsidR="00925ABE" w:rsidRPr="000C2646" w:rsidRDefault="00925ABE" w:rsidP="009534FE">
      <w:pPr>
        <w:ind w:left="851"/>
        <w:rPr>
          <w:sz w:val="24"/>
          <w:szCs w:val="24"/>
        </w:rPr>
      </w:pPr>
    </w:p>
    <w:p w14:paraId="3A522634" w14:textId="77777777" w:rsidR="00925ABE" w:rsidRPr="000C2646" w:rsidRDefault="00925ABE" w:rsidP="009534FE">
      <w:pPr>
        <w:ind w:left="851"/>
        <w:rPr>
          <w:sz w:val="24"/>
          <w:szCs w:val="24"/>
        </w:rPr>
      </w:pPr>
      <w:r w:rsidRPr="000C2646">
        <w:rPr>
          <w:sz w:val="24"/>
          <w:szCs w:val="24"/>
        </w:rPr>
        <w:t>Yderligere tiltag bør være som klinisk indiceret eller efter anbefalinger fra Giftlinjen.</w:t>
      </w:r>
    </w:p>
    <w:p w14:paraId="2826F872" w14:textId="77777777" w:rsidR="009260DE" w:rsidRPr="000C2646" w:rsidRDefault="009260DE" w:rsidP="009260DE">
      <w:pPr>
        <w:tabs>
          <w:tab w:val="left" w:pos="851"/>
        </w:tabs>
        <w:ind w:left="851"/>
        <w:rPr>
          <w:sz w:val="24"/>
          <w:szCs w:val="24"/>
        </w:rPr>
      </w:pPr>
    </w:p>
    <w:p w14:paraId="7A15EDB3" w14:textId="77777777" w:rsidR="009260DE" w:rsidRPr="000C2646" w:rsidRDefault="009260DE" w:rsidP="009260DE">
      <w:pPr>
        <w:tabs>
          <w:tab w:val="left" w:pos="851"/>
        </w:tabs>
        <w:ind w:left="851" w:hanging="851"/>
        <w:rPr>
          <w:b/>
          <w:sz w:val="24"/>
          <w:szCs w:val="24"/>
        </w:rPr>
      </w:pPr>
      <w:r w:rsidRPr="000C2646">
        <w:rPr>
          <w:b/>
          <w:sz w:val="24"/>
          <w:szCs w:val="24"/>
        </w:rPr>
        <w:t>4.10</w:t>
      </w:r>
      <w:r w:rsidRPr="000C2646">
        <w:rPr>
          <w:b/>
          <w:sz w:val="24"/>
          <w:szCs w:val="24"/>
        </w:rPr>
        <w:tab/>
        <w:t>Udlevering</w:t>
      </w:r>
    </w:p>
    <w:p w14:paraId="364CE663" w14:textId="5602726F" w:rsidR="009260DE" w:rsidRPr="000C2646" w:rsidRDefault="009534FE" w:rsidP="009260DE">
      <w:pPr>
        <w:tabs>
          <w:tab w:val="left" w:pos="851"/>
        </w:tabs>
        <w:ind w:left="851"/>
        <w:rPr>
          <w:sz w:val="24"/>
          <w:szCs w:val="24"/>
        </w:rPr>
      </w:pPr>
      <w:r w:rsidRPr="000C2646">
        <w:rPr>
          <w:sz w:val="24"/>
          <w:szCs w:val="24"/>
        </w:rPr>
        <w:t>BEGR – kun til sygehuse</w:t>
      </w:r>
    </w:p>
    <w:p w14:paraId="3F2F2F45" w14:textId="77777777" w:rsidR="009260DE" w:rsidRPr="000C2646" w:rsidRDefault="009260DE" w:rsidP="009260DE">
      <w:pPr>
        <w:tabs>
          <w:tab w:val="left" w:pos="851"/>
        </w:tabs>
        <w:ind w:left="851"/>
        <w:rPr>
          <w:sz w:val="24"/>
          <w:szCs w:val="24"/>
        </w:rPr>
      </w:pPr>
    </w:p>
    <w:p w14:paraId="1035329A" w14:textId="77777777" w:rsidR="009260DE" w:rsidRPr="000C2646" w:rsidRDefault="009260DE" w:rsidP="009260DE">
      <w:pPr>
        <w:tabs>
          <w:tab w:val="left" w:pos="851"/>
        </w:tabs>
        <w:ind w:left="851"/>
        <w:rPr>
          <w:sz w:val="24"/>
          <w:szCs w:val="24"/>
        </w:rPr>
      </w:pPr>
    </w:p>
    <w:p w14:paraId="63E2EAD3" w14:textId="77777777" w:rsidR="009260DE" w:rsidRPr="000C2646" w:rsidRDefault="009260DE" w:rsidP="009260DE">
      <w:pPr>
        <w:tabs>
          <w:tab w:val="left" w:pos="851"/>
        </w:tabs>
        <w:ind w:left="851" w:hanging="851"/>
        <w:rPr>
          <w:b/>
          <w:sz w:val="24"/>
          <w:szCs w:val="24"/>
        </w:rPr>
      </w:pPr>
      <w:r w:rsidRPr="000C2646">
        <w:rPr>
          <w:b/>
          <w:sz w:val="24"/>
          <w:szCs w:val="24"/>
        </w:rPr>
        <w:t>5.</w:t>
      </w:r>
      <w:r w:rsidRPr="000C2646">
        <w:rPr>
          <w:b/>
          <w:sz w:val="24"/>
          <w:szCs w:val="24"/>
        </w:rPr>
        <w:tab/>
        <w:t>FARMAKOLOGISKE EGENSKABER</w:t>
      </w:r>
    </w:p>
    <w:p w14:paraId="1357994A" w14:textId="77777777" w:rsidR="009260DE" w:rsidRPr="000C2646" w:rsidRDefault="009260DE" w:rsidP="009260DE">
      <w:pPr>
        <w:tabs>
          <w:tab w:val="left" w:pos="851"/>
        </w:tabs>
        <w:ind w:left="851"/>
        <w:rPr>
          <w:sz w:val="24"/>
          <w:szCs w:val="24"/>
        </w:rPr>
      </w:pPr>
    </w:p>
    <w:p w14:paraId="22A0704B" w14:textId="77777777" w:rsidR="009260DE" w:rsidRPr="000C2646" w:rsidRDefault="009260DE" w:rsidP="009260DE">
      <w:pPr>
        <w:tabs>
          <w:tab w:val="num" w:pos="851"/>
        </w:tabs>
        <w:ind w:left="851" w:hanging="851"/>
        <w:rPr>
          <w:b/>
          <w:sz w:val="24"/>
          <w:szCs w:val="24"/>
        </w:rPr>
      </w:pPr>
      <w:r w:rsidRPr="000C2646">
        <w:rPr>
          <w:b/>
          <w:sz w:val="24"/>
          <w:szCs w:val="24"/>
        </w:rPr>
        <w:t>5.1</w:t>
      </w:r>
      <w:r w:rsidRPr="000C2646">
        <w:rPr>
          <w:b/>
          <w:sz w:val="24"/>
          <w:szCs w:val="24"/>
        </w:rPr>
        <w:tab/>
      </w:r>
      <w:proofErr w:type="spellStart"/>
      <w:r w:rsidRPr="000C2646">
        <w:rPr>
          <w:b/>
          <w:sz w:val="24"/>
          <w:szCs w:val="24"/>
        </w:rPr>
        <w:t>Farmakodynamiske</w:t>
      </w:r>
      <w:proofErr w:type="spellEnd"/>
      <w:r w:rsidRPr="000C2646">
        <w:rPr>
          <w:b/>
          <w:sz w:val="24"/>
          <w:szCs w:val="24"/>
        </w:rPr>
        <w:t xml:space="preserve"> egenskaber</w:t>
      </w:r>
    </w:p>
    <w:p w14:paraId="352282D6" w14:textId="40A1B3D0" w:rsidR="00925ABE" w:rsidRPr="000C2646" w:rsidRDefault="00925ABE" w:rsidP="009534FE">
      <w:pPr>
        <w:suppressAutoHyphens/>
        <w:ind w:left="851"/>
        <w:rPr>
          <w:sz w:val="24"/>
          <w:szCs w:val="24"/>
        </w:rPr>
      </w:pPr>
      <w:proofErr w:type="spellStart"/>
      <w:r w:rsidRPr="000C2646">
        <w:rPr>
          <w:sz w:val="24"/>
          <w:szCs w:val="24"/>
        </w:rPr>
        <w:t>Farmakoterapeutisk</w:t>
      </w:r>
      <w:proofErr w:type="spellEnd"/>
      <w:r w:rsidRPr="000C2646">
        <w:rPr>
          <w:sz w:val="24"/>
          <w:szCs w:val="24"/>
        </w:rPr>
        <w:t xml:space="preserve"> klassifikation: </w:t>
      </w:r>
      <w:proofErr w:type="spellStart"/>
      <w:r w:rsidRPr="000C2646">
        <w:rPr>
          <w:sz w:val="24"/>
          <w:szCs w:val="24"/>
        </w:rPr>
        <w:t>Antineoplastiske</w:t>
      </w:r>
      <w:proofErr w:type="spellEnd"/>
      <w:r w:rsidRPr="000C2646">
        <w:rPr>
          <w:sz w:val="24"/>
          <w:szCs w:val="24"/>
        </w:rPr>
        <w:t xml:space="preserve"> stoffer, human </w:t>
      </w:r>
      <w:proofErr w:type="spellStart"/>
      <w:r w:rsidRPr="000C2646">
        <w:rPr>
          <w:sz w:val="24"/>
          <w:szCs w:val="24"/>
        </w:rPr>
        <w:t>epidermal</w:t>
      </w:r>
      <w:proofErr w:type="spellEnd"/>
      <w:r w:rsidRPr="000C2646">
        <w:rPr>
          <w:sz w:val="24"/>
          <w:szCs w:val="24"/>
        </w:rPr>
        <w:t xml:space="preserve"> vækstfaktor receptor 2 (HER2) </w:t>
      </w:r>
      <w:proofErr w:type="spellStart"/>
      <w:r w:rsidRPr="000C2646">
        <w:rPr>
          <w:sz w:val="24"/>
          <w:szCs w:val="24"/>
        </w:rPr>
        <w:t>tyrosinkinase</w:t>
      </w:r>
      <w:proofErr w:type="spellEnd"/>
      <w:r w:rsidRPr="000C2646">
        <w:rPr>
          <w:sz w:val="24"/>
          <w:szCs w:val="24"/>
        </w:rPr>
        <w:t xml:space="preserve"> </w:t>
      </w:r>
      <w:proofErr w:type="spellStart"/>
      <w:r w:rsidRPr="000C2646">
        <w:rPr>
          <w:sz w:val="24"/>
          <w:szCs w:val="24"/>
        </w:rPr>
        <w:t>hæmmere</w:t>
      </w:r>
      <w:proofErr w:type="spellEnd"/>
      <w:r w:rsidRPr="000C2646">
        <w:rPr>
          <w:sz w:val="24"/>
          <w:szCs w:val="24"/>
        </w:rPr>
        <w:t>, ATC-kode: L01EH01</w:t>
      </w:r>
      <w:r w:rsidR="004F5E1E">
        <w:rPr>
          <w:sz w:val="24"/>
          <w:szCs w:val="24"/>
        </w:rPr>
        <w:t>.</w:t>
      </w:r>
    </w:p>
    <w:p w14:paraId="0802231D" w14:textId="77777777" w:rsidR="00925ABE" w:rsidRPr="004D4694" w:rsidRDefault="00925ABE" w:rsidP="004D4694">
      <w:pPr>
        <w:ind w:left="851"/>
        <w:rPr>
          <w:sz w:val="24"/>
          <w:szCs w:val="24"/>
        </w:rPr>
      </w:pPr>
    </w:p>
    <w:p w14:paraId="5509BB11" w14:textId="77777777" w:rsidR="00925ABE" w:rsidRPr="004D4694" w:rsidRDefault="00925ABE" w:rsidP="004D4694">
      <w:pPr>
        <w:ind w:left="851"/>
        <w:rPr>
          <w:sz w:val="24"/>
          <w:szCs w:val="24"/>
        </w:rPr>
      </w:pPr>
      <w:r w:rsidRPr="004D4694">
        <w:rPr>
          <w:bCs/>
          <w:sz w:val="24"/>
          <w:szCs w:val="24"/>
          <w:u w:val="single"/>
        </w:rPr>
        <w:t>Virkningsmekanisme</w:t>
      </w:r>
    </w:p>
    <w:p w14:paraId="715A6978" w14:textId="77777777" w:rsidR="00925ABE" w:rsidRPr="004D4694" w:rsidRDefault="00925ABE" w:rsidP="004D4694">
      <w:pPr>
        <w:ind w:left="851"/>
        <w:rPr>
          <w:bCs/>
          <w:sz w:val="24"/>
          <w:szCs w:val="24"/>
          <w:u w:val="single"/>
        </w:rPr>
      </w:pPr>
    </w:p>
    <w:p w14:paraId="348D08D2" w14:textId="77777777" w:rsidR="00925ABE" w:rsidRPr="000C2646" w:rsidRDefault="00925ABE" w:rsidP="009534FE">
      <w:pPr>
        <w:suppressAutoHyphens/>
        <w:ind w:left="851"/>
        <w:rPr>
          <w:sz w:val="24"/>
          <w:szCs w:val="24"/>
        </w:rPr>
      </w:pPr>
      <w:proofErr w:type="spellStart"/>
      <w:r w:rsidRPr="000C2646">
        <w:rPr>
          <w:sz w:val="24"/>
          <w:szCs w:val="24"/>
        </w:rPr>
        <w:t>Lapatinib</w:t>
      </w:r>
      <w:proofErr w:type="spellEnd"/>
      <w:r w:rsidRPr="000C2646">
        <w:rPr>
          <w:sz w:val="24"/>
          <w:szCs w:val="24"/>
        </w:rPr>
        <w:t xml:space="preserve"> er en 4-anilinoquinazolin-kinase-hæmmer af intracellulær </w:t>
      </w:r>
      <w:proofErr w:type="spellStart"/>
      <w:r w:rsidRPr="000C2646">
        <w:rPr>
          <w:sz w:val="24"/>
          <w:szCs w:val="24"/>
        </w:rPr>
        <w:t>tyrosin</w:t>
      </w:r>
      <w:proofErr w:type="spellEnd"/>
      <w:r w:rsidRPr="000C2646">
        <w:rPr>
          <w:sz w:val="24"/>
          <w:szCs w:val="24"/>
        </w:rPr>
        <w:t>-</w:t>
      </w:r>
      <w:proofErr w:type="spellStart"/>
      <w:r w:rsidRPr="000C2646">
        <w:rPr>
          <w:sz w:val="24"/>
          <w:szCs w:val="24"/>
        </w:rPr>
        <w:t>kinase</w:t>
      </w:r>
      <w:proofErr w:type="spellEnd"/>
      <w:r w:rsidRPr="000C2646">
        <w:rPr>
          <w:sz w:val="24"/>
          <w:szCs w:val="24"/>
        </w:rPr>
        <w:t>-domæner af både EGFR (ErbB</w:t>
      </w:r>
      <w:proofErr w:type="gramStart"/>
      <w:r w:rsidRPr="000C2646">
        <w:rPr>
          <w:sz w:val="24"/>
          <w:szCs w:val="24"/>
        </w:rPr>
        <w:t>1)-</w:t>
      </w:r>
      <w:proofErr w:type="gramEnd"/>
      <w:r w:rsidRPr="000C2646">
        <w:rPr>
          <w:sz w:val="24"/>
          <w:szCs w:val="24"/>
        </w:rPr>
        <w:t xml:space="preserve"> og HER2 (ErbB2)-receptorer (anslåede </w:t>
      </w:r>
      <w:proofErr w:type="spellStart"/>
      <w:r w:rsidRPr="000C2646">
        <w:rPr>
          <w:sz w:val="24"/>
          <w:szCs w:val="24"/>
        </w:rPr>
        <w:t>Ki</w:t>
      </w:r>
      <w:r w:rsidRPr="000C2646">
        <w:rPr>
          <w:sz w:val="24"/>
          <w:szCs w:val="24"/>
          <w:vertAlign w:val="superscript"/>
        </w:rPr>
        <w:t>app</w:t>
      </w:r>
      <w:proofErr w:type="spellEnd"/>
      <w:r w:rsidRPr="000C2646">
        <w:rPr>
          <w:sz w:val="24"/>
          <w:szCs w:val="24"/>
        </w:rPr>
        <w:t xml:space="preserve"> -værdier på henholdsvis 3 </w:t>
      </w:r>
      <w:proofErr w:type="spellStart"/>
      <w:r w:rsidRPr="000C2646">
        <w:rPr>
          <w:sz w:val="24"/>
          <w:szCs w:val="24"/>
        </w:rPr>
        <w:t>nM</w:t>
      </w:r>
      <w:proofErr w:type="spellEnd"/>
      <w:r w:rsidRPr="000C2646">
        <w:rPr>
          <w:sz w:val="24"/>
          <w:szCs w:val="24"/>
        </w:rPr>
        <w:t xml:space="preserve"> og 13 </w:t>
      </w:r>
      <w:proofErr w:type="spellStart"/>
      <w:r w:rsidRPr="000C2646">
        <w:rPr>
          <w:sz w:val="24"/>
          <w:szCs w:val="24"/>
        </w:rPr>
        <w:t>nM</w:t>
      </w:r>
      <w:proofErr w:type="spellEnd"/>
      <w:r w:rsidRPr="000C2646">
        <w:rPr>
          <w:sz w:val="24"/>
          <w:szCs w:val="24"/>
        </w:rPr>
        <w:t xml:space="preserve">) med en langsom udfasningshastighed fra disse receptorer (halveringstiden er større end eller lig med 300 minutter). </w:t>
      </w:r>
      <w:proofErr w:type="spellStart"/>
      <w:r w:rsidRPr="000C2646">
        <w:rPr>
          <w:sz w:val="24"/>
          <w:szCs w:val="24"/>
        </w:rPr>
        <w:t>Lapatinib</w:t>
      </w:r>
      <w:proofErr w:type="spellEnd"/>
      <w:r w:rsidRPr="000C2646">
        <w:rPr>
          <w:sz w:val="24"/>
          <w:szCs w:val="24"/>
        </w:rPr>
        <w:t xml:space="preserve"> hæmmer </w:t>
      </w:r>
      <w:proofErr w:type="spellStart"/>
      <w:r w:rsidRPr="000C2646">
        <w:rPr>
          <w:sz w:val="24"/>
          <w:szCs w:val="24"/>
        </w:rPr>
        <w:t>ErbB</w:t>
      </w:r>
      <w:proofErr w:type="spellEnd"/>
      <w:r w:rsidRPr="000C2646">
        <w:rPr>
          <w:sz w:val="24"/>
          <w:szCs w:val="24"/>
        </w:rPr>
        <w:t xml:space="preserve">-drevet tumorcellevækst </w:t>
      </w:r>
      <w:r w:rsidRPr="000C2646">
        <w:rPr>
          <w:i/>
          <w:iCs/>
          <w:sz w:val="24"/>
          <w:szCs w:val="24"/>
        </w:rPr>
        <w:t>in </w:t>
      </w:r>
      <w:proofErr w:type="spellStart"/>
      <w:r w:rsidRPr="000C2646">
        <w:rPr>
          <w:i/>
          <w:iCs/>
          <w:sz w:val="24"/>
          <w:szCs w:val="24"/>
        </w:rPr>
        <w:t>vitro</w:t>
      </w:r>
      <w:proofErr w:type="spellEnd"/>
      <w:r w:rsidRPr="000C2646">
        <w:rPr>
          <w:sz w:val="24"/>
          <w:szCs w:val="24"/>
        </w:rPr>
        <w:t xml:space="preserve"> og i forskellige dyremodeller.</w:t>
      </w:r>
    </w:p>
    <w:p w14:paraId="21982D3E" w14:textId="77777777" w:rsidR="00925ABE" w:rsidRPr="000C2646" w:rsidRDefault="00925ABE" w:rsidP="009534FE">
      <w:pPr>
        <w:suppressAutoHyphens/>
        <w:ind w:left="851"/>
        <w:rPr>
          <w:sz w:val="24"/>
          <w:szCs w:val="24"/>
        </w:rPr>
      </w:pPr>
    </w:p>
    <w:p w14:paraId="660C6BE7" w14:textId="1BF41829" w:rsidR="00925ABE" w:rsidRPr="000C2646" w:rsidRDefault="00925ABE" w:rsidP="009534FE">
      <w:pPr>
        <w:suppressAutoHyphens/>
        <w:ind w:left="851"/>
        <w:rPr>
          <w:bCs/>
          <w:sz w:val="24"/>
          <w:szCs w:val="24"/>
          <w:u w:val="single"/>
        </w:rPr>
      </w:pPr>
      <w:r w:rsidRPr="000C2646">
        <w:rPr>
          <w:sz w:val="24"/>
          <w:szCs w:val="24"/>
        </w:rPr>
        <w:lastRenderedPageBreak/>
        <w:t xml:space="preserve">Kombination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trastuzumab</w:t>
      </w:r>
      <w:proofErr w:type="spellEnd"/>
      <w:r w:rsidRPr="000C2646">
        <w:rPr>
          <w:sz w:val="24"/>
          <w:szCs w:val="24"/>
        </w:rPr>
        <w:t xml:space="preserve"> kan forårsage komplementære virknings</w:t>
      </w:r>
      <w:r w:rsidR="002417A3">
        <w:rPr>
          <w:sz w:val="24"/>
          <w:szCs w:val="24"/>
        </w:rPr>
        <w:softHyphen/>
      </w:r>
      <w:r w:rsidRPr="000C2646">
        <w:rPr>
          <w:sz w:val="24"/>
          <w:szCs w:val="24"/>
        </w:rPr>
        <w:t xml:space="preserve">mekanismer samt ikke-overlappende resistensmekanismer. Den væksthæmmende effekt af </w:t>
      </w:r>
      <w:proofErr w:type="spellStart"/>
      <w:r w:rsidRPr="000C2646">
        <w:rPr>
          <w:sz w:val="24"/>
          <w:szCs w:val="24"/>
        </w:rPr>
        <w:t>lapatinib</w:t>
      </w:r>
      <w:proofErr w:type="spellEnd"/>
      <w:r w:rsidRPr="000C2646">
        <w:rPr>
          <w:sz w:val="24"/>
          <w:szCs w:val="24"/>
        </w:rPr>
        <w:t xml:space="preserve"> blev vurderet i </w:t>
      </w:r>
      <w:proofErr w:type="spellStart"/>
      <w:r w:rsidRPr="000C2646">
        <w:rPr>
          <w:sz w:val="24"/>
          <w:szCs w:val="24"/>
        </w:rPr>
        <w:t>trastuzumab</w:t>
      </w:r>
      <w:proofErr w:type="spellEnd"/>
      <w:r w:rsidRPr="000C2646">
        <w:rPr>
          <w:sz w:val="24"/>
          <w:szCs w:val="24"/>
        </w:rPr>
        <w:t xml:space="preserve">-konditionerede cellelinjer. </w:t>
      </w:r>
      <w:proofErr w:type="spellStart"/>
      <w:r w:rsidRPr="000C2646">
        <w:rPr>
          <w:sz w:val="24"/>
          <w:szCs w:val="24"/>
        </w:rPr>
        <w:t>Lapatinib</w:t>
      </w:r>
      <w:proofErr w:type="spellEnd"/>
      <w:r w:rsidRPr="000C2646">
        <w:rPr>
          <w:sz w:val="24"/>
          <w:szCs w:val="24"/>
        </w:rPr>
        <w:t xml:space="preserve"> bevarede betydelig aktivitet over for HER2-amplificerende brystcancercellelinjer selekteret til langtidsvækst i </w:t>
      </w:r>
      <w:proofErr w:type="spellStart"/>
      <w:r w:rsidRPr="000C2646">
        <w:rPr>
          <w:sz w:val="24"/>
          <w:szCs w:val="24"/>
        </w:rPr>
        <w:t>trastuzumab-holdigt</w:t>
      </w:r>
      <w:proofErr w:type="spellEnd"/>
      <w:r w:rsidRPr="000C2646">
        <w:rPr>
          <w:sz w:val="24"/>
          <w:szCs w:val="24"/>
        </w:rPr>
        <w:t xml:space="preserve"> medium </w:t>
      </w:r>
      <w:r w:rsidRPr="000C2646">
        <w:rPr>
          <w:i/>
          <w:iCs/>
          <w:sz w:val="24"/>
          <w:szCs w:val="24"/>
        </w:rPr>
        <w:t>in </w:t>
      </w:r>
      <w:proofErr w:type="spellStart"/>
      <w:r w:rsidRPr="000C2646">
        <w:rPr>
          <w:i/>
          <w:iCs/>
          <w:sz w:val="24"/>
          <w:szCs w:val="24"/>
        </w:rPr>
        <w:t>vitro</w:t>
      </w:r>
      <w:proofErr w:type="spellEnd"/>
      <w:r w:rsidRPr="000C2646">
        <w:rPr>
          <w:sz w:val="24"/>
          <w:szCs w:val="24"/>
        </w:rPr>
        <w:t xml:space="preserve">, og i kombination med </w:t>
      </w:r>
      <w:proofErr w:type="spellStart"/>
      <w:r w:rsidRPr="000C2646">
        <w:rPr>
          <w:sz w:val="24"/>
          <w:szCs w:val="24"/>
        </w:rPr>
        <w:t>trastuzumab</w:t>
      </w:r>
      <w:proofErr w:type="spellEnd"/>
      <w:r w:rsidRPr="000C2646">
        <w:rPr>
          <w:sz w:val="24"/>
          <w:szCs w:val="24"/>
        </w:rPr>
        <w:t xml:space="preserve"> var der en </w:t>
      </w:r>
      <w:proofErr w:type="spellStart"/>
      <w:r w:rsidRPr="000C2646">
        <w:rPr>
          <w:sz w:val="24"/>
          <w:szCs w:val="24"/>
        </w:rPr>
        <w:t>synergistisk</w:t>
      </w:r>
      <w:proofErr w:type="spellEnd"/>
      <w:r w:rsidRPr="000C2646">
        <w:rPr>
          <w:sz w:val="24"/>
          <w:szCs w:val="24"/>
        </w:rPr>
        <w:t xml:space="preserve"> virkning i disse cellelinjer.</w:t>
      </w:r>
    </w:p>
    <w:p w14:paraId="05946898" w14:textId="77777777" w:rsidR="00925ABE" w:rsidRPr="000C2646" w:rsidRDefault="00925ABE" w:rsidP="009534FE">
      <w:pPr>
        <w:suppressAutoHyphens/>
        <w:ind w:left="851"/>
        <w:rPr>
          <w:bCs/>
          <w:sz w:val="24"/>
          <w:szCs w:val="24"/>
          <w:u w:val="single"/>
        </w:rPr>
      </w:pPr>
    </w:p>
    <w:p w14:paraId="297D435F" w14:textId="77777777" w:rsidR="00925ABE" w:rsidRPr="004D4694" w:rsidRDefault="00925ABE" w:rsidP="004D4694">
      <w:pPr>
        <w:ind w:left="851"/>
        <w:rPr>
          <w:sz w:val="24"/>
          <w:szCs w:val="24"/>
          <w:u w:val="single"/>
        </w:rPr>
      </w:pPr>
      <w:r w:rsidRPr="004D4694">
        <w:rPr>
          <w:sz w:val="24"/>
          <w:szCs w:val="24"/>
          <w:u w:val="single"/>
        </w:rPr>
        <w:t>Klinisk virkning og sikkerhed</w:t>
      </w:r>
    </w:p>
    <w:p w14:paraId="458E572C" w14:textId="77777777" w:rsidR="00925ABE" w:rsidRPr="004D4694" w:rsidRDefault="00925ABE" w:rsidP="004D4694">
      <w:pPr>
        <w:ind w:left="851"/>
        <w:rPr>
          <w:sz w:val="24"/>
          <w:szCs w:val="24"/>
          <w:u w:val="single"/>
        </w:rPr>
      </w:pPr>
    </w:p>
    <w:p w14:paraId="00B30DA7" w14:textId="77777777" w:rsidR="00925ABE" w:rsidRPr="004D4694" w:rsidRDefault="00925ABE" w:rsidP="004D4694">
      <w:pPr>
        <w:ind w:left="851"/>
        <w:rPr>
          <w:i/>
          <w:iCs/>
          <w:sz w:val="24"/>
          <w:szCs w:val="24"/>
          <w:u w:val="single"/>
        </w:rPr>
      </w:pPr>
      <w:r w:rsidRPr="004D4694">
        <w:rPr>
          <w:i/>
          <w:iCs/>
          <w:sz w:val="24"/>
          <w:szCs w:val="24"/>
          <w:u w:val="single"/>
        </w:rPr>
        <w:t xml:space="preserve">Kombinationsbehandling med </w:t>
      </w:r>
      <w:proofErr w:type="spellStart"/>
      <w:r w:rsidRPr="004D4694">
        <w:rPr>
          <w:i/>
          <w:iCs/>
          <w:sz w:val="24"/>
          <w:szCs w:val="24"/>
          <w:u w:val="single"/>
        </w:rPr>
        <w:t>lapatinib</w:t>
      </w:r>
      <w:proofErr w:type="spellEnd"/>
      <w:r w:rsidRPr="004D4694">
        <w:rPr>
          <w:i/>
          <w:iCs/>
          <w:sz w:val="24"/>
          <w:szCs w:val="24"/>
          <w:u w:val="single"/>
        </w:rPr>
        <w:t xml:space="preserve"> og </w:t>
      </w:r>
      <w:proofErr w:type="spellStart"/>
      <w:r w:rsidRPr="004D4694">
        <w:rPr>
          <w:i/>
          <w:iCs/>
          <w:sz w:val="24"/>
          <w:szCs w:val="24"/>
          <w:u w:val="single"/>
        </w:rPr>
        <w:t>capecitabin</w:t>
      </w:r>
      <w:proofErr w:type="spellEnd"/>
    </w:p>
    <w:p w14:paraId="701F6AE6" w14:textId="77777777" w:rsidR="00925ABE" w:rsidRPr="004D4694" w:rsidRDefault="00925ABE" w:rsidP="004D4694">
      <w:pPr>
        <w:ind w:left="851"/>
        <w:rPr>
          <w:sz w:val="24"/>
          <w:szCs w:val="24"/>
        </w:rPr>
      </w:pPr>
    </w:p>
    <w:p w14:paraId="0054F258" w14:textId="7E4F9DDB" w:rsidR="00925ABE" w:rsidRPr="000C2646" w:rsidRDefault="00925ABE" w:rsidP="009534FE">
      <w:pPr>
        <w:suppressAutoHyphens/>
        <w:ind w:left="851"/>
        <w:rPr>
          <w:bCs/>
          <w:sz w:val="24"/>
          <w:szCs w:val="24"/>
          <w:u w:val="single"/>
        </w:rPr>
      </w:pPr>
      <w:r w:rsidRPr="000C2646">
        <w:rPr>
          <w:sz w:val="24"/>
          <w:szCs w:val="24"/>
        </w:rPr>
        <w:t xml:space="preserve">Virkningen og sikkerheden ved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til brystcancer</w:t>
      </w:r>
      <w:r w:rsidR="002417A3">
        <w:rPr>
          <w:sz w:val="24"/>
          <w:szCs w:val="24"/>
        </w:rPr>
        <w:softHyphen/>
      </w:r>
      <w:r w:rsidRPr="000C2646">
        <w:rPr>
          <w:sz w:val="24"/>
          <w:szCs w:val="24"/>
        </w:rPr>
        <w:t xml:space="preserve">patienter med god performance status blev evalueret i et randomiseret fase III-studie. Patienter egnede til inklusion havde lokalt avanceret eller metastatisk brystcancer med </w:t>
      </w:r>
      <w:proofErr w:type="spellStart"/>
      <w:r w:rsidRPr="000C2646">
        <w:rPr>
          <w:sz w:val="24"/>
          <w:szCs w:val="24"/>
        </w:rPr>
        <w:t>overekspression</w:t>
      </w:r>
      <w:proofErr w:type="spellEnd"/>
      <w:r w:rsidRPr="000C2646">
        <w:rPr>
          <w:sz w:val="24"/>
          <w:szCs w:val="24"/>
        </w:rPr>
        <w:t xml:space="preserve"> af HER2, progredierende efter tidligere behandling, der inkluderede </w:t>
      </w:r>
      <w:proofErr w:type="spellStart"/>
      <w:r w:rsidRPr="000C2646">
        <w:rPr>
          <w:sz w:val="24"/>
          <w:szCs w:val="24"/>
        </w:rPr>
        <w:t>taxaner</w:t>
      </w:r>
      <w:proofErr w:type="spellEnd"/>
      <w:r w:rsidRPr="000C2646">
        <w:rPr>
          <w:sz w:val="24"/>
          <w:szCs w:val="24"/>
        </w:rPr>
        <w:t xml:space="preserve">, </w:t>
      </w:r>
      <w:proofErr w:type="spellStart"/>
      <w:r w:rsidRPr="000C2646">
        <w:rPr>
          <w:sz w:val="24"/>
          <w:szCs w:val="24"/>
        </w:rPr>
        <w:t>antracykliner</w:t>
      </w:r>
      <w:proofErr w:type="spellEnd"/>
      <w:r w:rsidRPr="000C2646">
        <w:rPr>
          <w:sz w:val="24"/>
          <w:szCs w:val="24"/>
        </w:rPr>
        <w:t xml:space="preserve"> og </w:t>
      </w:r>
      <w:proofErr w:type="spellStart"/>
      <w:r w:rsidRPr="000C2646">
        <w:rPr>
          <w:sz w:val="24"/>
          <w:szCs w:val="24"/>
        </w:rPr>
        <w:t>trastuzumab</w:t>
      </w:r>
      <w:proofErr w:type="spellEnd"/>
      <w:r w:rsidRPr="000C2646">
        <w:rPr>
          <w:sz w:val="24"/>
          <w:szCs w:val="24"/>
        </w:rPr>
        <w:t xml:space="preserve">. LVEF blev evalueret hos alle patienter (vha. ekkokardiogram [ECHO] eller multiple </w:t>
      </w:r>
      <w:proofErr w:type="spellStart"/>
      <w:r w:rsidRPr="000C2646">
        <w:rPr>
          <w:i/>
          <w:iCs/>
          <w:sz w:val="24"/>
          <w:szCs w:val="24"/>
        </w:rPr>
        <w:t>gated</w:t>
      </w:r>
      <w:proofErr w:type="spellEnd"/>
      <w:r w:rsidRPr="000C2646">
        <w:rPr>
          <w:i/>
          <w:iCs/>
          <w:sz w:val="24"/>
          <w:szCs w:val="24"/>
        </w:rPr>
        <w:t xml:space="preserve"> </w:t>
      </w:r>
      <w:proofErr w:type="spellStart"/>
      <w:r w:rsidRPr="000C2646">
        <w:rPr>
          <w:i/>
          <w:iCs/>
          <w:sz w:val="24"/>
          <w:szCs w:val="24"/>
        </w:rPr>
        <w:t>acquisition</w:t>
      </w:r>
      <w:proofErr w:type="spellEnd"/>
      <w:r w:rsidRPr="000C2646">
        <w:rPr>
          <w:i/>
          <w:iCs/>
          <w:sz w:val="24"/>
          <w:szCs w:val="24"/>
        </w:rPr>
        <w:t xml:space="preserve"> </w:t>
      </w:r>
      <w:r w:rsidRPr="000C2646">
        <w:rPr>
          <w:sz w:val="24"/>
          <w:szCs w:val="24"/>
        </w:rPr>
        <w:t xml:space="preserve">[MUGA]) før initiering af behandling med </w:t>
      </w:r>
      <w:proofErr w:type="spellStart"/>
      <w:r w:rsidRPr="000C2646">
        <w:rPr>
          <w:sz w:val="24"/>
          <w:szCs w:val="24"/>
        </w:rPr>
        <w:t>lapatinib</w:t>
      </w:r>
      <w:proofErr w:type="spellEnd"/>
      <w:r w:rsidRPr="000C2646">
        <w:rPr>
          <w:sz w:val="24"/>
          <w:szCs w:val="24"/>
        </w:rPr>
        <w:t xml:space="preserve"> for at sikre, at </w:t>
      </w:r>
      <w:r w:rsidRPr="000C2646">
        <w:rPr>
          <w:i/>
          <w:iCs/>
          <w:sz w:val="24"/>
          <w:szCs w:val="24"/>
        </w:rPr>
        <w:t>baseline</w:t>
      </w:r>
      <w:r w:rsidRPr="000C2646">
        <w:rPr>
          <w:sz w:val="24"/>
          <w:szCs w:val="24"/>
        </w:rPr>
        <w:t xml:space="preserve">-LVEF lå inden for normalområdet. I det kliniske studie blev LVEF monitoreret med ca. 8 ugers intervaller under behandling med </w:t>
      </w:r>
      <w:proofErr w:type="spellStart"/>
      <w:r w:rsidRPr="000C2646">
        <w:rPr>
          <w:sz w:val="24"/>
          <w:szCs w:val="24"/>
        </w:rPr>
        <w:t>lapatinib</w:t>
      </w:r>
      <w:proofErr w:type="spellEnd"/>
      <w:r w:rsidRPr="000C2646">
        <w:rPr>
          <w:sz w:val="24"/>
          <w:szCs w:val="24"/>
        </w:rPr>
        <w:t xml:space="preserve"> for at sikre, den ikke faldt til under normalområdets nedre grænse. De fleste fald i LVEF (mere end 60 % af tilfældene) sås i løbet af de første 9 ugers behandling, imidlertid fandtes der begrænsede data på langtidsanvendelse.</w:t>
      </w:r>
    </w:p>
    <w:p w14:paraId="55E1D17D" w14:textId="77777777" w:rsidR="00925ABE" w:rsidRPr="000C2646" w:rsidRDefault="00925ABE" w:rsidP="009534FE">
      <w:pPr>
        <w:suppressAutoHyphens/>
        <w:ind w:left="851"/>
        <w:rPr>
          <w:bCs/>
          <w:sz w:val="24"/>
          <w:szCs w:val="24"/>
          <w:u w:val="single"/>
        </w:rPr>
      </w:pPr>
    </w:p>
    <w:p w14:paraId="532E991A" w14:textId="77777777" w:rsidR="00925ABE" w:rsidRPr="000C2646" w:rsidRDefault="00925ABE" w:rsidP="009534FE">
      <w:pPr>
        <w:suppressAutoHyphens/>
        <w:ind w:left="851"/>
        <w:rPr>
          <w:sz w:val="24"/>
          <w:szCs w:val="24"/>
        </w:rPr>
      </w:pPr>
      <w:r w:rsidRPr="000C2646">
        <w:rPr>
          <w:sz w:val="24"/>
          <w:szCs w:val="24"/>
        </w:rPr>
        <w:t xml:space="preserve">Patienterne blev randomiseret til enten </w:t>
      </w:r>
      <w:proofErr w:type="spellStart"/>
      <w:r w:rsidRPr="000C2646">
        <w:rPr>
          <w:sz w:val="24"/>
          <w:szCs w:val="24"/>
        </w:rPr>
        <w:t>lapatinib</w:t>
      </w:r>
      <w:proofErr w:type="spellEnd"/>
      <w:r w:rsidRPr="000C2646">
        <w:rPr>
          <w:sz w:val="24"/>
          <w:szCs w:val="24"/>
        </w:rPr>
        <w:t xml:space="preserve"> 1250 mg én gang dagligt (kontinuerligt) og </w:t>
      </w:r>
      <w:proofErr w:type="spellStart"/>
      <w:r w:rsidRPr="000C2646">
        <w:rPr>
          <w:sz w:val="24"/>
          <w:szCs w:val="24"/>
        </w:rPr>
        <w:t>capecitabin</w:t>
      </w:r>
      <w:proofErr w:type="spellEnd"/>
      <w:r w:rsidRPr="000C2646">
        <w:rPr>
          <w:sz w:val="24"/>
          <w:szCs w:val="24"/>
        </w:rPr>
        <w:t xml:space="preserve"> (2000 mg/m</w:t>
      </w:r>
      <w:r w:rsidRPr="000C2646">
        <w:rPr>
          <w:sz w:val="24"/>
          <w:szCs w:val="24"/>
          <w:vertAlign w:val="superscript"/>
        </w:rPr>
        <w:t>2</w:t>
      </w:r>
      <w:r w:rsidRPr="000C2646">
        <w:rPr>
          <w:sz w:val="24"/>
          <w:szCs w:val="24"/>
        </w:rPr>
        <w:t xml:space="preserve">/døgn på dag 1-14 hver 21. dag) eller til </w:t>
      </w:r>
      <w:proofErr w:type="spellStart"/>
      <w:r w:rsidRPr="000C2646">
        <w:rPr>
          <w:sz w:val="24"/>
          <w:szCs w:val="24"/>
        </w:rPr>
        <w:t>capecitabin</w:t>
      </w:r>
      <w:proofErr w:type="spellEnd"/>
      <w:r w:rsidRPr="000C2646">
        <w:rPr>
          <w:sz w:val="24"/>
          <w:szCs w:val="24"/>
        </w:rPr>
        <w:t xml:space="preserve"> alene (2500 mg/m</w:t>
      </w:r>
      <w:r w:rsidRPr="000C2646">
        <w:rPr>
          <w:sz w:val="24"/>
          <w:szCs w:val="24"/>
          <w:vertAlign w:val="superscript"/>
        </w:rPr>
        <w:t>2</w:t>
      </w:r>
      <w:r w:rsidRPr="000C2646">
        <w:rPr>
          <w:sz w:val="24"/>
          <w:szCs w:val="24"/>
        </w:rPr>
        <w:t xml:space="preserve">/døgn på dag 1-14 hver 21. dag). Det primære endepunkt var tid til progression (TTP). Evalueringerne blev foretaget af studiets </w:t>
      </w:r>
      <w:proofErr w:type="spellStart"/>
      <w:r w:rsidRPr="000C2646">
        <w:rPr>
          <w:sz w:val="24"/>
          <w:szCs w:val="24"/>
        </w:rPr>
        <w:t>investigatorer</w:t>
      </w:r>
      <w:proofErr w:type="spellEnd"/>
      <w:r w:rsidRPr="000C2646">
        <w:rPr>
          <w:sz w:val="24"/>
          <w:szCs w:val="24"/>
        </w:rPr>
        <w:t xml:space="preserve"> og af et uafhængigt panel, der var blindet over for behandlingen. Studiet blev standset på grund af resultaterne af en planlagt </w:t>
      </w:r>
      <w:proofErr w:type="spellStart"/>
      <w:r w:rsidRPr="000C2646">
        <w:rPr>
          <w:sz w:val="24"/>
          <w:szCs w:val="24"/>
        </w:rPr>
        <w:t>interimanalyse</w:t>
      </w:r>
      <w:proofErr w:type="spellEnd"/>
      <w:r w:rsidRPr="000C2646">
        <w:rPr>
          <w:sz w:val="24"/>
          <w:szCs w:val="24"/>
        </w:rPr>
        <w:t xml:space="preserve">, der viste en forbedring i TTP hos de patienter, der fik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capecitabin</w:t>
      </w:r>
      <w:proofErr w:type="spellEnd"/>
      <w:r w:rsidRPr="000C2646">
        <w:rPr>
          <w:sz w:val="24"/>
          <w:szCs w:val="24"/>
        </w:rPr>
        <w:t xml:space="preserve">. I tiden fra </w:t>
      </w:r>
      <w:proofErr w:type="spellStart"/>
      <w:r w:rsidRPr="000C2646">
        <w:rPr>
          <w:sz w:val="24"/>
          <w:szCs w:val="24"/>
        </w:rPr>
        <w:t>interimanalysen</w:t>
      </w:r>
      <w:proofErr w:type="spellEnd"/>
      <w:r w:rsidRPr="000C2646">
        <w:rPr>
          <w:sz w:val="24"/>
          <w:szCs w:val="24"/>
        </w:rPr>
        <w:t xml:space="preserve"> og til inklusionen standsede blev der inkluderet yderligere 75 patienter i studiet. Tabel 1 viser </w:t>
      </w:r>
      <w:proofErr w:type="spellStart"/>
      <w:r w:rsidRPr="000C2646">
        <w:rPr>
          <w:sz w:val="24"/>
          <w:szCs w:val="24"/>
        </w:rPr>
        <w:t>investigators</w:t>
      </w:r>
      <w:proofErr w:type="spellEnd"/>
      <w:r w:rsidRPr="000C2646">
        <w:rPr>
          <w:sz w:val="24"/>
          <w:szCs w:val="24"/>
        </w:rPr>
        <w:t xml:space="preserve"> analyse af data ved inklusionsafslutning.</w:t>
      </w:r>
    </w:p>
    <w:p w14:paraId="3DB469DD" w14:textId="77777777" w:rsidR="00925ABE" w:rsidRPr="000C2646" w:rsidRDefault="00925ABE" w:rsidP="009534FE">
      <w:pPr>
        <w:suppressAutoHyphens/>
        <w:ind w:left="851"/>
        <w:rPr>
          <w:sz w:val="24"/>
          <w:szCs w:val="24"/>
        </w:rPr>
      </w:pPr>
    </w:p>
    <w:p w14:paraId="4D4E20F2" w14:textId="6D8417E5" w:rsidR="00925ABE" w:rsidRPr="004D4694" w:rsidRDefault="00925ABE" w:rsidP="004D4694">
      <w:pPr>
        <w:rPr>
          <w:b/>
          <w:sz w:val="24"/>
          <w:szCs w:val="24"/>
        </w:rPr>
      </w:pPr>
      <w:r w:rsidRPr="004D4694">
        <w:rPr>
          <w:b/>
          <w:sz w:val="24"/>
          <w:szCs w:val="24"/>
        </w:rPr>
        <w:t>Tabel 1</w:t>
      </w:r>
      <w:r w:rsidR="004D4694">
        <w:rPr>
          <w:b/>
          <w:sz w:val="24"/>
          <w:szCs w:val="24"/>
        </w:rPr>
        <w:t xml:space="preserve">. </w:t>
      </w:r>
      <w:r w:rsidRPr="004D4694">
        <w:rPr>
          <w:b/>
          <w:sz w:val="24"/>
          <w:szCs w:val="24"/>
        </w:rPr>
        <w:t>Tid til progression (TTP) fra studie EGF100151 (</w:t>
      </w:r>
      <w:proofErr w:type="spellStart"/>
      <w:r w:rsidRPr="004D4694">
        <w:rPr>
          <w:b/>
          <w:sz w:val="24"/>
          <w:szCs w:val="24"/>
        </w:rPr>
        <w:t>lapatinib</w:t>
      </w:r>
      <w:proofErr w:type="spellEnd"/>
      <w:r w:rsidRPr="004D4694">
        <w:rPr>
          <w:b/>
          <w:sz w:val="24"/>
          <w:szCs w:val="24"/>
        </w:rPr>
        <w:t>/</w:t>
      </w:r>
      <w:proofErr w:type="spellStart"/>
      <w:r w:rsidRPr="004D4694">
        <w:rPr>
          <w:b/>
          <w:sz w:val="24"/>
          <w:szCs w:val="24"/>
        </w:rPr>
        <w:t>capecitabin</w:t>
      </w:r>
      <w:proofErr w:type="spellEnd"/>
      <w:r w:rsidRPr="004D4694">
        <w:rPr>
          <w:b/>
          <w:sz w:val="24"/>
          <w:szCs w:val="24"/>
        </w:rPr>
        <w:t>)</w:t>
      </w:r>
    </w:p>
    <w:p w14:paraId="4952BFB3" w14:textId="77777777" w:rsidR="00925ABE" w:rsidRPr="004D4694" w:rsidRDefault="00925ABE" w:rsidP="004D4694">
      <w:pPr>
        <w:rPr>
          <w:b/>
          <w:sz w:val="24"/>
          <w:szCs w:val="24"/>
        </w:rPr>
      </w:pPr>
    </w:p>
    <w:tbl>
      <w:tblPr>
        <w:tblStyle w:val="Tabel-Gitter"/>
        <w:tblW w:w="5000" w:type="pct"/>
        <w:tblInd w:w="0" w:type="dxa"/>
        <w:tblLook w:val="04A0" w:firstRow="1" w:lastRow="0" w:firstColumn="1" w:lastColumn="0" w:noHBand="0" w:noVBand="1"/>
      </w:tblPr>
      <w:tblGrid>
        <w:gridCol w:w="3208"/>
        <w:gridCol w:w="3208"/>
        <w:gridCol w:w="3212"/>
      </w:tblGrid>
      <w:tr w:rsidR="00925ABE" w:rsidRPr="000C2646" w14:paraId="30DCDDA5" w14:textId="77777777" w:rsidTr="009534FE">
        <w:tc>
          <w:tcPr>
            <w:tcW w:w="1666" w:type="pct"/>
            <w:vMerge w:val="restart"/>
            <w:tcBorders>
              <w:top w:val="single" w:sz="4" w:space="0" w:color="auto"/>
              <w:left w:val="single" w:sz="4" w:space="0" w:color="auto"/>
              <w:bottom w:val="single" w:sz="4" w:space="0" w:color="auto"/>
              <w:right w:val="single" w:sz="4" w:space="0" w:color="auto"/>
            </w:tcBorders>
          </w:tcPr>
          <w:p w14:paraId="0691236D" w14:textId="77777777" w:rsidR="00925ABE" w:rsidRPr="000C2646" w:rsidRDefault="00925ABE">
            <w:pPr>
              <w:keepNext/>
              <w:suppressAutoHyphens/>
              <w:rPr>
                <w:sz w:val="24"/>
                <w:szCs w:val="24"/>
                <w:lang w:val="da-DK"/>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0908C792" w14:textId="77777777" w:rsidR="00925ABE" w:rsidRPr="000C2646" w:rsidRDefault="00925ABE">
            <w:pPr>
              <w:keepNext/>
              <w:suppressAutoHyphens/>
              <w:jc w:val="center"/>
              <w:rPr>
                <w:b/>
                <w:bCs/>
                <w:sz w:val="24"/>
                <w:szCs w:val="24"/>
              </w:rPr>
            </w:pPr>
            <w:r w:rsidRPr="000C2646">
              <w:rPr>
                <w:b/>
                <w:bCs/>
                <w:sz w:val="24"/>
                <w:szCs w:val="24"/>
              </w:rPr>
              <w:t xml:space="preserve">Investigators </w:t>
            </w:r>
            <w:proofErr w:type="spellStart"/>
            <w:r w:rsidRPr="000C2646">
              <w:rPr>
                <w:b/>
                <w:bCs/>
                <w:sz w:val="24"/>
                <w:szCs w:val="24"/>
              </w:rPr>
              <w:t>vurdering</w:t>
            </w:r>
            <w:proofErr w:type="spellEnd"/>
          </w:p>
        </w:tc>
      </w:tr>
      <w:tr w:rsidR="00925ABE" w:rsidRPr="000C2646" w14:paraId="4F5FDD3D" w14:textId="77777777" w:rsidTr="009534FE">
        <w:tc>
          <w:tcPr>
            <w:tcW w:w="1666" w:type="pct"/>
            <w:vMerge/>
            <w:tcBorders>
              <w:top w:val="single" w:sz="4" w:space="0" w:color="auto"/>
              <w:left w:val="single" w:sz="4" w:space="0" w:color="auto"/>
              <w:bottom w:val="single" w:sz="4" w:space="0" w:color="auto"/>
              <w:right w:val="single" w:sz="4" w:space="0" w:color="auto"/>
            </w:tcBorders>
            <w:vAlign w:val="center"/>
            <w:hideMark/>
          </w:tcPr>
          <w:p w14:paraId="242FBFDC" w14:textId="77777777" w:rsidR="00925ABE" w:rsidRPr="000C2646" w:rsidRDefault="00925ABE">
            <w:pPr>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6E0283F" w14:textId="77777777" w:rsidR="00925ABE" w:rsidRPr="000C2646" w:rsidRDefault="00925ABE">
            <w:pPr>
              <w:keepNext/>
              <w:suppressAutoHyphens/>
              <w:jc w:val="center"/>
              <w:rPr>
                <w:b/>
                <w:bCs/>
                <w:sz w:val="24"/>
                <w:szCs w:val="24"/>
                <w:lang w:val="da-DK"/>
              </w:rPr>
            </w:pPr>
            <w:proofErr w:type="spellStart"/>
            <w:r w:rsidRPr="000C2646">
              <w:rPr>
                <w:b/>
                <w:bCs/>
                <w:sz w:val="24"/>
                <w:szCs w:val="24"/>
                <w:lang w:val="da-DK"/>
              </w:rPr>
              <w:t>Lapatinib</w:t>
            </w:r>
            <w:proofErr w:type="spellEnd"/>
            <w:r w:rsidRPr="000C2646">
              <w:rPr>
                <w:b/>
                <w:bCs/>
                <w:sz w:val="24"/>
                <w:szCs w:val="24"/>
                <w:lang w:val="da-DK"/>
              </w:rPr>
              <w:t xml:space="preserve"> (1250 mg/dag) + </w:t>
            </w:r>
            <w:proofErr w:type="spellStart"/>
            <w:r w:rsidRPr="000C2646">
              <w:rPr>
                <w:b/>
                <w:bCs/>
                <w:sz w:val="24"/>
                <w:szCs w:val="24"/>
                <w:lang w:val="da-DK"/>
              </w:rPr>
              <w:t>capecitabin</w:t>
            </w:r>
            <w:proofErr w:type="spellEnd"/>
            <w:r w:rsidRPr="000C2646">
              <w:rPr>
                <w:b/>
                <w:bCs/>
                <w:sz w:val="24"/>
                <w:szCs w:val="24"/>
                <w:lang w:val="da-DK"/>
              </w:rPr>
              <w:t xml:space="preserve"> (2000 mg/m</w:t>
            </w:r>
            <w:r w:rsidRPr="000C2646">
              <w:rPr>
                <w:b/>
                <w:bCs/>
                <w:sz w:val="24"/>
                <w:szCs w:val="24"/>
                <w:vertAlign w:val="superscript"/>
                <w:lang w:val="da-DK"/>
              </w:rPr>
              <w:t>2</w:t>
            </w:r>
            <w:r w:rsidRPr="000C2646">
              <w:rPr>
                <w:b/>
                <w:bCs/>
                <w:sz w:val="24"/>
                <w:szCs w:val="24"/>
                <w:lang w:val="da-DK"/>
              </w:rPr>
              <w:t>/dag, dag 1-14 hver 21. dag)</w:t>
            </w:r>
          </w:p>
        </w:tc>
        <w:tc>
          <w:tcPr>
            <w:tcW w:w="1667" w:type="pct"/>
            <w:tcBorders>
              <w:top w:val="single" w:sz="4" w:space="0" w:color="auto"/>
              <w:left w:val="single" w:sz="4" w:space="0" w:color="auto"/>
              <w:bottom w:val="single" w:sz="4" w:space="0" w:color="auto"/>
              <w:right w:val="single" w:sz="4" w:space="0" w:color="auto"/>
            </w:tcBorders>
            <w:hideMark/>
          </w:tcPr>
          <w:p w14:paraId="7074E41B" w14:textId="77777777" w:rsidR="00925ABE" w:rsidRPr="000C2646" w:rsidRDefault="00925ABE">
            <w:pPr>
              <w:keepNext/>
              <w:suppressAutoHyphens/>
              <w:jc w:val="center"/>
              <w:rPr>
                <w:b/>
                <w:bCs/>
                <w:sz w:val="24"/>
                <w:szCs w:val="24"/>
                <w:lang w:val="da-DK"/>
              </w:rPr>
            </w:pPr>
            <w:proofErr w:type="spellStart"/>
            <w:r w:rsidRPr="000C2646">
              <w:rPr>
                <w:b/>
                <w:bCs/>
                <w:sz w:val="24"/>
                <w:szCs w:val="24"/>
                <w:lang w:val="da-DK"/>
              </w:rPr>
              <w:t>Lapatinib</w:t>
            </w:r>
            <w:proofErr w:type="spellEnd"/>
            <w:r w:rsidRPr="000C2646">
              <w:rPr>
                <w:b/>
                <w:bCs/>
                <w:sz w:val="24"/>
                <w:szCs w:val="24"/>
                <w:lang w:val="da-DK"/>
              </w:rPr>
              <w:t xml:space="preserve"> (2500 mg/m</w:t>
            </w:r>
            <w:r w:rsidRPr="000C2646">
              <w:rPr>
                <w:b/>
                <w:bCs/>
                <w:sz w:val="24"/>
                <w:szCs w:val="24"/>
                <w:vertAlign w:val="superscript"/>
                <w:lang w:val="da-DK"/>
              </w:rPr>
              <w:t>2</w:t>
            </w:r>
            <w:r w:rsidRPr="000C2646">
              <w:rPr>
                <w:b/>
                <w:bCs/>
                <w:sz w:val="24"/>
                <w:szCs w:val="24"/>
                <w:lang w:val="da-DK"/>
              </w:rPr>
              <w:t>/dag, dag 1-14 hver 21. dag)</w:t>
            </w:r>
          </w:p>
        </w:tc>
      </w:tr>
      <w:tr w:rsidR="00925ABE" w:rsidRPr="000C2646" w14:paraId="5BF4E5E6" w14:textId="77777777" w:rsidTr="009534FE">
        <w:tc>
          <w:tcPr>
            <w:tcW w:w="1666" w:type="pct"/>
            <w:vMerge/>
            <w:tcBorders>
              <w:top w:val="single" w:sz="4" w:space="0" w:color="auto"/>
              <w:left w:val="single" w:sz="4" w:space="0" w:color="auto"/>
              <w:bottom w:val="single" w:sz="4" w:space="0" w:color="auto"/>
              <w:right w:val="single" w:sz="4" w:space="0" w:color="auto"/>
            </w:tcBorders>
            <w:vAlign w:val="center"/>
            <w:hideMark/>
          </w:tcPr>
          <w:p w14:paraId="2BB749B3" w14:textId="77777777" w:rsidR="00925ABE" w:rsidRPr="000C2646" w:rsidRDefault="00925ABE">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31931804" w14:textId="77777777" w:rsidR="00925ABE" w:rsidRPr="000C2646" w:rsidRDefault="00925ABE">
            <w:pPr>
              <w:keepNext/>
              <w:suppressAutoHyphens/>
              <w:jc w:val="center"/>
              <w:rPr>
                <w:b/>
                <w:bCs/>
                <w:sz w:val="24"/>
                <w:szCs w:val="24"/>
              </w:rPr>
            </w:pPr>
            <w:r w:rsidRPr="000C2646">
              <w:rPr>
                <w:b/>
                <w:bCs/>
                <w:sz w:val="24"/>
                <w:szCs w:val="24"/>
              </w:rPr>
              <w:t>(n = 198)</w:t>
            </w:r>
          </w:p>
        </w:tc>
        <w:tc>
          <w:tcPr>
            <w:tcW w:w="1667" w:type="pct"/>
            <w:tcBorders>
              <w:top w:val="single" w:sz="4" w:space="0" w:color="auto"/>
              <w:left w:val="single" w:sz="4" w:space="0" w:color="auto"/>
              <w:bottom w:val="single" w:sz="4" w:space="0" w:color="auto"/>
              <w:right w:val="single" w:sz="4" w:space="0" w:color="auto"/>
            </w:tcBorders>
            <w:hideMark/>
          </w:tcPr>
          <w:p w14:paraId="730D2FEF" w14:textId="77777777" w:rsidR="00925ABE" w:rsidRPr="000C2646" w:rsidRDefault="00925ABE">
            <w:pPr>
              <w:keepNext/>
              <w:suppressAutoHyphens/>
              <w:jc w:val="center"/>
              <w:rPr>
                <w:b/>
                <w:bCs/>
                <w:sz w:val="24"/>
                <w:szCs w:val="24"/>
              </w:rPr>
            </w:pPr>
            <w:r w:rsidRPr="000C2646">
              <w:rPr>
                <w:b/>
                <w:bCs/>
                <w:sz w:val="24"/>
                <w:szCs w:val="24"/>
              </w:rPr>
              <w:t>(n = 201)</w:t>
            </w:r>
          </w:p>
        </w:tc>
      </w:tr>
      <w:tr w:rsidR="00925ABE" w:rsidRPr="000C2646" w14:paraId="0D1651A4"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5D248EFB" w14:textId="77777777" w:rsidR="00925ABE" w:rsidRPr="000C2646" w:rsidRDefault="00925ABE">
            <w:pPr>
              <w:suppressAutoHyphens/>
              <w:rPr>
                <w:sz w:val="24"/>
                <w:szCs w:val="24"/>
              </w:rPr>
            </w:pPr>
            <w:proofErr w:type="spellStart"/>
            <w:r w:rsidRPr="000C2646">
              <w:rPr>
                <w:sz w:val="24"/>
                <w:szCs w:val="24"/>
              </w:rPr>
              <w:t>Antal</w:t>
            </w:r>
            <w:proofErr w:type="spellEnd"/>
            <w:r w:rsidRPr="000C2646">
              <w:rPr>
                <w:sz w:val="24"/>
                <w:szCs w:val="24"/>
              </w:rPr>
              <w:t xml:space="preserve"> TTP-</w:t>
            </w:r>
            <w:proofErr w:type="spellStart"/>
            <w:r w:rsidRPr="000C2646">
              <w:rPr>
                <w:sz w:val="24"/>
                <w:szCs w:val="24"/>
              </w:rPr>
              <w:t>forekomster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5E8E18A3" w14:textId="77777777" w:rsidR="00925ABE" w:rsidRPr="000C2646" w:rsidRDefault="00925ABE">
            <w:pPr>
              <w:suppressAutoHyphens/>
              <w:jc w:val="center"/>
              <w:rPr>
                <w:sz w:val="24"/>
                <w:szCs w:val="24"/>
              </w:rPr>
            </w:pPr>
            <w:r w:rsidRPr="000C2646">
              <w:rPr>
                <w:sz w:val="24"/>
                <w:szCs w:val="24"/>
              </w:rPr>
              <w:t>121</w:t>
            </w:r>
          </w:p>
        </w:tc>
        <w:tc>
          <w:tcPr>
            <w:tcW w:w="1667" w:type="pct"/>
            <w:tcBorders>
              <w:top w:val="single" w:sz="4" w:space="0" w:color="auto"/>
              <w:left w:val="single" w:sz="4" w:space="0" w:color="auto"/>
              <w:bottom w:val="single" w:sz="4" w:space="0" w:color="auto"/>
              <w:right w:val="single" w:sz="4" w:space="0" w:color="auto"/>
            </w:tcBorders>
            <w:hideMark/>
          </w:tcPr>
          <w:p w14:paraId="0C53FCCF" w14:textId="77777777" w:rsidR="00925ABE" w:rsidRPr="000C2646" w:rsidRDefault="00925ABE">
            <w:pPr>
              <w:suppressAutoHyphens/>
              <w:jc w:val="center"/>
              <w:rPr>
                <w:sz w:val="24"/>
                <w:szCs w:val="24"/>
              </w:rPr>
            </w:pPr>
            <w:r w:rsidRPr="000C2646">
              <w:rPr>
                <w:sz w:val="24"/>
                <w:szCs w:val="24"/>
              </w:rPr>
              <w:t>126</w:t>
            </w:r>
          </w:p>
        </w:tc>
      </w:tr>
      <w:tr w:rsidR="00925ABE" w:rsidRPr="000C2646" w14:paraId="63F585C5"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2C46BC26" w14:textId="77777777" w:rsidR="00925ABE" w:rsidRPr="000C2646" w:rsidRDefault="00925ABE">
            <w:pPr>
              <w:suppressAutoHyphens/>
              <w:rPr>
                <w:sz w:val="24"/>
                <w:szCs w:val="24"/>
              </w:rPr>
            </w:pPr>
            <w:r w:rsidRPr="000C2646">
              <w:rPr>
                <w:sz w:val="24"/>
                <w:szCs w:val="24"/>
              </w:rPr>
              <w:t xml:space="preserve">Median TTP, </w:t>
            </w:r>
            <w:proofErr w:type="spellStart"/>
            <w:r w:rsidRPr="000C2646">
              <w:rPr>
                <w:sz w:val="24"/>
                <w:szCs w:val="24"/>
              </w:rPr>
              <w:t>uger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30ACC0CB" w14:textId="77777777" w:rsidR="00925ABE" w:rsidRPr="000C2646" w:rsidRDefault="00925ABE">
            <w:pPr>
              <w:suppressAutoHyphens/>
              <w:jc w:val="center"/>
              <w:rPr>
                <w:sz w:val="24"/>
                <w:szCs w:val="24"/>
              </w:rPr>
            </w:pPr>
            <w:r w:rsidRPr="000C2646">
              <w:rPr>
                <w:sz w:val="24"/>
                <w:szCs w:val="24"/>
              </w:rPr>
              <w:t>23,9</w:t>
            </w:r>
          </w:p>
        </w:tc>
        <w:tc>
          <w:tcPr>
            <w:tcW w:w="1667" w:type="pct"/>
            <w:tcBorders>
              <w:top w:val="single" w:sz="4" w:space="0" w:color="auto"/>
              <w:left w:val="single" w:sz="4" w:space="0" w:color="auto"/>
              <w:bottom w:val="single" w:sz="4" w:space="0" w:color="auto"/>
              <w:right w:val="single" w:sz="4" w:space="0" w:color="auto"/>
            </w:tcBorders>
            <w:hideMark/>
          </w:tcPr>
          <w:p w14:paraId="6E6CEE0E" w14:textId="77777777" w:rsidR="00925ABE" w:rsidRPr="000C2646" w:rsidRDefault="00925ABE">
            <w:pPr>
              <w:suppressAutoHyphens/>
              <w:jc w:val="center"/>
              <w:rPr>
                <w:sz w:val="24"/>
                <w:szCs w:val="24"/>
              </w:rPr>
            </w:pPr>
            <w:r w:rsidRPr="000C2646">
              <w:rPr>
                <w:sz w:val="24"/>
                <w:szCs w:val="24"/>
              </w:rPr>
              <w:t>18,3</w:t>
            </w:r>
          </w:p>
        </w:tc>
      </w:tr>
      <w:tr w:rsidR="00925ABE" w:rsidRPr="000C2646" w14:paraId="110D0E4C"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5D19CBFA" w14:textId="77777777" w:rsidR="00925ABE" w:rsidRPr="000C2646" w:rsidRDefault="00925ABE">
            <w:pPr>
              <w:suppressAutoHyphens/>
              <w:rPr>
                <w:i/>
                <w:iCs/>
                <w:sz w:val="24"/>
                <w:szCs w:val="24"/>
              </w:rPr>
            </w:pPr>
            <w:r w:rsidRPr="000C2646">
              <w:rPr>
                <w:i/>
                <w:iCs/>
                <w:sz w:val="24"/>
                <w:szCs w:val="24"/>
              </w:rPr>
              <w:t>Hazard ratio</w:t>
            </w:r>
          </w:p>
        </w:tc>
        <w:tc>
          <w:tcPr>
            <w:tcW w:w="3334" w:type="pct"/>
            <w:gridSpan w:val="2"/>
            <w:tcBorders>
              <w:top w:val="single" w:sz="4" w:space="0" w:color="auto"/>
              <w:left w:val="single" w:sz="4" w:space="0" w:color="auto"/>
              <w:bottom w:val="single" w:sz="4" w:space="0" w:color="auto"/>
              <w:right w:val="single" w:sz="4" w:space="0" w:color="auto"/>
            </w:tcBorders>
            <w:hideMark/>
          </w:tcPr>
          <w:p w14:paraId="41B327DD" w14:textId="77777777" w:rsidR="00925ABE" w:rsidRPr="000C2646" w:rsidRDefault="00925ABE">
            <w:pPr>
              <w:suppressAutoHyphens/>
              <w:jc w:val="center"/>
              <w:rPr>
                <w:sz w:val="24"/>
                <w:szCs w:val="24"/>
              </w:rPr>
            </w:pPr>
            <w:r w:rsidRPr="000C2646">
              <w:rPr>
                <w:sz w:val="24"/>
                <w:szCs w:val="24"/>
              </w:rPr>
              <w:t>0,72</w:t>
            </w:r>
          </w:p>
        </w:tc>
      </w:tr>
      <w:tr w:rsidR="00925ABE" w:rsidRPr="000C2646" w14:paraId="4D60D2DB"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3CEA3840" w14:textId="77777777" w:rsidR="00925ABE" w:rsidRPr="000C2646" w:rsidRDefault="00925ABE">
            <w:pPr>
              <w:suppressAutoHyphens/>
              <w:rPr>
                <w:sz w:val="24"/>
                <w:szCs w:val="24"/>
              </w:rPr>
            </w:pPr>
            <w:r w:rsidRPr="000C2646">
              <w:rPr>
                <w:sz w:val="24"/>
                <w:szCs w:val="24"/>
              </w:rPr>
              <w:t>(95 % CI)</w:t>
            </w:r>
          </w:p>
        </w:tc>
        <w:tc>
          <w:tcPr>
            <w:tcW w:w="3334" w:type="pct"/>
            <w:gridSpan w:val="2"/>
            <w:tcBorders>
              <w:top w:val="single" w:sz="4" w:space="0" w:color="auto"/>
              <w:left w:val="single" w:sz="4" w:space="0" w:color="auto"/>
              <w:bottom w:val="single" w:sz="4" w:space="0" w:color="auto"/>
              <w:right w:val="single" w:sz="4" w:space="0" w:color="auto"/>
            </w:tcBorders>
            <w:hideMark/>
          </w:tcPr>
          <w:p w14:paraId="007CC366" w14:textId="77777777" w:rsidR="00925ABE" w:rsidRPr="000C2646" w:rsidRDefault="00925ABE">
            <w:pPr>
              <w:suppressAutoHyphens/>
              <w:jc w:val="center"/>
              <w:rPr>
                <w:sz w:val="24"/>
                <w:szCs w:val="24"/>
              </w:rPr>
            </w:pPr>
            <w:r w:rsidRPr="000C2646">
              <w:rPr>
                <w:sz w:val="24"/>
                <w:szCs w:val="24"/>
              </w:rPr>
              <w:t>(0,56; 0,92)</w:t>
            </w:r>
          </w:p>
        </w:tc>
      </w:tr>
      <w:tr w:rsidR="00925ABE" w:rsidRPr="000C2646" w14:paraId="1B7497A6"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1685FB3F" w14:textId="77777777" w:rsidR="00925ABE" w:rsidRPr="000C2646" w:rsidRDefault="00925ABE">
            <w:pPr>
              <w:suppressAutoHyphens/>
              <w:rPr>
                <w:sz w:val="24"/>
                <w:szCs w:val="24"/>
              </w:rPr>
            </w:pPr>
            <w:r w:rsidRPr="000C2646">
              <w:rPr>
                <w:sz w:val="24"/>
                <w:szCs w:val="24"/>
              </w:rPr>
              <w:t>p-</w:t>
            </w:r>
            <w:proofErr w:type="spellStart"/>
            <w:r w:rsidRPr="000C2646">
              <w:rPr>
                <w:sz w:val="24"/>
                <w:szCs w:val="24"/>
              </w:rPr>
              <w:t>værdi</w:t>
            </w:r>
            <w:proofErr w:type="spellEnd"/>
          </w:p>
        </w:tc>
        <w:tc>
          <w:tcPr>
            <w:tcW w:w="3334" w:type="pct"/>
            <w:gridSpan w:val="2"/>
            <w:tcBorders>
              <w:top w:val="single" w:sz="4" w:space="0" w:color="auto"/>
              <w:left w:val="single" w:sz="4" w:space="0" w:color="auto"/>
              <w:bottom w:val="single" w:sz="4" w:space="0" w:color="auto"/>
              <w:right w:val="single" w:sz="4" w:space="0" w:color="auto"/>
            </w:tcBorders>
            <w:hideMark/>
          </w:tcPr>
          <w:p w14:paraId="2D045D1B" w14:textId="77777777" w:rsidR="00925ABE" w:rsidRPr="000C2646" w:rsidRDefault="00925ABE">
            <w:pPr>
              <w:suppressAutoHyphens/>
              <w:jc w:val="center"/>
              <w:rPr>
                <w:sz w:val="24"/>
                <w:szCs w:val="24"/>
              </w:rPr>
            </w:pPr>
            <w:r w:rsidRPr="000C2646">
              <w:rPr>
                <w:sz w:val="24"/>
                <w:szCs w:val="24"/>
              </w:rPr>
              <w:t>0,008</w:t>
            </w:r>
          </w:p>
        </w:tc>
      </w:tr>
    </w:tbl>
    <w:p w14:paraId="62EA6FAE" w14:textId="77777777" w:rsidR="00925ABE" w:rsidRPr="000C2646" w:rsidRDefault="00925ABE" w:rsidP="00925ABE">
      <w:pPr>
        <w:suppressAutoHyphens/>
        <w:rPr>
          <w:bCs/>
          <w:sz w:val="24"/>
          <w:szCs w:val="24"/>
          <w:u w:val="single"/>
        </w:rPr>
      </w:pPr>
    </w:p>
    <w:p w14:paraId="56CB3EC6" w14:textId="77777777" w:rsidR="00925ABE" w:rsidRPr="000C2646" w:rsidRDefault="00925ABE" w:rsidP="009534FE">
      <w:pPr>
        <w:suppressAutoHyphens/>
        <w:ind w:left="851"/>
        <w:rPr>
          <w:sz w:val="24"/>
          <w:szCs w:val="24"/>
        </w:rPr>
      </w:pPr>
      <w:r w:rsidRPr="000C2646">
        <w:rPr>
          <w:sz w:val="24"/>
          <w:szCs w:val="24"/>
        </w:rPr>
        <w:t xml:space="preserve">Den uafhængige vurdering af data viste også, at når </w:t>
      </w:r>
      <w:proofErr w:type="spellStart"/>
      <w:r w:rsidRPr="000C2646">
        <w:rPr>
          <w:sz w:val="24"/>
          <w:szCs w:val="24"/>
        </w:rPr>
        <w:t>lapatinib</w:t>
      </w:r>
      <w:proofErr w:type="spellEnd"/>
      <w:r w:rsidRPr="000C2646">
        <w:rPr>
          <w:sz w:val="24"/>
          <w:szCs w:val="24"/>
        </w:rPr>
        <w:t xml:space="preserve"> blev givet sammen med </w:t>
      </w:r>
      <w:proofErr w:type="spellStart"/>
      <w:r w:rsidRPr="000C2646">
        <w:rPr>
          <w:sz w:val="24"/>
          <w:szCs w:val="24"/>
        </w:rPr>
        <w:t>capecitabin</w:t>
      </w:r>
      <w:proofErr w:type="spellEnd"/>
      <w:r w:rsidRPr="000C2646">
        <w:rPr>
          <w:sz w:val="24"/>
          <w:szCs w:val="24"/>
        </w:rPr>
        <w:t>, blev tiden til progression øget signifikant (</w:t>
      </w:r>
      <w:proofErr w:type="spellStart"/>
      <w:r w:rsidRPr="000C2646">
        <w:rPr>
          <w:sz w:val="24"/>
          <w:szCs w:val="24"/>
        </w:rPr>
        <w:t>hazard</w:t>
      </w:r>
      <w:proofErr w:type="spellEnd"/>
      <w:r w:rsidRPr="000C2646">
        <w:rPr>
          <w:sz w:val="24"/>
          <w:szCs w:val="24"/>
        </w:rPr>
        <w:t xml:space="preserve"> ratio 0,57 [95 % CI 0,43; 0,77], p = 0,0001) sammenlignet med </w:t>
      </w:r>
      <w:proofErr w:type="spellStart"/>
      <w:r w:rsidRPr="000C2646">
        <w:rPr>
          <w:sz w:val="24"/>
          <w:szCs w:val="24"/>
        </w:rPr>
        <w:t>capecitabin</w:t>
      </w:r>
      <w:proofErr w:type="spellEnd"/>
      <w:r w:rsidRPr="000C2646">
        <w:rPr>
          <w:sz w:val="24"/>
          <w:szCs w:val="24"/>
        </w:rPr>
        <w:t xml:space="preserve"> alene.</w:t>
      </w:r>
    </w:p>
    <w:p w14:paraId="4E342698" w14:textId="77777777" w:rsidR="00925ABE" w:rsidRPr="000C2646" w:rsidRDefault="00925ABE" w:rsidP="009534FE">
      <w:pPr>
        <w:suppressAutoHyphens/>
        <w:ind w:left="851"/>
        <w:rPr>
          <w:sz w:val="24"/>
          <w:szCs w:val="24"/>
        </w:rPr>
      </w:pPr>
    </w:p>
    <w:p w14:paraId="41B967F1" w14:textId="77777777" w:rsidR="00925ABE" w:rsidRPr="000C2646" w:rsidRDefault="00925ABE" w:rsidP="009534FE">
      <w:pPr>
        <w:suppressAutoHyphens/>
        <w:ind w:left="851"/>
        <w:rPr>
          <w:bCs/>
          <w:sz w:val="24"/>
          <w:szCs w:val="24"/>
          <w:u w:val="single"/>
        </w:rPr>
      </w:pPr>
      <w:r w:rsidRPr="000C2646">
        <w:rPr>
          <w:sz w:val="24"/>
          <w:szCs w:val="24"/>
        </w:rPr>
        <w:lastRenderedPageBreak/>
        <w:t>Tabel 2 viser resultaterne af en opdateret analyse af de samlede overlevelsesdata frem til den 28. september 2007.</w:t>
      </w:r>
    </w:p>
    <w:p w14:paraId="00D55069" w14:textId="77777777" w:rsidR="00925ABE" w:rsidRPr="000C2646" w:rsidRDefault="00925ABE" w:rsidP="00925ABE">
      <w:pPr>
        <w:suppressAutoHyphens/>
        <w:rPr>
          <w:bCs/>
          <w:sz w:val="24"/>
          <w:szCs w:val="24"/>
          <w:u w:val="single"/>
        </w:rPr>
      </w:pPr>
    </w:p>
    <w:p w14:paraId="127A870B" w14:textId="09DF548D" w:rsidR="00925ABE" w:rsidRPr="000C2646" w:rsidRDefault="00925ABE" w:rsidP="00925ABE">
      <w:pPr>
        <w:keepNext/>
        <w:suppressAutoHyphens/>
        <w:ind w:left="1134" w:hanging="1134"/>
        <w:rPr>
          <w:b/>
          <w:sz w:val="24"/>
          <w:szCs w:val="24"/>
        </w:rPr>
      </w:pPr>
      <w:r w:rsidRPr="000C2646">
        <w:rPr>
          <w:b/>
          <w:sz w:val="24"/>
          <w:szCs w:val="24"/>
        </w:rPr>
        <w:t>Tabel 2</w:t>
      </w:r>
      <w:r w:rsidR="004D4694">
        <w:rPr>
          <w:b/>
          <w:sz w:val="24"/>
          <w:szCs w:val="24"/>
        </w:rPr>
        <w:t xml:space="preserve">. </w:t>
      </w:r>
      <w:r w:rsidRPr="000C2646">
        <w:rPr>
          <w:b/>
          <w:sz w:val="24"/>
          <w:szCs w:val="24"/>
        </w:rPr>
        <w:t>Samlet overlevelse fra studie EGF100151 (</w:t>
      </w:r>
      <w:proofErr w:type="spellStart"/>
      <w:r w:rsidRPr="000C2646">
        <w:rPr>
          <w:b/>
          <w:sz w:val="24"/>
          <w:szCs w:val="24"/>
        </w:rPr>
        <w:t>lapatinib</w:t>
      </w:r>
      <w:proofErr w:type="spellEnd"/>
      <w:r w:rsidRPr="000C2646">
        <w:rPr>
          <w:b/>
          <w:sz w:val="24"/>
          <w:szCs w:val="24"/>
        </w:rPr>
        <w:t>/</w:t>
      </w:r>
      <w:proofErr w:type="spellStart"/>
      <w:r w:rsidRPr="000C2646">
        <w:rPr>
          <w:b/>
          <w:sz w:val="24"/>
          <w:szCs w:val="24"/>
        </w:rPr>
        <w:t>capecitabin</w:t>
      </w:r>
      <w:proofErr w:type="spellEnd"/>
      <w:r w:rsidRPr="000C2646">
        <w:rPr>
          <w:b/>
          <w:sz w:val="24"/>
          <w:szCs w:val="24"/>
        </w:rPr>
        <w:t>)</w:t>
      </w:r>
    </w:p>
    <w:p w14:paraId="019B5BA3" w14:textId="77777777" w:rsidR="00925ABE" w:rsidRPr="000C2646" w:rsidRDefault="00925ABE" w:rsidP="00925ABE">
      <w:pPr>
        <w:keepNext/>
        <w:suppressAutoHyphens/>
        <w:rPr>
          <w:bCs/>
          <w:sz w:val="24"/>
          <w:szCs w:val="24"/>
          <w:u w:val="single"/>
        </w:rPr>
      </w:pPr>
    </w:p>
    <w:tbl>
      <w:tblPr>
        <w:tblStyle w:val="Tabel-Gitter"/>
        <w:tblW w:w="5000" w:type="pct"/>
        <w:tblInd w:w="0" w:type="dxa"/>
        <w:tblLook w:val="04A0" w:firstRow="1" w:lastRow="0" w:firstColumn="1" w:lastColumn="0" w:noHBand="0" w:noVBand="1"/>
      </w:tblPr>
      <w:tblGrid>
        <w:gridCol w:w="3208"/>
        <w:gridCol w:w="3208"/>
        <w:gridCol w:w="3212"/>
      </w:tblGrid>
      <w:tr w:rsidR="00925ABE" w:rsidRPr="000C2646" w14:paraId="47161237" w14:textId="77777777" w:rsidTr="009534FE">
        <w:tc>
          <w:tcPr>
            <w:tcW w:w="1666" w:type="pct"/>
            <w:vMerge w:val="restart"/>
            <w:tcBorders>
              <w:top w:val="single" w:sz="4" w:space="0" w:color="auto"/>
              <w:left w:val="single" w:sz="4" w:space="0" w:color="auto"/>
              <w:bottom w:val="single" w:sz="4" w:space="0" w:color="auto"/>
              <w:right w:val="single" w:sz="4" w:space="0" w:color="auto"/>
            </w:tcBorders>
          </w:tcPr>
          <w:p w14:paraId="40172264" w14:textId="77777777" w:rsidR="00925ABE" w:rsidRPr="000C2646" w:rsidRDefault="00925ABE">
            <w:pPr>
              <w:keepNext/>
              <w:suppressAutoHyphens/>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528F31EE" w14:textId="77777777" w:rsidR="00925ABE" w:rsidRPr="000C2646" w:rsidRDefault="00925ABE">
            <w:pPr>
              <w:keepNext/>
              <w:suppressAutoHyphens/>
              <w:jc w:val="center"/>
              <w:rPr>
                <w:b/>
                <w:bCs/>
                <w:sz w:val="24"/>
                <w:szCs w:val="24"/>
                <w:lang w:val="da-DK"/>
              </w:rPr>
            </w:pPr>
            <w:proofErr w:type="spellStart"/>
            <w:r w:rsidRPr="000C2646">
              <w:rPr>
                <w:b/>
                <w:bCs/>
                <w:sz w:val="24"/>
                <w:szCs w:val="24"/>
                <w:lang w:val="da-DK"/>
              </w:rPr>
              <w:t>Lapatinib</w:t>
            </w:r>
            <w:proofErr w:type="spellEnd"/>
            <w:r w:rsidRPr="000C2646">
              <w:rPr>
                <w:b/>
                <w:bCs/>
                <w:sz w:val="24"/>
                <w:szCs w:val="24"/>
                <w:lang w:val="da-DK"/>
              </w:rPr>
              <w:t xml:space="preserve"> (1250 mg/dag) + </w:t>
            </w:r>
            <w:proofErr w:type="spellStart"/>
            <w:r w:rsidRPr="000C2646">
              <w:rPr>
                <w:b/>
                <w:bCs/>
                <w:sz w:val="24"/>
                <w:szCs w:val="24"/>
                <w:lang w:val="da-DK"/>
              </w:rPr>
              <w:t>capecitabin</w:t>
            </w:r>
            <w:proofErr w:type="spellEnd"/>
            <w:r w:rsidRPr="000C2646">
              <w:rPr>
                <w:b/>
                <w:bCs/>
                <w:sz w:val="24"/>
                <w:szCs w:val="24"/>
                <w:lang w:val="da-DK"/>
              </w:rPr>
              <w:t xml:space="preserve"> (2000 mg/m</w:t>
            </w:r>
            <w:r w:rsidRPr="000C2646">
              <w:rPr>
                <w:b/>
                <w:bCs/>
                <w:sz w:val="24"/>
                <w:szCs w:val="24"/>
                <w:vertAlign w:val="superscript"/>
                <w:lang w:val="da-DK"/>
              </w:rPr>
              <w:t>2</w:t>
            </w:r>
            <w:r w:rsidRPr="000C2646">
              <w:rPr>
                <w:b/>
                <w:bCs/>
                <w:sz w:val="24"/>
                <w:szCs w:val="24"/>
                <w:lang w:val="da-DK"/>
              </w:rPr>
              <w:t>/dag, dag 1-14 hver 21. dag)</w:t>
            </w:r>
          </w:p>
        </w:tc>
        <w:tc>
          <w:tcPr>
            <w:tcW w:w="1667" w:type="pct"/>
            <w:tcBorders>
              <w:top w:val="single" w:sz="4" w:space="0" w:color="auto"/>
              <w:left w:val="single" w:sz="4" w:space="0" w:color="auto"/>
              <w:bottom w:val="single" w:sz="4" w:space="0" w:color="auto"/>
              <w:right w:val="single" w:sz="4" w:space="0" w:color="auto"/>
            </w:tcBorders>
            <w:hideMark/>
          </w:tcPr>
          <w:p w14:paraId="5A7B4BC1" w14:textId="77777777" w:rsidR="00925ABE" w:rsidRPr="000C2646" w:rsidRDefault="00925ABE">
            <w:pPr>
              <w:keepNext/>
              <w:suppressAutoHyphens/>
              <w:jc w:val="center"/>
              <w:rPr>
                <w:b/>
                <w:bCs/>
                <w:sz w:val="24"/>
                <w:szCs w:val="24"/>
                <w:lang w:val="da-DK"/>
              </w:rPr>
            </w:pPr>
            <w:proofErr w:type="spellStart"/>
            <w:r w:rsidRPr="000C2646">
              <w:rPr>
                <w:b/>
                <w:bCs/>
                <w:sz w:val="24"/>
                <w:szCs w:val="24"/>
                <w:lang w:val="da-DK"/>
              </w:rPr>
              <w:t>Capecitabin</w:t>
            </w:r>
            <w:proofErr w:type="spellEnd"/>
            <w:r w:rsidRPr="000C2646">
              <w:rPr>
                <w:b/>
                <w:bCs/>
                <w:sz w:val="24"/>
                <w:szCs w:val="24"/>
                <w:lang w:val="da-DK"/>
              </w:rPr>
              <w:t xml:space="preserve"> (2500 mg/m</w:t>
            </w:r>
            <w:r w:rsidRPr="000C2646">
              <w:rPr>
                <w:b/>
                <w:bCs/>
                <w:sz w:val="24"/>
                <w:szCs w:val="24"/>
                <w:vertAlign w:val="superscript"/>
                <w:lang w:val="da-DK"/>
              </w:rPr>
              <w:t>2</w:t>
            </w:r>
            <w:r w:rsidRPr="000C2646">
              <w:rPr>
                <w:b/>
                <w:bCs/>
                <w:sz w:val="24"/>
                <w:szCs w:val="24"/>
                <w:lang w:val="da-DK"/>
              </w:rPr>
              <w:t>/dag, dag 1-14 hver 21. dag)</w:t>
            </w:r>
          </w:p>
        </w:tc>
      </w:tr>
      <w:tr w:rsidR="00925ABE" w:rsidRPr="000C2646" w14:paraId="13016E37" w14:textId="77777777" w:rsidTr="009534FE">
        <w:tc>
          <w:tcPr>
            <w:tcW w:w="1666" w:type="pct"/>
            <w:vMerge/>
            <w:tcBorders>
              <w:top w:val="single" w:sz="4" w:space="0" w:color="auto"/>
              <w:left w:val="single" w:sz="4" w:space="0" w:color="auto"/>
              <w:bottom w:val="single" w:sz="4" w:space="0" w:color="auto"/>
              <w:right w:val="single" w:sz="4" w:space="0" w:color="auto"/>
            </w:tcBorders>
            <w:vAlign w:val="center"/>
            <w:hideMark/>
          </w:tcPr>
          <w:p w14:paraId="34C59F6C" w14:textId="77777777" w:rsidR="00925ABE" w:rsidRPr="000C2646" w:rsidRDefault="00925ABE">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1C81CB1A" w14:textId="77777777" w:rsidR="00925ABE" w:rsidRPr="000C2646" w:rsidRDefault="00925ABE">
            <w:pPr>
              <w:keepNext/>
              <w:suppressAutoHyphens/>
              <w:jc w:val="center"/>
              <w:rPr>
                <w:b/>
                <w:bCs/>
                <w:sz w:val="24"/>
                <w:szCs w:val="24"/>
              </w:rPr>
            </w:pPr>
            <w:r w:rsidRPr="000C2646">
              <w:rPr>
                <w:b/>
                <w:bCs/>
                <w:sz w:val="24"/>
                <w:szCs w:val="24"/>
              </w:rPr>
              <w:t>(n = 207)</w:t>
            </w:r>
          </w:p>
        </w:tc>
        <w:tc>
          <w:tcPr>
            <w:tcW w:w="1667" w:type="pct"/>
            <w:tcBorders>
              <w:top w:val="single" w:sz="4" w:space="0" w:color="auto"/>
              <w:left w:val="single" w:sz="4" w:space="0" w:color="auto"/>
              <w:bottom w:val="single" w:sz="4" w:space="0" w:color="auto"/>
              <w:right w:val="single" w:sz="4" w:space="0" w:color="auto"/>
            </w:tcBorders>
            <w:hideMark/>
          </w:tcPr>
          <w:p w14:paraId="3A596842" w14:textId="77777777" w:rsidR="00925ABE" w:rsidRPr="000C2646" w:rsidRDefault="00925ABE">
            <w:pPr>
              <w:keepNext/>
              <w:suppressAutoHyphens/>
              <w:jc w:val="center"/>
              <w:rPr>
                <w:b/>
                <w:bCs/>
                <w:sz w:val="24"/>
                <w:szCs w:val="24"/>
              </w:rPr>
            </w:pPr>
            <w:r w:rsidRPr="000C2646">
              <w:rPr>
                <w:b/>
                <w:bCs/>
                <w:sz w:val="24"/>
                <w:szCs w:val="24"/>
              </w:rPr>
              <w:t>(n = 201)</w:t>
            </w:r>
          </w:p>
        </w:tc>
      </w:tr>
      <w:tr w:rsidR="00925ABE" w:rsidRPr="000C2646" w14:paraId="5420A418"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38EDFD56" w14:textId="77777777" w:rsidR="00925ABE" w:rsidRPr="000C2646" w:rsidRDefault="00925ABE">
            <w:pPr>
              <w:suppressAutoHyphens/>
              <w:rPr>
                <w:sz w:val="24"/>
                <w:szCs w:val="24"/>
              </w:rPr>
            </w:pPr>
            <w:proofErr w:type="spellStart"/>
            <w:r w:rsidRPr="000C2646">
              <w:rPr>
                <w:sz w:val="24"/>
                <w:szCs w:val="24"/>
              </w:rPr>
              <w:t>Antal</w:t>
            </w:r>
            <w:proofErr w:type="spellEnd"/>
            <w:r w:rsidRPr="000C2646">
              <w:rPr>
                <w:sz w:val="24"/>
                <w:szCs w:val="24"/>
              </w:rPr>
              <w:t xml:space="preserve"> </w:t>
            </w:r>
            <w:proofErr w:type="spellStart"/>
            <w:r w:rsidRPr="000C2646">
              <w:rPr>
                <w:sz w:val="24"/>
                <w:szCs w:val="24"/>
              </w:rPr>
              <w:t>døde</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1D1C9F6A" w14:textId="77777777" w:rsidR="00925ABE" w:rsidRPr="000C2646" w:rsidRDefault="00925ABE">
            <w:pPr>
              <w:suppressAutoHyphens/>
              <w:jc w:val="center"/>
              <w:rPr>
                <w:sz w:val="24"/>
                <w:szCs w:val="24"/>
              </w:rPr>
            </w:pPr>
            <w:r w:rsidRPr="000C2646">
              <w:rPr>
                <w:sz w:val="24"/>
                <w:szCs w:val="24"/>
              </w:rPr>
              <w:t>148</w:t>
            </w:r>
          </w:p>
        </w:tc>
        <w:tc>
          <w:tcPr>
            <w:tcW w:w="1667" w:type="pct"/>
            <w:tcBorders>
              <w:top w:val="single" w:sz="4" w:space="0" w:color="auto"/>
              <w:left w:val="single" w:sz="4" w:space="0" w:color="auto"/>
              <w:bottom w:val="single" w:sz="4" w:space="0" w:color="auto"/>
              <w:right w:val="single" w:sz="4" w:space="0" w:color="auto"/>
            </w:tcBorders>
            <w:hideMark/>
          </w:tcPr>
          <w:p w14:paraId="6E1C70CF" w14:textId="77777777" w:rsidR="00925ABE" w:rsidRPr="000C2646" w:rsidRDefault="00925ABE">
            <w:pPr>
              <w:suppressAutoHyphens/>
              <w:jc w:val="center"/>
              <w:rPr>
                <w:sz w:val="24"/>
                <w:szCs w:val="24"/>
              </w:rPr>
            </w:pPr>
            <w:r w:rsidRPr="000C2646">
              <w:rPr>
                <w:sz w:val="24"/>
                <w:szCs w:val="24"/>
              </w:rPr>
              <w:t>154</w:t>
            </w:r>
          </w:p>
        </w:tc>
      </w:tr>
      <w:tr w:rsidR="00925ABE" w:rsidRPr="000C2646" w14:paraId="0542998E"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0343FFF8" w14:textId="77777777" w:rsidR="00925ABE" w:rsidRPr="000C2646" w:rsidRDefault="00925ABE">
            <w:pPr>
              <w:suppressAutoHyphens/>
              <w:rPr>
                <w:sz w:val="24"/>
                <w:szCs w:val="24"/>
              </w:rPr>
            </w:pPr>
            <w:proofErr w:type="spellStart"/>
            <w:r w:rsidRPr="000C2646">
              <w:rPr>
                <w:sz w:val="24"/>
                <w:szCs w:val="24"/>
              </w:rPr>
              <w:t>Medianoverlevelse</w:t>
            </w:r>
            <w:proofErr w:type="spellEnd"/>
            <w:r w:rsidRPr="000C2646">
              <w:rPr>
                <w:sz w:val="24"/>
                <w:szCs w:val="24"/>
              </w:rPr>
              <w:t xml:space="preserve">, </w:t>
            </w:r>
            <w:proofErr w:type="spellStart"/>
            <w:r w:rsidRPr="000C2646">
              <w:rPr>
                <w:sz w:val="24"/>
                <w:szCs w:val="24"/>
              </w:rPr>
              <w:t>uger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62BF7900" w14:textId="77777777" w:rsidR="00925ABE" w:rsidRPr="000C2646" w:rsidRDefault="00925ABE">
            <w:pPr>
              <w:suppressAutoHyphens/>
              <w:jc w:val="center"/>
              <w:rPr>
                <w:sz w:val="24"/>
                <w:szCs w:val="24"/>
              </w:rPr>
            </w:pPr>
            <w:r w:rsidRPr="000C2646">
              <w:rPr>
                <w:sz w:val="24"/>
                <w:szCs w:val="24"/>
              </w:rPr>
              <w:t>74,0</w:t>
            </w:r>
          </w:p>
        </w:tc>
        <w:tc>
          <w:tcPr>
            <w:tcW w:w="1667" w:type="pct"/>
            <w:tcBorders>
              <w:top w:val="single" w:sz="4" w:space="0" w:color="auto"/>
              <w:left w:val="single" w:sz="4" w:space="0" w:color="auto"/>
              <w:bottom w:val="single" w:sz="4" w:space="0" w:color="auto"/>
              <w:right w:val="single" w:sz="4" w:space="0" w:color="auto"/>
            </w:tcBorders>
            <w:hideMark/>
          </w:tcPr>
          <w:p w14:paraId="6691DFC6" w14:textId="77777777" w:rsidR="00925ABE" w:rsidRPr="000C2646" w:rsidRDefault="00925ABE">
            <w:pPr>
              <w:suppressAutoHyphens/>
              <w:jc w:val="center"/>
              <w:rPr>
                <w:sz w:val="24"/>
                <w:szCs w:val="24"/>
              </w:rPr>
            </w:pPr>
            <w:r w:rsidRPr="000C2646">
              <w:rPr>
                <w:sz w:val="24"/>
                <w:szCs w:val="24"/>
              </w:rPr>
              <w:t>65,9</w:t>
            </w:r>
          </w:p>
        </w:tc>
      </w:tr>
      <w:tr w:rsidR="00925ABE" w:rsidRPr="000C2646" w14:paraId="4478FCDE"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6709A244" w14:textId="77777777" w:rsidR="00925ABE" w:rsidRPr="000C2646" w:rsidRDefault="00925ABE">
            <w:pPr>
              <w:tabs>
                <w:tab w:val="left" w:pos="2070"/>
              </w:tabs>
              <w:suppressAutoHyphens/>
              <w:rPr>
                <w:i/>
                <w:iCs/>
                <w:sz w:val="24"/>
                <w:szCs w:val="24"/>
              </w:rPr>
            </w:pPr>
            <w:r w:rsidRPr="000C2646">
              <w:rPr>
                <w:i/>
                <w:iCs/>
                <w:sz w:val="24"/>
                <w:szCs w:val="24"/>
              </w:rPr>
              <w:t>Hazard ratio</w:t>
            </w:r>
          </w:p>
        </w:tc>
        <w:tc>
          <w:tcPr>
            <w:tcW w:w="3334" w:type="pct"/>
            <w:gridSpan w:val="2"/>
            <w:tcBorders>
              <w:top w:val="single" w:sz="4" w:space="0" w:color="auto"/>
              <w:left w:val="single" w:sz="4" w:space="0" w:color="auto"/>
              <w:bottom w:val="single" w:sz="4" w:space="0" w:color="auto"/>
              <w:right w:val="single" w:sz="4" w:space="0" w:color="auto"/>
            </w:tcBorders>
            <w:hideMark/>
          </w:tcPr>
          <w:p w14:paraId="77A3080E" w14:textId="77777777" w:rsidR="00925ABE" w:rsidRPr="000C2646" w:rsidRDefault="00925ABE">
            <w:pPr>
              <w:suppressAutoHyphens/>
              <w:jc w:val="center"/>
              <w:rPr>
                <w:sz w:val="24"/>
                <w:szCs w:val="24"/>
              </w:rPr>
            </w:pPr>
            <w:r w:rsidRPr="000C2646">
              <w:rPr>
                <w:sz w:val="24"/>
                <w:szCs w:val="24"/>
              </w:rPr>
              <w:t>0,9</w:t>
            </w:r>
          </w:p>
        </w:tc>
      </w:tr>
      <w:tr w:rsidR="00925ABE" w:rsidRPr="000C2646" w14:paraId="7AF3963B"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7089AD2F" w14:textId="77777777" w:rsidR="00925ABE" w:rsidRPr="000C2646" w:rsidRDefault="00925ABE">
            <w:pPr>
              <w:suppressAutoHyphens/>
              <w:rPr>
                <w:sz w:val="24"/>
                <w:szCs w:val="24"/>
              </w:rPr>
            </w:pPr>
            <w:r w:rsidRPr="000C2646">
              <w:rPr>
                <w:sz w:val="24"/>
                <w:szCs w:val="24"/>
              </w:rPr>
              <w:t>(95 % CI)</w:t>
            </w:r>
          </w:p>
        </w:tc>
        <w:tc>
          <w:tcPr>
            <w:tcW w:w="3334" w:type="pct"/>
            <w:gridSpan w:val="2"/>
            <w:tcBorders>
              <w:top w:val="single" w:sz="4" w:space="0" w:color="auto"/>
              <w:left w:val="single" w:sz="4" w:space="0" w:color="auto"/>
              <w:bottom w:val="single" w:sz="4" w:space="0" w:color="auto"/>
              <w:right w:val="single" w:sz="4" w:space="0" w:color="auto"/>
            </w:tcBorders>
            <w:hideMark/>
          </w:tcPr>
          <w:p w14:paraId="6CC5CA6D" w14:textId="77777777" w:rsidR="00925ABE" w:rsidRPr="000C2646" w:rsidRDefault="00925ABE">
            <w:pPr>
              <w:suppressAutoHyphens/>
              <w:jc w:val="center"/>
              <w:rPr>
                <w:sz w:val="24"/>
                <w:szCs w:val="24"/>
              </w:rPr>
            </w:pPr>
            <w:r w:rsidRPr="000C2646">
              <w:rPr>
                <w:sz w:val="24"/>
                <w:szCs w:val="24"/>
              </w:rPr>
              <w:t>(0,71; 1,12)</w:t>
            </w:r>
          </w:p>
        </w:tc>
      </w:tr>
      <w:tr w:rsidR="00925ABE" w:rsidRPr="000C2646" w14:paraId="673BE999"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6DD73F28" w14:textId="77777777" w:rsidR="00925ABE" w:rsidRPr="000C2646" w:rsidRDefault="00925ABE">
            <w:pPr>
              <w:suppressAutoHyphens/>
              <w:rPr>
                <w:sz w:val="24"/>
                <w:szCs w:val="24"/>
              </w:rPr>
            </w:pPr>
            <w:r w:rsidRPr="000C2646">
              <w:rPr>
                <w:sz w:val="24"/>
                <w:szCs w:val="24"/>
              </w:rPr>
              <w:t>p-</w:t>
            </w:r>
            <w:proofErr w:type="spellStart"/>
            <w:r w:rsidRPr="000C2646">
              <w:rPr>
                <w:sz w:val="24"/>
                <w:szCs w:val="24"/>
              </w:rPr>
              <w:t>værdi</w:t>
            </w:r>
            <w:proofErr w:type="spellEnd"/>
          </w:p>
        </w:tc>
        <w:tc>
          <w:tcPr>
            <w:tcW w:w="3334" w:type="pct"/>
            <w:gridSpan w:val="2"/>
            <w:tcBorders>
              <w:top w:val="single" w:sz="4" w:space="0" w:color="auto"/>
              <w:left w:val="single" w:sz="4" w:space="0" w:color="auto"/>
              <w:bottom w:val="single" w:sz="4" w:space="0" w:color="auto"/>
              <w:right w:val="single" w:sz="4" w:space="0" w:color="auto"/>
            </w:tcBorders>
            <w:hideMark/>
          </w:tcPr>
          <w:p w14:paraId="759EC6C2" w14:textId="77777777" w:rsidR="00925ABE" w:rsidRPr="000C2646" w:rsidRDefault="00925ABE">
            <w:pPr>
              <w:suppressAutoHyphens/>
              <w:jc w:val="center"/>
              <w:rPr>
                <w:sz w:val="24"/>
                <w:szCs w:val="24"/>
              </w:rPr>
            </w:pPr>
            <w:r w:rsidRPr="000C2646">
              <w:rPr>
                <w:sz w:val="24"/>
                <w:szCs w:val="24"/>
              </w:rPr>
              <w:t>0,3</w:t>
            </w:r>
          </w:p>
        </w:tc>
      </w:tr>
    </w:tbl>
    <w:p w14:paraId="007D8CCB" w14:textId="77777777" w:rsidR="00925ABE" w:rsidRPr="000C2646" w:rsidRDefault="00925ABE" w:rsidP="00925ABE">
      <w:pPr>
        <w:suppressAutoHyphens/>
        <w:rPr>
          <w:bCs/>
          <w:sz w:val="24"/>
          <w:szCs w:val="24"/>
          <w:u w:val="single"/>
        </w:rPr>
      </w:pPr>
    </w:p>
    <w:p w14:paraId="6B8F0509" w14:textId="77777777" w:rsidR="00925ABE" w:rsidRPr="000C2646" w:rsidRDefault="00925ABE" w:rsidP="009534FE">
      <w:pPr>
        <w:suppressAutoHyphens/>
        <w:ind w:left="851"/>
        <w:rPr>
          <w:sz w:val="24"/>
          <w:szCs w:val="24"/>
        </w:rPr>
      </w:pPr>
      <w:r w:rsidRPr="000C2646">
        <w:rPr>
          <w:sz w:val="24"/>
          <w:szCs w:val="24"/>
        </w:rPr>
        <w:t xml:space="preserve">I kombinationsgruppen var der 4 tilfælde (2 %) af progression i centralnervesystemet sammenlignet med 13 tilfælde (6 %) af progression i gruppen med </w:t>
      </w:r>
      <w:proofErr w:type="spellStart"/>
      <w:r w:rsidRPr="000C2646">
        <w:rPr>
          <w:sz w:val="24"/>
          <w:szCs w:val="24"/>
        </w:rPr>
        <w:t>capecitabin</w:t>
      </w:r>
      <w:proofErr w:type="spellEnd"/>
      <w:r w:rsidRPr="000C2646">
        <w:rPr>
          <w:sz w:val="24"/>
          <w:szCs w:val="24"/>
        </w:rPr>
        <w:t xml:space="preserve"> alene.</w:t>
      </w:r>
    </w:p>
    <w:p w14:paraId="68C11A70" w14:textId="77777777" w:rsidR="00925ABE" w:rsidRPr="000C2646" w:rsidRDefault="00925ABE" w:rsidP="009534FE">
      <w:pPr>
        <w:suppressAutoHyphens/>
        <w:ind w:left="851"/>
        <w:rPr>
          <w:sz w:val="24"/>
          <w:szCs w:val="24"/>
        </w:rPr>
      </w:pPr>
    </w:p>
    <w:p w14:paraId="53201CEB" w14:textId="77777777" w:rsidR="00925ABE" w:rsidRPr="000C2646" w:rsidRDefault="00925ABE" w:rsidP="009534FE">
      <w:pPr>
        <w:suppressAutoHyphens/>
        <w:ind w:left="851"/>
        <w:rPr>
          <w:sz w:val="24"/>
          <w:szCs w:val="24"/>
        </w:rPr>
      </w:pPr>
      <w:r w:rsidRPr="000C2646">
        <w:rPr>
          <w:sz w:val="24"/>
          <w:szCs w:val="24"/>
        </w:rPr>
        <w:t xml:space="preserve">Der foreligger data om virkningen og sikkerheden af </w:t>
      </w:r>
      <w:proofErr w:type="spellStart"/>
      <w:r w:rsidRPr="000C2646">
        <w:rPr>
          <w:sz w:val="24"/>
          <w:szCs w:val="24"/>
        </w:rPr>
        <w:t>lapatinib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i forhold til </w:t>
      </w:r>
      <w:proofErr w:type="spellStart"/>
      <w:r w:rsidRPr="000C2646">
        <w:rPr>
          <w:sz w:val="24"/>
          <w:szCs w:val="24"/>
        </w:rPr>
        <w:t>trastuzumab</w:t>
      </w:r>
      <w:proofErr w:type="spellEnd"/>
      <w:r w:rsidRPr="000C2646">
        <w:rPr>
          <w:sz w:val="24"/>
          <w:szCs w:val="24"/>
        </w:rPr>
        <w:t xml:space="preserve"> i kombination med </w:t>
      </w:r>
      <w:proofErr w:type="spellStart"/>
      <w:r w:rsidRPr="000C2646">
        <w:rPr>
          <w:sz w:val="24"/>
          <w:szCs w:val="24"/>
        </w:rPr>
        <w:t>capecitabin</w:t>
      </w:r>
      <w:proofErr w:type="spellEnd"/>
      <w:r w:rsidRPr="000C2646">
        <w:rPr>
          <w:sz w:val="24"/>
          <w:szCs w:val="24"/>
        </w:rPr>
        <w:t xml:space="preserve">. Et randomiseret fase III-studie (EGF111438) (n = 540) sammenlignede effekten af de to regimer på </w:t>
      </w:r>
      <w:proofErr w:type="spellStart"/>
      <w:r w:rsidRPr="000C2646">
        <w:rPr>
          <w:sz w:val="24"/>
          <w:szCs w:val="24"/>
        </w:rPr>
        <w:t>incidensen</w:t>
      </w:r>
      <w:proofErr w:type="spellEnd"/>
      <w:r w:rsidRPr="000C2646">
        <w:rPr>
          <w:sz w:val="24"/>
          <w:szCs w:val="24"/>
        </w:rPr>
        <w:t xml:space="preserve"> af CNS som det første sted med recidiv hos kvinder med metastatisk brystcancer med </w:t>
      </w:r>
      <w:proofErr w:type="spellStart"/>
      <w:r w:rsidRPr="000C2646">
        <w:rPr>
          <w:sz w:val="24"/>
          <w:szCs w:val="24"/>
        </w:rPr>
        <w:t>overekspression</w:t>
      </w:r>
      <w:proofErr w:type="spellEnd"/>
      <w:r w:rsidRPr="000C2646">
        <w:rPr>
          <w:sz w:val="24"/>
          <w:szCs w:val="24"/>
        </w:rPr>
        <w:t xml:space="preserve"> af HER2. Patienterne blev enten randomiseret til 1250 mg </w:t>
      </w:r>
      <w:proofErr w:type="spellStart"/>
      <w:r w:rsidRPr="000C2646">
        <w:rPr>
          <w:sz w:val="24"/>
          <w:szCs w:val="24"/>
        </w:rPr>
        <w:t>lapatinib</w:t>
      </w:r>
      <w:proofErr w:type="spellEnd"/>
      <w:r w:rsidRPr="000C2646">
        <w:rPr>
          <w:sz w:val="24"/>
          <w:szCs w:val="24"/>
        </w:rPr>
        <w:t xml:space="preserve"> én gang dagligt (kontinuerligt) plus </w:t>
      </w:r>
      <w:proofErr w:type="spellStart"/>
      <w:r w:rsidRPr="000C2646">
        <w:rPr>
          <w:sz w:val="24"/>
          <w:szCs w:val="24"/>
        </w:rPr>
        <w:t>capecitabin</w:t>
      </w:r>
      <w:proofErr w:type="spellEnd"/>
      <w:r w:rsidRPr="000C2646">
        <w:rPr>
          <w:sz w:val="24"/>
          <w:szCs w:val="24"/>
        </w:rPr>
        <w:t xml:space="preserve"> (2000 mg/m</w:t>
      </w:r>
      <w:r w:rsidRPr="000C2646">
        <w:rPr>
          <w:sz w:val="24"/>
          <w:szCs w:val="24"/>
          <w:vertAlign w:val="superscript"/>
        </w:rPr>
        <w:t>2</w:t>
      </w:r>
      <w:r w:rsidRPr="000C2646">
        <w:rPr>
          <w:sz w:val="24"/>
          <w:szCs w:val="24"/>
        </w:rPr>
        <w:t xml:space="preserve">/dag på dag 1-14 hver 21. dag) eller </w:t>
      </w:r>
      <w:proofErr w:type="spellStart"/>
      <w:r w:rsidRPr="000C2646">
        <w:rPr>
          <w:sz w:val="24"/>
          <w:szCs w:val="24"/>
        </w:rPr>
        <w:t>trastuzumab</w:t>
      </w:r>
      <w:proofErr w:type="spellEnd"/>
      <w:r w:rsidRPr="000C2646">
        <w:rPr>
          <w:sz w:val="24"/>
          <w:szCs w:val="24"/>
        </w:rPr>
        <w:t xml:space="preserve"> (infusion med startdosis på 8 mg/kg efterfulgt af infusion af 6 mg/kg hver 3. uge) plus </w:t>
      </w:r>
      <w:proofErr w:type="spellStart"/>
      <w:r w:rsidRPr="000C2646">
        <w:rPr>
          <w:sz w:val="24"/>
          <w:szCs w:val="24"/>
        </w:rPr>
        <w:t>capecitabin</w:t>
      </w:r>
      <w:proofErr w:type="spellEnd"/>
      <w:r w:rsidRPr="000C2646">
        <w:rPr>
          <w:sz w:val="24"/>
          <w:szCs w:val="24"/>
        </w:rPr>
        <w:t xml:space="preserve"> (2500 mg/m</w:t>
      </w:r>
      <w:r w:rsidRPr="000C2646">
        <w:rPr>
          <w:sz w:val="24"/>
          <w:szCs w:val="24"/>
          <w:vertAlign w:val="superscript"/>
        </w:rPr>
        <w:t>2</w:t>
      </w:r>
      <w:r w:rsidRPr="000C2646">
        <w:rPr>
          <w:sz w:val="24"/>
          <w:szCs w:val="24"/>
        </w:rPr>
        <w:t xml:space="preserve">/dag på dag 1-14 hver 21. dag). </w:t>
      </w:r>
      <w:proofErr w:type="spellStart"/>
      <w:r w:rsidRPr="000C2646">
        <w:rPr>
          <w:sz w:val="24"/>
          <w:szCs w:val="24"/>
        </w:rPr>
        <w:t>Randomiseringen</w:t>
      </w:r>
      <w:proofErr w:type="spellEnd"/>
      <w:r w:rsidRPr="000C2646">
        <w:rPr>
          <w:sz w:val="24"/>
          <w:szCs w:val="24"/>
        </w:rPr>
        <w:t xml:space="preserve"> blev stratificeret efter tidligere behandling med </w:t>
      </w:r>
      <w:proofErr w:type="spellStart"/>
      <w:r w:rsidRPr="000C2646">
        <w:rPr>
          <w:sz w:val="24"/>
          <w:szCs w:val="24"/>
        </w:rPr>
        <w:t>trastuzumab</w:t>
      </w:r>
      <w:proofErr w:type="spellEnd"/>
      <w:r w:rsidRPr="000C2646">
        <w:rPr>
          <w:sz w:val="24"/>
          <w:szCs w:val="24"/>
        </w:rPr>
        <w:t xml:space="preserve"> og antallet af tidligere behandlinger mod metastatisk sygdom. Studiet blev afbrudt, da </w:t>
      </w:r>
      <w:proofErr w:type="spellStart"/>
      <w:r w:rsidRPr="000C2646">
        <w:rPr>
          <w:sz w:val="24"/>
          <w:szCs w:val="24"/>
        </w:rPr>
        <w:t>interimanalysen</w:t>
      </w:r>
      <w:proofErr w:type="spellEnd"/>
      <w:r w:rsidRPr="000C2646">
        <w:rPr>
          <w:sz w:val="24"/>
          <w:szCs w:val="24"/>
        </w:rPr>
        <w:t xml:space="preserve"> (n = 475) viste en lav </w:t>
      </w:r>
      <w:proofErr w:type="spellStart"/>
      <w:r w:rsidRPr="000C2646">
        <w:rPr>
          <w:sz w:val="24"/>
          <w:szCs w:val="24"/>
        </w:rPr>
        <w:t>incidens</w:t>
      </w:r>
      <w:proofErr w:type="spellEnd"/>
      <w:r w:rsidRPr="000C2646">
        <w:rPr>
          <w:sz w:val="24"/>
          <w:szCs w:val="24"/>
        </w:rPr>
        <w:t xml:space="preserve"> af CNS-relaterede hændelser og bedre effekt i armen med </w:t>
      </w:r>
      <w:proofErr w:type="spellStart"/>
      <w:r w:rsidRPr="000C2646">
        <w:rPr>
          <w:sz w:val="24"/>
          <w:szCs w:val="24"/>
        </w:rPr>
        <w:t>trastuzumab</w:t>
      </w:r>
      <w:proofErr w:type="spellEnd"/>
      <w:r w:rsidRPr="000C2646">
        <w:rPr>
          <w:sz w:val="24"/>
          <w:szCs w:val="24"/>
        </w:rPr>
        <w:t xml:space="preserve"> plus </w:t>
      </w:r>
      <w:proofErr w:type="spellStart"/>
      <w:r w:rsidRPr="000C2646">
        <w:rPr>
          <w:sz w:val="24"/>
          <w:szCs w:val="24"/>
        </w:rPr>
        <w:t>capecitabin</w:t>
      </w:r>
      <w:proofErr w:type="spellEnd"/>
      <w:r w:rsidRPr="000C2646">
        <w:rPr>
          <w:sz w:val="24"/>
          <w:szCs w:val="24"/>
        </w:rPr>
        <w:t xml:space="preserve"> med hensyn til progressionsfri overlevelse og samlet overlevelse (se resultaterne af den endelige analyse i tabel 3).</w:t>
      </w:r>
    </w:p>
    <w:p w14:paraId="1202423C" w14:textId="77777777" w:rsidR="00925ABE" w:rsidRPr="000C2646" w:rsidRDefault="00925ABE" w:rsidP="009534FE">
      <w:pPr>
        <w:suppressAutoHyphens/>
        <w:ind w:left="851"/>
        <w:rPr>
          <w:sz w:val="24"/>
          <w:szCs w:val="24"/>
        </w:rPr>
      </w:pPr>
    </w:p>
    <w:p w14:paraId="7BB3A99F" w14:textId="77777777" w:rsidR="00925ABE" w:rsidRPr="000C2646" w:rsidRDefault="00925ABE" w:rsidP="009534FE">
      <w:pPr>
        <w:suppressAutoHyphens/>
        <w:ind w:left="851"/>
        <w:rPr>
          <w:bCs/>
          <w:sz w:val="24"/>
          <w:szCs w:val="24"/>
          <w:u w:val="single"/>
        </w:rPr>
      </w:pPr>
      <w:r w:rsidRPr="000C2646">
        <w:rPr>
          <w:sz w:val="24"/>
          <w:szCs w:val="24"/>
        </w:rPr>
        <w:t xml:space="preserve">I armen med </w:t>
      </w:r>
      <w:proofErr w:type="spellStart"/>
      <w:r w:rsidRPr="000C2646">
        <w:rPr>
          <w:sz w:val="24"/>
          <w:szCs w:val="24"/>
        </w:rPr>
        <w:t>lapatinib</w:t>
      </w:r>
      <w:proofErr w:type="spellEnd"/>
      <w:r w:rsidRPr="000C2646">
        <w:rPr>
          <w:sz w:val="24"/>
          <w:szCs w:val="24"/>
        </w:rPr>
        <w:t xml:space="preserve"> plus </w:t>
      </w:r>
      <w:proofErr w:type="spellStart"/>
      <w:r w:rsidRPr="000C2646">
        <w:rPr>
          <w:sz w:val="24"/>
          <w:szCs w:val="24"/>
        </w:rPr>
        <w:t>capecitabin</w:t>
      </w:r>
      <w:proofErr w:type="spellEnd"/>
      <w:r w:rsidRPr="000C2646">
        <w:rPr>
          <w:sz w:val="24"/>
          <w:szCs w:val="24"/>
        </w:rPr>
        <w:t xml:space="preserve"> var CNS det første sted med progression hos 8 patienter (3,2 %) sammenlignet med 12 patienter (4,8 %) i armen med </w:t>
      </w:r>
      <w:proofErr w:type="spellStart"/>
      <w:r w:rsidRPr="000C2646">
        <w:rPr>
          <w:sz w:val="24"/>
          <w:szCs w:val="24"/>
        </w:rPr>
        <w:t>trastuzumab</w:t>
      </w:r>
      <w:proofErr w:type="spellEnd"/>
      <w:r w:rsidRPr="000C2646">
        <w:rPr>
          <w:sz w:val="24"/>
          <w:szCs w:val="24"/>
        </w:rPr>
        <w:t xml:space="preserve"> plus </w:t>
      </w:r>
      <w:proofErr w:type="spellStart"/>
      <w:r w:rsidRPr="000C2646">
        <w:rPr>
          <w:sz w:val="24"/>
          <w:szCs w:val="24"/>
        </w:rPr>
        <w:t>capecitabin</w:t>
      </w:r>
      <w:proofErr w:type="spellEnd"/>
      <w:r w:rsidRPr="000C2646">
        <w:rPr>
          <w:sz w:val="24"/>
          <w:szCs w:val="24"/>
        </w:rPr>
        <w:t>.</w:t>
      </w:r>
    </w:p>
    <w:p w14:paraId="367F30F3" w14:textId="77777777" w:rsidR="00925ABE" w:rsidRPr="000C2646" w:rsidRDefault="00925ABE" w:rsidP="009534FE">
      <w:pPr>
        <w:suppressAutoHyphens/>
        <w:ind w:left="851"/>
        <w:rPr>
          <w:bCs/>
          <w:sz w:val="24"/>
          <w:szCs w:val="24"/>
          <w:u w:val="single"/>
        </w:rPr>
      </w:pPr>
    </w:p>
    <w:p w14:paraId="48859B3D" w14:textId="77777777" w:rsidR="00925ABE" w:rsidRPr="000C2646" w:rsidRDefault="00925ABE" w:rsidP="009534FE">
      <w:pPr>
        <w:suppressAutoHyphens/>
        <w:ind w:left="851"/>
        <w:rPr>
          <w:i/>
          <w:iCs/>
          <w:sz w:val="24"/>
          <w:szCs w:val="24"/>
        </w:rPr>
      </w:pPr>
      <w:proofErr w:type="spellStart"/>
      <w:r w:rsidRPr="000C2646">
        <w:rPr>
          <w:i/>
          <w:iCs/>
          <w:sz w:val="24"/>
          <w:szCs w:val="24"/>
        </w:rPr>
        <w:t>Lapatinibs</w:t>
      </w:r>
      <w:proofErr w:type="spellEnd"/>
      <w:r w:rsidRPr="000C2646">
        <w:rPr>
          <w:i/>
          <w:iCs/>
          <w:sz w:val="24"/>
          <w:szCs w:val="24"/>
        </w:rPr>
        <w:t xml:space="preserve"> virkning på CNS-metastaser</w:t>
      </w:r>
    </w:p>
    <w:p w14:paraId="48A15F82" w14:textId="77777777" w:rsidR="00925ABE" w:rsidRPr="000C2646" w:rsidRDefault="00925ABE" w:rsidP="009534FE">
      <w:pPr>
        <w:suppressAutoHyphens/>
        <w:ind w:left="851"/>
        <w:rPr>
          <w:bCs/>
          <w:sz w:val="24"/>
          <w:szCs w:val="24"/>
          <w:u w:val="single"/>
        </w:rPr>
      </w:pPr>
      <w:proofErr w:type="spellStart"/>
      <w:r w:rsidRPr="000C2646">
        <w:rPr>
          <w:sz w:val="24"/>
          <w:szCs w:val="24"/>
        </w:rPr>
        <w:t>Lapatinib</w:t>
      </w:r>
      <w:proofErr w:type="spellEnd"/>
      <w:r w:rsidRPr="000C2646">
        <w:rPr>
          <w:sz w:val="24"/>
          <w:szCs w:val="24"/>
        </w:rPr>
        <w:t xml:space="preserve"> har i form af objektivt respons vist beskeden aktivitet i behandlingen af etablerede CNS-metastaser. I et metastatisk og i et tidligt stadie af brystcancer var effekten til forebyggelse af CNS-metastaser begrænset.</w:t>
      </w:r>
    </w:p>
    <w:p w14:paraId="71D9CABA" w14:textId="4F67C6E8" w:rsidR="002417A3" w:rsidRDefault="002417A3">
      <w:pPr>
        <w:rPr>
          <w:bCs/>
          <w:sz w:val="24"/>
          <w:szCs w:val="24"/>
          <w:u w:val="single"/>
        </w:rPr>
      </w:pPr>
      <w:r>
        <w:rPr>
          <w:bCs/>
          <w:sz w:val="24"/>
          <w:szCs w:val="24"/>
          <w:u w:val="single"/>
        </w:rPr>
        <w:br w:type="page"/>
      </w:r>
    </w:p>
    <w:p w14:paraId="5B467EEE" w14:textId="77777777" w:rsidR="00925ABE" w:rsidRPr="000C2646" w:rsidRDefault="00925ABE" w:rsidP="00925ABE">
      <w:pPr>
        <w:suppressAutoHyphens/>
        <w:rPr>
          <w:bCs/>
          <w:sz w:val="24"/>
          <w:szCs w:val="24"/>
          <w:u w:val="single"/>
        </w:rPr>
      </w:pPr>
    </w:p>
    <w:p w14:paraId="4B432CDE" w14:textId="1FAD3465" w:rsidR="00925ABE" w:rsidRPr="000C2646" w:rsidRDefault="00925ABE" w:rsidP="004D4694">
      <w:pPr>
        <w:keepNext/>
        <w:suppressAutoHyphens/>
        <w:rPr>
          <w:b/>
          <w:sz w:val="24"/>
          <w:szCs w:val="24"/>
        </w:rPr>
      </w:pPr>
      <w:r w:rsidRPr="000C2646">
        <w:rPr>
          <w:b/>
          <w:sz w:val="24"/>
          <w:szCs w:val="24"/>
        </w:rPr>
        <w:t>Tabel 3</w:t>
      </w:r>
      <w:r w:rsidR="004D4694">
        <w:rPr>
          <w:b/>
          <w:sz w:val="24"/>
          <w:szCs w:val="24"/>
        </w:rPr>
        <w:t xml:space="preserve">. </w:t>
      </w:r>
      <w:r w:rsidRPr="000C2646">
        <w:rPr>
          <w:b/>
          <w:sz w:val="24"/>
          <w:szCs w:val="24"/>
        </w:rPr>
        <w:t xml:space="preserve">Analyser af </w:t>
      </w:r>
      <w:proofErr w:type="spellStart"/>
      <w:r w:rsidRPr="000C2646">
        <w:rPr>
          <w:b/>
          <w:sz w:val="24"/>
          <w:szCs w:val="24"/>
        </w:rPr>
        <w:t>investigators</w:t>
      </w:r>
      <w:proofErr w:type="spellEnd"/>
      <w:r w:rsidRPr="000C2646">
        <w:rPr>
          <w:b/>
          <w:sz w:val="24"/>
          <w:szCs w:val="24"/>
        </w:rPr>
        <w:t xml:space="preserve"> vurdering af progressionsfri overlevelse (PFS) og samlet overlevelse</w:t>
      </w:r>
    </w:p>
    <w:p w14:paraId="6B1D1EAE" w14:textId="77777777" w:rsidR="00925ABE" w:rsidRPr="000C2646" w:rsidRDefault="00925ABE" w:rsidP="00925ABE">
      <w:pPr>
        <w:keepNext/>
        <w:suppressAutoHyphens/>
        <w:rPr>
          <w:bCs/>
          <w:sz w:val="24"/>
          <w:szCs w:val="24"/>
          <w:u w:val="single"/>
        </w:rPr>
      </w:pPr>
    </w:p>
    <w:tbl>
      <w:tblPr>
        <w:tblStyle w:val="Tabel-Gitter"/>
        <w:tblW w:w="5000" w:type="pct"/>
        <w:tblInd w:w="0" w:type="dxa"/>
        <w:tblLook w:val="04A0" w:firstRow="1" w:lastRow="0" w:firstColumn="1" w:lastColumn="0" w:noHBand="0" w:noVBand="1"/>
      </w:tblPr>
      <w:tblGrid>
        <w:gridCol w:w="1699"/>
        <w:gridCol w:w="1982"/>
        <w:gridCol w:w="1983"/>
        <w:gridCol w:w="1981"/>
        <w:gridCol w:w="1983"/>
      </w:tblGrid>
      <w:tr w:rsidR="00925ABE" w:rsidRPr="004D4694" w14:paraId="5E9B2A31" w14:textId="77777777" w:rsidTr="009534FE">
        <w:tc>
          <w:tcPr>
            <w:tcW w:w="882" w:type="pct"/>
            <w:tcBorders>
              <w:top w:val="single" w:sz="4" w:space="0" w:color="auto"/>
              <w:left w:val="single" w:sz="4" w:space="0" w:color="auto"/>
              <w:bottom w:val="single" w:sz="4" w:space="0" w:color="auto"/>
              <w:right w:val="single" w:sz="4" w:space="0" w:color="auto"/>
            </w:tcBorders>
          </w:tcPr>
          <w:p w14:paraId="572EF7D7" w14:textId="77777777" w:rsidR="00925ABE" w:rsidRPr="004D4694" w:rsidRDefault="00925ABE">
            <w:pPr>
              <w:suppressAutoHyphens/>
              <w:rPr>
                <w:bCs/>
                <w:sz w:val="22"/>
                <w:szCs w:val="22"/>
                <w:u w:val="single"/>
                <w:lang w:val="da-DK"/>
              </w:rPr>
            </w:pPr>
          </w:p>
        </w:tc>
        <w:tc>
          <w:tcPr>
            <w:tcW w:w="2059" w:type="pct"/>
            <w:gridSpan w:val="2"/>
            <w:tcBorders>
              <w:top w:val="single" w:sz="4" w:space="0" w:color="auto"/>
              <w:left w:val="single" w:sz="4" w:space="0" w:color="auto"/>
              <w:bottom w:val="single" w:sz="4" w:space="0" w:color="auto"/>
              <w:right w:val="single" w:sz="4" w:space="0" w:color="auto"/>
            </w:tcBorders>
            <w:hideMark/>
          </w:tcPr>
          <w:p w14:paraId="3FE6CC0C" w14:textId="77777777" w:rsidR="00925ABE" w:rsidRPr="004D4694" w:rsidRDefault="00925ABE">
            <w:pPr>
              <w:keepNext/>
              <w:tabs>
                <w:tab w:val="left" w:pos="1215"/>
              </w:tabs>
              <w:suppressAutoHyphens/>
              <w:jc w:val="center"/>
              <w:rPr>
                <w:b/>
                <w:bCs/>
                <w:sz w:val="22"/>
                <w:szCs w:val="22"/>
                <w:u w:val="single"/>
              </w:rPr>
            </w:pPr>
            <w:r w:rsidRPr="004D4694">
              <w:rPr>
                <w:b/>
                <w:bCs/>
                <w:sz w:val="22"/>
                <w:szCs w:val="22"/>
              </w:rPr>
              <w:t xml:space="preserve">Investigators </w:t>
            </w:r>
            <w:proofErr w:type="spellStart"/>
            <w:r w:rsidRPr="004D4694">
              <w:rPr>
                <w:b/>
                <w:bCs/>
                <w:sz w:val="22"/>
                <w:szCs w:val="22"/>
              </w:rPr>
              <w:t>vurdering</w:t>
            </w:r>
            <w:proofErr w:type="spellEnd"/>
            <w:r w:rsidRPr="004D4694">
              <w:rPr>
                <w:b/>
                <w:bCs/>
                <w:sz w:val="22"/>
                <w:szCs w:val="22"/>
              </w:rPr>
              <w:t xml:space="preserve"> </w:t>
            </w:r>
            <w:proofErr w:type="spellStart"/>
            <w:r w:rsidRPr="004D4694">
              <w:rPr>
                <w:b/>
                <w:bCs/>
                <w:sz w:val="22"/>
                <w:szCs w:val="22"/>
              </w:rPr>
              <w:t>af</w:t>
            </w:r>
            <w:proofErr w:type="spellEnd"/>
            <w:r w:rsidRPr="004D4694">
              <w:rPr>
                <w:b/>
                <w:bCs/>
                <w:sz w:val="22"/>
                <w:szCs w:val="22"/>
              </w:rPr>
              <w:t xml:space="preserve"> PFS</w:t>
            </w:r>
          </w:p>
        </w:tc>
        <w:tc>
          <w:tcPr>
            <w:tcW w:w="2059" w:type="pct"/>
            <w:gridSpan w:val="2"/>
            <w:tcBorders>
              <w:top w:val="single" w:sz="4" w:space="0" w:color="auto"/>
              <w:left w:val="single" w:sz="4" w:space="0" w:color="auto"/>
              <w:bottom w:val="single" w:sz="4" w:space="0" w:color="auto"/>
              <w:right w:val="single" w:sz="4" w:space="0" w:color="auto"/>
            </w:tcBorders>
            <w:hideMark/>
          </w:tcPr>
          <w:p w14:paraId="142EB324" w14:textId="77777777" w:rsidR="00925ABE" w:rsidRPr="004D4694" w:rsidRDefault="00925ABE">
            <w:pPr>
              <w:keepNext/>
              <w:suppressAutoHyphens/>
              <w:jc w:val="center"/>
              <w:rPr>
                <w:b/>
                <w:bCs/>
                <w:sz w:val="22"/>
                <w:szCs w:val="22"/>
                <w:u w:val="single"/>
              </w:rPr>
            </w:pPr>
            <w:proofErr w:type="spellStart"/>
            <w:r w:rsidRPr="004D4694">
              <w:rPr>
                <w:b/>
                <w:bCs/>
                <w:sz w:val="22"/>
                <w:szCs w:val="22"/>
              </w:rPr>
              <w:t>Samlet</w:t>
            </w:r>
            <w:proofErr w:type="spellEnd"/>
            <w:r w:rsidRPr="004D4694">
              <w:rPr>
                <w:b/>
                <w:bCs/>
                <w:sz w:val="22"/>
                <w:szCs w:val="22"/>
              </w:rPr>
              <w:t xml:space="preserve"> </w:t>
            </w:r>
            <w:proofErr w:type="spellStart"/>
            <w:r w:rsidRPr="004D4694">
              <w:rPr>
                <w:b/>
                <w:bCs/>
                <w:sz w:val="22"/>
                <w:szCs w:val="22"/>
              </w:rPr>
              <w:t>overlevelse</w:t>
            </w:r>
            <w:proofErr w:type="spellEnd"/>
          </w:p>
        </w:tc>
      </w:tr>
      <w:tr w:rsidR="00925ABE" w:rsidRPr="004D4694" w14:paraId="03560F8F" w14:textId="77777777" w:rsidTr="009534FE">
        <w:tc>
          <w:tcPr>
            <w:tcW w:w="882" w:type="pct"/>
            <w:tcBorders>
              <w:top w:val="single" w:sz="4" w:space="0" w:color="auto"/>
              <w:left w:val="single" w:sz="4" w:space="0" w:color="auto"/>
              <w:bottom w:val="single" w:sz="4" w:space="0" w:color="auto"/>
              <w:right w:val="single" w:sz="4" w:space="0" w:color="auto"/>
            </w:tcBorders>
          </w:tcPr>
          <w:p w14:paraId="01AE89E6" w14:textId="77777777" w:rsidR="00925ABE" w:rsidRPr="004D4694" w:rsidRDefault="00925ABE">
            <w:pPr>
              <w:suppressAutoHyphens/>
              <w:rPr>
                <w:b/>
                <w:sz w:val="22"/>
                <w:szCs w:val="22"/>
                <w:u w:val="single"/>
              </w:rPr>
            </w:pPr>
          </w:p>
        </w:tc>
        <w:tc>
          <w:tcPr>
            <w:tcW w:w="1029" w:type="pct"/>
            <w:tcBorders>
              <w:top w:val="single" w:sz="4" w:space="0" w:color="auto"/>
              <w:left w:val="single" w:sz="4" w:space="0" w:color="auto"/>
              <w:bottom w:val="single" w:sz="4" w:space="0" w:color="auto"/>
              <w:right w:val="single" w:sz="4" w:space="0" w:color="auto"/>
            </w:tcBorders>
            <w:hideMark/>
          </w:tcPr>
          <w:p w14:paraId="1FECE5D8" w14:textId="77777777" w:rsidR="00925ABE" w:rsidRPr="004D4694" w:rsidRDefault="00925ABE">
            <w:pPr>
              <w:suppressAutoHyphens/>
              <w:jc w:val="center"/>
              <w:rPr>
                <w:b/>
                <w:bCs/>
                <w:sz w:val="22"/>
                <w:szCs w:val="22"/>
                <w:u w:val="single"/>
                <w:lang w:val="da-DK"/>
              </w:rPr>
            </w:pPr>
            <w:proofErr w:type="spellStart"/>
            <w:r w:rsidRPr="004D4694">
              <w:rPr>
                <w:b/>
                <w:bCs/>
                <w:sz w:val="22"/>
                <w:szCs w:val="22"/>
                <w:lang w:val="da-DK"/>
              </w:rPr>
              <w:t>Lapatinib</w:t>
            </w:r>
            <w:proofErr w:type="spellEnd"/>
            <w:r w:rsidRPr="004D4694">
              <w:rPr>
                <w:b/>
                <w:bCs/>
                <w:sz w:val="22"/>
                <w:szCs w:val="22"/>
                <w:lang w:val="da-DK"/>
              </w:rPr>
              <w:t xml:space="preserve"> (1250 mg/dag) + </w:t>
            </w:r>
            <w:proofErr w:type="spellStart"/>
            <w:r w:rsidRPr="004D4694">
              <w:rPr>
                <w:b/>
                <w:bCs/>
                <w:sz w:val="22"/>
                <w:szCs w:val="22"/>
                <w:lang w:val="da-DK"/>
              </w:rPr>
              <w:t>capecitabin</w:t>
            </w:r>
            <w:proofErr w:type="spellEnd"/>
            <w:r w:rsidRPr="004D4694">
              <w:rPr>
                <w:b/>
                <w:bCs/>
                <w:sz w:val="22"/>
                <w:szCs w:val="22"/>
                <w:lang w:val="da-DK"/>
              </w:rPr>
              <w:t xml:space="preserve"> (2000 mg/m</w:t>
            </w:r>
            <w:r w:rsidRPr="004D4694">
              <w:rPr>
                <w:b/>
                <w:bCs/>
                <w:sz w:val="22"/>
                <w:szCs w:val="22"/>
                <w:vertAlign w:val="superscript"/>
                <w:lang w:val="da-DK"/>
              </w:rPr>
              <w:t>2</w:t>
            </w:r>
            <w:r w:rsidRPr="004D4694">
              <w:rPr>
                <w:b/>
                <w:bCs/>
                <w:sz w:val="22"/>
                <w:szCs w:val="22"/>
                <w:lang w:val="da-DK"/>
              </w:rPr>
              <w:t>/dag, dag 1-14 hver 21. dag)</w:t>
            </w:r>
          </w:p>
        </w:tc>
        <w:tc>
          <w:tcPr>
            <w:tcW w:w="1029" w:type="pct"/>
            <w:tcBorders>
              <w:top w:val="single" w:sz="4" w:space="0" w:color="auto"/>
              <w:left w:val="single" w:sz="4" w:space="0" w:color="auto"/>
              <w:bottom w:val="single" w:sz="4" w:space="0" w:color="auto"/>
              <w:right w:val="single" w:sz="4" w:space="0" w:color="auto"/>
            </w:tcBorders>
            <w:hideMark/>
          </w:tcPr>
          <w:p w14:paraId="5E3A462B" w14:textId="77777777" w:rsidR="00925ABE" w:rsidRPr="004D4694" w:rsidRDefault="00925ABE">
            <w:pPr>
              <w:keepNext/>
              <w:suppressAutoHyphens/>
              <w:jc w:val="center"/>
              <w:rPr>
                <w:b/>
                <w:bCs/>
                <w:sz w:val="22"/>
                <w:szCs w:val="22"/>
                <w:u w:val="single"/>
                <w:lang w:val="da-DK"/>
              </w:rPr>
            </w:pPr>
            <w:proofErr w:type="spellStart"/>
            <w:r w:rsidRPr="004D4694">
              <w:rPr>
                <w:b/>
                <w:bCs/>
                <w:sz w:val="22"/>
                <w:szCs w:val="22"/>
                <w:lang w:val="da-DK"/>
              </w:rPr>
              <w:t>Trastuzumab</w:t>
            </w:r>
            <w:proofErr w:type="spellEnd"/>
            <w:r w:rsidRPr="004D4694">
              <w:rPr>
                <w:b/>
                <w:bCs/>
                <w:sz w:val="22"/>
                <w:szCs w:val="22"/>
                <w:lang w:val="da-DK"/>
              </w:rPr>
              <w:t xml:space="preserve"> (infusion med startdosis på 8 mg/kg efterfulgt af infusion af 6 mg/kg hver 3. uge) + </w:t>
            </w:r>
            <w:proofErr w:type="spellStart"/>
            <w:r w:rsidRPr="004D4694">
              <w:rPr>
                <w:b/>
                <w:bCs/>
                <w:sz w:val="22"/>
                <w:szCs w:val="22"/>
                <w:lang w:val="da-DK"/>
              </w:rPr>
              <w:t>capecitabin</w:t>
            </w:r>
            <w:proofErr w:type="spellEnd"/>
            <w:r w:rsidRPr="004D4694">
              <w:rPr>
                <w:b/>
                <w:bCs/>
                <w:sz w:val="22"/>
                <w:szCs w:val="22"/>
                <w:lang w:val="da-DK"/>
              </w:rPr>
              <w:t xml:space="preserve"> (2500 mg/m</w:t>
            </w:r>
            <w:r w:rsidRPr="004D4694">
              <w:rPr>
                <w:b/>
                <w:bCs/>
                <w:sz w:val="22"/>
                <w:szCs w:val="22"/>
                <w:vertAlign w:val="superscript"/>
                <w:lang w:val="da-DK"/>
              </w:rPr>
              <w:t>2</w:t>
            </w:r>
            <w:r w:rsidRPr="004D4694">
              <w:rPr>
                <w:b/>
                <w:bCs/>
                <w:sz w:val="22"/>
                <w:szCs w:val="22"/>
                <w:lang w:val="da-DK"/>
              </w:rPr>
              <w:t>/dag, dag 1-14 hver 21. dag)</w:t>
            </w:r>
          </w:p>
        </w:tc>
        <w:tc>
          <w:tcPr>
            <w:tcW w:w="1029" w:type="pct"/>
            <w:tcBorders>
              <w:top w:val="single" w:sz="4" w:space="0" w:color="auto"/>
              <w:left w:val="single" w:sz="4" w:space="0" w:color="auto"/>
              <w:bottom w:val="single" w:sz="4" w:space="0" w:color="auto"/>
              <w:right w:val="single" w:sz="4" w:space="0" w:color="auto"/>
            </w:tcBorders>
            <w:hideMark/>
          </w:tcPr>
          <w:p w14:paraId="7CA2C106" w14:textId="77777777" w:rsidR="00925ABE" w:rsidRPr="004D4694" w:rsidRDefault="00925ABE">
            <w:pPr>
              <w:keepNext/>
              <w:suppressAutoHyphens/>
              <w:jc w:val="center"/>
              <w:rPr>
                <w:b/>
                <w:bCs/>
                <w:sz w:val="22"/>
                <w:szCs w:val="22"/>
                <w:u w:val="single"/>
                <w:lang w:val="da-DK"/>
              </w:rPr>
            </w:pPr>
            <w:proofErr w:type="spellStart"/>
            <w:r w:rsidRPr="004D4694">
              <w:rPr>
                <w:b/>
                <w:bCs/>
                <w:sz w:val="22"/>
                <w:szCs w:val="22"/>
                <w:lang w:val="da-DK"/>
              </w:rPr>
              <w:t>Lapatinib</w:t>
            </w:r>
            <w:proofErr w:type="spellEnd"/>
            <w:r w:rsidRPr="004D4694">
              <w:rPr>
                <w:b/>
                <w:bCs/>
                <w:sz w:val="22"/>
                <w:szCs w:val="22"/>
                <w:lang w:val="da-DK"/>
              </w:rPr>
              <w:t xml:space="preserve"> (1250 mg/dag) + </w:t>
            </w:r>
            <w:proofErr w:type="spellStart"/>
            <w:r w:rsidRPr="004D4694">
              <w:rPr>
                <w:b/>
                <w:bCs/>
                <w:sz w:val="22"/>
                <w:szCs w:val="22"/>
                <w:lang w:val="da-DK"/>
              </w:rPr>
              <w:t>capecitabin</w:t>
            </w:r>
            <w:proofErr w:type="spellEnd"/>
            <w:r w:rsidRPr="004D4694">
              <w:rPr>
                <w:b/>
                <w:bCs/>
                <w:sz w:val="22"/>
                <w:szCs w:val="22"/>
                <w:lang w:val="da-DK"/>
              </w:rPr>
              <w:t xml:space="preserve"> (2000 mg/m</w:t>
            </w:r>
            <w:r w:rsidRPr="004D4694">
              <w:rPr>
                <w:b/>
                <w:bCs/>
                <w:sz w:val="22"/>
                <w:szCs w:val="22"/>
                <w:vertAlign w:val="superscript"/>
                <w:lang w:val="da-DK"/>
              </w:rPr>
              <w:t>2</w:t>
            </w:r>
            <w:r w:rsidRPr="004D4694">
              <w:rPr>
                <w:b/>
                <w:bCs/>
                <w:sz w:val="22"/>
                <w:szCs w:val="22"/>
                <w:lang w:val="da-DK"/>
              </w:rPr>
              <w:t>/dag, dag 1-14 hver 21. dag)</w:t>
            </w:r>
          </w:p>
        </w:tc>
        <w:tc>
          <w:tcPr>
            <w:tcW w:w="1029" w:type="pct"/>
            <w:tcBorders>
              <w:top w:val="single" w:sz="4" w:space="0" w:color="auto"/>
              <w:left w:val="single" w:sz="4" w:space="0" w:color="auto"/>
              <w:bottom w:val="single" w:sz="4" w:space="0" w:color="auto"/>
              <w:right w:val="single" w:sz="4" w:space="0" w:color="auto"/>
            </w:tcBorders>
            <w:hideMark/>
          </w:tcPr>
          <w:p w14:paraId="0AD4087B" w14:textId="77777777" w:rsidR="00925ABE" w:rsidRPr="004D4694" w:rsidRDefault="00925ABE">
            <w:pPr>
              <w:keepNext/>
              <w:suppressAutoHyphens/>
              <w:jc w:val="center"/>
              <w:rPr>
                <w:b/>
                <w:bCs/>
                <w:sz w:val="22"/>
                <w:szCs w:val="22"/>
                <w:u w:val="single"/>
                <w:lang w:val="da-DK"/>
              </w:rPr>
            </w:pPr>
            <w:proofErr w:type="spellStart"/>
            <w:r w:rsidRPr="004D4694">
              <w:rPr>
                <w:b/>
                <w:bCs/>
                <w:sz w:val="22"/>
                <w:szCs w:val="22"/>
                <w:lang w:val="da-DK"/>
              </w:rPr>
              <w:t>Trastuzumab</w:t>
            </w:r>
            <w:proofErr w:type="spellEnd"/>
            <w:r w:rsidRPr="004D4694">
              <w:rPr>
                <w:b/>
                <w:bCs/>
                <w:sz w:val="22"/>
                <w:szCs w:val="22"/>
                <w:lang w:val="da-DK"/>
              </w:rPr>
              <w:t xml:space="preserve"> (infusion med startdosis på 8 mg/kg efterfulgt af infusion af 6 mg/kg hver 3. uge) + </w:t>
            </w:r>
            <w:proofErr w:type="spellStart"/>
            <w:r w:rsidRPr="004D4694">
              <w:rPr>
                <w:b/>
                <w:bCs/>
                <w:sz w:val="22"/>
                <w:szCs w:val="22"/>
                <w:lang w:val="da-DK"/>
              </w:rPr>
              <w:t>capecitabin</w:t>
            </w:r>
            <w:proofErr w:type="spellEnd"/>
            <w:r w:rsidRPr="004D4694">
              <w:rPr>
                <w:b/>
                <w:bCs/>
                <w:sz w:val="22"/>
                <w:szCs w:val="22"/>
                <w:lang w:val="da-DK"/>
              </w:rPr>
              <w:t xml:space="preserve"> (2500 mg/m</w:t>
            </w:r>
            <w:r w:rsidRPr="004D4694">
              <w:rPr>
                <w:b/>
                <w:bCs/>
                <w:sz w:val="22"/>
                <w:szCs w:val="22"/>
                <w:vertAlign w:val="superscript"/>
                <w:lang w:val="da-DK"/>
              </w:rPr>
              <w:t>2</w:t>
            </w:r>
            <w:r w:rsidRPr="004D4694">
              <w:rPr>
                <w:b/>
                <w:bCs/>
                <w:sz w:val="22"/>
                <w:szCs w:val="22"/>
                <w:lang w:val="da-DK"/>
              </w:rPr>
              <w:t>/dag, dag 1-14 hver 21. dag)</w:t>
            </w:r>
          </w:p>
        </w:tc>
      </w:tr>
      <w:tr w:rsidR="00925ABE" w:rsidRPr="004D4694" w14:paraId="5F479431" w14:textId="77777777" w:rsidTr="009534FE">
        <w:tc>
          <w:tcPr>
            <w:tcW w:w="5000" w:type="pct"/>
            <w:gridSpan w:val="5"/>
            <w:tcBorders>
              <w:top w:val="single" w:sz="4" w:space="0" w:color="auto"/>
              <w:left w:val="single" w:sz="4" w:space="0" w:color="auto"/>
              <w:bottom w:val="single" w:sz="4" w:space="0" w:color="auto"/>
              <w:right w:val="single" w:sz="4" w:space="0" w:color="auto"/>
            </w:tcBorders>
            <w:hideMark/>
          </w:tcPr>
          <w:p w14:paraId="179F8F42" w14:textId="77777777" w:rsidR="00925ABE" w:rsidRPr="004D4694" w:rsidRDefault="00925ABE">
            <w:pPr>
              <w:keepNext/>
              <w:suppressAutoHyphens/>
              <w:rPr>
                <w:b/>
                <w:sz w:val="22"/>
                <w:szCs w:val="22"/>
                <w:u w:val="single"/>
              </w:rPr>
            </w:pPr>
            <w:r w:rsidRPr="004D4694">
              <w:rPr>
                <w:b/>
                <w:sz w:val="22"/>
                <w:szCs w:val="22"/>
                <w:u w:val="single"/>
              </w:rPr>
              <w:t>ITT-population</w:t>
            </w:r>
          </w:p>
        </w:tc>
      </w:tr>
      <w:tr w:rsidR="00925ABE" w:rsidRPr="004D4694" w14:paraId="791B61A6"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580D0500" w14:textId="77777777" w:rsidR="00925ABE" w:rsidRPr="004D4694" w:rsidRDefault="00925ABE">
            <w:pPr>
              <w:suppressAutoHyphens/>
              <w:rPr>
                <w:bCs/>
                <w:sz w:val="22"/>
                <w:szCs w:val="22"/>
              </w:rPr>
            </w:pPr>
            <w:r w:rsidRPr="004D4694">
              <w:rPr>
                <w:bCs/>
                <w:sz w:val="22"/>
                <w:szCs w:val="22"/>
              </w:rPr>
              <w:t>n</w:t>
            </w:r>
          </w:p>
        </w:tc>
        <w:tc>
          <w:tcPr>
            <w:tcW w:w="1029" w:type="pct"/>
            <w:tcBorders>
              <w:top w:val="single" w:sz="4" w:space="0" w:color="auto"/>
              <w:left w:val="single" w:sz="4" w:space="0" w:color="auto"/>
              <w:bottom w:val="single" w:sz="4" w:space="0" w:color="auto"/>
              <w:right w:val="single" w:sz="4" w:space="0" w:color="auto"/>
            </w:tcBorders>
            <w:hideMark/>
          </w:tcPr>
          <w:p w14:paraId="0685ABBE" w14:textId="77777777" w:rsidR="00925ABE" w:rsidRPr="004D4694" w:rsidRDefault="00925ABE">
            <w:pPr>
              <w:suppressAutoHyphens/>
              <w:jc w:val="center"/>
              <w:rPr>
                <w:bCs/>
                <w:sz w:val="22"/>
                <w:szCs w:val="22"/>
              </w:rPr>
            </w:pPr>
            <w:r w:rsidRPr="004D4694">
              <w:rPr>
                <w:bCs/>
                <w:sz w:val="22"/>
                <w:szCs w:val="22"/>
              </w:rPr>
              <w:t>271</w:t>
            </w:r>
          </w:p>
        </w:tc>
        <w:tc>
          <w:tcPr>
            <w:tcW w:w="1029" w:type="pct"/>
            <w:tcBorders>
              <w:top w:val="single" w:sz="4" w:space="0" w:color="auto"/>
              <w:left w:val="single" w:sz="4" w:space="0" w:color="auto"/>
              <w:bottom w:val="single" w:sz="4" w:space="0" w:color="auto"/>
              <w:right w:val="single" w:sz="4" w:space="0" w:color="auto"/>
            </w:tcBorders>
            <w:hideMark/>
          </w:tcPr>
          <w:p w14:paraId="511A4A3A" w14:textId="77777777" w:rsidR="00925ABE" w:rsidRPr="004D4694" w:rsidRDefault="00925ABE">
            <w:pPr>
              <w:keepNext/>
              <w:suppressAutoHyphens/>
              <w:jc w:val="center"/>
              <w:rPr>
                <w:bCs/>
                <w:sz w:val="22"/>
                <w:szCs w:val="22"/>
              </w:rPr>
            </w:pPr>
            <w:r w:rsidRPr="004D4694">
              <w:rPr>
                <w:bCs/>
                <w:sz w:val="22"/>
                <w:szCs w:val="22"/>
              </w:rPr>
              <w:t>269</w:t>
            </w:r>
          </w:p>
        </w:tc>
        <w:tc>
          <w:tcPr>
            <w:tcW w:w="1029" w:type="pct"/>
            <w:tcBorders>
              <w:top w:val="single" w:sz="4" w:space="0" w:color="auto"/>
              <w:left w:val="single" w:sz="4" w:space="0" w:color="auto"/>
              <w:bottom w:val="single" w:sz="4" w:space="0" w:color="auto"/>
              <w:right w:val="single" w:sz="4" w:space="0" w:color="auto"/>
            </w:tcBorders>
            <w:hideMark/>
          </w:tcPr>
          <w:p w14:paraId="789E615E" w14:textId="77777777" w:rsidR="00925ABE" w:rsidRPr="004D4694" w:rsidRDefault="00925ABE">
            <w:pPr>
              <w:keepNext/>
              <w:suppressAutoHyphens/>
              <w:jc w:val="center"/>
              <w:rPr>
                <w:bCs/>
                <w:sz w:val="22"/>
                <w:szCs w:val="22"/>
              </w:rPr>
            </w:pPr>
            <w:r w:rsidRPr="004D4694">
              <w:rPr>
                <w:bCs/>
                <w:sz w:val="22"/>
                <w:szCs w:val="22"/>
              </w:rPr>
              <w:t>271</w:t>
            </w:r>
          </w:p>
        </w:tc>
        <w:tc>
          <w:tcPr>
            <w:tcW w:w="1029" w:type="pct"/>
            <w:tcBorders>
              <w:top w:val="single" w:sz="4" w:space="0" w:color="auto"/>
              <w:left w:val="single" w:sz="4" w:space="0" w:color="auto"/>
              <w:bottom w:val="single" w:sz="4" w:space="0" w:color="auto"/>
              <w:right w:val="single" w:sz="4" w:space="0" w:color="auto"/>
            </w:tcBorders>
            <w:hideMark/>
          </w:tcPr>
          <w:p w14:paraId="6F0A4C3B" w14:textId="77777777" w:rsidR="00925ABE" w:rsidRPr="004D4694" w:rsidRDefault="00925ABE">
            <w:pPr>
              <w:keepNext/>
              <w:suppressAutoHyphens/>
              <w:jc w:val="center"/>
              <w:rPr>
                <w:bCs/>
                <w:sz w:val="22"/>
                <w:szCs w:val="22"/>
              </w:rPr>
            </w:pPr>
            <w:r w:rsidRPr="004D4694">
              <w:rPr>
                <w:bCs/>
                <w:sz w:val="22"/>
                <w:szCs w:val="22"/>
              </w:rPr>
              <w:t>269</w:t>
            </w:r>
          </w:p>
        </w:tc>
      </w:tr>
      <w:tr w:rsidR="00925ABE" w:rsidRPr="004D4694" w14:paraId="30BA983E"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2A7E2500" w14:textId="77777777" w:rsidR="00925ABE" w:rsidRPr="004D4694" w:rsidRDefault="00925ABE">
            <w:pPr>
              <w:suppressAutoHyphens/>
              <w:rPr>
                <w:bCs/>
                <w:sz w:val="22"/>
                <w:szCs w:val="22"/>
                <w:vertAlign w:val="superscript"/>
              </w:rPr>
            </w:pPr>
            <w:proofErr w:type="spellStart"/>
            <w:r w:rsidRPr="004D4694">
              <w:rPr>
                <w:bCs/>
                <w:sz w:val="22"/>
                <w:szCs w:val="22"/>
              </w:rPr>
              <w:t>Antal</w:t>
            </w:r>
            <w:proofErr w:type="spellEnd"/>
            <w:r w:rsidRPr="004D4694">
              <w:rPr>
                <w:bCs/>
                <w:sz w:val="22"/>
                <w:szCs w:val="22"/>
              </w:rPr>
              <w:t xml:space="preserve"> (%) med hændelse</w:t>
            </w:r>
            <w:r w:rsidRPr="004D4694">
              <w:rPr>
                <w:bCs/>
                <w:sz w:val="22"/>
                <w:szCs w:val="22"/>
                <w:vertAlign w:val="superscript"/>
              </w:rPr>
              <w:t>1</w:t>
            </w:r>
          </w:p>
        </w:tc>
        <w:tc>
          <w:tcPr>
            <w:tcW w:w="1029" w:type="pct"/>
            <w:tcBorders>
              <w:top w:val="single" w:sz="4" w:space="0" w:color="auto"/>
              <w:left w:val="single" w:sz="4" w:space="0" w:color="auto"/>
              <w:bottom w:val="single" w:sz="4" w:space="0" w:color="auto"/>
              <w:right w:val="single" w:sz="4" w:space="0" w:color="auto"/>
            </w:tcBorders>
            <w:hideMark/>
          </w:tcPr>
          <w:p w14:paraId="445E490A" w14:textId="77777777" w:rsidR="00925ABE" w:rsidRPr="004D4694" w:rsidRDefault="00925ABE">
            <w:pPr>
              <w:suppressAutoHyphens/>
              <w:jc w:val="center"/>
              <w:rPr>
                <w:bCs/>
                <w:sz w:val="22"/>
                <w:szCs w:val="22"/>
              </w:rPr>
            </w:pPr>
            <w:r w:rsidRPr="004D4694">
              <w:rPr>
                <w:bCs/>
                <w:sz w:val="22"/>
                <w:szCs w:val="22"/>
              </w:rPr>
              <w:t>160 (59)</w:t>
            </w:r>
          </w:p>
        </w:tc>
        <w:tc>
          <w:tcPr>
            <w:tcW w:w="1029" w:type="pct"/>
            <w:tcBorders>
              <w:top w:val="single" w:sz="4" w:space="0" w:color="auto"/>
              <w:left w:val="single" w:sz="4" w:space="0" w:color="auto"/>
              <w:bottom w:val="single" w:sz="4" w:space="0" w:color="auto"/>
              <w:right w:val="single" w:sz="4" w:space="0" w:color="auto"/>
            </w:tcBorders>
            <w:hideMark/>
          </w:tcPr>
          <w:p w14:paraId="7024EEE1" w14:textId="77777777" w:rsidR="00925ABE" w:rsidRPr="004D4694" w:rsidRDefault="00925ABE">
            <w:pPr>
              <w:suppressAutoHyphens/>
              <w:jc w:val="center"/>
              <w:rPr>
                <w:bCs/>
                <w:sz w:val="22"/>
                <w:szCs w:val="22"/>
              </w:rPr>
            </w:pPr>
            <w:r w:rsidRPr="004D4694">
              <w:rPr>
                <w:bCs/>
                <w:sz w:val="22"/>
                <w:szCs w:val="22"/>
              </w:rPr>
              <w:t>134 (50)</w:t>
            </w:r>
          </w:p>
        </w:tc>
        <w:tc>
          <w:tcPr>
            <w:tcW w:w="1029" w:type="pct"/>
            <w:tcBorders>
              <w:top w:val="single" w:sz="4" w:space="0" w:color="auto"/>
              <w:left w:val="single" w:sz="4" w:space="0" w:color="auto"/>
              <w:bottom w:val="single" w:sz="4" w:space="0" w:color="auto"/>
              <w:right w:val="single" w:sz="4" w:space="0" w:color="auto"/>
            </w:tcBorders>
            <w:hideMark/>
          </w:tcPr>
          <w:p w14:paraId="53ED1D4E" w14:textId="77777777" w:rsidR="00925ABE" w:rsidRPr="004D4694" w:rsidRDefault="00925ABE">
            <w:pPr>
              <w:suppressAutoHyphens/>
              <w:jc w:val="center"/>
              <w:rPr>
                <w:bCs/>
                <w:sz w:val="22"/>
                <w:szCs w:val="22"/>
              </w:rPr>
            </w:pPr>
            <w:r w:rsidRPr="004D4694">
              <w:rPr>
                <w:bCs/>
                <w:sz w:val="22"/>
                <w:szCs w:val="22"/>
              </w:rPr>
              <w:t>70 (26)</w:t>
            </w:r>
          </w:p>
        </w:tc>
        <w:tc>
          <w:tcPr>
            <w:tcW w:w="1029" w:type="pct"/>
            <w:tcBorders>
              <w:top w:val="single" w:sz="4" w:space="0" w:color="auto"/>
              <w:left w:val="single" w:sz="4" w:space="0" w:color="auto"/>
              <w:bottom w:val="single" w:sz="4" w:space="0" w:color="auto"/>
              <w:right w:val="single" w:sz="4" w:space="0" w:color="auto"/>
            </w:tcBorders>
            <w:hideMark/>
          </w:tcPr>
          <w:p w14:paraId="4A8A2502" w14:textId="77777777" w:rsidR="00925ABE" w:rsidRPr="004D4694" w:rsidRDefault="00925ABE">
            <w:pPr>
              <w:suppressAutoHyphens/>
              <w:jc w:val="center"/>
              <w:rPr>
                <w:bCs/>
                <w:sz w:val="22"/>
                <w:szCs w:val="22"/>
              </w:rPr>
            </w:pPr>
            <w:r w:rsidRPr="004D4694">
              <w:rPr>
                <w:bCs/>
                <w:sz w:val="22"/>
                <w:szCs w:val="22"/>
              </w:rPr>
              <w:t>58 (22)</w:t>
            </w:r>
          </w:p>
        </w:tc>
      </w:tr>
      <w:tr w:rsidR="00925ABE" w:rsidRPr="004D4694" w14:paraId="46787514"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016F4630" w14:textId="77777777" w:rsidR="00925ABE" w:rsidRPr="004D4694" w:rsidRDefault="00925ABE">
            <w:pPr>
              <w:suppressAutoHyphens/>
              <w:rPr>
                <w:b/>
                <w:bCs/>
                <w:sz w:val="22"/>
                <w:szCs w:val="22"/>
                <w:u w:val="single"/>
              </w:rPr>
            </w:pPr>
            <w:r w:rsidRPr="004D4694">
              <w:rPr>
                <w:b/>
                <w:bCs/>
                <w:sz w:val="22"/>
                <w:szCs w:val="22"/>
              </w:rPr>
              <w:t>Kaplan-</w:t>
            </w:r>
            <w:proofErr w:type="spellStart"/>
            <w:r w:rsidRPr="004D4694">
              <w:rPr>
                <w:b/>
                <w:bCs/>
                <w:sz w:val="22"/>
                <w:szCs w:val="22"/>
              </w:rPr>
              <w:t>Meierestimat</w:t>
            </w:r>
            <w:proofErr w:type="spellEnd"/>
            <w:r w:rsidRPr="004D4694">
              <w:rPr>
                <w:b/>
                <w:bCs/>
                <w:sz w:val="22"/>
                <w:szCs w:val="22"/>
              </w:rPr>
              <w:t xml:space="preserve">, </w:t>
            </w:r>
            <w:proofErr w:type="spellStart"/>
            <w:r w:rsidRPr="004D4694">
              <w:rPr>
                <w:b/>
                <w:bCs/>
                <w:sz w:val="22"/>
                <w:szCs w:val="22"/>
              </w:rPr>
              <w:t>måneder</w:t>
            </w:r>
            <w:r w:rsidRPr="004D4694">
              <w:rPr>
                <w:b/>
                <w:bCs/>
                <w:sz w:val="22"/>
                <w:szCs w:val="22"/>
                <w:vertAlign w:val="superscript"/>
              </w:rPr>
              <w:t>a</w:t>
            </w:r>
            <w:proofErr w:type="spellEnd"/>
          </w:p>
        </w:tc>
        <w:tc>
          <w:tcPr>
            <w:tcW w:w="1029" w:type="pct"/>
            <w:tcBorders>
              <w:top w:val="single" w:sz="4" w:space="0" w:color="auto"/>
              <w:left w:val="single" w:sz="4" w:space="0" w:color="auto"/>
              <w:bottom w:val="single" w:sz="4" w:space="0" w:color="auto"/>
              <w:right w:val="single" w:sz="4" w:space="0" w:color="auto"/>
            </w:tcBorders>
          </w:tcPr>
          <w:p w14:paraId="24E453BD" w14:textId="77777777" w:rsidR="00925ABE" w:rsidRPr="004D4694" w:rsidRDefault="00925ABE">
            <w:pPr>
              <w:suppressAutoHyphens/>
              <w:jc w:val="center"/>
              <w:rPr>
                <w:bCs/>
                <w:sz w:val="22"/>
                <w:szCs w:val="22"/>
              </w:rPr>
            </w:pPr>
          </w:p>
        </w:tc>
        <w:tc>
          <w:tcPr>
            <w:tcW w:w="1029" w:type="pct"/>
            <w:tcBorders>
              <w:top w:val="single" w:sz="4" w:space="0" w:color="auto"/>
              <w:left w:val="single" w:sz="4" w:space="0" w:color="auto"/>
              <w:bottom w:val="single" w:sz="4" w:space="0" w:color="auto"/>
              <w:right w:val="single" w:sz="4" w:space="0" w:color="auto"/>
            </w:tcBorders>
          </w:tcPr>
          <w:p w14:paraId="666D4B42" w14:textId="77777777" w:rsidR="00925ABE" w:rsidRPr="004D4694" w:rsidRDefault="00925ABE">
            <w:pPr>
              <w:suppressAutoHyphens/>
              <w:jc w:val="center"/>
              <w:rPr>
                <w:bCs/>
                <w:sz w:val="22"/>
                <w:szCs w:val="22"/>
              </w:rPr>
            </w:pPr>
          </w:p>
        </w:tc>
        <w:tc>
          <w:tcPr>
            <w:tcW w:w="1029" w:type="pct"/>
            <w:tcBorders>
              <w:top w:val="single" w:sz="4" w:space="0" w:color="auto"/>
              <w:left w:val="single" w:sz="4" w:space="0" w:color="auto"/>
              <w:bottom w:val="single" w:sz="4" w:space="0" w:color="auto"/>
              <w:right w:val="single" w:sz="4" w:space="0" w:color="auto"/>
            </w:tcBorders>
          </w:tcPr>
          <w:p w14:paraId="09ED00E7" w14:textId="77777777" w:rsidR="00925ABE" w:rsidRPr="004D4694" w:rsidRDefault="00925ABE">
            <w:pPr>
              <w:suppressAutoHyphens/>
              <w:jc w:val="center"/>
              <w:rPr>
                <w:bCs/>
                <w:sz w:val="22"/>
                <w:szCs w:val="22"/>
              </w:rPr>
            </w:pPr>
          </w:p>
        </w:tc>
        <w:tc>
          <w:tcPr>
            <w:tcW w:w="1029" w:type="pct"/>
            <w:tcBorders>
              <w:top w:val="single" w:sz="4" w:space="0" w:color="auto"/>
              <w:left w:val="single" w:sz="4" w:space="0" w:color="auto"/>
              <w:bottom w:val="single" w:sz="4" w:space="0" w:color="auto"/>
              <w:right w:val="single" w:sz="4" w:space="0" w:color="auto"/>
            </w:tcBorders>
          </w:tcPr>
          <w:p w14:paraId="64485883" w14:textId="77777777" w:rsidR="00925ABE" w:rsidRPr="004D4694" w:rsidRDefault="00925ABE">
            <w:pPr>
              <w:suppressAutoHyphens/>
              <w:jc w:val="center"/>
              <w:rPr>
                <w:bCs/>
                <w:sz w:val="22"/>
                <w:szCs w:val="22"/>
              </w:rPr>
            </w:pPr>
          </w:p>
        </w:tc>
      </w:tr>
      <w:tr w:rsidR="00925ABE" w:rsidRPr="004D4694" w14:paraId="1F4E3163"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163051CA" w14:textId="77777777" w:rsidR="00925ABE" w:rsidRPr="004D4694" w:rsidRDefault="00925ABE">
            <w:pPr>
              <w:suppressAutoHyphens/>
              <w:rPr>
                <w:bCs/>
                <w:sz w:val="22"/>
                <w:szCs w:val="22"/>
                <w:u w:val="single"/>
              </w:rPr>
            </w:pPr>
            <w:r w:rsidRPr="004D4694">
              <w:rPr>
                <w:sz w:val="22"/>
                <w:szCs w:val="22"/>
              </w:rPr>
              <w:t>Median (95 % CI)</w:t>
            </w:r>
          </w:p>
        </w:tc>
        <w:tc>
          <w:tcPr>
            <w:tcW w:w="1029" w:type="pct"/>
            <w:tcBorders>
              <w:top w:val="single" w:sz="4" w:space="0" w:color="auto"/>
              <w:left w:val="single" w:sz="4" w:space="0" w:color="auto"/>
              <w:bottom w:val="single" w:sz="4" w:space="0" w:color="auto"/>
              <w:right w:val="single" w:sz="4" w:space="0" w:color="auto"/>
            </w:tcBorders>
            <w:hideMark/>
          </w:tcPr>
          <w:p w14:paraId="56BE7DD6" w14:textId="77777777" w:rsidR="00925ABE" w:rsidRPr="004D4694" w:rsidRDefault="00925ABE">
            <w:pPr>
              <w:suppressAutoHyphens/>
              <w:jc w:val="center"/>
              <w:rPr>
                <w:bCs/>
                <w:sz w:val="22"/>
                <w:szCs w:val="22"/>
              </w:rPr>
            </w:pPr>
            <w:r w:rsidRPr="004D4694">
              <w:rPr>
                <w:bCs/>
                <w:sz w:val="22"/>
                <w:szCs w:val="22"/>
              </w:rPr>
              <w:t>6,6 (5,7; 8,1)</w:t>
            </w:r>
          </w:p>
        </w:tc>
        <w:tc>
          <w:tcPr>
            <w:tcW w:w="1029" w:type="pct"/>
            <w:tcBorders>
              <w:top w:val="single" w:sz="4" w:space="0" w:color="auto"/>
              <w:left w:val="single" w:sz="4" w:space="0" w:color="auto"/>
              <w:bottom w:val="single" w:sz="4" w:space="0" w:color="auto"/>
              <w:right w:val="single" w:sz="4" w:space="0" w:color="auto"/>
            </w:tcBorders>
            <w:hideMark/>
          </w:tcPr>
          <w:p w14:paraId="64EE5135" w14:textId="77777777" w:rsidR="00925ABE" w:rsidRPr="004D4694" w:rsidRDefault="00925ABE">
            <w:pPr>
              <w:suppressAutoHyphens/>
              <w:jc w:val="center"/>
              <w:rPr>
                <w:bCs/>
                <w:sz w:val="22"/>
                <w:szCs w:val="22"/>
              </w:rPr>
            </w:pPr>
            <w:r w:rsidRPr="004D4694">
              <w:rPr>
                <w:bCs/>
                <w:sz w:val="22"/>
                <w:szCs w:val="22"/>
              </w:rPr>
              <w:t>8,0 (6,1; 8,9)</w:t>
            </w:r>
          </w:p>
        </w:tc>
        <w:tc>
          <w:tcPr>
            <w:tcW w:w="1029" w:type="pct"/>
            <w:tcBorders>
              <w:top w:val="single" w:sz="4" w:space="0" w:color="auto"/>
              <w:left w:val="single" w:sz="4" w:space="0" w:color="auto"/>
              <w:bottom w:val="single" w:sz="4" w:space="0" w:color="auto"/>
              <w:right w:val="single" w:sz="4" w:space="0" w:color="auto"/>
            </w:tcBorders>
            <w:hideMark/>
          </w:tcPr>
          <w:p w14:paraId="25AE4F9F" w14:textId="77777777" w:rsidR="00925ABE" w:rsidRPr="004D4694" w:rsidRDefault="00925ABE">
            <w:pPr>
              <w:suppressAutoHyphens/>
              <w:jc w:val="center"/>
              <w:rPr>
                <w:bCs/>
                <w:sz w:val="22"/>
                <w:szCs w:val="22"/>
              </w:rPr>
            </w:pPr>
            <w:r w:rsidRPr="004D4694">
              <w:rPr>
                <w:bCs/>
                <w:sz w:val="22"/>
                <w:szCs w:val="22"/>
              </w:rPr>
              <w:t>22,7 (19,5; -)</w:t>
            </w:r>
          </w:p>
        </w:tc>
        <w:tc>
          <w:tcPr>
            <w:tcW w:w="1029" w:type="pct"/>
            <w:tcBorders>
              <w:top w:val="single" w:sz="4" w:space="0" w:color="auto"/>
              <w:left w:val="single" w:sz="4" w:space="0" w:color="auto"/>
              <w:bottom w:val="single" w:sz="4" w:space="0" w:color="auto"/>
              <w:right w:val="single" w:sz="4" w:space="0" w:color="auto"/>
            </w:tcBorders>
            <w:hideMark/>
          </w:tcPr>
          <w:p w14:paraId="2B3159C9" w14:textId="77777777" w:rsidR="00925ABE" w:rsidRPr="004D4694" w:rsidRDefault="00925ABE">
            <w:pPr>
              <w:suppressAutoHyphens/>
              <w:jc w:val="center"/>
              <w:rPr>
                <w:bCs/>
                <w:sz w:val="22"/>
                <w:szCs w:val="22"/>
              </w:rPr>
            </w:pPr>
            <w:r w:rsidRPr="004D4694">
              <w:rPr>
                <w:bCs/>
                <w:sz w:val="22"/>
                <w:szCs w:val="22"/>
              </w:rPr>
              <w:t>27,3 (23,7; -)</w:t>
            </w:r>
          </w:p>
        </w:tc>
      </w:tr>
      <w:tr w:rsidR="00925ABE" w:rsidRPr="004D4694" w14:paraId="2355B317"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15C973BE" w14:textId="77777777" w:rsidR="00925ABE" w:rsidRPr="004D4694" w:rsidRDefault="00925ABE">
            <w:pPr>
              <w:suppressAutoHyphens/>
              <w:rPr>
                <w:b/>
                <w:bCs/>
                <w:sz w:val="22"/>
                <w:szCs w:val="22"/>
                <w:u w:val="single"/>
              </w:rPr>
            </w:pPr>
            <w:proofErr w:type="spellStart"/>
            <w:r w:rsidRPr="004D4694">
              <w:rPr>
                <w:b/>
                <w:bCs/>
                <w:sz w:val="22"/>
                <w:szCs w:val="22"/>
              </w:rPr>
              <w:t>Stratificeret</w:t>
            </w:r>
            <w:proofErr w:type="spellEnd"/>
            <w:r w:rsidRPr="004D4694">
              <w:rPr>
                <w:b/>
                <w:bCs/>
                <w:sz w:val="22"/>
                <w:szCs w:val="22"/>
              </w:rPr>
              <w:t xml:space="preserve"> </w:t>
            </w:r>
            <w:r w:rsidRPr="004D4694">
              <w:rPr>
                <w:b/>
                <w:bCs/>
                <w:i/>
                <w:iCs/>
                <w:sz w:val="22"/>
                <w:szCs w:val="22"/>
              </w:rPr>
              <w:t xml:space="preserve">hazard </w:t>
            </w:r>
            <w:proofErr w:type="spellStart"/>
            <w:r w:rsidRPr="004D4694">
              <w:rPr>
                <w:b/>
                <w:bCs/>
                <w:i/>
                <w:iCs/>
                <w:sz w:val="22"/>
                <w:szCs w:val="22"/>
              </w:rPr>
              <w:t>ratio</w:t>
            </w:r>
            <w:r w:rsidRPr="004D4694">
              <w:rPr>
                <w:b/>
                <w:bCs/>
                <w:sz w:val="22"/>
                <w:szCs w:val="22"/>
                <w:vertAlign w:val="superscript"/>
              </w:rPr>
              <w:t>b</w:t>
            </w:r>
            <w:proofErr w:type="spellEnd"/>
          </w:p>
        </w:tc>
        <w:tc>
          <w:tcPr>
            <w:tcW w:w="2059" w:type="pct"/>
            <w:gridSpan w:val="2"/>
            <w:tcBorders>
              <w:top w:val="single" w:sz="4" w:space="0" w:color="auto"/>
              <w:left w:val="single" w:sz="4" w:space="0" w:color="auto"/>
              <w:bottom w:val="single" w:sz="4" w:space="0" w:color="auto"/>
              <w:right w:val="single" w:sz="4" w:space="0" w:color="auto"/>
            </w:tcBorders>
          </w:tcPr>
          <w:p w14:paraId="6C69EC27" w14:textId="77777777" w:rsidR="00925ABE" w:rsidRPr="004D4694" w:rsidRDefault="00925ABE">
            <w:pPr>
              <w:suppressAutoHyphens/>
              <w:jc w:val="center"/>
              <w:rPr>
                <w:bCs/>
                <w:sz w:val="22"/>
                <w:szCs w:val="22"/>
              </w:rPr>
            </w:pPr>
          </w:p>
        </w:tc>
        <w:tc>
          <w:tcPr>
            <w:tcW w:w="2059" w:type="pct"/>
            <w:gridSpan w:val="2"/>
            <w:tcBorders>
              <w:top w:val="single" w:sz="4" w:space="0" w:color="auto"/>
              <w:left w:val="single" w:sz="4" w:space="0" w:color="auto"/>
              <w:bottom w:val="single" w:sz="4" w:space="0" w:color="auto"/>
              <w:right w:val="single" w:sz="4" w:space="0" w:color="auto"/>
            </w:tcBorders>
          </w:tcPr>
          <w:p w14:paraId="369593D9" w14:textId="77777777" w:rsidR="00925ABE" w:rsidRPr="004D4694" w:rsidRDefault="00925ABE">
            <w:pPr>
              <w:suppressAutoHyphens/>
              <w:jc w:val="center"/>
              <w:rPr>
                <w:bCs/>
                <w:sz w:val="22"/>
                <w:szCs w:val="22"/>
              </w:rPr>
            </w:pPr>
          </w:p>
        </w:tc>
      </w:tr>
      <w:tr w:rsidR="00925ABE" w:rsidRPr="004D4694" w14:paraId="3B92409C"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29C4493B" w14:textId="77777777" w:rsidR="00925ABE" w:rsidRPr="004D4694" w:rsidRDefault="00925ABE">
            <w:pPr>
              <w:suppressAutoHyphens/>
              <w:rPr>
                <w:bCs/>
                <w:sz w:val="22"/>
                <w:szCs w:val="22"/>
                <w:u w:val="single"/>
              </w:rPr>
            </w:pPr>
            <w:r w:rsidRPr="004D4694">
              <w:rPr>
                <w:sz w:val="22"/>
                <w:szCs w:val="22"/>
              </w:rPr>
              <w:t>HR (95 % CI)</w:t>
            </w:r>
          </w:p>
        </w:tc>
        <w:tc>
          <w:tcPr>
            <w:tcW w:w="2059" w:type="pct"/>
            <w:gridSpan w:val="2"/>
            <w:tcBorders>
              <w:top w:val="single" w:sz="4" w:space="0" w:color="auto"/>
              <w:left w:val="single" w:sz="4" w:space="0" w:color="auto"/>
              <w:bottom w:val="single" w:sz="4" w:space="0" w:color="auto"/>
              <w:right w:val="single" w:sz="4" w:space="0" w:color="auto"/>
            </w:tcBorders>
            <w:hideMark/>
          </w:tcPr>
          <w:p w14:paraId="6A3A2809" w14:textId="77777777" w:rsidR="00925ABE" w:rsidRPr="004D4694" w:rsidRDefault="00925ABE">
            <w:pPr>
              <w:suppressAutoHyphens/>
              <w:jc w:val="center"/>
              <w:rPr>
                <w:bCs/>
                <w:sz w:val="22"/>
                <w:szCs w:val="22"/>
              </w:rPr>
            </w:pPr>
            <w:r w:rsidRPr="004D4694">
              <w:rPr>
                <w:sz w:val="22"/>
                <w:szCs w:val="22"/>
              </w:rPr>
              <w:t>1,30 (1,04; 1,64)</w:t>
            </w:r>
          </w:p>
        </w:tc>
        <w:tc>
          <w:tcPr>
            <w:tcW w:w="2059" w:type="pct"/>
            <w:gridSpan w:val="2"/>
            <w:tcBorders>
              <w:top w:val="single" w:sz="4" w:space="0" w:color="auto"/>
              <w:left w:val="single" w:sz="4" w:space="0" w:color="auto"/>
              <w:bottom w:val="single" w:sz="4" w:space="0" w:color="auto"/>
              <w:right w:val="single" w:sz="4" w:space="0" w:color="auto"/>
            </w:tcBorders>
            <w:hideMark/>
          </w:tcPr>
          <w:p w14:paraId="541EC5AC" w14:textId="77777777" w:rsidR="00925ABE" w:rsidRPr="004D4694" w:rsidRDefault="00925ABE">
            <w:pPr>
              <w:suppressAutoHyphens/>
              <w:jc w:val="center"/>
              <w:rPr>
                <w:bCs/>
                <w:sz w:val="22"/>
                <w:szCs w:val="22"/>
              </w:rPr>
            </w:pPr>
            <w:r w:rsidRPr="004D4694">
              <w:rPr>
                <w:sz w:val="22"/>
                <w:szCs w:val="22"/>
              </w:rPr>
              <w:t>1,34 (0,95; 1,90)</w:t>
            </w:r>
          </w:p>
        </w:tc>
      </w:tr>
      <w:tr w:rsidR="00925ABE" w:rsidRPr="004D4694" w14:paraId="7895779A"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74C57470" w14:textId="77777777" w:rsidR="00925ABE" w:rsidRPr="004D4694" w:rsidRDefault="00925ABE">
            <w:pPr>
              <w:suppressAutoHyphens/>
              <w:rPr>
                <w:bCs/>
                <w:sz w:val="22"/>
                <w:szCs w:val="22"/>
                <w:u w:val="single"/>
              </w:rPr>
            </w:pPr>
            <w:r w:rsidRPr="004D4694">
              <w:rPr>
                <w:sz w:val="22"/>
                <w:szCs w:val="22"/>
              </w:rPr>
              <w:t>p-</w:t>
            </w:r>
            <w:proofErr w:type="spellStart"/>
            <w:r w:rsidRPr="004D4694">
              <w:rPr>
                <w:sz w:val="22"/>
                <w:szCs w:val="22"/>
              </w:rPr>
              <w:t>værdi</w:t>
            </w:r>
            <w:proofErr w:type="spellEnd"/>
          </w:p>
        </w:tc>
        <w:tc>
          <w:tcPr>
            <w:tcW w:w="2059" w:type="pct"/>
            <w:gridSpan w:val="2"/>
            <w:tcBorders>
              <w:top w:val="single" w:sz="4" w:space="0" w:color="auto"/>
              <w:left w:val="single" w:sz="4" w:space="0" w:color="auto"/>
              <w:bottom w:val="single" w:sz="4" w:space="0" w:color="auto"/>
              <w:right w:val="single" w:sz="4" w:space="0" w:color="auto"/>
            </w:tcBorders>
            <w:hideMark/>
          </w:tcPr>
          <w:p w14:paraId="5610EFBC" w14:textId="77777777" w:rsidR="00925ABE" w:rsidRPr="004D4694" w:rsidRDefault="00925ABE">
            <w:pPr>
              <w:suppressAutoHyphens/>
              <w:jc w:val="center"/>
              <w:rPr>
                <w:bCs/>
                <w:sz w:val="22"/>
                <w:szCs w:val="22"/>
              </w:rPr>
            </w:pPr>
            <w:r w:rsidRPr="004D4694">
              <w:rPr>
                <w:bCs/>
                <w:sz w:val="22"/>
                <w:szCs w:val="22"/>
              </w:rPr>
              <w:t>0,021</w:t>
            </w:r>
          </w:p>
        </w:tc>
        <w:tc>
          <w:tcPr>
            <w:tcW w:w="2059" w:type="pct"/>
            <w:gridSpan w:val="2"/>
            <w:tcBorders>
              <w:top w:val="single" w:sz="4" w:space="0" w:color="auto"/>
              <w:left w:val="single" w:sz="4" w:space="0" w:color="auto"/>
              <w:bottom w:val="single" w:sz="4" w:space="0" w:color="auto"/>
              <w:right w:val="single" w:sz="4" w:space="0" w:color="auto"/>
            </w:tcBorders>
            <w:hideMark/>
          </w:tcPr>
          <w:p w14:paraId="62C9F3A9" w14:textId="77777777" w:rsidR="00925ABE" w:rsidRPr="004D4694" w:rsidRDefault="00925ABE">
            <w:pPr>
              <w:suppressAutoHyphens/>
              <w:jc w:val="center"/>
              <w:rPr>
                <w:bCs/>
                <w:sz w:val="22"/>
                <w:szCs w:val="22"/>
              </w:rPr>
            </w:pPr>
            <w:r w:rsidRPr="004D4694">
              <w:rPr>
                <w:bCs/>
                <w:sz w:val="22"/>
                <w:szCs w:val="22"/>
              </w:rPr>
              <w:t>0,095</w:t>
            </w:r>
          </w:p>
        </w:tc>
      </w:tr>
      <w:tr w:rsidR="00925ABE" w:rsidRPr="004D4694" w14:paraId="2121B924" w14:textId="77777777" w:rsidTr="009534FE">
        <w:tc>
          <w:tcPr>
            <w:tcW w:w="5000" w:type="pct"/>
            <w:gridSpan w:val="5"/>
            <w:tcBorders>
              <w:top w:val="single" w:sz="4" w:space="0" w:color="auto"/>
              <w:left w:val="single" w:sz="4" w:space="0" w:color="auto"/>
              <w:bottom w:val="single" w:sz="4" w:space="0" w:color="auto"/>
              <w:right w:val="single" w:sz="4" w:space="0" w:color="auto"/>
            </w:tcBorders>
            <w:hideMark/>
          </w:tcPr>
          <w:p w14:paraId="191A4DA7" w14:textId="77777777" w:rsidR="00925ABE" w:rsidRPr="004D4694" w:rsidRDefault="00925ABE">
            <w:pPr>
              <w:suppressAutoHyphens/>
              <w:rPr>
                <w:b/>
                <w:bCs/>
                <w:sz w:val="22"/>
                <w:szCs w:val="22"/>
                <w:lang w:val="da-DK"/>
              </w:rPr>
            </w:pPr>
            <w:r w:rsidRPr="004D4694">
              <w:rPr>
                <w:b/>
                <w:bCs/>
                <w:sz w:val="22"/>
                <w:szCs w:val="22"/>
                <w:lang w:val="da-DK"/>
              </w:rPr>
              <w:t xml:space="preserve">Forsøgspersoner, der tidligere havde fået </w:t>
            </w:r>
            <w:proofErr w:type="spellStart"/>
            <w:r w:rsidRPr="004D4694">
              <w:rPr>
                <w:b/>
                <w:bCs/>
                <w:sz w:val="22"/>
                <w:szCs w:val="22"/>
                <w:lang w:val="da-DK"/>
              </w:rPr>
              <w:t>trastuzumab</w:t>
            </w:r>
            <w:proofErr w:type="spellEnd"/>
            <w:r w:rsidRPr="004D4694">
              <w:rPr>
                <w:b/>
                <w:bCs/>
                <w:sz w:val="22"/>
                <w:szCs w:val="22"/>
                <w:lang w:val="da-DK"/>
              </w:rPr>
              <w:t>*</w:t>
            </w:r>
          </w:p>
        </w:tc>
      </w:tr>
      <w:tr w:rsidR="00925ABE" w:rsidRPr="004D4694" w14:paraId="4E60A337"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25C859C5" w14:textId="77777777" w:rsidR="00925ABE" w:rsidRPr="004D4694" w:rsidRDefault="00925ABE">
            <w:pPr>
              <w:suppressAutoHyphens/>
              <w:rPr>
                <w:bCs/>
                <w:sz w:val="22"/>
                <w:szCs w:val="22"/>
                <w:u w:val="single"/>
              </w:rPr>
            </w:pPr>
            <w:r w:rsidRPr="004D4694">
              <w:rPr>
                <w:bCs/>
                <w:sz w:val="22"/>
                <w:szCs w:val="22"/>
                <w:u w:val="single"/>
              </w:rPr>
              <w:t>n</w:t>
            </w:r>
          </w:p>
        </w:tc>
        <w:tc>
          <w:tcPr>
            <w:tcW w:w="1029" w:type="pct"/>
            <w:tcBorders>
              <w:top w:val="single" w:sz="4" w:space="0" w:color="auto"/>
              <w:left w:val="single" w:sz="4" w:space="0" w:color="auto"/>
              <w:bottom w:val="single" w:sz="4" w:space="0" w:color="auto"/>
              <w:right w:val="single" w:sz="4" w:space="0" w:color="auto"/>
            </w:tcBorders>
            <w:hideMark/>
          </w:tcPr>
          <w:p w14:paraId="12289D2E" w14:textId="77777777" w:rsidR="00925ABE" w:rsidRPr="004D4694" w:rsidRDefault="00925ABE">
            <w:pPr>
              <w:suppressAutoHyphens/>
              <w:jc w:val="center"/>
              <w:rPr>
                <w:bCs/>
                <w:sz w:val="22"/>
                <w:szCs w:val="22"/>
              </w:rPr>
            </w:pPr>
            <w:r w:rsidRPr="004D4694">
              <w:rPr>
                <w:bCs/>
                <w:sz w:val="22"/>
                <w:szCs w:val="22"/>
              </w:rPr>
              <w:t>167</w:t>
            </w:r>
          </w:p>
        </w:tc>
        <w:tc>
          <w:tcPr>
            <w:tcW w:w="1029" w:type="pct"/>
            <w:tcBorders>
              <w:top w:val="single" w:sz="4" w:space="0" w:color="auto"/>
              <w:left w:val="single" w:sz="4" w:space="0" w:color="auto"/>
              <w:bottom w:val="single" w:sz="4" w:space="0" w:color="auto"/>
              <w:right w:val="single" w:sz="4" w:space="0" w:color="auto"/>
            </w:tcBorders>
            <w:hideMark/>
          </w:tcPr>
          <w:p w14:paraId="3B22B38B" w14:textId="77777777" w:rsidR="00925ABE" w:rsidRPr="004D4694" w:rsidRDefault="00925ABE">
            <w:pPr>
              <w:suppressAutoHyphens/>
              <w:jc w:val="center"/>
              <w:rPr>
                <w:bCs/>
                <w:sz w:val="22"/>
                <w:szCs w:val="22"/>
              </w:rPr>
            </w:pPr>
            <w:r w:rsidRPr="004D4694">
              <w:rPr>
                <w:bCs/>
                <w:sz w:val="22"/>
                <w:szCs w:val="22"/>
              </w:rPr>
              <w:t>159</w:t>
            </w:r>
          </w:p>
        </w:tc>
        <w:tc>
          <w:tcPr>
            <w:tcW w:w="1029" w:type="pct"/>
            <w:tcBorders>
              <w:top w:val="single" w:sz="4" w:space="0" w:color="auto"/>
              <w:left w:val="single" w:sz="4" w:space="0" w:color="auto"/>
              <w:bottom w:val="single" w:sz="4" w:space="0" w:color="auto"/>
              <w:right w:val="single" w:sz="4" w:space="0" w:color="auto"/>
            </w:tcBorders>
            <w:hideMark/>
          </w:tcPr>
          <w:p w14:paraId="3D4EC06D" w14:textId="77777777" w:rsidR="00925ABE" w:rsidRPr="004D4694" w:rsidRDefault="00925ABE">
            <w:pPr>
              <w:suppressAutoHyphens/>
              <w:jc w:val="center"/>
              <w:rPr>
                <w:bCs/>
                <w:sz w:val="22"/>
                <w:szCs w:val="22"/>
              </w:rPr>
            </w:pPr>
            <w:r w:rsidRPr="004D4694">
              <w:rPr>
                <w:bCs/>
                <w:sz w:val="22"/>
                <w:szCs w:val="22"/>
              </w:rPr>
              <w:t>167</w:t>
            </w:r>
          </w:p>
        </w:tc>
        <w:tc>
          <w:tcPr>
            <w:tcW w:w="1029" w:type="pct"/>
            <w:tcBorders>
              <w:top w:val="single" w:sz="4" w:space="0" w:color="auto"/>
              <w:left w:val="single" w:sz="4" w:space="0" w:color="auto"/>
              <w:bottom w:val="single" w:sz="4" w:space="0" w:color="auto"/>
              <w:right w:val="single" w:sz="4" w:space="0" w:color="auto"/>
            </w:tcBorders>
            <w:hideMark/>
          </w:tcPr>
          <w:p w14:paraId="1138E2C7" w14:textId="77777777" w:rsidR="00925ABE" w:rsidRPr="004D4694" w:rsidRDefault="00925ABE">
            <w:pPr>
              <w:suppressAutoHyphens/>
              <w:jc w:val="center"/>
              <w:rPr>
                <w:bCs/>
                <w:sz w:val="22"/>
                <w:szCs w:val="22"/>
              </w:rPr>
            </w:pPr>
            <w:r w:rsidRPr="004D4694">
              <w:rPr>
                <w:bCs/>
                <w:sz w:val="22"/>
                <w:szCs w:val="22"/>
              </w:rPr>
              <w:t>159</w:t>
            </w:r>
          </w:p>
        </w:tc>
      </w:tr>
      <w:tr w:rsidR="00925ABE" w:rsidRPr="004D4694" w14:paraId="737289CA"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6C625449" w14:textId="77777777" w:rsidR="00925ABE" w:rsidRPr="004D4694" w:rsidRDefault="00925ABE">
            <w:pPr>
              <w:suppressAutoHyphens/>
              <w:rPr>
                <w:bCs/>
                <w:sz w:val="22"/>
                <w:szCs w:val="22"/>
                <w:u w:val="single"/>
              </w:rPr>
            </w:pPr>
            <w:proofErr w:type="spellStart"/>
            <w:r w:rsidRPr="004D4694">
              <w:rPr>
                <w:sz w:val="22"/>
                <w:szCs w:val="22"/>
              </w:rPr>
              <w:t>Antal</w:t>
            </w:r>
            <w:proofErr w:type="spellEnd"/>
            <w:r w:rsidRPr="004D4694">
              <w:rPr>
                <w:sz w:val="22"/>
                <w:szCs w:val="22"/>
              </w:rPr>
              <w:t xml:space="preserve"> (%) med hændelse</w:t>
            </w:r>
            <w:r w:rsidRPr="004D4694">
              <w:rPr>
                <w:sz w:val="22"/>
                <w:szCs w:val="22"/>
                <w:vertAlign w:val="superscript"/>
              </w:rPr>
              <w:t>1</w:t>
            </w:r>
          </w:p>
        </w:tc>
        <w:tc>
          <w:tcPr>
            <w:tcW w:w="1029" w:type="pct"/>
            <w:tcBorders>
              <w:top w:val="single" w:sz="4" w:space="0" w:color="auto"/>
              <w:left w:val="single" w:sz="4" w:space="0" w:color="auto"/>
              <w:bottom w:val="single" w:sz="4" w:space="0" w:color="auto"/>
              <w:right w:val="single" w:sz="4" w:space="0" w:color="auto"/>
            </w:tcBorders>
            <w:hideMark/>
          </w:tcPr>
          <w:p w14:paraId="13487686" w14:textId="77777777" w:rsidR="00925ABE" w:rsidRPr="004D4694" w:rsidRDefault="00925ABE">
            <w:pPr>
              <w:suppressAutoHyphens/>
              <w:jc w:val="center"/>
              <w:rPr>
                <w:bCs/>
                <w:sz w:val="22"/>
                <w:szCs w:val="22"/>
              </w:rPr>
            </w:pPr>
            <w:r w:rsidRPr="004D4694">
              <w:rPr>
                <w:sz w:val="22"/>
                <w:szCs w:val="22"/>
              </w:rPr>
              <w:t>103 (62)</w:t>
            </w:r>
          </w:p>
        </w:tc>
        <w:tc>
          <w:tcPr>
            <w:tcW w:w="1029" w:type="pct"/>
            <w:tcBorders>
              <w:top w:val="single" w:sz="4" w:space="0" w:color="auto"/>
              <w:left w:val="single" w:sz="4" w:space="0" w:color="auto"/>
              <w:bottom w:val="single" w:sz="4" w:space="0" w:color="auto"/>
              <w:right w:val="single" w:sz="4" w:space="0" w:color="auto"/>
            </w:tcBorders>
            <w:hideMark/>
          </w:tcPr>
          <w:p w14:paraId="5DF7ABD9" w14:textId="77777777" w:rsidR="00925ABE" w:rsidRPr="004D4694" w:rsidRDefault="00925ABE">
            <w:pPr>
              <w:suppressAutoHyphens/>
              <w:jc w:val="center"/>
              <w:rPr>
                <w:bCs/>
                <w:sz w:val="22"/>
                <w:szCs w:val="22"/>
              </w:rPr>
            </w:pPr>
            <w:r w:rsidRPr="004D4694">
              <w:rPr>
                <w:sz w:val="22"/>
                <w:szCs w:val="22"/>
              </w:rPr>
              <w:t>86 (54)</w:t>
            </w:r>
          </w:p>
        </w:tc>
        <w:tc>
          <w:tcPr>
            <w:tcW w:w="1029" w:type="pct"/>
            <w:tcBorders>
              <w:top w:val="single" w:sz="4" w:space="0" w:color="auto"/>
              <w:left w:val="single" w:sz="4" w:space="0" w:color="auto"/>
              <w:bottom w:val="single" w:sz="4" w:space="0" w:color="auto"/>
              <w:right w:val="single" w:sz="4" w:space="0" w:color="auto"/>
            </w:tcBorders>
            <w:hideMark/>
          </w:tcPr>
          <w:p w14:paraId="01889461" w14:textId="77777777" w:rsidR="00925ABE" w:rsidRPr="004D4694" w:rsidRDefault="00925ABE">
            <w:pPr>
              <w:suppressAutoHyphens/>
              <w:jc w:val="center"/>
              <w:rPr>
                <w:bCs/>
                <w:sz w:val="22"/>
                <w:szCs w:val="22"/>
              </w:rPr>
            </w:pPr>
            <w:r w:rsidRPr="004D4694">
              <w:rPr>
                <w:sz w:val="22"/>
                <w:szCs w:val="22"/>
              </w:rPr>
              <w:t>43 (26)</w:t>
            </w:r>
          </w:p>
        </w:tc>
        <w:tc>
          <w:tcPr>
            <w:tcW w:w="1029" w:type="pct"/>
            <w:tcBorders>
              <w:top w:val="single" w:sz="4" w:space="0" w:color="auto"/>
              <w:left w:val="single" w:sz="4" w:space="0" w:color="auto"/>
              <w:bottom w:val="single" w:sz="4" w:space="0" w:color="auto"/>
              <w:right w:val="single" w:sz="4" w:space="0" w:color="auto"/>
            </w:tcBorders>
            <w:hideMark/>
          </w:tcPr>
          <w:p w14:paraId="6FB0F9F8" w14:textId="77777777" w:rsidR="00925ABE" w:rsidRPr="004D4694" w:rsidRDefault="00925ABE">
            <w:pPr>
              <w:suppressAutoHyphens/>
              <w:jc w:val="center"/>
              <w:rPr>
                <w:bCs/>
                <w:sz w:val="22"/>
                <w:szCs w:val="22"/>
              </w:rPr>
            </w:pPr>
            <w:r w:rsidRPr="004D4694">
              <w:rPr>
                <w:sz w:val="22"/>
                <w:szCs w:val="22"/>
              </w:rPr>
              <w:t>38 (24)</w:t>
            </w:r>
          </w:p>
        </w:tc>
      </w:tr>
      <w:tr w:rsidR="00925ABE" w:rsidRPr="004D4694" w14:paraId="7DD0014C"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0C1D08F1" w14:textId="77777777" w:rsidR="00925ABE" w:rsidRPr="004D4694" w:rsidRDefault="00925ABE">
            <w:pPr>
              <w:suppressAutoHyphens/>
              <w:rPr>
                <w:bCs/>
                <w:sz w:val="22"/>
                <w:szCs w:val="22"/>
                <w:u w:val="single"/>
              </w:rPr>
            </w:pPr>
            <w:r w:rsidRPr="004D4694">
              <w:rPr>
                <w:sz w:val="22"/>
                <w:szCs w:val="22"/>
              </w:rPr>
              <w:t>Median (95 % CI)</w:t>
            </w:r>
          </w:p>
        </w:tc>
        <w:tc>
          <w:tcPr>
            <w:tcW w:w="1029" w:type="pct"/>
            <w:tcBorders>
              <w:top w:val="single" w:sz="4" w:space="0" w:color="auto"/>
              <w:left w:val="single" w:sz="4" w:space="0" w:color="auto"/>
              <w:bottom w:val="single" w:sz="4" w:space="0" w:color="auto"/>
              <w:right w:val="single" w:sz="4" w:space="0" w:color="auto"/>
            </w:tcBorders>
            <w:hideMark/>
          </w:tcPr>
          <w:p w14:paraId="50ECB115" w14:textId="77777777" w:rsidR="00925ABE" w:rsidRPr="004D4694" w:rsidRDefault="00925ABE">
            <w:pPr>
              <w:suppressAutoHyphens/>
              <w:jc w:val="center"/>
              <w:rPr>
                <w:bCs/>
                <w:sz w:val="22"/>
                <w:szCs w:val="22"/>
              </w:rPr>
            </w:pPr>
            <w:r w:rsidRPr="004D4694">
              <w:rPr>
                <w:sz w:val="22"/>
                <w:szCs w:val="22"/>
              </w:rPr>
              <w:t>6,6 (5,7; 8,3)</w:t>
            </w:r>
          </w:p>
        </w:tc>
        <w:tc>
          <w:tcPr>
            <w:tcW w:w="1029" w:type="pct"/>
            <w:tcBorders>
              <w:top w:val="single" w:sz="4" w:space="0" w:color="auto"/>
              <w:left w:val="single" w:sz="4" w:space="0" w:color="auto"/>
              <w:bottom w:val="single" w:sz="4" w:space="0" w:color="auto"/>
              <w:right w:val="single" w:sz="4" w:space="0" w:color="auto"/>
            </w:tcBorders>
            <w:hideMark/>
          </w:tcPr>
          <w:p w14:paraId="235260ED" w14:textId="77777777" w:rsidR="00925ABE" w:rsidRPr="004D4694" w:rsidRDefault="00925ABE">
            <w:pPr>
              <w:suppressAutoHyphens/>
              <w:jc w:val="center"/>
              <w:rPr>
                <w:bCs/>
                <w:sz w:val="22"/>
                <w:szCs w:val="22"/>
              </w:rPr>
            </w:pPr>
            <w:r w:rsidRPr="004D4694">
              <w:rPr>
                <w:sz w:val="22"/>
                <w:szCs w:val="22"/>
              </w:rPr>
              <w:t>6,1 (5,7; 8,0)</w:t>
            </w:r>
          </w:p>
        </w:tc>
        <w:tc>
          <w:tcPr>
            <w:tcW w:w="1029" w:type="pct"/>
            <w:tcBorders>
              <w:top w:val="single" w:sz="4" w:space="0" w:color="auto"/>
              <w:left w:val="single" w:sz="4" w:space="0" w:color="auto"/>
              <w:bottom w:val="single" w:sz="4" w:space="0" w:color="auto"/>
              <w:right w:val="single" w:sz="4" w:space="0" w:color="auto"/>
            </w:tcBorders>
            <w:hideMark/>
          </w:tcPr>
          <w:p w14:paraId="2A5D25F6" w14:textId="77777777" w:rsidR="00925ABE" w:rsidRPr="004D4694" w:rsidRDefault="00925ABE">
            <w:pPr>
              <w:suppressAutoHyphens/>
              <w:jc w:val="center"/>
              <w:rPr>
                <w:bCs/>
                <w:sz w:val="22"/>
                <w:szCs w:val="22"/>
              </w:rPr>
            </w:pPr>
            <w:r w:rsidRPr="004D4694">
              <w:rPr>
                <w:sz w:val="22"/>
                <w:szCs w:val="22"/>
              </w:rPr>
              <w:t>22,7 (20,1; -)</w:t>
            </w:r>
          </w:p>
        </w:tc>
        <w:tc>
          <w:tcPr>
            <w:tcW w:w="1029" w:type="pct"/>
            <w:tcBorders>
              <w:top w:val="single" w:sz="4" w:space="0" w:color="auto"/>
              <w:left w:val="single" w:sz="4" w:space="0" w:color="auto"/>
              <w:bottom w:val="single" w:sz="4" w:space="0" w:color="auto"/>
              <w:right w:val="single" w:sz="4" w:space="0" w:color="auto"/>
            </w:tcBorders>
            <w:hideMark/>
          </w:tcPr>
          <w:p w14:paraId="52861B3E" w14:textId="77777777" w:rsidR="00925ABE" w:rsidRPr="004D4694" w:rsidRDefault="00925ABE">
            <w:pPr>
              <w:suppressAutoHyphens/>
              <w:jc w:val="center"/>
              <w:rPr>
                <w:bCs/>
                <w:sz w:val="22"/>
                <w:szCs w:val="22"/>
              </w:rPr>
            </w:pPr>
            <w:r w:rsidRPr="004D4694">
              <w:rPr>
                <w:sz w:val="22"/>
                <w:szCs w:val="22"/>
              </w:rPr>
              <w:t>27,3 (22,5; 33,6)</w:t>
            </w:r>
          </w:p>
        </w:tc>
      </w:tr>
      <w:tr w:rsidR="00925ABE" w:rsidRPr="004D4694" w14:paraId="2500E342"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2FCEB067" w14:textId="77777777" w:rsidR="00925ABE" w:rsidRPr="004D4694" w:rsidRDefault="00925ABE">
            <w:pPr>
              <w:suppressAutoHyphens/>
              <w:rPr>
                <w:bCs/>
                <w:sz w:val="22"/>
                <w:szCs w:val="22"/>
                <w:u w:val="single"/>
              </w:rPr>
            </w:pPr>
            <w:r w:rsidRPr="004D4694">
              <w:rPr>
                <w:sz w:val="22"/>
                <w:szCs w:val="22"/>
              </w:rPr>
              <w:t>HR (95 % CI)</w:t>
            </w:r>
          </w:p>
        </w:tc>
        <w:tc>
          <w:tcPr>
            <w:tcW w:w="2059" w:type="pct"/>
            <w:gridSpan w:val="2"/>
            <w:tcBorders>
              <w:top w:val="single" w:sz="4" w:space="0" w:color="auto"/>
              <w:left w:val="single" w:sz="4" w:space="0" w:color="auto"/>
              <w:bottom w:val="single" w:sz="4" w:space="0" w:color="auto"/>
              <w:right w:val="single" w:sz="4" w:space="0" w:color="auto"/>
            </w:tcBorders>
            <w:hideMark/>
          </w:tcPr>
          <w:p w14:paraId="2752398F" w14:textId="77777777" w:rsidR="00925ABE" w:rsidRPr="004D4694" w:rsidRDefault="00925ABE">
            <w:pPr>
              <w:suppressAutoHyphens/>
              <w:jc w:val="center"/>
              <w:rPr>
                <w:bCs/>
                <w:sz w:val="22"/>
                <w:szCs w:val="22"/>
              </w:rPr>
            </w:pPr>
            <w:r w:rsidRPr="004D4694">
              <w:rPr>
                <w:bCs/>
                <w:sz w:val="22"/>
                <w:szCs w:val="22"/>
              </w:rPr>
              <w:t>1,13 (0,85; 1,50)</w:t>
            </w:r>
          </w:p>
        </w:tc>
        <w:tc>
          <w:tcPr>
            <w:tcW w:w="2059" w:type="pct"/>
            <w:gridSpan w:val="2"/>
            <w:tcBorders>
              <w:top w:val="single" w:sz="4" w:space="0" w:color="auto"/>
              <w:left w:val="single" w:sz="4" w:space="0" w:color="auto"/>
              <w:bottom w:val="single" w:sz="4" w:space="0" w:color="auto"/>
              <w:right w:val="single" w:sz="4" w:space="0" w:color="auto"/>
            </w:tcBorders>
            <w:hideMark/>
          </w:tcPr>
          <w:p w14:paraId="1876EA22" w14:textId="77777777" w:rsidR="00925ABE" w:rsidRPr="004D4694" w:rsidRDefault="00925ABE">
            <w:pPr>
              <w:suppressAutoHyphens/>
              <w:jc w:val="center"/>
              <w:rPr>
                <w:bCs/>
                <w:sz w:val="22"/>
                <w:szCs w:val="22"/>
              </w:rPr>
            </w:pPr>
            <w:r w:rsidRPr="004D4694">
              <w:rPr>
                <w:bCs/>
                <w:sz w:val="22"/>
                <w:szCs w:val="22"/>
              </w:rPr>
              <w:t>1,18 (0,76; 1,83)</w:t>
            </w:r>
          </w:p>
        </w:tc>
      </w:tr>
      <w:tr w:rsidR="00925ABE" w:rsidRPr="004D4694" w14:paraId="6341F90E" w14:textId="77777777" w:rsidTr="009534FE">
        <w:tc>
          <w:tcPr>
            <w:tcW w:w="5000" w:type="pct"/>
            <w:gridSpan w:val="5"/>
            <w:tcBorders>
              <w:top w:val="single" w:sz="4" w:space="0" w:color="auto"/>
              <w:left w:val="single" w:sz="4" w:space="0" w:color="auto"/>
              <w:bottom w:val="single" w:sz="4" w:space="0" w:color="auto"/>
              <w:right w:val="single" w:sz="4" w:space="0" w:color="auto"/>
            </w:tcBorders>
            <w:hideMark/>
          </w:tcPr>
          <w:p w14:paraId="2E1B2AB4" w14:textId="77777777" w:rsidR="00925ABE" w:rsidRPr="004D4694" w:rsidRDefault="00925ABE">
            <w:pPr>
              <w:suppressAutoHyphens/>
              <w:rPr>
                <w:b/>
                <w:bCs/>
                <w:sz w:val="22"/>
                <w:szCs w:val="22"/>
                <w:lang w:val="da-DK"/>
              </w:rPr>
            </w:pPr>
            <w:r w:rsidRPr="004D4694">
              <w:rPr>
                <w:b/>
                <w:bCs/>
                <w:sz w:val="22"/>
                <w:szCs w:val="22"/>
                <w:lang w:val="da-DK"/>
              </w:rPr>
              <w:t xml:space="preserve">Forsøgspersoner, der ikke tidligere havde fået </w:t>
            </w:r>
            <w:proofErr w:type="spellStart"/>
            <w:r w:rsidRPr="004D4694">
              <w:rPr>
                <w:b/>
                <w:bCs/>
                <w:sz w:val="22"/>
                <w:szCs w:val="22"/>
                <w:lang w:val="da-DK"/>
              </w:rPr>
              <w:t>trastuzumab</w:t>
            </w:r>
            <w:proofErr w:type="spellEnd"/>
            <w:r w:rsidRPr="004D4694">
              <w:rPr>
                <w:b/>
                <w:bCs/>
                <w:sz w:val="22"/>
                <w:szCs w:val="22"/>
                <w:lang w:val="da-DK"/>
              </w:rPr>
              <w:t>*</w:t>
            </w:r>
          </w:p>
        </w:tc>
      </w:tr>
      <w:tr w:rsidR="00925ABE" w:rsidRPr="004D4694" w14:paraId="57002122"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74FC7ABB" w14:textId="77777777" w:rsidR="00925ABE" w:rsidRPr="004D4694" w:rsidRDefault="00925ABE">
            <w:pPr>
              <w:suppressAutoHyphens/>
              <w:rPr>
                <w:bCs/>
                <w:sz w:val="22"/>
                <w:szCs w:val="22"/>
              </w:rPr>
            </w:pPr>
            <w:r w:rsidRPr="004D4694">
              <w:rPr>
                <w:bCs/>
                <w:sz w:val="22"/>
                <w:szCs w:val="22"/>
              </w:rPr>
              <w:t>n</w:t>
            </w:r>
          </w:p>
        </w:tc>
        <w:tc>
          <w:tcPr>
            <w:tcW w:w="1029" w:type="pct"/>
            <w:tcBorders>
              <w:top w:val="single" w:sz="4" w:space="0" w:color="auto"/>
              <w:left w:val="single" w:sz="4" w:space="0" w:color="auto"/>
              <w:bottom w:val="single" w:sz="4" w:space="0" w:color="auto"/>
              <w:right w:val="single" w:sz="4" w:space="0" w:color="auto"/>
            </w:tcBorders>
            <w:hideMark/>
          </w:tcPr>
          <w:p w14:paraId="14FD4050" w14:textId="77777777" w:rsidR="00925ABE" w:rsidRPr="004D4694" w:rsidRDefault="00925ABE">
            <w:pPr>
              <w:suppressAutoHyphens/>
              <w:jc w:val="center"/>
              <w:rPr>
                <w:bCs/>
                <w:sz w:val="22"/>
                <w:szCs w:val="22"/>
              </w:rPr>
            </w:pPr>
            <w:r w:rsidRPr="004D4694">
              <w:rPr>
                <w:bCs/>
                <w:sz w:val="22"/>
                <w:szCs w:val="22"/>
              </w:rPr>
              <w:t>104</w:t>
            </w:r>
          </w:p>
        </w:tc>
        <w:tc>
          <w:tcPr>
            <w:tcW w:w="1029" w:type="pct"/>
            <w:tcBorders>
              <w:top w:val="single" w:sz="4" w:space="0" w:color="auto"/>
              <w:left w:val="single" w:sz="4" w:space="0" w:color="auto"/>
              <w:bottom w:val="single" w:sz="4" w:space="0" w:color="auto"/>
              <w:right w:val="single" w:sz="4" w:space="0" w:color="auto"/>
            </w:tcBorders>
            <w:hideMark/>
          </w:tcPr>
          <w:p w14:paraId="5298F196" w14:textId="77777777" w:rsidR="00925ABE" w:rsidRPr="004D4694" w:rsidRDefault="00925ABE">
            <w:pPr>
              <w:suppressAutoHyphens/>
              <w:jc w:val="center"/>
              <w:rPr>
                <w:bCs/>
                <w:sz w:val="22"/>
                <w:szCs w:val="22"/>
              </w:rPr>
            </w:pPr>
            <w:r w:rsidRPr="004D4694">
              <w:rPr>
                <w:bCs/>
                <w:sz w:val="22"/>
                <w:szCs w:val="22"/>
              </w:rPr>
              <w:t>110</w:t>
            </w:r>
          </w:p>
        </w:tc>
        <w:tc>
          <w:tcPr>
            <w:tcW w:w="1029" w:type="pct"/>
            <w:tcBorders>
              <w:top w:val="single" w:sz="4" w:space="0" w:color="auto"/>
              <w:left w:val="single" w:sz="4" w:space="0" w:color="auto"/>
              <w:bottom w:val="single" w:sz="4" w:space="0" w:color="auto"/>
              <w:right w:val="single" w:sz="4" w:space="0" w:color="auto"/>
            </w:tcBorders>
            <w:hideMark/>
          </w:tcPr>
          <w:p w14:paraId="5078EDFE" w14:textId="77777777" w:rsidR="00925ABE" w:rsidRPr="004D4694" w:rsidRDefault="00925ABE">
            <w:pPr>
              <w:suppressAutoHyphens/>
              <w:jc w:val="center"/>
              <w:rPr>
                <w:bCs/>
                <w:sz w:val="22"/>
                <w:szCs w:val="22"/>
              </w:rPr>
            </w:pPr>
            <w:r w:rsidRPr="004D4694">
              <w:rPr>
                <w:bCs/>
                <w:sz w:val="22"/>
                <w:szCs w:val="22"/>
              </w:rPr>
              <w:t>104</w:t>
            </w:r>
          </w:p>
        </w:tc>
        <w:tc>
          <w:tcPr>
            <w:tcW w:w="1029" w:type="pct"/>
            <w:tcBorders>
              <w:top w:val="single" w:sz="4" w:space="0" w:color="auto"/>
              <w:left w:val="single" w:sz="4" w:space="0" w:color="auto"/>
              <w:bottom w:val="single" w:sz="4" w:space="0" w:color="auto"/>
              <w:right w:val="single" w:sz="4" w:space="0" w:color="auto"/>
            </w:tcBorders>
            <w:hideMark/>
          </w:tcPr>
          <w:p w14:paraId="4A4F15B2" w14:textId="77777777" w:rsidR="00925ABE" w:rsidRPr="004D4694" w:rsidRDefault="00925ABE">
            <w:pPr>
              <w:suppressAutoHyphens/>
              <w:jc w:val="center"/>
              <w:rPr>
                <w:bCs/>
                <w:sz w:val="22"/>
                <w:szCs w:val="22"/>
              </w:rPr>
            </w:pPr>
            <w:r w:rsidRPr="004D4694">
              <w:rPr>
                <w:bCs/>
                <w:sz w:val="22"/>
                <w:szCs w:val="22"/>
              </w:rPr>
              <w:t>110</w:t>
            </w:r>
          </w:p>
        </w:tc>
      </w:tr>
      <w:tr w:rsidR="00925ABE" w:rsidRPr="004D4694" w14:paraId="3F10E6B7"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3B03FC87" w14:textId="77777777" w:rsidR="00925ABE" w:rsidRPr="004D4694" w:rsidRDefault="00925ABE">
            <w:pPr>
              <w:suppressAutoHyphens/>
              <w:rPr>
                <w:bCs/>
                <w:sz w:val="22"/>
                <w:szCs w:val="22"/>
                <w:u w:val="single"/>
              </w:rPr>
            </w:pPr>
            <w:proofErr w:type="spellStart"/>
            <w:r w:rsidRPr="004D4694">
              <w:rPr>
                <w:sz w:val="22"/>
                <w:szCs w:val="22"/>
              </w:rPr>
              <w:t>Antal</w:t>
            </w:r>
            <w:proofErr w:type="spellEnd"/>
            <w:r w:rsidRPr="004D4694">
              <w:rPr>
                <w:sz w:val="22"/>
                <w:szCs w:val="22"/>
              </w:rPr>
              <w:t xml:space="preserve"> (%) med hændelse</w:t>
            </w:r>
            <w:r w:rsidRPr="004D4694">
              <w:rPr>
                <w:sz w:val="22"/>
                <w:szCs w:val="22"/>
                <w:vertAlign w:val="superscript"/>
              </w:rPr>
              <w:t>1</w:t>
            </w:r>
          </w:p>
        </w:tc>
        <w:tc>
          <w:tcPr>
            <w:tcW w:w="1029" w:type="pct"/>
            <w:tcBorders>
              <w:top w:val="single" w:sz="4" w:space="0" w:color="auto"/>
              <w:left w:val="single" w:sz="4" w:space="0" w:color="auto"/>
              <w:bottom w:val="single" w:sz="4" w:space="0" w:color="auto"/>
              <w:right w:val="single" w:sz="4" w:space="0" w:color="auto"/>
            </w:tcBorders>
            <w:hideMark/>
          </w:tcPr>
          <w:p w14:paraId="22FBA574" w14:textId="77777777" w:rsidR="00925ABE" w:rsidRPr="004D4694" w:rsidRDefault="00925ABE">
            <w:pPr>
              <w:suppressAutoHyphens/>
              <w:jc w:val="center"/>
              <w:rPr>
                <w:bCs/>
                <w:sz w:val="22"/>
                <w:szCs w:val="22"/>
              </w:rPr>
            </w:pPr>
            <w:r w:rsidRPr="004D4694">
              <w:rPr>
                <w:sz w:val="22"/>
                <w:szCs w:val="22"/>
              </w:rPr>
              <w:t>57 (55)</w:t>
            </w:r>
          </w:p>
        </w:tc>
        <w:tc>
          <w:tcPr>
            <w:tcW w:w="1029" w:type="pct"/>
            <w:tcBorders>
              <w:top w:val="single" w:sz="4" w:space="0" w:color="auto"/>
              <w:left w:val="single" w:sz="4" w:space="0" w:color="auto"/>
              <w:bottom w:val="single" w:sz="4" w:space="0" w:color="auto"/>
              <w:right w:val="single" w:sz="4" w:space="0" w:color="auto"/>
            </w:tcBorders>
            <w:hideMark/>
          </w:tcPr>
          <w:p w14:paraId="2B0727E3" w14:textId="77777777" w:rsidR="00925ABE" w:rsidRPr="004D4694" w:rsidRDefault="00925ABE">
            <w:pPr>
              <w:suppressAutoHyphens/>
              <w:jc w:val="center"/>
              <w:rPr>
                <w:bCs/>
                <w:sz w:val="22"/>
                <w:szCs w:val="22"/>
              </w:rPr>
            </w:pPr>
            <w:r w:rsidRPr="004D4694">
              <w:rPr>
                <w:sz w:val="22"/>
                <w:szCs w:val="22"/>
              </w:rPr>
              <w:t>48 (44)</w:t>
            </w:r>
          </w:p>
        </w:tc>
        <w:tc>
          <w:tcPr>
            <w:tcW w:w="1029" w:type="pct"/>
            <w:tcBorders>
              <w:top w:val="single" w:sz="4" w:space="0" w:color="auto"/>
              <w:left w:val="single" w:sz="4" w:space="0" w:color="auto"/>
              <w:bottom w:val="single" w:sz="4" w:space="0" w:color="auto"/>
              <w:right w:val="single" w:sz="4" w:space="0" w:color="auto"/>
            </w:tcBorders>
            <w:hideMark/>
          </w:tcPr>
          <w:p w14:paraId="4C91F3A6" w14:textId="77777777" w:rsidR="00925ABE" w:rsidRPr="004D4694" w:rsidRDefault="00925ABE">
            <w:pPr>
              <w:suppressAutoHyphens/>
              <w:jc w:val="center"/>
              <w:rPr>
                <w:bCs/>
                <w:sz w:val="22"/>
                <w:szCs w:val="22"/>
              </w:rPr>
            </w:pPr>
            <w:r w:rsidRPr="004D4694">
              <w:rPr>
                <w:sz w:val="22"/>
                <w:szCs w:val="22"/>
              </w:rPr>
              <w:t>27 (26)</w:t>
            </w:r>
          </w:p>
        </w:tc>
        <w:tc>
          <w:tcPr>
            <w:tcW w:w="1029" w:type="pct"/>
            <w:tcBorders>
              <w:top w:val="single" w:sz="4" w:space="0" w:color="auto"/>
              <w:left w:val="single" w:sz="4" w:space="0" w:color="auto"/>
              <w:bottom w:val="single" w:sz="4" w:space="0" w:color="auto"/>
              <w:right w:val="single" w:sz="4" w:space="0" w:color="auto"/>
            </w:tcBorders>
            <w:hideMark/>
          </w:tcPr>
          <w:p w14:paraId="163D0C63" w14:textId="77777777" w:rsidR="00925ABE" w:rsidRPr="004D4694" w:rsidRDefault="00925ABE">
            <w:pPr>
              <w:suppressAutoHyphens/>
              <w:jc w:val="center"/>
              <w:rPr>
                <w:bCs/>
                <w:sz w:val="22"/>
                <w:szCs w:val="22"/>
              </w:rPr>
            </w:pPr>
            <w:r w:rsidRPr="004D4694">
              <w:rPr>
                <w:sz w:val="22"/>
                <w:szCs w:val="22"/>
              </w:rPr>
              <w:t>20 (18)</w:t>
            </w:r>
          </w:p>
        </w:tc>
      </w:tr>
      <w:tr w:rsidR="00925ABE" w:rsidRPr="004D4694" w14:paraId="7AFB02E7"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066FCF87" w14:textId="77777777" w:rsidR="00925ABE" w:rsidRPr="004D4694" w:rsidRDefault="00925ABE">
            <w:pPr>
              <w:suppressAutoHyphens/>
              <w:rPr>
                <w:bCs/>
                <w:sz w:val="22"/>
                <w:szCs w:val="22"/>
                <w:u w:val="single"/>
              </w:rPr>
            </w:pPr>
            <w:r w:rsidRPr="004D4694">
              <w:rPr>
                <w:sz w:val="22"/>
                <w:szCs w:val="22"/>
              </w:rPr>
              <w:t>Median (95 % CI)</w:t>
            </w:r>
          </w:p>
        </w:tc>
        <w:tc>
          <w:tcPr>
            <w:tcW w:w="1029" w:type="pct"/>
            <w:tcBorders>
              <w:top w:val="single" w:sz="4" w:space="0" w:color="auto"/>
              <w:left w:val="single" w:sz="4" w:space="0" w:color="auto"/>
              <w:bottom w:val="single" w:sz="4" w:space="0" w:color="auto"/>
              <w:right w:val="single" w:sz="4" w:space="0" w:color="auto"/>
            </w:tcBorders>
            <w:hideMark/>
          </w:tcPr>
          <w:p w14:paraId="0A7927BE" w14:textId="77777777" w:rsidR="00925ABE" w:rsidRPr="004D4694" w:rsidRDefault="00925ABE">
            <w:pPr>
              <w:tabs>
                <w:tab w:val="left" w:pos="1260"/>
              </w:tabs>
              <w:suppressAutoHyphens/>
              <w:jc w:val="center"/>
              <w:rPr>
                <w:bCs/>
                <w:sz w:val="22"/>
                <w:szCs w:val="22"/>
                <w:u w:val="single"/>
              </w:rPr>
            </w:pPr>
            <w:r w:rsidRPr="004D4694">
              <w:rPr>
                <w:sz w:val="22"/>
                <w:szCs w:val="22"/>
              </w:rPr>
              <w:t>6,3 (5,6; 8,1)</w:t>
            </w:r>
          </w:p>
        </w:tc>
        <w:tc>
          <w:tcPr>
            <w:tcW w:w="1029" w:type="pct"/>
            <w:tcBorders>
              <w:top w:val="single" w:sz="4" w:space="0" w:color="auto"/>
              <w:left w:val="single" w:sz="4" w:space="0" w:color="auto"/>
              <w:bottom w:val="single" w:sz="4" w:space="0" w:color="auto"/>
              <w:right w:val="single" w:sz="4" w:space="0" w:color="auto"/>
            </w:tcBorders>
            <w:hideMark/>
          </w:tcPr>
          <w:p w14:paraId="64F65241" w14:textId="77777777" w:rsidR="00925ABE" w:rsidRPr="004D4694" w:rsidRDefault="00925ABE">
            <w:pPr>
              <w:suppressAutoHyphens/>
              <w:jc w:val="center"/>
              <w:rPr>
                <w:bCs/>
                <w:sz w:val="22"/>
                <w:szCs w:val="22"/>
                <w:u w:val="single"/>
              </w:rPr>
            </w:pPr>
            <w:r w:rsidRPr="004D4694">
              <w:rPr>
                <w:sz w:val="22"/>
                <w:szCs w:val="22"/>
              </w:rPr>
              <w:t>10,9 (8,3; 15,0)</w:t>
            </w:r>
          </w:p>
        </w:tc>
        <w:tc>
          <w:tcPr>
            <w:tcW w:w="1029" w:type="pct"/>
            <w:tcBorders>
              <w:top w:val="single" w:sz="4" w:space="0" w:color="auto"/>
              <w:left w:val="single" w:sz="4" w:space="0" w:color="auto"/>
              <w:bottom w:val="single" w:sz="4" w:space="0" w:color="auto"/>
              <w:right w:val="single" w:sz="4" w:space="0" w:color="auto"/>
            </w:tcBorders>
            <w:hideMark/>
          </w:tcPr>
          <w:p w14:paraId="58BE6439" w14:textId="77777777" w:rsidR="00925ABE" w:rsidRPr="004D4694" w:rsidRDefault="00925ABE">
            <w:pPr>
              <w:suppressAutoHyphens/>
              <w:jc w:val="center"/>
              <w:rPr>
                <w:bCs/>
                <w:sz w:val="22"/>
                <w:szCs w:val="22"/>
                <w:u w:val="single"/>
              </w:rPr>
            </w:pPr>
            <w:r w:rsidRPr="004D4694">
              <w:rPr>
                <w:sz w:val="22"/>
                <w:szCs w:val="22"/>
              </w:rPr>
              <w:t>NE</w:t>
            </w:r>
            <w:r w:rsidRPr="004D4694">
              <w:rPr>
                <w:sz w:val="22"/>
                <w:szCs w:val="22"/>
                <w:vertAlign w:val="superscript"/>
              </w:rPr>
              <w:t>2</w:t>
            </w:r>
            <w:r w:rsidRPr="004D4694">
              <w:rPr>
                <w:sz w:val="22"/>
                <w:szCs w:val="22"/>
              </w:rPr>
              <w:t xml:space="preserve"> (14,6; -)</w:t>
            </w:r>
          </w:p>
        </w:tc>
        <w:tc>
          <w:tcPr>
            <w:tcW w:w="1029" w:type="pct"/>
            <w:tcBorders>
              <w:top w:val="single" w:sz="4" w:space="0" w:color="auto"/>
              <w:left w:val="single" w:sz="4" w:space="0" w:color="auto"/>
              <w:bottom w:val="single" w:sz="4" w:space="0" w:color="auto"/>
              <w:right w:val="single" w:sz="4" w:space="0" w:color="auto"/>
            </w:tcBorders>
            <w:hideMark/>
          </w:tcPr>
          <w:p w14:paraId="1B17CC08" w14:textId="77777777" w:rsidR="00925ABE" w:rsidRPr="004D4694" w:rsidRDefault="00925ABE">
            <w:pPr>
              <w:suppressAutoHyphens/>
              <w:jc w:val="center"/>
              <w:rPr>
                <w:bCs/>
                <w:sz w:val="22"/>
                <w:szCs w:val="22"/>
                <w:u w:val="single"/>
              </w:rPr>
            </w:pPr>
            <w:r w:rsidRPr="004D4694">
              <w:rPr>
                <w:sz w:val="22"/>
                <w:szCs w:val="22"/>
              </w:rPr>
              <w:t>NE</w:t>
            </w:r>
            <w:r w:rsidRPr="004D4694">
              <w:rPr>
                <w:sz w:val="22"/>
                <w:szCs w:val="22"/>
                <w:vertAlign w:val="superscript"/>
              </w:rPr>
              <w:t>2</w:t>
            </w:r>
            <w:r w:rsidRPr="004D4694">
              <w:rPr>
                <w:sz w:val="22"/>
                <w:szCs w:val="22"/>
              </w:rPr>
              <w:t xml:space="preserve"> (21,6; -)</w:t>
            </w:r>
          </w:p>
        </w:tc>
      </w:tr>
      <w:tr w:rsidR="00925ABE" w:rsidRPr="004D4694" w14:paraId="4F22FC2E" w14:textId="77777777" w:rsidTr="009534FE">
        <w:tc>
          <w:tcPr>
            <w:tcW w:w="882" w:type="pct"/>
            <w:tcBorders>
              <w:top w:val="single" w:sz="4" w:space="0" w:color="auto"/>
              <w:left w:val="single" w:sz="4" w:space="0" w:color="auto"/>
              <w:bottom w:val="single" w:sz="4" w:space="0" w:color="auto"/>
              <w:right w:val="single" w:sz="4" w:space="0" w:color="auto"/>
            </w:tcBorders>
            <w:hideMark/>
          </w:tcPr>
          <w:p w14:paraId="0AAB5A5F" w14:textId="77777777" w:rsidR="00925ABE" w:rsidRPr="004D4694" w:rsidRDefault="00925ABE">
            <w:pPr>
              <w:suppressAutoHyphens/>
              <w:jc w:val="center"/>
              <w:rPr>
                <w:sz w:val="22"/>
                <w:szCs w:val="22"/>
              </w:rPr>
            </w:pPr>
            <w:r w:rsidRPr="004D4694">
              <w:rPr>
                <w:sz w:val="22"/>
                <w:szCs w:val="22"/>
              </w:rPr>
              <w:t>HR (95 % CI)</w:t>
            </w:r>
          </w:p>
        </w:tc>
        <w:tc>
          <w:tcPr>
            <w:tcW w:w="2059" w:type="pct"/>
            <w:gridSpan w:val="2"/>
            <w:tcBorders>
              <w:top w:val="single" w:sz="4" w:space="0" w:color="auto"/>
              <w:left w:val="single" w:sz="4" w:space="0" w:color="auto"/>
              <w:bottom w:val="single" w:sz="4" w:space="0" w:color="auto"/>
              <w:right w:val="single" w:sz="4" w:space="0" w:color="auto"/>
            </w:tcBorders>
            <w:hideMark/>
          </w:tcPr>
          <w:p w14:paraId="6AB6AB20" w14:textId="77777777" w:rsidR="00925ABE" w:rsidRPr="004D4694" w:rsidRDefault="00925ABE">
            <w:pPr>
              <w:suppressAutoHyphens/>
              <w:jc w:val="center"/>
              <w:rPr>
                <w:bCs/>
                <w:sz w:val="22"/>
                <w:szCs w:val="22"/>
                <w:u w:val="single"/>
              </w:rPr>
            </w:pPr>
            <w:r w:rsidRPr="004D4694">
              <w:rPr>
                <w:sz w:val="22"/>
                <w:szCs w:val="22"/>
              </w:rPr>
              <w:t>1,70 (1,15; 2,50)</w:t>
            </w:r>
          </w:p>
        </w:tc>
        <w:tc>
          <w:tcPr>
            <w:tcW w:w="2059" w:type="pct"/>
            <w:gridSpan w:val="2"/>
            <w:tcBorders>
              <w:top w:val="single" w:sz="4" w:space="0" w:color="auto"/>
              <w:left w:val="single" w:sz="4" w:space="0" w:color="auto"/>
              <w:bottom w:val="single" w:sz="4" w:space="0" w:color="auto"/>
              <w:right w:val="single" w:sz="4" w:space="0" w:color="auto"/>
            </w:tcBorders>
            <w:hideMark/>
          </w:tcPr>
          <w:p w14:paraId="7CCFE8CD" w14:textId="77777777" w:rsidR="00925ABE" w:rsidRPr="004D4694" w:rsidRDefault="00925ABE">
            <w:pPr>
              <w:suppressAutoHyphens/>
              <w:jc w:val="center"/>
              <w:rPr>
                <w:bCs/>
                <w:sz w:val="22"/>
                <w:szCs w:val="22"/>
                <w:u w:val="single"/>
              </w:rPr>
            </w:pPr>
            <w:r w:rsidRPr="004D4694">
              <w:rPr>
                <w:sz w:val="22"/>
                <w:szCs w:val="22"/>
              </w:rPr>
              <w:t>1,67 (0,94; 2,96)</w:t>
            </w:r>
          </w:p>
        </w:tc>
      </w:tr>
      <w:tr w:rsidR="00925ABE" w:rsidRPr="004D4694" w14:paraId="13EFB73D" w14:textId="77777777" w:rsidTr="009534FE">
        <w:tc>
          <w:tcPr>
            <w:tcW w:w="5000" w:type="pct"/>
            <w:gridSpan w:val="5"/>
            <w:tcBorders>
              <w:top w:val="single" w:sz="4" w:space="0" w:color="auto"/>
              <w:left w:val="single" w:sz="4" w:space="0" w:color="auto"/>
              <w:bottom w:val="single" w:sz="4" w:space="0" w:color="auto"/>
              <w:right w:val="single" w:sz="4" w:space="0" w:color="auto"/>
            </w:tcBorders>
            <w:hideMark/>
          </w:tcPr>
          <w:p w14:paraId="0C31465C" w14:textId="77777777" w:rsidR="00925ABE" w:rsidRPr="004D4694" w:rsidRDefault="00925ABE">
            <w:pPr>
              <w:suppressAutoHyphens/>
              <w:rPr>
                <w:sz w:val="22"/>
                <w:szCs w:val="22"/>
                <w:lang w:val="da-DK"/>
              </w:rPr>
            </w:pPr>
            <w:r w:rsidRPr="004D4694">
              <w:rPr>
                <w:sz w:val="22"/>
                <w:szCs w:val="22"/>
                <w:lang w:val="da-DK"/>
              </w:rPr>
              <w:t>CI = konfidensinterval.</w:t>
            </w:r>
          </w:p>
          <w:p w14:paraId="5964DC23" w14:textId="77777777" w:rsidR="00925ABE" w:rsidRPr="004D4694" w:rsidRDefault="00925ABE">
            <w:pPr>
              <w:suppressAutoHyphens/>
              <w:rPr>
                <w:sz w:val="22"/>
                <w:szCs w:val="22"/>
                <w:lang w:val="da-DK"/>
              </w:rPr>
            </w:pPr>
            <w:r w:rsidRPr="004D4694">
              <w:rPr>
                <w:sz w:val="22"/>
                <w:szCs w:val="22"/>
                <w:lang w:val="da-DK"/>
              </w:rPr>
              <w:t xml:space="preserve">a. PFS blev defineret som tiden fra </w:t>
            </w:r>
            <w:proofErr w:type="spellStart"/>
            <w:r w:rsidRPr="004D4694">
              <w:rPr>
                <w:sz w:val="22"/>
                <w:szCs w:val="22"/>
                <w:lang w:val="da-DK"/>
              </w:rPr>
              <w:t>randomiseringen</w:t>
            </w:r>
            <w:proofErr w:type="spellEnd"/>
            <w:r w:rsidRPr="004D4694">
              <w:rPr>
                <w:sz w:val="22"/>
                <w:szCs w:val="22"/>
                <w:lang w:val="da-DK"/>
              </w:rPr>
              <w:t xml:space="preserve"> til den tidligste dato for sygdomsprogression eller dødsfald uanset årsagen, eller til datoen for censurering.</w:t>
            </w:r>
          </w:p>
          <w:p w14:paraId="0D5E04B5" w14:textId="77777777" w:rsidR="00925ABE" w:rsidRPr="004D4694" w:rsidRDefault="00925ABE">
            <w:pPr>
              <w:suppressAutoHyphens/>
              <w:rPr>
                <w:sz w:val="22"/>
                <w:szCs w:val="22"/>
                <w:lang w:val="da-DK"/>
              </w:rPr>
            </w:pPr>
            <w:r w:rsidRPr="004D4694">
              <w:rPr>
                <w:sz w:val="22"/>
                <w:szCs w:val="22"/>
                <w:lang w:val="da-DK"/>
              </w:rPr>
              <w:t xml:space="preserve">b. Pike-estimat af behandlings </w:t>
            </w:r>
            <w:proofErr w:type="spellStart"/>
            <w:r w:rsidRPr="004D4694">
              <w:rPr>
                <w:i/>
                <w:iCs/>
                <w:sz w:val="22"/>
                <w:szCs w:val="22"/>
                <w:lang w:val="da-DK"/>
              </w:rPr>
              <w:t>hazard</w:t>
            </w:r>
            <w:proofErr w:type="spellEnd"/>
            <w:r w:rsidRPr="004D4694">
              <w:rPr>
                <w:i/>
                <w:iCs/>
                <w:sz w:val="22"/>
                <w:szCs w:val="22"/>
                <w:lang w:val="da-DK"/>
              </w:rPr>
              <w:t xml:space="preserve"> ratio</w:t>
            </w:r>
            <w:r w:rsidRPr="004D4694">
              <w:rPr>
                <w:sz w:val="22"/>
                <w:szCs w:val="22"/>
                <w:lang w:val="da-DK"/>
              </w:rPr>
              <w:t xml:space="preserve">, hvor &lt; 1 indikerer en lavere risiko ved </w:t>
            </w:r>
            <w:proofErr w:type="spellStart"/>
            <w:r w:rsidRPr="004D4694">
              <w:rPr>
                <w:sz w:val="22"/>
                <w:szCs w:val="22"/>
                <w:lang w:val="da-DK"/>
              </w:rPr>
              <w:t>lapatinib</w:t>
            </w:r>
            <w:proofErr w:type="spellEnd"/>
            <w:r w:rsidRPr="004D4694">
              <w:rPr>
                <w:sz w:val="22"/>
                <w:szCs w:val="22"/>
                <w:lang w:val="da-DK"/>
              </w:rPr>
              <w:t xml:space="preserve"> + </w:t>
            </w:r>
            <w:proofErr w:type="spellStart"/>
            <w:r w:rsidRPr="004D4694">
              <w:rPr>
                <w:sz w:val="22"/>
                <w:szCs w:val="22"/>
                <w:lang w:val="da-DK"/>
              </w:rPr>
              <w:t>capecitabin</w:t>
            </w:r>
            <w:proofErr w:type="spellEnd"/>
            <w:r w:rsidRPr="004D4694">
              <w:rPr>
                <w:sz w:val="22"/>
                <w:szCs w:val="22"/>
                <w:lang w:val="da-DK"/>
              </w:rPr>
              <w:t xml:space="preserve"> sammenlignet med </w:t>
            </w:r>
            <w:proofErr w:type="spellStart"/>
            <w:r w:rsidRPr="004D4694">
              <w:rPr>
                <w:sz w:val="22"/>
                <w:szCs w:val="22"/>
                <w:lang w:val="da-DK"/>
              </w:rPr>
              <w:t>trastuzumab</w:t>
            </w:r>
            <w:proofErr w:type="spellEnd"/>
            <w:r w:rsidRPr="004D4694">
              <w:rPr>
                <w:sz w:val="22"/>
                <w:szCs w:val="22"/>
                <w:lang w:val="da-DK"/>
              </w:rPr>
              <w:t xml:space="preserve"> + </w:t>
            </w:r>
            <w:proofErr w:type="spellStart"/>
            <w:r w:rsidRPr="004D4694">
              <w:rPr>
                <w:sz w:val="22"/>
                <w:szCs w:val="22"/>
                <w:lang w:val="da-DK"/>
              </w:rPr>
              <w:t>capecitabin</w:t>
            </w:r>
            <w:proofErr w:type="spellEnd"/>
            <w:r w:rsidRPr="004D4694">
              <w:rPr>
                <w:sz w:val="22"/>
                <w:szCs w:val="22"/>
                <w:lang w:val="da-DK"/>
              </w:rPr>
              <w:t>.</w:t>
            </w:r>
          </w:p>
          <w:p w14:paraId="6AE74CFF" w14:textId="77777777" w:rsidR="00925ABE" w:rsidRPr="004D4694" w:rsidRDefault="00925ABE">
            <w:pPr>
              <w:suppressAutoHyphens/>
              <w:rPr>
                <w:sz w:val="22"/>
                <w:szCs w:val="22"/>
                <w:lang w:val="da-DK"/>
              </w:rPr>
            </w:pPr>
            <w:r w:rsidRPr="004D4694">
              <w:rPr>
                <w:sz w:val="22"/>
                <w:szCs w:val="22"/>
                <w:lang w:val="da-DK"/>
              </w:rPr>
              <w:t>1. PFS-hændelse er progression eller død, og OS-hændelse er død uanset årsag.</w:t>
            </w:r>
          </w:p>
          <w:p w14:paraId="4681CA26" w14:textId="77777777" w:rsidR="00925ABE" w:rsidRPr="004D4694" w:rsidRDefault="00925ABE">
            <w:pPr>
              <w:suppressAutoHyphens/>
              <w:rPr>
                <w:sz w:val="22"/>
                <w:szCs w:val="22"/>
                <w:lang w:val="da-DK"/>
              </w:rPr>
            </w:pPr>
            <w:r w:rsidRPr="004D4694">
              <w:rPr>
                <w:sz w:val="22"/>
                <w:szCs w:val="22"/>
                <w:lang w:val="da-DK"/>
              </w:rPr>
              <w:t>2. NE = median blev ikke nået.</w:t>
            </w:r>
          </w:p>
          <w:p w14:paraId="7C34E2DA" w14:textId="77777777" w:rsidR="00925ABE" w:rsidRPr="004D4694" w:rsidRDefault="00925ABE">
            <w:pPr>
              <w:suppressAutoHyphens/>
              <w:rPr>
                <w:sz w:val="22"/>
                <w:szCs w:val="22"/>
              </w:rPr>
            </w:pPr>
            <w:r w:rsidRPr="004D4694">
              <w:rPr>
                <w:sz w:val="22"/>
                <w:szCs w:val="22"/>
              </w:rPr>
              <w:t>*Post-hoc-analyse.</w:t>
            </w:r>
          </w:p>
        </w:tc>
      </w:tr>
    </w:tbl>
    <w:p w14:paraId="6E556451" w14:textId="691C0C84" w:rsidR="002417A3" w:rsidRDefault="002417A3" w:rsidP="00925ABE">
      <w:pPr>
        <w:suppressAutoHyphens/>
        <w:rPr>
          <w:bCs/>
          <w:sz w:val="24"/>
          <w:szCs w:val="24"/>
          <w:u w:val="single"/>
        </w:rPr>
      </w:pPr>
    </w:p>
    <w:p w14:paraId="74191C0F" w14:textId="77777777" w:rsidR="002417A3" w:rsidRDefault="002417A3">
      <w:pPr>
        <w:rPr>
          <w:bCs/>
          <w:sz w:val="24"/>
          <w:szCs w:val="24"/>
          <w:u w:val="single"/>
        </w:rPr>
      </w:pPr>
      <w:r>
        <w:rPr>
          <w:bCs/>
          <w:sz w:val="24"/>
          <w:szCs w:val="24"/>
          <w:u w:val="single"/>
        </w:rPr>
        <w:br w:type="page"/>
      </w:r>
    </w:p>
    <w:p w14:paraId="6B63A774" w14:textId="77777777" w:rsidR="00925ABE" w:rsidRPr="000C2646" w:rsidRDefault="00925ABE" w:rsidP="00925ABE">
      <w:pPr>
        <w:suppressAutoHyphens/>
        <w:rPr>
          <w:bCs/>
          <w:sz w:val="24"/>
          <w:szCs w:val="24"/>
          <w:u w:val="single"/>
        </w:rPr>
      </w:pPr>
    </w:p>
    <w:p w14:paraId="5CF66A5D" w14:textId="77777777" w:rsidR="00925ABE" w:rsidRPr="004D4694" w:rsidRDefault="00925ABE" w:rsidP="004D4694">
      <w:pPr>
        <w:ind w:left="851"/>
        <w:rPr>
          <w:i/>
          <w:sz w:val="24"/>
          <w:szCs w:val="24"/>
          <w:u w:val="single"/>
        </w:rPr>
      </w:pPr>
      <w:r w:rsidRPr="004D4694">
        <w:rPr>
          <w:i/>
          <w:sz w:val="24"/>
          <w:szCs w:val="24"/>
          <w:u w:val="single"/>
        </w:rPr>
        <w:t xml:space="preserve">Kombinationsbehandling med </w:t>
      </w:r>
      <w:proofErr w:type="spellStart"/>
      <w:r w:rsidRPr="004D4694">
        <w:rPr>
          <w:i/>
          <w:sz w:val="24"/>
          <w:szCs w:val="24"/>
          <w:u w:val="single"/>
        </w:rPr>
        <w:t>lapatinib</w:t>
      </w:r>
      <w:proofErr w:type="spellEnd"/>
      <w:r w:rsidRPr="004D4694">
        <w:rPr>
          <w:i/>
          <w:sz w:val="24"/>
          <w:szCs w:val="24"/>
          <w:u w:val="single"/>
        </w:rPr>
        <w:t xml:space="preserve"> og </w:t>
      </w:r>
      <w:proofErr w:type="spellStart"/>
      <w:r w:rsidRPr="004D4694">
        <w:rPr>
          <w:i/>
          <w:sz w:val="24"/>
          <w:szCs w:val="24"/>
          <w:u w:val="single"/>
        </w:rPr>
        <w:t>trastuzumab</w:t>
      </w:r>
      <w:proofErr w:type="spellEnd"/>
    </w:p>
    <w:p w14:paraId="745B6433" w14:textId="77777777" w:rsidR="00925ABE" w:rsidRPr="004D4694" w:rsidRDefault="00925ABE" w:rsidP="004D4694">
      <w:pPr>
        <w:ind w:left="851"/>
        <w:rPr>
          <w:sz w:val="24"/>
          <w:szCs w:val="24"/>
        </w:rPr>
      </w:pPr>
    </w:p>
    <w:p w14:paraId="711FE060" w14:textId="77777777" w:rsidR="00925ABE" w:rsidRPr="000C2646" w:rsidRDefault="00925ABE" w:rsidP="009534FE">
      <w:pPr>
        <w:suppressAutoHyphens/>
        <w:ind w:left="851"/>
        <w:rPr>
          <w:sz w:val="24"/>
          <w:szCs w:val="24"/>
        </w:rPr>
      </w:pPr>
      <w:proofErr w:type="spellStart"/>
      <w:r w:rsidRPr="000C2646">
        <w:rPr>
          <w:sz w:val="24"/>
          <w:szCs w:val="24"/>
        </w:rPr>
        <w:t>Lapatinibs</w:t>
      </w:r>
      <w:proofErr w:type="spellEnd"/>
      <w:r w:rsidRPr="000C2646">
        <w:rPr>
          <w:sz w:val="24"/>
          <w:szCs w:val="24"/>
        </w:rPr>
        <w:t xml:space="preserve"> virkning og sikkerhed i kombination med </w:t>
      </w:r>
      <w:proofErr w:type="spellStart"/>
      <w:r w:rsidRPr="000C2646">
        <w:rPr>
          <w:sz w:val="24"/>
          <w:szCs w:val="24"/>
        </w:rPr>
        <w:t>trastuzumab</w:t>
      </w:r>
      <w:proofErr w:type="spellEnd"/>
      <w:r w:rsidRPr="000C2646">
        <w:rPr>
          <w:sz w:val="24"/>
          <w:szCs w:val="24"/>
        </w:rPr>
        <w:t xml:space="preserve"> ved metastatisk brystcancer blev evalueret i et randomiseret studie. Egnede patienter var kvinder med stadie-IV ErbB2 metastatisk brystcancer med </w:t>
      </w:r>
      <w:proofErr w:type="spellStart"/>
      <w:r w:rsidRPr="000C2646">
        <w:rPr>
          <w:sz w:val="24"/>
          <w:szCs w:val="24"/>
        </w:rPr>
        <w:t>genamplifikation</w:t>
      </w:r>
      <w:proofErr w:type="spellEnd"/>
      <w:r w:rsidRPr="000C2646">
        <w:rPr>
          <w:sz w:val="24"/>
          <w:szCs w:val="24"/>
        </w:rPr>
        <w:t xml:space="preserve"> (eller protein-</w:t>
      </w:r>
      <w:proofErr w:type="spellStart"/>
      <w:r w:rsidRPr="000C2646">
        <w:rPr>
          <w:sz w:val="24"/>
          <w:szCs w:val="24"/>
        </w:rPr>
        <w:t>overekspression</w:t>
      </w:r>
      <w:proofErr w:type="spellEnd"/>
      <w:r w:rsidRPr="000C2646">
        <w:rPr>
          <w:sz w:val="24"/>
          <w:szCs w:val="24"/>
        </w:rPr>
        <w:t xml:space="preserve">), som tidligere var blevet behandlet med </w:t>
      </w:r>
      <w:proofErr w:type="spellStart"/>
      <w:r w:rsidRPr="000C2646">
        <w:rPr>
          <w:sz w:val="24"/>
          <w:szCs w:val="24"/>
        </w:rPr>
        <w:t>antracykliner</w:t>
      </w:r>
      <w:proofErr w:type="spellEnd"/>
      <w:r w:rsidRPr="000C2646">
        <w:rPr>
          <w:sz w:val="24"/>
          <w:szCs w:val="24"/>
        </w:rPr>
        <w:t xml:space="preserve"> eller </w:t>
      </w:r>
      <w:proofErr w:type="spellStart"/>
      <w:r w:rsidRPr="000C2646">
        <w:rPr>
          <w:sz w:val="24"/>
          <w:szCs w:val="24"/>
        </w:rPr>
        <w:t>taxaner</w:t>
      </w:r>
      <w:proofErr w:type="spellEnd"/>
      <w:r w:rsidRPr="000C2646">
        <w:rPr>
          <w:sz w:val="24"/>
          <w:szCs w:val="24"/>
        </w:rPr>
        <w:t xml:space="preserve">. I tillæg hertil, og som beskrevet i protokollen, skulle </w:t>
      </w:r>
      <w:proofErr w:type="spellStart"/>
      <w:r w:rsidRPr="000C2646">
        <w:rPr>
          <w:sz w:val="24"/>
          <w:szCs w:val="24"/>
        </w:rPr>
        <w:t>investigatorerne</w:t>
      </w:r>
      <w:proofErr w:type="spellEnd"/>
      <w:r w:rsidRPr="000C2646">
        <w:rPr>
          <w:sz w:val="24"/>
          <w:szCs w:val="24"/>
        </w:rPr>
        <w:t xml:space="preserve"> have rapporteret patienterne som værende progredieret under deres seneste </w:t>
      </w:r>
      <w:proofErr w:type="spellStart"/>
      <w:r w:rsidRPr="000C2646">
        <w:rPr>
          <w:sz w:val="24"/>
          <w:szCs w:val="24"/>
        </w:rPr>
        <w:t>trastuzumab-holdige</w:t>
      </w:r>
      <w:proofErr w:type="spellEnd"/>
      <w:r w:rsidRPr="000C2646">
        <w:rPr>
          <w:sz w:val="24"/>
          <w:szCs w:val="24"/>
        </w:rPr>
        <w:t xml:space="preserve"> regime for metastatisk sygdom. Det gennemsnitlige antal tidligere behandlingsregimer med </w:t>
      </w:r>
      <w:proofErr w:type="spellStart"/>
      <w:r w:rsidRPr="000C2646">
        <w:rPr>
          <w:sz w:val="24"/>
          <w:szCs w:val="24"/>
        </w:rPr>
        <w:t>trastuzumab</w:t>
      </w:r>
      <w:proofErr w:type="spellEnd"/>
      <w:r w:rsidRPr="000C2646">
        <w:rPr>
          <w:sz w:val="24"/>
          <w:szCs w:val="24"/>
        </w:rPr>
        <w:t xml:space="preserve"> var tre. Patienterne blev randomiseret til enten oral </w:t>
      </w:r>
      <w:proofErr w:type="spellStart"/>
      <w:r w:rsidRPr="000C2646">
        <w:rPr>
          <w:sz w:val="24"/>
          <w:szCs w:val="24"/>
        </w:rPr>
        <w:t>lapatinib</w:t>
      </w:r>
      <w:proofErr w:type="spellEnd"/>
      <w:r w:rsidRPr="000C2646">
        <w:rPr>
          <w:sz w:val="24"/>
          <w:szCs w:val="24"/>
        </w:rPr>
        <w:t xml:space="preserve"> 1000 mg én gang dagligt og </w:t>
      </w:r>
      <w:proofErr w:type="spellStart"/>
      <w:r w:rsidRPr="000C2646">
        <w:rPr>
          <w:sz w:val="24"/>
          <w:szCs w:val="24"/>
        </w:rPr>
        <w:t>trastuzumab</w:t>
      </w:r>
      <w:proofErr w:type="spellEnd"/>
      <w:r w:rsidRPr="000C2646">
        <w:rPr>
          <w:sz w:val="24"/>
          <w:szCs w:val="24"/>
        </w:rPr>
        <w:t xml:space="preserve"> 4 mg/kg administreret som intravenøs støddosis efterfulgt af 2 mg/kg intravenøs ugentligt (n = 148) eller til oral </w:t>
      </w:r>
      <w:proofErr w:type="spellStart"/>
      <w:r w:rsidRPr="000C2646">
        <w:rPr>
          <w:sz w:val="24"/>
          <w:szCs w:val="24"/>
        </w:rPr>
        <w:t>lapatinib</w:t>
      </w:r>
      <w:proofErr w:type="spellEnd"/>
      <w:r w:rsidRPr="000C2646">
        <w:rPr>
          <w:sz w:val="24"/>
          <w:szCs w:val="24"/>
        </w:rPr>
        <w:t xml:space="preserve"> 1500 mg én gang dagligt (n = 148). Patienter, som viste objektiv sygdomsprogression efter mindst 4 ugers behandling med </w:t>
      </w:r>
      <w:proofErr w:type="spellStart"/>
      <w:r w:rsidRPr="000C2646">
        <w:rPr>
          <w:sz w:val="24"/>
          <w:szCs w:val="24"/>
        </w:rPr>
        <w:t>lapatinib</w:t>
      </w:r>
      <w:proofErr w:type="spellEnd"/>
      <w:r w:rsidRPr="000C2646">
        <w:rPr>
          <w:sz w:val="24"/>
          <w:szCs w:val="24"/>
        </w:rPr>
        <w:t>-monoterapi, var egnede til at overgå til kombinationsbehandling. 77 (52 %) af de 148 patienter, som fik monoterapi, blev ved sygdomsprogression udvalgt til at få kombinationsbehandling.</w:t>
      </w:r>
    </w:p>
    <w:p w14:paraId="6EEFB9C9" w14:textId="77777777" w:rsidR="00925ABE" w:rsidRPr="000C2646" w:rsidRDefault="00925ABE" w:rsidP="009534FE">
      <w:pPr>
        <w:suppressAutoHyphens/>
        <w:ind w:left="851"/>
        <w:rPr>
          <w:sz w:val="24"/>
          <w:szCs w:val="24"/>
        </w:rPr>
      </w:pPr>
    </w:p>
    <w:p w14:paraId="7DB7380C" w14:textId="77777777" w:rsidR="00925ABE" w:rsidRPr="000C2646" w:rsidRDefault="00925ABE" w:rsidP="009534FE">
      <w:pPr>
        <w:suppressAutoHyphens/>
        <w:ind w:left="851"/>
        <w:rPr>
          <w:bCs/>
          <w:sz w:val="24"/>
          <w:szCs w:val="24"/>
          <w:u w:val="single"/>
        </w:rPr>
      </w:pPr>
      <w:r w:rsidRPr="000C2646">
        <w:rPr>
          <w:sz w:val="24"/>
          <w:szCs w:val="24"/>
        </w:rPr>
        <w:t xml:space="preserve">Studiets primære endepunkt var progressionsfri overlevelse (PFS). Sekundære endepunkter var responsrate og samlet overlevelse (OS). Median alder var 51 år, og 13 % var 65 år eller ældre. 94 % var kaukasiske. Størstedelen af patienterne i begge behandlingsarme havde </w:t>
      </w:r>
      <w:proofErr w:type="spellStart"/>
      <w:r w:rsidRPr="000C2646">
        <w:rPr>
          <w:sz w:val="24"/>
          <w:szCs w:val="24"/>
        </w:rPr>
        <w:t>visceral</w:t>
      </w:r>
      <w:proofErr w:type="spellEnd"/>
      <w:r w:rsidRPr="000C2646">
        <w:rPr>
          <w:sz w:val="24"/>
          <w:szCs w:val="24"/>
        </w:rPr>
        <w:t xml:space="preserve"> sygdom (215 [73 %] af det samlede antal patienter). Derudover var 150 [50 %] af patienterne hormonreceptornegative. Et resumé af virkningsendepunkter og samlet overlevelse er vist i tabel 4. Resultaterne af en delgruppeanalyse af foruddefineret stratifikationsfaktor (hormonreceptorstatus) er vist i tabel 5.</w:t>
      </w:r>
    </w:p>
    <w:p w14:paraId="78EE1114" w14:textId="77777777" w:rsidR="00925ABE" w:rsidRPr="000C2646" w:rsidRDefault="00925ABE" w:rsidP="00925ABE">
      <w:pPr>
        <w:suppressAutoHyphens/>
        <w:rPr>
          <w:bCs/>
          <w:sz w:val="24"/>
          <w:szCs w:val="24"/>
          <w:u w:val="single"/>
        </w:rPr>
      </w:pPr>
    </w:p>
    <w:p w14:paraId="60121BAF" w14:textId="42CF3A78" w:rsidR="00925ABE" w:rsidRPr="000C2646" w:rsidRDefault="00925ABE" w:rsidP="00925ABE">
      <w:pPr>
        <w:keepNext/>
        <w:suppressAutoHyphens/>
        <w:ind w:left="1134" w:hanging="1134"/>
        <w:rPr>
          <w:b/>
          <w:sz w:val="24"/>
          <w:szCs w:val="24"/>
        </w:rPr>
      </w:pPr>
      <w:r w:rsidRPr="000C2646">
        <w:rPr>
          <w:b/>
          <w:sz w:val="24"/>
          <w:szCs w:val="24"/>
        </w:rPr>
        <w:t>Tabel 4</w:t>
      </w:r>
      <w:r w:rsidR="004D4694">
        <w:rPr>
          <w:b/>
          <w:sz w:val="24"/>
          <w:szCs w:val="24"/>
        </w:rPr>
        <w:t xml:space="preserve">. </w:t>
      </w:r>
      <w:r w:rsidRPr="000C2646">
        <w:rPr>
          <w:b/>
          <w:bCs/>
          <w:sz w:val="24"/>
          <w:szCs w:val="24"/>
        </w:rPr>
        <w:t>Progressionsfri overlevelse og samlet overlevelse (</w:t>
      </w:r>
      <w:proofErr w:type="spellStart"/>
      <w:r w:rsidRPr="000C2646">
        <w:rPr>
          <w:b/>
          <w:bCs/>
          <w:sz w:val="24"/>
          <w:szCs w:val="24"/>
        </w:rPr>
        <w:t>lapatinib</w:t>
      </w:r>
      <w:proofErr w:type="spellEnd"/>
      <w:r w:rsidRPr="000C2646">
        <w:rPr>
          <w:b/>
          <w:bCs/>
          <w:sz w:val="24"/>
          <w:szCs w:val="24"/>
        </w:rPr>
        <w:t>/</w:t>
      </w:r>
      <w:proofErr w:type="spellStart"/>
      <w:r w:rsidRPr="000C2646">
        <w:rPr>
          <w:b/>
          <w:bCs/>
          <w:sz w:val="24"/>
          <w:szCs w:val="24"/>
        </w:rPr>
        <w:t>trastuzumab</w:t>
      </w:r>
      <w:proofErr w:type="spellEnd"/>
      <w:r w:rsidRPr="000C2646">
        <w:rPr>
          <w:b/>
          <w:bCs/>
          <w:sz w:val="24"/>
          <w:szCs w:val="24"/>
        </w:rPr>
        <w:t>)</w:t>
      </w:r>
    </w:p>
    <w:p w14:paraId="31BCE650" w14:textId="77777777" w:rsidR="00925ABE" w:rsidRPr="000C2646" w:rsidRDefault="00925ABE" w:rsidP="00925ABE">
      <w:pPr>
        <w:keepNext/>
        <w:suppressAutoHyphens/>
        <w:rPr>
          <w:bCs/>
          <w:sz w:val="24"/>
          <w:szCs w:val="24"/>
          <w:u w:val="single"/>
        </w:rPr>
      </w:pPr>
    </w:p>
    <w:tbl>
      <w:tblPr>
        <w:tblStyle w:val="Tabel-Gitter"/>
        <w:tblW w:w="5000" w:type="pct"/>
        <w:tblInd w:w="0" w:type="dxa"/>
        <w:tblLook w:val="04A0" w:firstRow="1" w:lastRow="0" w:firstColumn="1" w:lastColumn="0" w:noHBand="0" w:noVBand="1"/>
      </w:tblPr>
      <w:tblGrid>
        <w:gridCol w:w="3310"/>
        <w:gridCol w:w="3316"/>
        <w:gridCol w:w="3002"/>
      </w:tblGrid>
      <w:tr w:rsidR="00925ABE" w:rsidRPr="000C2646" w14:paraId="18844CA2" w14:textId="77777777" w:rsidTr="009534FE">
        <w:tc>
          <w:tcPr>
            <w:tcW w:w="1719" w:type="pct"/>
            <w:tcBorders>
              <w:top w:val="single" w:sz="4" w:space="0" w:color="auto"/>
              <w:left w:val="single" w:sz="4" w:space="0" w:color="auto"/>
              <w:bottom w:val="single" w:sz="4" w:space="0" w:color="auto"/>
              <w:right w:val="single" w:sz="4" w:space="0" w:color="auto"/>
            </w:tcBorders>
          </w:tcPr>
          <w:p w14:paraId="36DC4775" w14:textId="77777777" w:rsidR="00925ABE" w:rsidRPr="000C2646" w:rsidRDefault="00925ABE">
            <w:pPr>
              <w:keepNext/>
              <w:suppressAutoHyphens/>
              <w:rPr>
                <w:bCs/>
                <w:sz w:val="24"/>
                <w:szCs w:val="24"/>
                <w:u w:val="single"/>
                <w:lang w:val="da-DK"/>
              </w:rPr>
            </w:pPr>
          </w:p>
        </w:tc>
        <w:tc>
          <w:tcPr>
            <w:tcW w:w="1722" w:type="pct"/>
            <w:tcBorders>
              <w:top w:val="single" w:sz="4" w:space="0" w:color="auto"/>
              <w:left w:val="single" w:sz="4" w:space="0" w:color="auto"/>
              <w:bottom w:val="single" w:sz="4" w:space="0" w:color="auto"/>
              <w:right w:val="single" w:sz="4" w:space="0" w:color="auto"/>
            </w:tcBorders>
            <w:hideMark/>
          </w:tcPr>
          <w:p w14:paraId="3BAE166A" w14:textId="77777777" w:rsidR="00925ABE" w:rsidRPr="000C2646" w:rsidRDefault="00925ABE">
            <w:pPr>
              <w:keepNext/>
              <w:suppressAutoHyphens/>
              <w:jc w:val="center"/>
              <w:rPr>
                <w:b/>
                <w:bCs/>
                <w:sz w:val="24"/>
                <w:szCs w:val="24"/>
              </w:rPr>
            </w:pPr>
            <w:r w:rsidRPr="000C2646">
              <w:rPr>
                <w:b/>
                <w:bCs/>
                <w:sz w:val="24"/>
                <w:szCs w:val="24"/>
              </w:rPr>
              <w:t>Lapatinib plus trastuzumab</w:t>
            </w:r>
          </w:p>
          <w:p w14:paraId="209EC237" w14:textId="77777777" w:rsidR="00925ABE" w:rsidRPr="000C2646" w:rsidRDefault="00925ABE">
            <w:pPr>
              <w:keepNext/>
              <w:suppressAutoHyphens/>
              <w:jc w:val="center"/>
              <w:rPr>
                <w:b/>
                <w:bCs/>
                <w:sz w:val="24"/>
                <w:szCs w:val="24"/>
                <w:u w:val="single"/>
              </w:rPr>
            </w:pPr>
            <w:r w:rsidRPr="000C2646">
              <w:rPr>
                <w:b/>
                <w:bCs/>
                <w:sz w:val="24"/>
                <w:szCs w:val="24"/>
              </w:rPr>
              <w:t>(n = 148)</w:t>
            </w:r>
          </w:p>
        </w:tc>
        <w:tc>
          <w:tcPr>
            <w:tcW w:w="1559" w:type="pct"/>
            <w:tcBorders>
              <w:top w:val="single" w:sz="4" w:space="0" w:color="auto"/>
              <w:left w:val="single" w:sz="4" w:space="0" w:color="auto"/>
              <w:bottom w:val="single" w:sz="4" w:space="0" w:color="auto"/>
              <w:right w:val="single" w:sz="4" w:space="0" w:color="auto"/>
            </w:tcBorders>
            <w:hideMark/>
          </w:tcPr>
          <w:p w14:paraId="058D8C6E" w14:textId="77777777" w:rsidR="00925ABE" w:rsidRPr="000C2646" w:rsidRDefault="00925ABE">
            <w:pPr>
              <w:keepNext/>
              <w:suppressAutoHyphens/>
              <w:ind w:firstLine="720"/>
              <w:jc w:val="center"/>
              <w:rPr>
                <w:b/>
                <w:bCs/>
                <w:sz w:val="24"/>
                <w:szCs w:val="24"/>
              </w:rPr>
            </w:pPr>
            <w:r w:rsidRPr="000C2646">
              <w:rPr>
                <w:b/>
                <w:bCs/>
                <w:sz w:val="24"/>
                <w:szCs w:val="24"/>
              </w:rPr>
              <w:t xml:space="preserve">Lapatinib </w:t>
            </w:r>
            <w:proofErr w:type="spellStart"/>
            <w:r w:rsidRPr="000C2646">
              <w:rPr>
                <w:b/>
                <w:bCs/>
                <w:sz w:val="24"/>
                <w:szCs w:val="24"/>
              </w:rPr>
              <w:t>alene</w:t>
            </w:r>
            <w:proofErr w:type="spellEnd"/>
          </w:p>
          <w:p w14:paraId="22510046" w14:textId="77777777" w:rsidR="00925ABE" w:rsidRPr="000C2646" w:rsidRDefault="00925ABE">
            <w:pPr>
              <w:keepNext/>
              <w:suppressAutoHyphens/>
              <w:ind w:firstLine="720"/>
              <w:jc w:val="center"/>
              <w:rPr>
                <w:b/>
                <w:bCs/>
                <w:sz w:val="24"/>
                <w:szCs w:val="24"/>
                <w:u w:val="single"/>
              </w:rPr>
            </w:pPr>
            <w:r w:rsidRPr="000C2646">
              <w:rPr>
                <w:b/>
                <w:bCs/>
                <w:sz w:val="24"/>
                <w:szCs w:val="24"/>
              </w:rPr>
              <w:t>(n = 148)</w:t>
            </w:r>
          </w:p>
        </w:tc>
      </w:tr>
      <w:tr w:rsidR="00925ABE" w:rsidRPr="000C2646" w14:paraId="4087B60F"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267C961B" w14:textId="77777777" w:rsidR="00925ABE" w:rsidRPr="000C2646" w:rsidRDefault="00925ABE">
            <w:pPr>
              <w:suppressAutoHyphens/>
              <w:rPr>
                <w:b/>
                <w:bCs/>
                <w:sz w:val="24"/>
                <w:szCs w:val="24"/>
              </w:rPr>
            </w:pPr>
            <w:r w:rsidRPr="000C2646">
              <w:rPr>
                <w:b/>
                <w:bCs/>
                <w:sz w:val="24"/>
                <w:szCs w:val="24"/>
              </w:rPr>
              <w:t>Median PFS</w:t>
            </w:r>
            <w:r w:rsidRPr="000C2646">
              <w:rPr>
                <w:b/>
                <w:bCs/>
                <w:sz w:val="24"/>
                <w:szCs w:val="24"/>
                <w:vertAlign w:val="superscript"/>
              </w:rPr>
              <w:t>1</w:t>
            </w:r>
            <w:r w:rsidRPr="000C2646">
              <w:rPr>
                <w:b/>
                <w:bCs/>
                <w:sz w:val="24"/>
                <w:szCs w:val="24"/>
              </w:rPr>
              <w:t xml:space="preserve">, </w:t>
            </w:r>
            <w:proofErr w:type="spellStart"/>
            <w:r w:rsidRPr="000C2646">
              <w:rPr>
                <w:b/>
                <w:bCs/>
                <w:sz w:val="24"/>
                <w:szCs w:val="24"/>
              </w:rPr>
              <w:t>uger</w:t>
            </w:r>
            <w:proofErr w:type="spellEnd"/>
          </w:p>
          <w:p w14:paraId="14974694" w14:textId="77777777" w:rsidR="00925ABE" w:rsidRPr="000C2646" w:rsidRDefault="00925ABE">
            <w:pPr>
              <w:suppressAutoHyphens/>
              <w:rPr>
                <w:bCs/>
                <w:sz w:val="24"/>
                <w:szCs w:val="24"/>
                <w:u w:val="single"/>
              </w:rPr>
            </w:pPr>
            <w:r w:rsidRPr="000C2646">
              <w:rPr>
                <w:sz w:val="24"/>
                <w:szCs w:val="24"/>
              </w:rPr>
              <w:t>(95 % CI)</w:t>
            </w:r>
          </w:p>
        </w:tc>
        <w:tc>
          <w:tcPr>
            <w:tcW w:w="1722" w:type="pct"/>
            <w:tcBorders>
              <w:top w:val="single" w:sz="4" w:space="0" w:color="auto"/>
              <w:left w:val="single" w:sz="4" w:space="0" w:color="auto"/>
              <w:bottom w:val="single" w:sz="4" w:space="0" w:color="auto"/>
              <w:right w:val="single" w:sz="4" w:space="0" w:color="auto"/>
            </w:tcBorders>
            <w:hideMark/>
          </w:tcPr>
          <w:p w14:paraId="0A7B5B29" w14:textId="77777777" w:rsidR="00925ABE" w:rsidRPr="000C2646" w:rsidRDefault="00925ABE">
            <w:pPr>
              <w:suppressAutoHyphens/>
              <w:jc w:val="center"/>
              <w:rPr>
                <w:bCs/>
                <w:sz w:val="24"/>
                <w:szCs w:val="24"/>
              </w:rPr>
            </w:pPr>
            <w:r w:rsidRPr="000C2646">
              <w:rPr>
                <w:bCs/>
                <w:sz w:val="24"/>
                <w:szCs w:val="24"/>
              </w:rPr>
              <w:t>12,0</w:t>
            </w:r>
          </w:p>
          <w:p w14:paraId="3964DAA2" w14:textId="77777777" w:rsidR="00925ABE" w:rsidRPr="000C2646" w:rsidRDefault="00925ABE">
            <w:pPr>
              <w:suppressAutoHyphens/>
              <w:jc w:val="center"/>
              <w:rPr>
                <w:bCs/>
                <w:sz w:val="24"/>
                <w:szCs w:val="24"/>
              </w:rPr>
            </w:pPr>
            <w:r w:rsidRPr="000C2646">
              <w:rPr>
                <w:bCs/>
                <w:sz w:val="24"/>
                <w:szCs w:val="24"/>
              </w:rPr>
              <w:t>(8,1; 16,0)</w:t>
            </w:r>
          </w:p>
        </w:tc>
        <w:tc>
          <w:tcPr>
            <w:tcW w:w="1559" w:type="pct"/>
            <w:tcBorders>
              <w:top w:val="single" w:sz="4" w:space="0" w:color="auto"/>
              <w:left w:val="single" w:sz="4" w:space="0" w:color="auto"/>
              <w:bottom w:val="single" w:sz="4" w:space="0" w:color="auto"/>
              <w:right w:val="single" w:sz="4" w:space="0" w:color="auto"/>
            </w:tcBorders>
            <w:hideMark/>
          </w:tcPr>
          <w:p w14:paraId="6D244F2B" w14:textId="77777777" w:rsidR="00925ABE" w:rsidRPr="000C2646" w:rsidRDefault="00925ABE">
            <w:pPr>
              <w:suppressAutoHyphens/>
              <w:jc w:val="center"/>
              <w:rPr>
                <w:bCs/>
                <w:sz w:val="24"/>
                <w:szCs w:val="24"/>
              </w:rPr>
            </w:pPr>
            <w:r w:rsidRPr="000C2646">
              <w:rPr>
                <w:bCs/>
                <w:sz w:val="24"/>
                <w:szCs w:val="24"/>
              </w:rPr>
              <w:t>8,1</w:t>
            </w:r>
          </w:p>
          <w:p w14:paraId="24FE080E" w14:textId="77777777" w:rsidR="00925ABE" w:rsidRPr="000C2646" w:rsidRDefault="00925ABE">
            <w:pPr>
              <w:suppressAutoHyphens/>
              <w:jc w:val="center"/>
              <w:rPr>
                <w:bCs/>
                <w:sz w:val="24"/>
                <w:szCs w:val="24"/>
              </w:rPr>
            </w:pPr>
            <w:r w:rsidRPr="000C2646">
              <w:rPr>
                <w:bCs/>
                <w:sz w:val="24"/>
                <w:szCs w:val="24"/>
              </w:rPr>
              <w:t>(7,6; 9,0)</w:t>
            </w:r>
          </w:p>
        </w:tc>
      </w:tr>
      <w:tr w:rsidR="00925ABE" w:rsidRPr="000C2646" w14:paraId="728A8677"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31604766" w14:textId="77777777" w:rsidR="00925ABE" w:rsidRPr="000C2646" w:rsidRDefault="00925ABE">
            <w:pPr>
              <w:suppressAutoHyphens/>
              <w:rPr>
                <w:b/>
                <w:bCs/>
                <w:sz w:val="24"/>
                <w:szCs w:val="24"/>
                <w:u w:val="single"/>
              </w:rPr>
            </w:pPr>
            <w:r w:rsidRPr="000C2646">
              <w:rPr>
                <w:b/>
                <w:bCs/>
                <w:i/>
                <w:iCs/>
                <w:sz w:val="24"/>
                <w:szCs w:val="24"/>
              </w:rPr>
              <w:t>Hazard ratio</w:t>
            </w:r>
            <w:r w:rsidRPr="000C2646">
              <w:rPr>
                <w:b/>
                <w:bCs/>
                <w:sz w:val="24"/>
                <w:szCs w:val="24"/>
              </w:rPr>
              <w:t xml:space="preserve"> (95 % CI)</w:t>
            </w:r>
          </w:p>
        </w:tc>
        <w:tc>
          <w:tcPr>
            <w:tcW w:w="3281" w:type="pct"/>
            <w:gridSpan w:val="2"/>
            <w:tcBorders>
              <w:top w:val="single" w:sz="4" w:space="0" w:color="auto"/>
              <w:left w:val="single" w:sz="4" w:space="0" w:color="auto"/>
              <w:bottom w:val="single" w:sz="4" w:space="0" w:color="auto"/>
              <w:right w:val="single" w:sz="4" w:space="0" w:color="auto"/>
            </w:tcBorders>
            <w:hideMark/>
          </w:tcPr>
          <w:p w14:paraId="559FE7C0" w14:textId="77777777" w:rsidR="00925ABE" w:rsidRPr="000C2646" w:rsidRDefault="00925ABE">
            <w:pPr>
              <w:suppressAutoHyphens/>
              <w:jc w:val="center"/>
              <w:rPr>
                <w:bCs/>
                <w:sz w:val="24"/>
                <w:szCs w:val="24"/>
              </w:rPr>
            </w:pPr>
            <w:r w:rsidRPr="000C2646">
              <w:rPr>
                <w:sz w:val="24"/>
                <w:szCs w:val="24"/>
              </w:rPr>
              <w:t>0,73 (0,57; 0,93)</w:t>
            </w:r>
          </w:p>
        </w:tc>
      </w:tr>
      <w:tr w:rsidR="00925ABE" w:rsidRPr="000C2646" w14:paraId="683A8D44"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47557BA4" w14:textId="77777777" w:rsidR="00925ABE" w:rsidRPr="000C2646" w:rsidRDefault="00925ABE">
            <w:pPr>
              <w:suppressAutoHyphens/>
              <w:rPr>
                <w:b/>
                <w:bCs/>
                <w:sz w:val="24"/>
                <w:szCs w:val="24"/>
                <w:u w:val="single"/>
              </w:rPr>
            </w:pPr>
            <w:r w:rsidRPr="000C2646">
              <w:rPr>
                <w:b/>
                <w:bCs/>
                <w:sz w:val="24"/>
                <w:szCs w:val="24"/>
              </w:rPr>
              <w:t>p-</w:t>
            </w:r>
            <w:proofErr w:type="spellStart"/>
            <w:r w:rsidRPr="000C2646">
              <w:rPr>
                <w:b/>
                <w:bCs/>
                <w:sz w:val="24"/>
                <w:szCs w:val="24"/>
              </w:rPr>
              <w:t>værdi</w:t>
            </w:r>
            <w:proofErr w:type="spellEnd"/>
          </w:p>
        </w:tc>
        <w:tc>
          <w:tcPr>
            <w:tcW w:w="3281" w:type="pct"/>
            <w:gridSpan w:val="2"/>
            <w:tcBorders>
              <w:top w:val="single" w:sz="4" w:space="0" w:color="auto"/>
              <w:left w:val="single" w:sz="4" w:space="0" w:color="auto"/>
              <w:bottom w:val="single" w:sz="4" w:space="0" w:color="auto"/>
              <w:right w:val="single" w:sz="4" w:space="0" w:color="auto"/>
            </w:tcBorders>
            <w:hideMark/>
          </w:tcPr>
          <w:p w14:paraId="35751886" w14:textId="77777777" w:rsidR="00925ABE" w:rsidRPr="000C2646" w:rsidRDefault="00925ABE">
            <w:pPr>
              <w:suppressAutoHyphens/>
              <w:jc w:val="center"/>
              <w:rPr>
                <w:bCs/>
                <w:sz w:val="24"/>
                <w:szCs w:val="24"/>
              </w:rPr>
            </w:pPr>
            <w:r w:rsidRPr="000C2646">
              <w:rPr>
                <w:sz w:val="24"/>
                <w:szCs w:val="24"/>
              </w:rPr>
              <w:t>0,008</w:t>
            </w:r>
          </w:p>
        </w:tc>
      </w:tr>
      <w:tr w:rsidR="00925ABE" w:rsidRPr="000C2646" w14:paraId="40003E3B"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294A5993" w14:textId="77777777" w:rsidR="00925ABE" w:rsidRPr="000C2646" w:rsidRDefault="00925ABE">
            <w:pPr>
              <w:suppressAutoHyphens/>
              <w:rPr>
                <w:sz w:val="24"/>
                <w:szCs w:val="24"/>
              </w:rPr>
            </w:pPr>
            <w:proofErr w:type="spellStart"/>
            <w:r w:rsidRPr="000C2646">
              <w:rPr>
                <w:sz w:val="24"/>
                <w:szCs w:val="24"/>
              </w:rPr>
              <w:t>Responsrate</w:t>
            </w:r>
            <w:proofErr w:type="spellEnd"/>
            <w:r w:rsidRPr="000C2646">
              <w:rPr>
                <w:sz w:val="24"/>
                <w:szCs w:val="24"/>
              </w:rPr>
              <w:t>, %</w:t>
            </w:r>
          </w:p>
          <w:p w14:paraId="245B1726" w14:textId="77777777" w:rsidR="00925ABE" w:rsidRPr="000C2646" w:rsidRDefault="00925ABE">
            <w:pPr>
              <w:suppressAutoHyphens/>
              <w:rPr>
                <w:bCs/>
                <w:sz w:val="24"/>
                <w:szCs w:val="24"/>
                <w:u w:val="single"/>
              </w:rPr>
            </w:pPr>
            <w:r w:rsidRPr="000C2646">
              <w:rPr>
                <w:sz w:val="24"/>
                <w:szCs w:val="24"/>
              </w:rPr>
              <w:t>(95 % CI)</w:t>
            </w:r>
          </w:p>
        </w:tc>
        <w:tc>
          <w:tcPr>
            <w:tcW w:w="1722" w:type="pct"/>
            <w:tcBorders>
              <w:top w:val="single" w:sz="4" w:space="0" w:color="auto"/>
              <w:left w:val="single" w:sz="4" w:space="0" w:color="auto"/>
              <w:bottom w:val="single" w:sz="4" w:space="0" w:color="auto"/>
              <w:right w:val="single" w:sz="4" w:space="0" w:color="auto"/>
            </w:tcBorders>
            <w:hideMark/>
          </w:tcPr>
          <w:p w14:paraId="5593CFDD" w14:textId="77777777" w:rsidR="00925ABE" w:rsidRPr="000C2646" w:rsidRDefault="00925ABE">
            <w:pPr>
              <w:suppressAutoHyphens/>
              <w:jc w:val="center"/>
              <w:rPr>
                <w:sz w:val="24"/>
                <w:szCs w:val="24"/>
              </w:rPr>
            </w:pPr>
            <w:r w:rsidRPr="000C2646">
              <w:rPr>
                <w:sz w:val="24"/>
                <w:szCs w:val="24"/>
              </w:rPr>
              <w:t>10,3</w:t>
            </w:r>
          </w:p>
          <w:p w14:paraId="229A40EE" w14:textId="77777777" w:rsidR="00925ABE" w:rsidRPr="000C2646" w:rsidRDefault="00925ABE">
            <w:pPr>
              <w:suppressAutoHyphens/>
              <w:jc w:val="center"/>
              <w:rPr>
                <w:bCs/>
                <w:sz w:val="24"/>
                <w:szCs w:val="24"/>
              </w:rPr>
            </w:pPr>
            <w:r w:rsidRPr="000C2646">
              <w:rPr>
                <w:sz w:val="24"/>
                <w:szCs w:val="24"/>
              </w:rPr>
              <w:t>(5,9; 16,4)</w:t>
            </w:r>
          </w:p>
        </w:tc>
        <w:tc>
          <w:tcPr>
            <w:tcW w:w="1559" w:type="pct"/>
            <w:tcBorders>
              <w:top w:val="single" w:sz="4" w:space="0" w:color="auto"/>
              <w:left w:val="single" w:sz="4" w:space="0" w:color="auto"/>
              <w:bottom w:val="single" w:sz="4" w:space="0" w:color="auto"/>
              <w:right w:val="single" w:sz="4" w:space="0" w:color="auto"/>
            </w:tcBorders>
            <w:hideMark/>
          </w:tcPr>
          <w:p w14:paraId="12B9B6AB" w14:textId="77777777" w:rsidR="00925ABE" w:rsidRPr="000C2646" w:rsidRDefault="00925ABE">
            <w:pPr>
              <w:suppressAutoHyphens/>
              <w:jc w:val="center"/>
              <w:rPr>
                <w:sz w:val="24"/>
                <w:szCs w:val="24"/>
              </w:rPr>
            </w:pPr>
            <w:r w:rsidRPr="000C2646">
              <w:rPr>
                <w:sz w:val="24"/>
                <w:szCs w:val="24"/>
              </w:rPr>
              <w:t>6,9</w:t>
            </w:r>
          </w:p>
          <w:p w14:paraId="79A1672E" w14:textId="77777777" w:rsidR="00925ABE" w:rsidRPr="000C2646" w:rsidRDefault="00925ABE">
            <w:pPr>
              <w:suppressAutoHyphens/>
              <w:jc w:val="center"/>
              <w:rPr>
                <w:bCs/>
                <w:sz w:val="24"/>
                <w:szCs w:val="24"/>
              </w:rPr>
            </w:pPr>
            <w:r w:rsidRPr="000C2646">
              <w:rPr>
                <w:sz w:val="24"/>
                <w:szCs w:val="24"/>
              </w:rPr>
              <w:t>(3,4; 12,3)</w:t>
            </w:r>
          </w:p>
        </w:tc>
      </w:tr>
      <w:tr w:rsidR="00925ABE" w:rsidRPr="000C2646" w14:paraId="4A0277DB"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64603446" w14:textId="77777777" w:rsidR="00925ABE" w:rsidRPr="000C2646" w:rsidRDefault="00925ABE">
            <w:pPr>
              <w:suppressAutoHyphens/>
              <w:rPr>
                <w:b/>
                <w:bCs/>
                <w:sz w:val="24"/>
                <w:szCs w:val="24"/>
                <w:u w:val="single"/>
              </w:rPr>
            </w:pPr>
            <w:proofErr w:type="spellStart"/>
            <w:r w:rsidRPr="000C2646">
              <w:rPr>
                <w:b/>
                <w:bCs/>
                <w:sz w:val="24"/>
                <w:szCs w:val="24"/>
              </w:rPr>
              <w:t>Døde</w:t>
            </w:r>
            <w:proofErr w:type="spellEnd"/>
          </w:p>
        </w:tc>
        <w:tc>
          <w:tcPr>
            <w:tcW w:w="1722" w:type="pct"/>
            <w:tcBorders>
              <w:top w:val="single" w:sz="4" w:space="0" w:color="auto"/>
              <w:left w:val="single" w:sz="4" w:space="0" w:color="auto"/>
              <w:bottom w:val="single" w:sz="4" w:space="0" w:color="auto"/>
              <w:right w:val="single" w:sz="4" w:space="0" w:color="auto"/>
            </w:tcBorders>
            <w:hideMark/>
          </w:tcPr>
          <w:p w14:paraId="59C24F46" w14:textId="77777777" w:rsidR="00925ABE" w:rsidRPr="000C2646" w:rsidRDefault="00925ABE">
            <w:pPr>
              <w:suppressAutoHyphens/>
              <w:jc w:val="center"/>
              <w:rPr>
                <w:bCs/>
                <w:sz w:val="24"/>
                <w:szCs w:val="24"/>
              </w:rPr>
            </w:pPr>
            <w:r w:rsidRPr="000C2646">
              <w:rPr>
                <w:bCs/>
                <w:sz w:val="24"/>
                <w:szCs w:val="24"/>
              </w:rPr>
              <w:t>105</w:t>
            </w:r>
          </w:p>
        </w:tc>
        <w:tc>
          <w:tcPr>
            <w:tcW w:w="1559" w:type="pct"/>
            <w:tcBorders>
              <w:top w:val="single" w:sz="4" w:space="0" w:color="auto"/>
              <w:left w:val="single" w:sz="4" w:space="0" w:color="auto"/>
              <w:bottom w:val="single" w:sz="4" w:space="0" w:color="auto"/>
              <w:right w:val="single" w:sz="4" w:space="0" w:color="auto"/>
            </w:tcBorders>
            <w:hideMark/>
          </w:tcPr>
          <w:p w14:paraId="0E681536" w14:textId="77777777" w:rsidR="00925ABE" w:rsidRPr="000C2646" w:rsidRDefault="00925ABE">
            <w:pPr>
              <w:suppressAutoHyphens/>
              <w:jc w:val="center"/>
              <w:rPr>
                <w:bCs/>
                <w:sz w:val="24"/>
                <w:szCs w:val="24"/>
              </w:rPr>
            </w:pPr>
            <w:r w:rsidRPr="000C2646">
              <w:rPr>
                <w:bCs/>
                <w:sz w:val="24"/>
                <w:szCs w:val="24"/>
              </w:rPr>
              <w:t>113</w:t>
            </w:r>
          </w:p>
        </w:tc>
      </w:tr>
      <w:tr w:rsidR="00925ABE" w:rsidRPr="000C2646" w14:paraId="1B67D082"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5BBCF216" w14:textId="77777777" w:rsidR="00925ABE" w:rsidRPr="000C2646" w:rsidRDefault="00925ABE">
            <w:pPr>
              <w:suppressAutoHyphens/>
              <w:rPr>
                <w:b/>
                <w:bCs/>
                <w:sz w:val="24"/>
                <w:szCs w:val="24"/>
              </w:rPr>
            </w:pPr>
            <w:r w:rsidRPr="000C2646">
              <w:rPr>
                <w:b/>
                <w:bCs/>
                <w:sz w:val="24"/>
                <w:szCs w:val="24"/>
              </w:rPr>
              <w:t>Median overlevelse</w:t>
            </w:r>
            <w:r w:rsidRPr="000C2646">
              <w:rPr>
                <w:b/>
                <w:bCs/>
                <w:sz w:val="24"/>
                <w:szCs w:val="24"/>
                <w:vertAlign w:val="superscript"/>
              </w:rPr>
              <w:t>1</w:t>
            </w:r>
            <w:r w:rsidRPr="000C2646">
              <w:rPr>
                <w:b/>
                <w:bCs/>
                <w:sz w:val="24"/>
                <w:szCs w:val="24"/>
              </w:rPr>
              <w:t xml:space="preserve">, </w:t>
            </w:r>
            <w:proofErr w:type="spellStart"/>
            <w:r w:rsidRPr="000C2646">
              <w:rPr>
                <w:b/>
                <w:bCs/>
                <w:sz w:val="24"/>
                <w:szCs w:val="24"/>
              </w:rPr>
              <w:t>måneder</w:t>
            </w:r>
            <w:proofErr w:type="spellEnd"/>
          </w:p>
          <w:p w14:paraId="7AA0148C" w14:textId="77777777" w:rsidR="00925ABE" w:rsidRPr="000C2646" w:rsidRDefault="00925ABE">
            <w:pPr>
              <w:suppressAutoHyphens/>
              <w:rPr>
                <w:sz w:val="24"/>
                <w:szCs w:val="24"/>
              </w:rPr>
            </w:pPr>
            <w:r w:rsidRPr="000C2646">
              <w:rPr>
                <w:sz w:val="24"/>
                <w:szCs w:val="24"/>
              </w:rPr>
              <w:t>(95 % CI)</w:t>
            </w:r>
          </w:p>
        </w:tc>
        <w:tc>
          <w:tcPr>
            <w:tcW w:w="1722" w:type="pct"/>
            <w:tcBorders>
              <w:top w:val="single" w:sz="4" w:space="0" w:color="auto"/>
              <w:left w:val="single" w:sz="4" w:space="0" w:color="auto"/>
              <w:bottom w:val="single" w:sz="4" w:space="0" w:color="auto"/>
              <w:right w:val="single" w:sz="4" w:space="0" w:color="auto"/>
            </w:tcBorders>
            <w:hideMark/>
          </w:tcPr>
          <w:p w14:paraId="6A4147E7" w14:textId="77777777" w:rsidR="00925ABE" w:rsidRPr="000C2646" w:rsidRDefault="00925ABE">
            <w:pPr>
              <w:suppressAutoHyphens/>
              <w:jc w:val="center"/>
              <w:rPr>
                <w:sz w:val="24"/>
                <w:szCs w:val="24"/>
              </w:rPr>
            </w:pPr>
            <w:r w:rsidRPr="000C2646">
              <w:rPr>
                <w:sz w:val="24"/>
                <w:szCs w:val="24"/>
              </w:rPr>
              <w:t>14,0</w:t>
            </w:r>
          </w:p>
          <w:p w14:paraId="65704B4C" w14:textId="77777777" w:rsidR="00925ABE" w:rsidRPr="000C2646" w:rsidRDefault="00925ABE">
            <w:pPr>
              <w:suppressAutoHyphens/>
              <w:jc w:val="center"/>
              <w:rPr>
                <w:bCs/>
                <w:sz w:val="24"/>
                <w:szCs w:val="24"/>
              </w:rPr>
            </w:pPr>
            <w:r w:rsidRPr="000C2646">
              <w:rPr>
                <w:sz w:val="24"/>
                <w:szCs w:val="24"/>
              </w:rPr>
              <w:t>(11,9; 17,2)</w:t>
            </w:r>
          </w:p>
        </w:tc>
        <w:tc>
          <w:tcPr>
            <w:tcW w:w="1559" w:type="pct"/>
            <w:tcBorders>
              <w:top w:val="single" w:sz="4" w:space="0" w:color="auto"/>
              <w:left w:val="single" w:sz="4" w:space="0" w:color="auto"/>
              <w:bottom w:val="single" w:sz="4" w:space="0" w:color="auto"/>
              <w:right w:val="single" w:sz="4" w:space="0" w:color="auto"/>
            </w:tcBorders>
            <w:hideMark/>
          </w:tcPr>
          <w:p w14:paraId="20058F68" w14:textId="77777777" w:rsidR="00925ABE" w:rsidRPr="000C2646" w:rsidRDefault="00925ABE">
            <w:pPr>
              <w:suppressAutoHyphens/>
              <w:jc w:val="center"/>
              <w:rPr>
                <w:sz w:val="24"/>
                <w:szCs w:val="24"/>
              </w:rPr>
            </w:pPr>
            <w:r w:rsidRPr="000C2646">
              <w:rPr>
                <w:sz w:val="24"/>
                <w:szCs w:val="24"/>
              </w:rPr>
              <w:t>9,5</w:t>
            </w:r>
          </w:p>
          <w:p w14:paraId="105B58BC" w14:textId="77777777" w:rsidR="00925ABE" w:rsidRPr="000C2646" w:rsidRDefault="00925ABE">
            <w:pPr>
              <w:suppressAutoHyphens/>
              <w:jc w:val="center"/>
              <w:rPr>
                <w:bCs/>
                <w:sz w:val="24"/>
                <w:szCs w:val="24"/>
              </w:rPr>
            </w:pPr>
            <w:r w:rsidRPr="000C2646">
              <w:rPr>
                <w:sz w:val="24"/>
                <w:szCs w:val="24"/>
              </w:rPr>
              <w:t>(7,6; 12,0)</w:t>
            </w:r>
          </w:p>
        </w:tc>
      </w:tr>
      <w:tr w:rsidR="00925ABE" w:rsidRPr="000C2646" w14:paraId="600EBECC"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78B6C525" w14:textId="77777777" w:rsidR="00925ABE" w:rsidRPr="000C2646" w:rsidRDefault="00925ABE">
            <w:pPr>
              <w:suppressAutoHyphens/>
              <w:rPr>
                <w:b/>
                <w:bCs/>
                <w:sz w:val="24"/>
                <w:szCs w:val="24"/>
                <w:u w:val="single"/>
              </w:rPr>
            </w:pPr>
            <w:r w:rsidRPr="000C2646">
              <w:rPr>
                <w:b/>
                <w:bCs/>
                <w:i/>
                <w:iCs/>
                <w:sz w:val="24"/>
                <w:szCs w:val="24"/>
              </w:rPr>
              <w:t>Hazard ratio</w:t>
            </w:r>
            <w:r w:rsidRPr="000C2646">
              <w:rPr>
                <w:b/>
                <w:bCs/>
                <w:sz w:val="24"/>
                <w:szCs w:val="24"/>
              </w:rPr>
              <w:t xml:space="preserve"> (95 % CI)</w:t>
            </w:r>
          </w:p>
        </w:tc>
        <w:tc>
          <w:tcPr>
            <w:tcW w:w="3281" w:type="pct"/>
            <w:gridSpan w:val="2"/>
            <w:tcBorders>
              <w:top w:val="single" w:sz="4" w:space="0" w:color="auto"/>
              <w:left w:val="single" w:sz="4" w:space="0" w:color="auto"/>
              <w:bottom w:val="single" w:sz="4" w:space="0" w:color="auto"/>
              <w:right w:val="single" w:sz="4" w:space="0" w:color="auto"/>
            </w:tcBorders>
            <w:hideMark/>
          </w:tcPr>
          <w:p w14:paraId="16B605F1" w14:textId="77777777" w:rsidR="00925ABE" w:rsidRPr="000C2646" w:rsidRDefault="00925ABE">
            <w:pPr>
              <w:suppressAutoHyphens/>
              <w:jc w:val="center"/>
              <w:rPr>
                <w:bCs/>
                <w:sz w:val="24"/>
                <w:szCs w:val="24"/>
              </w:rPr>
            </w:pPr>
            <w:r w:rsidRPr="000C2646">
              <w:rPr>
                <w:sz w:val="24"/>
                <w:szCs w:val="24"/>
              </w:rPr>
              <w:t>0,74 (0,57; 0;97)</w:t>
            </w:r>
          </w:p>
        </w:tc>
      </w:tr>
      <w:tr w:rsidR="00925ABE" w:rsidRPr="000C2646" w14:paraId="77492B99" w14:textId="77777777" w:rsidTr="009534FE">
        <w:tc>
          <w:tcPr>
            <w:tcW w:w="1719" w:type="pct"/>
            <w:tcBorders>
              <w:top w:val="single" w:sz="4" w:space="0" w:color="auto"/>
              <w:left w:val="single" w:sz="4" w:space="0" w:color="auto"/>
              <w:bottom w:val="single" w:sz="4" w:space="0" w:color="auto"/>
              <w:right w:val="single" w:sz="4" w:space="0" w:color="auto"/>
            </w:tcBorders>
            <w:hideMark/>
          </w:tcPr>
          <w:p w14:paraId="30BA868E" w14:textId="77777777" w:rsidR="00925ABE" w:rsidRPr="000C2646" w:rsidRDefault="00925ABE">
            <w:pPr>
              <w:suppressAutoHyphens/>
              <w:rPr>
                <w:b/>
                <w:bCs/>
                <w:sz w:val="24"/>
                <w:szCs w:val="24"/>
              </w:rPr>
            </w:pPr>
            <w:r w:rsidRPr="000C2646">
              <w:rPr>
                <w:b/>
                <w:bCs/>
                <w:sz w:val="24"/>
                <w:szCs w:val="24"/>
              </w:rPr>
              <w:t>p-</w:t>
            </w:r>
            <w:proofErr w:type="spellStart"/>
            <w:r w:rsidRPr="000C2646">
              <w:rPr>
                <w:b/>
                <w:bCs/>
                <w:sz w:val="24"/>
                <w:szCs w:val="24"/>
              </w:rPr>
              <w:t>værdi</w:t>
            </w:r>
            <w:proofErr w:type="spellEnd"/>
          </w:p>
        </w:tc>
        <w:tc>
          <w:tcPr>
            <w:tcW w:w="3281" w:type="pct"/>
            <w:gridSpan w:val="2"/>
            <w:tcBorders>
              <w:top w:val="single" w:sz="4" w:space="0" w:color="auto"/>
              <w:left w:val="single" w:sz="4" w:space="0" w:color="auto"/>
              <w:bottom w:val="single" w:sz="4" w:space="0" w:color="auto"/>
              <w:right w:val="single" w:sz="4" w:space="0" w:color="auto"/>
            </w:tcBorders>
            <w:hideMark/>
          </w:tcPr>
          <w:p w14:paraId="7EC8C562" w14:textId="77777777" w:rsidR="00925ABE" w:rsidRPr="000C2646" w:rsidRDefault="00925ABE">
            <w:pPr>
              <w:suppressAutoHyphens/>
              <w:jc w:val="center"/>
              <w:rPr>
                <w:bCs/>
                <w:sz w:val="24"/>
                <w:szCs w:val="24"/>
              </w:rPr>
            </w:pPr>
            <w:r w:rsidRPr="000C2646">
              <w:rPr>
                <w:sz w:val="24"/>
                <w:szCs w:val="24"/>
              </w:rPr>
              <w:t>0,026</w:t>
            </w:r>
          </w:p>
        </w:tc>
      </w:tr>
    </w:tbl>
    <w:p w14:paraId="4D1A751B" w14:textId="77777777" w:rsidR="00925ABE" w:rsidRPr="000C2646" w:rsidRDefault="00925ABE" w:rsidP="00925ABE">
      <w:pPr>
        <w:suppressAutoHyphens/>
        <w:rPr>
          <w:sz w:val="24"/>
          <w:szCs w:val="24"/>
        </w:rPr>
      </w:pPr>
      <w:r w:rsidRPr="000C2646">
        <w:rPr>
          <w:sz w:val="24"/>
          <w:szCs w:val="24"/>
        </w:rPr>
        <w:t>PFS = progressionsfri overlevelse; CI = konfidensinterval.</w:t>
      </w:r>
    </w:p>
    <w:p w14:paraId="0B0B75A3" w14:textId="77777777" w:rsidR="00925ABE" w:rsidRPr="000C2646" w:rsidRDefault="00925ABE" w:rsidP="00925ABE">
      <w:pPr>
        <w:suppressAutoHyphens/>
        <w:rPr>
          <w:sz w:val="24"/>
          <w:szCs w:val="24"/>
        </w:rPr>
      </w:pPr>
      <w:r w:rsidRPr="000C2646">
        <w:rPr>
          <w:sz w:val="24"/>
          <w:szCs w:val="24"/>
          <w:vertAlign w:val="superscript"/>
        </w:rPr>
        <w:t>1</w:t>
      </w:r>
      <w:r w:rsidRPr="000C2646">
        <w:rPr>
          <w:sz w:val="24"/>
          <w:szCs w:val="24"/>
        </w:rPr>
        <w:t>Kaplan-Meier-estimater.</w:t>
      </w:r>
    </w:p>
    <w:p w14:paraId="51ACA61C" w14:textId="0256722D" w:rsidR="002417A3" w:rsidRDefault="002417A3">
      <w:pPr>
        <w:rPr>
          <w:sz w:val="24"/>
          <w:szCs w:val="24"/>
        </w:rPr>
      </w:pPr>
      <w:r>
        <w:rPr>
          <w:sz w:val="24"/>
          <w:szCs w:val="24"/>
        </w:rPr>
        <w:br w:type="page"/>
      </w:r>
    </w:p>
    <w:p w14:paraId="4966CC3D" w14:textId="77777777" w:rsidR="00925ABE" w:rsidRPr="000C2646" w:rsidRDefault="00925ABE" w:rsidP="00925ABE">
      <w:pPr>
        <w:suppressAutoHyphens/>
        <w:rPr>
          <w:sz w:val="24"/>
          <w:szCs w:val="24"/>
        </w:rPr>
      </w:pPr>
    </w:p>
    <w:p w14:paraId="676D6D57" w14:textId="123BBDA8" w:rsidR="00925ABE" w:rsidRPr="000C2646" w:rsidRDefault="00925ABE" w:rsidP="00925ABE">
      <w:pPr>
        <w:keepNext/>
        <w:suppressAutoHyphens/>
        <w:ind w:left="1134" w:hanging="1134"/>
        <w:rPr>
          <w:b/>
          <w:sz w:val="24"/>
          <w:szCs w:val="24"/>
        </w:rPr>
      </w:pPr>
      <w:r w:rsidRPr="000C2646">
        <w:rPr>
          <w:b/>
          <w:sz w:val="24"/>
          <w:szCs w:val="24"/>
        </w:rPr>
        <w:t>Tabel 5</w:t>
      </w:r>
      <w:r w:rsidR="004D4694">
        <w:rPr>
          <w:b/>
          <w:sz w:val="24"/>
          <w:szCs w:val="24"/>
        </w:rPr>
        <w:t xml:space="preserve">. </w:t>
      </w:r>
      <w:r w:rsidRPr="000C2646">
        <w:rPr>
          <w:b/>
          <w:sz w:val="24"/>
          <w:szCs w:val="24"/>
        </w:rPr>
        <w:t>Sammendrag af PFS og OS i studier med hormonreceptornegative kvinder</w:t>
      </w:r>
    </w:p>
    <w:p w14:paraId="6C089565" w14:textId="77777777" w:rsidR="00925ABE" w:rsidRPr="000C2646" w:rsidRDefault="00925ABE" w:rsidP="00925ABE">
      <w:pPr>
        <w:keepNext/>
        <w:suppressAutoHyphens/>
        <w:rPr>
          <w:bCs/>
          <w:sz w:val="24"/>
          <w:szCs w:val="24"/>
          <w:u w:val="single"/>
        </w:rPr>
      </w:pPr>
    </w:p>
    <w:tbl>
      <w:tblPr>
        <w:tblStyle w:val="Tabel-Gitter"/>
        <w:tblW w:w="5000" w:type="pct"/>
        <w:tblInd w:w="0" w:type="dxa"/>
        <w:tblLook w:val="04A0" w:firstRow="1" w:lastRow="0" w:firstColumn="1" w:lastColumn="0" w:noHBand="0" w:noVBand="1"/>
      </w:tblPr>
      <w:tblGrid>
        <w:gridCol w:w="3209"/>
        <w:gridCol w:w="3209"/>
        <w:gridCol w:w="3210"/>
      </w:tblGrid>
      <w:tr w:rsidR="00925ABE" w:rsidRPr="000C2646" w14:paraId="421255AF" w14:textId="77777777" w:rsidTr="009534FE">
        <w:tc>
          <w:tcPr>
            <w:tcW w:w="1666" w:type="pct"/>
            <w:tcBorders>
              <w:top w:val="single" w:sz="4" w:space="0" w:color="auto"/>
              <w:left w:val="single" w:sz="4" w:space="0" w:color="auto"/>
              <w:bottom w:val="single" w:sz="4" w:space="0" w:color="auto"/>
              <w:right w:val="single" w:sz="4" w:space="0" w:color="auto"/>
            </w:tcBorders>
          </w:tcPr>
          <w:p w14:paraId="20582806" w14:textId="77777777" w:rsidR="00925ABE" w:rsidRPr="000C2646" w:rsidRDefault="00925ABE">
            <w:pPr>
              <w:keepNext/>
              <w:suppressAutoHyphens/>
              <w:rPr>
                <w:bCs/>
                <w:sz w:val="24"/>
                <w:szCs w:val="24"/>
                <w:u w:val="single"/>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71042A0B" w14:textId="77777777" w:rsidR="00925ABE" w:rsidRPr="000C2646" w:rsidRDefault="00925ABE">
            <w:pPr>
              <w:keepNext/>
              <w:suppressAutoHyphens/>
              <w:jc w:val="center"/>
              <w:rPr>
                <w:b/>
                <w:bCs/>
                <w:sz w:val="24"/>
                <w:szCs w:val="24"/>
                <w:u w:val="single"/>
              </w:rPr>
            </w:pPr>
            <w:r w:rsidRPr="000C2646">
              <w:rPr>
                <w:b/>
                <w:bCs/>
                <w:sz w:val="24"/>
                <w:szCs w:val="24"/>
              </w:rPr>
              <w:t>Median PFS</w:t>
            </w:r>
          </w:p>
        </w:tc>
        <w:tc>
          <w:tcPr>
            <w:tcW w:w="1667" w:type="pct"/>
            <w:tcBorders>
              <w:top w:val="single" w:sz="4" w:space="0" w:color="auto"/>
              <w:left w:val="single" w:sz="4" w:space="0" w:color="auto"/>
              <w:bottom w:val="single" w:sz="4" w:space="0" w:color="auto"/>
              <w:right w:val="single" w:sz="4" w:space="0" w:color="auto"/>
            </w:tcBorders>
            <w:hideMark/>
          </w:tcPr>
          <w:p w14:paraId="47CDED38" w14:textId="77777777" w:rsidR="00925ABE" w:rsidRPr="000C2646" w:rsidRDefault="00925ABE">
            <w:pPr>
              <w:keepNext/>
              <w:suppressAutoHyphens/>
              <w:ind w:firstLine="720"/>
              <w:rPr>
                <w:b/>
                <w:bCs/>
                <w:sz w:val="24"/>
                <w:szCs w:val="24"/>
                <w:u w:val="single"/>
              </w:rPr>
            </w:pPr>
            <w:r w:rsidRPr="000C2646">
              <w:rPr>
                <w:b/>
                <w:bCs/>
                <w:sz w:val="24"/>
                <w:szCs w:val="24"/>
              </w:rPr>
              <w:t>Median OS</w:t>
            </w:r>
          </w:p>
        </w:tc>
      </w:tr>
      <w:tr w:rsidR="00925ABE" w:rsidRPr="000C2646" w14:paraId="533091B0"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546DFA55" w14:textId="77777777" w:rsidR="00925ABE" w:rsidRPr="000C2646" w:rsidRDefault="00925ABE">
            <w:pPr>
              <w:tabs>
                <w:tab w:val="left" w:pos="2115"/>
              </w:tabs>
              <w:suppressAutoHyphens/>
              <w:rPr>
                <w:b/>
                <w:bCs/>
                <w:sz w:val="24"/>
                <w:szCs w:val="24"/>
                <w:u w:val="single"/>
              </w:rPr>
            </w:pPr>
            <w:proofErr w:type="spellStart"/>
            <w:r w:rsidRPr="000C2646">
              <w:rPr>
                <w:b/>
                <w:bCs/>
                <w:sz w:val="24"/>
                <w:szCs w:val="24"/>
              </w:rPr>
              <w:t>Lap+Tras</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1A296DF7" w14:textId="77777777" w:rsidR="00925ABE" w:rsidRPr="000C2646" w:rsidRDefault="00925ABE">
            <w:pPr>
              <w:suppressAutoHyphens/>
              <w:jc w:val="center"/>
              <w:rPr>
                <w:bCs/>
                <w:sz w:val="24"/>
                <w:szCs w:val="24"/>
                <w:u w:val="single"/>
              </w:rPr>
            </w:pPr>
            <w:r w:rsidRPr="000C2646">
              <w:rPr>
                <w:sz w:val="24"/>
                <w:szCs w:val="24"/>
              </w:rPr>
              <w:t>15,4 </w:t>
            </w:r>
            <w:proofErr w:type="spellStart"/>
            <w:r w:rsidRPr="000C2646">
              <w:rPr>
                <w:sz w:val="24"/>
                <w:szCs w:val="24"/>
              </w:rPr>
              <w:t>uger</w:t>
            </w:r>
            <w:proofErr w:type="spellEnd"/>
            <w:r w:rsidRPr="000C2646">
              <w:rPr>
                <w:sz w:val="24"/>
                <w:szCs w:val="24"/>
              </w:rPr>
              <w:t xml:space="preserve"> (8,4; 16,9)</w:t>
            </w:r>
          </w:p>
        </w:tc>
        <w:tc>
          <w:tcPr>
            <w:tcW w:w="1667" w:type="pct"/>
            <w:tcBorders>
              <w:top w:val="single" w:sz="4" w:space="0" w:color="auto"/>
              <w:left w:val="single" w:sz="4" w:space="0" w:color="auto"/>
              <w:bottom w:val="single" w:sz="4" w:space="0" w:color="auto"/>
              <w:right w:val="single" w:sz="4" w:space="0" w:color="auto"/>
            </w:tcBorders>
            <w:hideMark/>
          </w:tcPr>
          <w:p w14:paraId="426C6377" w14:textId="77777777" w:rsidR="00925ABE" w:rsidRPr="000C2646" w:rsidRDefault="00925ABE">
            <w:pPr>
              <w:tabs>
                <w:tab w:val="left" w:pos="945"/>
              </w:tabs>
              <w:suppressAutoHyphens/>
              <w:jc w:val="center"/>
              <w:rPr>
                <w:bCs/>
                <w:sz w:val="24"/>
                <w:szCs w:val="24"/>
                <w:u w:val="single"/>
              </w:rPr>
            </w:pPr>
            <w:r w:rsidRPr="000C2646">
              <w:rPr>
                <w:sz w:val="24"/>
                <w:szCs w:val="24"/>
              </w:rPr>
              <w:t>17,2 </w:t>
            </w:r>
            <w:proofErr w:type="spellStart"/>
            <w:r w:rsidRPr="000C2646">
              <w:rPr>
                <w:sz w:val="24"/>
                <w:szCs w:val="24"/>
              </w:rPr>
              <w:t>måneder</w:t>
            </w:r>
            <w:proofErr w:type="spellEnd"/>
            <w:r w:rsidRPr="000C2646">
              <w:rPr>
                <w:sz w:val="24"/>
                <w:szCs w:val="24"/>
              </w:rPr>
              <w:t xml:space="preserve"> (13,9; 19,2)</w:t>
            </w:r>
          </w:p>
        </w:tc>
      </w:tr>
      <w:tr w:rsidR="00925ABE" w:rsidRPr="000C2646" w14:paraId="0E384D08"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0951F564" w14:textId="77777777" w:rsidR="00925ABE" w:rsidRPr="000C2646" w:rsidRDefault="00925ABE">
            <w:pPr>
              <w:suppressAutoHyphens/>
              <w:rPr>
                <w:bCs/>
                <w:sz w:val="24"/>
                <w:szCs w:val="24"/>
                <w:u w:val="single"/>
              </w:rPr>
            </w:pPr>
            <w:r w:rsidRPr="000C2646">
              <w:rPr>
                <w:b/>
                <w:bCs/>
                <w:sz w:val="24"/>
                <w:szCs w:val="24"/>
              </w:rPr>
              <w:t>Lap</w:t>
            </w:r>
          </w:p>
        </w:tc>
        <w:tc>
          <w:tcPr>
            <w:tcW w:w="1666" w:type="pct"/>
            <w:tcBorders>
              <w:top w:val="single" w:sz="4" w:space="0" w:color="auto"/>
              <w:left w:val="single" w:sz="4" w:space="0" w:color="auto"/>
              <w:bottom w:val="single" w:sz="4" w:space="0" w:color="auto"/>
              <w:right w:val="single" w:sz="4" w:space="0" w:color="auto"/>
            </w:tcBorders>
            <w:hideMark/>
          </w:tcPr>
          <w:p w14:paraId="283FB8BF" w14:textId="77777777" w:rsidR="00925ABE" w:rsidRPr="000C2646" w:rsidRDefault="00925ABE">
            <w:pPr>
              <w:suppressAutoHyphens/>
              <w:jc w:val="center"/>
              <w:rPr>
                <w:bCs/>
                <w:sz w:val="24"/>
                <w:szCs w:val="24"/>
                <w:u w:val="single"/>
              </w:rPr>
            </w:pPr>
            <w:r w:rsidRPr="000C2646">
              <w:rPr>
                <w:sz w:val="24"/>
                <w:szCs w:val="24"/>
              </w:rPr>
              <w:t>8,2 </w:t>
            </w:r>
            <w:proofErr w:type="spellStart"/>
            <w:r w:rsidRPr="000C2646">
              <w:rPr>
                <w:sz w:val="24"/>
                <w:szCs w:val="24"/>
              </w:rPr>
              <w:t>uger</w:t>
            </w:r>
            <w:proofErr w:type="spellEnd"/>
            <w:r w:rsidRPr="000C2646">
              <w:rPr>
                <w:sz w:val="24"/>
                <w:szCs w:val="24"/>
              </w:rPr>
              <w:t xml:space="preserve"> (7,4; 9,3)</w:t>
            </w:r>
          </w:p>
        </w:tc>
        <w:tc>
          <w:tcPr>
            <w:tcW w:w="1667" w:type="pct"/>
            <w:tcBorders>
              <w:top w:val="single" w:sz="4" w:space="0" w:color="auto"/>
              <w:left w:val="single" w:sz="4" w:space="0" w:color="auto"/>
              <w:bottom w:val="single" w:sz="4" w:space="0" w:color="auto"/>
              <w:right w:val="single" w:sz="4" w:space="0" w:color="auto"/>
            </w:tcBorders>
            <w:hideMark/>
          </w:tcPr>
          <w:p w14:paraId="2F9F52CD" w14:textId="77777777" w:rsidR="00925ABE" w:rsidRPr="000C2646" w:rsidRDefault="00925ABE">
            <w:pPr>
              <w:suppressAutoHyphens/>
              <w:jc w:val="center"/>
              <w:rPr>
                <w:bCs/>
                <w:sz w:val="24"/>
                <w:szCs w:val="24"/>
                <w:u w:val="single"/>
              </w:rPr>
            </w:pPr>
            <w:r w:rsidRPr="000C2646">
              <w:rPr>
                <w:sz w:val="24"/>
                <w:szCs w:val="24"/>
              </w:rPr>
              <w:t>8,9 </w:t>
            </w:r>
            <w:proofErr w:type="spellStart"/>
            <w:r w:rsidRPr="000C2646">
              <w:rPr>
                <w:sz w:val="24"/>
                <w:szCs w:val="24"/>
              </w:rPr>
              <w:t>måneder</w:t>
            </w:r>
            <w:proofErr w:type="spellEnd"/>
            <w:r w:rsidRPr="000C2646">
              <w:rPr>
                <w:sz w:val="24"/>
                <w:szCs w:val="24"/>
              </w:rPr>
              <w:t xml:space="preserve"> (6,7; 11,8)</w:t>
            </w:r>
          </w:p>
        </w:tc>
      </w:tr>
      <w:tr w:rsidR="00925ABE" w:rsidRPr="000C2646" w14:paraId="53503CBC" w14:textId="77777777" w:rsidTr="009534FE">
        <w:tc>
          <w:tcPr>
            <w:tcW w:w="1666" w:type="pct"/>
            <w:tcBorders>
              <w:top w:val="single" w:sz="4" w:space="0" w:color="auto"/>
              <w:left w:val="single" w:sz="4" w:space="0" w:color="auto"/>
              <w:bottom w:val="single" w:sz="4" w:space="0" w:color="auto"/>
              <w:right w:val="single" w:sz="4" w:space="0" w:color="auto"/>
            </w:tcBorders>
            <w:hideMark/>
          </w:tcPr>
          <w:p w14:paraId="20EFD51E" w14:textId="77777777" w:rsidR="00925ABE" w:rsidRPr="000C2646" w:rsidRDefault="00925ABE">
            <w:pPr>
              <w:suppressAutoHyphens/>
              <w:rPr>
                <w:bCs/>
                <w:sz w:val="24"/>
                <w:szCs w:val="24"/>
                <w:u w:val="single"/>
              </w:rPr>
            </w:pPr>
            <w:r w:rsidRPr="000C2646">
              <w:rPr>
                <w:b/>
                <w:bCs/>
                <w:sz w:val="24"/>
                <w:szCs w:val="24"/>
              </w:rPr>
              <w:t>HR (95 % CI)</w:t>
            </w:r>
          </w:p>
        </w:tc>
        <w:tc>
          <w:tcPr>
            <w:tcW w:w="1666" w:type="pct"/>
            <w:tcBorders>
              <w:top w:val="single" w:sz="4" w:space="0" w:color="auto"/>
              <w:left w:val="single" w:sz="4" w:space="0" w:color="auto"/>
              <w:bottom w:val="single" w:sz="4" w:space="0" w:color="auto"/>
              <w:right w:val="single" w:sz="4" w:space="0" w:color="auto"/>
            </w:tcBorders>
            <w:hideMark/>
          </w:tcPr>
          <w:p w14:paraId="2BCFB5FE" w14:textId="77777777" w:rsidR="00925ABE" w:rsidRPr="000C2646" w:rsidRDefault="00925ABE">
            <w:pPr>
              <w:suppressAutoHyphens/>
              <w:jc w:val="center"/>
              <w:rPr>
                <w:bCs/>
                <w:sz w:val="24"/>
                <w:szCs w:val="24"/>
                <w:u w:val="single"/>
              </w:rPr>
            </w:pPr>
            <w:r w:rsidRPr="000C2646">
              <w:rPr>
                <w:sz w:val="24"/>
                <w:szCs w:val="24"/>
              </w:rPr>
              <w:t>0,73 (0,52; 1,03)</w:t>
            </w:r>
          </w:p>
        </w:tc>
        <w:tc>
          <w:tcPr>
            <w:tcW w:w="1667" w:type="pct"/>
            <w:tcBorders>
              <w:top w:val="single" w:sz="4" w:space="0" w:color="auto"/>
              <w:left w:val="single" w:sz="4" w:space="0" w:color="auto"/>
              <w:bottom w:val="single" w:sz="4" w:space="0" w:color="auto"/>
              <w:right w:val="single" w:sz="4" w:space="0" w:color="auto"/>
            </w:tcBorders>
            <w:hideMark/>
          </w:tcPr>
          <w:p w14:paraId="5A859FCC" w14:textId="77777777" w:rsidR="00925ABE" w:rsidRPr="000C2646" w:rsidRDefault="00925ABE">
            <w:pPr>
              <w:suppressAutoHyphens/>
              <w:jc w:val="center"/>
              <w:rPr>
                <w:bCs/>
                <w:sz w:val="24"/>
                <w:szCs w:val="24"/>
                <w:u w:val="single"/>
              </w:rPr>
            </w:pPr>
            <w:r w:rsidRPr="000C2646">
              <w:rPr>
                <w:sz w:val="24"/>
                <w:szCs w:val="24"/>
              </w:rPr>
              <w:t>0,62 (0,42; 0,90)</w:t>
            </w:r>
          </w:p>
        </w:tc>
      </w:tr>
    </w:tbl>
    <w:p w14:paraId="4836DA27" w14:textId="77777777" w:rsidR="00925ABE" w:rsidRPr="000C2646" w:rsidRDefault="00925ABE" w:rsidP="00925ABE">
      <w:pPr>
        <w:suppressAutoHyphens/>
        <w:rPr>
          <w:bCs/>
          <w:sz w:val="24"/>
          <w:szCs w:val="24"/>
          <w:u w:val="single"/>
        </w:rPr>
      </w:pPr>
    </w:p>
    <w:p w14:paraId="7B5BEC8C" w14:textId="77777777" w:rsidR="00925ABE" w:rsidRPr="004D4694" w:rsidRDefault="00925ABE" w:rsidP="004D4694">
      <w:pPr>
        <w:ind w:left="851"/>
        <w:rPr>
          <w:i/>
          <w:sz w:val="24"/>
          <w:szCs w:val="24"/>
          <w:u w:val="single"/>
        </w:rPr>
      </w:pPr>
      <w:r w:rsidRPr="004D4694">
        <w:rPr>
          <w:i/>
          <w:sz w:val="24"/>
          <w:szCs w:val="24"/>
          <w:u w:val="single"/>
        </w:rPr>
        <w:t xml:space="preserve">Kombinationsbehandling med </w:t>
      </w:r>
      <w:proofErr w:type="spellStart"/>
      <w:r w:rsidRPr="004D4694">
        <w:rPr>
          <w:i/>
          <w:sz w:val="24"/>
          <w:szCs w:val="24"/>
          <w:u w:val="single"/>
        </w:rPr>
        <w:t>lapatinib</w:t>
      </w:r>
      <w:proofErr w:type="spellEnd"/>
      <w:r w:rsidRPr="004D4694">
        <w:rPr>
          <w:i/>
          <w:sz w:val="24"/>
          <w:szCs w:val="24"/>
          <w:u w:val="single"/>
        </w:rPr>
        <w:t xml:space="preserve"> og </w:t>
      </w:r>
      <w:proofErr w:type="spellStart"/>
      <w:r w:rsidRPr="004D4694">
        <w:rPr>
          <w:i/>
          <w:sz w:val="24"/>
          <w:szCs w:val="24"/>
          <w:u w:val="single"/>
        </w:rPr>
        <w:t>letrozol</w:t>
      </w:r>
      <w:proofErr w:type="spellEnd"/>
    </w:p>
    <w:p w14:paraId="108EA3A9" w14:textId="77777777" w:rsidR="00925ABE" w:rsidRPr="004D4694" w:rsidRDefault="00925ABE" w:rsidP="004D4694">
      <w:pPr>
        <w:ind w:left="851"/>
        <w:rPr>
          <w:sz w:val="24"/>
          <w:szCs w:val="24"/>
        </w:rPr>
      </w:pPr>
    </w:p>
    <w:p w14:paraId="4B2933FB" w14:textId="77777777" w:rsidR="00925ABE" w:rsidRPr="000C2646" w:rsidRDefault="00925ABE" w:rsidP="009534FE">
      <w:pPr>
        <w:suppressAutoHyphens/>
        <w:ind w:left="851"/>
        <w:rPr>
          <w:sz w:val="24"/>
          <w:szCs w:val="24"/>
        </w:rPr>
      </w:pPr>
      <w:proofErr w:type="spellStart"/>
      <w:r w:rsidRPr="000C2646">
        <w:rPr>
          <w:sz w:val="24"/>
          <w:szCs w:val="24"/>
        </w:rPr>
        <w:t>Lapatinib</w:t>
      </w:r>
      <w:proofErr w:type="spellEnd"/>
      <w:r w:rsidRPr="000C2646">
        <w:rPr>
          <w:sz w:val="24"/>
          <w:szCs w:val="24"/>
        </w:rPr>
        <w:t xml:space="preserve"> er blevet undersøgt i kombination med </w:t>
      </w:r>
      <w:proofErr w:type="spellStart"/>
      <w:r w:rsidRPr="000C2646">
        <w:rPr>
          <w:sz w:val="24"/>
          <w:szCs w:val="24"/>
        </w:rPr>
        <w:t>letrozol</w:t>
      </w:r>
      <w:proofErr w:type="spellEnd"/>
      <w:r w:rsidRPr="000C2646">
        <w:rPr>
          <w:sz w:val="24"/>
          <w:szCs w:val="24"/>
        </w:rPr>
        <w:t xml:space="preserve"> til behandling af </w:t>
      </w:r>
      <w:proofErr w:type="spellStart"/>
      <w:r w:rsidRPr="000C2646">
        <w:rPr>
          <w:sz w:val="24"/>
          <w:szCs w:val="24"/>
        </w:rPr>
        <w:t>postmenopausale</w:t>
      </w:r>
      <w:proofErr w:type="spellEnd"/>
      <w:r w:rsidRPr="000C2646">
        <w:rPr>
          <w:sz w:val="24"/>
          <w:szCs w:val="24"/>
        </w:rPr>
        <w:t xml:space="preserve"> kvinder med hormonreceptorpositiv (østrogenreceptorpositiv [ER-positiv] og/eller progesteronreceptorpositiv [</w:t>
      </w:r>
      <w:proofErr w:type="spellStart"/>
      <w:r w:rsidRPr="000C2646">
        <w:rPr>
          <w:sz w:val="24"/>
          <w:szCs w:val="24"/>
        </w:rPr>
        <w:t>PgR</w:t>
      </w:r>
      <w:proofErr w:type="spellEnd"/>
      <w:r w:rsidRPr="000C2646">
        <w:rPr>
          <w:sz w:val="24"/>
          <w:szCs w:val="24"/>
        </w:rPr>
        <w:t>-positiv]) avanceret eller metastatisk brystcancer.</w:t>
      </w:r>
    </w:p>
    <w:p w14:paraId="06BBF6C2" w14:textId="77777777" w:rsidR="00925ABE" w:rsidRPr="000C2646" w:rsidRDefault="00925ABE" w:rsidP="009534FE">
      <w:pPr>
        <w:suppressAutoHyphens/>
        <w:ind w:left="851"/>
        <w:rPr>
          <w:sz w:val="24"/>
          <w:szCs w:val="24"/>
        </w:rPr>
      </w:pPr>
    </w:p>
    <w:p w14:paraId="73F62A65" w14:textId="77777777" w:rsidR="00925ABE" w:rsidRPr="000C2646" w:rsidRDefault="00925ABE" w:rsidP="009534FE">
      <w:pPr>
        <w:suppressAutoHyphens/>
        <w:ind w:left="851"/>
        <w:rPr>
          <w:sz w:val="24"/>
          <w:szCs w:val="24"/>
        </w:rPr>
      </w:pPr>
      <w:r w:rsidRPr="000C2646">
        <w:rPr>
          <w:sz w:val="24"/>
          <w:szCs w:val="24"/>
        </w:rPr>
        <w:t>Fase III-studiet (EGF30008) var randomiseret, dobbeltblindet og placebokontrolleret. Forsøgsdeltagerne var ikke tidligere blevet behandlet for metastatisk sygdom.</w:t>
      </w:r>
    </w:p>
    <w:p w14:paraId="45C54E31" w14:textId="77777777" w:rsidR="00925ABE" w:rsidRPr="000C2646" w:rsidRDefault="00925ABE" w:rsidP="009534FE">
      <w:pPr>
        <w:suppressAutoHyphens/>
        <w:ind w:left="851"/>
        <w:rPr>
          <w:sz w:val="24"/>
          <w:szCs w:val="24"/>
        </w:rPr>
      </w:pPr>
    </w:p>
    <w:p w14:paraId="3D557E0D" w14:textId="77777777" w:rsidR="00925ABE" w:rsidRPr="000C2646" w:rsidRDefault="00925ABE" w:rsidP="009534FE">
      <w:pPr>
        <w:suppressAutoHyphens/>
        <w:ind w:left="851"/>
        <w:rPr>
          <w:sz w:val="24"/>
          <w:szCs w:val="24"/>
        </w:rPr>
      </w:pPr>
      <w:r w:rsidRPr="000C2646">
        <w:rPr>
          <w:sz w:val="24"/>
          <w:szCs w:val="24"/>
        </w:rPr>
        <w:t xml:space="preserve">I populationen med </w:t>
      </w:r>
      <w:proofErr w:type="spellStart"/>
      <w:r w:rsidRPr="000C2646">
        <w:rPr>
          <w:sz w:val="24"/>
          <w:szCs w:val="24"/>
        </w:rPr>
        <w:t>overekspression</w:t>
      </w:r>
      <w:proofErr w:type="spellEnd"/>
      <w:r w:rsidRPr="000C2646">
        <w:rPr>
          <w:sz w:val="24"/>
          <w:szCs w:val="24"/>
        </w:rPr>
        <w:t xml:space="preserve"> af HER2 blev der kun inkluderet 2 patienter, som tidligere havde fået </w:t>
      </w:r>
      <w:proofErr w:type="spellStart"/>
      <w:r w:rsidRPr="000C2646">
        <w:rPr>
          <w:sz w:val="24"/>
          <w:szCs w:val="24"/>
        </w:rPr>
        <w:t>trastuzumab</w:t>
      </w:r>
      <w:proofErr w:type="spellEnd"/>
      <w:r w:rsidRPr="000C2646">
        <w:rPr>
          <w:sz w:val="24"/>
          <w:szCs w:val="24"/>
        </w:rPr>
        <w:t xml:space="preserve">. 2 af patienterne havde tidligere fået behandling med en </w:t>
      </w:r>
      <w:proofErr w:type="spellStart"/>
      <w:r w:rsidRPr="000C2646">
        <w:rPr>
          <w:sz w:val="24"/>
          <w:szCs w:val="24"/>
        </w:rPr>
        <w:t>aromatasehæmmer</w:t>
      </w:r>
      <w:proofErr w:type="spellEnd"/>
      <w:r w:rsidRPr="000C2646">
        <w:rPr>
          <w:sz w:val="24"/>
          <w:szCs w:val="24"/>
        </w:rPr>
        <w:t xml:space="preserve">, og ca. halvdelen havde fået </w:t>
      </w:r>
      <w:proofErr w:type="spellStart"/>
      <w:r w:rsidRPr="000C2646">
        <w:rPr>
          <w:sz w:val="24"/>
          <w:szCs w:val="24"/>
        </w:rPr>
        <w:t>tamoxifen</w:t>
      </w:r>
      <w:proofErr w:type="spellEnd"/>
      <w:r w:rsidRPr="000C2646">
        <w:rPr>
          <w:sz w:val="24"/>
          <w:szCs w:val="24"/>
        </w:rPr>
        <w:t>.</w:t>
      </w:r>
    </w:p>
    <w:p w14:paraId="13D180CF" w14:textId="77777777" w:rsidR="00925ABE" w:rsidRPr="000C2646" w:rsidRDefault="00925ABE" w:rsidP="009534FE">
      <w:pPr>
        <w:suppressAutoHyphens/>
        <w:ind w:left="851"/>
        <w:rPr>
          <w:sz w:val="24"/>
          <w:szCs w:val="24"/>
        </w:rPr>
      </w:pPr>
    </w:p>
    <w:p w14:paraId="67472EA2" w14:textId="77777777" w:rsidR="00925ABE" w:rsidRPr="000C2646" w:rsidRDefault="00925ABE" w:rsidP="009534FE">
      <w:pPr>
        <w:suppressAutoHyphens/>
        <w:ind w:left="851"/>
        <w:rPr>
          <w:sz w:val="24"/>
          <w:szCs w:val="24"/>
        </w:rPr>
      </w:pPr>
      <w:r w:rsidRPr="000C2646">
        <w:rPr>
          <w:sz w:val="24"/>
          <w:szCs w:val="24"/>
        </w:rPr>
        <w:t xml:space="preserve">Patienterne blev randomiseret til 2,5 mg </w:t>
      </w:r>
      <w:proofErr w:type="spellStart"/>
      <w:r w:rsidRPr="000C2646">
        <w:rPr>
          <w:sz w:val="24"/>
          <w:szCs w:val="24"/>
        </w:rPr>
        <w:t>letrozol</w:t>
      </w:r>
      <w:proofErr w:type="spellEnd"/>
      <w:r w:rsidRPr="000C2646">
        <w:rPr>
          <w:sz w:val="24"/>
          <w:szCs w:val="24"/>
        </w:rPr>
        <w:t xml:space="preserve"> én gang dagligt og 1500 mg </w:t>
      </w:r>
      <w:proofErr w:type="spellStart"/>
      <w:r w:rsidRPr="000C2646">
        <w:rPr>
          <w:sz w:val="24"/>
          <w:szCs w:val="24"/>
        </w:rPr>
        <w:t>lapatinib</w:t>
      </w:r>
      <w:proofErr w:type="spellEnd"/>
      <w:r w:rsidRPr="000C2646">
        <w:rPr>
          <w:sz w:val="24"/>
          <w:szCs w:val="24"/>
        </w:rPr>
        <w:t xml:space="preserve"> én gang dagligt eller </w:t>
      </w:r>
      <w:proofErr w:type="spellStart"/>
      <w:r w:rsidRPr="000C2646">
        <w:rPr>
          <w:sz w:val="24"/>
          <w:szCs w:val="24"/>
        </w:rPr>
        <w:t>letrozol</w:t>
      </w:r>
      <w:proofErr w:type="spellEnd"/>
      <w:r w:rsidRPr="000C2646">
        <w:rPr>
          <w:sz w:val="24"/>
          <w:szCs w:val="24"/>
        </w:rPr>
        <w:t xml:space="preserve"> i kombination med placebo. </w:t>
      </w:r>
      <w:proofErr w:type="spellStart"/>
      <w:r w:rsidRPr="000C2646">
        <w:rPr>
          <w:sz w:val="24"/>
          <w:szCs w:val="24"/>
        </w:rPr>
        <w:t>Randomiseringen</w:t>
      </w:r>
      <w:proofErr w:type="spellEnd"/>
      <w:r w:rsidRPr="000C2646">
        <w:rPr>
          <w:sz w:val="24"/>
          <w:szCs w:val="24"/>
        </w:rPr>
        <w:t xml:space="preserve"> var stratificeret efter sygdomsramte områder og tid siden </w:t>
      </w:r>
      <w:proofErr w:type="spellStart"/>
      <w:r w:rsidRPr="000C2646">
        <w:rPr>
          <w:sz w:val="24"/>
          <w:szCs w:val="24"/>
        </w:rPr>
        <w:t>seponering</w:t>
      </w:r>
      <w:proofErr w:type="spellEnd"/>
      <w:r w:rsidRPr="000C2646">
        <w:rPr>
          <w:sz w:val="24"/>
          <w:szCs w:val="24"/>
        </w:rPr>
        <w:t xml:space="preserve"> af tidligere, </w:t>
      </w:r>
      <w:proofErr w:type="spellStart"/>
      <w:r w:rsidRPr="000C2646">
        <w:rPr>
          <w:sz w:val="24"/>
          <w:szCs w:val="24"/>
        </w:rPr>
        <w:t>adjuverende</w:t>
      </w:r>
      <w:proofErr w:type="spellEnd"/>
      <w:r w:rsidRPr="000C2646">
        <w:rPr>
          <w:sz w:val="24"/>
          <w:szCs w:val="24"/>
        </w:rPr>
        <w:t xml:space="preserve"> antiøstrogen-behandling. Patienternes HER2- receptorstatus blev bestemt retrospektivt på centrallaboratoriet. Af det samlede antal patienter, der var randomiseret til behandling, havde 219 patienter tumorer med </w:t>
      </w:r>
      <w:proofErr w:type="spellStart"/>
      <w:r w:rsidRPr="000C2646">
        <w:rPr>
          <w:sz w:val="24"/>
          <w:szCs w:val="24"/>
        </w:rPr>
        <w:t>overekspression</w:t>
      </w:r>
      <w:proofErr w:type="spellEnd"/>
      <w:r w:rsidRPr="000C2646">
        <w:rPr>
          <w:sz w:val="24"/>
          <w:szCs w:val="24"/>
        </w:rPr>
        <w:t xml:space="preserve"> af HER2-receptoren. Disse patienter udgjorde den foruddefinerede primære population til virkningsanalysen. I alt 952 patienter havde HER2-negative tumorer, og hos i alt 115 patienter kunne tumorernes HER2-status ikke bekræftes (ingen tumorprøve, intet analyseresultat eller anden årsag).</w:t>
      </w:r>
    </w:p>
    <w:p w14:paraId="30D4E7DA" w14:textId="77777777" w:rsidR="00925ABE" w:rsidRPr="000C2646" w:rsidRDefault="00925ABE" w:rsidP="009534FE">
      <w:pPr>
        <w:suppressAutoHyphens/>
        <w:ind w:left="851"/>
        <w:rPr>
          <w:sz w:val="24"/>
          <w:szCs w:val="24"/>
        </w:rPr>
      </w:pPr>
    </w:p>
    <w:p w14:paraId="72CF585B" w14:textId="77777777" w:rsidR="00925ABE" w:rsidRPr="000C2646" w:rsidRDefault="00925ABE" w:rsidP="009534FE">
      <w:pPr>
        <w:suppressAutoHyphens/>
        <w:ind w:left="851"/>
        <w:rPr>
          <w:bCs/>
          <w:sz w:val="24"/>
          <w:szCs w:val="24"/>
          <w:u w:val="single"/>
        </w:rPr>
      </w:pPr>
      <w:r w:rsidRPr="000C2646">
        <w:rPr>
          <w:sz w:val="24"/>
          <w:szCs w:val="24"/>
        </w:rPr>
        <w:t xml:space="preserve">Hos patienter med metastatisk brystcancer med </w:t>
      </w:r>
      <w:proofErr w:type="spellStart"/>
      <w:r w:rsidRPr="000C2646">
        <w:rPr>
          <w:sz w:val="24"/>
          <w:szCs w:val="24"/>
        </w:rPr>
        <w:t>overekspression</w:t>
      </w:r>
      <w:proofErr w:type="spellEnd"/>
      <w:r w:rsidRPr="000C2646">
        <w:rPr>
          <w:sz w:val="24"/>
          <w:szCs w:val="24"/>
        </w:rPr>
        <w:t xml:space="preserve"> af HER2 var den progressionsfrie overlevelse (PFS) efter </w:t>
      </w:r>
      <w:proofErr w:type="spellStart"/>
      <w:r w:rsidRPr="000C2646">
        <w:rPr>
          <w:sz w:val="24"/>
          <w:szCs w:val="24"/>
        </w:rPr>
        <w:t>investigators</w:t>
      </w:r>
      <w:proofErr w:type="spellEnd"/>
      <w:r w:rsidRPr="000C2646">
        <w:rPr>
          <w:sz w:val="24"/>
          <w:szCs w:val="24"/>
        </w:rPr>
        <w:t xml:space="preserve"> vurdering signifikant længere ved behandling med </w:t>
      </w:r>
      <w:proofErr w:type="spellStart"/>
      <w:r w:rsidRPr="000C2646">
        <w:rPr>
          <w:sz w:val="24"/>
          <w:szCs w:val="24"/>
        </w:rPr>
        <w:t>letrozol</w:t>
      </w:r>
      <w:proofErr w:type="spellEnd"/>
      <w:r w:rsidRPr="000C2646">
        <w:rPr>
          <w:sz w:val="24"/>
          <w:szCs w:val="24"/>
        </w:rPr>
        <w:t xml:space="preserve"> og </w:t>
      </w:r>
      <w:proofErr w:type="spellStart"/>
      <w:r w:rsidRPr="000C2646">
        <w:rPr>
          <w:sz w:val="24"/>
          <w:szCs w:val="24"/>
        </w:rPr>
        <w:t>lapatinib</w:t>
      </w:r>
      <w:proofErr w:type="spellEnd"/>
      <w:r w:rsidRPr="000C2646">
        <w:rPr>
          <w:sz w:val="24"/>
          <w:szCs w:val="24"/>
        </w:rPr>
        <w:t xml:space="preserve"> end ved behandling med </w:t>
      </w:r>
      <w:proofErr w:type="spellStart"/>
      <w:r w:rsidRPr="000C2646">
        <w:rPr>
          <w:sz w:val="24"/>
          <w:szCs w:val="24"/>
        </w:rPr>
        <w:t>letrozol</w:t>
      </w:r>
      <w:proofErr w:type="spellEnd"/>
      <w:r w:rsidRPr="000C2646">
        <w:rPr>
          <w:sz w:val="24"/>
          <w:szCs w:val="24"/>
        </w:rPr>
        <w:t xml:space="preserve"> og placebo. I den HER2-negative population var der ingen forbedring af PFS ved behandling med </w:t>
      </w:r>
      <w:proofErr w:type="spellStart"/>
      <w:r w:rsidRPr="000C2646">
        <w:rPr>
          <w:sz w:val="24"/>
          <w:szCs w:val="24"/>
        </w:rPr>
        <w:t>letrozol</w:t>
      </w:r>
      <w:proofErr w:type="spellEnd"/>
      <w:r w:rsidRPr="000C2646">
        <w:rPr>
          <w:sz w:val="24"/>
          <w:szCs w:val="24"/>
        </w:rPr>
        <w:t xml:space="preserve"> og </w:t>
      </w:r>
      <w:proofErr w:type="spellStart"/>
      <w:r w:rsidRPr="000C2646">
        <w:rPr>
          <w:sz w:val="24"/>
          <w:szCs w:val="24"/>
        </w:rPr>
        <w:t>lapatinib</w:t>
      </w:r>
      <w:proofErr w:type="spellEnd"/>
      <w:r w:rsidRPr="000C2646">
        <w:rPr>
          <w:sz w:val="24"/>
          <w:szCs w:val="24"/>
        </w:rPr>
        <w:t xml:space="preserve"> i forhold til behandling med </w:t>
      </w:r>
      <w:proofErr w:type="spellStart"/>
      <w:r w:rsidRPr="000C2646">
        <w:rPr>
          <w:sz w:val="24"/>
          <w:szCs w:val="24"/>
        </w:rPr>
        <w:t>letrozol</w:t>
      </w:r>
      <w:proofErr w:type="spellEnd"/>
      <w:r w:rsidRPr="000C2646">
        <w:rPr>
          <w:sz w:val="24"/>
          <w:szCs w:val="24"/>
        </w:rPr>
        <w:t xml:space="preserve"> og placebo (se tabel 6).</w:t>
      </w:r>
    </w:p>
    <w:p w14:paraId="177D83D0" w14:textId="77777777" w:rsidR="00925ABE" w:rsidRPr="000C2646" w:rsidRDefault="00925ABE" w:rsidP="00925ABE">
      <w:pPr>
        <w:suppressAutoHyphens/>
        <w:rPr>
          <w:bCs/>
          <w:sz w:val="24"/>
          <w:szCs w:val="24"/>
          <w:u w:val="single"/>
        </w:rPr>
      </w:pPr>
    </w:p>
    <w:p w14:paraId="453673A4" w14:textId="064E148F" w:rsidR="00925ABE" w:rsidRPr="000C2646" w:rsidRDefault="00925ABE" w:rsidP="00925ABE">
      <w:pPr>
        <w:keepNext/>
        <w:suppressAutoHyphens/>
        <w:ind w:left="1134" w:hanging="1134"/>
        <w:rPr>
          <w:b/>
          <w:sz w:val="24"/>
          <w:szCs w:val="24"/>
        </w:rPr>
      </w:pPr>
      <w:r w:rsidRPr="000C2646">
        <w:rPr>
          <w:b/>
          <w:sz w:val="24"/>
          <w:szCs w:val="24"/>
        </w:rPr>
        <w:t>Tabel 6</w:t>
      </w:r>
      <w:r w:rsidR="004D4694">
        <w:rPr>
          <w:b/>
          <w:sz w:val="24"/>
          <w:szCs w:val="24"/>
        </w:rPr>
        <w:t xml:space="preserve">. </w:t>
      </w:r>
      <w:r w:rsidRPr="000C2646">
        <w:rPr>
          <w:b/>
          <w:sz w:val="24"/>
          <w:szCs w:val="24"/>
        </w:rPr>
        <w:t>Progressionsfri overlevelse fra studie EGF30008 (</w:t>
      </w:r>
      <w:proofErr w:type="spellStart"/>
      <w:r w:rsidRPr="000C2646">
        <w:rPr>
          <w:b/>
          <w:sz w:val="24"/>
          <w:szCs w:val="24"/>
        </w:rPr>
        <w:t>lapatinib</w:t>
      </w:r>
      <w:proofErr w:type="spellEnd"/>
      <w:r w:rsidRPr="000C2646">
        <w:rPr>
          <w:b/>
          <w:sz w:val="24"/>
          <w:szCs w:val="24"/>
        </w:rPr>
        <w:t>/</w:t>
      </w:r>
      <w:proofErr w:type="spellStart"/>
      <w:r w:rsidRPr="000C2646">
        <w:rPr>
          <w:b/>
          <w:sz w:val="24"/>
          <w:szCs w:val="24"/>
        </w:rPr>
        <w:t>letrozol</w:t>
      </w:r>
      <w:proofErr w:type="spellEnd"/>
      <w:r w:rsidRPr="000C2646">
        <w:rPr>
          <w:b/>
          <w:sz w:val="24"/>
          <w:szCs w:val="24"/>
        </w:rPr>
        <w:t>)</w:t>
      </w:r>
    </w:p>
    <w:p w14:paraId="54FF3371" w14:textId="77777777" w:rsidR="00925ABE" w:rsidRPr="000C2646" w:rsidRDefault="00925ABE" w:rsidP="00925ABE">
      <w:pPr>
        <w:keepNext/>
        <w:tabs>
          <w:tab w:val="left" w:pos="1710"/>
        </w:tabs>
        <w:suppressAutoHyphens/>
        <w:rPr>
          <w:bCs/>
          <w:sz w:val="24"/>
          <w:szCs w:val="24"/>
          <w:u w:val="single"/>
        </w:rPr>
      </w:pPr>
    </w:p>
    <w:tbl>
      <w:tblPr>
        <w:tblStyle w:val="Tabel-Gitter"/>
        <w:tblW w:w="5000" w:type="pct"/>
        <w:tblInd w:w="0" w:type="dxa"/>
        <w:tblLook w:val="04A0" w:firstRow="1" w:lastRow="0" w:firstColumn="1" w:lastColumn="0" w:noHBand="0" w:noVBand="1"/>
      </w:tblPr>
      <w:tblGrid>
        <w:gridCol w:w="2407"/>
        <w:gridCol w:w="1808"/>
        <w:gridCol w:w="1810"/>
        <w:gridCol w:w="1808"/>
        <w:gridCol w:w="1795"/>
      </w:tblGrid>
      <w:tr w:rsidR="00925ABE" w:rsidRPr="004D4694" w14:paraId="277A3742" w14:textId="77777777" w:rsidTr="009534FE">
        <w:tc>
          <w:tcPr>
            <w:tcW w:w="1250" w:type="pct"/>
            <w:vMerge w:val="restart"/>
            <w:tcBorders>
              <w:top w:val="single" w:sz="4" w:space="0" w:color="auto"/>
              <w:left w:val="single" w:sz="4" w:space="0" w:color="auto"/>
              <w:bottom w:val="single" w:sz="4" w:space="0" w:color="auto"/>
              <w:right w:val="single" w:sz="4" w:space="0" w:color="auto"/>
            </w:tcBorders>
          </w:tcPr>
          <w:p w14:paraId="5D656039" w14:textId="77777777" w:rsidR="00925ABE" w:rsidRPr="004D4694" w:rsidRDefault="00925ABE">
            <w:pPr>
              <w:keepNext/>
              <w:tabs>
                <w:tab w:val="left" w:pos="1710"/>
              </w:tabs>
              <w:suppressAutoHyphens/>
              <w:jc w:val="center"/>
              <w:rPr>
                <w:bCs/>
                <w:sz w:val="22"/>
                <w:szCs w:val="22"/>
                <w:u w:val="single"/>
                <w:lang w:val="da-DK"/>
              </w:rPr>
            </w:pPr>
          </w:p>
        </w:tc>
        <w:tc>
          <w:tcPr>
            <w:tcW w:w="1879" w:type="pct"/>
            <w:gridSpan w:val="2"/>
            <w:tcBorders>
              <w:top w:val="single" w:sz="4" w:space="0" w:color="auto"/>
              <w:left w:val="single" w:sz="4" w:space="0" w:color="auto"/>
              <w:bottom w:val="single" w:sz="4" w:space="0" w:color="auto"/>
              <w:right w:val="single" w:sz="4" w:space="0" w:color="auto"/>
            </w:tcBorders>
            <w:hideMark/>
          </w:tcPr>
          <w:p w14:paraId="1529534F" w14:textId="77777777" w:rsidR="00925ABE" w:rsidRPr="004D4694" w:rsidRDefault="00925ABE">
            <w:pPr>
              <w:keepNext/>
              <w:tabs>
                <w:tab w:val="left" w:pos="1710"/>
              </w:tabs>
              <w:suppressAutoHyphens/>
              <w:jc w:val="center"/>
              <w:rPr>
                <w:b/>
                <w:bCs/>
                <w:sz w:val="22"/>
                <w:szCs w:val="22"/>
                <w:u w:val="single"/>
                <w:lang w:val="da-DK"/>
              </w:rPr>
            </w:pPr>
            <w:r w:rsidRPr="004D4694">
              <w:rPr>
                <w:b/>
                <w:bCs/>
                <w:sz w:val="22"/>
                <w:szCs w:val="22"/>
                <w:lang w:val="da-DK"/>
              </w:rPr>
              <w:t xml:space="preserve">Population med </w:t>
            </w:r>
            <w:proofErr w:type="spellStart"/>
            <w:r w:rsidRPr="004D4694">
              <w:rPr>
                <w:b/>
                <w:bCs/>
                <w:sz w:val="22"/>
                <w:szCs w:val="22"/>
                <w:lang w:val="da-DK"/>
              </w:rPr>
              <w:t>overekspression</w:t>
            </w:r>
            <w:proofErr w:type="spellEnd"/>
            <w:r w:rsidRPr="004D4694">
              <w:rPr>
                <w:b/>
                <w:bCs/>
                <w:sz w:val="22"/>
                <w:szCs w:val="22"/>
                <w:lang w:val="da-DK"/>
              </w:rPr>
              <w:t xml:space="preserve"> af HER2</w:t>
            </w:r>
          </w:p>
        </w:tc>
        <w:tc>
          <w:tcPr>
            <w:tcW w:w="1872" w:type="pct"/>
            <w:gridSpan w:val="2"/>
            <w:tcBorders>
              <w:top w:val="single" w:sz="4" w:space="0" w:color="auto"/>
              <w:left w:val="single" w:sz="4" w:space="0" w:color="auto"/>
              <w:bottom w:val="single" w:sz="4" w:space="0" w:color="auto"/>
              <w:right w:val="single" w:sz="4" w:space="0" w:color="auto"/>
            </w:tcBorders>
            <w:hideMark/>
          </w:tcPr>
          <w:p w14:paraId="6D6DC70D" w14:textId="77777777" w:rsidR="00925ABE" w:rsidRPr="004D4694" w:rsidRDefault="00925ABE">
            <w:pPr>
              <w:keepNext/>
              <w:tabs>
                <w:tab w:val="left" w:pos="1710"/>
              </w:tabs>
              <w:suppressAutoHyphens/>
              <w:jc w:val="center"/>
              <w:rPr>
                <w:b/>
                <w:bCs/>
                <w:sz w:val="22"/>
                <w:szCs w:val="22"/>
                <w:u w:val="single"/>
              </w:rPr>
            </w:pPr>
            <w:r w:rsidRPr="004D4694">
              <w:rPr>
                <w:b/>
                <w:bCs/>
                <w:sz w:val="22"/>
                <w:szCs w:val="22"/>
              </w:rPr>
              <w:t>HER2-negativ population</w:t>
            </w:r>
          </w:p>
        </w:tc>
      </w:tr>
      <w:tr w:rsidR="00925ABE" w:rsidRPr="004D4694" w14:paraId="27CA5C75" w14:textId="77777777" w:rsidTr="009534FE">
        <w:tc>
          <w:tcPr>
            <w:tcW w:w="1250" w:type="pct"/>
            <w:vMerge/>
            <w:tcBorders>
              <w:top w:val="single" w:sz="4" w:space="0" w:color="auto"/>
              <w:left w:val="single" w:sz="4" w:space="0" w:color="auto"/>
              <w:bottom w:val="single" w:sz="4" w:space="0" w:color="auto"/>
              <w:right w:val="single" w:sz="4" w:space="0" w:color="auto"/>
            </w:tcBorders>
            <w:vAlign w:val="center"/>
            <w:hideMark/>
          </w:tcPr>
          <w:p w14:paraId="16A6AA6F" w14:textId="77777777" w:rsidR="00925ABE" w:rsidRPr="004D4694" w:rsidRDefault="00925ABE">
            <w:pPr>
              <w:rPr>
                <w:bCs/>
                <w:sz w:val="22"/>
                <w:szCs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12E5146E" w14:textId="77777777" w:rsidR="00925ABE" w:rsidRPr="004D4694" w:rsidRDefault="00925ABE">
            <w:pPr>
              <w:keepNext/>
              <w:tabs>
                <w:tab w:val="left" w:pos="1710"/>
              </w:tabs>
              <w:suppressAutoHyphens/>
              <w:jc w:val="center"/>
              <w:rPr>
                <w:b/>
                <w:sz w:val="22"/>
                <w:szCs w:val="22"/>
              </w:rPr>
            </w:pPr>
            <w:r w:rsidRPr="004D4694">
              <w:rPr>
                <w:b/>
                <w:sz w:val="22"/>
                <w:szCs w:val="22"/>
              </w:rPr>
              <w:t>n = 111</w:t>
            </w:r>
          </w:p>
        </w:tc>
        <w:tc>
          <w:tcPr>
            <w:tcW w:w="939" w:type="pct"/>
            <w:tcBorders>
              <w:top w:val="single" w:sz="4" w:space="0" w:color="auto"/>
              <w:left w:val="single" w:sz="4" w:space="0" w:color="auto"/>
              <w:bottom w:val="single" w:sz="4" w:space="0" w:color="auto"/>
              <w:right w:val="single" w:sz="4" w:space="0" w:color="auto"/>
            </w:tcBorders>
            <w:hideMark/>
          </w:tcPr>
          <w:p w14:paraId="794D8AF6" w14:textId="77777777" w:rsidR="00925ABE" w:rsidRPr="004D4694" w:rsidRDefault="00925ABE">
            <w:pPr>
              <w:keepNext/>
              <w:tabs>
                <w:tab w:val="left" w:pos="1710"/>
              </w:tabs>
              <w:suppressAutoHyphens/>
              <w:jc w:val="center"/>
              <w:rPr>
                <w:b/>
                <w:sz w:val="22"/>
                <w:szCs w:val="22"/>
              </w:rPr>
            </w:pPr>
            <w:r w:rsidRPr="004D4694">
              <w:rPr>
                <w:b/>
                <w:sz w:val="22"/>
                <w:szCs w:val="22"/>
              </w:rPr>
              <w:t>n = 108</w:t>
            </w:r>
          </w:p>
        </w:tc>
        <w:tc>
          <w:tcPr>
            <w:tcW w:w="939" w:type="pct"/>
            <w:tcBorders>
              <w:top w:val="single" w:sz="4" w:space="0" w:color="auto"/>
              <w:left w:val="single" w:sz="4" w:space="0" w:color="auto"/>
              <w:bottom w:val="single" w:sz="4" w:space="0" w:color="auto"/>
              <w:right w:val="single" w:sz="4" w:space="0" w:color="auto"/>
            </w:tcBorders>
            <w:hideMark/>
          </w:tcPr>
          <w:p w14:paraId="2ED8F8C1" w14:textId="77777777" w:rsidR="00925ABE" w:rsidRPr="004D4694" w:rsidRDefault="00925ABE">
            <w:pPr>
              <w:keepNext/>
              <w:tabs>
                <w:tab w:val="left" w:pos="1710"/>
              </w:tabs>
              <w:suppressAutoHyphens/>
              <w:jc w:val="center"/>
              <w:rPr>
                <w:b/>
                <w:sz w:val="22"/>
                <w:szCs w:val="22"/>
              </w:rPr>
            </w:pPr>
            <w:r w:rsidRPr="004D4694">
              <w:rPr>
                <w:b/>
                <w:sz w:val="22"/>
                <w:szCs w:val="22"/>
              </w:rPr>
              <w:t>n = 478</w:t>
            </w:r>
          </w:p>
        </w:tc>
        <w:tc>
          <w:tcPr>
            <w:tcW w:w="933" w:type="pct"/>
            <w:tcBorders>
              <w:top w:val="single" w:sz="4" w:space="0" w:color="auto"/>
              <w:left w:val="single" w:sz="4" w:space="0" w:color="auto"/>
              <w:bottom w:val="single" w:sz="4" w:space="0" w:color="auto"/>
              <w:right w:val="single" w:sz="4" w:space="0" w:color="auto"/>
            </w:tcBorders>
            <w:hideMark/>
          </w:tcPr>
          <w:p w14:paraId="54CBC17B" w14:textId="77777777" w:rsidR="00925ABE" w:rsidRPr="004D4694" w:rsidRDefault="00925ABE">
            <w:pPr>
              <w:keepNext/>
              <w:tabs>
                <w:tab w:val="left" w:pos="1710"/>
              </w:tabs>
              <w:suppressAutoHyphens/>
              <w:jc w:val="center"/>
              <w:rPr>
                <w:b/>
                <w:sz w:val="22"/>
                <w:szCs w:val="22"/>
              </w:rPr>
            </w:pPr>
            <w:r w:rsidRPr="004D4694">
              <w:rPr>
                <w:b/>
                <w:sz w:val="22"/>
                <w:szCs w:val="22"/>
              </w:rPr>
              <w:t>n = 474</w:t>
            </w:r>
          </w:p>
        </w:tc>
      </w:tr>
      <w:tr w:rsidR="00925ABE" w:rsidRPr="004D4694" w14:paraId="5AE2FFB7" w14:textId="77777777" w:rsidTr="009534FE">
        <w:tc>
          <w:tcPr>
            <w:tcW w:w="1250" w:type="pct"/>
            <w:vMerge/>
            <w:tcBorders>
              <w:top w:val="single" w:sz="4" w:space="0" w:color="auto"/>
              <w:left w:val="single" w:sz="4" w:space="0" w:color="auto"/>
              <w:bottom w:val="single" w:sz="4" w:space="0" w:color="auto"/>
              <w:right w:val="single" w:sz="4" w:space="0" w:color="auto"/>
            </w:tcBorders>
            <w:vAlign w:val="center"/>
            <w:hideMark/>
          </w:tcPr>
          <w:p w14:paraId="1949C701" w14:textId="77777777" w:rsidR="00925ABE" w:rsidRPr="004D4694" w:rsidRDefault="00925ABE">
            <w:pPr>
              <w:rPr>
                <w:bCs/>
                <w:sz w:val="22"/>
                <w:szCs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3E642451" w14:textId="77777777" w:rsidR="00925ABE" w:rsidRPr="004D4694" w:rsidRDefault="00925ABE">
            <w:pPr>
              <w:keepNext/>
              <w:tabs>
                <w:tab w:val="left" w:pos="1710"/>
              </w:tabs>
              <w:suppressAutoHyphens/>
              <w:jc w:val="center"/>
              <w:rPr>
                <w:b/>
                <w:bCs/>
                <w:sz w:val="22"/>
                <w:szCs w:val="22"/>
                <w:u w:val="single"/>
                <w:lang w:val="da-DK"/>
              </w:rPr>
            </w:pPr>
            <w:r w:rsidRPr="004D4694">
              <w:rPr>
                <w:b/>
                <w:bCs/>
                <w:sz w:val="22"/>
                <w:szCs w:val="22"/>
                <w:lang w:val="da-DK"/>
              </w:rPr>
              <w:t xml:space="preserve">1500 mg </w:t>
            </w:r>
            <w:proofErr w:type="spellStart"/>
            <w:r w:rsidRPr="004D4694">
              <w:rPr>
                <w:b/>
                <w:bCs/>
                <w:sz w:val="22"/>
                <w:szCs w:val="22"/>
                <w:lang w:val="da-DK"/>
              </w:rPr>
              <w:t>lapatinib</w:t>
            </w:r>
            <w:proofErr w:type="spellEnd"/>
            <w:r w:rsidRPr="004D4694">
              <w:rPr>
                <w:b/>
                <w:bCs/>
                <w:sz w:val="22"/>
                <w:szCs w:val="22"/>
                <w:lang w:val="da-DK"/>
              </w:rPr>
              <w:t xml:space="preserve">/dag + 2,5 mg </w:t>
            </w:r>
            <w:proofErr w:type="spellStart"/>
            <w:r w:rsidRPr="004D4694">
              <w:rPr>
                <w:b/>
                <w:bCs/>
                <w:sz w:val="22"/>
                <w:szCs w:val="22"/>
                <w:lang w:val="da-DK"/>
              </w:rPr>
              <w:t>letrozol</w:t>
            </w:r>
            <w:proofErr w:type="spellEnd"/>
            <w:r w:rsidRPr="004D4694">
              <w:rPr>
                <w:b/>
                <w:bCs/>
                <w:sz w:val="22"/>
                <w:szCs w:val="22"/>
                <w:lang w:val="da-DK"/>
              </w:rPr>
              <w:t>/dag</w:t>
            </w:r>
          </w:p>
        </w:tc>
        <w:tc>
          <w:tcPr>
            <w:tcW w:w="939" w:type="pct"/>
            <w:tcBorders>
              <w:top w:val="single" w:sz="4" w:space="0" w:color="auto"/>
              <w:left w:val="single" w:sz="4" w:space="0" w:color="auto"/>
              <w:bottom w:val="single" w:sz="4" w:space="0" w:color="auto"/>
              <w:right w:val="single" w:sz="4" w:space="0" w:color="auto"/>
            </w:tcBorders>
            <w:hideMark/>
          </w:tcPr>
          <w:p w14:paraId="22D1FEAF" w14:textId="77777777" w:rsidR="00925ABE" w:rsidRPr="004D4694" w:rsidRDefault="00925ABE">
            <w:pPr>
              <w:keepNext/>
              <w:tabs>
                <w:tab w:val="left" w:pos="1710"/>
              </w:tabs>
              <w:suppressAutoHyphens/>
              <w:jc w:val="center"/>
              <w:rPr>
                <w:b/>
                <w:bCs/>
                <w:sz w:val="22"/>
                <w:szCs w:val="22"/>
                <w:u w:val="single"/>
              </w:rPr>
            </w:pPr>
            <w:r w:rsidRPr="004D4694">
              <w:rPr>
                <w:b/>
                <w:bCs/>
                <w:sz w:val="22"/>
                <w:szCs w:val="22"/>
              </w:rPr>
              <w:t xml:space="preserve">2,5 mg </w:t>
            </w:r>
            <w:proofErr w:type="spellStart"/>
            <w:r w:rsidRPr="004D4694">
              <w:rPr>
                <w:b/>
                <w:bCs/>
                <w:sz w:val="22"/>
                <w:szCs w:val="22"/>
              </w:rPr>
              <w:t>letrozol</w:t>
            </w:r>
            <w:proofErr w:type="spellEnd"/>
            <w:r w:rsidRPr="004D4694">
              <w:rPr>
                <w:b/>
                <w:bCs/>
                <w:sz w:val="22"/>
                <w:szCs w:val="22"/>
              </w:rPr>
              <w:t>/</w:t>
            </w:r>
            <w:proofErr w:type="spellStart"/>
            <w:r w:rsidRPr="004D4694">
              <w:rPr>
                <w:b/>
                <w:bCs/>
                <w:sz w:val="22"/>
                <w:szCs w:val="22"/>
              </w:rPr>
              <w:t>dag</w:t>
            </w:r>
            <w:proofErr w:type="spellEnd"/>
            <w:r w:rsidRPr="004D4694">
              <w:rPr>
                <w:b/>
                <w:bCs/>
                <w:sz w:val="22"/>
                <w:szCs w:val="22"/>
              </w:rPr>
              <w:t xml:space="preserve"> + placebo</w:t>
            </w:r>
          </w:p>
        </w:tc>
        <w:tc>
          <w:tcPr>
            <w:tcW w:w="939" w:type="pct"/>
            <w:tcBorders>
              <w:top w:val="single" w:sz="4" w:space="0" w:color="auto"/>
              <w:left w:val="single" w:sz="4" w:space="0" w:color="auto"/>
              <w:bottom w:val="single" w:sz="4" w:space="0" w:color="auto"/>
              <w:right w:val="single" w:sz="4" w:space="0" w:color="auto"/>
            </w:tcBorders>
            <w:hideMark/>
          </w:tcPr>
          <w:p w14:paraId="6D244F72" w14:textId="77777777" w:rsidR="00925ABE" w:rsidRPr="004D4694" w:rsidRDefault="00925ABE">
            <w:pPr>
              <w:keepNext/>
              <w:tabs>
                <w:tab w:val="left" w:pos="1710"/>
              </w:tabs>
              <w:suppressAutoHyphens/>
              <w:jc w:val="center"/>
              <w:rPr>
                <w:b/>
                <w:bCs/>
                <w:sz w:val="22"/>
                <w:szCs w:val="22"/>
                <w:u w:val="single"/>
                <w:lang w:val="da-DK"/>
              </w:rPr>
            </w:pPr>
            <w:r w:rsidRPr="004D4694">
              <w:rPr>
                <w:b/>
                <w:bCs/>
                <w:sz w:val="22"/>
                <w:szCs w:val="22"/>
                <w:lang w:val="da-DK"/>
              </w:rPr>
              <w:t xml:space="preserve">1500 mg </w:t>
            </w:r>
            <w:proofErr w:type="spellStart"/>
            <w:r w:rsidRPr="004D4694">
              <w:rPr>
                <w:b/>
                <w:bCs/>
                <w:sz w:val="22"/>
                <w:szCs w:val="22"/>
                <w:lang w:val="da-DK"/>
              </w:rPr>
              <w:t>lapatinib</w:t>
            </w:r>
            <w:proofErr w:type="spellEnd"/>
            <w:r w:rsidRPr="004D4694">
              <w:rPr>
                <w:b/>
                <w:bCs/>
                <w:sz w:val="22"/>
                <w:szCs w:val="22"/>
                <w:lang w:val="da-DK"/>
              </w:rPr>
              <w:t xml:space="preserve">/dag + 2,5 mg </w:t>
            </w:r>
            <w:proofErr w:type="spellStart"/>
            <w:r w:rsidRPr="004D4694">
              <w:rPr>
                <w:b/>
                <w:bCs/>
                <w:sz w:val="22"/>
                <w:szCs w:val="22"/>
                <w:lang w:val="da-DK"/>
              </w:rPr>
              <w:t>letrozol</w:t>
            </w:r>
            <w:proofErr w:type="spellEnd"/>
            <w:r w:rsidRPr="004D4694">
              <w:rPr>
                <w:b/>
                <w:bCs/>
                <w:sz w:val="22"/>
                <w:szCs w:val="22"/>
                <w:lang w:val="da-DK"/>
              </w:rPr>
              <w:t>/dag</w:t>
            </w:r>
          </w:p>
        </w:tc>
        <w:tc>
          <w:tcPr>
            <w:tcW w:w="933" w:type="pct"/>
            <w:tcBorders>
              <w:top w:val="single" w:sz="4" w:space="0" w:color="auto"/>
              <w:left w:val="single" w:sz="4" w:space="0" w:color="auto"/>
              <w:bottom w:val="single" w:sz="4" w:space="0" w:color="auto"/>
              <w:right w:val="single" w:sz="4" w:space="0" w:color="auto"/>
            </w:tcBorders>
            <w:hideMark/>
          </w:tcPr>
          <w:p w14:paraId="2508BA62" w14:textId="77777777" w:rsidR="00925ABE" w:rsidRPr="004D4694" w:rsidRDefault="00925ABE">
            <w:pPr>
              <w:keepNext/>
              <w:tabs>
                <w:tab w:val="left" w:pos="1710"/>
              </w:tabs>
              <w:suppressAutoHyphens/>
              <w:jc w:val="center"/>
              <w:rPr>
                <w:b/>
                <w:bCs/>
                <w:sz w:val="22"/>
                <w:szCs w:val="22"/>
                <w:u w:val="single"/>
              </w:rPr>
            </w:pPr>
            <w:r w:rsidRPr="004D4694">
              <w:rPr>
                <w:b/>
                <w:bCs/>
                <w:sz w:val="22"/>
                <w:szCs w:val="22"/>
              </w:rPr>
              <w:t xml:space="preserve">2,5 mg </w:t>
            </w:r>
            <w:proofErr w:type="spellStart"/>
            <w:r w:rsidRPr="004D4694">
              <w:rPr>
                <w:b/>
                <w:bCs/>
                <w:sz w:val="22"/>
                <w:szCs w:val="22"/>
              </w:rPr>
              <w:t>letrozol</w:t>
            </w:r>
            <w:proofErr w:type="spellEnd"/>
            <w:r w:rsidRPr="004D4694">
              <w:rPr>
                <w:b/>
                <w:bCs/>
                <w:sz w:val="22"/>
                <w:szCs w:val="22"/>
              </w:rPr>
              <w:t>/</w:t>
            </w:r>
            <w:proofErr w:type="spellStart"/>
            <w:r w:rsidRPr="004D4694">
              <w:rPr>
                <w:b/>
                <w:bCs/>
                <w:sz w:val="22"/>
                <w:szCs w:val="22"/>
              </w:rPr>
              <w:t>dag</w:t>
            </w:r>
            <w:proofErr w:type="spellEnd"/>
            <w:r w:rsidRPr="004D4694">
              <w:rPr>
                <w:b/>
                <w:bCs/>
                <w:sz w:val="22"/>
                <w:szCs w:val="22"/>
              </w:rPr>
              <w:t xml:space="preserve"> + placebo</w:t>
            </w:r>
          </w:p>
        </w:tc>
      </w:tr>
      <w:tr w:rsidR="00925ABE" w:rsidRPr="004D4694" w14:paraId="37E33DF1"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5178FF93" w14:textId="77777777" w:rsidR="00925ABE" w:rsidRPr="004D4694" w:rsidRDefault="00925ABE">
            <w:pPr>
              <w:tabs>
                <w:tab w:val="left" w:pos="1710"/>
              </w:tabs>
              <w:suppressAutoHyphens/>
              <w:rPr>
                <w:b/>
                <w:bCs/>
                <w:sz w:val="22"/>
                <w:szCs w:val="22"/>
              </w:rPr>
            </w:pPr>
            <w:r w:rsidRPr="004D4694">
              <w:rPr>
                <w:b/>
                <w:bCs/>
                <w:sz w:val="22"/>
                <w:szCs w:val="22"/>
              </w:rPr>
              <w:t>Median PFS (</w:t>
            </w:r>
            <w:proofErr w:type="spellStart"/>
            <w:r w:rsidRPr="004D4694">
              <w:rPr>
                <w:b/>
                <w:bCs/>
                <w:sz w:val="22"/>
                <w:szCs w:val="22"/>
              </w:rPr>
              <w:t>uger</w:t>
            </w:r>
            <w:proofErr w:type="spellEnd"/>
            <w:r w:rsidRPr="004D4694">
              <w:rPr>
                <w:b/>
                <w:bCs/>
                <w:sz w:val="22"/>
                <w:szCs w:val="22"/>
              </w:rPr>
              <w:t>)</w:t>
            </w:r>
          </w:p>
          <w:p w14:paraId="29F17A0E" w14:textId="77777777" w:rsidR="00925ABE" w:rsidRPr="004D4694" w:rsidRDefault="00925ABE">
            <w:pPr>
              <w:tabs>
                <w:tab w:val="left" w:pos="1710"/>
              </w:tabs>
              <w:suppressAutoHyphens/>
              <w:rPr>
                <w:b/>
                <w:bCs/>
                <w:sz w:val="22"/>
                <w:szCs w:val="22"/>
                <w:u w:val="single"/>
              </w:rPr>
            </w:pPr>
            <w:r w:rsidRPr="004D4694">
              <w:rPr>
                <w:b/>
                <w:bCs/>
                <w:sz w:val="22"/>
                <w:szCs w:val="22"/>
              </w:rPr>
              <w:t>(95 % CI)</w:t>
            </w:r>
          </w:p>
        </w:tc>
        <w:tc>
          <w:tcPr>
            <w:tcW w:w="939" w:type="pct"/>
            <w:tcBorders>
              <w:top w:val="single" w:sz="4" w:space="0" w:color="auto"/>
              <w:left w:val="single" w:sz="4" w:space="0" w:color="auto"/>
              <w:bottom w:val="single" w:sz="4" w:space="0" w:color="auto"/>
              <w:right w:val="single" w:sz="4" w:space="0" w:color="auto"/>
            </w:tcBorders>
            <w:hideMark/>
          </w:tcPr>
          <w:p w14:paraId="2FE421C9" w14:textId="77777777" w:rsidR="00925ABE" w:rsidRPr="004D4694" w:rsidRDefault="00925ABE">
            <w:pPr>
              <w:tabs>
                <w:tab w:val="left" w:pos="1710"/>
              </w:tabs>
              <w:suppressAutoHyphens/>
              <w:jc w:val="center"/>
              <w:rPr>
                <w:bCs/>
                <w:sz w:val="22"/>
                <w:szCs w:val="22"/>
              </w:rPr>
            </w:pPr>
            <w:r w:rsidRPr="004D4694">
              <w:rPr>
                <w:bCs/>
                <w:sz w:val="22"/>
                <w:szCs w:val="22"/>
              </w:rPr>
              <w:t>35,4</w:t>
            </w:r>
          </w:p>
          <w:p w14:paraId="5DF0E66C" w14:textId="77777777" w:rsidR="00925ABE" w:rsidRPr="004D4694" w:rsidRDefault="00925ABE">
            <w:pPr>
              <w:tabs>
                <w:tab w:val="left" w:pos="1710"/>
              </w:tabs>
              <w:suppressAutoHyphens/>
              <w:jc w:val="center"/>
              <w:rPr>
                <w:bCs/>
                <w:sz w:val="22"/>
                <w:szCs w:val="22"/>
              </w:rPr>
            </w:pPr>
            <w:r w:rsidRPr="004D4694">
              <w:rPr>
                <w:bCs/>
                <w:sz w:val="22"/>
                <w:szCs w:val="22"/>
              </w:rPr>
              <w:t>(24,1; 39,4)</w:t>
            </w:r>
          </w:p>
        </w:tc>
        <w:tc>
          <w:tcPr>
            <w:tcW w:w="939" w:type="pct"/>
            <w:tcBorders>
              <w:top w:val="single" w:sz="4" w:space="0" w:color="auto"/>
              <w:left w:val="single" w:sz="4" w:space="0" w:color="auto"/>
              <w:bottom w:val="single" w:sz="4" w:space="0" w:color="auto"/>
              <w:right w:val="single" w:sz="4" w:space="0" w:color="auto"/>
            </w:tcBorders>
            <w:hideMark/>
          </w:tcPr>
          <w:p w14:paraId="7DC4A53B" w14:textId="77777777" w:rsidR="00925ABE" w:rsidRPr="004D4694" w:rsidRDefault="00925ABE">
            <w:pPr>
              <w:tabs>
                <w:tab w:val="left" w:pos="1710"/>
              </w:tabs>
              <w:suppressAutoHyphens/>
              <w:jc w:val="center"/>
              <w:rPr>
                <w:sz w:val="22"/>
                <w:szCs w:val="22"/>
              </w:rPr>
            </w:pPr>
            <w:r w:rsidRPr="004D4694">
              <w:rPr>
                <w:sz w:val="22"/>
                <w:szCs w:val="22"/>
              </w:rPr>
              <w:t>13,0</w:t>
            </w:r>
          </w:p>
          <w:p w14:paraId="7C03CD21" w14:textId="77777777" w:rsidR="00925ABE" w:rsidRPr="004D4694" w:rsidRDefault="00925ABE">
            <w:pPr>
              <w:tabs>
                <w:tab w:val="left" w:pos="1710"/>
              </w:tabs>
              <w:suppressAutoHyphens/>
              <w:jc w:val="center"/>
              <w:rPr>
                <w:bCs/>
                <w:sz w:val="22"/>
                <w:szCs w:val="22"/>
              </w:rPr>
            </w:pPr>
            <w:r w:rsidRPr="004D4694">
              <w:rPr>
                <w:sz w:val="22"/>
                <w:szCs w:val="22"/>
              </w:rPr>
              <w:t>(12,0; 23,7)</w:t>
            </w:r>
          </w:p>
        </w:tc>
        <w:tc>
          <w:tcPr>
            <w:tcW w:w="939" w:type="pct"/>
            <w:tcBorders>
              <w:top w:val="single" w:sz="4" w:space="0" w:color="auto"/>
              <w:left w:val="single" w:sz="4" w:space="0" w:color="auto"/>
              <w:bottom w:val="single" w:sz="4" w:space="0" w:color="auto"/>
              <w:right w:val="single" w:sz="4" w:space="0" w:color="auto"/>
            </w:tcBorders>
            <w:hideMark/>
          </w:tcPr>
          <w:p w14:paraId="38E15F34" w14:textId="77777777" w:rsidR="00925ABE" w:rsidRPr="004D4694" w:rsidRDefault="00925ABE">
            <w:pPr>
              <w:tabs>
                <w:tab w:val="left" w:pos="1710"/>
              </w:tabs>
              <w:suppressAutoHyphens/>
              <w:jc w:val="center"/>
              <w:rPr>
                <w:sz w:val="22"/>
                <w:szCs w:val="22"/>
              </w:rPr>
            </w:pPr>
            <w:r w:rsidRPr="004D4694">
              <w:rPr>
                <w:sz w:val="22"/>
                <w:szCs w:val="22"/>
              </w:rPr>
              <w:t>59,7</w:t>
            </w:r>
          </w:p>
          <w:p w14:paraId="390E1D3E" w14:textId="77777777" w:rsidR="00925ABE" w:rsidRPr="004D4694" w:rsidRDefault="00925ABE">
            <w:pPr>
              <w:tabs>
                <w:tab w:val="left" w:pos="1710"/>
              </w:tabs>
              <w:suppressAutoHyphens/>
              <w:jc w:val="center"/>
              <w:rPr>
                <w:bCs/>
                <w:sz w:val="22"/>
                <w:szCs w:val="22"/>
              </w:rPr>
            </w:pPr>
            <w:r w:rsidRPr="004D4694">
              <w:rPr>
                <w:sz w:val="22"/>
                <w:szCs w:val="22"/>
              </w:rPr>
              <w:t>(48,6; 69,7)</w:t>
            </w:r>
          </w:p>
        </w:tc>
        <w:tc>
          <w:tcPr>
            <w:tcW w:w="933" w:type="pct"/>
            <w:tcBorders>
              <w:top w:val="single" w:sz="4" w:space="0" w:color="auto"/>
              <w:left w:val="single" w:sz="4" w:space="0" w:color="auto"/>
              <w:bottom w:val="single" w:sz="4" w:space="0" w:color="auto"/>
              <w:right w:val="single" w:sz="4" w:space="0" w:color="auto"/>
            </w:tcBorders>
            <w:hideMark/>
          </w:tcPr>
          <w:p w14:paraId="6D8494B5" w14:textId="77777777" w:rsidR="00925ABE" w:rsidRPr="004D4694" w:rsidRDefault="00925ABE">
            <w:pPr>
              <w:tabs>
                <w:tab w:val="left" w:pos="1710"/>
              </w:tabs>
              <w:suppressAutoHyphens/>
              <w:jc w:val="center"/>
              <w:rPr>
                <w:sz w:val="22"/>
                <w:szCs w:val="22"/>
              </w:rPr>
            </w:pPr>
            <w:r w:rsidRPr="004D4694">
              <w:rPr>
                <w:sz w:val="22"/>
                <w:szCs w:val="22"/>
              </w:rPr>
              <w:t>58,3</w:t>
            </w:r>
          </w:p>
          <w:p w14:paraId="1249E502" w14:textId="77777777" w:rsidR="00925ABE" w:rsidRPr="004D4694" w:rsidRDefault="00925ABE">
            <w:pPr>
              <w:tabs>
                <w:tab w:val="left" w:pos="1710"/>
              </w:tabs>
              <w:suppressAutoHyphens/>
              <w:jc w:val="center"/>
              <w:rPr>
                <w:bCs/>
                <w:sz w:val="22"/>
                <w:szCs w:val="22"/>
              </w:rPr>
            </w:pPr>
            <w:r w:rsidRPr="004D4694">
              <w:rPr>
                <w:sz w:val="22"/>
                <w:szCs w:val="22"/>
              </w:rPr>
              <w:t>(47,9; 62,0)</w:t>
            </w:r>
          </w:p>
        </w:tc>
      </w:tr>
      <w:tr w:rsidR="00925ABE" w:rsidRPr="004D4694" w14:paraId="30EA6AE2"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23CC1394" w14:textId="77777777" w:rsidR="00925ABE" w:rsidRPr="004D4694" w:rsidRDefault="00925ABE">
            <w:pPr>
              <w:tabs>
                <w:tab w:val="left" w:pos="1710"/>
              </w:tabs>
              <w:suppressAutoHyphens/>
              <w:rPr>
                <w:b/>
                <w:bCs/>
                <w:i/>
                <w:iCs/>
                <w:sz w:val="22"/>
                <w:szCs w:val="22"/>
                <w:u w:val="single"/>
              </w:rPr>
            </w:pPr>
            <w:r w:rsidRPr="004D4694">
              <w:rPr>
                <w:b/>
                <w:bCs/>
                <w:i/>
                <w:iCs/>
                <w:sz w:val="22"/>
                <w:szCs w:val="22"/>
              </w:rPr>
              <w:t>Hazard ratio</w:t>
            </w:r>
          </w:p>
        </w:tc>
        <w:tc>
          <w:tcPr>
            <w:tcW w:w="1879" w:type="pct"/>
            <w:gridSpan w:val="2"/>
            <w:tcBorders>
              <w:top w:val="single" w:sz="4" w:space="0" w:color="auto"/>
              <w:left w:val="single" w:sz="4" w:space="0" w:color="auto"/>
              <w:bottom w:val="single" w:sz="4" w:space="0" w:color="auto"/>
              <w:right w:val="single" w:sz="4" w:space="0" w:color="auto"/>
            </w:tcBorders>
            <w:hideMark/>
          </w:tcPr>
          <w:p w14:paraId="6717E41D" w14:textId="77777777" w:rsidR="00925ABE" w:rsidRPr="004D4694" w:rsidRDefault="00925ABE">
            <w:pPr>
              <w:tabs>
                <w:tab w:val="left" w:pos="1710"/>
              </w:tabs>
              <w:suppressAutoHyphens/>
              <w:jc w:val="center"/>
              <w:rPr>
                <w:bCs/>
                <w:sz w:val="22"/>
                <w:szCs w:val="22"/>
              </w:rPr>
            </w:pPr>
            <w:r w:rsidRPr="004D4694">
              <w:rPr>
                <w:sz w:val="22"/>
                <w:szCs w:val="22"/>
              </w:rPr>
              <w:t>0,71 (0,53; 0,96)</w:t>
            </w:r>
          </w:p>
        </w:tc>
        <w:tc>
          <w:tcPr>
            <w:tcW w:w="1872" w:type="pct"/>
            <w:gridSpan w:val="2"/>
            <w:tcBorders>
              <w:top w:val="single" w:sz="4" w:space="0" w:color="auto"/>
              <w:left w:val="single" w:sz="4" w:space="0" w:color="auto"/>
              <w:bottom w:val="single" w:sz="4" w:space="0" w:color="auto"/>
              <w:right w:val="single" w:sz="4" w:space="0" w:color="auto"/>
            </w:tcBorders>
            <w:hideMark/>
          </w:tcPr>
          <w:p w14:paraId="1A971417" w14:textId="77777777" w:rsidR="00925ABE" w:rsidRPr="004D4694" w:rsidRDefault="00925ABE">
            <w:pPr>
              <w:tabs>
                <w:tab w:val="left" w:pos="1710"/>
              </w:tabs>
              <w:suppressAutoHyphens/>
              <w:jc w:val="center"/>
              <w:rPr>
                <w:bCs/>
                <w:sz w:val="22"/>
                <w:szCs w:val="22"/>
              </w:rPr>
            </w:pPr>
            <w:r w:rsidRPr="004D4694">
              <w:rPr>
                <w:sz w:val="22"/>
                <w:szCs w:val="22"/>
              </w:rPr>
              <w:t>0,90 (0,77; 1,05)</w:t>
            </w:r>
          </w:p>
        </w:tc>
      </w:tr>
      <w:tr w:rsidR="00925ABE" w:rsidRPr="004D4694" w14:paraId="5A352FE8"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2C13203E" w14:textId="77777777" w:rsidR="00925ABE" w:rsidRPr="004D4694" w:rsidRDefault="00925ABE">
            <w:pPr>
              <w:tabs>
                <w:tab w:val="left" w:pos="1710"/>
              </w:tabs>
              <w:suppressAutoHyphens/>
              <w:rPr>
                <w:b/>
                <w:bCs/>
                <w:sz w:val="22"/>
                <w:szCs w:val="22"/>
                <w:u w:val="single"/>
              </w:rPr>
            </w:pPr>
            <w:r w:rsidRPr="004D4694">
              <w:rPr>
                <w:b/>
                <w:bCs/>
                <w:sz w:val="22"/>
                <w:szCs w:val="22"/>
              </w:rPr>
              <w:t>p-</w:t>
            </w:r>
            <w:proofErr w:type="spellStart"/>
            <w:r w:rsidRPr="004D4694">
              <w:rPr>
                <w:b/>
                <w:bCs/>
                <w:sz w:val="22"/>
                <w:szCs w:val="22"/>
              </w:rPr>
              <w:t>værdi</w:t>
            </w:r>
            <w:proofErr w:type="spellEnd"/>
          </w:p>
        </w:tc>
        <w:tc>
          <w:tcPr>
            <w:tcW w:w="1879" w:type="pct"/>
            <w:gridSpan w:val="2"/>
            <w:tcBorders>
              <w:top w:val="single" w:sz="4" w:space="0" w:color="auto"/>
              <w:left w:val="single" w:sz="4" w:space="0" w:color="auto"/>
              <w:bottom w:val="single" w:sz="4" w:space="0" w:color="auto"/>
              <w:right w:val="single" w:sz="4" w:space="0" w:color="auto"/>
            </w:tcBorders>
            <w:hideMark/>
          </w:tcPr>
          <w:p w14:paraId="74C8B094" w14:textId="77777777" w:rsidR="00925ABE" w:rsidRPr="004D4694" w:rsidRDefault="00925ABE">
            <w:pPr>
              <w:tabs>
                <w:tab w:val="left" w:pos="1710"/>
              </w:tabs>
              <w:suppressAutoHyphens/>
              <w:jc w:val="center"/>
              <w:rPr>
                <w:bCs/>
                <w:sz w:val="22"/>
                <w:szCs w:val="22"/>
              </w:rPr>
            </w:pPr>
            <w:r w:rsidRPr="004D4694">
              <w:rPr>
                <w:bCs/>
                <w:sz w:val="22"/>
                <w:szCs w:val="22"/>
              </w:rPr>
              <w:t>0,019</w:t>
            </w:r>
          </w:p>
        </w:tc>
        <w:tc>
          <w:tcPr>
            <w:tcW w:w="1872" w:type="pct"/>
            <w:gridSpan w:val="2"/>
            <w:tcBorders>
              <w:top w:val="single" w:sz="4" w:space="0" w:color="auto"/>
              <w:left w:val="single" w:sz="4" w:space="0" w:color="auto"/>
              <w:bottom w:val="single" w:sz="4" w:space="0" w:color="auto"/>
              <w:right w:val="single" w:sz="4" w:space="0" w:color="auto"/>
            </w:tcBorders>
            <w:hideMark/>
          </w:tcPr>
          <w:p w14:paraId="522B1799" w14:textId="77777777" w:rsidR="00925ABE" w:rsidRPr="004D4694" w:rsidRDefault="00925ABE">
            <w:pPr>
              <w:tabs>
                <w:tab w:val="left" w:pos="1710"/>
              </w:tabs>
              <w:suppressAutoHyphens/>
              <w:jc w:val="center"/>
              <w:rPr>
                <w:bCs/>
                <w:sz w:val="22"/>
                <w:szCs w:val="22"/>
              </w:rPr>
            </w:pPr>
            <w:r w:rsidRPr="004D4694">
              <w:rPr>
                <w:bCs/>
                <w:sz w:val="22"/>
                <w:szCs w:val="22"/>
              </w:rPr>
              <w:t>0,188</w:t>
            </w:r>
          </w:p>
        </w:tc>
      </w:tr>
      <w:tr w:rsidR="00925ABE" w:rsidRPr="004D4694" w14:paraId="23AE40BF"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457BC3A1" w14:textId="77777777" w:rsidR="00925ABE" w:rsidRPr="004D4694" w:rsidRDefault="00925ABE">
            <w:pPr>
              <w:tabs>
                <w:tab w:val="left" w:pos="1710"/>
              </w:tabs>
              <w:suppressAutoHyphens/>
              <w:rPr>
                <w:b/>
                <w:bCs/>
                <w:sz w:val="22"/>
                <w:szCs w:val="22"/>
                <w:u w:val="single"/>
              </w:rPr>
            </w:pPr>
            <w:proofErr w:type="spellStart"/>
            <w:r w:rsidRPr="004D4694">
              <w:rPr>
                <w:b/>
                <w:bCs/>
                <w:sz w:val="22"/>
                <w:szCs w:val="22"/>
              </w:rPr>
              <w:lastRenderedPageBreak/>
              <w:t>Objektiv</w:t>
            </w:r>
            <w:proofErr w:type="spellEnd"/>
            <w:r w:rsidRPr="004D4694">
              <w:rPr>
                <w:b/>
                <w:bCs/>
                <w:sz w:val="22"/>
                <w:szCs w:val="22"/>
              </w:rPr>
              <w:t xml:space="preserve"> </w:t>
            </w:r>
            <w:proofErr w:type="spellStart"/>
            <w:r w:rsidRPr="004D4694">
              <w:rPr>
                <w:b/>
                <w:bCs/>
                <w:sz w:val="22"/>
                <w:szCs w:val="22"/>
              </w:rPr>
              <w:t>responsrate</w:t>
            </w:r>
            <w:proofErr w:type="spellEnd"/>
            <w:r w:rsidRPr="004D4694">
              <w:rPr>
                <w:b/>
                <w:bCs/>
                <w:sz w:val="22"/>
                <w:szCs w:val="22"/>
              </w:rPr>
              <w:t xml:space="preserve"> (ORR)</w:t>
            </w:r>
          </w:p>
        </w:tc>
        <w:tc>
          <w:tcPr>
            <w:tcW w:w="939" w:type="pct"/>
            <w:tcBorders>
              <w:top w:val="single" w:sz="4" w:space="0" w:color="auto"/>
              <w:left w:val="single" w:sz="4" w:space="0" w:color="auto"/>
              <w:bottom w:val="single" w:sz="4" w:space="0" w:color="auto"/>
              <w:right w:val="single" w:sz="4" w:space="0" w:color="auto"/>
            </w:tcBorders>
            <w:hideMark/>
          </w:tcPr>
          <w:p w14:paraId="380CC3FE" w14:textId="77777777" w:rsidR="00925ABE" w:rsidRPr="004D4694" w:rsidRDefault="00925ABE">
            <w:pPr>
              <w:tabs>
                <w:tab w:val="left" w:pos="1710"/>
              </w:tabs>
              <w:suppressAutoHyphens/>
              <w:jc w:val="center"/>
              <w:rPr>
                <w:bCs/>
                <w:sz w:val="22"/>
                <w:szCs w:val="22"/>
              </w:rPr>
            </w:pPr>
            <w:r w:rsidRPr="004D4694">
              <w:rPr>
                <w:bCs/>
                <w:sz w:val="22"/>
                <w:szCs w:val="22"/>
              </w:rPr>
              <w:t>27,9 %</w:t>
            </w:r>
          </w:p>
        </w:tc>
        <w:tc>
          <w:tcPr>
            <w:tcW w:w="939" w:type="pct"/>
            <w:tcBorders>
              <w:top w:val="single" w:sz="4" w:space="0" w:color="auto"/>
              <w:left w:val="single" w:sz="4" w:space="0" w:color="auto"/>
              <w:bottom w:val="single" w:sz="4" w:space="0" w:color="auto"/>
              <w:right w:val="single" w:sz="4" w:space="0" w:color="auto"/>
            </w:tcBorders>
            <w:hideMark/>
          </w:tcPr>
          <w:p w14:paraId="5CC7AC35" w14:textId="77777777" w:rsidR="00925ABE" w:rsidRPr="004D4694" w:rsidRDefault="00925ABE">
            <w:pPr>
              <w:tabs>
                <w:tab w:val="left" w:pos="1710"/>
              </w:tabs>
              <w:suppressAutoHyphens/>
              <w:jc w:val="center"/>
              <w:rPr>
                <w:bCs/>
                <w:sz w:val="22"/>
                <w:szCs w:val="22"/>
              </w:rPr>
            </w:pPr>
            <w:r w:rsidRPr="004D4694">
              <w:rPr>
                <w:bCs/>
                <w:sz w:val="22"/>
                <w:szCs w:val="22"/>
              </w:rPr>
              <w:t>14,8 %</w:t>
            </w:r>
          </w:p>
        </w:tc>
        <w:tc>
          <w:tcPr>
            <w:tcW w:w="939" w:type="pct"/>
            <w:tcBorders>
              <w:top w:val="single" w:sz="4" w:space="0" w:color="auto"/>
              <w:left w:val="single" w:sz="4" w:space="0" w:color="auto"/>
              <w:bottom w:val="single" w:sz="4" w:space="0" w:color="auto"/>
              <w:right w:val="single" w:sz="4" w:space="0" w:color="auto"/>
            </w:tcBorders>
            <w:hideMark/>
          </w:tcPr>
          <w:p w14:paraId="73264B49" w14:textId="77777777" w:rsidR="00925ABE" w:rsidRPr="004D4694" w:rsidRDefault="00925ABE">
            <w:pPr>
              <w:tabs>
                <w:tab w:val="left" w:pos="1710"/>
              </w:tabs>
              <w:suppressAutoHyphens/>
              <w:jc w:val="center"/>
              <w:rPr>
                <w:bCs/>
                <w:sz w:val="22"/>
                <w:szCs w:val="22"/>
              </w:rPr>
            </w:pPr>
            <w:r w:rsidRPr="004D4694">
              <w:rPr>
                <w:bCs/>
                <w:sz w:val="22"/>
                <w:szCs w:val="22"/>
              </w:rPr>
              <w:t>32.6 %</w:t>
            </w:r>
          </w:p>
        </w:tc>
        <w:tc>
          <w:tcPr>
            <w:tcW w:w="933" w:type="pct"/>
            <w:tcBorders>
              <w:top w:val="single" w:sz="4" w:space="0" w:color="auto"/>
              <w:left w:val="single" w:sz="4" w:space="0" w:color="auto"/>
              <w:bottom w:val="single" w:sz="4" w:space="0" w:color="auto"/>
              <w:right w:val="single" w:sz="4" w:space="0" w:color="auto"/>
            </w:tcBorders>
            <w:hideMark/>
          </w:tcPr>
          <w:p w14:paraId="1F232E27" w14:textId="77777777" w:rsidR="00925ABE" w:rsidRPr="004D4694" w:rsidRDefault="00925ABE">
            <w:pPr>
              <w:tabs>
                <w:tab w:val="left" w:pos="1710"/>
              </w:tabs>
              <w:suppressAutoHyphens/>
              <w:jc w:val="center"/>
              <w:rPr>
                <w:bCs/>
                <w:sz w:val="22"/>
                <w:szCs w:val="22"/>
              </w:rPr>
            </w:pPr>
            <w:r w:rsidRPr="004D4694">
              <w:rPr>
                <w:bCs/>
                <w:sz w:val="22"/>
                <w:szCs w:val="22"/>
              </w:rPr>
              <w:t>31.6 %</w:t>
            </w:r>
          </w:p>
        </w:tc>
      </w:tr>
      <w:tr w:rsidR="00925ABE" w:rsidRPr="004D4694" w14:paraId="0D9A10DA"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6EF6AA2A" w14:textId="77777777" w:rsidR="00925ABE" w:rsidRPr="004D4694" w:rsidRDefault="00925ABE">
            <w:pPr>
              <w:tabs>
                <w:tab w:val="left" w:pos="1710"/>
              </w:tabs>
              <w:suppressAutoHyphens/>
              <w:rPr>
                <w:b/>
                <w:bCs/>
                <w:sz w:val="22"/>
                <w:szCs w:val="22"/>
                <w:u w:val="single"/>
              </w:rPr>
            </w:pPr>
            <w:r w:rsidRPr="004D4694">
              <w:rPr>
                <w:b/>
                <w:bCs/>
                <w:sz w:val="22"/>
                <w:szCs w:val="22"/>
              </w:rPr>
              <w:t>Odds ratio</w:t>
            </w:r>
          </w:p>
        </w:tc>
        <w:tc>
          <w:tcPr>
            <w:tcW w:w="1879" w:type="pct"/>
            <w:gridSpan w:val="2"/>
            <w:tcBorders>
              <w:top w:val="single" w:sz="4" w:space="0" w:color="auto"/>
              <w:left w:val="single" w:sz="4" w:space="0" w:color="auto"/>
              <w:bottom w:val="single" w:sz="4" w:space="0" w:color="auto"/>
              <w:right w:val="single" w:sz="4" w:space="0" w:color="auto"/>
            </w:tcBorders>
            <w:hideMark/>
          </w:tcPr>
          <w:p w14:paraId="07EAF1BE" w14:textId="77777777" w:rsidR="00925ABE" w:rsidRPr="004D4694" w:rsidRDefault="00925ABE">
            <w:pPr>
              <w:tabs>
                <w:tab w:val="left" w:pos="1710"/>
              </w:tabs>
              <w:suppressAutoHyphens/>
              <w:jc w:val="center"/>
              <w:rPr>
                <w:bCs/>
                <w:sz w:val="22"/>
                <w:szCs w:val="22"/>
              </w:rPr>
            </w:pPr>
            <w:r w:rsidRPr="004D4694">
              <w:rPr>
                <w:sz w:val="22"/>
                <w:szCs w:val="22"/>
              </w:rPr>
              <w:t>0,4 (0,2; 0,9)</w:t>
            </w:r>
          </w:p>
        </w:tc>
        <w:tc>
          <w:tcPr>
            <w:tcW w:w="1872" w:type="pct"/>
            <w:gridSpan w:val="2"/>
            <w:tcBorders>
              <w:top w:val="single" w:sz="4" w:space="0" w:color="auto"/>
              <w:left w:val="single" w:sz="4" w:space="0" w:color="auto"/>
              <w:bottom w:val="single" w:sz="4" w:space="0" w:color="auto"/>
              <w:right w:val="single" w:sz="4" w:space="0" w:color="auto"/>
            </w:tcBorders>
            <w:hideMark/>
          </w:tcPr>
          <w:p w14:paraId="5B48A977" w14:textId="77777777" w:rsidR="00925ABE" w:rsidRPr="004D4694" w:rsidRDefault="00925ABE">
            <w:pPr>
              <w:tabs>
                <w:tab w:val="left" w:pos="1710"/>
              </w:tabs>
              <w:suppressAutoHyphens/>
              <w:jc w:val="center"/>
              <w:rPr>
                <w:bCs/>
                <w:sz w:val="22"/>
                <w:szCs w:val="22"/>
              </w:rPr>
            </w:pPr>
            <w:r w:rsidRPr="004D4694">
              <w:rPr>
                <w:sz w:val="22"/>
                <w:szCs w:val="22"/>
              </w:rPr>
              <w:t>0,9 (0,7; 1,3)</w:t>
            </w:r>
          </w:p>
        </w:tc>
      </w:tr>
      <w:tr w:rsidR="00925ABE" w:rsidRPr="004D4694" w14:paraId="576DC286"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6A852DC5" w14:textId="77777777" w:rsidR="00925ABE" w:rsidRPr="004D4694" w:rsidRDefault="00925ABE">
            <w:pPr>
              <w:tabs>
                <w:tab w:val="left" w:pos="1710"/>
              </w:tabs>
              <w:suppressAutoHyphens/>
              <w:rPr>
                <w:b/>
                <w:bCs/>
                <w:sz w:val="22"/>
                <w:szCs w:val="22"/>
                <w:u w:val="single"/>
              </w:rPr>
            </w:pPr>
            <w:r w:rsidRPr="004D4694">
              <w:rPr>
                <w:b/>
                <w:bCs/>
                <w:sz w:val="22"/>
                <w:szCs w:val="22"/>
              </w:rPr>
              <w:t>p-</w:t>
            </w:r>
            <w:proofErr w:type="spellStart"/>
            <w:r w:rsidRPr="004D4694">
              <w:rPr>
                <w:b/>
                <w:bCs/>
                <w:sz w:val="22"/>
                <w:szCs w:val="22"/>
              </w:rPr>
              <w:t>værdi</w:t>
            </w:r>
            <w:proofErr w:type="spellEnd"/>
          </w:p>
        </w:tc>
        <w:tc>
          <w:tcPr>
            <w:tcW w:w="1879" w:type="pct"/>
            <w:gridSpan w:val="2"/>
            <w:tcBorders>
              <w:top w:val="single" w:sz="4" w:space="0" w:color="auto"/>
              <w:left w:val="single" w:sz="4" w:space="0" w:color="auto"/>
              <w:bottom w:val="single" w:sz="4" w:space="0" w:color="auto"/>
              <w:right w:val="single" w:sz="4" w:space="0" w:color="auto"/>
            </w:tcBorders>
            <w:hideMark/>
          </w:tcPr>
          <w:p w14:paraId="1239CFB6" w14:textId="77777777" w:rsidR="00925ABE" w:rsidRPr="004D4694" w:rsidRDefault="00925ABE">
            <w:pPr>
              <w:tabs>
                <w:tab w:val="left" w:pos="1710"/>
              </w:tabs>
              <w:suppressAutoHyphens/>
              <w:jc w:val="center"/>
              <w:rPr>
                <w:bCs/>
                <w:sz w:val="22"/>
                <w:szCs w:val="22"/>
              </w:rPr>
            </w:pPr>
            <w:r w:rsidRPr="004D4694">
              <w:rPr>
                <w:bCs/>
                <w:sz w:val="22"/>
                <w:szCs w:val="22"/>
              </w:rPr>
              <w:t>0,021</w:t>
            </w:r>
          </w:p>
        </w:tc>
        <w:tc>
          <w:tcPr>
            <w:tcW w:w="1872" w:type="pct"/>
            <w:gridSpan w:val="2"/>
            <w:tcBorders>
              <w:top w:val="single" w:sz="4" w:space="0" w:color="auto"/>
              <w:left w:val="single" w:sz="4" w:space="0" w:color="auto"/>
              <w:bottom w:val="single" w:sz="4" w:space="0" w:color="auto"/>
              <w:right w:val="single" w:sz="4" w:space="0" w:color="auto"/>
            </w:tcBorders>
            <w:hideMark/>
          </w:tcPr>
          <w:p w14:paraId="4EE2373B" w14:textId="77777777" w:rsidR="00925ABE" w:rsidRPr="004D4694" w:rsidRDefault="00925ABE">
            <w:pPr>
              <w:tabs>
                <w:tab w:val="left" w:pos="1710"/>
              </w:tabs>
              <w:suppressAutoHyphens/>
              <w:jc w:val="center"/>
              <w:rPr>
                <w:bCs/>
                <w:sz w:val="22"/>
                <w:szCs w:val="22"/>
              </w:rPr>
            </w:pPr>
            <w:r w:rsidRPr="004D4694">
              <w:rPr>
                <w:bCs/>
                <w:sz w:val="22"/>
                <w:szCs w:val="22"/>
              </w:rPr>
              <w:t>0,26</w:t>
            </w:r>
          </w:p>
        </w:tc>
      </w:tr>
      <w:tr w:rsidR="00925ABE" w:rsidRPr="004D4694" w14:paraId="64F2A8F4"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28CC84B2" w14:textId="77777777" w:rsidR="00925ABE" w:rsidRPr="004D4694" w:rsidRDefault="00925ABE">
            <w:pPr>
              <w:tabs>
                <w:tab w:val="left" w:pos="1710"/>
              </w:tabs>
              <w:suppressAutoHyphens/>
              <w:rPr>
                <w:b/>
                <w:bCs/>
                <w:sz w:val="22"/>
                <w:szCs w:val="22"/>
                <w:u w:val="single"/>
              </w:rPr>
            </w:pPr>
            <w:proofErr w:type="spellStart"/>
            <w:r w:rsidRPr="004D4694">
              <w:rPr>
                <w:b/>
                <w:bCs/>
                <w:sz w:val="22"/>
                <w:szCs w:val="22"/>
              </w:rPr>
              <w:t>Klinisk</w:t>
            </w:r>
            <w:proofErr w:type="spellEnd"/>
            <w:r w:rsidRPr="004D4694">
              <w:rPr>
                <w:b/>
                <w:bCs/>
                <w:sz w:val="22"/>
                <w:szCs w:val="22"/>
              </w:rPr>
              <w:t xml:space="preserve"> benefit-rate (CBR)</w:t>
            </w:r>
          </w:p>
        </w:tc>
        <w:tc>
          <w:tcPr>
            <w:tcW w:w="939" w:type="pct"/>
            <w:tcBorders>
              <w:top w:val="single" w:sz="4" w:space="0" w:color="auto"/>
              <w:left w:val="single" w:sz="4" w:space="0" w:color="auto"/>
              <w:bottom w:val="single" w:sz="4" w:space="0" w:color="auto"/>
              <w:right w:val="single" w:sz="4" w:space="0" w:color="auto"/>
            </w:tcBorders>
            <w:hideMark/>
          </w:tcPr>
          <w:p w14:paraId="490B575D" w14:textId="77777777" w:rsidR="00925ABE" w:rsidRPr="004D4694" w:rsidRDefault="00925ABE">
            <w:pPr>
              <w:tabs>
                <w:tab w:val="left" w:pos="1710"/>
              </w:tabs>
              <w:suppressAutoHyphens/>
              <w:jc w:val="center"/>
              <w:rPr>
                <w:bCs/>
                <w:sz w:val="22"/>
                <w:szCs w:val="22"/>
              </w:rPr>
            </w:pPr>
            <w:r w:rsidRPr="004D4694">
              <w:rPr>
                <w:bCs/>
                <w:sz w:val="22"/>
                <w:szCs w:val="22"/>
              </w:rPr>
              <w:t>47,7 %</w:t>
            </w:r>
          </w:p>
        </w:tc>
        <w:tc>
          <w:tcPr>
            <w:tcW w:w="939" w:type="pct"/>
            <w:tcBorders>
              <w:top w:val="single" w:sz="4" w:space="0" w:color="auto"/>
              <w:left w:val="single" w:sz="4" w:space="0" w:color="auto"/>
              <w:bottom w:val="single" w:sz="4" w:space="0" w:color="auto"/>
              <w:right w:val="single" w:sz="4" w:space="0" w:color="auto"/>
            </w:tcBorders>
            <w:hideMark/>
          </w:tcPr>
          <w:p w14:paraId="53235530" w14:textId="77777777" w:rsidR="00925ABE" w:rsidRPr="004D4694" w:rsidRDefault="00925ABE">
            <w:pPr>
              <w:tabs>
                <w:tab w:val="left" w:pos="1710"/>
              </w:tabs>
              <w:suppressAutoHyphens/>
              <w:jc w:val="center"/>
              <w:rPr>
                <w:bCs/>
                <w:sz w:val="22"/>
                <w:szCs w:val="22"/>
              </w:rPr>
            </w:pPr>
            <w:r w:rsidRPr="004D4694">
              <w:rPr>
                <w:bCs/>
                <w:sz w:val="22"/>
                <w:szCs w:val="22"/>
              </w:rPr>
              <w:t>28,7 %</w:t>
            </w:r>
          </w:p>
        </w:tc>
        <w:tc>
          <w:tcPr>
            <w:tcW w:w="939" w:type="pct"/>
            <w:tcBorders>
              <w:top w:val="single" w:sz="4" w:space="0" w:color="auto"/>
              <w:left w:val="single" w:sz="4" w:space="0" w:color="auto"/>
              <w:bottom w:val="single" w:sz="4" w:space="0" w:color="auto"/>
              <w:right w:val="single" w:sz="4" w:space="0" w:color="auto"/>
            </w:tcBorders>
            <w:hideMark/>
          </w:tcPr>
          <w:p w14:paraId="0D87FA71" w14:textId="77777777" w:rsidR="00925ABE" w:rsidRPr="004D4694" w:rsidRDefault="00925ABE">
            <w:pPr>
              <w:tabs>
                <w:tab w:val="left" w:pos="1710"/>
              </w:tabs>
              <w:suppressAutoHyphens/>
              <w:jc w:val="center"/>
              <w:rPr>
                <w:bCs/>
                <w:sz w:val="22"/>
                <w:szCs w:val="22"/>
              </w:rPr>
            </w:pPr>
            <w:r w:rsidRPr="004D4694">
              <w:rPr>
                <w:bCs/>
                <w:sz w:val="22"/>
                <w:szCs w:val="22"/>
              </w:rPr>
              <w:t>58,2 %</w:t>
            </w:r>
          </w:p>
        </w:tc>
        <w:tc>
          <w:tcPr>
            <w:tcW w:w="933" w:type="pct"/>
            <w:tcBorders>
              <w:top w:val="single" w:sz="4" w:space="0" w:color="auto"/>
              <w:left w:val="single" w:sz="4" w:space="0" w:color="auto"/>
              <w:bottom w:val="single" w:sz="4" w:space="0" w:color="auto"/>
              <w:right w:val="single" w:sz="4" w:space="0" w:color="auto"/>
            </w:tcBorders>
            <w:hideMark/>
          </w:tcPr>
          <w:p w14:paraId="349F7906" w14:textId="77777777" w:rsidR="00925ABE" w:rsidRPr="004D4694" w:rsidRDefault="00925ABE">
            <w:pPr>
              <w:tabs>
                <w:tab w:val="left" w:pos="1710"/>
              </w:tabs>
              <w:suppressAutoHyphens/>
              <w:jc w:val="center"/>
              <w:rPr>
                <w:bCs/>
                <w:sz w:val="22"/>
                <w:szCs w:val="22"/>
              </w:rPr>
            </w:pPr>
            <w:r w:rsidRPr="004D4694">
              <w:rPr>
                <w:bCs/>
                <w:sz w:val="22"/>
                <w:szCs w:val="22"/>
              </w:rPr>
              <w:t>31,6 %</w:t>
            </w:r>
          </w:p>
        </w:tc>
      </w:tr>
      <w:tr w:rsidR="00925ABE" w:rsidRPr="004D4694" w14:paraId="2147A860"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4C48874F" w14:textId="77777777" w:rsidR="00925ABE" w:rsidRPr="004D4694" w:rsidRDefault="00925ABE">
            <w:pPr>
              <w:tabs>
                <w:tab w:val="left" w:pos="1710"/>
              </w:tabs>
              <w:suppressAutoHyphens/>
              <w:rPr>
                <w:b/>
                <w:bCs/>
                <w:sz w:val="22"/>
                <w:szCs w:val="22"/>
                <w:u w:val="single"/>
              </w:rPr>
            </w:pPr>
            <w:r w:rsidRPr="004D4694">
              <w:rPr>
                <w:b/>
                <w:bCs/>
                <w:sz w:val="22"/>
                <w:szCs w:val="22"/>
              </w:rPr>
              <w:t>Odds ratio</w:t>
            </w:r>
          </w:p>
        </w:tc>
        <w:tc>
          <w:tcPr>
            <w:tcW w:w="1879" w:type="pct"/>
            <w:gridSpan w:val="2"/>
            <w:tcBorders>
              <w:top w:val="single" w:sz="4" w:space="0" w:color="auto"/>
              <w:left w:val="single" w:sz="4" w:space="0" w:color="auto"/>
              <w:bottom w:val="single" w:sz="4" w:space="0" w:color="auto"/>
              <w:right w:val="single" w:sz="4" w:space="0" w:color="auto"/>
            </w:tcBorders>
            <w:hideMark/>
          </w:tcPr>
          <w:p w14:paraId="157BC668" w14:textId="77777777" w:rsidR="00925ABE" w:rsidRPr="004D4694" w:rsidRDefault="00925ABE">
            <w:pPr>
              <w:tabs>
                <w:tab w:val="left" w:pos="1710"/>
              </w:tabs>
              <w:suppressAutoHyphens/>
              <w:jc w:val="center"/>
              <w:rPr>
                <w:bCs/>
                <w:sz w:val="22"/>
                <w:szCs w:val="22"/>
              </w:rPr>
            </w:pPr>
            <w:r w:rsidRPr="004D4694">
              <w:rPr>
                <w:sz w:val="22"/>
                <w:szCs w:val="22"/>
              </w:rPr>
              <w:t>0,4 (0,2; 0,8)</w:t>
            </w:r>
          </w:p>
        </w:tc>
        <w:tc>
          <w:tcPr>
            <w:tcW w:w="1872" w:type="pct"/>
            <w:gridSpan w:val="2"/>
            <w:tcBorders>
              <w:top w:val="single" w:sz="4" w:space="0" w:color="auto"/>
              <w:left w:val="single" w:sz="4" w:space="0" w:color="auto"/>
              <w:bottom w:val="single" w:sz="4" w:space="0" w:color="auto"/>
              <w:right w:val="single" w:sz="4" w:space="0" w:color="auto"/>
            </w:tcBorders>
            <w:hideMark/>
          </w:tcPr>
          <w:p w14:paraId="48773C0D" w14:textId="77777777" w:rsidR="00925ABE" w:rsidRPr="004D4694" w:rsidRDefault="00925ABE">
            <w:pPr>
              <w:tabs>
                <w:tab w:val="left" w:pos="1710"/>
              </w:tabs>
              <w:suppressAutoHyphens/>
              <w:jc w:val="center"/>
              <w:rPr>
                <w:bCs/>
                <w:sz w:val="22"/>
                <w:szCs w:val="22"/>
              </w:rPr>
            </w:pPr>
            <w:r w:rsidRPr="004D4694">
              <w:rPr>
                <w:sz w:val="22"/>
                <w:szCs w:val="22"/>
              </w:rPr>
              <w:t>1,0 (0,7; 1,2)</w:t>
            </w:r>
          </w:p>
        </w:tc>
      </w:tr>
      <w:tr w:rsidR="00925ABE" w:rsidRPr="004D4694" w14:paraId="6ABB4F1E" w14:textId="77777777" w:rsidTr="009534FE">
        <w:tc>
          <w:tcPr>
            <w:tcW w:w="1250" w:type="pct"/>
            <w:tcBorders>
              <w:top w:val="single" w:sz="4" w:space="0" w:color="auto"/>
              <w:left w:val="single" w:sz="4" w:space="0" w:color="auto"/>
              <w:bottom w:val="single" w:sz="4" w:space="0" w:color="auto"/>
              <w:right w:val="single" w:sz="4" w:space="0" w:color="auto"/>
            </w:tcBorders>
            <w:hideMark/>
          </w:tcPr>
          <w:p w14:paraId="551322B2" w14:textId="77777777" w:rsidR="00925ABE" w:rsidRPr="004D4694" w:rsidRDefault="00925ABE">
            <w:pPr>
              <w:tabs>
                <w:tab w:val="left" w:pos="1710"/>
              </w:tabs>
              <w:suppressAutoHyphens/>
              <w:rPr>
                <w:b/>
                <w:bCs/>
                <w:sz w:val="22"/>
                <w:szCs w:val="22"/>
              </w:rPr>
            </w:pPr>
            <w:r w:rsidRPr="004D4694">
              <w:rPr>
                <w:b/>
                <w:bCs/>
                <w:sz w:val="22"/>
                <w:szCs w:val="22"/>
              </w:rPr>
              <w:t>p-</w:t>
            </w:r>
            <w:proofErr w:type="spellStart"/>
            <w:r w:rsidRPr="004D4694">
              <w:rPr>
                <w:b/>
                <w:bCs/>
                <w:sz w:val="22"/>
                <w:szCs w:val="22"/>
              </w:rPr>
              <w:t>værdi</w:t>
            </w:r>
            <w:proofErr w:type="spellEnd"/>
          </w:p>
        </w:tc>
        <w:tc>
          <w:tcPr>
            <w:tcW w:w="1879" w:type="pct"/>
            <w:gridSpan w:val="2"/>
            <w:tcBorders>
              <w:top w:val="single" w:sz="4" w:space="0" w:color="auto"/>
              <w:left w:val="single" w:sz="4" w:space="0" w:color="auto"/>
              <w:bottom w:val="single" w:sz="4" w:space="0" w:color="auto"/>
              <w:right w:val="single" w:sz="4" w:space="0" w:color="auto"/>
            </w:tcBorders>
            <w:hideMark/>
          </w:tcPr>
          <w:p w14:paraId="5A26ECDD" w14:textId="77777777" w:rsidR="00925ABE" w:rsidRPr="004D4694" w:rsidRDefault="00925ABE">
            <w:pPr>
              <w:tabs>
                <w:tab w:val="left" w:pos="1710"/>
              </w:tabs>
              <w:suppressAutoHyphens/>
              <w:jc w:val="center"/>
              <w:rPr>
                <w:bCs/>
                <w:sz w:val="22"/>
                <w:szCs w:val="22"/>
              </w:rPr>
            </w:pPr>
            <w:r w:rsidRPr="004D4694">
              <w:rPr>
                <w:sz w:val="22"/>
                <w:szCs w:val="22"/>
              </w:rPr>
              <w:t>0,003</w:t>
            </w:r>
          </w:p>
        </w:tc>
        <w:tc>
          <w:tcPr>
            <w:tcW w:w="1872" w:type="pct"/>
            <w:gridSpan w:val="2"/>
            <w:tcBorders>
              <w:top w:val="single" w:sz="4" w:space="0" w:color="auto"/>
              <w:left w:val="single" w:sz="4" w:space="0" w:color="auto"/>
              <w:bottom w:val="single" w:sz="4" w:space="0" w:color="auto"/>
              <w:right w:val="single" w:sz="4" w:space="0" w:color="auto"/>
            </w:tcBorders>
            <w:hideMark/>
          </w:tcPr>
          <w:p w14:paraId="2259D133" w14:textId="77777777" w:rsidR="00925ABE" w:rsidRPr="004D4694" w:rsidRDefault="00925ABE">
            <w:pPr>
              <w:tabs>
                <w:tab w:val="left" w:pos="1710"/>
              </w:tabs>
              <w:suppressAutoHyphens/>
              <w:jc w:val="center"/>
              <w:rPr>
                <w:bCs/>
                <w:sz w:val="22"/>
                <w:szCs w:val="22"/>
              </w:rPr>
            </w:pPr>
            <w:r w:rsidRPr="004D4694">
              <w:rPr>
                <w:sz w:val="22"/>
                <w:szCs w:val="22"/>
              </w:rPr>
              <w:t>0,199</w:t>
            </w:r>
          </w:p>
        </w:tc>
      </w:tr>
      <w:tr w:rsidR="00925ABE" w:rsidRPr="004D4694" w14:paraId="536C9E54" w14:textId="77777777" w:rsidTr="009534FE">
        <w:tc>
          <w:tcPr>
            <w:tcW w:w="5000" w:type="pct"/>
            <w:gridSpan w:val="5"/>
            <w:tcBorders>
              <w:top w:val="single" w:sz="4" w:space="0" w:color="auto"/>
              <w:left w:val="single" w:sz="4" w:space="0" w:color="auto"/>
              <w:bottom w:val="single" w:sz="4" w:space="0" w:color="auto"/>
              <w:right w:val="single" w:sz="4" w:space="0" w:color="auto"/>
            </w:tcBorders>
            <w:hideMark/>
          </w:tcPr>
          <w:p w14:paraId="2ED71794" w14:textId="77777777" w:rsidR="00925ABE" w:rsidRPr="004D4694" w:rsidRDefault="00925ABE">
            <w:pPr>
              <w:tabs>
                <w:tab w:val="left" w:pos="1710"/>
              </w:tabs>
              <w:suppressAutoHyphens/>
              <w:rPr>
                <w:sz w:val="22"/>
                <w:szCs w:val="22"/>
                <w:lang w:val="da-DK"/>
              </w:rPr>
            </w:pPr>
            <w:r w:rsidRPr="004D4694">
              <w:rPr>
                <w:sz w:val="22"/>
                <w:szCs w:val="22"/>
                <w:lang w:val="da-DK"/>
              </w:rPr>
              <w:t>CI = konfidensinterval</w:t>
            </w:r>
          </w:p>
          <w:p w14:paraId="0CB04EE7" w14:textId="77777777" w:rsidR="00925ABE" w:rsidRPr="004D4694" w:rsidRDefault="00925ABE">
            <w:pPr>
              <w:tabs>
                <w:tab w:val="left" w:pos="1710"/>
              </w:tabs>
              <w:suppressAutoHyphens/>
              <w:rPr>
                <w:sz w:val="22"/>
                <w:szCs w:val="22"/>
                <w:lang w:val="da-DK"/>
              </w:rPr>
            </w:pPr>
            <w:r w:rsidRPr="004D4694">
              <w:rPr>
                <w:sz w:val="22"/>
                <w:szCs w:val="22"/>
                <w:lang w:val="da-DK"/>
              </w:rPr>
              <w:t>HER2-overekspression = IHC 3+ og/eller FISH-positiv; HER2-negativ = IHC 0, 1+ eller 2+ og/eller FISH-negativ</w:t>
            </w:r>
          </w:p>
          <w:p w14:paraId="62CFA7FE" w14:textId="77777777" w:rsidR="00925ABE" w:rsidRPr="004D4694" w:rsidRDefault="00925ABE">
            <w:pPr>
              <w:tabs>
                <w:tab w:val="left" w:pos="1710"/>
              </w:tabs>
              <w:suppressAutoHyphens/>
              <w:rPr>
                <w:bCs/>
                <w:sz w:val="22"/>
                <w:szCs w:val="22"/>
                <w:u w:val="single"/>
                <w:lang w:val="da-DK"/>
              </w:rPr>
            </w:pPr>
            <w:r w:rsidRPr="004D4694">
              <w:rPr>
                <w:sz w:val="22"/>
                <w:szCs w:val="22"/>
                <w:lang w:val="da-DK"/>
              </w:rPr>
              <w:t xml:space="preserve">Den kliniske benefit-rate defineres som komplet og partiel respons samt stabil sygdom i </w:t>
            </w:r>
            <w:r w:rsidRPr="004D4694">
              <w:rPr>
                <w:sz w:val="22"/>
                <w:szCs w:val="22"/>
              </w:rPr>
              <w:sym w:font="Symbol" w:char="F0B3"/>
            </w:r>
            <w:r w:rsidRPr="004D4694">
              <w:rPr>
                <w:sz w:val="22"/>
                <w:szCs w:val="22"/>
                <w:lang w:val="da-DK"/>
              </w:rPr>
              <w:t> 6 måneder.</w:t>
            </w:r>
          </w:p>
        </w:tc>
      </w:tr>
    </w:tbl>
    <w:p w14:paraId="0902DB4E" w14:textId="77777777" w:rsidR="00925ABE" w:rsidRPr="000C2646" w:rsidRDefault="00925ABE" w:rsidP="00925ABE">
      <w:pPr>
        <w:tabs>
          <w:tab w:val="left" w:pos="1710"/>
        </w:tabs>
        <w:suppressAutoHyphens/>
        <w:rPr>
          <w:bCs/>
          <w:sz w:val="24"/>
          <w:szCs w:val="24"/>
          <w:u w:val="single"/>
        </w:rPr>
      </w:pPr>
    </w:p>
    <w:p w14:paraId="4DA3EA32" w14:textId="77777777" w:rsidR="00925ABE" w:rsidRPr="000C2646" w:rsidRDefault="00925ABE" w:rsidP="009534FE">
      <w:pPr>
        <w:suppressAutoHyphens/>
        <w:ind w:left="851"/>
        <w:rPr>
          <w:sz w:val="24"/>
          <w:szCs w:val="24"/>
        </w:rPr>
      </w:pPr>
      <w:r w:rsidRPr="000C2646">
        <w:rPr>
          <w:sz w:val="24"/>
          <w:szCs w:val="24"/>
        </w:rPr>
        <w:t xml:space="preserve">Ved tidspunktet for den endelige </w:t>
      </w:r>
      <w:proofErr w:type="gramStart"/>
      <w:r w:rsidRPr="000C2646">
        <w:rPr>
          <w:sz w:val="24"/>
          <w:szCs w:val="24"/>
        </w:rPr>
        <w:t>PFS analyse</w:t>
      </w:r>
      <w:proofErr w:type="gramEnd"/>
      <w:r w:rsidRPr="000C2646">
        <w:rPr>
          <w:sz w:val="24"/>
          <w:szCs w:val="24"/>
        </w:rPr>
        <w:t xml:space="preserve"> (med median opfølgning på 2,64 år) var der ikke tilstrækkelige data vedrørende den samlede overlevelse, og der var ingen signifikant forskel mellem behandlingsgrupperne i den HER2-positive population; dette havde ikke ændret sig ved en senere opfølgning (median opfølgning på &gt; 7,5 år, se tabel 7).</w:t>
      </w:r>
    </w:p>
    <w:p w14:paraId="245C561C" w14:textId="77777777" w:rsidR="00925ABE" w:rsidRPr="000C2646" w:rsidRDefault="00925ABE" w:rsidP="00925ABE">
      <w:pPr>
        <w:tabs>
          <w:tab w:val="left" w:pos="1710"/>
        </w:tabs>
        <w:suppressAutoHyphens/>
        <w:rPr>
          <w:sz w:val="24"/>
          <w:szCs w:val="24"/>
        </w:rPr>
      </w:pPr>
    </w:p>
    <w:p w14:paraId="056030C4" w14:textId="7ACE6287" w:rsidR="00925ABE" w:rsidRPr="004D4694" w:rsidRDefault="00925ABE" w:rsidP="004D4694">
      <w:pPr>
        <w:keepNext/>
        <w:rPr>
          <w:b/>
          <w:sz w:val="24"/>
          <w:szCs w:val="24"/>
        </w:rPr>
      </w:pPr>
      <w:r w:rsidRPr="004D4694">
        <w:rPr>
          <w:b/>
          <w:sz w:val="24"/>
          <w:szCs w:val="24"/>
        </w:rPr>
        <w:t>Tabel 7</w:t>
      </w:r>
      <w:r w:rsidR="004D4694">
        <w:rPr>
          <w:b/>
          <w:sz w:val="24"/>
          <w:szCs w:val="24"/>
        </w:rPr>
        <w:t xml:space="preserve">. </w:t>
      </w:r>
      <w:r w:rsidRPr="004D4694">
        <w:rPr>
          <w:b/>
          <w:sz w:val="24"/>
          <w:szCs w:val="24"/>
        </w:rPr>
        <w:t>Resultatet for samlet overlevelse (OS) fra studie EGF30008 (kun i HER2-positiv population)</w:t>
      </w:r>
    </w:p>
    <w:p w14:paraId="563B7258" w14:textId="77777777" w:rsidR="00925ABE" w:rsidRPr="000C2646" w:rsidRDefault="00925ABE" w:rsidP="004D4694">
      <w:pPr>
        <w:keepNext/>
        <w:tabs>
          <w:tab w:val="left" w:pos="1710"/>
        </w:tabs>
        <w:suppressAutoHyphens/>
        <w:rPr>
          <w:sz w:val="24"/>
          <w:szCs w:val="24"/>
        </w:rPr>
      </w:pPr>
    </w:p>
    <w:tbl>
      <w:tblPr>
        <w:tblStyle w:val="Tabel-Gitter"/>
        <w:tblW w:w="5000" w:type="pct"/>
        <w:tblInd w:w="0" w:type="dxa"/>
        <w:tblLook w:val="04A0" w:firstRow="1" w:lastRow="0" w:firstColumn="1" w:lastColumn="0" w:noHBand="0" w:noVBand="1"/>
      </w:tblPr>
      <w:tblGrid>
        <w:gridCol w:w="3612"/>
        <w:gridCol w:w="3014"/>
        <w:gridCol w:w="3002"/>
      </w:tblGrid>
      <w:tr w:rsidR="00925ABE" w:rsidRPr="000C2646" w14:paraId="2E5EC2AB" w14:textId="77777777" w:rsidTr="009534FE">
        <w:tc>
          <w:tcPr>
            <w:tcW w:w="1876" w:type="pct"/>
            <w:tcBorders>
              <w:top w:val="single" w:sz="4" w:space="0" w:color="auto"/>
              <w:left w:val="single" w:sz="4" w:space="0" w:color="auto"/>
              <w:bottom w:val="single" w:sz="4" w:space="0" w:color="auto"/>
              <w:right w:val="single" w:sz="4" w:space="0" w:color="auto"/>
            </w:tcBorders>
          </w:tcPr>
          <w:p w14:paraId="419E7B13" w14:textId="77777777" w:rsidR="00925ABE" w:rsidRPr="000C2646" w:rsidRDefault="00925ABE" w:rsidP="004D4694">
            <w:pPr>
              <w:keepNext/>
              <w:tabs>
                <w:tab w:val="left" w:pos="1710"/>
              </w:tabs>
              <w:suppressAutoHyphens/>
              <w:jc w:val="center"/>
              <w:rPr>
                <w:sz w:val="24"/>
                <w:szCs w:val="24"/>
                <w:lang w:val="da-DK"/>
              </w:rPr>
            </w:pPr>
          </w:p>
        </w:tc>
        <w:tc>
          <w:tcPr>
            <w:tcW w:w="1565" w:type="pct"/>
            <w:tcBorders>
              <w:top w:val="single" w:sz="4" w:space="0" w:color="auto"/>
              <w:left w:val="single" w:sz="4" w:space="0" w:color="auto"/>
              <w:bottom w:val="single" w:sz="4" w:space="0" w:color="auto"/>
              <w:right w:val="single" w:sz="4" w:space="0" w:color="auto"/>
            </w:tcBorders>
            <w:hideMark/>
          </w:tcPr>
          <w:p w14:paraId="77E47153" w14:textId="77777777" w:rsidR="00925ABE" w:rsidRPr="000C2646" w:rsidRDefault="00925ABE" w:rsidP="004D4694">
            <w:pPr>
              <w:keepNext/>
              <w:tabs>
                <w:tab w:val="left" w:pos="1710"/>
              </w:tabs>
              <w:suppressAutoHyphens/>
              <w:jc w:val="center"/>
              <w:rPr>
                <w:b/>
                <w:bCs/>
                <w:sz w:val="24"/>
                <w:szCs w:val="24"/>
                <w:lang w:val="da-DK"/>
              </w:rPr>
            </w:pPr>
            <w:proofErr w:type="spellStart"/>
            <w:r w:rsidRPr="000C2646">
              <w:rPr>
                <w:b/>
                <w:bCs/>
                <w:sz w:val="24"/>
                <w:szCs w:val="24"/>
                <w:lang w:val="da-DK"/>
              </w:rPr>
              <w:t>Lapatinib</w:t>
            </w:r>
            <w:proofErr w:type="spellEnd"/>
            <w:r w:rsidRPr="000C2646">
              <w:rPr>
                <w:b/>
                <w:bCs/>
                <w:sz w:val="24"/>
                <w:szCs w:val="24"/>
                <w:lang w:val="da-DK"/>
              </w:rPr>
              <w:t xml:space="preserve"> 1500 mg/dag</w:t>
            </w:r>
          </w:p>
          <w:p w14:paraId="11DC6CCC" w14:textId="77777777" w:rsidR="00925ABE" w:rsidRPr="000C2646" w:rsidRDefault="00925ABE" w:rsidP="004D4694">
            <w:pPr>
              <w:keepNext/>
              <w:tabs>
                <w:tab w:val="left" w:pos="1710"/>
              </w:tabs>
              <w:suppressAutoHyphens/>
              <w:jc w:val="center"/>
              <w:rPr>
                <w:b/>
                <w:bCs/>
                <w:sz w:val="24"/>
                <w:szCs w:val="24"/>
                <w:lang w:val="da-DK"/>
              </w:rPr>
            </w:pPr>
            <w:r w:rsidRPr="000C2646">
              <w:rPr>
                <w:b/>
                <w:bCs/>
                <w:sz w:val="24"/>
                <w:szCs w:val="24"/>
                <w:lang w:val="da-DK"/>
              </w:rPr>
              <w:t xml:space="preserve">+ </w:t>
            </w:r>
            <w:proofErr w:type="spellStart"/>
            <w:r w:rsidRPr="000C2646">
              <w:rPr>
                <w:b/>
                <w:bCs/>
                <w:sz w:val="24"/>
                <w:szCs w:val="24"/>
                <w:lang w:val="da-DK"/>
              </w:rPr>
              <w:t>letrozol</w:t>
            </w:r>
            <w:proofErr w:type="spellEnd"/>
            <w:r w:rsidRPr="000C2646">
              <w:rPr>
                <w:b/>
                <w:bCs/>
                <w:sz w:val="24"/>
                <w:szCs w:val="24"/>
                <w:lang w:val="da-DK"/>
              </w:rPr>
              <w:t xml:space="preserve"> 2,5 mg/dag</w:t>
            </w:r>
          </w:p>
          <w:p w14:paraId="50469A76" w14:textId="77777777" w:rsidR="00925ABE" w:rsidRPr="000C2646" w:rsidRDefault="00925ABE" w:rsidP="004D4694">
            <w:pPr>
              <w:keepNext/>
              <w:tabs>
                <w:tab w:val="left" w:pos="1710"/>
              </w:tabs>
              <w:suppressAutoHyphens/>
              <w:jc w:val="center"/>
              <w:rPr>
                <w:b/>
                <w:bCs/>
                <w:sz w:val="24"/>
                <w:szCs w:val="24"/>
              </w:rPr>
            </w:pPr>
            <w:r w:rsidRPr="000C2646">
              <w:rPr>
                <w:b/>
                <w:bCs/>
                <w:sz w:val="24"/>
                <w:szCs w:val="24"/>
              </w:rPr>
              <w:t>n = 111</w:t>
            </w:r>
          </w:p>
        </w:tc>
        <w:tc>
          <w:tcPr>
            <w:tcW w:w="1559" w:type="pct"/>
            <w:tcBorders>
              <w:top w:val="single" w:sz="4" w:space="0" w:color="auto"/>
              <w:left w:val="single" w:sz="4" w:space="0" w:color="auto"/>
              <w:bottom w:val="single" w:sz="4" w:space="0" w:color="auto"/>
              <w:right w:val="single" w:sz="4" w:space="0" w:color="auto"/>
            </w:tcBorders>
            <w:hideMark/>
          </w:tcPr>
          <w:p w14:paraId="3FA07E3A" w14:textId="77777777" w:rsidR="00925ABE" w:rsidRPr="000C2646" w:rsidRDefault="00925ABE" w:rsidP="004D4694">
            <w:pPr>
              <w:keepNext/>
              <w:tabs>
                <w:tab w:val="left" w:pos="1710"/>
              </w:tabs>
              <w:suppressAutoHyphens/>
              <w:jc w:val="center"/>
              <w:rPr>
                <w:b/>
                <w:bCs/>
                <w:sz w:val="24"/>
                <w:szCs w:val="24"/>
                <w:lang w:val="da-DK"/>
              </w:rPr>
            </w:pPr>
            <w:proofErr w:type="spellStart"/>
            <w:r w:rsidRPr="000C2646">
              <w:rPr>
                <w:b/>
                <w:bCs/>
                <w:sz w:val="24"/>
                <w:szCs w:val="24"/>
                <w:lang w:val="da-DK"/>
              </w:rPr>
              <w:t>letrozol</w:t>
            </w:r>
            <w:proofErr w:type="spellEnd"/>
            <w:r w:rsidRPr="000C2646">
              <w:rPr>
                <w:b/>
                <w:bCs/>
                <w:sz w:val="24"/>
                <w:szCs w:val="24"/>
                <w:lang w:val="da-DK"/>
              </w:rPr>
              <w:t xml:space="preserve"> 2,5 mg /dag</w:t>
            </w:r>
          </w:p>
          <w:p w14:paraId="0B175D5A" w14:textId="77777777" w:rsidR="00925ABE" w:rsidRPr="000C2646" w:rsidRDefault="00925ABE" w:rsidP="004D4694">
            <w:pPr>
              <w:keepNext/>
              <w:tabs>
                <w:tab w:val="left" w:pos="1710"/>
              </w:tabs>
              <w:suppressAutoHyphens/>
              <w:jc w:val="center"/>
              <w:rPr>
                <w:b/>
                <w:bCs/>
                <w:sz w:val="24"/>
                <w:szCs w:val="24"/>
                <w:lang w:val="da-DK"/>
              </w:rPr>
            </w:pPr>
            <w:r w:rsidRPr="000C2646">
              <w:rPr>
                <w:b/>
                <w:bCs/>
                <w:sz w:val="24"/>
                <w:szCs w:val="24"/>
                <w:lang w:val="da-DK"/>
              </w:rPr>
              <w:t>+ placebo</w:t>
            </w:r>
          </w:p>
          <w:p w14:paraId="1A64F6DA" w14:textId="77777777" w:rsidR="00925ABE" w:rsidRPr="000C2646" w:rsidRDefault="00925ABE" w:rsidP="004D4694">
            <w:pPr>
              <w:keepNext/>
              <w:tabs>
                <w:tab w:val="left" w:pos="1710"/>
              </w:tabs>
              <w:suppressAutoHyphens/>
              <w:jc w:val="center"/>
              <w:rPr>
                <w:b/>
                <w:bCs/>
                <w:sz w:val="24"/>
                <w:szCs w:val="24"/>
                <w:lang w:val="da-DK"/>
              </w:rPr>
            </w:pPr>
            <w:r w:rsidRPr="000C2646">
              <w:rPr>
                <w:b/>
                <w:bCs/>
                <w:sz w:val="24"/>
                <w:szCs w:val="24"/>
                <w:lang w:val="da-DK"/>
              </w:rPr>
              <w:t>n = 108</w:t>
            </w:r>
          </w:p>
        </w:tc>
      </w:tr>
      <w:tr w:rsidR="00925ABE" w:rsidRPr="000C2646" w14:paraId="45D6C32C" w14:textId="77777777" w:rsidTr="009534FE">
        <w:tc>
          <w:tcPr>
            <w:tcW w:w="5000" w:type="pct"/>
            <w:gridSpan w:val="3"/>
            <w:tcBorders>
              <w:top w:val="single" w:sz="4" w:space="0" w:color="auto"/>
              <w:left w:val="single" w:sz="4" w:space="0" w:color="auto"/>
              <w:bottom w:val="single" w:sz="4" w:space="0" w:color="auto"/>
              <w:right w:val="single" w:sz="4" w:space="0" w:color="auto"/>
            </w:tcBorders>
            <w:hideMark/>
          </w:tcPr>
          <w:p w14:paraId="045ED9D0" w14:textId="77777777" w:rsidR="00925ABE" w:rsidRPr="000C2646" w:rsidRDefault="00925ABE" w:rsidP="004D4694">
            <w:pPr>
              <w:keepNext/>
              <w:suppressAutoHyphens/>
              <w:rPr>
                <w:b/>
                <w:bCs/>
                <w:sz w:val="24"/>
                <w:szCs w:val="24"/>
                <w:lang w:val="da-DK"/>
              </w:rPr>
            </w:pPr>
            <w:r w:rsidRPr="000C2646">
              <w:rPr>
                <w:b/>
                <w:bCs/>
                <w:sz w:val="24"/>
                <w:szCs w:val="24"/>
                <w:lang w:val="da-DK"/>
              </w:rPr>
              <w:t>Forhåndsplanlagt OS-analyse (foretaget på tidspunktet for den endelige PFS-analyse, 03. juni 2008)</w:t>
            </w:r>
          </w:p>
        </w:tc>
      </w:tr>
      <w:tr w:rsidR="00925ABE" w:rsidRPr="000C2646" w14:paraId="38374166"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5B0A5B2E" w14:textId="77777777" w:rsidR="00925ABE" w:rsidRPr="000C2646" w:rsidRDefault="00925ABE" w:rsidP="004D4694">
            <w:pPr>
              <w:keepNext/>
              <w:tabs>
                <w:tab w:val="left" w:pos="1710"/>
              </w:tabs>
              <w:suppressAutoHyphens/>
              <w:rPr>
                <w:b/>
                <w:bCs/>
                <w:sz w:val="24"/>
                <w:szCs w:val="24"/>
              </w:rPr>
            </w:pPr>
            <w:r w:rsidRPr="000C2646">
              <w:rPr>
                <w:b/>
                <w:bCs/>
                <w:sz w:val="24"/>
                <w:szCs w:val="24"/>
              </w:rPr>
              <w:t xml:space="preserve">Median </w:t>
            </w:r>
            <w:proofErr w:type="spellStart"/>
            <w:r w:rsidRPr="000C2646">
              <w:rPr>
                <w:b/>
                <w:bCs/>
                <w:sz w:val="24"/>
                <w:szCs w:val="24"/>
              </w:rPr>
              <w:t>opfølgning</w:t>
            </w:r>
            <w:proofErr w:type="spellEnd"/>
            <w:r w:rsidRPr="000C2646">
              <w:rPr>
                <w:b/>
                <w:bCs/>
                <w:sz w:val="24"/>
                <w:szCs w:val="24"/>
              </w:rPr>
              <w:t xml:space="preserve"> (</w:t>
            </w:r>
            <w:proofErr w:type="spellStart"/>
            <w:r w:rsidRPr="000C2646">
              <w:rPr>
                <w:b/>
                <w:bCs/>
                <w:sz w:val="24"/>
                <w:szCs w:val="24"/>
              </w:rPr>
              <w:t>år</w:t>
            </w:r>
            <w:proofErr w:type="spellEnd"/>
            <w:r w:rsidRPr="000C2646">
              <w:rPr>
                <w:b/>
                <w:bCs/>
                <w:sz w:val="24"/>
                <w:szCs w:val="24"/>
              </w:rPr>
              <w:t>)</w:t>
            </w:r>
          </w:p>
        </w:tc>
        <w:tc>
          <w:tcPr>
            <w:tcW w:w="1565" w:type="pct"/>
            <w:tcBorders>
              <w:top w:val="single" w:sz="4" w:space="0" w:color="auto"/>
              <w:left w:val="single" w:sz="4" w:space="0" w:color="auto"/>
              <w:bottom w:val="single" w:sz="4" w:space="0" w:color="auto"/>
              <w:right w:val="single" w:sz="4" w:space="0" w:color="auto"/>
            </w:tcBorders>
            <w:hideMark/>
          </w:tcPr>
          <w:p w14:paraId="3758D8A4" w14:textId="77777777" w:rsidR="00925ABE" w:rsidRPr="000C2646" w:rsidRDefault="00925ABE" w:rsidP="004D4694">
            <w:pPr>
              <w:keepNext/>
              <w:tabs>
                <w:tab w:val="left" w:pos="1710"/>
              </w:tabs>
              <w:suppressAutoHyphens/>
              <w:jc w:val="center"/>
              <w:rPr>
                <w:sz w:val="24"/>
                <w:szCs w:val="24"/>
              </w:rPr>
            </w:pPr>
            <w:r w:rsidRPr="000C2646">
              <w:rPr>
                <w:sz w:val="24"/>
                <w:szCs w:val="24"/>
              </w:rPr>
              <w:t>2,64</w:t>
            </w:r>
          </w:p>
        </w:tc>
        <w:tc>
          <w:tcPr>
            <w:tcW w:w="1559" w:type="pct"/>
            <w:tcBorders>
              <w:top w:val="single" w:sz="4" w:space="0" w:color="auto"/>
              <w:left w:val="single" w:sz="4" w:space="0" w:color="auto"/>
              <w:bottom w:val="single" w:sz="4" w:space="0" w:color="auto"/>
              <w:right w:val="single" w:sz="4" w:space="0" w:color="auto"/>
            </w:tcBorders>
            <w:hideMark/>
          </w:tcPr>
          <w:p w14:paraId="667BD8C1" w14:textId="77777777" w:rsidR="00925ABE" w:rsidRPr="000C2646" w:rsidRDefault="00925ABE" w:rsidP="004D4694">
            <w:pPr>
              <w:keepNext/>
              <w:tabs>
                <w:tab w:val="left" w:pos="1710"/>
              </w:tabs>
              <w:suppressAutoHyphens/>
              <w:jc w:val="center"/>
              <w:rPr>
                <w:sz w:val="24"/>
                <w:szCs w:val="24"/>
              </w:rPr>
            </w:pPr>
            <w:r w:rsidRPr="000C2646">
              <w:rPr>
                <w:sz w:val="24"/>
                <w:szCs w:val="24"/>
              </w:rPr>
              <w:t>2,64</w:t>
            </w:r>
          </w:p>
        </w:tc>
      </w:tr>
      <w:tr w:rsidR="00925ABE" w:rsidRPr="000C2646" w14:paraId="08C1C1E1"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3AD4C55D" w14:textId="77777777" w:rsidR="00925ABE" w:rsidRPr="000C2646" w:rsidRDefault="00925ABE" w:rsidP="004D4694">
            <w:pPr>
              <w:keepNext/>
              <w:tabs>
                <w:tab w:val="left" w:pos="1710"/>
              </w:tabs>
              <w:suppressAutoHyphens/>
              <w:rPr>
                <w:b/>
                <w:bCs/>
                <w:sz w:val="24"/>
                <w:szCs w:val="24"/>
              </w:rPr>
            </w:pPr>
            <w:proofErr w:type="spellStart"/>
            <w:r w:rsidRPr="000C2646">
              <w:rPr>
                <w:b/>
                <w:bCs/>
                <w:sz w:val="24"/>
                <w:szCs w:val="24"/>
              </w:rPr>
              <w:t>Døde</w:t>
            </w:r>
            <w:proofErr w:type="spellEnd"/>
            <w:r w:rsidRPr="000C2646">
              <w:rPr>
                <w:b/>
                <w:bCs/>
                <w:sz w:val="24"/>
                <w:szCs w:val="24"/>
              </w:rPr>
              <w:t xml:space="preserve"> (%)</w:t>
            </w:r>
          </w:p>
        </w:tc>
        <w:tc>
          <w:tcPr>
            <w:tcW w:w="1565" w:type="pct"/>
            <w:tcBorders>
              <w:top w:val="single" w:sz="4" w:space="0" w:color="auto"/>
              <w:left w:val="single" w:sz="4" w:space="0" w:color="auto"/>
              <w:bottom w:val="single" w:sz="4" w:space="0" w:color="auto"/>
              <w:right w:val="single" w:sz="4" w:space="0" w:color="auto"/>
            </w:tcBorders>
            <w:hideMark/>
          </w:tcPr>
          <w:p w14:paraId="0FA45C6D" w14:textId="77777777" w:rsidR="00925ABE" w:rsidRPr="000C2646" w:rsidRDefault="00925ABE" w:rsidP="004D4694">
            <w:pPr>
              <w:keepNext/>
              <w:tabs>
                <w:tab w:val="left" w:pos="1710"/>
              </w:tabs>
              <w:suppressAutoHyphens/>
              <w:jc w:val="center"/>
              <w:rPr>
                <w:sz w:val="24"/>
                <w:szCs w:val="24"/>
              </w:rPr>
            </w:pPr>
            <w:r w:rsidRPr="000C2646">
              <w:rPr>
                <w:sz w:val="24"/>
                <w:szCs w:val="24"/>
              </w:rPr>
              <w:t>50 (45)</w:t>
            </w:r>
          </w:p>
        </w:tc>
        <w:tc>
          <w:tcPr>
            <w:tcW w:w="1559" w:type="pct"/>
            <w:tcBorders>
              <w:top w:val="single" w:sz="4" w:space="0" w:color="auto"/>
              <w:left w:val="single" w:sz="4" w:space="0" w:color="auto"/>
              <w:bottom w:val="single" w:sz="4" w:space="0" w:color="auto"/>
              <w:right w:val="single" w:sz="4" w:space="0" w:color="auto"/>
            </w:tcBorders>
            <w:hideMark/>
          </w:tcPr>
          <w:p w14:paraId="2F7A7AB2" w14:textId="77777777" w:rsidR="00925ABE" w:rsidRPr="000C2646" w:rsidRDefault="00925ABE" w:rsidP="004D4694">
            <w:pPr>
              <w:keepNext/>
              <w:tabs>
                <w:tab w:val="left" w:pos="1710"/>
              </w:tabs>
              <w:suppressAutoHyphens/>
              <w:jc w:val="center"/>
              <w:rPr>
                <w:sz w:val="24"/>
                <w:szCs w:val="24"/>
              </w:rPr>
            </w:pPr>
            <w:r w:rsidRPr="000C2646">
              <w:rPr>
                <w:sz w:val="24"/>
                <w:szCs w:val="24"/>
              </w:rPr>
              <w:t>54 (50)</w:t>
            </w:r>
          </w:p>
        </w:tc>
      </w:tr>
      <w:tr w:rsidR="00925ABE" w:rsidRPr="000C2646" w14:paraId="0D67A0E3"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0C378598" w14:textId="77777777" w:rsidR="00925ABE" w:rsidRPr="000C2646" w:rsidRDefault="00925ABE" w:rsidP="004D4694">
            <w:pPr>
              <w:keepNext/>
              <w:tabs>
                <w:tab w:val="left" w:pos="1710"/>
              </w:tabs>
              <w:suppressAutoHyphens/>
              <w:rPr>
                <w:b/>
                <w:bCs/>
                <w:sz w:val="24"/>
                <w:szCs w:val="24"/>
                <w:lang w:val="en-US"/>
              </w:rPr>
            </w:pPr>
            <w:r w:rsidRPr="000C2646">
              <w:rPr>
                <w:b/>
                <w:bCs/>
                <w:i/>
                <w:iCs/>
                <w:sz w:val="24"/>
                <w:szCs w:val="24"/>
                <w:lang w:val="en-US"/>
              </w:rPr>
              <w:t xml:space="preserve">Hazard </w:t>
            </w:r>
            <w:proofErr w:type="spellStart"/>
            <w:r w:rsidRPr="000C2646">
              <w:rPr>
                <w:b/>
                <w:bCs/>
                <w:i/>
                <w:iCs/>
                <w:sz w:val="24"/>
                <w:szCs w:val="24"/>
                <w:lang w:val="en-US"/>
              </w:rPr>
              <w:t>ratio</w:t>
            </w:r>
            <w:r w:rsidRPr="000C2646">
              <w:rPr>
                <w:b/>
                <w:bCs/>
                <w:sz w:val="24"/>
                <w:szCs w:val="24"/>
                <w:vertAlign w:val="superscript"/>
                <w:lang w:val="en-US"/>
              </w:rPr>
              <w:t>a</w:t>
            </w:r>
            <w:proofErr w:type="spellEnd"/>
            <w:r w:rsidRPr="000C2646">
              <w:rPr>
                <w:b/>
                <w:bCs/>
                <w:sz w:val="24"/>
                <w:szCs w:val="24"/>
                <w:vertAlign w:val="superscript"/>
                <w:lang w:val="en-US"/>
              </w:rPr>
              <w:t xml:space="preserve"> </w:t>
            </w:r>
            <w:r w:rsidRPr="000C2646">
              <w:rPr>
                <w:b/>
                <w:bCs/>
                <w:sz w:val="24"/>
                <w:szCs w:val="24"/>
                <w:lang w:val="en-US"/>
              </w:rPr>
              <w:t>(95 % CI), p</w:t>
            </w:r>
            <w:r w:rsidRPr="000C2646">
              <w:rPr>
                <w:b/>
                <w:bCs/>
                <w:sz w:val="24"/>
                <w:szCs w:val="24"/>
                <w:lang w:val="en-US"/>
              </w:rPr>
              <w:noBreakHyphen/>
            </w:r>
            <w:proofErr w:type="spellStart"/>
            <w:r w:rsidRPr="000C2646">
              <w:rPr>
                <w:b/>
                <w:bCs/>
                <w:sz w:val="24"/>
                <w:szCs w:val="24"/>
                <w:lang w:val="en-US"/>
              </w:rPr>
              <w:t>værdi</w:t>
            </w:r>
            <w:r w:rsidRPr="000C2646">
              <w:rPr>
                <w:b/>
                <w:bCs/>
                <w:sz w:val="24"/>
                <w:szCs w:val="24"/>
                <w:vertAlign w:val="superscript"/>
                <w:lang w:val="en-US"/>
              </w:rPr>
              <w:t>b</w:t>
            </w:r>
            <w:proofErr w:type="spellEnd"/>
          </w:p>
        </w:tc>
        <w:tc>
          <w:tcPr>
            <w:tcW w:w="3124" w:type="pct"/>
            <w:gridSpan w:val="2"/>
            <w:tcBorders>
              <w:top w:val="single" w:sz="4" w:space="0" w:color="auto"/>
              <w:left w:val="single" w:sz="4" w:space="0" w:color="auto"/>
              <w:bottom w:val="single" w:sz="4" w:space="0" w:color="auto"/>
              <w:right w:val="single" w:sz="4" w:space="0" w:color="auto"/>
            </w:tcBorders>
            <w:hideMark/>
          </w:tcPr>
          <w:p w14:paraId="490CDC2E" w14:textId="77777777" w:rsidR="00925ABE" w:rsidRPr="000C2646" w:rsidRDefault="00925ABE" w:rsidP="004D4694">
            <w:pPr>
              <w:keepNext/>
              <w:tabs>
                <w:tab w:val="left" w:pos="1710"/>
              </w:tabs>
              <w:suppressAutoHyphens/>
              <w:jc w:val="center"/>
              <w:rPr>
                <w:sz w:val="24"/>
                <w:szCs w:val="24"/>
              </w:rPr>
            </w:pPr>
            <w:r w:rsidRPr="000C2646">
              <w:rPr>
                <w:sz w:val="24"/>
                <w:szCs w:val="24"/>
              </w:rPr>
              <w:t>0,77 (0,52; 1,14); 0,185</w:t>
            </w:r>
          </w:p>
        </w:tc>
      </w:tr>
      <w:tr w:rsidR="00925ABE" w:rsidRPr="000C2646" w14:paraId="53DB32AF" w14:textId="77777777" w:rsidTr="009534FE">
        <w:tc>
          <w:tcPr>
            <w:tcW w:w="5000" w:type="pct"/>
            <w:gridSpan w:val="3"/>
            <w:tcBorders>
              <w:top w:val="single" w:sz="4" w:space="0" w:color="auto"/>
              <w:left w:val="single" w:sz="4" w:space="0" w:color="auto"/>
              <w:bottom w:val="single" w:sz="4" w:space="0" w:color="auto"/>
              <w:right w:val="single" w:sz="4" w:space="0" w:color="auto"/>
            </w:tcBorders>
            <w:hideMark/>
          </w:tcPr>
          <w:p w14:paraId="5B93E594" w14:textId="77777777" w:rsidR="00925ABE" w:rsidRPr="000C2646" w:rsidRDefault="00925ABE" w:rsidP="004D4694">
            <w:pPr>
              <w:keepNext/>
              <w:suppressAutoHyphens/>
              <w:rPr>
                <w:b/>
                <w:bCs/>
                <w:sz w:val="24"/>
                <w:szCs w:val="24"/>
                <w:lang w:val="da-DK"/>
              </w:rPr>
            </w:pPr>
            <w:r w:rsidRPr="000C2646">
              <w:rPr>
                <w:b/>
                <w:bCs/>
                <w:sz w:val="24"/>
                <w:szCs w:val="24"/>
                <w:lang w:val="da-DK"/>
              </w:rPr>
              <w:t>Endelig OS-analyse (post-hoc-analyse, 07. august 2013)</w:t>
            </w:r>
          </w:p>
        </w:tc>
      </w:tr>
      <w:tr w:rsidR="00925ABE" w:rsidRPr="000C2646" w14:paraId="27516C18"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1B344E33" w14:textId="77777777" w:rsidR="00925ABE" w:rsidRPr="000C2646" w:rsidRDefault="00925ABE" w:rsidP="004D4694">
            <w:pPr>
              <w:keepNext/>
              <w:tabs>
                <w:tab w:val="left" w:pos="1710"/>
              </w:tabs>
              <w:suppressAutoHyphens/>
              <w:rPr>
                <w:b/>
                <w:bCs/>
                <w:sz w:val="24"/>
                <w:szCs w:val="24"/>
              </w:rPr>
            </w:pPr>
            <w:r w:rsidRPr="000C2646">
              <w:rPr>
                <w:b/>
                <w:bCs/>
                <w:sz w:val="24"/>
                <w:szCs w:val="24"/>
              </w:rPr>
              <w:t xml:space="preserve">Median </w:t>
            </w:r>
            <w:proofErr w:type="spellStart"/>
            <w:r w:rsidRPr="000C2646">
              <w:rPr>
                <w:b/>
                <w:bCs/>
                <w:sz w:val="24"/>
                <w:szCs w:val="24"/>
              </w:rPr>
              <w:t>opfølgning</w:t>
            </w:r>
            <w:proofErr w:type="spellEnd"/>
            <w:r w:rsidRPr="000C2646">
              <w:rPr>
                <w:b/>
                <w:bCs/>
                <w:sz w:val="24"/>
                <w:szCs w:val="24"/>
              </w:rPr>
              <w:t xml:space="preserve"> (</w:t>
            </w:r>
            <w:proofErr w:type="spellStart"/>
            <w:r w:rsidRPr="000C2646">
              <w:rPr>
                <w:b/>
                <w:bCs/>
                <w:sz w:val="24"/>
                <w:szCs w:val="24"/>
              </w:rPr>
              <w:t>år</w:t>
            </w:r>
            <w:proofErr w:type="spellEnd"/>
            <w:r w:rsidRPr="000C2646">
              <w:rPr>
                <w:b/>
                <w:bCs/>
                <w:sz w:val="24"/>
                <w:szCs w:val="24"/>
              </w:rPr>
              <w:t>)</w:t>
            </w:r>
          </w:p>
        </w:tc>
        <w:tc>
          <w:tcPr>
            <w:tcW w:w="1565" w:type="pct"/>
            <w:tcBorders>
              <w:top w:val="single" w:sz="4" w:space="0" w:color="auto"/>
              <w:left w:val="single" w:sz="4" w:space="0" w:color="auto"/>
              <w:bottom w:val="single" w:sz="4" w:space="0" w:color="auto"/>
              <w:right w:val="single" w:sz="4" w:space="0" w:color="auto"/>
            </w:tcBorders>
            <w:hideMark/>
          </w:tcPr>
          <w:p w14:paraId="40A8C036" w14:textId="77777777" w:rsidR="00925ABE" w:rsidRPr="000C2646" w:rsidRDefault="00925ABE" w:rsidP="004D4694">
            <w:pPr>
              <w:keepNext/>
              <w:tabs>
                <w:tab w:val="left" w:pos="1710"/>
              </w:tabs>
              <w:suppressAutoHyphens/>
              <w:jc w:val="center"/>
              <w:rPr>
                <w:sz w:val="24"/>
                <w:szCs w:val="24"/>
              </w:rPr>
            </w:pPr>
            <w:r w:rsidRPr="000C2646">
              <w:rPr>
                <w:sz w:val="24"/>
                <w:szCs w:val="24"/>
              </w:rPr>
              <w:t>7,78</w:t>
            </w:r>
          </w:p>
        </w:tc>
        <w:tc>
          <w:tcPr>
            <w:tcW w:w="1559" w:type="pct"/>
            <w:tcBorders>
              <w:top w:val="single" w:sz="4" w:space="0" w:color="auto"/>
              <w:left w:val="single" w:sz="4" w:space="0" w:color="auto"/>
              <w:bottom w:val="single" w:sz="4" w:space="0" w:color="auto"/>
              <w:right w:val="single" w:sz="4" w:space="0" w:color="auto"/>
            </w:tcBorders>
            <w:hideMark/>
          </w:tcPr>
          <w:p w14:paraId="24E2AE9C" w14:textId="77777777" w:rsidR="00925ABE" w:rsidRPr="000C2646" w:rsidRDefault="00925ABE" w:rsidP="004D4694">
            <w:pPr>
              <w:keepNext/>
              <w:tabs>
                <w:tab w:val="left" w:pos="1710"/>
              </w:tabs>
              <w:suppressAutoHyphens/>
              <w:jc w:val="center"/>
              <w:rPr>
                <w:sz w:val="24"/>
                <w:szCs w:val="24"/>
              </w:rPr>
            </w:pPr>
            <w:r w:rsidRPr="000C2646">
              <w:rPr>
                <w:sz w:val="24"/>
                <w:szCs w:val="24"/>
              </w:rPr>
              <w:t>7,55</w:t>
            </w:r>
          </w:p>
        </w:tc>
      </w:tr>
      <w:tr w:rsidR="00925ABE" w:rsidRPr="000C2646" w14:paraId="10E9FBB2"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79AC8AE4" w14:textId="77777777" w:rsidR="00925ABE" w:rsidRPr="000C2646" w:rsidRDefault="00925ABE" w:rsidP="004D4694">
            <w:pPr>
              <w:keepNext/>
              <w:tabs>
                <w:tab w:val="left" w:pos="1710"/>
              </w:tabs>
              <w:suppressAutoHyphens/>
              <w:rPr>
                <w:b/>
                <w:bCs/>
                <w:sz w:val="24"/>
                <w:szCs w:val="24"/>
              </w:rPr>
            </w:pPr>
            <w:proofErr w:type="spellStart"/>
            <w:r w:rsidRPr="000C2646">
              <w:rPr>
                <w:b/>
                <w:bCs/>
                <w:sz w:val="24"/>
                <w:szCs w:val="24"/>
              </w:rPr>
              <w:t>Døde</w:t>
            </w:r>
            <w:proofErr w:type="spellEnd"/>
            <w:r w:rsidRPr="000C2646">
              <w:rPr>
                <w:b/>
                <w:bCs/>
                <w:sz w:val="24"/>
                <w:szCs w:val="24"/>
              </w:rPr>
              <w:t xml:space="preserve"> (%)</w:t>
            </w:r>
          </w:p>
        </w:tc>
        <w:tc>
          <w:tcPr>
            <w:tcW w:w="1565" w:type="pct"/>
            <w:tcBorders>
              <w:top w:val="single" w:sz="4" w:space="0" w:color="auto"/>
              <w:left w:val="single" w:sz="4" w:space="0" w:color="auto"/>
              <w:bottom w:val="single" w:sz="4" w:space="0" w:color="auto"/>
              <w:right w:val="single" w:sz="4" w:space="0" w:color="auto"/>
            </w:tcBorders>
            <w:hideMark/>
          </w:tcPr>
          <w:p w14:paraId="6B59332E" w14:textId="77777777" w:rsidR="00925ABE" w:rsidRPr="000C2646" w:rsidRDefault="00925ABE" w:rsidP="004D4694">
            <w:pPr>
              <w:keepNext/>
              <w:tabs>
                <w:tab w:val="left" w:pos="1710"/>
              </w:tabs>
              <w:suppressAutoHyphens/>
              <w:jc w:val="center"/>
              <w:rPr>
                <w:sz w:val="24"/>
                <w:szCs w:val="24"/>
              </w:rPr>
            </w:pPr>
            <w:r w:rsidRPr="000C2646">
              <w:rPr>
                <w:sz w:val="24"/>
                <w:szCs w:val="24"/>
              </w:rPr>
              <w:t>86 (77)</w:t>
            </w:r>
          </w:p>
        </w:tc>
        <w:tc>
          <w:tcPr>
            <w:tcW w:w="1559" w:type="pct"/>
            <w:tcBorders>
              <w:top w:val="single" w:sz="4" w:space="0" w:color="auto"/>
              <w:left w:val="single" w:sz="4" w:space="0" w:color="auto"/>
              <w:bottom w:val="single" w:sz="4" w:space="0" w:color="auto"/>
              <w:right w:val="single" w:sz="4" w:space="0" w:color="auto"/>
            </w:tcBorders>
            <w:hideMark/>
          </w:tcPr>
          <w:p w14:paraId="580D4A58" w14:textId="77777777" w:rsidR="00925ABE" w:rsidRPr="000C2646" w:rsidRDefault="00925ABE" w:rsidP="004D4694">
            <w:pPr>
              <w:keepNext/>
              <w:tabs>
                <w:tab w:val="left" w:pos="1710"/>
              </w:tabs>
              <w:suppressAutoHyphens/>
              <w:jc w:val="center"/>
              <w:rPr>
                <w:sz w:val="24"/>
                <w:szCs w:val="24"/>
              </w:rPr>
            </w:pPr>
            <w:r w:rsidRPr="000C2646">
              <w:rPr>
                <w:sz w:val="24"/>
                <w:szCs w:val="24"/>
              </w:rPr>
              <w:t>78 (72)</w:t>
            </w:r>
          </w:p>
        </w:tc>
      </w:tr>
      <w:tr w:rsidR="00925ABE" w:rsidRPr="000C2646" w14:paraId="35C7F9B5" w14:textId="77777777" w:rsidTr="009534FE">
        <w:tc>
          <w:tcPr>
            <w:tcW w:w="1876" w:type="pct"/>
            <w:tcBorders>
              <w:top w:val="single" w:sz="4" w:space="0" w:color="auto"/>
              <w:left w:val="single" w:sz="4" w:space="0" w:color="auto"/>
              <w:bottom w:val="single" w:sz="4" w:space="0" w:color="auto"/>
              <w:right w:val="single" w:sz="4" w:space="0" w:color="auto"/>
            </w:tcBorders>
            <w:hideMark/>
          </w:tcPr>
          <w:p w14:paraId="7B699A73" w14:textId="77777777" w:rsidR="00925ABE" w:rsidRPr="000C2646" w:rsidRDefault="00925ABE" w:rsidP="004D4694">
            <w:pPr>
              <w:keepNext/>
              <w:tabs>
                <w:tab w:val="left" w:pos="1710"/>
              </w:tabs>
              <w:suppressAutoHyphens/>
              <w:rPr>
                <w:b/>
                <w:bCs/>
                <w:sz w:val="24"/>
                <w:szCs w:val="24"/>
              </w:rPr>
            </w:pPr>
            <w:r w:rsidRPr="000C2646">
              <w:rPr>
                <w:b/>
                <w:bCs/>
                <w:i/>
                <w:iCs/>
                <w:sz w:val="24"/>
                <w:szCs w:val="24"/>
              </w:rPr>
              <w:t>Hazard ratio</w:t>
            </w:r>
            <w:r w:rsidRPr="000C2646">
              <w:rPr>
                <w:b/>
                <w:bCs/>
                <w:sz w:val="24"/>
                <w:szCs w:val="24"/>
              </w:rPr>
              <w:t xml:space="preserve"> (95 % CI), p-</w:t>
            </w:r>
            <w:proofErr w:type="spellStart"/>
            <w:r w:rsidRPr="000C2646">
              <w:rPr>
                <w:b/>
                <w:bCs/>
                <w:sz w:val="24"/>
                <w:szCs w:val="24"/>
              </w:rPr>
              <w:t>værdi</w:t>
            </w:r>
            <w:proofErr w:type="spellEnd"/>
          </w:p>
        </w:tc>
        <w:tc>
          <w:tcPr>
            <w:tcW w:w="3124" w:type="pct"/>
            <w:gridSpan w:val="2"/>
            <w:tcBorders>
              <w:top w:val="single" w:sz="4" w:space="0" w:color="auto"/>
              <w:left w:val="single" w:sz="4" w:space="0" w:color="auto"/>
              <w:bottom w:val="single" w:sz="4" w:space="0" w:color="auto"/>
              <w:right w:val="single" w:sz="4" w:space="0" w:color="auto"/>
            </w:tcBorders>
            <w:hideMark/>
          </w:tcPr>
          <w:p w14:paraId="1D573639" w14:textId="77777777" w:rsidR="00925ABE" w:rsidRPr="000C2646" w:rsidRDefault="00925ABE" w:rsidP="004D4694">
            <w:pPr>
              <w:keepNext/>
              <w:tabs>
                <w:tab w:val="left" w:pos="1710"/>
              </w:tabs>
              <w:suppressAutoHyphens/>
              <w:jc w:val="center"/>
              <w:rPr>
                <w:sz w:val="24"/>
                <w:szCs w:val="24"/>
              </w:rPr>
            </w:pPr>
            <w:r w:rsidRPr="000C2646">
              <w:rPr>
                <w:sz w:val="24"/>
                <w:szCs w:val="24"/>
              </w:rPr>
              <w:t>0,97 (0,07; 1,33); 0,848</w:t>
            </w:r>
          </w:p>
        </w:tc>
      </w:tr>
      <w:tr w:rsidR="00925ABE" w:rsidRPr="000C2646" w14:paraId="2B017174" w14:textId="77777777" w:rsidTr="009534FE">
        <w:tc>
          <w:tcPr>
            <w:tcW w:w="5000" w:type="pct"/>
            <w:gridSpan w:val="3"/>
            <w:tcBorders>
              <w:top w:val="single" w:sz="4" w:space="0" w:color="auto"/>
              <w:left w:val="single" w:sz="4" w:space="0" w:color="auto"/>
              <w:bottom w:val="single" w:sz="4" w:space="0" w:color="auto"/>
              <w:right w:val="single" w:sz="4" w:space="0" w:color="auto"/>
            </w:tcBorders>
            <w:hideMark/>
          </w:tcPr>
          <w:p w14:paraId="53C355CA" w14:textId="77777777" w:rsidR="00925ABE" w:rsidRPr="000C2646" w:rsidRDefault="00925ABE" w:rsidP="004D4694">
            <w:pPr>
              <w:keepNext/>
              <w:tabs>
                <w:tab w:val="left" w:pos="1710"/>
              </w:tabs>
              <w:suppressAutoHyphens/>
              <w:rPr>
                <w:sz w:val="24"/>
                <w:szCs w:val="24"/>
                <w:lang w:val="da-DK"/>
              </w:rPr>
            </w:pPr>
            <w:r w:rsidRPr="000C2646">
              <w:rPr>
                <w:sz w:val="24"/>
                <w:szCs w:val="24"/>
                <w:lang w:val="da-DK"/>
              </w:rPr>
              <w:t>Medianværdier fra Kaplan-Meier-analyser; HR (</w:t>
            </w:r>
            <w:proofErr w:type="spellStart"/>
            <w:r w:rsidRPr="000C2646">
              <w:rPr>
                <w:i/>
                <w:iCs/>
                <w:sz w:val="24"/>
                <w:szCs w:val="24"/>
                <w:lang w:val="da-DK"/>
              </w:rPr>
              <w:t>hazard</w:t>
            </w:r>
            <w:proofErr w:type="spellEnd"/>
            <w:r w:rsidRPr="000C2646">
              <w:rPr>
                <w:i/>
                <w:iCs/>
                <w:sz w:val="24"/>
                <w:szCs w:val="24"/>
                <w:lang w:val="da-DK"/>
              </w:rPr>
              <w:t xml:space="preserve"> ratio</w:t>
            </w:r>
            <w:r w:rsidRPr="000C2646">
              <w:rPr>
                <w:sz w:val="24"/>
                <w:szCs w:val="24"/>
                <w:lang w:val="da-DK"/>
              </w:rPr>
              <w:t xml:space="preserve">) og </w:t>
            </w:r>
            <w:proofErr w:type="spellStart"/>
            <w:r w:rsidRPr="000C2646">
              <w:rPr>
                <w:sz w:val="24"/>
                <w:szCs w:val="24"/>
                <w:lang w:val="da-DK"/>
              </w:rPr>
              <w:t>p-værdier</w:t>
            </w:r>
            <w:proofErr w:type="spellEnd"/>
            <w:r w:rsidRPr="000C2646">
              <w:rPr>
                <w:sz w:val="24"/>
                <w:szCs w:val="24"/>
                <w:lang w:val="da-DK"/>
              </w:rPr>
              <w:t xml:space="preserve"> fra Cox-regressionsmodeller, korrigeret for vigtige prognostiske faktorer.</w:t>
            </w:r>
          </w:p>
          <w:p w14:paraId="07BF19B4" w14:textId="77777777" w:rsidR="00925ABE" w:rsidRPr="000C2646" w:rsidRDefault="00925ABE" w:rsidP="004D4694">
            <w:pPr>
              <w:keepNext/>
              <w:tabs>
                <w:tab w:val="left" w:pos="1710"/>
              </w:tabs>
              <w:suppressAutoHyphens/>
              <w:rPr>
                <w:sz w:val="24"/>
                <w:szCs w:val="24"/>
                <w:lang w:val="da-DK"/>
              </w:rPr>
            </w:pPr>
            <w:r w:rsidRPr="000C2646">
              <w:rPr>
                <w:sz w:val="24"/>
                <w:szCs w:val="24"/>
                <w:lang w:val="da-DK"/>
              </w:rPr>
              <w:t>a. Estimat af behandlings-</w:t>
            </w:r>
            <w:proofErr w:type="spellStart"/>
            <w:r w:rsidRPr="000C2646">
              <w:rPr>
                <w:i/>
                <w:iCs/>
                <w:sz w:val="24"/>
                <w:szCs w:val="24"/>
                <w:lang w:val="da-DK"/>
              </w:rPr>
              <w:t>hazard</w:t>
            </w:r>
            <w:proofErr w:type="spellEnd"/>
            <w:r w:rsidRPr="000C2646">
              <w:rPr>
                <w:i/>
                <w:iCs/>
                <w:sz w:val="24"/>
                <w:szCs w:val="24"/>
                <w:lang w:val="da-DK"/>
              </w:rPr>
              <w:t>-ratio</w:t>
            </w:r>
            <w:r w:rsidRPr="000C2646">
              <w:rPr>
                <w:sz w:val="24"/>
                <w:szCs w:val="24"/>
                <w:lang w:val="da-DK"/>
              </w:rPr>
              <w:t xml:space="preserve">, hvor &lt; 1 indikerer en lavere risiko med </w:t>
            </w:r>
            <w:proofErr w:type="spellStart"/>
            <w:r w:rsidRPr="000C2646">
              <w:rPr>
                <w:sz w:val="24"/>
                <w:szCs w:val="24"/>
                <w:lang w:val="da-DK"/>
              </w:rPr>
              <w:t>letrozol</w:t>
            </w:r>
            <w:proofErr w:type="spellEnd"/>
            <w:r w:rsidRPr="000C2646">
              <w:rPr>
                <w:sz w:val="24"/>
                <w:szCs w:val="24"/>
                <w:lang w:val="da-DK"/>
              </w:rPr>
              <w:t xml:space="preserve"> 2,5 mg + </w:t>
            </w:r>
            <w:proofErr w:type="spellStart"/>
            <w:r w:rsidRPr="000C2646">
              <w:rPr>
                <w:sz w:val="24"/>
                <w:szCs w:val="24"/>
                <w:lang w:val="da-DK"/>
              </w:rPr>
              <w:t>lapatinib</w:t>
            </w:r>
            <w:proofErr w:type="spellEnd"/>
            <w:r w:rsidRPr="000C2646">
              <w:rPr>
                <w:sz w:val="24"/>
                <w:szCs w:val="24"/>
                <w:lang w:val="da-DK"/>
              </w:rPr>
              <w:t xml:space="preserve"> 1500 mg sammenlignet med </w:t>
            </w:r>
            <w:proofErr w:type="spellStart"/>
            <w:r w:rsidRPr="000C2646">
              <w:rPr>
                <w:sz w:val="24"/>
                <w:szCs w:val="24"/>
                <w:lang w:val="da-DK"/>
              </w:rPr>
              <w:t>letrozol</w:t>
            </w:r>
            <w:proofErr w:type="spellEnd"/>
            <w:r w:rsidRPr="000C2646">
              <w:rPr>
                <w:sz w:val="24"/>
                <w:szCs w:val="24"/>
                <w:lang w:val="da-DK"/>
              </w:rPr>
              <w:t xml:space="preserve"> 2,5 mg + placebo.</w:t>
            </w:r>
          </w:p>
          <w:p w14:paraId="4949B068" w14:textId="77777777" w:rsidR="00925ABE" w:rsidRPr="000C2646" w:rsidRDefault="00925ABE" w:rsidP="004D4694">
            <w:pPr>
              <w:keepNext/>
              <w:tabs>
                <w:tab w:val="left" w:pos="1710"/>
              </w:tabs>
              <w:suppressAutoHyphens/>
              <w:rPr>
                <w:sz w:val="24"/>
                <w:szCs w:val="24"/>
                <w:lang w:val="da-DK"/>
              </w:rPr>
            </w:pPr>
            <w:r w:rsidRPr="000C2646">
              <w:rPr>
                <w:sz w:val="24"/>
                <w:szCs w:val="24"/>
                <w:lang w:val="da-DK"/>
              </w:rPr>
              <w:t xml:space="preserve">b. </w:t>
            </w:r>
            <w:proofErr w:type="spellStart"/>
            <w:r w:rsidRPr="000C2646">
              <w:rPr>
                <w:sz w:val="24"/>
                <w:szCs w:val="24"/>
                <w:lang w:val="da-DK"/>
              </w:rPr>
              <w:t>P-værdi</w:t>
            </w:r>
            <w:proofErr w:type="spellEnd"/>
            <w:r w:rsidRPr="000C2646">
              <w:rPr>
                <w:sz w:val="24"/>
                <w:szCs w:val="24"/>
                <w:lang w:val="da-DK"/>
              </w:rPr>
              <w:t xml:space="preserve"> fra Cox-regressionsmodellen, stratificeret efter, hvor sygdommen har siddet og tidligere </w:t>
            </w:r>
            <w:proofErr w:type="spellStart"/>
            <w:r w:rsidRPr="000C2646">
              <w:rPr>
                <w:sz w:val="24"/>
                <w:szCs w:val="24"/>
                <w:lang w:val="da-DK"/>
              </w:rPr>
              <w:t>adjuverende</w:t>
            </w:r>
            <w:proofErr w:type="spellEnd"/>
            <w:r w:rsidRPr="000C2646">
              <w:rPr>
                <w:sz w:val="24"/>
                <w:szCs w:val="24"/>
                <w:lang w:val="da-DK"/>
              </w:rPr>
              <w:t xml:space="preserve"> behandling ved screeningen. </w:t>
            </w:r>
          </w:p>
        </w:tc>
      </w:tr>
    </w:tbl>
    <w:p w14:paraId="716A49A7" w14:textId="77777777" w:rsidR="00925ABE" w:rsidRPr="004D4694" w:rsidRDefault="00925ABE" w:rsidP="004D4694">
      <w:pPr>
        <w:rPr>
          <w:sz w:val="24"/>
          <w:szCs w:val="24"/>
        </w:rPr>
      </w:pPr>
    </w:p>
    <w:p w14:paraId="159875B2" w14:textId="77777777" w:rsidR="00925ABE" w:rsidRPr="004D4694" w:rsidRDefault="00925ABE" w:rsidP="004D4694">
      <w:pPr>
        <w:ind w:left="851"/>
        <w:rPr>
          <w:i/>
          <w:sz w:val="24"/>
          <w:szCs w:val="24"/>
          <w:u w:val="single"/>
        </w:rPr>
      </w:pPr>
      <w:proofErr w:type="spellStart"/>
      <w:r w:rsidRPr="004D4694">
        <w:rPr>
          <w:i/>
          <w:sz w:val="24"/>
          <w:szCs w:val="24"/>
          <w:u w:val="single"/>
        </w:rPr>
        <w:t>Kardiel</w:t>
      </w:r>
      <w:proofErr w:type="spellEnd"/>
      <w:r w:rsidRPr="004D4694">
        <w:rPr>
          <w:i/>
          <w:sz w:val="24"/>
          <w:szCs w:val="24"/>
          <w:u w:val="single"/>
        </w:rPr>
        <w:t xml:space="preserve"> elektrofysiologi</w:t>
      </w:r>
    </w:p>
    <w:p w14:paraId="14E7E20B" w14:textId="77777777" w:rsidR="00925ABE" w:rsidRPr="004D4694" w:rsidRDefault="00925ABE" w:rsidP="004D4694">
      <w:pPr>
        <w:ind w:left="851"/>
        <w:rPr>
          <w:sz w:val="24"/>
          <w:szCs w:val="24"/>
        </w:rPr>
      </w:pPr>
    </w:p>
    <w:p w14:paraId="1ED77233" w14:textId="77777777" w:rsidR="00925ABE" w:rsidRPr="000C2646" w:rsidRDefault="00925ABE" w:rsidP="009534FE">
      <w:pPr>
        <w:suppressAutoHyphens/>
        <w:ind w:left="851"/>
        <w:rPr>
          <w:sz w:val="24"/>
          <w:szCs w:val="24"/>
        </w:rPr>
      </w:pPr>
      <w:proofErr w:type="spellStart"/>
      <w:r w:rsidRPr="000C2646">
        <w:rPr>
          <w:sz w:val="24"/>
          <w:szCs w:val="24"/>
        </w:rPr>
        <w:t>Lapatinibs</w:t>
      </w:r>
      <w:proofErr w:type="spellEnd"/>
      <w:r w:rsidRPr="000C2646">
        <w:rPr>
          <w:sz w:val="24"/>
          <w:szCs w:val="24"/>
        </w:rPr>
        <w:t xml:space="preserve"> virkning på QT-intervallet blev evalueret i et enkeltblindet, placebokontrolleret, enkeltsekvens (placebo og aktiv behandling) crossover-studie hos patienter med fremskredne, solide tumorer (EGF114271) (n = 58). I løbet af den 4-dages behandlingsperiode blev der administreret tre doser af matchende placebo med 12 timers mellemrum; om morgenen og aftenen på dag 1 og om morgenen på dag 2. Dette blev efterfulgt af en tilsvarende administration af tre doser </w:t>
      </w:r>
      <w:proofErr w:type="spellStart"/>
      <w:r w:rsidRPr="000C2646">
        <w:rPr>
          <w:sz w:val="24"/>
          <w:szCs w:val="24"/>
        </w:rPr>
        <w:t>lapatinib</w:t>
      </w:r>
      <w:proofErr w:type="spellEnd"/>
      <w:r w:rsidRPr="000C2646">
        <w:rPr>
          <w:sz w:val="24"/>
          <w:szCs w:val="24"/>
        </w:rPr>
        <w:t xml:space="preserve"> på 2000 mg. Der blev foretaget målinger herunder elektrokardiogrammer (</w:t>
      </w:r>
      <w:proofErr w:type="spellStart"/>
      <w:r w:rsidRPr="000C2646">
        <w:rPr>
          <w:sz w:val="24"/>
          <w:szCs w:val="24"/>
        </w:rPr>
        <w:t>EKG’er</w:t>
      </w:r>
      <w:proofErr w:type="spellEnd"/>
      <w:r w:rsidRPr="000C2646">
        <w:rPr>
          <w:sz w:val="24"/>
          <w:szCs w:val="24"/>
        </w:rPr>
        <w:t xml:space="preserve">) og </w:t>
      </w:r>
      <w:proofErr w:type="spellStart"/>
      <w:r w:rsidRPr="000C2646">
        <w:rPr>
          <w:sz w:val="24"/>
          <w:szCs w:val="24"/>
        </w:rPr>
        <w:t>farmakokinetiske</w:t>
      </w:r>
      <w:proofErr w:type="spellEnd"/>
      <w:r w:rsidRPr="000C2646">
        <w:rPr>
          <w:sz w:val="24"/>
          <w:szCs w:val="24"/>
        </w:rPr>
        <w:t xml:space="preserve"> prøver ved </w:t>
      </w:r>
      <w:r w:rsidRPr="000C2646">
        <w:rPr>
          <w:i/>
          <w:iCs/>
          <w:sz w:val="24"/>
          <w:szCs w:val="24"/>
        </w:rPr>
        <w:t>baseline</w:t>
      </w:r>
      <w:r w:rsidRPr="000C2646">
        <w:rPr>
          <w:sz w:val="24"/>
          <w:szCs w:val="24"/>
        </w:rPr>
        <w:t xml:space="preserve"> samt på de samme tidspunkter på dag 2 og dag 4.</w:t>
      </w:r>
    </w:p>
    <w:p w14:paraId="4A44DCD4" w14:textId="77777777" w:rsidR="00925ABE" w:rsidRPr="000C2646" w:rsidRDefault="00925ABE" w:rsidP="009534FE">
      <w:pPr>
        <w:suppressAutoHyphens/>
        <w:ind w:left="851"/>
        <w:rPr>
          <w:sz w:val="24"/>
          <w:szCs w:val="24"/>
        </w:rPr>
      </w:pPr>
    </w:p>
    <w:p w14:paraId="4ED883BC" w14:textId="77777777" w:rsidR="00925ABE" w:rsidRPr="000C2646" w:rsidRDefault="00925ABE" w:rsidP="009534FE">
      <w:pPr>
        <w:suppressAutoHyphens/>
        <w:ind w:left="851"/>
        <w:rPr>
          <w:sz w:val="24"/>
          <w:szCs w:val="24"/>
        </w:rPr>
      </w:pPr>
      <w:r w:rsidRPr="000C2646">
        <w:rPr>
          <w:sz w:val="24"/>
          <w:szCs w:val="24"/>
        </w:rPr>
        <w:lastRenderedPageBreak/>
        <w:t xml:space="preserve">I den </w:t>
      </w:r>
      <w:proofErr w:type="spellStart"/>
      <w:r w:rsidRPr="000C2646">
        <w:rPr>
          <w:sz w:val="24"/>
          <w:szCs w:val="24"/>
        </w:rPr>
        <w:t>evaluerbare</w:t>
      </w:r>
      <w:proofErr w:type="spellEnd"/>
      <w:r w:rsidRPr="000C2646">
        <w:rPr>
          <w:sz w:val="24"/>
          <w:szCs w:val="24"/>
        </w:rPr>
        <w:t xml:space="preserve"> population (n = 37) blev det maksimale gennemsnit </w:t>
      </w:r>
      <w:proofErr w:type="spellStart"/>
      <w:r w:rsidRPr="000C2646">
        <w:rPr>
          <w:sz w:val="24"/>
          <w:szCs w:val="24"/>
        </w:rPr>
        <w:t>ΔΔQTcF</w:t>
      </w:r>
      <w:proofErr w:type="spellEnd"/>
      <w:r w:rsidRPr="000C2646">
        <w:rPr>
          <w:sz w:val="24"/>
          <w:szCs w:val="24"/>
        </w:rPr>
        <w:t xml:space="preserve"> (90 % CI) på 8,75 ms (4,08; 13,42) observeret 10 timer efter indtagelse af den tredje dosis </w:t>
      </w:r>
      <w:proofErr w:type="spellStart"/>
      <w:r w:rsidRPr="000C2646">
        <w:rPr>
          <w:sz w:val="24"/>
          <w:szCs w:val="24"/>
        </w:rPr>
        <w:t>lapatinib</w:t>
      </w:r>
      <w:proofErr w:type="spellEnd"/>
      <w:r w:rsidRPr="000C2646">
        <w:rPr>
          <w:sz w:val="24"/>
          <w:szCs w:val="24"/>
        </w:rPr>
        <w:t xml:space="preserve"> på 2000 mg. </w:t>
      </w:r>
      <w:proofErr w:type="spellStart"/>
      <w:r w:rsidRPr="000C2646">
        <w:rPr>
          <w:sz w:val="24"/>
          <w:szCs w:val="24"/>
        </w:rPr>
        <w:t>ΔΔQTcF</w:t>
      </w:r>
      <w:proofErr w:type="spellEnd"/>
      <w:r w:rsidRPr="000C2646">
        <w:rPr>
          <w:sz w:val="24"/>
          <w:szCs w:val="24"/>
        </w:rPr>
        <w:t xml:space="preserve"> oversteg tærsklen på 5 ms og de øvre 90 % CI-grænser oversteg tærsklen på 10 ms på adskillige tidspunkter. Resultaterne for den </w:t>
      </w:r>
      <w:proofErr w:type="spellStart"/>
      <w:r w:rsidRPr="000C2646">
        <w:rPr>
          <w:sz w:val="24"/>
          <w:szCs w:val="24"/>
        </w:rPr>
        <w:t>farmakodynamiske</w:t>
      </w:r>
      <w:proofErr w:type="spellEnd"/>
      <w:r w:rsidRPr="000C2646">
        <w:rPr>
          <w:sz w:val="24"/>
          <w:szCs w:val="24"/>
        </w:rPr>
        <w:t xml:space="preserve"> population (n = 52) var konsistente med resultaterne fra den </w:t>
      </w:r>
      <w:proofErr w:type="spellStart"/>
      <w:r w:rsidRPr="000C2646">
        <w:rPr>
          <w:sz w:val="24"/>
          <w:szCs w:val="24"/>
        </w:rPr>
        <w:t>evaluerbare</w:t>
      </w:r>
      <w:proofErr w:type="spellEnd"/>
      <w:r w:rsidRPr="000C2646">
        <w:rPr>
          <w:sz w:val="24"/>
          <w:szCs w:val="24"/>
        </w:rPr>
        <w:t xml:space="preserve"> population (maksimal </w:t>
      </w:r>
      <w:proofErr w:type="spellStart"/>
      <w:r w:rsidRPr="000C2646">
        <w:rPr>
          <w:sz w:val="24"/>
          <w:szCs w:val="24"/>
        </w:rPr>
        <w:t>ΔΔQTcF</w:t>
      </w:r>
      <w:proofErr w:type="spellEnd"/>
      <w:r w:rsidRPr="000C2646">
        <w:rPr>
          <w:sz w:val="24"/>
          <w:szCs w:val="24"/>
        </w:rPr>
        <w:t xml:space="preserve"> (90 % CI) på 7,91 ms (4,13; 11,68), observeret 10 timer efter indtagelse af den tredje dosis </w:t>
      </w:r>
      <w:proofErr w:type="spellStart"/>
      <w:r w:rsidRPr="000C2646">
        <w:rPr>
          <w:sz w:val="24"/>
          <w:szCs w:val="24"/>
        </w:rPr>
        <w:t>lapatinib</w:t>
      </w:r>
      <w:proofErr w:type="spellEnd"/>
      <w:r w:rsidRPr="000C2646">
        <w:rPr>
          <w:sz w:val="24"/>
          <w:szCs w:val="24"/>
        </w:rPr>
        <w:t xml:space="preserve"> på 2000 mg).</w:t>
      </w:r>
    </w:p>
    <w:p w14:paraId="6342B184" w14:textId="77777777" w:rsidR="00925ABE" w:rsidRPr="000C2646" w:rsidRDefault="00925ABE" w:rsidP="009534FE">
      <w:pPr>
        <w:suppressAutoHyphens/>
        <w:ind w:left="851"/>
        <w:rPr>
          <w:sz w:val="24"/>
          <w:szCs w:val="24"/>
        </w:rPr>
      </w:pPr>
    </w:p>
    <w:p w14:paraId="10A0F637" w14:textId="77777777" w:rsidR="00925ABE" w:rsidRPr="000C2646" w:rsidRDefault="00925ABE" w:rsidP="009534FE">
      <w:pPr>
        <w:suppressAutoHyphens/>
        <w:ind w:left="851"/>
        <w:rPr>
          <w:sz w:val="24"/>
          <w:szCs w:val="24"/>
        </w:rPr>
      </w:pPr>
      <w:r w:rsidRPr="000C2646">
        <w:rPr>
          <w:sz w:val="24"/>
          <w:szCs w:val="24"/>
        </w:rPr>
        <w:t xml:space="preserve">Der er en positiv korrelation mellem plasmakoncentrationer af </w:t>
      </w:r>
      <w:proofErr w:type="spellStart"/>
      <w:r w:rsidRPr="000C2646">
        <w:rPr>
          <w:sz w:val="24"/>
          <w:szCs w:val="24"/>
        </w:rPr>
        <w:t>lapatinib</w:t>
      </w:r>
      <w:proofErr w:type="spellEnd"/>
      <w:r w:rsidRPr="000C2646">
        <w:rPr>
          <w:sz w:val="24"/>
          <w:szCs w:val="24"/>
        </w:rPr>
        <w:t xml:space="preserve"> og </w:t>
      </w:r>
      <w:proofErr w:type="spellStart"/>
      <w:r w:rsidRPr="000C2646">
        <w:rPr>
          <w:sz w:val="24"/>
          <w:szCs w:val="24"/>
        </w:rPr>
        <w:t>ΔΔQTcF</w:t>
      </w:r>
      <w:proofErr w:type="spellEnd"/>
      <w:r w:rsidRPr="000C2646">
        <w:rPr>
          <w:sz w:val="24"/>
          <w:szCs w:val="24"/>
        </w:rPr>
        <w:t xml:space="preserve">. </w:t>
      </w:r>
      <w:proofErr w:type="spellStart"/>
      <w:r w:rsidRPr="000C2646">
        <w:rPr>
          <w:sz w:val="24"/>
          <w:szCs w:val="24"/>
        </w:rPr>
        <w:t>Lapatinib</w:t>
      </w:r>
      <w:proofErr w:type="spellEnd"/>
      <w:r w:rsidRPr="000C2646">
        <w:rPr>
          <w:sz w:val="24"/>
          <w:szCs w:val="24"/>
        </w:rPr>
        <w:t xml:space="preserve"> viste en maksimal middelkoncentration på 3920 (3450-4460) </w:t>
      </w:r>
      <w:proofErr w:type="spellStart"/>
      <w:r w:rsidRPr="000C2646">
        <w:rPr>
          <w:sz w:val="24"/>
          <w:szCs w:val="24"/>
        </w:rPr>
        <w:t>ng</w:t>
      </w:r>
      <w:proofErr w:type="spellEnd"/>
      <w:r w:rsidRPr="000C2646">
        <w:rPr>
          <w:sz w:val="24"/>
          <w:szCs w:val="24"/>
        </w:rPr>
        <w:t>/ml (geometrisk middelværdi/95 % CI), der oversteg geometrisk middel-</w:t>
      </w:r>
      <w:proofErr w:type="spellStart"/>
      <w:r w:rsidRPr="000C2646">
        <w:rPr>
          <w:sz w:val="24"/>
          <w:szCs w:val="24"/>
        </w:rPr>
        <w:t>C</w:t>
      </w:r>
      <w:r w:rsidRPr="000C2646">
        <w:rPr>
          <w:sz w:val="24"/>
          <w:szCs w:val="24"/>
          <w:vertAlign w:val="subscript"/>
        </w:rPr>
        <w:t>max.ss</w:t>
      </w:r>
      <w:proofErr w:type="spellEnd"/>
      <w:r w:rsidRPr="000C2646">
        <w:rPr>
          <w:sz w:val="24"/>
          <w:szCs w:val="24"/>
        </w:rPr>
        <w:t xml:space="preserve"> og 95 % </w:t>
      </w:r>
      <w:proofErr w:type="gramStart"/>
      <w:r w:rsidRPr="000C2646">
        <w:rPr>
          <w:sz w:val="24"/>
          <w:szCs w:val="24"/>
        </w:rPr>
        <w:t>CI værdier</w:t>
      </w:r>
      <w:proofErr w:type="gramEnd"/>
      <w:r w:rsidRPr="000C2646">
        <w:rPr>
          <w:sz w:val="24"/>
          <w:szCs w:val="24"/>
        </w:rPr>
        <w:t xml:space="preserve">, som blev observeret efter godkendte doseringer. En yderligere stigning i maksimal eksponering for </w:t>
      </w:r>
      <w:proofErr w:type="spellStart"/>
      <w:r w:rsidRPr="000C2646">
        <w:rPr>
          <w:sz w:val="24"/>
          <w:szCs w:val="24"/>
        </w:rPr>
        <w:t>lapatinib</w:t>
      </w:r>
      <w:proofErr w:type="spellEnd"/>
      <w:r w:rsidRPr="000C2646">
        <w:rPr>
          <w:sz w:val="24"/>
          <w:szCs w:val="24"/>
        </w:rPr>
        <w:t xml:space="preserve"> kan forventes, når </w:t>
      </w:r>
      <w:proofErr w:type="spellStart"/>
      <w:r w:rsidRPr="000C2646">
        <w:rPr>
          <w:sz w:val="24"/>
          <w:szCs w:val="24"/>
        </w:rPr>
        <w:t>lapatinib</w:t>
      </w:r>
      <w:proofErr w:type="spellEnd"/>
      <w:r w:rsidRPr="000C2646">
        <w:rPr>
          <w:sz w:val="24"/>
          <w:szCs w:val="24"/>
        </w:rPr>
        <w:t xml:space="preserve"> tages gentagne gange sammen med mad (se pkt. 4.2 og 5.2) eller samtidig med stærke inhibitorer af CYP3A4. En modelbaseret prognose viste, at når </w:t>
      </w:r>
      <w:proofErr w:type="spellStart"/>
      <w:r w:rsidRPr="000C2646">
        <w:rPr>
          <w:sz w:val="24"/>
          <w:szCs w:val="24"/>
        </w:rPr>
        <w:t>lapatinib</w:t>
      </w:r>
      <w:proofErr w:type="spellEnd"/>
      <w:r w:rsidRPr="000C2646">
        <w:rPr>
          <w:sz w:val="24"/>
          <w:szCs w:val="24"/>
        </w:rPr>
        <w:t xml:space="preserve"> tages i kombination med stærke inhibitorer af CYP3A4, kan </w:t>
      </w:r>
      <w:proofErr w:type="spellStart"/>
      <w:r w:rsidRPr="000C2646">
        <w:rPr>
          <w:sz w:val="24"/>
          <w:szCs w:val="24"/>
        </w:rPr>
        <w:t>QTc</w:t>
      </w:r>
      <w:proofErr w:type="spellEnd"/>
      <w:r w:rsidRPr="000C2646">
        <w:rPr>
          <w:sz w:val="24"/>
          <w:szCs w:val="24"/>
        </w:rPr>
        <w:t>-intervallet forventes at blive forlænget med 16,1 ms (12,6-20,3 ms) (se pkt. 4.4).</w:t>
      </w:r>
    </w:p>
    <w:p w14:paraId="0A12469E" w14:textId="77777777" w:rsidR="00925ABE" w:rsidRPr="000C2646" w:rsidRDefault="00925ABE" w:rsidP="009534FE">
      <w:pPr>
        <w:suppressAutoHyphens/>
        <w:ind w:left="851"/>
        <w:rPr>
          <w:sz w:val="24"/>
          <w:szCs w:val="24"/>
        </w:rPr>
      </w:pPr>
    </w:p>
    <w:p w14:paraId="7A2BDC6F" w14:textId="77777777" w:rsidR="00925ABE" w:rsidRPr="004D4694" w:rsidRDefault="00925ABE" w:rsidP="004D4694">
      <w:pPr>
        <w:ind w:left="851"/>
        <w:rPr>
          <w:i/>
          <w:sz w:val="24"/>
          <w:szCs w:val="24"/>
          <w:u w:val="single"/>
        </w:rPr>
      </w:pPr>
      <w:r w:rsidRPr="004D4694">
        <w:rPr>
          <w:i/>
          <w:sz w:val="24"/>
          <w:szCs w:val="24"/>
          <w:u w:val="single"/>
        </w:rPr>
        <w:t xml:space="preserve">Effekt af fødeindtag på </w:t>
      </w:r>
      <w:proofErr w:type="spellStart"/>
      <w:r w:rsidRPr="004D4694">
        <w:rPr>
          <w:i/>
          <w:sz w:val="24"/>
          <w:szCs w:val="24"/>
          <w:u w:val="single"/>
        </w:rPr>
        <w:t>lapatinibs</w:t>
      </w:r>
      <w:proofErr w:type="spellEnd"/>
      <w:r w:rsidRPr="004D4694">
        <w:rPr>
          <w:i/>
          <w:sz w:val="24"/>
          <w:szCs w:val="24"/>
          <w:u w:val="single"/>
        </w:rPr>
        <w:t xml:space="preserve"> eksponering</w:t>
      </w:r>
    </w:p>
    <w:p w14:paraId="7FB481A3" w14:textId="77777777" w:rsidR="00925ABE" w:rsidRPr="004D4694" w:rsidRDefault="00925ABE" w:rsidP="004D4694">
      <w:pPr>
        <w:ind w:left="851"/>
        <w:rPr>
          <w:sz w:val="24"/>
          <w:szCs w:val="24"/>
        </w:rPr>
      </w:pPr>
    </w:p>
    <w:p w14:paraId="4ADE3909" w14:textId="77777777" w:rsidR="00925ABE" w:rsidRPr="000C2646" w:rsidRDefault="00925ABE" w:rsidP="009534FE">
      <w:pPr>
        <w:suppressAutoHyphens/>
        <w:ind w:left="851"/>
        <w:rPr>
          <w:sz w:val="24"/>
          <w:szCs w:val="24"/>
        </w:rPr>
      </w:pPr>
      <w:r w:rsidRPr="000C2646">
        <w:rPr>
          <w:sz w:val="24"/>
          <w:szCs w:val="24"/>
        </w:rPr>
        <w:t xml:space="preserve">Biotilgængeligheden og derved plasmakoncentrationen af </w:t>
      </w:r>
      <w:proofErr w:type="spellStart"/>
      <w:r w:rsidRPr="000C2646">
        <w:rPr>
          <w:sz w:val="24"/>
          <w:szCs w:val="24"/>
        </w:rPr>
        <w:t>lapatinib</w:t>
      </w:r>
      <w:proofErr w:type="spellEnd"/>
      <w:r w:rsidRPr="000C2646">
        <w:rPr>
          <w:sz w:val="24"/>
          <w:szCs w:val="24"/>
        </w:rPr>
        <w:t xml:space="preserve"> øges ved fødeindtagelse, hvad angår indholdet og tidspunktet for måltidet. Ved dosering af </w:t>
      </w:r>
      <w:proofErr w:type="spellStart"/>
      <w:r w:rsidRPr="000C2646">
        <w:rPr>
          <w:sz w:val="24"/>
          <w:szCs w:val="24"/>
        </w:rPr>
        <w:t>lapatinib</w:t>
      </w:r>
      <w:proofErr w:type="spellEnd"/>
      <w:r w:rsidRPr="000C2646">
        <w:rPr>
          <w:sz w:val="24"/>
          <w:szCs w:val="24"/>
        </w:rPr>
        <w:t xml:space="preserve"> én time efter et måltid øges den systemiske eksponering ca. 2-3 gange sammenlignet med dosering af </w:t>
      </w:r>
      <w:proofErr w:type="spellStart"/>
      <w:r w:rsidRPr="000C2646">
        <w:rPr>
          <w:sz w:val="24"/>
          <w:szCs w:val="24"/>
        </w:rPr>
        <w:t>lapatinib</w:t>
      </w:r>
      <w:proofErr w:type="spellEnd"/>
      <w:r w:rsidRPr="000C2646">
        <w:rPr>
          <w:sz w:val="24"/>
          <w:szCs w:val="24"/>
        </w:rPr>
        <w:t xml:space="preserve"> én time før et måltid (se pkt. 4.5 og 5.2).</w:t>
      </w:r>
    </w:p>
    <w:p w14:paraId="4A3EDA9F" w14:textId="77777777" w:rsidR="00925ABE" w:rsidRPr="000C2646" w:rsidRDefault="00925ABE" w:rsidP="009534FE">
      <w:pPr>
        <w:suppressAutoHyphens/>
        <w:ind w:left="851"/>
        <w:rPr>
          <w:sz w:val="24"/>
          <w:szCs w:val="24"/>
        </w:rPr>
      </w:pPr>
    </w:p>
    <w:p w14:paraId="6855E31F" w14:textId="77777777" w:rsidR="00925ABE" w:rsidRPr="000C2646" w:rsidRDefault="00925ABE" w:rsidP="009534FE">
      <w:pPr>
        <w:suppressAutoHyphens/>
        <w:ind w:left="851"/>
        <w:rPr>
          <w:sz w:val="24"/>
          <w:szCs w:val="24"/>
        </w:rPr>
      </w:pPr>
      <w:r w:rsidRPr="000C2646">
        <w:rPr>
          <w:sz w:val="24"/>
          <w:szCs w:val="24"/>
        </w:rPr>
        <w:t xml:space="preserve">Det Europæiske Lægemiddelagentur har dispenseret fra kravet om at fremlægge resultaterne af studier med </w:t>
      </w:r>
      <w:proofErr w:type="spellStart"/>
      <w:r w:rsidRPr="000C2646">
        <w:rPr>
          <w:sz w:val="24"/>
          <w:szCs w:val="24"/>
        </w:rPr>
        <w:t>lapatinib</w:t>
      </w:r>
      <w:proofErr w:type="spellEnd"/>
      <w:r w:rsidRPr="000C2646">
        <w:rPr>
          <w:sz w:val="24"/>
          <w:szCs w:val="24"/>
        </w:rPr>
        <w:t xml:space="preserve"> i alle undergrupper af den pædiatriske population ved behandling af brystkræft (se pkt. 4.2 for oplysninger om pædiatrisk anvendelse).</w:t>
      </w:r>
    </w:p>
    <w:p w14:paraId="37F3D366" w14:textId="77777777" w:rsidR="009260DE" w:rsidRPr="000C2646" w:rsidRDefault="009260DE" w:rsidP="009260DE">
      <w:pPr>
        <w:tabs>
          <w:tab w:val="left" w:pos="851"/>
        </w:tabs>
        <w:ind w:left="851"/>
        <w:rPr>
          <w:sz w:val="24"/>
          <w:szCs w:val="24"/>
        </w:rPr>
      </w:pPr>
    </w:p>
    <w:p w14:paraId="2001C63A" w14:textId="77777777" w:rsidR="009260DE" w:rsidRPr="000C2646" w:rsidRDefault="009260DE" w:rsidP="009260DE">
      <w:pPr>
        <w:tabs>
          <w:tab w:val="left" w:pos="851"/>
        </w:tabs>
        <w:ind w:left="851" w:hanging="851"/>
        <w:rPr>
          <w:b/>
          <w:sz w:val="24"/>
          <w:szCs w:val="24"/>
        </w:rPr>
      </w:pPr>
      <w:r w:rsidRPr="000C2646">
        <w:rPr>
          <w:b/>
          <w:sz w:val="24"/>
          <w:szCs w:val="24"/>
        </w:rPr>
        <w:t>5.2</w:t>
      </w:r>
      <w:r w:rsidRPr="000C2646">
        <w:rPr>
          <w:b/>
          <w:sz w:val="24"/>
          <w:szCs w:val="24"/>
        </w:rPr>
        <w:tab/>
      </w:r>
      <w:proofErr w:type="spellStart"/>
      <w:r w:rsidRPr="000C2646">
        <w:rPr>
          <w:b/>
          <w:sz w:val="24"/>
          <w:szCs w:val="24"/>
        </w:rPr>
        <w:t>Farmakokinetiske</w:t>
      </w:r>
      <w:proofErr w:type="spellEnd"/>
      <w:r w:rsidRPr="000C2646">
        <w:rPr>
          <w:b/>
          <w:sz w:val="24"/>
          <w:szCs w:val="24"/>
        </w:rPr>
        <w:t xml:space="preserve"> egenskaber</w:t>
      </w:r>
    </w:p>
    <w:p w14:paraId="56DEB3C0" w14:textId="77777777" w:rsidR="004D4694" w:rsidRDefault="004D4694" w:rsidP="004D4694">
      <w:pPr>
        <w:ind w:left="851"/>
        <w:rPr>
          <w:sz w:val="24"/>
          <w:szCs w:val="24"/>
        </w:rPr>
      </w:pPr>
    </w:p>
    <w:p w14:paraId="58886757" w14:textId="442191AF" w:rsidR="00925ABE" w:rsidRPr="004D4694" w:rsidRDefault="00925ABE" w:rsidP="004D4694">
      <w:pPr>
        <w:ind w:left="851"/>
        <w:rPr>
          <w:sz w:val="24"/>
          <w:szCs w:val="24"/>
          <w:u w:val="single"/>
        </w:rPr>
      </w:pPr>
      <w:r w:rsidRPr="004D4694">
        <w:rPr>
          <w:sz w:val="24"/>
          <w:szCs w:val="24"/>
          <w:u w:val="single"/>
        </w:rPr>
        <w:t>Absorption</w:t>
      </w:r>
    </w:p>
    <w:p w14:paraId="03F165C0" w14:textId="77777777" w:rsidR="00925ABE" w:rsidRPr="004D4694" w:rsidRDefault="00925ABE" w:rsidP="004D4694">
      <w:pPr>
        <w:ind w:left="851"/>
        <w:rPr>
          <w:sz w:val="24"/>
          <w:szCs w:val="24"/>
        </w:rPr>
      </w:pPr>
    </w:p>
    <w:p w14:paraId="5ED934DD" w14:textId="77777777" w:rsidR="00925ABE" w:rsidRPr="000C2646" w:rsidRDefault="00925ABE" w:rsidP="009534FE">
      <w:pPr>
        <w:ind w:left="851"/>
        <w:rPr>
          <w:sz w:val="24"/>
          <w:szCs w:val="24"/>
        </w:rPr>
      </w:pPr>
      <w:r w:rsidRPr="000C2646">
        <w:rPr>
          <w:sz w:val="24"/>
          <w:szCs w:val="24"/>
        </w:rPr>
        <w:t xml:space="preserve">Den absolutte biotilgængelighed af </w:t>
      </w:r>
      <w:proofErr w:type="spellStart"/>
      <w:r w:rsidRPr="000C2646">
        <w:rPr>
          <w:sz w:val="24"/>
          <w:szCs w:val="24"/>
        </w:rPr>
        <w:t>lapatinib</w:t>
      </w:r>
      <w:proofErr w:type="spellEnd"/>
      <w:r w:rsidRPr="000C2646">
        <w:rPr>
          <w:sz w:val="24"/>
          <w:szCs w:val="24"/>
        </w:rPr>
        <w:t xml:space="preserve"> efter oral administration er ukendt, men den er ufuldstændig og variabel (ca. 70 % variationskoefficient i AUC). Der forekommer serumkoncentrationer efter en median forsinkelse (lag time) på 0,25 timer (interval 0 til 1,5 timer). Maksimal </w:t>
      </w:r>
      <w:proofErr w:type="spellStart"/>
      <w:r w:rsidRPr="000C2646">
        <w:rPr>
          <w:sz w:val="24"/>
          <w:szCs w:val="24"/>
        </w:rPr>
        <w:t>lapatinib</w:t>
      </w:r>
      <w:proofErr w:type="spellEnd"/>
      <w:r w:rsidRPr="000C2646">
        <w:rPr>
          <w:sz w:val="24"/>
          <w:szCs w:val="24"/>
        </w:rPr>
        <w:t>-koncentration i plasma (</w:t>
      </w:r>
      <w:proofErr w:type="spellStart"/>
      <w:r w:rsidRPr="000C2646">
        <w:rPr>
          <w:sz w:val="24"/>
          <w:szCs w:val="24"/>
        </w:rPr>
        <w:t>C</w:t>
      </w:r>
      <w:r w:rsidRPr="000C2646">
        <w:rPr>
          <w:sz w:val="24"/>
          <w:szCs w:val="24"/>
          <w:vertAlign w:val="subscript"/>
        </w:rPr>
        <w:t>max</w:t>
      </w:r>
      <w:proofErr w:type="spellEnd"/>
      <w:r w:rsidRPr="000C2646">
        <w:rPr>
          <w:sz w:val="24"/>
          <w:szCs w:val="24"/>
        </w:rPr>
        <w:t xml:space="preserve">) opnås ca. 4 timer efter administration. En daglig dosering på 1250 mg medfører geometriske middel-(variationskoefficient) </w:t>
      </w:r>
      <w:proofErr w:type="spellStart"/>
      <w:r w:rsidRPr="000C2646">
        <w:rPr>
          <w:sz w:val="24"/>
          <w:szCs w:val="24"/>
        </w:rPr>
        <w:t>C</w:t>
      </w:r>
      <w:r w:rsidRPr="000C2646">
        <w:rPr>
          <w:sz w:val="24"/>
          <w:szCs w:val="24"/>
          <w:vertAlign w:val="subscript"/>
        </w:rPr>
        <w:t>max</w:t>
      </w:r>
      <w:proofErr w:type="spellEnd"/>
      <w:r w:rsidRPr="000C2646">
        <w:rPr>
          <w:sz w:val="24"/>
          <w:szCs w:val="24"/>
        </w:rPr>
        <w:t xml:space="preserve">-værdier ved </w:t>
      </w:r>
      <w:proofErr w:type="spellStart"/>
      <w:r w:rsidRPr="000C2646">
        <w:rPr>
          <w:i/>
          <w:iCs/>
          <w:sz w:val="24"/>
          <w:szCs w:val="24"/>
        </w:rPr>
        <w:t>steady</w:t>
      </w:r>
      <w:proofErr w:type="spellEnd"/>
      <w:r w:rsidRPr="000C2646">
        <w:rPr>
          <w:i/>
          <w:iCs/>
          <w:sz w:val="24"/>
          <w:szCs w:val="24"/>
        </w:rPr>
        <w:t xml:space="preserve"> </w:t>
      </w:r>
      <w:proofErr w:type="spellStart"/>
      <w:r w:rsidRPr="000C2646">
        <w:rPr>
          <w:i/>
          <w:iCs/>
          <w:sz w:val="24"/>
          <w:szCs w:val="24"/>
        </w:rPr>
        <w:t>state</w:t>
      </w:r>
      <w:proofErr w:type="spellEnd"/>
      <w:r w:rsidRPr="000C2646">
        <w:rPr>
          <w:sz w:val="24"/>
          <w:szCs w:val="24"/>
        </w:rPr>
        <w:t xml:space="preserve"> på 2,43 (76 %) µg/ml og AUC-værdier på 36,2 (79 %) µ</w:t>
      </w:r>
      <w:proofErr w:type="spellStart"/>
      <w:r w:rsidRPr="000C2646">
        <w:rPr>
          <w:sz w:val="24"/>
          <w:szCs w:val="24"/>
        </w:rPr>
        <w:t>g∙time</w:t>
      </w:r>
      <w:proofErr w:type="spellEnd"/>
      <w:r w:rsidRPr="000C2646">
        <w:rPr>
          <w:sz w:val="24"/>
          <w:szCs w:val="24"/>
        </w:rPr>
        <w:t>/ml.</w:t>
      </w:r>
    </w:p>
    <w:p w14:paraId="4DCDF261" w14:textId="77777777" w:rsidR="00925ABE" w:rsidRPr="000C2646" w:rsidRDefault="00925ABE" w:rsidP="009534FE">
      <w:pPr>
        <w:ind w:left="851"/>
        <w:rPr>
          <w:sz w:val="24"/>
          <w:szCs w:val="24"/>
        </w:rPr>
      </w:pPr>
    </w:p>
    <w:p w14:paraId="70D842E2" w14:textId="77777777" w:rsidR="00925ABE" w:rsidRPr="000C2646" w:rsidRDefault="00925ABE" w:rsidP="009534FE">
      <w:pPr>
        <w:ind w:left="851"/>
        <w:rPr>
          <w:sz w:val="24"/>
          <w:szCs w:val="24"/>
          <w:u w:val="single"/>
        </w:rPr>
      </w:pPr>
      <w:r w:rsidRPr="000C2646">
        <w:rPr>
          <w:sz w:val="24"/>
          <w:szCs w:val="24"/>
        </w:rPr>
        <w:t xml:space="preserve">Systemisk eksponering for </w:t>
      </w:r>
      <w:proofErr w:type="spellStart"/>
      <w:r w:rsidRPr="000C2646">
        <w:rPr>
          <w:sz w:val="24"/>
          <w:szCs w:val="24"/>
        </w:rPr>
        <w:t>lapatinib</w:t>
      </w:r>
      <w:proofErr w:type="spellEnd"/>
      <w:r w:rsidRPr="000C2646">
        <w:rPr>
          <w:sz w:val="24"/>
          <w:szCs w:val="24"/>
        </w:rPr>
        <w:t xml:space="preserve"> øges, når </w:t>
      </w:r>
      <w:proofErr w:type="spellStart"/>
      <w:r w:rsidRPr="000C2646">
        <w:rPr>
          <w:sz w:val="24"/>
          <w:szCs w:val="24"/>
        </w:rPr>
        <w:t>lapatinib</w:t>
      </w:r>
      <w:proofErr w:type="spellEnd"/>
      <w:r w:rsidRPr="000C2646">
        <w:rPr>
          <w:sz w:val="24"/>
          <w:szCs w:val="24"/>
        </w:rPr>
        <w:t xml:space="preserve"> indtages sammen med føde. AUC-værdierne for </w:t>
      </w:r>
      <w:proofErr w:type="spellStart"/>
      <w:r w:rsidRPr="000C2646">
        <w:rPr>
          <w:sz w:val="24"/>
          <w:szCs w:val="24"/>
        </w:rPr>
        <w:t>lapatinib</w:t>
      </w:r>
      <w:proofErr w:type="spellEnd"/>
      <w:r w:rsidRPr="000C2646">
        <w:rPr>
          <w:sz w:val="24"/>
          <w:szCs w:val="24"/>
        </w:rPr>
        <w:t xml:space="preserve"> var ca. 3 og 4 gange højere (</w:t>
      </w:r>
      <w:proofErr w:type="spellStart"/>
      <w:r w:rsidRPr="000C2646">
        <w:rPr>
          <w:sz w:val="24"/>
          <w:szCs w:val="24"/>
        </w:rPr>
        <w:t>C</w:t>
      </w:r>
      <w:r w:rsidRPr="000C2646">
        <w:rPr>
          <w:sz w:val="24"/>
          <w:szCs w:val="24"/>
          <w:vertAlign w:val="subscript"/>
        </w:rPr>
        <w:t>max</w:t>
      </w:r>
      <w:proofErr w:type="spellEnd"/>
      <w:r w:rsidRPr="000C2646">
        <w:rPr>
          <w:sz w:val="24"/>
          <w:szCs w:val="24"/>
        </w:rPr>
        <w:t xml:space="preserve"> ca. 2,5 og 3 gange højere), når </w:t>
      </w:r>
      <w:proofErr w:type="spellStart"/>
      <w:r w:rsidRPr="000C2646">
        <w:rPr>
          <w:sz w:val="24"/>
          <w:szCs w:val="24"/>
        </w:rPr>
        <w:t>lapatinib</w:t>
      </w:r>
      <w:proofErr w:type="spellEnd"/>
      <w:r w:rsidRPr="000C2646">
        <w:rPr>
          <w:sz w:val="24"/>
          <w:szCs w:val="24"/>
        </w:rPr>
        <w:t xml:space="preserve"> blev administreret sammen med henholdsvis et måltid med lavt fedtindhold (5 % fedt [500 kalorier]) og et måltid med højt fedtindhold (50 % fedt [1000 kalorier]) i forhold til administration i fastende tilstand. Den systemiske eksponering for </w:t>
      </w:r>
      <w:proofErr w:type="spellStart"/>
      <w:r w:rsidRPr="000C2646">
        <w:rPr>
          <w:sz w:val="24"/>
          <w:szCs w:val="24"/>
        </w:rPr>
        <w:t>lapatinib</w:t>
      </w:r>
      <w:proofErr w:type="spellEnd"/>
      <w:r w:rsidRPr="000C2646">
        <w:rPr>
          <w:sz w:val="24"/>
          <w:szCs w:val="24"/>
        </w:rPr>
        <w:t xml:space="preserve"> påvirkes også af administrationstidspunktet i forhold til fødeindtagelsen. I forhold til administration 1 time før et morgenmåltid med lavt fedtindhold var de gennemsnitlige AUC-værdier ca. 2 og 3 gange højere, når </w:t>
      </w:r>
      <w:proofErr w:type="spellStart"/>
      <w:r w:rsidRPr="000C2646">
        <w:rPr>
          <w:sz w:val="24"/>
          <w:szCs w:val="24"/>
        </w:rPr>
        <w:t>lapatinib</w:t>
      </w:r>
      <w:proofErr w:type="spellEnd"/>
      <w:r w:rsidRPr="000C2646">
        <w:rPr>
          <w:sz w:val="24"/>
          <w:szCs w:val="24"/>
        </w:rPr>
        <w:t xml:space="preserve"> blev administreret 1 time efter henholdsvis et måltid med lavt fedtindhold og et måltid med højt fedtindhold.</w:t>
      </w:r>
    </w:p>
    <w:p w14:paraId="338ADB87" w14:textId="07B61A3B" w:rsidR="002417A3" w:rsidRDefault="002417A3">
      <w:pPr>
        <w:rPr>
          <w:sz w:val="24"/>
          <w:szCs w:val="24"/>
          <w:u w:val="single"/>
        </w:rPr>
      </w:pPr>
      <w:r>
        <w:rPr>
          <w:sz w:val="24"/>
          <w:szCs w:val="24"/>
          <w:u w:val="single"/>
        </w:rPr>
        <w:br w:type="page"/>
      </w:r>
    </w:p>
    <w:p w14:paraId="7018FA49" w14:textId="77777777" w:rsidR="00925ABE" w:rsidRPr="004D4694" w:rsidRDefault="00925ABE" w:rsidP="004D4694">
      <w:pPr>
        <w:ind w:left="851"/>
        <w:rPr>
          <w:sz w:val="24"/>
          <w:szCs w:val="24"/>
          <w:u w:val="single"/>
        </w:rPr>
      </w:pPr>
    </w:p>
    <w:p w14:paraId="71149498" w14:textId="77777777" w:rsidR="00925ABE" w:rsidRPr="004D4694" w:rsidRDefault="00925ABE" w:rsidP="004D4694">
      <w:pPr>
        <w:ind w:left="851"/>
        <w:rPr>
          <w:sz w:val="24"/>
          <w:szCs w:val="24"/>
          <w:u w:val="single"/>
        </w:rPr>
      </w:pPr>
      <w:r w:rsidRPr="004D4694">
        <w:rPr>
          <w:sz w:val="24"/>
          <w:szCs w:val="24"/>
          <w:u w:val="single"/>
        </w:rPr>
        <w:t>Fordeling</w:t>
      </w:r>
    </w:p>
    <w:p w14:paraId="3D958128" w14:textId="77777777" w:rsidR="00925ABE" w:rsidRPr="004D4694" w:rsidRDefault="00925ABE" w:rsidP="004D4694">
      <w:pPr>
        <w:ind w:left="851"/>
        <w:rPr>
          <w:sz w:val="24"/>
          <w:szCs w:val="24"/>
        </w:rPr>
      </w:pPr>
    </w:p>
    <w:p w14:paraId="2B88B1C6" w14:textId="77777777" w:rsidR="00925ABE" w:rsidRPr="004D4694" w:rsidRDefault="00925ABE" w:rsidP="004D4694">
      <w:pPr>
        <w:ind w:left="851"/>
        <w:rPr>
          <w:sz w:val="24"/>
          <w:szCs w:val="24"/>
          <w:u w:val="single"/>
        </w:rPr>
      </w:pPr>
      <w:proofErr w:type="spellStart"/>
      <w:r w:rsidRPr="004D4694">
        <w:rPr>
          <w:sz w:val="24"/>
          <w:szCs w:val="24"/>
        </w:rPr>
        <w:t>Lapatinib</w:t>
      </w:r>
      <w:proofErr w:type="spellEnd"/>
      <w:r w:rsidRPr="004D4694">
        <w:rPr>
          <w:sz w:val="24"/>
          <w:szCs w:val="24"/>
        </w:rPr>
        <w:t xml:space="preserve"> er stærkt bundet (mere end 99 %) til albumin og alfa-1-syre-glykoprotein. </w:t>
      </w:r>
      <w:r w:rsidRPr="004D4694">
        <w:rPr>
          <w:i/>
          <w:iCs/>
          <w:sz w:val="24"/>
          <w:szCs w:val="24"/>
        </w:rPr>
        <w:t>In </w:t>
      </w:r>
      <w:proofErr w:type="spellStart"/>
      <w:r w:rsidRPr="004D4694">
        <w:rPr>
          <w:i/>
          <w:iCs/>
          <w:sz w:val="24"/>
          <w:szCs w:val="24"/>
        </w:rPr>
        <w:t>vitro</w:t>
      </w:r>
      <w:proofErr w:type="spellEnd"/>
      <w:r w:rsidRPr="004D4694">
        <w:rPr>
          <w:sz w:val="24"/>
          <w:szCs w:val="24"/>
        </w:rPr>
        <w:t xml:space="preserve">-studier indikerer, at </w:t>
      </w:r>
      <w:proofErr w:type="spellStart"/>
      <w:r w:rsidRPr="004D4694">
        <w:rPr>
          <w:sz w:val="24"/>
          <w:szCs w:val="24"/>
        </w:rPr>
        <w:t>lapatinib</w:t>
      </w:r>
      <w:proofErr w:type="spellEnd"/>
      <w:r w:rsidRPr="004D4694">
        <w:rPr>
          <w:sz w:val="24"/>
          <w:szCs w:val="24"/>
        </w:rPr>
        <w:t xml:space="preserve"> er substrat for transportørerne BCRP (ABCG1) og p-</w:t>
      </w:r>
      <w:proofErr w:type="spellStart"/>
      <w:r w:rsidRPr="004D4694">
        <w:rPr>
          <w:sz w:val="24"/>
          <w:szCs w:val="24"/>
        </w:rPr>
        <w:t>glykoprotein</w:t>
      </w:r>
      <w:proofErr w:type="spellEnd"/>
      <w:r w:rsidRPr="004D4694">
        <w:rPr>
          <w:sz w:val="24"/>
          <w:szCs w:val="24"/>
        </w:rPr>
        <w:t xml:space="preserve"> (ABCB1). </w:t>
      </w:r>
      <w:proofErr w:type="spellStart"/>
      <w:r w:rsidRPr="004D4694">
        <w:rPr>
          <w:sz w:val="24"/>
          <w:szCs w:val="24"/>
        </w:rPr>
        <w:t>Lapatinib</w:t>
      </w:r>
      <w:proofErr w:type="spellEnd"/>
      <w:r w:rsidRPr="004D4694">
        <w:rPr>
          <w:sz w:val="24"/>
          <w:szCs w:val="24"/>
        </w:rPr>
        <w:t xml:space="preserve"> er også </w:t>
      </w:r>
      <w:r w:rsidRPr="004D4694">
        <w:rPr>
          <w:i/>
          <w:iCs/>
          <w:sz w:val="24"/>
          <w:szCs w:val="24"/>
        </w:rPr>
        <w:t>in </w:t>
      </w:r>
      <w:proofErr w:type="spellStart"/>
      <w:r w:rsidRPr="004D4694">
        <w:rPr>
          <w:i/>
          <w:iCs/>
          <w:sz w:val="24"/>
          <w:szCs w:val="24"/>
        </w:rPr>
        <w:t>vitro</w:t>
      </w:r>
      <w:proofErr w:type="spellEnd"/>
      <w:r w:rsidRPr="004D4694">
        <w:rPr>
          <w:sz w:val="24"/>
          <w:szCs w:val="24"/>
        </w:rPr>
        <w:t xml:space="preserve"> fundet at hæmme disse </w:t>
      </w:r>
      <w:proofErr w:type="spellStart"/>
      <w:r w:rsidRPr="004D4694">
        <w:rPr>
          <w:sz w:val="24"/>
          <w:szCs w:val="24"/>
        </w:rPr>
        <w:t>efflux</w:t>
      </w:r>
      <w:proofErr w:type="spellEnd"/>
      <w:r w:rsidRPr="004D4694">
        <w:rPr>
          <w:sz w:val="24"/>
          <w:szCs w:val="24"/>
        </w:rPr>
        <w:t>-transportører samt leveroptagelsestransportøren OATP 1B1 ved klinisk relevante koncentrationer (IC</w:t>
      </w:r>
      <w:r w:rsidRPr="004D4694">
        <w:rPr>
          <w:sz w:val="24"/>
          <w:szCs w:val="24"/>
          <w:vertAlign w:val="subscript"/>
        </w:rPr>
        <w:t>50</w:t>
      </w:r>
      <w:r w:rsidRPr="004D4694">
        <w:rPr>
          <w:sz w:val="24"/>
          <w:szCs w:val="24"/>
        </w:rPr>
        <w:t>-værdier svarede til 2,3 µg/ml). Den kliniske signifikans ved disse virkninger på farmakokinetikken af andre lægemidler eller den farmakologiske aktivitet ved andre lægemidler mod cancer kendes ikke.</w:t>
      </w:r>
    </w:p>
    <w:p w14:paraId="3618D564" w14:textId="77777777" w:rsidR="00925ABE" w:rsidRPr="004D4694" w:rsidRDefault="00925ABE" w:rsidP="004D4694">
      <w:pPr>
        <w:ind w:left="851"/>
        <w:rPr>
          <w:sz w:val="24"/>
          <w:szCs w:val="24"/>
          <w:u w:val="single"/>
        </w:rPr>
      </w:pPr>
    </w:p>
    <w:p w14:paraId="71BF3CB6" w14:textId="77777777" w:rsidR="00925ABE" w:rsidRPr="004D4694" w:rsidRDefault="00925ABE" w:rsidP="004D4694">
      <w:pPr>
        <w:ind w:left="851"/>
        <w:rPr>
          <w:sz w:val="24"/>
          <w:szCs w:val="24"/>
          <w:u w:val="single"/>
        </w:rPr>
      </w:pPr>
      <w:r w:rsidRPr="004D4694">
        <w:rPr>
          <w:sz w:val="24"/>
          <w:szCs w:val="24"/>
          <w:u w:val="single"/>
        </w:rPr>
        <w:t>Biotransformation</w:t>
      </w:r>
    </w:p>
    <w:p w14:paraId="5088F4B9" w14:textId="77777777" w:rsidR="00925ABE" w:rsidRPr="004D4694" w:rsidRDefault="00925ABE" w:rsidP="004D4694">
      <w:pPr>
        <w:ind w:left="851"/>
        <w:rPr>
          <w:sz w:val="24"/>
          <w:szCs w:val="24"/>
        </w:rPr>
      </w:pPr>
    </w:p>
    <w:p w14:paraId="3121388C" w14:textId="77777777" w:rsidR="00925ABE" w:rsidRPr="004D4694" w:rsidRDefault="00925ABE" w:rsidP="004D4694">
      <w:pPr>
        <w:ind w:left="851"/>
        <w:rPr>
          <w:sz w:val="24"/>
          <w:szCs w:val="24"/>
        </w:rPr>
      </w:pPr>
      <w:proofErr w:type="spellStart"/>
      <w:r w:rsidRPr="004D4694">
        <w:rPr>
          <w:sz w:val="24"/>
          <w:szCs w:val="24"/>
        </w:rPr>
        <w:t>Lapatinib</w:t>
      </w:r>
      <w:proofErr w:type="spellEnd"/>
      <w:r w:rsidRPr="004D4694">
        <w:rPr>
          <w:sz w:val="24"/>
          <w:szCs w:val="24"/>
        </w:rPr>
        <w:t xml:space="preserve"> gennemgår omfattende </w:t>
      </w:r>
      <w:proofErr w:type="spellStart"/>
      <w:r w:rsidRPr="004D4694">
        <w:rPr>
          <w:sz w:val="24"/>
          <w:szCs w:val="24"/>
        </w:rPr>
        <w:t>metabolisering</w:t>
      </w:r>
      <w:proofErr w:type="spellEnd"/>
      <w:r w:rsidRPr="004D4694">
        <w:rPr>
          <w:sz w:val="24"/>
          <w:szCs w:val="24"/>
        </w:rPr>
        <w:t xml:space="preserve">, primært via CYP3A4 og CYP3A5 med mindre bidrag fra CYP2C19 og CYP2C8, til en række oxiderede metabolitter, hvor ingen af metabolitterne udgør mere end 14 % af den dosis, der blev fundet i fæces, eller 10 % af </w:t>
      </w:r>
      <w:proofErr w:type="spellStart"/>
      <w:r w:rsidRPr="004D4694">
        <w:rPr>
          <w:sz w:val="24"/>
          <w:szCs w:val="24"/>
        </w:rPr>
        <w:t>lapatinib</w:t>
      </w:r>
      <w:proofErr w:type="spellEnd"/>
      <w:r w:rsidRPr="004D4694">
        <w:rPr>
          <w:sz w:val="24"/>
          <w:szCs w:val="24"/>
        </w:rPr>
        <w:t>-koncentrationen i plasma.</w:t>
      </w:r>
    </w:p>
    <w:p w14:paraId="62831671" w14:textId="77777777" w:rsidR="00925ABE" w:rsidRPr="004D4694" w:rsidRDefault="00925ABE" w:rsidP="004D4694">
      <w:pPr>
        <w:ind w:left="851"/>
        <w:rPr>
          <w:sz w:val="24"/>
          <w:szCs w:val="24"/>
        </w:rPr>
      </w:pPr>
    </w:p>
    <w:p w14:paraId="5A00E71C" w14:textId="77777777" w:rsidR="00925ABE" w:rsidRPr="004D4694" w:rsidRDefault="00925ABE" w:rsidP="004D4694">
      <w:pPr>
        <w:ind w:left="851"/>
        <w:rPr>
          <w:sz w:val="24"/>
          <w:szCs w:val="24"/>
        </w:rPr>
      </w:pPr>
      <w:proofErr w:type="spellStart"/>
      <w:r w:rsidRPr="004D4694">
        <w:rPr>
          <w:sz w:val="24"/>
          <w:szCs w:val="24"/>
        </w:rPr>
        <w:t>Lapatinib</w:t>
      </w:r>
      <w:proofErr w:type="spellEnd"/>
      <w:r w:rsidRPr="004D4694">
        <w:rPr>
          <w:sz w:val="24"/>
          <w:szCs w:val="24"/>
        </w:rPr>
        <w:t xml:space="preserve"> hæmmer CYP3A (Ki 0,6-2,3 µg/ml) og CYP2C8 (0,3 µg/ml) </w:t>
      </w:r>
      <w:r w:rsidRPr="004D4694">
        <w:rPr>
          <w:i/>
          <w:iCs/>
          <w:sz w:val="24"/>
          <w:szCs w:val="24"/>
        </w:rPr>
        <w:t>in </w:t>
      </w:r>
      <w:proofErr w:type="spellStart"/>
      <w:r w:rsidRPr="004D4694">
        <w:rPr>
          <w:i/>
          <w:iCs/>
          <w:sz w:val="24"/>
          <w:szCs w:val="24"/>
        </w:rPr>
        <w:t>vitro</w:t>
      </w:r>
      <w:proofErr w:type="spellEnd"/>
      <w:r w:rsidRPr="004D4694">
        <w:rPr>
          <w:sz w:val="24"/>
          <w:szCs w:val="24"/>
        </w:rPr>
        <w:t xml:space="preserve"> ved klinisk relevante koncentrationer. </w:t>
      </w:r>
      <w:proofErr w:type="spellStart"/>
      <w:r w:rsidRPr="004D4694">
        <w:rPr>
          <w:sz w:val="24"/>
          <w:szCs w:val="24"/>
        </w:rPr>
        <w:t>Lapatinib</w:t>
      </w:r>
      <w:proofErr w:type="spellEnd"/>
      <w:r w:rsidRPr="004D4694">
        <w:rPr>
          <w:sz w:val="24"/>
          <w:szCs w:val="24"/>
        </w:rPr>
        <w:t xml:space="preserve"> hæmmede ikke i signifikant grad følgende enzymer i humane </w:t>
      </w:r>
      <w:proofErr w:type="spellStart"/>
      <w:r w:rsidRPr="004D4694">
        <w:rPr>
          <w:sz w:val="24"/>
          <w:szCs w:val="24"/>
        </w:rPr>
        <w:t>levermikrosomer</w:t>
      </w:r>
      <w:proofErr w:type="spellEnd"/>
      <w:r w:rsidRPr="004D4694">
        <w:rPr>
          <w:sz w:val="24"/>
          <w:szCs w:val="24"/>
        </w:rPr>
        <w:t>: CYP1A2, CYP2C9, CYP2C19 og CYP2D6 eller UGT-enzymer (</w:t>
      </w:r>
      <w:r w:rsidRPr="004D4694">
        <w:rPr>
          <w:i/>
          <w:iCs/>
          <w:sz w:val="24"/>
          <w:szCs w:val="24"/>
        </w:rPr>
        <w:t>in vitro</w:t>
      </w:r>
      <w:r w:rsidRPr="004D4694">
        <w:rPr>
          <w:sz w:val="24"/>
          <w:szCs w:val="24"/>
        </w:rPr>
        <w:t>-IC</w:t>
      </w:r>
      <w:r w:rsidRPr="004D4694">
        <w:rPr>
          <w:sz w:val="24"/>
          <w:szCs w:val="24"/>
          <w:vertAlign w:val="subscript"/>
        </w:rPr>
        <w:t>50</w:t>
      </w:r>
      <w:r w:rsidRPr="004D4694">
        <w:rPr>
          <w:sz w:val="24"/>
          <w:szCs w:val="24"/>
        </w:rPr>
        <w:t>-værdierne var højere end eller lig med 6,9 µg/ml).</w:t>
      </w:r>
    </w:p>
    <w:p w14:paraId="6FAEF2E3" w14:textId="77777777" w:rsidR="00925ABE" w:rsidRPr="004D4694" w:rsidRDefault="00925ABE" w:rsidP="004D4694">
      <w:pPr>
        <w:ind w:left="851"/>
        <w:rPr>
          <w:sz w:val="24"/>
          <w:szCs w:val="24"/>
          <w:u w:val="single"/>
        </w:rPr>
      </w:pPr>
    </w:p>
    <w:p w14:paraId="25A8E6E0" w14:textId="77777777" w:rsidR="00925ABE" w:rsidRPr="004D4694" w:rsidRDefault="00925ABE" w:rsidP="004D4694">
      <w:pPr>
        <w:ind w:left="851"/>
        <w:rPr>
          <w:sz w:val="24"/>
          <w:szCs w:val="24"/>
          <w:u w:val="single"/>
        </w:rPr>
      </w:pPr>
      <w:r w:rsidRPr="004D4694">
        <w:rPr>
          <w:sz w:val="24"/>
          <w:szCs w:val="24"/>
          <w:u w:val="single"/>
        </w:rPr>
        <w:t>Elimination</w:t>
      </w:r>
    </w:p>
    <w:p w14:paraId="5BADF551" w14:textId="77777777" w:rsidR="00925ABE" w:rsidRPr="004D4694" w:rsidRDefault="00925ABE" w:rsidP="004D4694">
      <w:pPr>
        <w:ind w:left="851"/>
        <w:rPr>
          <w:sz w:val="24"/>
          <w:szCs w:val="24"/>
        </w:rPr>
      </w:pPr>
    </w:p>
    <w:p w14:paraId="3BA90B61" w14:textId="77777777" w:rsidR="00925ABE" w:rsidRPr="004D4694" w:rsidRDefault="00925ABE" w:rsidP="004D4694">
      <w:pPr>
        <w:ind w:left="851"/>
        <w:rPr>
          <w:sz w:val="24"/>
          <w:szCs w:val="24"/>
          <w:u w:val="single"/>
        </w:rPr>
      </w:pPr>
      <w:r w:rsidRPr="004D4694">
        <w:rPr>
          <w:sz w:val="24"/>
          <w:szCs w:val="24"/>
        </w:rPr>
        <w:t xml:space="preserve">Halveringstiden af </w:t>
      </w:r>
      <w:proofErr w:type="spellStart"/>
      <w:r w:rsidRPr="004D4694">
        <w:rPr>
          <w:sz w:val="24"/>
          <w:szCs w:val="24"/>
        </w:rPr>
        <w:t>lapatinib</w:t>
      </w:r>
      <w:proofErr w:type="spellEnd"/>
      <w:r w:rsidRPr="004D4694">
        <w:rPr>
          <w:sz w:val="24"/>
          <w:szCs w:val="24"/>
        </w:rPr>
        <w:t xml:space="preserve"> målt efter enkeltdoser forlænges med stigende dosis. Men daglig dosis af </w:t>
      </w:r>
      <w:proofErr w:type="spellStart"/>
      <w:r w:rsidRPr="004D4694">
        <w:rPr>
          <w:sz w:val="24"/>
          <w:szCs w:val="24"/>
        </w:rPr>
        <w:t>lapatinib</w:t>
      </w:r>
      <w:proofErr w:type="spellEnd"/>
      <w:r w:rsidRPr="004D4694">
        <w:rPr>
          <w:sz w:val="24"/>
          <w:szCs w:val="24"/>
        </w:rPr>
        <w:t xml:space="preserve"> resulterer i </w:t>
      </w:r>
      <w:proofErr w:type="spellStart"/>
      <w:r w:rsidRPr="004D4694">
        <w:rPr>
          <w:i/>
          <w:iCs/>
          <w:sz w:val="24"/>
          <w:szCs w:val="24"/>
        </w:rPr>
        <w:t>steady</w:t>
      </w:r>
      <w:proofErr w:type="spellEnd"/>
      <w:r w:rsidRPr="004D4694">
        <w:rPr>
          <w:i/>
          <w:iCs/>
          <w:sz w:val="24"/>
          <w:szCs w:val="24"/>
        </w:rPr>
        <w:t xml:space="preserve"> </w:t>
      </w:r>
      <w:proofErr w:type="spellStart"/>
      <w:r w:rsidRPr="004D4694">
        <w:rPr>
          <w:i/>
          <w:iCs/>
          <w:sz w:val="24"/>
          <w:szCs w:val="24"/>
        </w:rPr>
        <w:t>state</w:t>
      </w:r>
      <w:proofErr w:type="spellEnd"/>
      <w:r w:rsidRPr="004D4694">
        <w:rPr>
          <w:sz w:val="24"/>
          <w:szCs w:val="24"/>
        </w:rPr>
        <w:t xml:space="preserve"> i løbet af 6-7 dage, hvilket indikerer en effektiv halveringstid på 24 timer. </w:t>
      </w:r>
      <w:proofErr w:type="spellStart"/>
      <w:r w:rsidRPr="004D4694">
        <w:rPr>
          <w:sz w:val="24"/>
          <w:szCs w:val="24"/>
        </w:rPr>
        <w:t>Lapatinib</w:t>
      </w:r>
      <w:proofErr w:type="spellEnd"/>
      <w:r w:rsidRPr="004D4694">
        <w:rPr>
          <w:sz w:val="24"/>
          <w:szCs w:val="24"/>
        </w:rPr>
        <w:t xml:space="preserve"> udskilles overvejende gennem </w:t>
      </w:r>
      <w:proofErr w:type="spellStart"/>
      <w:r w:rsidRPr="004D4694">
        <w:rPr>
          <w:sz w:val="24"/>
          <w:szCs w:val="24"/>
        </w:rPr>
        <w:t>metabolisering</w:t>
      </w:r>
      <w:proofErr w:type="spellEnd"/>
      <w:r w:rsidRPr="004D4694">
        <w:rPr>
          <w:sz w:val="24"/>
          <w:szCs w:val="24"/>
        </w:rPr>
        <w:t xml:space="preserve"> af CYP3A4/5. Der kan også ske udskillelse med galden. Den primære udskillelsesvej for </w:t>
      </w:r>
      <w:proofErr w:type="spellStart"/>
      <w:r w:rsidRPr="004D4694">
        <w:rPr>
          <w:sz w:val="24"/>
          <w:szCs w:val="24"/>
        </w:rPr>
        <w:t>lapatinib</w:t>
      </w:r>
      <w:proofErr w:type="spellEnd"/>
      <w:r w:rsidRPr="004D4694">
        <w:rPr>
          <w:sz w:val="24"/>
          <w:szCs w:val="24"/>
        </w:rPr>
        <w:t xml:space="preserve"> og dets metabolitter er med fæces. </w:t>
      </w:r>
      <w:proofErr w:type="spellStart"/>
      <w:r w:rsidRPr="004D4694">
        <w:rPr>
          <w:sz w:val="24"/>
          <w:szCs w:val="24"/>
        </w:rPr>
        <w:t>Uomdannet</w:t>
      </w:r>
      <w:proofErr w:type="spellEnd"/>
      <w:r w:rsidRPr="004D4694">
        <w:rPr>
          <w:sz w:val="24"/>
          <w:szCs w:val="24"/>
        </w:rPr>
        <w:t xml:space="preserve"> </w:t>
      </w:r>
      <w:proofErr w:type="spellStart"/>
      <w:r w:rsidRPr="004D4694">
        <w:rPr>
          <w:sz w:val="24"/>
          <w:szCs w:val="24"/>
        </w:rPr>
        <w:t>lapatinib</w:t>
      </w:r>
      <w:proofErr w:type="spellEnd"/>
      <w:r w:rsidRPr="004D4694">
        <w:rPr>
          <w:sz w:val="24"/>
          <w:szCs w:val="24"/>
        </w:rPr>
        <w:t xml:space="preserve"> i fæces udgør i gennemsnit (median) 27 % (interval 3-67 %) af en oral dosis. Mindre end 2 % af den administrerede orale dosis blev udskilt i urinen (som </w:t>
      </w:r>
      <w:proofErr w:type="spellStart"/>
      <w:r w:rsidRPr="004D4694">
        <w:rPr>
          <w:sz w:val="24"/>
          <w:szCs w:val="24"/>
        </w:rPr>
        <w:t>lapatinib</w:t>
      </w:r>
      <w:proofErr w:type="spellEnd"/>
      <w:r w:rsidRPr="004D4694">
        <w:rPr>
          <w:sz w:val="24"/>
          <w:szCs w:val="24"/>
        </w:rPr>
        <w:t xml:space="preserve"> og metabolitter).</w:t>
      </w:r>
    </w:p>
    <w:p w14:paraId="5F2651BE" w14:textId="77777777" w:rsidR="00925ABE" w:rsidRPr="004D4694" w:rsidRDefault="00925ABE" w:rsidP="004D4694">
      <w:pPr>
        <w:ind w:left="851"/>
        <w:rPr>
          <w:sz w:val="24"/>
          <w:szCs w:val="24"/>
          <w:u w:val="single"/>
        </w:rPr>
      </w:pPr>
    </w:p>
    <w:p w14:paraId="5C1AC721" w14:textId="77777777" w:rsidR="00925ABE" w:rsidRPr="004D4694" w:rsidRDefault="00925ABE" w:rsidP="004D4694">
      <w:pPr>
        <w:ind w:left="851"/>
        <w:rPr>
          <w:sz w:val="24"/>
          <w:szCs w:val="24"/>
          <w:u w:val="single"/>
        </w:rPr>
      </w:pPr>
      <w:r w:rsidRPr="004D4694">
        <w:rPr>
          <w:sz w:val="24"/>
          <w:szCs w:val="24"/>
          <w:u w:val="single"/>
        </w:rPr>
        <w:t>Nedsat nyrefunktion</w:t>
      </w:r>
    </w:p>
    <w:p w14:paraId="0A56266A" w14:textId="77777777" w:rsidR="00925ABE" w:rsidRPr="004D4694" w:rsidRDefault="00925ABE" w:rsidP="004D4694">
      <w:pPr>
        <w:ind w:left="851"/>
        <w:rPr>
          <w:sz w:val="24"/>
          <w:szCs w:val="24"/>
        </w:rPr>
      </w:pPr>
    </w:p>
    <w:p w14:paraId="260C79CA" w14:textId="77777777" w:rsidR="00925ABE" w:rsidRPr="004D4694" w:rsidRDefault="00925ABE" w:rsidP="004D4694">
      <w:pPr>
        <w:ind w:left="851"/>
        <w:rPr>
          <w:sz w:val="24"/>
          <w:szCs w:val="24"/>
        </w:rPr>
      </w:pPr>
      <w:r w:rsidRPr="004D4694">
        <w:rPr>
          <w:sz w:val="24"/>
          <w:szCs w:val="24"/>
        </w:rPr>
        <w:t xml:space="preserve">Farmakokinetikken for </w:t>
      </w:r>
      <w:proofErr w:type="spellStart"/>
      <w:r w:rsidRPr="004D4694">
        <w:rPr>
          <w:sz w:val="24"/>
          <w:szCs w:val="24"/>
        </w:rPr>
        <w:t>lapatinib</w:t>
      </w:r>
      <w:proofErr w:type="spellEnd"/>
      <w:r w:rsidRPr="004D4694">
        <w:rPr>
          <w:sz w:val="24"/>
          <w:szCs w:val="24"/>
        </w:rPr>
        <w:t xml:space="preserve"> er ikke undersøgt specifikt for patienter med nedsat nyrefunktion eller patienter, der får hæmodialyse. Eksisterende data tyder på, at det ikke er nødvendigt med dosisændringer til patienter med let til moderat nedsat nyrefunktion.</w:t>
      </w:r>
    </w:p>
    <w:p w14:paraId="47A90696" w14:textId="77777777" w:rsidR="00925ABE" w:rsidRPr="004D4694" w:rsidRDefault="00925ABE" w:rsidP="004D4694">
      <w:pPr>
        <w:ind w:left="851"/>
        <w:rPr>
          <w:sz w:val="24"/>
          <w:szCs w:val="24"/>
        </w:rPr>
      </w:pPr>
    </w:p>
    <w:p w14:paraId="3A6E77EB" w14:textId="77777777" w:rsidR="00925ABE" w:rsidRPr="004D4694" w:rsidRDefault="00925ABE" w:rsidP="004D4694">
      <w:pPr>
        <w:ind w:left="851"/>
        <w:rPr>
          <w:sz w:val="24"/>
          <w:szCs w:val="24"/>
          <w:u w:val="single"/>
        </w:rPr>
      </w:pPr>
      <w:r w:rsidRPr="004D4694">
        <w:rPr>
          <w:sz w:val="24"/>
          <w:szCs w:val="24"/>
          <w:u w:val="single"/>
        </w:rPr>
        <w:t>Nedsat leverfunktion</w:t>
      </w:r>
    </w:p>
    <w:p w14:paraId="3AFB3A87" w14:textId="77777777" w:rsidR="00925ABE" w:rsidRPr="004D4694" w:rsidRDefault="00925ABE" w:rsidP="004D4694">
      <w:pPr>
        <w:ind w:left="851"/>
        <w:rPr>
          <w:sz w:val="24"/>
          <w:szCs w:val="24"/>
        </w:rPr>
      </w:pPr>
    </w:p>
    <w:p w14:paraId="530123CF" w14:textId="77777777" w:rsidR="00925ABE" w:rsidRPr="004D4694" w:rsidRDefault="00925ABE" w:rsidP="004D4694">
      <w:pPr>
        <w:ind w:left="851"/>
        <w:rPr>
          <w:sz w:val="24"/>
          <w:szCs w:val="24"/>
          <w:u w:val="single"/>
        </w:rPr>
      </w:pPr>
      <w:r w:rsidRPr="004D4694">
        <w:rPr>
          <w:sz w:val="24"/>
          <w:szCs w:val="24"/>
        </w:rPr>
        <w:t xml:space="preserve">Farmakokinetikken for </w:t>
      </w:r>
      <w:proofErr w:type="spellStart"/>
      <w:r w:rsidRPr="004D4694">
        <w:rPr>
          <w:sz w:val="24"/>
          <w:szCs w:val="24"/>
        </w:rPr>
        <w:t>lapatinib</w:t>
      </w:r>
      <w:proofErr w:type="spellEnd"/>
      <w:r w:rsidRPr="004D4694">
        <w:rPr>
          <w:sz w:val="24"/>
          <w:szCs w:val="24"/>
        </w:rPr>
        <w:t xml:space="preserve"> blev undersøgt hos patienter med moderat (n = 8) eller svært (n = 4) nedsat leverfunktion (Child-</w:t>
      </w:r>
      <w:proofErr w:type="spellStart"/>
      <w:r w:rsidRPr="004D4694">
        <w:rPr>
          <w:sz w:val="24"/>
          <w:szCs w:val="24"/>
        </w:rPr>
        <w:t>Pugh</w:t>
      </w:r>
      <w:proofErr w:type="spellEnd"/>
      <w:r w:rsidRPr="004D4694">
        <w:rPr>
          <w:sz w:val="24"/>
          <w:szCs w:val="24"/>
        </w:rPr>
        <w:t xml:space="preserve">-score på henholdsvis 7-9 eller højere end 9) og hos 8 raske kontrolpersoner. Systemisk optagelse (AUC) af </w:t>
      </w:r>
      <w:proofErr w:type="spellStart"/>
      <w:r w:rsidRPr="004D4694">
        <w:rPr>
          <w:sz w:val="24"/>
          <w:szCs w:val="24"/>
        </w:rPr>
        <w:t>lapatinib</w:t>
      </w:r>
      <w:proofErr w:type="spellEnd"/>
      <w:r w:rsidRPr="004D4694">
        <w:rPr>
          <w:sz w:val="24"/>
          <w:szCs w:val="24"/>
        </w:rPr>
        <w:t xml:space="preserve"> efter en enkelt 100 mg dosis øgedes henholdsvis ca. 56 % og 85 % hos patienterne med moderat og svært nedsat leverfunktion. Administration af </w:t>
      </w:r>
      <w:proofErr w:type="spellStart"/>
      <w:r w:rsidRPr="004D4694">
        <w:rPr>
          <w:sz w:val="24"/>
          <w:szCs w:val="24"/>
        </w:rPr>
        <w:t>lapatinib</w:t>
      </w:r>
      <w:proofErr w:type="spellEnd"/>
      <w:r w:rsidRPr="004D4694">
        <w:rPr>
          <w:sz w:val="24"/>
          <w:szCs w:val="24"/>
        </w:rPr>
        <w:t xml:space="preserve"> til patienter med nedsat leverfunktion bør ske med forsigtighed (se pkt. 4.2 og 4.4).</w:t>
      </w:r>
    </w:p>
    <w:p w14:paraId="4ABBC63C" w14:textId="77777777" w:rsidR="009260DE" w:rsidRPr="000C2646" w:rsidRDefault="009260DE" w:rsidP="009260DE">
      <w:pPr>
        <w:tabs>
          <w:tab w:val="left" w:pos="851"/>
        </w:tabs>
        <w:ind w:left="851"/>
        <w:rPr>
          <w:sz w:val="24"/>
          <w:szCs w:val="24"/>
        </w:rPr>
      </w:pPr>
    </w:p>
    <w:p w14:paraId="20B0D706" w14:textId="77777777" w:rsidR="009260DE" w:rsidRPr="000C2646" w:rsidRDefault="009260DE" w:rsidP="009260DE">
      <w:pPr>
        <w:tabs>
          <w:tab w:val="left" w:pos="851"/>
        </w:tabs>
        <w:ind w:left="851" w:hanging="851"/>
        <w:rPr>
          <w:b/>
          <w:sz w:val="24"/>
          <w:szCs w:val="24"/>
        </w:rPr>
      </w:pPr>
      <w:r w:rsidRPr="000C2646">
        <w:rPr>
          <w:b/>
          <w:sz w:val="24"/>
          <w:szCs w:val="24"/>
        </w:rPr>
        <w:t>5.3</w:t>
      </w:r>
      <w:r w:rsidRPr="000C2646">
        <w:rPr>
          <w:b/>
          <w:sz w:val="24"/>
          <w:szCs w:val="24"/>
        </w:rPr>
        <w:tab/>
      </w:r>
      <w:r w:rsidR="00BD7931" w:rsidRPr="000C2646">
        <w:rPr>
          <w:b/>
          <w:sz w:val="24"/>
          <w:szCs w:val="24"/>
        </w:rPr>
        <w:t>Non-</w:t>
      </w:r>
      <w:r w:rsidRPr="000C2646">
        <w:rPr>
          <w:b/>
          <w:sz w:val="24"/>
          <w:szCs w:val="24"/>
        </w:rPr>
        <w:t>kliniske sikkerhedsdata</w:t>
      </w:r>
    </w:p>
    <w:p w14:paraId="7A788C0E" w14:textId="77777777" w:rsidR="00925ABE" w:rsidRPr="000C2646" w:rsidRDefault="00925ABE" w:rsidP="009534FE">
      <w:pPr>
        <w:numPr>
          <w:ilvl w:val="12"/>
          <w:numId w:val="0"/>
        </w:numPr>
        <w:ind w:left="851" w:right="11"/>
        <w:rPr>
          <w:sz w:val="24"/>
          <w:szCs w:val="24"/>
        </w:rPr>
      </w:pPr>
      <w:proofErr w:type="spellStart"/>
      <w:r w:rsidRPr="000C2646">
        <w:rPr>
          <w:sz w:val="24"/>
          <w:szCs w:val="24"/>
        </w:rPr>
        <w:t>Lapatinib</w:t>
      </w:r>
      <w:proofErr w:type="spellEnd"/>
      <w:r w:rsidRPr="000C2646">
        <w:rPr>
          <w:sz w:val="24"/>
          <w:szCs w:val="24"/>
        </w:rPr>
        <w:t xml:space="preserve"> blev undersøgt hos gravide rotter og kaniner, der fik orale doser på 30, 60 og 120 mg/kg/døgn. Der sås ingen </w:t>
      </w:r>
      <w:proofErr w:type="spellStart"/>
      <w:r w:rsidRPr="000C2646">
        <w:rPr>
          <w:sz w:val="24"/>
          <w:szCs w:val="24"/>
        </w:rPr>
        <w:t>teratogen</w:t>
      </w:r>
      <w:proofErr w:type="spellEnd"/>
      <w:r w:rsidRPr="000C2646">
        <w:rPr>
          <w:sz w:val="24"/>
          <w:szCs w:val="24"/>
        </w:rPr>
        <w:t xml:space="preserve"> effekt, dog var der mindre anomalier </w:t>
      </w:r>
      <w:r w:rsidRPr="000C2646">
        <w:rPr>
          <w:sz w:val="24"/>
          <w:szCs w:val="24"/>
        </w:rPr>
        <w:lastRenderedPageBreak/>
        <w:t>(</w:t>
      </w:r>
      <w:proofErr w:type="spellStart"/>
      <w:r w:rsidRPr="000C2646">
        <w:rPr>
          <w:sz w:val="24"/>
          <w:szCs w:val="24"/>
        </w:rPr>
        <w:t>venstresidig</w:t>
      </w:r>
      <w:proofErr w:type="spellEnd"/>
      <w:r w:rsidRPr="000C2646">
        <w:rPr>
          <w:sz w:val="24"/>
          <w:szCs w:val="24"/>
        </w:rPr>
        <w:t xml:space="preserve"> </w:t>
      </w:r>
      <w:proofErr w:type="spellStart"/>
      <w:r w:rsidRPr="000C2646">
        <w:rPr>
          <w:sz w:val="24"/>
          <w:szCs w:val="24"/>
        </w:rPr>
        <w:t>umbilicus</w:t>
      </w:r>
      <w:proofErr w:type="spellEnd"/>
      <w:r w:rsidRPr="000C2646">
        <w:rPr>
          <w:sz w:val="24"/>
          <w:szCs w:val="24"/>
        </w:rPr>
        <w:t xml:space="preserve">-arterie, </w:t>
      </w:r>
      <w:proofErr w:type="spellStart"/>
      <w:r w:rsidRPr="000C2646">
        <w:rPr>
          <w:sz w:val="24"/>
          <w:szCs w:val="24"/>
        </w:rPr>
        <w:t>cervikalt</w:t>
      </w:r>
      <w:proofErr w:type="spellEnd"/>
      <w:r w:rsidRPr="000C2646">
        <w:rPr>
          <w:sz w:val="24"/>
          <w:szCs w:val="24"/>
        </w:rPr>
        <w:t xml:space="preserve"> ribben og tidlig knogledannelse) hos rotter ved ≥ 60 mg/kg/døgn (4 gange den forventede, kliniske eksponering hos mennesker). Hos kaniner er </w:t>
      </w:r>
      <w:proofErr w:type="spellStart"/>
      <w:r w:rsidRPr="000C2646">
        <w:rPr>
          <w:sz w:val="24"/>
          <w:szCs w:val="24"/>
        </w:rPr>
        <w:t>lapatinib</w:t>
      </w:r>
      <w:proofErr w:type="spellEnd"/>
      <w:r w:rsidRPr="000C2646">
        <w:rPr>
          <w:sz w:val="24"/>
          <w:szCs w:val="24"/>
        </w:rPr>
        <w:t xml:space="preserve"> blevet forbundet med toksicitet hos moderen ved 60 og 120 mg/kg/døgn (henholdsvis 8 % og 23 % af den forventede, kliniske eksponering hos mennesker) og aborter ved 120 mg/kg/døgn. Ved ≥ 60 mg/dag sås lavere fostervægt og mindre skeletvariationer. Ved udviklingsstudier med rotter før og efter fødslen sås et fald i overlevelse hos afkommet mellem fødsel og dag 21 efter doser på 60 mg/kg/døgn eller højere (5 gange den forventede, kliniske eksponering hos mennesker). Den højeste dosis uden effekt i dette studie var 20 mg/kg/døgn.</w:t>
      </w:r>
    </w:p>
    <w:p w14:paraId="7DA1E733" w14:textId="77777777" w:rsidR="00925ABE" w:rsidRPr="000C2646" w:rsidRDefault="00925ABE" w:rsidP="009534FE">
      <w:pPr>
        <w:numPr>
          <w:ilvl w:val="12"/>
          <w:numId w:val="0"/>
        </w:numPr>
        <w:ind w:left="851" w:right="11"/>
        <w:rPr>
          <w:sz w:val="24"/>
          <w:szCs w:val="24"/>
        </w:rPr>
      </w:pPr>
    </w:p>
    <w:p w14:paraId="472F81F1" w14:textId="77777777" w:rsidR="00925ABE" w:rsidRPr="000C2646" w:rsidRDefault="00925ABE" w:rsidP="009534FE">
      <w:pPr>
        <w:numPr>
          <w:ilvl w:val="12"/>
          <w:numId w:val="0"/>
        </w:numPr>
        <w:ind w:left="851" w:right="11"/>
        <w:rPr>
          <w:sz w:val="24"/>
          <w:szCs w:val="24"/>
        </w:rPr>
      </w:pPr>
      <w:r w:rsidRPr="000C2646">
        <w:rPr>
          <w:sz w:val="24"/>
          <w:szCs w:val="24"/>
        </w:rPr>
        <w:t xml:space="preserve">I orale </w:t>
      </w:r>
      <w:proofErr w:type="spellStart"/>
      <w:r w:rsidRPr="000C2646">
        <w:rPr>
          <w:sz w:val="24"/>
          <w:szCs w:val="24"/>
        </w:rPr>
        <w:t>karcinogenicitetsstudier</w:t>
      </w:r>
      <w:proofErr w:type="spellEnd"/>
      <w:r w:rsidRPr="000C2646">
        <w:rPr>
          <w:sz w:val="24"/>
          <w:szCs w:val="24"/>
        </w:rPr>
        <w:t xml:space="preserve"> med </w:t>
      </w:r>
      <w:proofErr w:type="spellStart"/>
      <w:r w:rsidRPr="000C2646">
        <w:rPr>
          <w:sz w:val="24"/>
          <w:szCs w:val="24"/>
        </w:rPr>
        <w:t>lapatinib</w:t>
      </w:r>
      <w:proofErr w:type="spellEnd"/>
      <w:r w:rsidRPr="000C2646">
        <w:rPr>
          <w:sz w:val="24"/>
          <w:szCs w:val="24"/>
        </w:rPr>
        <w:t xml:space="preserve"> er set alvorlige hudlæsioner ved de højeste afprøvede doser. De resulterede i en påvirkning, som </w:t>
      </w:r>
      <w:r w:rsidRPr="000C2646">
        <w:rPr>
          <w:sz w:val="24"/>
          <w:szCs w:val="24"/>
        </w:rPr>
        <w:sym w:font="Symbol" w:char="F02D"/>
      </w:r>
      <w:r w:rsidRPr="000C2646">
        <w:rPr>
          <w:sz w:val="24"/>
          <w:szCs w:val="24"/>
        </w:rPr>
        <w:t xml:space="preserve"> baseret på AUC </w:t>
      </w:r>
      <w:r w:rsidRPr="000C2646">
        <w:rPr>
          <w:sz w:val="24"/>
          <w:szCs w:val="24"/>
        </w:rPr>
        <w:sym w:font="Symbol" w:char="F02D"/>
      </w:r>
      <w:r w:rsidRPr="000C2646">
        <w:rPr>
          <w:sz w:val="24"/>
          <w:szCs w:val="24"/>
        </w:rPr>
        <w:t xml:space="preserve"> var op til 2 gange større hos mus og hanrotter og op til 15 gange større hos hunrotter sammenlignet med mennesker, som fik 1250 mg </w:t>
      </w:r>
      <w:proofErr w:type="spellStart"/>
      <w:r w:rsidRPr="000C2646">
        <w:rPr>
          <w:sz w:val="24"/>
          <w:szCs w:val="24"/>
        </w:rPr>
        <w:t>lapatinib</w:t>
      </w:r>
      <w:proofErr w:type="spellEnd"/>
      <w:r w:rsidRPr="000C2646">
        <w:rPr>
          <w:sz w:val="24"/>
          <w:szCs w:val="24"/>
        </w:rPr>
        <w:t xml:space="preserve"> én gang dagligt. Der var ingen evidens for </w:t>
      </w:r>
      <w:proofErr w:type="spellStart"/>
      <w:r w:rsidRPr="000C2646">
        <w:rPr>
          <w:sz w:val="24"/>
          <w:szCs w:val="24"/>
        </w:rPr>
        <w:t>karcinogenicitet</w:t>
      </w:r>
      <w:proofErr w:type="spellEnd"/>
      <w:r w:rsidRPr="000C2646">
        <w:rPr>
          <w:sz w:val="24"/>
          <w:szCs w:val="24"/>
        </w:rPr>
        <w:t xml:space="preserve"> hos mus. Hos rotter var forekomsten af benign </w:t>
      </w:r>
      <w:proofErr w:type="spellStart"/>
      <w:r w:rsidRPr="000C2646">
        <w:rPr>
          <w:sz w:val="24"/>
          <w:szCs w:val="24"/>
        </w:rPr>
        <w:t>hæmangiom</w:t>
      </w:r>
      <w:proofErr w:type="spellEnd"/>
      <w:r w:rsidRPr="000C2646">
        <w:rPr>
          <w:sz w:val="24"/>
          <w:szCs w:val="24"/>
        </w:rPr>
        <w:t xml:space="preserve"> i </w:t>
      </w:r>
      <w:proofErr w:type="spellStart"/>
      <w:r w:rsidRPr="000C2646">
        <w:rPr>
          <w:sz w:val="24"/>
          <w:szCs w:val="24"/>
        </w:rPr>
        <w:t>mesenteriallymfeknuder</w:t>
      </w:r>
      <w:proofErr w:type="spellEnd"/>
      <w:r w:rsidRPr="000C2646">
        <w:rPr>
          <w:sz w:val="24"/>
          <w:szCs w:val="24"/>
        </w:rPr>
        <w:t xml:space="preserve"> højere i nogle grupper end i sideløbende kontrolgrupper. Der er også set en forøgelse af nyreinfarkt og papillær nekrose hos hunrotter ved eksponeringer, der var 7-10 gange større sammenlignet med mennesker, som fik 1250 mg </w:t>
      </w:r>
      <w:proofErr w:type="spellStart"/>
      <w:r w:rsidRPr="000C2646">
        <w:rPr>
          <w:sz w:val="24"/>
          <w:szCs w:val="24"/>
        </w:rPr>
        <w:t>lapatinib</w:t>
      </w:r>
      <w:proofErr w:type="spellEnd"/>
      <w:r w:rsidRPr="000C2646">
        <w:rPr>
          <w:sz w:val="24"/>
          <w:szCs w:val="24"/>
        </w:rPr>
        <w:t xml:space="preserve"> én gang dagligt. Betydningen af disse observationer for mennesker er usikker.</w:t>
      </w:r>
    </w:p>
    <w:p w14:paraId="0498E27B" w14:textId="77777777" w:rsidR="00925ABE" w:rsidRPr="000C2646" w:rsidRDefault="00925ABE" w:rsidP="009534FE">
      <w:pPr>
        <w:numPr>
          <w:ilvl w:val="12"/>
          <w:numId w:val="0"/>
        </w:numPr>
        <w:ind w:left="851" w:right="11"/>
        <w:rPr>
          <w:sz w:val="24"/>
          <w:szCs w:val="24"/>
        </w:rPr>
      </w:pPr>
    </w:p>
    <w:p w14:paraId="783539AF" w14:textId="77777777" w:rsidR="00925ABE" w:rsidRPr="000C2646" w:rsidRDefault="00925ABE" w:rsidP="009534FE">
      <w:pPr>
        <w:numPr>
          <w:ilvl w:val="12"/>
          <w:numId w:val="0"/>
        </w:numPr>
        <w:ind w:left="851" w:right="11"/>
        <w:rPr>
          <w:sz w:val="24"/>
          <w:szCs w:val="24"/>
        </w:rPr>
      </w:pPr>
      <w:r w:rsidRPr="000C2646">
        <w:rPr>
          <w:sz w:val="24"/>
          <w:szCs w:val="24"/>
        </w:rPr>
        <w:t xml:space="preserve">Der var ingen virkning på </w:t>
      </w:r>
      <w:proofErr w:type="spellStart"/>
      <w:r w:rsidRPr="000C2646">
        <w:rPr>
          <w:sz w:val="24"/>
          <w:szCs w:val="24"/>
        </w:rPr>
        <w:t>gonadefunktion</w:t>
      </w:r>
      <w:proofErr w:type="spellEnd"/>
      <w:r w:rsidRPr="000C2646">
        <w:rPr>
          <w:sz w:val="24"/>
          <w:szCs w:val="24"/>
        </w:rPr>
        <w:t xml:space="preserve"> hos han- eller hunrotter, parring eller fertilitet ved doser på op til 120 mg/kg/døgn (hunrotter) og op til 180 mg/kg/døgn (hanrotter) (henholdsvis 8 og 3 gange den forventede, kliniske eksponering hos mennesker). Virkningen på human fertilitet er ukendt.</w:t>
      </w:r>
    </w:p>
    <w:p w14:paraId="2CF2E6D6" w14:textId="77777777" w:rsidR="00925ABE" w:rsidRPr="000C2646" w:rsidRDefault="00925ABE" w:rsidP="009534FE">
      <w:pPr>
        <w:numPr>
          <w:ilvl w:val="12"/>
          <w:numId w:val="0"/>
        </w:numPr>
        <w:ind w:left="851" w:right="11"/>
        <w:rPr>
          <w:sz w:val="24"/>
          <w:szCs w:val="24"/>
        </w:rPr>
      </w:pPr>
    </w:p>
    <w:p w14:paraId="7D8E67BF" w14:textId="77777777" w:rsidR="00925ABE" w:rsidRPr="000C2646" w:rsidRDefault="00925ABE" w:rsidP="009534FE">
      <w:pPr>
        <w:numPr>
          <w:ilvl w:val="12"/>
          <w:numId w:val="0"/>
        </w:numPr>
        <w:ind w:left="851" w:right="11"/>
        <w:rPr>
          <w:sz w:val="24"/>
          <w:szCs w:val="24"/>
        </w:rPr>
      </w:pPr>
      <w:proofErr w:type="spellStart"/>
      <w:r w:rsidRPr="000C2646">
        <w:rPr>
          <w:sz w:val="24"/>
          <w:szCs w:val="24"/>
        </w:rPr>
        <w:t>Lapatinib</w:t>
      </w:r>
      <w:proofErr w:type="spellEnd"/>
      <w:r w:rsidRPr="000C2646">
        <w:rPr>
          <w:sz w:val="24"/>
          <w:szCs w:val="24"/>
        </w:rPr>
        <w:t xml:space="preserve"> var ikke </w:t>
      </w:r>
      <w:proofErr w:type="spellStart"/>
      <w:r w:rsidRPr="000C2646">
        <w:rPr>
          <w:sz w:val="24"/>
          <w:szCs w:val="24"/>
        </w:rPr>
        <w:t>klastogent</w:t>
      </w:r>
      <w:proofErr w:type="spellEnd"/>
      <w:r w:rsidRPr="000C2646">
        <w:rPr>
          <w:sz w:val="24"/>
          <w:szCs w:val="24"/>
        </w:rPr>
        <w:t xml:space="preserve"> eller mutagent i en række analyser herunder kromosomafvigelser hos kinesiske hamstere, </w:t>
      </w:r>
      <w:proofErr w:type="spellStart"/>
      <w:r w:rsidRPr="000C2646">
        <w:rPr>
          <w:sz w:val="24"/>
          <w:szCs w:val="24"/>
        </w:rPr>
        <w:t>Ames</w:t>
      </w:r>
      <w:proofErr w:type="spellEnd"/>
      <w:r w:rsidRPr="000C2646">
        <w:rPr>
          <w:sz w:val="24"/>
          <w:szCs w:val="24"/>
        </w:rPr>
        <w:t xml:space="preserve">’ test, kromosomafvigelser i humane lymfocytter og </w:t>
      </w:r>
      <w:r w:rsidRPr="000C2646">
        <w:rPr>
          <w:i/>
          <w:iCs/>
          <w:sz w:val="24"/>
          <w:szCs w:val="24"/>
        </w:rPr>
        <w:t xml:space="preserve">in </w:t>
      </w:r>
      <w:proofErr w:type="spellStart"/>
      <w:r w:rsidRPr="000C2646">
        <w:rPr>
          <w:i/>
          <w:iCs/>
          <w:sz w:val="24"/>
          <w:szCs w:val="24"/>
        </w:rPr>
        <w:t>vivo</w:t>
      </w:r>
      <w:proofErr w:type="spellEnd"/>
      <w:r w:rsidRPr="000C2646">
        <w:rPr>
          <w:sz w:val="24"/>
          <w:szCs w:val="24"/>
        </w:rPr>
        <w:t>-kromosomafvigelser i knoglemarv hos rotter.</w:t>
      </w:r>
    </w:p>
    <w:p w14:paraId="1A8A1ED4" w14:textId="71CF610B" w:rsidR="009260DE" w:rsidRDefault="009260DE" w:rsidP="009260DE">
      <w:pPr>
        <w:tabs>
          <w:tab w:val="left" w:pos="851"/>
        </w:tabs>
        <w:ind w:left="851"/>
        <w:rPr>
          <w:sz w:val="24"/>
          <w:szCs w:val="24"/>
        </w:rPr>
      </w:pPr>
    </w:p>
    <w:p w14:paraId="3BCAD7E3" w14:textId="77777777" w:rsidR="004D4694" w:rsidRPr="000C2646" w:rsidRDefault="004D4694" w:rsidP="009260DE">
      <w:pPr>
        <w:tabs>
          <w:tab w:val="left" w:pos="851"/>
        </w:tabs>
        <w:ind w:left="851"/>
        <w:rPr>
          <w:sz w:val="24"/>
          <w:szCs w:val="24"/>
        </w:rPr>
      </w:pPr>
    </w:p>
    <w:p w14:paraId="3FCD6B61" w14:textId="77777777" w:rsidR="009260DE" w:rsidRPr="000C2646" w:rsidRDefault="009260DE" w:rsidP="009260DE">
      <w:pPr>
        <w:tabs>
          <w:tab w:val="left" w:pos="851"/>
        </w:tabs>
        <w:ind w:left="851" w:hanging="851"/>
        <w:rPr>
          <w:b/>
          <w:sz w:val="24"/>
          <w:szCs w:val="24"/>
        </w:rPr>
      </w:pPr>
      <w:r w:rsidRPr="000C2646">
        <w:rPr>
          <w:b/>
          <w:sz w:val="24"/>
          <w:szCs w:val="24"/>
        </w:rPr>
        <w:t>6.</w:t>
      </w:r>
      <w:r w:rsidRPr="000C2646">
        <w:rPr>
          <w:b/>
          <w:sz w:val="24"/>
          <w:szCs w:val="24"/>
        </w:rPr>
        <w:tab/>
        <w:t>FARMACEUTISKE OPLYSNINGER</w:t>
      </w:r>
    </w:p>
    <w:p w14:paraId="469D4333" w14:textId="77777777" w:rsidR="009260DE" w:rsidRPr="000C2646" w:rsidRDefault="009260DE" w:rsidP="009260DE">
      <w:pPr>
        <w:tabs>
          <w:tab w:val="left" w:pos="851"/>
        </w:tabs>
        <w:ind w:left="851"/>
        <w:rPr>
          <w:sz w:val="24"/>
          <w:szCs w:val="24"/>
        </w:rPr>
      </w:pPr>
    </w:p>
    <w:p w14:paraId="1A27E900" w14:textId="77777777" w:rsidR="009260DE" w:rsidRPr="000C2646" w:rsidRDefault="009260DE" w:rsidP="009260DE">
      <w:pPr>
        <w:tabs>
          <w:tab w:val="left" w:pos="851"/>
        </w:tabs>
        <w:ind w:left="851" w:hanging="851"/>
        <w:rPr>
          <w:b/>
          <w:sz w:val="24"/>
          <w:szCs w:val="24"/>
        </w:rPr>
      </w:pPr>
      <w:r w:rsidRPr="000C2646">
        <w:rPr>
          <w:b/>
          <w:sz w:val="24"/>
          <w:szCs w:val="24"/>
        </w:rPr>
        <w:t>6.1</w:t>
      </w:r>
      <w:r w:rsidRPr="000C2646">
        <w:rPr>
          <w:b/>
          <w:sz w:val="24"/>
          <w:szCs w:val="24"/>
        </w:rPr>
        <w:tab/>
        <w:t>Hjælpestoffer</w:t>
      </w:r>
    </w:p>
    <w:p w14:paraId="71002789" w14:textId="77777777" w:rsidR="004D4694" w:rsidRDefault="004D4694" w:rsidP="004D4694">
      <w:pPr>
        <w:ind w:left="851"/>
        <w:rPr>
          <w:sz w:val="24"/>
          <w:szCs w:val="24"/>
        </w:rPr>
      </w:pPr>
    </w:p>
    <w:p w14:paraId="4775E2AF" w14:textId="2EFB1277" w:rsidR="00925ABE" w:rsidRPr="004D4694" w:rsidRDefault="00925ABE" w:rsidP="004D4694">
      <w:pPr>
        <w:ind w:left="851"/>
        <w:rPr>
          <w:sz w:val="24"/>
          <w:szCs w:val="24"/>
          <w:u w:val="single"/>
        </w:rPr>
      </w:pPr>
      <w:r w:rsidRPr="004D4694">
        <w:rPr>
          <w:sz w:val="24"/>
          <w:szCs w:val="24"/>
          <w:u w:val="single"/>
        </w:rPr>
        <w:t>Tabletkerne</w:t>
      </w:r>
    </w:p>
    <w:p w14:paraId="108636C8" w14:textId="77777777" w:rsidR="00925ABE" w:rsidRPr="004D4694" w:rsidRDefault="00925ABE" w:rsidP="004D4694">
      <w:pPr>
        <w:ind w:left="851"/>
        <w:rPr>
          <w:sz w:val="24"/>
          <w:szCs w:val="24"/>
        </w:rPr>
      </w:pPr>
      <w:r w:rsidRPr="004D4694">
        <w:rPr>
          <w:sz w:val="24"/>
          <w:szCs w:val="24"/>
        </w:rPr>
        <w:t>Cellulose, mikrokrystallinsk (E460)</w:t>
      </w:r>
    </w:p>
    <w:p w14:paraId="07F05D05" w14:textId="77777777" w:rsidR="00925ABE" w:rsidRPr="004D4694" w:rsidRDefault="00925ABE" w:rsidP="004D4694">
      <w:pPr>
        <w:ind w:left="851"/>
        <w:rPr>
          <w:sz w:val="24"/>
          <w:szCs w:val="24"/>
          <w:lang w:val="en-US"/>
        </w:rPr>
      </w:pPr>
      <w:proofErr w:type="spellStart"/>
      <w:r w:rsidRPr="004D4694">
        <w:rPr>
          <w:sz w:val="24"/>
          <w:szCs w:val="24"/>
          <w:lang w:val="en-US"/>
        </w:rPr>
        <w:t>Natriumstivelsesglycolat</w:t>
      </w:r>
      <w:proofErr w:type="spellEnd"/>
    </w:p>
    <w:p w14:paraId="2B2D2B6F" w14:textId="77777777" w:rsidR="00925ABE" w:rsidRPr="004D4694" w:rsidRDefault="00925ABE" w:rsidP="004D4694">
      <w:pPr>
        <w:ind w:left="851"/>
        <w:rPr>
          <w:sz w:val="24"/>
          <w:szCs w:val="24"/>
          <w:lang w:val="en-US"/>
        </w:rPr>
      </w:pPr>
      <w:proofErr w:type="spellStart"/>
      <w:r w:rsidRPr="004D4694">
        <w:rPr>
          <w:sz w:val="24"/>
          <w:szCs w:val="24"/>
          <w:lang w:val="en-US"/>
        </w:rPr>
        <w:t>Povidon</w:t>
      </w:r>
      <w:proofErr w:type="spellEnd"/>
      <w:r w:rsidRPr="004D4694">
        <w:rPr>
          <w:sz w:val="24"/>
          <w:szCs w:val="24"/>
          <w:lang w:val="en-US"/>
        </w:rPr>
        <w:t xml:space="preserve"> (E1201)</w:t>
      </w:r>
    </w:p>
    <w:p w14:paraId="7EE81803" w14:textId="77777777" w:rsidR="00925ABE" w:rsidRPr="004D4694" w:rsidRDefault="00925ABE" w:rsidP="004D4694">
      <w:pPr>
        <w:ind w:left="851"/>
        <w:rPr>
          <w:sz w:val="24"/>
          <w:szCs w:val="24"/>
          <w:lang w:val="en-US"/>
        </w:rPr>
      </w:pPr>
      <w:proofErr w:type="spellStart"/>
      <w:r w:rsidRPr="004D4694">
        <w:rPr>
          <w:sz w:val="24"/>
          <w:szCs w:val="24"/>
          <w:lang w:val="en-US"/>
        </w:rPr>
        <w:t>Magnesiumstearat</w:t>
      </w:r>
      <w:proofErr w:type="spellEnd"/>
      <w:r w:rsidRPr="004D4694">
        <w:rPr>
          <w:sz w:val="24"/>
          <w:szCs w:val="24"/>
          <w:lang w:val="en-US"/>
        </w:rPr>
        <w:t xml:space="preserve"> (E470b)</w:t>
      </w:r>
    </w:p>
    <w:p w14:paraId="28EE315D" w14:textId="77777777" w:rsidR="00925ABE" w:rsidRPr="004D4694" w:rsidRDefault="00925ABE" w:rsidP="004D4694">
      <w:pPr>
        <w:ind w:left="851"/>
        <w:rPr>
          <w:sz w:val="24"/>
          <w:szCs w:val="24"/>
          <w:lang w:val="en-US"/>
        </w:rPr>
      </w:pPr>
    </w:p>
    <w:p w14:paraId="54E88371" w14:textId="77777777" w:rsidR="00925ABE" w:rsidRPr="004D4694" w:rsidRDefault="00925ABE" w:rsidP="004D4694">
      <w:pPr>
        <w:ind w:left="851"/>
        <w:rPr>
          <w:sz w:val="24"/>
          <w:szCs w:val="24"/>
          <w:u w:val="single"/>
        </w:rPr>
      </w:pPr>
      <w:r w:rsidRPr="004D4694">
        <w:rPr>
          <w:sz w:val="24"/>
          <w:szCs w:val="24"/>
          <w:u w:val="single"/>
        </w:rPr>
        <w:t>Tabletovertræk</w:t>
      </w:r>
    </w:p>
    <w:p w14:paraId="77076AE7" w14:textId="77777777" w:rsidR="00925ABE" w:rsidRPr="004D4694" w:rsidRDefault="00925ABE" w:rsidP="004D4694">
      <w:pPr>
        <w:ind w:left="851"/>
        <w:rPr>
          <w:sz w:val="24"/>
          <w:szCs w:val="24"/>
        </w:rPr>
      </w:pPr>
      <w:proofErr w:type="spellStart"/>
      <w:r w:rsidRPr="004D4694">
        <w:rPr>
          <w:sz w:val="24"/>
          <w:szCs w:val="24"/>
        </w:rPr>
        <w:t>Hypromellose</w:t>
      </w:r>
      <w:proofErr w:type="spellEnd"/>
      <w:r w:rsidRPr="004D4694">
        <w:rPr>
          <w:sz w:val="24"/>
          <w:szCs w:val="24"/>
        </w:rPr>
        <w:t xml:space="preserve"> (E464)</w:t>
      </w:r>
    </w:p>
    <w:p w14:paraId="729D0C7C" w14:textId="77777777" w:rsidR="00925ABE" w:rsidRPr="004D4694" w:rsidRDefault="00925ABE" w:rsidP="004D4694">
      <w:pPr>
        <w:ind w:left="851"/>
        <w:rPr>
          <w:sz w:val="24"/>
          <w:szCs w:val="24"/>
        </w:rPr>
      </w:pPr>
      <w:r w:rsidRPr="004D4694">
        <w:rPr>
          <w:sz w:val="24"/>
          <w:szCs w:val="24"/>
        </w:rPr>
        <w:t>Titandioxid (E171)</w:t>
      </w:r>
    </w:p>
    <w:p w14:paraId="0DF4F8E5" w14:textId="77777777" w:rsidR="00925ABE" w:rsidRPr="004D4694" w:rsidRDefault="00925ABE" w:rsidP="004D4694">
      <w:pPr>
        <w:ind w:left="851"/>
        <w:rPr>
          <w:sz w:val="24"/>
          <w:szCs w:val="24"/>
          <w:lang w:val="en-US"/>
        </w:rPr>
      </w:pPr>
      <w:r w:rsidRPr="004D4694">
        <w:rPr>
          <w:sz w:val="24"/>
          <w:szCs w:val="24"/>
          <w:lang w:val="en-US"/>
        </w:rPr>
        <w:t>Macrogol (E1521)</w:t>
      </w:r>
    </w:p>
    <w:p w14:paraId="09FD28CF" w14:textId="77777777" w:rsidR="00925ABE" w:rsidRPr="004D4694" w:rsidRDefault="00925ABE" w:rsidP="004D4694">
      <w:pPr>
        <w:ind w:left="851"/>
        <w:rPr>
          <w:sz w:val="24"/>
          <w:szCs w:val="24"/>
          <w:lang w:val="en-US"/>
        </w:rPr>
      </w:pPr>
      <w:proofErr w:type="spellStart"/>
      <w:r w:rsidRPr="004D4694">
        <w:rPr>
          <w:sz w:val="24"/>
          <w:szCs w:val="24"/>
          <w:lang w:val="en-US"/>
        </w:rPr>
        <w:t>Polysorbat</w:t>
      </w:r>
      <w:proofErr w:type="spellEnd"/>
      <w:r w:rsidRPr="004D4694">
        <w:rPr>
          <w:sz w:val="24"/>
          <w:szCs w:val="24"/>
          <w:lang w:val="en-US"/>
        </w:rPr>
        <w:t xml:space="preserve"> 80 (E433)</w:t>
      </w:r>
    </w:p>
    <w:p w14:paraId="501348D7" w14:textId="77777777" w:rsidR="00925ABE" w:rsidRPr="004D4694" w:rsidRDefault="00925ABE" w:rsidP="004D4694">
      <w:pPr>
        <w:ind w:left="851"/>
        <w:rPr>
          <w:sz w:val="24"/>
          <w:szCs w:val="24"/>
          <w:lang w:val="en-US"/>
        </w:rPr>
      </w:pPr>
      <w:proofErr w:type="spellStart"/>
      <w:r w:rsidRPr="004D4694">
        <w:rPr>
          <w:sz w:val="24"/>
          <w:szCs w:val="24"/>
          <w:lang w:val="en-US"/>
        </w:rPr>
        <w:t>Jernoxid</w:t>
      </w:r>
      <w:proofErr w:type="spellEnd"/>
      <w:r w:rsidRPr="004D4694">
        <w:rPr>
          <w:sz w:val="24"/>
          <w:szCs w:val="24"/>
          <w:lang w:val="en-US"/>
        </w:rPr>
        <w:t xml:space="preserve">, </w:t>
      </w:r>
      <w:proofErr w:type="spellStart"/>
      <w:r w:rsidRPr="004D4694">
        <w:rPr>
          <w:sz w:val="24"/>
          <w:szCs w:val="24"/>
          <w:lang w:val="en-US"/>
        </w:rPr>
        <w:t>gul</w:t>
      </w:r>
      <w:proofErr w:type="spellEnd"/>
      <w:r w:rsidRPr="004D4694">
        <w:rPr>
          <w:sz w:val="24"/>
          <w:szCs w:val="24"/>
          <w:lang w:val="en-US"/>
        </w:rPr>
        <w:t xml:space="preserve"> (E172)</w:t>
      </w:r>
    </w:p>
    <w:p w14:paraId="2AD3D909" w14:textId="77777777" w:rsidR="009260DE" w:rsidRPr="000C2646" w:rsidRDefault="009260DE" w:rsidP="009260DE">
      <w:pPr>
        <w:tabs>
          <w:tab w:val="left" w:pos="851"/>
        </w:tabs>
        <w:ind w:left="851"/>
        <w:rPr>
          <w:sz w:val="24"/>
          <w:szCs w:val="24"/>
          <w:lang w:val="en-US"/>
        </w:rPr>
      </w:pPr>
    </w:p>
    <w:p w14:paraId="1C39EB90" w14:textId="77777777" w:rsidR="009260DE" w:rsidRPr="000C2646" w:rsidRDefault="009260DE" w:rsidP="009260DE">
      <w:pPr>
        <w:tabs>
          <w:tab w:val="left" w:pos="851"/>
        </w:tabs>
        <w:ind w:left="851" w:hanging="851"/>
        <w:rPr>
          <w:b/>
          <w:sz w:val="24"/>
          <w:szCs w:val="24"/>
        </w:rPr>
      </w:pPr>
      <w:r w:rsidRPr="000C2646">
        <w:rPr>
          <w:b/>
          <w:sz w:val="24"/>
          <w:szCs w:val="24"/>
        </w:rPr>
        <w:t>6.2</w:t>
      </w:r>
      <w:r w:rsidRPr="000C2646">
        <w:rPr>
          <w:b/>
          <w:sz w:val="24"/>
          <w:szCs w:val="24"/>
        </w:rPr>
        <w:tab/>
        <w:t>Uforligeligheder</w:t>
      </w:r>
    </w:p>
    <w:p w14:paraId="4BEF6F70" w14:textId="77777777" w:rsidR="00925ABE" w:rsidRPr="000C2646" w:rsidRDefault="00925ABE" w:rsidP="009534FE">
      <w:pPr>
        <w:ind w:left="851"/>
        <w:rPr>
          <w:sz w:val="24"/>
          <w:szCs w:val="24"/>
        </w:rPr>
      </w:pPr>
      <w:r w:rsidRPr="000C2646">
        <w:rPr>
          <w:sz w:val="24"/>
          <w:szCs w:val="24"/>
        </w:rPr>
        <w:t>Ikke relevant.</w:t>
      </w:r>
    </w:p>
    <w:p w14:paraId="5179FE84" w14:textId="0946ACD9" w:rsidR="002417A3" w:rsidRDefault="002417A3">
      <w:pPr>
        <w:rPr>
          <w:sz w:val="24"/>
          <w:szCs w:val="24"/>
        </w:rPr>
      </w:pPr>
      <w:r>
        <w:rPr>
          <w:sz w:val="24"/>
          <w:szCs w:val="24"/>
        </w:rPr>
        <w:br w:type="page"/>
      </w:r>
    </w:p>
    <w:p w14:paraId="7761AAB7" w14:textId="77777777" w:rsidR="009260DE" w:rsidRPr="000C2646" w:rsidRDefault="009260DE" w:rsidP="009260DE">
      <w:pPr>
        <w:tabs>
          <w:tab w:val="left" w:pos="851"/>
        </w:tabs>
        <w:ind w:left="851"/>
        <w:rPr>
          <w:sz w:val="24"/>
          <w:szCs w:val="24"/>
        </w:rPr>
      </w:pPr>
    </w:p>
    <w:p w14:paraId="5025E6E4" w14:textId="77777777" w:rsidR="009260DE" w:rsidRPr="000C2646" w:rsidRDefault="009260DE" w:rsidP="009260DE">
      <w:pPr>
        <w:tabs>
          <w:tab w:val="left" w:pos="851"/>
        </w:tabs>
        <w:ind w:left="851" w:hanging="851"/>
        <w:rPr>
          <w:b/>
          <w:sz w:val="24"/>
          <w:szCs w:val="24"/>
        </w:rPr>
      </w:pPr>
      <w:r w:rsidRPr="000C2646">
        <w:rPr>
          <w:b/>
          <w:sz w:val="24"/>
          <w:szCs w:val="24"/>
        </w:rPr>
        <w:t>6.3</w:t>
      </w:r>
      <w:r w:rsidRPr="000C2646">
        <w:rPr>
          <w:b/>
          <w:sz w:val="24"/>
          <w:szCs w:val="24"/>
        </w:rPr>
        <w:tab/>
        <w:t>Opbevaringstid</w:t>
      </w:r>
    </w:p>
    <w:p w14:paraId="16AAF5FC" w14:textId="2DF99779" w:rsidR="00925ABE" w:rsidRPr="000C2646" w:rsidRDefault="00925ABE" w:rsidP="009534FE">
      <w:pPr>
        <w:ind w:left="851"/>
        <w:rPr>
          <w:sz w:val="24"/>
          <w:szCs w:val="24"/>
        </w:rPr>
      </w:pPr>
      <w:r w:rsidRPr="000C2646">
        <w:rPr>
          <w:sz w:val="24"/>
          <w:szCs w:val="24"/>
        </w:rPr>
        <w:t>3 år</w:t>
      </w:r>
    </w:p>
    <w:p w14:paraId="7BE07392" w14:textId="77777777" w:rsidR="009260DE" w:rsidRPr="000C2646" w:rsidRDefault="009260DE" w:rsidP="009260DE">
      <w:pPr>
        <w:tabs>
          <w:tab w:val="left" w:pos="851"/>
        </w:tabs>
        <w:ind w:left="851"/>
        <w:rPr>
          <w:sz w:val="24"/>
          <w:szCs w:val="24"/>
        </w:rPr>
      </w:pPr>
    </w:p>
    <w:p w14:paraId="6CBE9821" w14:textId="77777777" w:rsidR="009260DE" w:rsidRPr="000C2646" w:rsidRDefault="009260DE" w:rsidP="009260DE">
      <w:pPr>
        <w:tabs>
          <w:tab w:val="left" w:pos="851"/>
        </w:tabs>
        <w:ind w:left="851" w:hanging="851"/>
        <w:rPr>
          <w:b/>
          <w:sz w:val="24"/>
          <w:szCs w:val="24"/>
        </w:rPr>
      </w:pPr>
      <w:r w:rsidRPr="000C2646">
        <w:rPr>
          <w:b/>
          <w:sz w:val="24"/>
          <w:szCs w:val="24"/>
        </w:rPr>
        <w:t>6.4</w:t>
      </w:r>
      <w:r w:rsidRPr="000C2646">
        <w:rPr>
          <w:b/>
          <w:sz w:val="24"/>
          <w:szCs w:val="24"/>
        </w:rPr>
        <w:tab/>
        <w:t>Særlige opbevaringsforhold</w:t>
      </w:r>
    </w:p>
    <w:p w14:paraId="1292F514" w14:textId="77777777" w:rsidR="00925ABE" w:rsidRPr="000C2646" w:rsidRDefault="00925ABE" w:rsidP="009534FE">
      <w:pPr>
        <w:ind w:left="851"/>
        <w:rPr>
          <w:sz w:val="24"/>
          <w:szCs w:val="24"/>
          <w:highlight w:val="yellow"/>
        </w:rPr>
      </w:pPr>
      <w:r w:rsidRPr="000C2646">
        <w:rPr>
          <w:sz w:val="24"/>
          <w:szCs w:val="24"/>
        </w:rPr>
        <w:t>Dette lægemiddel kræver ingen særlige forholdsregler vedrørende opbevaringen.</w:t>
      </w:r>
    </w:p>
    <w:p w14:paraId="18DB7D23" w14:textId="77777777" w:rsidR="009260DE" w:rsidRPr="000C2646" w:rsidRDefault="009260DE" w:rsidP="009260DE">
      <w:pPr>
        <w:tabs>
          <w:tab w:val="left" w:pos="851"/>
        </w:tabs>
        <w:ind w:left="851"/>
        <w:rPr>
          <w:sz w:val="24"/>
          <w:szCs w:val="24"/>
        </w:rPr>
      </w:pPr>
    </w:p>
    <w:p w14:paraId="375C7916" w14:textId="77777777" w:rsidR="009260DE" w:rsidRPr="000C2646" w:rsidRDefault="009260DE" w:rsidP="009260DE">
      <w:pPr>
        <w:tabs>
          <w:tab w:val="left" w:pos="851"/>
        </w:tabs>
        <w:ind w:left="851" w:hanging="851"/>
        <w:rPr>
          <w:b/>
          <w:sz w:val="24"/>
          <w:szCs w:val="24"/>
        </w:rPr>
      </w:pPr>
      <w:r w:rsidRPr="000C2646">
        <w:rPr>
          <w:b/>
          <w:sz w:val="24"/>
          <w:szCs w:val="24"/>
        </w:rPr>
        <w:t>6.5</w:t>
      </w:r>
      <w:r w:rsidRPr="000C2646">
        <w:rPr>
          <w:b/>
          <w:sz w:val="24"/>
          <w:szCs w:val="24"/>
        </w:rPr>
        <w:tab/>
        <w:t>Emballagetype og pakningsstørrelser</w:t>
      </w:r>
    </w:p>
    <w:p w14:paraId="3690E2FA" w14:textId="7B14B4A7" w:rsidR="00925ABE" w:rsidRPr="000C2646" w:rsidRDefault="00925ABE" w:rsidP="000C2646">
      <w:pPr>
        <w:autoSpaceDE w:val="0"/>
        <w:autoSpaceDN w:val="0"/>
        <w:adjustRightInd w:val="0"/>
        <w:ind w:left="851"/>
        <w:rPr>
          <w:sz w:val="24"/>
          <w:szCs w:val="24"/>
          <w:lang w:eastAsia="en-GB"/>
        </w:rPr>
      </w:pPr>
      <w:proofErr w:type="spellStart"/>
      <w:r w:rsidRPr="000C2646">
        <w:rPr>
          <w:sz w:val="24"/>
          <w:szCs w:val="24"/>
          <w:lang w:eastAsia="en-GB"/>
        </w:rPr>
        <w:t>Lapatinib</w:t>
      </w:r>
      <w:proofErr w:type="spellEnd"/>
      <w:r w:rsidRPr="000C2646">
        <w:rPr>
          <w:sz w:val="24"/>
          <w:szCs w:val="24"/>
          <w:lang w:eastAsia="en-GB"/>
        </w:rPr>
        <w:t xml:space="preserve"> </w:t>
      </w:r>
      <w:r w:rsidR="002417A3">
        <w:rPr>
          <w:sz w:val="24"/>
          <w:szCs w:val="24"/>
          <w:lang w:eastAsia="en-GB"/>
        </w:rPr>
        <w:t>"</w:t>
      </w:r>
      <w:proofErr w:type="spellStart"/>
      <w:r w:rsidRPr="000C2646">
        <w:rPr>
          <w:sz w:val="24"/>
          <w:szCs w:val="24"/>
          <w:lang w:eastAsia="en-GB"/>
        </w:rPr>
        <w:t>Newbury</w:t>
      </w:r>
      <w:proofErr w:type="spellEnd"/>
      <w:r w:rsidR="002417A3">
        <w:rPr>
          <w:sz w:val="24"/>
          <w:szCs w:val="24"/>
          <w:lang w:eastAsia="en-GB"/>
        </w:rPr>
        <w:t>"</w:t>
      </w:r>
      <w:r w:rsidRPr="000C2646">
        <w:rPr>
          <w:sz w:val="24"/>
          <w:szCs w:val="24"/>
          <w:lang w:eastAsia="en-GB"/>
        </w:rPr>
        <w:t xml:space="preserve"> leveres i enten blisterpakninger eller HDPE-beholdere.</w:t>
      </w:r>
    </w:p>
    <w:p w14:paraId="6F6058AD" w14:textId="77777777" w:rsidR="00925ABE" w:rsidRPr="000C2646" w:rsidRDefault="00925ABE" w:rsidP="000C2646">
      <w:pPr>
        <w:autoSpaceDE w:val="0"/>
        <w:autoSpaceDN w:val="0"/>
        <w:adjustRightInd w:val="0"/>
        <w:ind w:left="851"/>
        <w:rPr>
          <w:sz w:val="24"/>
          <w:szCs w:val="24"/>
          <w:lang w:eastAsia="en-GB"/>
        </w:rPr>
      </w:pPr>
    </w:p>
    <w:p w14:paraId="5E36C61A" w14:textId="77777777" w:rsidR="00925ABE" w:rsidRPr="00CA587D" w:rsidRDefault="00925ABE" w:rsidP="00CA587D">
      <w:pPr>
        <w:ind w:left="851"/>
        <w:rPr>
          <w:sz w:val="24"/>
          <w:szCs w:val="24"/>
          <w:u w:val="single"/>
          <w:lang w:eastAsia="en-GB"/>
        </w:rPr>
      </w:pPr>
      <w:r w:rsidRPr="00CA587D">
        <w:rPr>
          <w:sz w:val="24"/>
          <w:szCs w:val="24"/>
          <w:u w:val="single"/>
          <w:lang w:eastAsia="en-GB"/>
        </w:rPr>
        <w:t>Blisterpakninger</w:t>
      </w:r>
    </w:p>
    <w:p w14:paraId="765ACAF4" w14:textId="77777777" w:rsidR="00925ABE" w:rsidRPr="00CA587D" w:rsidRDefault="00925ABE" w:rsidP="00CA587D">
      <w:pPr>
        <w:ind w:left="851"/>
        <w:rPr>
          <w:sz w:val="24"/>
          <w:szCs w:val="24"/>
          <w:lang w:eastAsia="en-GB"/>
        </w:rPr>
      </w:pPr>
    </w:p>
    <w:p w14:paraId="1428E7FB" w14:textId="77777777" w:rsidR="00925ABE" w:rsidRPr="00CA587D" w:rsidRDefault="00925ABE" w:rsidP="00CA587D">
      <w:pPr>
        <w:ind w:left="851"/>
        <w:rPr>
          <w:i/>
          <w:iCs/>
          <w:sz w:val="24"/>
          <w:szCs w:val="24"/>
          <w:u w:val="single"/>
          <w:lang w:eastAsia="en-GB"/>
        </w:rPr>
      </w:pPr>
      <w:proofErr w:type="spellStart"/>
      <w:r w:rsidRPr="00CA587D">
        <w:rPr>
          <w:i/>
          <w:iCs/>
          <w:sz w:val="24"/>
          <w:szCs w:val="24"/>
          <w:u w:val="single"/>
          <w:lang w:eastAsia="en-GB"/>
        </w:rPr>
        <w:t>Lapatinib</w:t>
      </w:r>
      <w:proofErr w:type="spellEnd"/>
      <w:r w:rsidRPr="00CA587D">
        <w:rPr>
          <w:i/>
          <w:iCs/>
          <w:sz w:val="24"/>
          <w:szCs w:val="24"/>
          <w:u w:val="single"/>
          <w:lang w:eastAsia="en-GB"/>
        </w:rPr>
        <w:t>/</w:t>
      </w:r>
      <w:proofErr w:type="spellStart"/>
      <w:r w:rsidRPr="00CA587D">
        <w:rPr>
          <w:i/>
          <w:iCs/>
          <w:sz w:val="24"/>
          <w:szCs w:val="24"/>
          <w:u w:val="single"/>
          <w:lang w:eastAsia="en-GB"/>
        </w:rPr>
        <w:t>capecitabin</w:t>
      </w:r>
      <w:proofErr w:type="spellEnd"/>
      <w:r w:rsidRPr="00CA587D">
        <w:rPr>
          <w:i/>
          <w:iCs/>
          <w:sz w:val="24"/>
          <w:szCs w:val="24"/>
          <w:u w:val="single"/>
          <w:lang w:eastAsia="en-GB"/>
        </w:rPr>
        <w:t xml:space="preserve"> kombinationsdosering</w:t>
      </w:r>
    </w:p>
    <w:p w14:paraId="00584D0C" w14:textId="09706206" w:rsidR="00925ABE" w:rsidRPr="00CA587D" w:rsidRDefault="00925ABE" w:rsidP="00CA587D">
      <w:pPr>
        <w:ind w:left="851"/>
        <w:rPr>
          <w:sz w:val="24"/>
          <w:szCs w:val="24"/>
          <w:lang w:eastAsia="en-GB"/>
        </w:rPr>
      </w:pPr>
      <w:r w:rsidRPr="00CA587D">
        <w:rPr>
          <w:sz w:val="24"/>
          <w:szCs w:val="24"/>
          <w:lang w:eastAsia="en-GB"/>
        </w:rPr>
        <w:t xml:space="preserve">Hver pakning med </w:t>
      </w:r>
      <w:proofErr w:type="spellStart"/>
      <w:r w:rsidRPr="00CA587D">
        <w:rPr>
          <w:sz w:val="24"/>
          <w:szCs w:val="24"/>
          <w:lang w:eastAsia="en-GB"/>
        </w:rPr>
        <w:t>Lapatinib</w:t>
      </w:r>
      <w:proofErr w:type="spellEnd"/>
      <w:r w:rsidRPr="00CA587D">
        <w:rPr>
          <w:sz w:val="24"/>
          <w:szCs w:val="24"/>
          <w:lang w:eastAsia="en-GB"/>
        </w:rPr>
        <w:t xml:space="preserve"> </w:t>
      </w:r>
      <w:r w:rsidR="002417A3">
        <w:rPr>
          <w:sz w:val="24"/>
          <w:szCs w:val="24"/>
          <w:lang w:eastAsia="en-GB"/>
        </w:rPr>
        <w:t>"</w:t>
      </w:r>
      <w:proofErr w:type="spellStart"/>
      <w:r w:rsidRPr="00CA587D">
        <w:rPr>
          <w:sz w:val="24"/>
          <w:szCs w:val="24"/>
          <w:lang w:eastAsia="en-GB"/>
        </w:rPr>
        <w:t>Newbury</w:t>
      </w:r>
      <w:proofErr w:type="spellEnd"/>
      <w:r w:rsidR="002417A3">
        <w:rPr>
          <w:sz w:val="24"/>
          <w:szCs w:val="24"/>
          <w:lang w:eastAsia="en-GB"/>
        </w:rPr>
        <w:t>"</w:t>
      </w:r>
      <w:r w:rsidRPr="00CA587D">
        <w:rPr>
          <w:sz w:val="24"/>
          <w:szCs w:val="24"/>
          <w:lang w:eastAsia="en-GB"/>
        </w:rPr>
        <w:t xml:space="preserve"> indeholder 70 </w:t>
      </w:r>
      <w:r w:rsidR="00C23D65">
        <w:rPr>
          <w:sz w:val="24"/>
          <w:szCs w:val="24"/>
          <w:lang w:eastAsia="en-GB"/>
        </w:rPr>
        <w:t xml:space="preserve">eller 105 </w:t>
      </w:r>
      <w:r w:rsidRPr="00CA587D">
        <w:rPr>
          <w:sz w:val="24"/>
          <w:szCs w:val="24"/>
          <w:lang w:eastAsia="en-GB"/>
        </w:rPr>
        <w:t>filmovertrukne tabletter i folieblistere (polyamid/aluminium/</w:t>
      </w:r>
      <w:proofErr w:type="spellStart"/>
      <w:r w:rsidRPr="00CA587D">
        <w:rPr>
          <w:sz w:val="24"/>
          <w:szCs w:val="24"/>
          <w:lang w:eastAsia="en-GB"/>
        </w:rPr>
        <w:t>polyvinylchlorid</w:t>
      </w:r>
      <w:proofErr w:type="spellEnd"/>
      <w:r w:rsidRPr="00CA587D">
        <w:rPr>
          <w:sz w:val="24"/>
          <w:szCs w:val="24"/>
          <w:lang w:eastAsia="en-GB"/>
        </w:rPr>
        <w:t xml:space="preserve">/aluminium) med </w:t>
      </w:r>
      <w:r w:rsidR="00C23D65">
        <w:rPr>
          <w:sz w:val="24"/>
          <w:szCs w:val="24"/>
          <w:lang w:eastAsia="en-GB"/>
        </w:rPr>
        <w:t>7</w:t>
      </w:r>
      <w:r w:rsidRPr="00CA587D">
        <w:rPr>
          <w:sz w:val="24"/>
          <w:szCs w:val="24"/>
          <w:lang w:eastAsia="en-GB"/>
        </w:rPr>
        <w:t> tabletter i hver.</w:t>
      </w:r>
    </w:p>
    <w:p w14:paraId="56907610" w14:textId="77777777" w:rsidR="00925ABE" w:rsidRPr="00CA587D" w:rsidRDefault="00925ABE" w:rsidP="00CA587D">
      <w:pPr>
        <w:ind w:left="851"/>
        <w:rPr>
          <w:sz w:val="24"/>
          <w:szCs w:val="24"/>
          <w:lang w:eastAsia="en-GB"/>
        </w:rPr>
      </w:pPr>
    </w:p>
    <w:p w14:paraId="7F0E2032" w14:textId="77777777" w:rsidR="00925ABE" w:rsidRPr="00CA587D" w:rsidRDefault="00925ABE" w:rsidP="00CA587D">
      <w:pPr>
        <w:ind w:left="851"/>
        <w:rPr>
          <w:sz w:val="24"/>
          <w:szCs w:val="24"/>
          <w:lang w:eastAsia="en-GB"/>
        </w:rPr>
      </w:pPr>
      <w:r w:rsidRPr="00CA587D">
        <w:rPr>
          <w:sz w:val="24"/>
          <w:szCs w:val="24"/>
          <w:lang w:eastAsia="en-GB"/>
        </w:rPr>
        <w:t>Multipakninger indeholder 140 (2 pakninger med 70) filmovertrukne tabletter.</w:t>
      </w:r>
    </w:p>
    <w:p w14:paraId="5BF62B54" w14:textId="77777777" w:rsidR="00925ABE" w:rsidRPr="00CA587D" w:rsidRDefault="00925ABE" w:rsidP="00CA587D">
      <w:pPr>
        <w:ind w:left="851"/>
        <w:rPr>
          <w:sz w:val="24"/>
          <w:szCs w:val="24"/>
          <w:lang w:eastAsia="en-GB"/>
        </w:rPr>
      </w:pPr>
    </w:p>
    <w:p w14:paraId="0DE91773" w14:textId="77777777" w:rsidR="00925ABE" w:rsidRPr="00CA587D" w:rsidRDefault="00925ABE" w:rsidP="00CA587D">
      <w:pPr>
        <w:ind w:left="851"/>
        <w:rPr>
          <w:i/>
          <w:iCs/>
          <w:sz w:val="24"/>
          <w:szCs w:val="24"/>
          <w:u w:val="single"/>
          <w:lang w:eastAsia="en-GB"/>
        </w:rPr>
      </w:pPr>
      <w:proofErr w:type="spellStart"/>
      <w:r w:rsidRPr="00CA587D">
        <w:rPr>
          <w:i/>
          <w:iCs/>
          <w:sz w:val="24"/>
          <w:szCs w:val="24"/>
          <w:u w:val="single"/>
          <w:lang w:eastAsia="en-GB"/>
        </w:rPr>
        <w:t>Lapatinib</w:t>
      </w:r>
      <w:proofErr w:type="spellEnd"/>
      <w:r w:rsidRPr="00CA587D">
        <w:rPr>
          <w:i/>
          <w:iCs/>
          <w:sz w:val="24"/>
          <w:szCs w:val="24"/>
          <w:u w:val="single"/>
          <w:lang w:eastAsia="en-GB"/>
        </w:rPr>
        <w:t>/</w:t>
      </w:r>
      <w:proofErr w:type="spellStart"/>
      <w:r w:rsidRPr="00CA587D">
        <w:rPr>
          <w:i/>
          <w:iCs/>
          <w:sz w:val="24"/>
          <w:szCs w:val="24"/>
          <w:u w:val="single"/>
          <w:lang w:eastAsia="en-GB"/>
        </w:rPr>
        <w:t>aromatasehæmmer</w:t>
      </w:r>
      <w:proofErr w:type="spellEnd"/>
      <w:r w:rsidRPr="00CA587D">
        <w:rPr>
          <w:i/>
          <w:iCs/>
          <w:sz w:val="24"/>
          <w:szCs w:val="24"/>
          <w:u w:val="single"/>
          <w:lang w:eastAsia="en-GB"/>
        </w:rPr>
        <w:t xml:space="preserve"> kombinationsdosering</w:t>
      </w:r>
    </w:p>
    <w:p w14:paraId="423559C3" w14:textId="733B4783" w:rsidR="00925ABE" w:rsidRPr="00CA587D" w:rsidRDefault="00925ABE" w:rsidP="00CA587D">
      <w:pPr>
        <w:ind w:left="851"/>
        <w:rPr>
          <w:sz w:val="24"/>
          <w:szCs w:val="24"/>
          <w:lang w:eastAsia="en-GB"/>
        </w:rPr>
      </w:pPr>
      <w:r w:rsidRPr="00CA587D">
        <w:rPr>
          <w:sz w:val="24"/>
          <w:szCs w:val="24"/>
          <w:lang w:eastAsia="en-GB"/>
        </w:rPr>
        <w:t xml:space="preserve">Hver pakning med </w:t>
      </w:r>
      <w:proofErr w:type="spellStart"/>
      <w:r w:rsidRPr="00CA587D">
        <w:rPr>
          <w:sz w:val="24"/>
          <w:szCs w:val="24"/>
          <w:lang w:eastAsia="en-GB"/>
        </w:rPr>
        <w:t>Lapatinib</w:t>
      </w:r>
      <w:proofErr w:type="spellEnd"/>
      <w:r w:rsidRPr="00CA587D">
        <w:rPr>
          <w:sz w:val="24"/>
          <w:szCs w:val="24"/>
          <w:lang w:eastAsia="en-GB"/>
        </w:rPr>
        <w:t xml:space="preserve"> </w:t>
      </w:r>
      <w:r w:rsidR="002417A3">
        <w:rPr>
          <w:sz w:val="24"/>
          <w:szCs w:val="24"/>
          <w:lang w:eastAsia="en-GB"/>
        </w:rPr>
        <w:t>"</w:t>
      </w:r>
      <w:proofErr w:type="spellStart"/>
      <w:r w:rsidRPr="00CA587D">
        <w:rPr>
          <w:sz w:val="24"/>
          <w:szCs w:val="24"/>
          <w:lang w:eastAsia="en-GB"/>
        </w:rPr>
        <w:t>Newbury</w:t>
      </w:r>
      <w:proofErr w:type="spellEnd"/>
      <w:r w:rsidR="002417A3">
        <w:rPr>
          <w:sz w:val="24"/>
          <w:szCs w:val="24"/>
          <w:lang w:eastAsia="en-GB"/>
        </w:rPr>
        <w:t>"</w:t>
      </w:r>
      <w:r w:rsidRPr="00CA587D">
        <w:rPr>
          <w:sz w:val="24"/>
          <w:szCs w:val="24"/>
          <w:lang w:eastAsia="en-GB"/>
        </w:rPr>
        <w:t xml:space="preserve"> indeholder 84 filmovertrukne tabletter i folieblistere (polyamid/aluminium/</w:t>
      </w:r>
      <w:proofErr w:type="spellStart"/>
      <w:r w:rsidRPr="00CA587D">
        <w:rPr>
          <w:sz w:val="24"/>
          <w:szCs w:val="24"/>
          <w:lang w:eastAsia="en-GB"/>
        </w:rPr>
        <w:t>polyvinylchlorid</w:t>
      </w:r>
      <w:proofErr w:type="spellEnd"/>
      <w:r w:rsidRPr="00CA587D">
        <w:rPr>
          <w:sz w:val="24"/>
          <w:szCs w:val="24"/>
          <w:lang w:eastAsia="en-GB"/>
        </w:rPr>
        <w:t xml:space="preserve">/aluminium) med </w:t>
      </w:r>
      <w:r w:rsidR="00C23D65">
        <w:rPr>
          <w:sz w:val="24"/>
          <w:szCs w:val="24"/>
          <w:lang w:eastAsia="en-GB"/>
        </w:rPr>
        <w:t>7</w:t>
      </w:r>
      <w:r w:rsidRPr="00CA587D">
        <w:rPr>
          <w:sz w:val="24"/>
          <w:szCs w:val="24"/>
          <w:lang w:eastAsia="en-GB"/>
        </w:rPr>
        <w:t> tabletter i hver.</w:t>
      </w:r>
    </w:p>
    <w:p w14:paraId="13C17685" w14:textId="77777777" w:rsidR="00925ABE" w:rsidRPr="00CA587D" w:rsidRDefault="00925ABE" w:rsidP="00CA587D">
      <w:pPr>
        <w:ind w:left="851"/>
        <w:rPr>
          <w:sz w:val="24"/>
          <w:szCs w:val="24"/>
          <w:lang w:eastAsia="en-GB"/>
        </w:rPr>
      </w:pPr>
    </w:p>
    <w:p w14:paraId="7FEC7646" w14:textId="6AE8648D" w:rsidR="00925ABE" w:rsidRPr="00CA587D" w:rsidRDefault="00925ABE" w:rsidP="00CA587D">
      <w:pPr>
        <w:ind w:left="851"/>
        <w:rPr>
          <w:sz w:val="24"/>
          <w:szCs w:val="24"/>
          <w:u w:val="single"/>
          <w:lang w:eastAsia="en-GB"/>
        </w:rPr>
      </w:pPr>
      <w:r w:rsidRPr="00CA587D">
        <w:rPr>
          <w:sz w:val="24"/>
          <w:szCs w:val="24"/>
          <w:u w:val="single"/>
          <w:lang w:eastAsia="en-GB"/>
        </w:rPr>
        <w:t>HDPE-</w:t>
      </w:r>
      <w:r w:rsidR="00CA587D">
        <w:rPr>
          <w:sz w:val="24"/>
          <w:szCs w:val="24"/>
          <w:u w:val="single"/>
          <w:lang w:eastAsia="en-GB"/>
        </w:rPr>
        <w:t>b</w:t>
      </w:r>
      <w:r w:rsidRPr="00CA587D">
        <w:rPr>
          <w:sz w:val="24"/>
          <w:szCs w:val="24"/>
          <w:u w:val="single"/>
          <w:lang w:eastAsia="en-GB"/>
        </w:rPr>
        <w:t>eholdere</w:t>
      </w:r>
    </w:p>
    <w:p w14:paraId="2D8250D8" w14:textId="5A4D9C15" w:rsidR="00925ABE" w:rsidRPr="00CA587D" w:rsidRDefault="00925ABE" w:rsidP="00CA587D">
      <w:pPr>
        <w:ind w:left="851"/>
        <w:rPr>
          <w:sz w:val="24"/>
          <w:szCs w:val="24"/>
          <w:lang w:eastAsia="en-GB"/>
        </w:rPr>
      </w:pPr>
      <w:proofErr w:type="spellStart"/>
      <w:r w:rsidRPr="00CA587D">
        <w:rPr>
          <w:sz w:val="24"/>
          <w:szCs w:val="24"/>
          <w:lang w:eastAsia="en-GB"/>
        </w:rPr>
        <w:t>Lapatinib</w:t>
      </w:r>
      <w:proofErr w:type="spellEnd"/>
      <w:r w:rsidRPr="00CA587D">
        <w:rPr>
          <w:sz w:val="24"/>
          <w:szCs w:val="24"/>
          <w:lang w:eastAsia="en-GB"/>
        </w:rPr>
        <w:t xml:space="preserve"> </w:t>
      </w:r>
      <w:r w:rsidR="002417A3">
        <w:rPr>
          <w:sz w:val="24"/>
          <w:szCs w:val="24"/>
          <w:lang w:eastAsia="en-GB"/>
        </w:rPr>
        <w:t>"</w:t>
      </w:r>
      <w:proofErr w:type="spellStart"/>
      <w:r w:rsidRPr="00CA587D">
        <w:rPr>
          <w:sz w:val="24"/>
          <w:szCs w:val="24"/>
          <w:lang w:eastAsia="en-GB"/>
        </w:rPr>
        <w:t>Newbury</w:t>
      </w:r>
      <w:proofErr w:type="spellEnd"/>
      <w:r w:rsidR="002417A3">
        <w:rPr>
          <w:sz w:val="24"/>
          <w:szCs w:val="24"/>
          <w:lang w:eastAsia="en-GB"/>
        </w:rPr>
        <w:t>"</w:t>
      </w:r>
      <w:r w:rsidRPr="00CA587D">
        <w:rPr>
          <w:sz w:val="24"/>
          <w:szCs w:val="24"/>
          <w:lang w:eastAsia="en-GB"/>
        </w:rPr>
        <w:t xml:space="preserve"> leveres også i </w:t>
      </w:r>
      <w:proofErr w:type="spellStart"/>
      <w:r w:rsidRPr="00CA587D">
        <w:rPr>
          <w:sz w:val="24"/>
          <w:szCs w:val="24"/>
          <w:lang w:eastAsia="en-GB"/>
        </w:rPr>
        <w:t>højdensitetspolyethylen</w:t>
      </w:r>
      <w:proofErr w:type="spellEnd"/>
      <w:r w:rsidRPr="00CA587D">
        <w:rPr>
          <w:sz w:val="24"/>
          <w:szCs w:val="24"/>
          <w:lang w:eastAsia="en-GB"/>
        </w:rPr>
        <w:t xml:space="preserve">-beholdere (HDPE) med en børnesikret lukning af polypropylen. </w:t>
      </w:r>
    </w:p>
    <w:p w14:paraId="7B643A38" w14:textId="77777777" w:rsidR="00925ABE" w:rsidRPr="000C2646" w:rsidRDefault="00925ABE" w:rsidP="000C2646">
      <w:pPr>
        <w:autoSpaceDE w:val="0"/>
        <w:autoSpaceDN w:val="0"/>
        <w:adjustRightInd w:val="0"/>
        <w:ind w:left="851"/>
        <w:rPr>
          <w:sz w:val="24"/>
          <w:szCs w:val="24"/>
          <w:lang w:eastAsia="en-GB"/>
        </w:rPr>
      </w:pPr>
    </w:p>
    <w:p w14:paraId="4F1A68AF" w14:textId="77777777" w:rsidR="00925ABE" w:rsidRPr="000C2646" w:rsidRDefault="00925ABE" w:rsidP="000C2646">
      <w:pPr>
        <w:autoSpaceDE w:val="0"/>
        <w:autoSpaceDN w:val="0"/>
        <w:adjustRightInd w:val="0"/>
        <w:ind w:left="851"/>
        <w:rPr>
          <w:sz w:val="24"/>
          <w:szCs w:val="24"/>
          <w:lang w:eastAsia="en-GB"/>
        </w:rPr>
      </w:pPr>
      <w:r w:rsidRPr="000C2646">
        <w:rPr>
          <w:sz w:val="24"/>
          <w:szCs w:val="24"/>
          <w:lang w:eastAsia="en-GB"/>
        </w:rPr>
        <w:t>Pakningsstørrelser: 70, 84, 105 eller 140 filmovertrukne tabletter</w:t>
      </w:r>
    </w:p>
    <w:p w14:paraId="432EE29B" w14:textId="77777777" w:rsidR="00925ABE" w:rsidRPr="000C2646" w:rsidRDefault="00925ABE" w:rsidP="000C2646">
      <w:pPr>
        <w:autoSpaceDE w:val="0"/>
        <w:autoSpaceDN w:val="0"/>
        <w:adjustRightInd w:val="0"/>
        <w:ind w:left="851"/>
        <w:rPr>
          <w:sz w:val="24"/>
          <w:szCs w:val="24"/>
        </w:rPr>
      </w:pPr>
      <w:bookmarkStart w:id="0" w:name="_GoBack"/>
      <w:bookmarkEnd w:id="0"/>
    </w:p>
    <w:p w14:paraId="78B836C3" w14:textId="77777777" w:rsidR="00925ABE" w:rsidRPr="000C2646" w:rsidRDefault="00925ABE" w:rsidP="000C2646">
      <w:pPr>
        <w:suppressAutoHyphens/>
        <w:ind w:left="851"/>
        <w:rPr>
          <w:sz w:val="24"/>
          <w:szCs w:val="24"/>
        </w:rPr>
      </w:pPr>
      <w:r w:rsidRPr="000C2646">
        <w:rPr>
          <w:sz w:val="24"/>
          <w:szCs w:val="24"/>
        </w:rPr>
        <w:t>Ikke alle pakningsstørrelser er nødvendigvis markedsført.</w:t>
      </w:r>
    </w:p>
    <w:p w14:paraId="5AF95DB8" w14:textId="77777777" w:rsidR="009260DE" w:rsidRPr="000C2646" w:rsidRDefault="009260DE" w:rsidP="009260DE">
      <w:pPr>
        <w:tabs>
          <w:tab w:val="left" w:pos="851"/>
        </w:tabs>
        <w:ind w:left="851"/>
        <w:rPr>
          <w:sz w:val="24"/>
          <w:szCs w:val="24"/>
        </w:rPr>
      </w:pPr>
    </w:p>
    <w:p w14:paraId="2B8D4C76" w14:textId="77777777" w:rsidR="009260DE" w:rsidRPr="000C2646" w:rsidRDefault="009260DE" w:rsidP="009260DE">
      <w:pPr>
        <w:tabs>
          <w:tab w:val="left" w:pos="851"/>
        </w:tabs>
        <w:ind w:left="851" w:hanging="851"/>
        <w:rPr>
          <w:b/>
          <w:sz w:val="24"/>
          <w:szCs w:val="24"/>
        </w:rPr>
      </w:pPr>
      <w:r w:rsidRPr="000C2646">
        <w:rPr>
          <w:b/>
          <w:sz w:val="24"/>
          <w:szCs w:val="24"/>
        </w:rPr>
        <w:t>6.6</w:t>
      </w:r>
      <w:r w:rsidRPr="000C2646">
        <w:rPr>
          <w:b/>
          <w:sz w:val="24"/>
          <w:szCs w:val="24"/>
        </w:rPr>
        <w:tab/>
        <w:t xml:space="preserve">Regler for </w:t>
      </w:r>
      <w:r w:rsidR="00BD7931" w:rsidRPr="000C2646">
        <w:rPr>
          <w:b/>
          <w:sz w:val="24"/>
          <w:szCs w:val="24"/>
        </w:rPr>
        <w:t>bortskaffelse</w:t>
      </w:r>
      <w:r w:rsidRPr="000C2646">
        <w:rPr>
          <w:b/>
          <w:sz w:val="24"/>
          <w:szCs w:val="24"/>
        </w:rPr>
        <w:t xml:space="preserve"> og anden håndtering</w:t>
      </w:r>
    </w:p>
    <w:p w14:paraId="52D8B519" w14:textId="77777777" w:rsidR="00925ABE" w:rsidRPr="000C2646" w:rsidRDefault="00925ABE" w:rsidP="000C2646">
      <w:pPr>
        <w:ind w:left="851"/>
        <w:rPr>
          <w:sz w:val="24"/>
          <w:szCs w:val="24"/>
        </w:rPr>
      </w:pPr>
      <w:r w:rsidRPr="000C2646">
        <w:rPr>
          <w:sz w:val="24"/>
          <w:szCs w:val="24"/>
        </w:rPr>
        <w:t>Ikke anvendt lægemiddel samt affald heraf skal bortskaffes i henhold til lokale retningslinjer.</w:t>
      </w:r>
    </w:p>
    <w:p w14:paraId="3484A50A" w14:textId="77777777" w:rsidR="009260DE" w:rsidRPr="000C2646" w:rsidRDefault="009260DE" w:rsidP="000730CA">
      <w:pPr>
        <w:tabs>
          <w:tab w:val="left" w:pos="851"/>
        </w:tabs>
        <w:ind w:left="851"/>
        <w:rPr>
          <w:sz w:val="24"/>
          <w:szCs w:val="24"/>
        </w:rPr>
      </w:pPr>
    </w:p>
    <w:p w14:paraId="5FBC3DA8" w14:textId="77777777" w:rsidR="009260DE" w:rsidRPr="000C2646" w:rsidRDefault="009260DE" w:rsidP="009260DE">
      <w:pPr>
        <w:tabs>
          <w:tab w:val="left" w:pos="851"/>
        </w:tabs>
        <w:ind w:left="851" w:hanging="851"/>
        <w:rPr>
          <w:b/>
          <w:sz w:val="24"/>
          <w:szCs w:val="24"/>
        </w:rPr>
      </w:pPr>
      <w:r w:rsidRPr="000C2646">
        <w:rPr>
          <w:b/>
          <w:sz w:val="24"/>
          <w:szCs w:val="24"/>
        </w:rPr>
        <w:t>7.</w:t>
      </w:r>
      <w:r w:rsidRPr="000C2646">
        <w:rPr>
          <w:b/>
          <w:sz w:val="24"/>
          <w:szCs w:val="24"/>
        </w:rPr>
        <w:tab/>
        <w:t>INDEHAVER AF MARKEDSFØRINGSTILLADELSEN</w:t>
      </w:r>
    </w:p>
    <w:p w14:paraId="2D111DF3" w14:textId="77777777" w:rsidR="00925ABE" w:rsidRPr="00CA587D" w:rsidRDefault="00925ABE" w:rsidP="00CA587D">
      <w:pPr>
        <w:ind w:left="851"/>
        <w:rPr>
          <w:sz w:val="24"/>
          <w:szCs w:val="24"/>
        </w:rPr>
      </w:pPr>
      <w:proofErr w:type="spellStart"/>
      <w:r w:rsidRPr="00CA587D">
        <w:rPr>
          <w:sz w:val="24"/>
          <w:szCs w:val="24"/>
        </w:rPr>
        <w:t>Newbury</w:t>
      </w:r>
      <w:proofErr w:type="spellEnd"/>
      <w:r w:rsidRPr="00CA587D">
        <w:rPr>
          <w:sz w:val="24"/>
          <w:szCs w:val="24"/>
        </w:rPr>
        <w:t xml:space="preserve"> Pharmaceuticals AB</w:t>
      </w:r>
    </w:p>
    <w:p w14:paraId="04B6D091" w14:textId="77777777" w:rsidR="00925ABE" w:rsidRPr="00CA587D" w:rsidRDefault="00925ABE" w:rsidP="00CA587D">
      <w:pPr>
        <w:ind w:left="851"/>
        <w:rPr>
          <w:sz w:val="24"/>
          <w:szCs w:val="24"/>
        </w:rPr>
      </w:pPr>
      <w:r w:rsidRPr="00CA587D">
        <w:rPr>
          <w:sz w:val="24"/>
          <w:szCs w:val="24"/>
        </w:rPr>
        <w:t xml:space="preserve">Medicon </w:t>
      </w:r>
      <w:proofErr w:type="spellStart"/>
      <w:r w:rsidRPr="00CA587D">
        <w:rPr>
          <w:sz w:val="24"/>
          <w:szCs w:val="24"/>
        </w:rPr>
        <w:t>Village</w:t>
      </w:r>
      <w:proofErr w:type="spellEnd"/>
    </w:p>
    <w:p w14:paraId="746C039E" w14:textId="77777777" w:rsidR="00925ABE" w:rsidRPr="00CA587D" w:rsidRDefault="00925ABE" w:rsidP="00CA587D">
      <w:pPr>
        <w:ind w:left="851"/>
        <w:rPr>
          <w:sz w:val="24"/>
          <w:szCs w:val="24"/>
        </w:rPr>
      </w:pPr>
      <w:r w:rsidRPr="00CA587D">
        <w:rPr>
          <w:sz w:val="24"/>
          <w:szCs w:val="24"/>
        </w:rPr>
        <w:t>223 81 Lund</w:t>
      </w:r>
    </w:p>
    <w:p w14:paraId="6ED3C666" w14:textId="77777777" w:rsidR="00925ABE" w:rsidRPr="00CA587D" w:rsidRDefault="00925ABE" w:rsidP="00CA587D">
      <w:pPr>
        <w:ind w:left="851"/>
        <w:rPr>
          <w:sz w:val="24"/>
          <w:szCs w:val="24"/>
        </w:rPr>
      </w:pPr>
      <w:r w:rsidRPr="00CA587D">
        <w:rPr>
          <w:sz w:val="24"/>
          <w:szCs w:val="24"/>
        </w:rPr>
        <w:t>Sverige</w:t>
      </w:r>
    </w:p>
    <w:p w14:paraId="404D1206" w14:textId="77777777" w:rsidR="00641C65" w:rsidRPr="000C2646" w:rsidRDefault="00641C65" w:rsidP="009260DE">
      <w:pPr>
        <w:tabs>
          <w:tab w:val="left" w:pos="851"/>
        </w:tabs>
        <w:ind w:left="851"/>
        <w:rPr>
          <w:sz w:val="24"/>
          <w:szCs w:val="24"/>
        </w:rPr>
      </w:pPr>
    </w:p>
    <w:p w14:paraId="67B943A6" w14:textId="77777777" w:rsidR="009260DE" w:rsidRPr="000C2646" w:rsidRDefault="009260DE" w:rsidP="009260DE">
      <w:pPr>
        <w:tabs>
          <w:tab w:val="left" w:pos="851"/>
        </w:tabs>
        <w:ind w:left="851" w:hanging="851"/>
        <w:rPr>
          <w:b/>
          <w:sz w:val="24"/>
          <w:szCs w:val="24"/>
        </w:rPr>
      </w:pPr>
      <w:r w:rsidRPr="000C2646">
        <w:rPr>
          <w:b/>
          <w:sz w:val="24"/>
          <w:szCs w:val="24"/>
        </w:rPr>
        <w:t>8.</w:t>
      </w:r>
      <w:r w:rsidRPr="000C2646">
        <w:rPr>
          <w:b/>
          <w:sz w:val="24"/>
          <w:szCs w:val="24"/>
        </w:rPr>
        <w:tab/>
        <w:t>MARKEDSFØRINGSTILLADELSESNUMMER (</w:t>
      </w:r>
      <w:r w:rsidR="00BF6243" w:rsidRPr="000C2646">
        <w:rPr>
          <w:b/>
          <w:sz w:val="24"/>
          <w:szCs w:val="24"/>
        </w:rPr>
        <w:t>-</w:t>
      </w:r>
      <w:r w:rsidRPr="000C2646">
        <w:rPr>
          <w:b/>
          <w:sz w:val="24"/>
          <w:szCs w:val="24"/>
        </w:rPr>
        <w:t>NUMRE)</w:t>
      </w:r>
    </w:p>
    <w:p w14:paraId="496529F2" w14:textId="65EE64CA" w:rsidR="009260DE" w:rsidRPr="000C2646" w:rsidRDefault="003809F9" w:rsidP="009260DE">
      <w:pPr>
        <w:tabs>
          <w:tab w:val="left" w:pos="851"/>
        </w:tabs>
        <w:ind w:left="851"/>
        <w:rPr>
          <w:sz w:val="24"/>
          <w:szCs w:val="24"/>
        </w:rPr>
      </w:pPr>
      <w:r w:rsidRPr="000C2646">
        <w:rPr>
          <w:sz w:val="24"/>
          <w:szCs w:val="24"/>
        </w:rPr>
        <w:t>67534</w:t>
      </w:r>
    </w:p>
    <w:p w14:paraId="4906FF4E" w14:textId="77777777" w:rsidR="009260DE" w:rsidRPr="000C2646" w:rsidRDefault="009260DE" w:rsidP="009260DE">
      <w:pPr>
        <w:tabs>
          <w:tab w:val="left" w:pos="851"/>
        </w:tabs>
        <w:ind w:left="851"/>
        <w:jc w:val="both"/>
        <w:rPr>
          <w:sz w:val="24"/>
          <w:szCs w:val="24"/>
        </w:rPr>
      </w:pPr>
    </w:p>
    <w:p w14:paraId="2C7D3DBC" w14:textId="77777777" w:rsidR="009260DE" w:rsidRPr="000C2646" w:rsidRDefault="009260DE" w:rsidP="009260DE">
      <w:pPr>
        <w:tabs>
          <w:tab w:val="left" w:pos="851"/>
        </w:tabs>
        <w:ind w:left="851" w:hanging="851"/>
        <w:rPr>
          <w:b/>
          <w:sz w:val="24"/>
          <w:szCs w:val="24"/>
        </w:rPr>
      </w:pPr>
      <w:r w:rsidRPr="000C2646">
        <w:rPr>
          <w:b/>
          <w:sz w:val="24"/>
          <w:szCs w:val="24"/>
        </w:rPr>
        <w:t>9.</w:t>
      </w:r>
      <w:r w:rsidRPr="000C2646">
        <w:rPr>
          <w:b/>
          <w:sz w:val="24"/>
          <w:szCs w:val="24"/>
        </w:rPr>
        <w:tab/>
        <w:t>DATO FOR FØRSTE MARKEDSFØRINGSTILLADELSE</w:t>
      </w:r>
    </w:p>
    <w:p w14:paraId="5BB62C70" w14:textId="4A12C93C" w:rsidR="009260DE" w:rsidRPr="000C2646" w:rsidRDefault="004F5E1E" w:rsidP="009260DE">
      <w:pPr>
        <w:tabs>
          <w:tab w:val="left" w:pos="851"/>
        </w:tabs>
        <w:ind w:left="851"/>
        <w:rPr>
          <w:sz w:val="24"/>
          <w:szCs w:val="24"/>
        </w:rPr>
      </w:pPr>
      <w:r>
        <w:rPr>
          <w:sz w:val="24"/>
          <w:szCs w:val="24"/>
        </w:rPr>
        <w:t>14. april 2023</w:t>
      </w:r>
    </w:p>
    <w:p w14:paraId="76D3A80A" w14:textId="77777777" w:rsidR="009260DE" w:rsidRPr="000C2646" w:rsidRDefault="009260DE" w:rsidP="009260DE">
      <w:pPr>
        <w:tabs>
          <w:tab w:val="left" w:pos="851"/>
        </w:tabs>
        <w:ind w:left="851"/>
        <w:rPr>
          <w:sz w:val="24"/>
          <w:szCs w:val="24"/>
        </w:rPr>
      </w:pPr>
    </w:p>
    <w:p w14:paraId="30E2824B" w14:textId="77777777" w:rsidR="009260DE" w:rsidRPr="000C2646" w:rsidRDefault="009260DE" w:rsidP="009260DE">
      <w:pPr>
        <w:tabs>
          <w:tab w:val="left" w:pos="851"/>
        </w:tabs>
        <w:ind w:left="851" w:hanging="851"/>
        <w:rPr>
          <w:b/>
          <w:sz w:val="24"/>
          <w:szCs w:val="24"/>
        </w:rPr>
      </w:pPr>
      <w:r w:rsidRPr="000C2646">
        <w:rPr>
          <w:b/>
          <w:sz w:val="24"/>
          <w:szCs w:val="24"/>
        </w:rPr>
        <w:t>10.</w:t>
      </w:r>
      <w:r w:rsidRPr="000C2646">
        <w:rPr>
          <w:b/>
          <w:sz w:val="24"/>
          <w:szCs w:val="24"/>
        </w:rPr>
        <w:tab/>
        <w:t>DATO FOR ÆNDRING AF TEKSTEN</w:t>
      </w:r>
    </w:p>
    <w:p w14:paraId="7CAD380E" w14:textId="17E2EC48" w:rsidR="009260DE" w:rsidRPr="000C2646" w:rsidRDefault="00C23D65" w:rsidP="009260DE">
      <w:pPr>
        <w:tabs>
          <w:tab w:val="left" w:pos="851"/>
        </w:tabs>
        <w:ind w:left="851"/>
        <w:rPr>
          <w:sz w:val="24"/>
          <w:szCs w:val="24"/>
        </w:rPr>
      </w:pPr>
      <w:r>
        <w:rPr>
          <w:sz w:val="24"/>
          <w:szCs w:val="24"/>
        </w:rPr>
        <w:t>9. juni 2023</w:t>
      </w:r>
    </w:p>
    <w:sectPr w:rsidR="009260DE" w:rsidRPr="000C26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4637" w14:textId="77777777" w:rsidR="009534FE" w:rsidRDefault="009534FE">
      <w:r>
        <w:separator/>
      </w:r>
    </w:p>
  </w:endnote>
  <w:endnote w:type="continuationSeparator" w:id="0">
    <w:p w14:paraId="17CF3B9C" w14:textId="77777777" w:rsidR="009534FE" w:rsidRDefault="0095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57B1" w14:textId="77777777" w:rsidR="009534FE" w:rsidRDefault="009534FE">
    <w:pPr>
      <w:pStyle w:val="Sidefod"/>
      <w:pBdr>
        <w:bottom w:val="single" w:sz="6" w:space="1" w:color="auto"/>
      </w:pBdr>
    </w:pPr>
  </w:p>
  <w:p w14:paraId="6C83D84C" w14:textId="77777777" w:rsidR="009534FE" w:rsidRDefault="009534FE" w:rsidP="00C42586">
    <w:pPr>
      <w:pStyle w:val="Sidefod"/>
      <w:tabs>
        <w:tab w:val="clear" w:pos="4819"/>
        <w:tab w:val="left" w:pos="8505"/>
      </w:tabs>
      <w:rPr>
        <w:i/>
        <w:sz w:val="18"/>
        <w:szCs w:val="18"/>
      </w:rPr>
    </w:pPr>
  </w:p>
  <w:p w14:paraId="190DC1E4" w14:textId="2265800C" w:rsidR="009534FE" w:rsidRPr="00B373D7" w:rsidRDefault="009534F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417A3">
      <w:rPr>
        <w:i/>
        <w:noProof/>
        <w:sz w:val="18"/>
        <w:szCs w:val="18"/>
      </w:rPr>
      <w:t>Lapatinib Newbury, filmovertrukne tabletter 250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4ECF" w14:textId="77777777" w:rsidR="009534FE" w:rsidRDefault="009534FE">
      <w:r>
        <w:separator/>
      </w:r>
    </w:p>
  </w:footnote>
  <w:footnote w:type="continuationSeparator" w:id="0">
    <w:p w14:paraId="5E1AB166" w14:textId="77777777" w:rsidR="009534FE" w:rsidRDefault="0095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D05746"/>
    <w:multiLevelType w:val="hybridMultilevel"/>
    <w:tmpl w:val="B8D2DB26"/>
    <w:lvl w:ilvl="0" w:tplc="041D0001">
      <w:start w:val="4"/>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CA"/>
    <w:rsid w:val="000259B9"/>
    <w:rsid w:val="00041491"/>
    <w:rsid w:val="00050D16"/>
    <w:rsid w:val="000730CA"/>
    <w:rsid w:val="00074F2A"/>
    <w:rsid w:val="0009639F"/>
    <w:rsid w:val="000A1CA8"/>
    <w:rsid w:val="000A466B"/>
    <w:rsid w:val="000B058C"/>
    <w:rsid w:val="000C2646"/>
    <w:rsid w:val="000D68B0"/>
    <w:rsid w:val="000E4EE6"/>
    <w:rsid w:val="001454E2"/>
    <w:rsid w:val="00206CE8"/>
    <w:rsid w:val="0021526C"/>
    <w:rsid w:val="0022216C"/>
    <w:rsid w:val="002417A3"/>
    <w:rsid w:val="00283A2B"/>
    <w:rsid w:val="002B30AD"/>
    <w:rsid w:val="002C1EC0"/>
    <w:rsid w:val="002C2C01"/>
    <w:rsid w:val="00323E39"/>
    <w:rsid w:val="003809F9"/>
    <w:rsid w:val="003A29AE"/>
    <w:rsid w:val="003A32D7"/>
    <w:rsid w:val="003B4074"/>
    <w:rsid w:val="003C769A"/>
    <w:rsid w:val="003D3A90"/>
    <w:rsid w:val="003F1838"/>
    <w:rsid w:val="0045746C"/>
    <w:rsid w:val="004662AE"/>
    <w:rsid w:val="0049104B"/>
    <w:rsid w:val="004D4694"/>
    <w:rsid w:val="004E3B12"/>
    <w:rsid w:val="004F5E1E"/>
    <w:rsid w:val="00531060"/>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B7687"/>
    <w:rsid w:val="0082576E"/>
    <w:rsid w:val="00907F75"/>
    <w:rsid w:val="00925ABE"/>
    <w:rsid w:val="009260DE"/>
    <w:rsid w:val="0093258A"/>
    <w:rsid w:val="009534FE"/>
    <w:rsid w:val="009C7BA3"/>
    <w:rsid w:val="009D1F5A"/>
    <w:rsid w:val="00A10294"/>
    <w:rsid w:val="00B003BF"/>
    <w:rsid w:val="00B373D7"/>
    <w:rsid w:val="00B55271"/>
    <w:rsid w:val="00BD7931"/>
    <w:rsid w:val="00BF6243"/>
    <w:rsid w:val="00C23D65"/>
    <w:rsid w:val="00C36276"/>
    <w:rsid w:val="00C42586"/>
    <w:rsid w:val="00C45F6B"/>
    <w:rsid w:val="00C60CCD"/>
    <w:rsid w:val="00C84483"/>
    <w:rsid w:val="00C95551"/>
    <w:rsid w:val="00CA587D"/>
    <w:rsid w:val="00CB20D7"/>
    <w:rsid w:val="00D020B0"/>
    <w:rsid w:val="00D11748"/>
    <w:rsid w:val="00D237F6"/>
    <w:rsid w:val="00D34D98"/>
    <w:rsid w:val="00D366CF"/>
    <w:rsid w:val="00D93992"/>
    <w:rsid w:val="00E108AA"/>
    <w:rsid w:val="00E3749A"/>
    <w:rsid w:val="00E574C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EAE0B"/>
  <w15:chartTrackingRefBased/>
  <w15:docId w15:val="{34C27AF7-AEB5-4C2C-9145-655F38B2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25ABE"/>
    <w:pPr>
      <w:ind w:left="720"/>
      <w:contextualSpacing/>
    </w:pPr>
    <w:rPr>
      <w:sz w:val="22"/>
    </w:rPr>
  </w:style>
  <w:style w:type="character" w:styleId="Hyperlink">
    <w:name w:val="Hyperlink"/>
    <w:uiPriority w:val="99"/>
    <w:semiHidden/>
    <w:unhideWhenUsed/>
    <w:rsid w:val="00925ABE"/>
    <w:rPr>
      <w:color w:val="0000FF"/>
      <w:u w:val="single"/>
    </w:rPr>
  </w:style>
  <w:style w:type="table" w:styleId="Tabel-Gitter">
    <w:name w:val="Table Grid"/>
    <w:basedOn w:val="Tabel-Normal"/>
    <w:rsid w:val="00925AB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766">
      <w:bodyDiv w:val="1"/>
      <w:marLeft w:val="0"/>
      <w:marRight w:val="0"/>
      <w:marTop w:val="0"/>
      <w:marBottom w:val="0"/>
      <w:divBdr>
        <w:top w:val="none" w:sz="0" w:space="0" w:color="auto"/>
        <w:left w:val="none" w:sz="0" w:space="0" w:color="auto"/>
        <w:bottom w:val="none" w:sz="0" w:space="0" w:color="auto"/>
        <w:right w:val="none" w:sz="0" w:space="0" w:color="auto"/>
      </w:divBdr>
    </w:div>
    <w:div w:id="13506386">
      <w:bodyDiv w:val="1"/>
      <w:marLeft w:val="0"/>
      <w:marRight w:val="0"/>
      <w:marTop w:val="0"/>
      <w:marBottom w:val="0"/>
      <w:divBdr>
        <w:top w:val="none" w:sz="0" w:space="0" w:color="auto"/>
        <w:left w:val="none" w:sz="0" w:space="0" w:color="auto"/>
        <w:bottom w:val="none" w:sz="0" w:space="0" w:color="auto"/>
        <w:right w:val="none" w:sz="0" w:space="0" w:color="auto"/>
      </w:divBdr>
    </w:div>
    <w:div w:id="377034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8502739">
      <w:bodyDiv w:val="1"/>
      <w:marLeft w:val="0"/>
      <w:marRight w:val="0"/>
      <w:marTop w:val="0"/>
      <w:marBottom w:val="0"/>
      <w:divBdr>
        <w:top w:val="none" w:sz="0" w:space="0" w:color="auto"/>
        <w:left w:val="none" w:sz="0" w:space="0" w:color="auto"/>
        <w:bottom w:val="none" w:sz="0" w:space="0" w:color="auto"/>
        <w:right w:val="none" w:sz="0" w:space="0" w:color="auto"/>
      </w:divBdr>
    </w:div>
    <w:div w:id="446391557">
      <w:bodyDiv w:val="1"/>
      <w:marLeft w:val="0"/>
      <w:marRight w:val="0"/>
      <w:marTop w:val="0"/>
      <w:marBottom w:val="0"/>
      <w:divBdr>
        <w:top w:val="none" w:sz="0" w:space="0" w:color="auto"/>
        <w:left w:val="none" w:sz="0" w:space="0" w:color="auto"/>
        <w:bottom w:val="none" w:sz="0" w:space="0" w:color="auto"/>
        <w:right w:val="none" w:sz="0" w:space="0" w:color="auto"/>
      </w:divBdr>
    </w:div>
    <w:div w:id="631254630">
      <w:bodyDiv w:val="1"/>
      <w:marLeft w:val="0"/>
      <w:marRight w:val="0"/>
      <w:marTop w:val="0"/>
      <w:marBottom w:val="0"/>
      <w:divBdr>
        <w:top w:val="none" w:sz="0" w:space="0" w:color="auto"/>
        <w:left w:val="none" w:sz="0" w:space="0" w:color="auto"/>
        <w:bottom w:val="none" w:sz="0" w:space="0" w:color="auto"/>
        <w:right w:val="none" w:sz="0" w:space="0" w:color="auto"/>
      </w:divBdr>
    </w:div>
    <w:div w:id="900487374">
      <w:bodyDiv w:val="1"/>
      <w:marLeft w:val="0"/>
      <w:marRight w:val="0"/>
      <w:marTop w:val="0"/>
      <w:marBottom w:val="0"/>
      <w:divBdr>
        <w:top w:val="none" w:sz="0" w:space="0" w:color="auto"/>
        <w:left w:val="none" w:sz="0" w:space="0" w:color="auto"/>
        <w:bottom w:val="none" w:sz="0" w:space="0" w:color="auto"/>
        <w:right w:val="none" w:sz="0" w:space="0" w:color="auto"/>
      </w:divBdr>
    </w:div>
    <w:div w:id="919169317">
      <w:bodyDiv w:val="1"/>
      <w:marLeft w:val="0"/>
      <w:marRight w:val="0"/>
      <w:marTop w:val="0"/>
      <w:marBottom w:val="0"/>
      <w:divBdr>
        <w:top w:val="none" w:sz="0" w:space="0" w:color="auto"/>
        <w:left w:val="none" w:sz="0" w:space="0" w:color="auto"/>
        <w:bottom w:val="none" w:sz="0" w:space="0" w:color="auto"/>
        <w:right w:val="none" w:sz="0" w:space="0" w:color="auto"/>
      </w:divBdr>
    </w:div>
    <w:div w:id="924071503">
      <w:bodyDiv w:val="1"/>
      <w:marLeft w:val="0"/>
      <w:marRight w:val="0"/>
      <w:marTop w:val="0"/>
      <w:marBottom w:val="0"/>
      <w:divBdr>
        <w:top w:val="none" w:sz="0" w:space="0" w:color="auto"/>
        <w:left w:val="none" w:sz="0" w:space="0" w:color="auto"/>
        <w:bottom w:val="none" w:sz="0" w:space="0" w:color="auto"/>
        <w:right w:val="none" w:sz="0" w:space="0" w:color="auto"/>
      </w:divBdr>
    </w:div>
    <w:div w:id="1077092371">
      <w:bodyDiv w:val="1"/>
      <w:marLeft w:val="0"/>
      <w:marRight w:val="0"/>
      <w:marTop w:val="0"/>
      <w:marBottom w:val="0"/>
      <w:divBdr>
        <w:top w:val="none" w:sz="0" w:space="0" w:color="auto"/>
        <w:left w:val="none" w:sz="0" w:space="0" w:color="auto"/>
        <w:bottom w:val="none" w:sz="0" w:space="0" w:color="auto"/>
        <w:right w:val="none" w:sz="0" w:space="0" w:color="auto"/>
      </w:divBdr>
    </w:div>
    <w:div w:id="1127048323">
      <w:bodyDiv w:val="1"/>
      <w:marLeft w:val="0"/>
      <w:marRight w:val="0"/>
      <w:marTop w:val="0"/>
      <w:marBottom w:val="0"/>
      <w:divBdr>
        <w:top w:val="none" w:sz="0" w:space="0" w:color="auto"/>
        <w:left w:val="none" w:sz="0" w:space="0" w:color="auto"/>
        <w:bottom w:val="none" w:sz="0" w:space="0" w:color="auto"/>
        <w:right w:val="none" w:sz="0" w:space="0" w:color="auto"/>
      </w:divBdr>
    </w:div>
    <w:div w:id="1151557677">
      <w:bodyDiv w:val="1"/>
      <w:marLeft w:val="0"/>
      <w:marRight w:val="0"/>
      <w:marTop w:val="0"/>
      <w:marBottom w:val="0"/>
      <w:divBdr>
        <w:top w:val="none" w:sz="0" w:space="0" w:color="auto"/>
        <w:left w:val="none" w:sz="0" w:space="0" w:color="auto"/>
        <w:bottom w:val="none" w:sz="0" w:space="0" w:color="auto"/>
        <w:right w:val="none" w:sz="0" w:space="0" w:color="auto"/>
      </w:divBdr>
    </w:div>
    <w:div w:id="1315136483">
      <w:bodyDiv w:val="1"/>
      <w:marLeft w:val="0"/>
      <w:marRight w:val="0"/>
      <w:marTop w:val="0"/>
      <w:marBottom w:val="0"/>
      <w:divBdr>
        <w:top w:val="none" w:sz="0" w:space="0" w:color="auto"/>
        <w:left w:val="none" w:sz="0" w:space="0" w:color="auto"/>
        <w:bottom w:val="none" w:sz="0" w:space="0" w:color="auto"/>
        <w:right w:val="none" w:sz="0" w:space="0" w:color="auto"/>
      </w:divBdr>
    </w:div>
    <w:div w:id="1359117271">
      <w:bodyDiv w:val="1"/>
      <w:marLeft w:val="0"/>
      <w:marRight w:val="0"/>
      <w:marTop w:val="0"/>
      <w:marBottom w:val="0"/>
      <w:divBdr>
        <w:top w:val="none" w:sz="0" w:space="0" w:color="auto"/>
        <w:left w:val="none" w:sz="0" w:space="0" w:color="auto"/>
        <w:bottom w:val="none" w:sz="0" w:space="0" w:color="auto"/>
        <w:right w:val="none" w:sz="0" w:space="0" w:color="auto"/>
      </w:divBdr>
    </w:div>
    <w:div w:id="1433863749">
      <w:bodyDiv w:val="1"/>
      <w:marLeft w:val="0"/>
      <w:marRight w:val="0"/>
      <w:marTop w:val="0"/>
      <w:marBottom w:val="0"/>
      <w:divBdr>
        <w:top w:val="none" w:sz="0" w:space="0" w:color="auto"/>
        <w:left w:val="none" w:sz="0" w:space="0" w:color="auto"/>
        <w:bottom w:val="none" w:sz="0" w:space="0" w:color="auto"/>
        <w:right w:val="none" w:sz="0" w:space="0" w:color="auto"/>
      </w:divBdr>
    </w:div>
    <w:div w:id="1451707902">
      <w:bodyDiv w:val="1"/>
      <w:marLeft w:val="0"/>
      <w:marRight w:val="0"/>
      <w:marTop w:val="0"/>
      <w:marBottom w:val="0"/>
      <w:divBdr>
        <w:top w:val="none" w:sz="0" w:space="0" w:color="auto"/>
        <w:left w:val="none" w:sz="0" w:space="0" w:color="auto"/>
        <w:bottom w:val="none" w:sz="0" w:space="0" w:color="auto"/>
        <w:right w:val="none" w:sz="0" w:space="0" w:color="auto"/>
      </w:divBdr>
    </w:div>
    <w:div w:id="1572738543">
      <w:bodyDiv w:val="1"/>
      <w:marLeft w:val="0"/>
      <w:marRight w:val="0"/>
      <w:marTop w:val="0"/>
      <w:marBottom w:val="0"/>
      <w:divBdr>
        <w:top w:val="none" w:sz="0" w:space="0" w:color="auto"/>
        <w:left w:val="none" w:sz="0" w:space="0" w:color="auto"/>
        <w:bottom w:val="none" w:sz="0" w:space="0" w:color="auto"/>
        <w:right w:val="none" w:sz="0" w:space="0" w:color="auto"/>
      </w:divBdr>
    </w:div>
    <w:div w:id="1617563253">
      <w:bodyDiv w:val="1"/>
      <w:marLeft w:val="0"/>
      <w:marRight w:val="0"/>
      <w:marTop w:val="0"/>
      <w:marBottom w:val="0"/>
      <w:divBdr>
        <w:top w:val="none" w:sz="0" w:space="0" w:color="auto"/>
        <w:left w:val="none" w:sz="0" w:space="0" w:color="auto"/>
        <w:bottom w:val="none" w:sz="0" w:space="0" w:color="auto"/>
        <w:right w:val="none" w:sz="0" w:space="0" w:color="auto"/>
      </w:divBdr>
    </w:div>
    <w:div w:id="1690184356">
      <w:bodyDiv w:val="1"/>
      <w:marLeft w:val="0"/>
      <w:marRight w:val="0"/>
      <w:marTop w:val="0"/>
      <w:marBottom w:val="0"/>
      <w:divBdr>
        <w:top w:val="none" w:sz="0" w:space="0" w:color="auto"/>
        <w:left w:val="none" w:sz="0" w:space="0" w:color="auto"/>
        <w:bottom w:val="none" w:sz="0" w:space="0" w:color="auto"/>
        <w:right w:val="none" w:sz="0" w:space="0" w:color="auto"/>
      </w:divBdr>
    </w:div>
    <w:div w:id="1819804816">
      <w:bodyDiv w:val="1"/>
      <w:marLeft w:val="0"/>
      <w:marRight w:val="0"/>
      <w:marTop w:val="0"/>
      <w:marBottom w:val="0"/>
      <w:divBdr>
        <w:top w:val="none" w:sz="0" w:space="0" w:color="auto"/>
        <w:left w:val="none" w:sz="0" w:space="0" w:color="auto"/>
        <w:bottom w:val="none" w:sz="0" w:space="0" w:color="auto"/>
        <w:right w:val="none" w:sz="0" w:space="0" w:color="auto"/>
      </w:divBdr>
    </w:div>
    <w:div w:id="20237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22</Pages>
  <Words>7718</Words>
  <Characters>47536</Characters>
  <Application>Microsoft Office Word</Application>
  <DocSecurity>0</DocSecurity>
  <Lines>396</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2023052670 _x000d_
SPC. pkt. 6.5 tilføjelse af 105 filmovertrukne tabletter.</dc:description>
  <cp:lastModifiedBy>Kristine Skov Hansen</cp:lastModifiedBy>
  <cp:revision>2</cp:revision>
  <cp:lastPrinted>2012-08-22T08:53:00Z</cp:lastPrinted>
  <dcterms:created xsi:type="dcterms:W3CDTF">2023-06-09T08:49:00Z</dcterms:created>
  <dcterms:modified xsi:type="dcterms:W3CDTF">2023-06-09T08:49:00Z</dcterms:modified>
</cp:coreProperties>
</file>