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99C0F"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526EC6CA" wp14:editId="7ECD092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63F4B0C2" w14:textId="77777777" w:rsidR="009260DE" w:rsidRPr="00C84483" w:rsidRDefault="009260DE" w:rsidP="009260DE">
      <w:pPr>
        <w:pStyle w:val="Titel"/>
        <w:tabs>
          <w:tab w:val="right" w:pos="9356"/>
        </w:tabs>
        <w:jc w:val="left"/>
        <w:rPr>
          <w:b w:val="0"/>
          <w:szCs w:val="24"/>
          <w:lang w:eastAsia="en-US"/>
        </w:rPr>
      </w:pPr>
    </w:p>
    <w:p w14:paraId="3D2DDCFE" w14:textId="08016325"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D8510E">
        <w:rPr>
          <w:szCs w:val="24"/>
        </w:rPr>
        <w:t>17. september 2026</w:t>
      </w:r>
    </w:p>
    <w:p w14:paraId="2383BFF0" w14:textId="77777777" w:rsidR="009260DE" w:rsidRPr="00C84483" w:rsidRDefault="009260DE" w:rsidP="009260DE">
      <w:pPr>
        <w:pStyle w:val="Titel"/>
        <w:tabs>
          <w:tab w:val="left" w:pos="8222"/>
        </w:tabs>
        <w:jc w:val="left"/>
        <w:rPr>
          <w:b w:val="0"/>
          <w:szCs w:val="24"/>
        </w:rPr>
      </w:pPr>
    </w:p>
    <w:p w14:paraId="10670E7E" w14:textId="77777777" w:rsidR="009260DE" w:rsidRPr="00C84483" w:rsidRDefault="009260DE" w:rsidP="009260DE">
      <w:pPr>
        <w:pStyle w:val="Titel"/>
        <w:jc w:val="left"/>
        <w:rPr>
          <w:b w:val="0"/>
          <w:szCs w:val="24"/>
        </w:rPr>
      </w:pPr>
    </w:p>
    <w:p w14:paraId="5CA3A301" w14:textId="77777777" w:rsidR="009260DE" w:rsidRPr="00C84483" w:rsidRDefault="009260DE" w:rsidP="009260DE">
      <w:pPr>
        <w:pStyle w:val="Titel"/>
        <w:jc w:val="left"/>
        <w:rPr>
          <w:b w:val="0"/>
          <w:szCs w:val="24"/>
        </w:rPr>
      </w:pPr>
    </w:p>
    <w:p w14:paraId="0CB15627" w14:textId="77777777" w:rsidR="009260DE" w:rsidRPr="00C84483" w:rsidRDefault="009260DE" w:rsidP="009260DE">
      <w:pPr>
        <w:jc w:val="center"/>
        <w:rPr>
          <w:b/>
          <w:sz w:val="24"/>
          <w:szCs w:val="24"/>
        </w:rPr>
      </w:pPr>
      <w:r w:rsidRPr="00C84483">
        <w:rPr>
          <w:b/>
          <w:sz w:val="24"/>
          <w:szCs w:val="24"/>
        </w:rPr>
        <w:t>PRODUKTRESUMÉ</w:t>
      </w:r>
    </w:p>
    <w:p w14:paraId="0A42C228" w14:textId="77777777" w:rsidR="009260DE" w:rsidRPr="00C84483" w:rsidRDefault="009260DE" w:rsidP="009260DE">
      <w:pPr>
        <w:jc w:val="center"/>
        <w:rPr>
          <w:b/>
          <w:sz w:val="24"/>
          <w:szCs w:val="24"/>
        </w:rPr>
      </w:pPr>
    </w:p>
    <w:p w14:paraId="3E1F1D8C" w14:textId="77777777" w:rsidR="009260DE" w:rsidRDefault="009260DE" w:rsidP="009260DE">
      <w:pPr>
        <w:jc w:val="center"/>
        <w:rPr>
          <w:b/>
          <w:sz w:val="24"/>
          <w:szCs w:val="24"/>
        </w:rPr>
      </w:pPr>
      <w:r w:rsidRPr="00C84483">
        <w:rPr>
          <w:b/>
          <w:sz w:val="24"/>
          <w:szCs w:val="24"/>
        </w:rPr>
        <w:t>for</w:t>
      </w:r>
    </w:p>
    <w:p w14:paraId="4ABD535C" w14:textId="77777777" w:rsidR="000B058C" w:rsidRPr="00C84483" w:rsidRDefault="000B058C" w:rsidP="009260DE">
      <w:pPr>
        <w:jc w:val="center"/>
        <w:rPr>
          <w:b/>
          <w:sz w:val="24"/>
          <w:szCs w:val="24"/>
        </w:rPr>
      </w:pPr>
    </w:p>
    <w:p w14:paraId="5C33BF8B" w14:textId="40D031FF" w:rsidR="009260DE" w:rsidRPr="00C84483" w:rsidRDefault="00925A4C" w:rsidP="009260DE">
      <w:pPr>
        <w:jc w:val="center"/>
        <w:rPr>
          <w:b/>
          <w:sz w:val="24"/>
          <w:szCs w:val="24"/>
        </w:rPr>
      </w:pPr>
      <w:r>
        <w:rPr>
          <w:b/>
          <w:sz w:val="24"/>
          <w:szCs w:val="24"/>
        </w:rPr>
        <w:t>Latanoprost "Sandoz", øjendråber, opløsning</w:t>
      </w:r>
      <w:r w:rsidR="00A42DAF">
        <w:rPr>
          <w:b/>
          <w:sz w:val="24"/>
          <w:szCs w:val="24"/>
        </w:rPr>
        <w:t xml:space="preserve"> i</w:t>
      </w:r>
      <w:r>
        <w:rPr>
          <w:b/>
          <w:sz w:val="24"/>
          <w:szCs w:val="24"/>
        </w:rPr>
        <w:t xml:space="preserve"> enkeltdosisbeholder</w:t>
      </w:r>
    </w:p>
    <w:p w14:paraId="48483081" w14:textId="77777777" w:rsidR="009260DE" w:rsidRPr="00C84483" w:rsidRDefault="009260DE" w:rsidP="009260DE">
      <w:pPr>
        <w:jc w:val="both"/>
        <w:rPr>
          <w:sz w:val="24"/>
          <w:szCs w:val="24"/>
        </w:rPr>
      </w:pPr>
    </w:p>
    <w:p w14:paraId="1479AC1E" w14:textId="77777777" w:rsidR="009260DE" w:rsidRPr="00C84483" w:rsidRDefault="009260DE" w:rsidP="009260DE">
      <w:pPr>
        <w:jc w:val="both"/>
        <w:rPr>
          <w:sz w:val="24"/>
          <w:szCs w:val="24"/>
        </w:rPr>
      </w:pPr>
    </w:p>
    <w:p w14:paraId="1ACCB9EA"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3B0516A2" w14:textId="2ED2355D" w:rsidR="009260DE" w:rsidRPr="00C84483" w:rsidRDefault="00D8510E" w:rsidP="009260DE">
      <w:pPr>
        <w:tabs>
          <w:tab w:val="left" w:pos="851"/>
        </w:tabs>
        <w:ind w:left="851"/>
        <w:rPr>
          <w:sz w:val="24"/>
          <w:szCs w:val="24"/>
        </w:rPr>
      </w:pPr>
      <w:r>
        <w:rPr>
          <w:sz w:val="24"/>
          <w:szCs w:val="24"/>
        </w:rPr>
        <w:t>26406</w:t>
      </w:r>
    </w:p>
    <w:p w14:paraId="4D420969" w14:textId="77777777" w:rsidR="009260DE" w:rsidRPr="00C84483" w:rsidRDefault="009260DE" w:rsidP="009260DE">
      <w:pPr>
        <w:tabs>
          <w:tab w:val="left" w:pos="851"/>
        </w:tabs>
        <w:ind w:left="851"/>
        <w:rPr>
          <w:sz w:val="24"/>
          <w:szCs w:val="24"/>
        </w:rPr>
      </w:pPr>
    </w:p>
    <w:p w14:paraId="796FE2B3"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6FAC238B" w14:textId="182E93BD" w:rsidR="009260DE" w:rsidRPr="00925A4C" w:rsidRDefault="00925A4C" w:rsidP="009260DE">
      <w:pPr>
        <w:tabs>
          <w:tab w:val="left" w:pos="851"/>
        </w:tabs>
        <w:ind w:left="851"/>
        <w:rPr>
          <w:bCs/>
          <w:sz w:val="24"/>
          <w:szCs w:val="24"/>
        </w:rPr>
      </w:pPr>
      <w:r w:rsidRPr="00925A4C">
        <w:rPr>
          <w:bCs/>
          <w:sz w:val="24"/>
          <w:szCs w:val="24"/>
        </w:rPr>
        <w:t>Latanoprost "Sandoz"</w:t>
      </w:r>
    </w:p>
    <w:p w14:paraId="1F14C570" w14:textId="77777777" w:rsidR="00925A4C" w:rsidRPr="00925A4C" w:rsidRDefault="00925A4C" w:rsidP="009260DE">
      <w:pPr>
        <w:tabs>
          <w:tab w:val="left" w:pos="851"/>
        </w:tabs>
        <w:ind w:left="851"/>
        <w:rPr>
          <w:bCs/>
          <w:sz w:val="24"/>
          <w:szCs w:val="24"/>
        </w:rPr>
      </w:pPr>
    </w:p>
    <w:p w14:paraId="39DC8747"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FAFC618" w14:textId="77777777" w:rsidR="00043246" w:rsidRPr="00043246" w:rsidRDefault="00043246" w:rsidP="00043246">
      <w:pPr>
        <w:tabs>
          <w:tab w:val="left" w:pos="851"/>
        </w:tabs>
        <w:ind w:left="851"/>
        <w:rPr>
          <w:sz w:val="24"/>
          <w:szCs w:val="24"/>
        </w:rPr>
      </w:pPr>
      <w:r w:rsidRPr="00043246">
        <w:rPr>
          <w:sz w:val="24"/>
          <w:szCs w:val="24"/>
        </w:rPr>
        <w:t xml:space="preserve">1 ml øjendråber, opløsning indeholder 50 mikrogram latanoprost. </w:t>
      </w:r>
    </w:p>
    <w:p w14:paraId="054F53F9" w14:textId="77777777" w:rsidR="00043246" w:rsidRPr="00043246" w:rsidRDefault="00043246" w:rsidP="00043246">
      <w:pPr>
        <w:tabs>
          <w:tab w:val="left" w:pos="851"/>
        </w:tabs>
        <w:ind w:left="851"/>
        <w:rPr>
          <w:sz w:val="24"/>
          <w:szCs w:val="24"/>
        </w:rPr>
      </w:pPr>
      <w:r w:rsidRPr="00043246">
        <w:rPr>
          <w:sz w:val="24"/>
          <w:szCs w:val="24"/>
        </w:rPr>
        <w:t xml:space="preserve">En enkeltdosisbeholder med 0,2 ml øjendråber, opløsning indeholder 10 mikrogram latanoprost. </w:t>
      </w:r>
    </w:p>
    <w:p w14:paraId="4F553559" w14:textId="77777777" w:rsidR="00043246" w:rsidRPr="00043246" w:rsidRDefault="00043246" w:rsidP="00043246">
      <w:pPr>
        <w:tabs>
          <w:tab w:val="left" w:pos="851"/>
        </w:tabs>
        <w:ind w:left="851"/>
        <w:rPr>
          <w:sz w:val="24"/>
          <w:szCs w:val="24"/>
        </w:rPr>
      </w:pPr>
      <w:r w:rsidRPr="00043246">
        <w:rPr>
          <w:sz w:val="24"/>
          <w:szCs w:val="24"/>
        </w:rPr>
        <w:t>Hver dråbe indeholder ca. 1,5 mikrogram latanoprost.</w:t>
      </w:r>
    </w:p>
    <w:p w14:paraId="12EC7286" w14:textId="77777777" w:rsidR="00043246" w:rsidRPr="00043246" w:rsidRDefault="00043246" w:rsidP="00043246">
      <w:pPr>
        <w:tabs>
          <w:tab w:val="left" w:pos="851"/>
        </w:tabs>
        <w:ind w:left="851"/>
        <w:rPr>
          <w:sz w:val="24"/>
          <w:szCs w:val="24"/>
        </w:rPr>
      </w:pPr>
    </w:p>
    <w:p w14:paraId="13F23455" w14:textId="7604682F" w:rsidR="00043246" w:rsidRPr="00043246" w:rsidRDefault="00043246" w:rsidP="00043246">
      <w:pPr>
        <w:tabs>
          <w:tab w:val="left" w:pos="851"/>
        </w:tabs>
        <w:ind w:left="851"/>
        <w:rPr>
          <w:sz w:val="24"/>
          <w:szCs w:val="24"/>
        </w:rPr>
      </w:pPr>
      <w:r w:rsidRPr="00043246">
        <w:rPr>
          <w:sz w:val="24"/>
          <w:szCs w:val="24"/>
          <w:u w:val="single"/>
        </w:rPr>
        <w:t>Hjælpestof, som behandleren skal være opmærksom på</w:t>
      </w:r>
    </w:p>
    <w:p w14:paraId="4DCE5674" w14:textId="77777777" w:rsidR="00043246" w:rsidRPr="00043246" w:rsidRDefault="00043246" w:rsidP="00043246">
      <w:pPr>
        <w:tabs>
          <w:tab w:val="left" w:pos="851"/>
        </w:tabs>
        <w:ind w:left="851"/>
        <w:rPr>
          <w:sz w:val="24"/>
          <w:szCs w:val="24"/>
        </w:rPr>
      </w:pPr>
      <w:r w:rsidRPr="00043246">
        <w:rPr>
          <w:sz w:val="24"/>
          <w:szCs w:val="24"/>
        </w:rPr>
        <w:t>Hver ml indeholder 7,0 mg borsyre, hvilket svarer til 0,21 mg borsyre pr. dråbe.</w:t>
      </w:r>
    </w:p>
    <w:p w14:paraId="7FD7751B" w14:textId="77777777" w:rsidR="00043246" w:rsidRPr="00043246" w:rsidRDefault="00043246" w:rsidP="00043246">
      <w:pPr>
        <w:tabs>
          <w:tab w:val="left" w:pos="851"/>
        </w:tabs>
        <w:ind w:left="851"/>
        <w:rPr>
          <w:sz w:val="24"/>
          <w:szCs w:val="24"/>
        </w:rPr>
      </w:pPr>
    </w:p>
    <w:p w14:paraId="07B48C44" w14:textId="77777777" w:rsidR="00043246" w:rsidRPr="00043246" w:rsidRDefault="00043246" w:rsidP="00043246">
      <w:pPr>
        <w:tabs>
          <w:tab w:val="left" w:pos="851"/>
        </w:tabs>
        <w:ind w:left="851"/>
        <w:rPr>
          <w:sz w:val="24"/>
          <w:szCs w:val="24"/>
        </w:rPr>
      </w:pPr>
      <w:r w:rsidRPr="00043246">
        <w:rPr>
          <w:sz w:val="24"/>
          <w:szCs w:val="24"/>
        </w:rPr>
        <w:t>Hver ml indeholder 0,02 mg polysorbat 80.</w:t>
      </w:r>
    </w:p>
    <w:p w14:paraId="3475BF22" w14:textId="77777777" w:rsidR="00043246" w:rsidRPr="00043246" w:rsidRDefault="00043246" w:rsidP="00043246">
      <w:pPr>
        <w:tabs>
          <w:tab w:val="left" w:pos="851"/>
        </w:tabs>
        <w:ind w:left="851"/>
        <w:rPr>
          <w:sz w:val="24"/>
          <w:szCs w:val="24"/>
        </w:rPr>
      </w:pPr>
    </w:p>
    <w:p w14:paraId="24323832" w14:textId="77777777" w:rsidR="00043246" w:rsidRPr="00043246" w:rsidRDefault="00043246" w:rsidP="00043246">
      <w:pPr>
        <w:tabs>
          <w:tab w:val="left" w:pos="851"/>
        </w:tabs>
        <w:ind w:left="851"/>
        <w:rPr>
          <w:sz w:val="24"/>
          <w:szCs w:val="24"/>
        </w:rPr>
      </w:pPr>
      <w:r w:rsidRPr="00043246">
        <w:rPr>
          <w:sz w:val="24"/>
          <w:szCs w:val="24"/>
        </w:rPr>
        <w:t>Alle hjælpestoffer er anført under pkt. 6.1.</w:t>
      </w:r>
    </w:p>
    <w:p w14:paraId="6673FBDE" w14:textId="77777777" w:rsidR="009260DE" w:rsidRPr="00C84483" w:rsidRDefault="009260DE" w:rsidP="009260DE">
      <w:pPr>
        <w:tabs>
          <w:tab w:val="left" w:pos="851"/>
        </w:tabs>
        <w:ind w:left="851"/>
        <w:rPr>
          <w:sz w:val="24"/>
          <w:szCs w:val="24"/>
        </w:rPr>
      </w:pPr>
    </w:p>
    <w:p w14:paraId="0A925223"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440FF46D" w14:textId="02460735" w:rsidR="00043246" w:rsidRDefault="00043246" w:rsidP="00043246">
      <w:pPr>
        <w:tabs>
          <w:tab w:val="left" w:pos="851"/>
        </w:tabs>
        <w:ind w:left="851"/>
        <w:rPr>
          <w:sz w:val="24"/>
          <w:szCs w:val="24"/>
        </w:rPr>
      </w:pPr>
      <w:r w:rsidRPr="00043246">
        <w:rPr>
          <w:sz w:val="24"/>
          <w:szCs w:val="24"/>
        </w:rPr>
        <w:t>Øjendråber, opløsning</w:t>
      </w:r>
      <w:r w:rsidR="00A42DAF">
        <w:rPr>
          <w:sz w:val="24"/>
          <w:szCs w:val="24"/>
        </w:rPr>
        <w:t xml:space="preserve"> i</w:t>
      </w:r>
      <w:r w:rsidRPr="00043246">
        <w:rPr>
          <w:sz w:val="24"/>
          <w:szCs w:val="24"/>
        </w:rPr>
        <w:t xml:space="preserve"> enkeltdosisbeholder</w:t>
      </w:r>
    </w:p>
    <w:p w14:paraId="35D9799C" w14:textId="77777777" w:rsidR="00A42DAF" w:rsidRPr="00043246" w:rsidRDefault="00A42DAF" w:rsidP="00043246">
      <w:pPr>
        <w:tabs>
          <w:tab w:val="left" w:pos="851"/>
        </w:tabs>
        <w:ind w:left="851"/>
        <w:rPr>
          <w:sz w:val="24"/>
          <w:szCs w:val="24"/>
        </w:rPr>
      </w:pPr>
    </w:p>
    <w:p w14:paraId="3320CDF8" w14:textId="731B3162" w:rsidR="00043246" w:rsidRPr="00043246" w:rsidRDefault="00043246" w:rsidP="00043246">
      <w:pPr>
        <w:tabs>
          <w:tab w:val="left" w:pos="851"/>
        </w:tabs>
        <w:ind w:left="851"/>
        <w:rPr>
          <w:sz w:val="24"/>
          <w:szCs w:val="24"/>
        </w:rPr>
      </w:pPr>
      <w:r w:rsidRPr="00043246">
        <w:rPr>
          <w:sz w:val="24"/>
          <w:szCs w:val="24"/>
        </w:rPr>
        <w:t>Klar, farveløs opløsning</w:t>
      </w:r>
      <w:r w:rsidR="00A42DAF">
        <w:rPr>
          <w:sz w:val="24"/>
          <w:szCs w:val="24"/>
        </w:rPr>
        <w:t>.</w:t>
      </w:r>
    </w:p>
    <w:p w14:paraId="0C8A6ACE" w14:textId="75426307" w:rsidR="00043246" w:rsidRPr="00043246" w:rsidRDefault="00043246" w:rsidP="00043246">
      <w:pPr>
        <w:tabs>
          <w:tab w:val="left" w:pos="851"/>
        </w:tabs>
        <w:ind w:left="851"/>
        <w:rPr>
          <w:sz w:val="24"/>
          <w:szCs w:val="24"/>
        </w:rPr>
      </w:pPr>
      <w:r w:rsidRPr="00043246">
        <w:rPr>
          <w:sz w:val="24"/>
          <w:szCs w:val="24"/>
        </w:rPr>
        <w:t>Osmolalitet: 250 - 308 mOsmol/kg</w:t>
      </w:r>
      <w:r w:rsidR="00A42DAF">
        <w:rPr>
          <w:sz w:val="24"/>
          <w:szCs w:val="24"/>
        </w:rPr>
        <w:t>.</w:t>
      </w:r>
    </w:p>
    <w:p w14:paraId="35300DCB" w14:textId="77777777" w:rsidR="00043246" w:rsidRPr="00043246" w:rsidRDefault="00043246" w:rsidP="00043246">
      <w:pPr>
        <w:tabs>
          <w:tab w:val="left" w:pos="851"/>
        </w:tabs>
        <w:ind w:left="851"/>
        <w:rPr>
          <w:sz w:val="24"/>
          <w:szCs w:val="24"/>
        </w:rPr>
      </w:pPr>
      <w:r w:rsidRPr="00043246">
        <w:rPr>
          <w:sz w:val="24"/>
          <w:szCs w:val="24"/>
        </w:rPr>
        <w:t>Opløsningens pH-værdi: 5,5 - 6,5.</w:t>
      </w:r>
    </w:p>
    <w:p w14:paraId="1C39523E" w14:textId="77777777" w:rsidR="009260DE" w:rsidRPr="00C84483" w:rsidRDefault="009260DE" w:rsidP="009260DE">
      <w:pPr>
        <w:tabs>
          <w:tab w:val="left" w:pos="851"/>
        </w:tabs>
        <w:ind w:left="851"/>
        <w:rPr>
          <w:sz w:val="24"/>
          <w:szCs w:val="24"/>
        </w:rPr>
      </w:pPr>
    </w:p>
    <w:p w14:paraId="5E14D39D" w14:textId="77777777" w:rsidR="009260DE" w:rsidRPr="00C84483" w:rsidRDefault="009260DE" w:rsidP="009260DE">
      <w:pPr>
        <w:tabs>
          <w:tab w:val="left" w:pos="851"/>
        </w:tabs>
        <w:ind w:left="851"/>
        <w:rPr>
          <w:sz w:val="24"/>
          <w:szCs w:val="24"/>
        </w:rPr>
      </w:pPr>
    </w:p>
    <w:p w14:paraId="600705A0"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086FB1EE" w14:textId="77777777" w:rsidR="009260DE" w:rsidRPr="00C84483" w:rsidRDefault="009260DE" w:rsidP="009260DE">
      <w:pPr>
        <w:tabs>
          <w:tab w:val="left" w:pos="851"/>
        </w:tabs>
        <w:ind w:left="851"/>
        <w:rPr>
          <w:b/>
          <w:sz w:val="24"/>
          <w:szCs w:val="24"/>
        </w:rPr>
      </w:pPr>
    </w:p>
    <w:p w14:paraId="4009B307"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60F56BE" w14:textId="77777777" w:rsidR="00043246" w:rsidRPr="00043246" w:rsidRDefault="00043246" w:rsidP="00043246">
      <w:pPr>
        <w:tabs>
          <w:tab w:val="left" w:pos="851"/>
        </w:tabs>
        <w:ind w:left="851"/>
        <w:rPr>
          <w:sz w:val="24"/>
          <w:szCs w:val="24"/>
        </w:rPr>
      </w:pPr>
      <w:r w:rsidRPr="00043246">
        <w:rPr>
          <w:sz w:val="24"/>
          <w:szCs w:val="24"/>
        </w:rPr>
        <w:t xml:space="preserve">Reduktion af forhøjet intraokulært tryk (IOP) </w:t>
      </w:r>
      <w:r w:rsidRPr="00043246">
        <w:rPr>
          <w:b/>
          <w:bCs/>
          <w:i/>
          <w:iCs/>
          <w:sz w:val="24"/>
          <w:szCs w:val="24"/>
        </w:rPr>
        <w:t>hos voksne (inklusive ældre)</w:t>
      </w:r>
      <w:r w:rsidRPr="00043246">
        <w:rPr>
          <w:sz w:val="24"/>
          <w:szCs w:val="24"/>
        </w:rPr>
        <w:t xml:space="preserve"> patienter med åbenvinkel glaukom og okulær hypertension.</w:t>
      </w:r>
    </w:p>
    <w:p w14:paraId="257F8AB9" w14:textId="77777777" w:rsidR="00043246" w:rsidRPr="00043246" w:rsidRDefault="00043246" w:rsidP="00043246">
      <w:pPr>
        <w:tabs>
          <w:tab w:val="left" w:pos="851"/>
        </w:tabs>
        <w:ind w:left="851"/>
        <w:rPr>
          <w:sz w:val="24"/>
          <w:szCs w:val="24"/>
        </w:rPr>
      </w:pPr>
    </w:p>
    <w:p w14:paraId="28F99607" w14:textId="77777777" w:rsidR="00043246" w:rsidRPr="00043246" w:rsidRDefault="00043246" w:rsidP="00043246">
      <w:pPr>
        <w:tabs>
          <w:tab w:val="left" w:pos="851"/>
        </w:tabs>
        <w:ind w:left="851"/>
        <w:rPr>
          <w:sz w:val="24"/>
          <w:szCs w:val="24"/>
        </w:rPr>
      </w:pPr>
      <w:r w:rsidRPr="00043246">
        <w:rPr>
          <w:sz w:val="24"/>
          <w:szCs w:val="24"/>
        </w:rPr>
        <w:lastRenderedPageBreak/>
        <w:t>Reduktion af forhøjet intraokulært tryk hos pædiatriske patienter med forhøjet intraokulært tryk og pædiatrisk glaukom.</w:t>
      </w:r>
    </w:p>
    <w:p w14:paraId="7F639F80" w14:textId="77777777" w:rsidR="009260DE" w:rsidRPr="00C84483" w:rsidRDefault="009260DE" w:rsidP="009260DE">
      <w:pPr>
        <w:tabs>
          <w:tab w:val="left" w:pos="851"/>
        </w:tabs>
        <w:ind w:left="851"/>
        <w:rPr>
          <w:sz w:val="24"/>
          <w:szCs w:val="24"/>
        </w:rPr>
      </w:pPr>
    </w:p>
    <w:p w14:paraId="2BEAE830"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5E73539" w14:textId="77777777" w:rsidR="00043246" w:rsidRPr="00043246" w:rsidRDefault="00043246" w:rsidP="00043246">
      <w:pPr>
        <w:tabs>
          <w:tab w:val="left" w:pos="851"/>
        </w:tabs>
        <w:ind w:left="851"/>
        <w:rPr>
          <w:sz w:val="24"/>
          <w:szCs w:val="24"/>
        </w:rPr>
      </w:pPr>
    </w:p>
    <w:p w14:paraId="51F1A505" w14:textId="77777777" w:rsidR="00043246" w:rsidRPr="00043246" w:rsidRDefault="00043246" w:rsidP="00043246">
      <w:pPr>
        <w:tabs>
          <w:tab w:val="left" w:pos="851"/>
        </w:tabs>
        <w:ind w:left="851"/>
        <w:rPr>
          <w:sz w:val="24"/>
          <w:szCs w:val="24"/>
        </w:rPr>
      </w:pPr>
      <w:r w:rsidRPr="00043246">
        <w:rPr>
          <w:sz w:val="24"/>
          <w:szCs w:val="24"/>
          <w:u w:val="single"/>
        </w:rPr>
        <w:t>Dosering</w:t>
      </w:r>
    </w:p>
    <w:p w14:paraId="3E549E70" w14:textId="77777777" w:rsidR="00043246" w:rsidRPr="00043246" w:rsidRDefault="00043246" w:rsidP="00043246">
      <w:pPr>
        <w:tabs>
          <w:tab w:val="left" w:pos="851"/>
        </w:tabs>
        <w:ind w:left="851"/>
        <w:rPr>
          <w:sz w:val="24"/>
          <w:szCs w:val="24"/>
          <w:u w:val="single"/>
        </w:rPr>
      </w:pPr>
    </w:p>
    <w:p w14:paraId="4F4EFE8F" w14:textId="77777777" w:rsidR="00043246" w:rsidRPr="00043246" w:rsidRDefault="00043246" w:rsidP="00043246">
      <w:pPr>
        <w:tabs>
          <w:tab w:val="left" w:pos="851"/>
        </w:tabs>
        <w:ind w:left="851"/>
        <w:rPr>
          <w:i/>
          <w:iCs/>
          <w:sz w:val="24"/>
          <w:szCs w:val="24"/>
        </w:rPr>
      </w:pPr>
      <w:r w:rsidRPr="00043246">
        <w:rPr>
          <w:i/>
          <w:iCs/>
          <w:sz w:val="24"/>
          <w:szCs w:val="24"/>
        </w:rPr>
        <w:t>Anbefalet dosis til voksne (inklusive ældre)</w:t>
      </w:r>
    </w:p>
    <w:p w14:paraId="2488A5EB" w14:textId="77777777" w:rsidR="00043246" w:rsidRPr="00043246" w:rsidRDefault="00043246" w:rsidP="00043246">
      <w:pPr>
        <w:tabs>
          <w:tab w:val="left" w:pos="851"/>
        </w:tabs>
        <w:ind w:left="851"/>
        <w:rPr>
          <w:sz w:val="24"/>
          <w:szCs w:val="24"/>
        </w:rPr>
      </w:pPr>
      <w:r w:rsidRPr="00043246">
        <w:rPr>
          <w:sz w:val="24"/>
          <w:szCs w:val="24"/>
        </w:rPr>
        <w:t>Den anbefalede behandling er én øjendråbe i det/de berørte øje/øjne én gang dagligt. Der opnås den optimale effekt, hvis Latanoprost "Sandoz" administreres om aftenen.</w:t>
      </w:r>
    </w:p>
    <w:p w14:paraId="2951E66A" w14:textId="77777777" w:rsidR="00043246" w:rsidRPr="00043246" w:rsidRDefault="00043246" w:rsidP="00043246">
      <w:pPr>
        <w:tabs>
          <w:tab w:val="left" w:pos="851"/>
        </w:tabs>
        <w:ind w:left="851"/>
        <w:rPr>
          <w:sz w:val="24"/>
          <w:szCs w:val="24"/>
        </w:rPr>
      </w:pPr>
    </w:p>
    <w:p w14:paraId="46013345" w14:textId="77777777" w:rsidR="00043246" w:rsidRPr="00043246" w:rsidRDefault="00043246" w:rsidP="00043246">
      <w:pPr>
        <w:tabs>
          <w:tab w:val="left" w:pos="851"/>
        </w:tabs>
        <w:ind w:left="851"/>
        <w:rPr>
          <w:sz w:val="24"/>
          <w:szCs w:val="24"/>
        </w:rPr>
      </w:pPr>
      <w:r w:rsidRPr="00043246">
        <w:rPr>
          <w:sz w:val="24"/>
          <w:szCs w:val="24"/>
        </w:rPr>
        <w:t>Latanoprost "Sandoz" må ikke doseres mere end én gang dagligt, da det har vist sig, at hyppigere administration mindsker den effekt, der bevirker en sænkning af det intraokulære tryk.</w:t>
      </w:r>
    </w:p>
    <w:p w14:paraId="3718B1D6" w14:textId="77777777" w:rsidR="00043246" w:rsidRPr="00043246" w:rsidRDefault="00043246" w:rsidP="00043246">
      <w:pPr>
        <w:tabs>
          <w:tab w:val="left" w:pos="851"/>
        </w:tabs>
        <w:ind w:left="851"/>
        <w:rPr>
          <w:sz w:val="24"/>
          <w:szCs w:val="24"/>
        </w:rPr>
      </w:pPr>
    </w:p>
    <w:p w14:paraId="496B3B6E" w14:textId="77777777" w:rsidR="00043246" w:rsidRPr="00043246" w:rsidRDefault="00043246" w:rsidP="00043246">
      <w:pPr>
        <w:tabs>
          <w:tab w:val="left" w:pos="851"/>
        </w:tabs>
        <w:ind w:left="851"/>
        <w:rPr>
          <w:sz w:val="24"/>
          <w:szCs w:val="24"/>
        </w:rPr>
      </w:pPr>
      <w:r w:rsidRPr="00043246">
        <w:rPr>
          <w:sz w:val="24"/>
          <w:szCs w:val="24"/>
        </w:rPr>
        <w:t>Hvis en dosis springes over, skal behandlingen fortsættes næste dag på det sædvanlige tidspunkt.</w:t>
      </w:r>
    </w:p>
    <w:p w14:paraId="31D3B8E3" w14:textId="77777777" w:rsidR="00043246" w:rsidRPr="00043246" w:rsidRDefault="00043246" w:rsidP="00043246">
      <w:pPr>
        <w:tabs>
          <w:tab w:val="left" w:pos="851"/>
        </w:tabs>
        <w:ind w:left="851"/>
        <w:rPr>
          <w:i/>
          <w:sz w:val="24"/>
          <w:szCs w:val="24"/>
        </w:rPr>
      </w:pPr>
    </w:p>
    <w:p w14:paraId="2268B2B6" w14:textId="77777777" w:rsidR="00043246" w:rsidRPr="00043246" w:rsidRDefault="00043246" w:rsidP="00043246">
      <w:pPr>
        <w:tabs>
          <w:tab w:val="left" w:pos="851"/>
        </w:tabs>
        <w:ind w:left="851"/>
        <w:rPr>
          <w:i/>
          <w:iCs/>
          <w:sz w:val="24"/>
          <w:szCs w:val="24"/>
        </w:rPr>
      </w:pPr>
      <w:r w:rsidRPr="00043246">
        <w:rPr>
          <w:i/>
          <w:iCs/>
          <w:sz w:val="24"/>
          <w:szCs w:val="24"/>
        </w:rPr>
        <w:t>Pædiatrisk population</w:t>
      </w:r>
    </w:p>
    <w:p w14:paraId="259CA638" w14:textId="77777777" w:rsidR="00043246" w:rsidRPr="00043246" w:rsidRDefault="00043246" w:rsidP="00043246">
      <w:pPr>
        <w:tabs>
          <w:tab w:val="left" w:pos="851"/>
        </w:tabs>
        <w:ind w:left="851"/>
        <w:rPr>
          <w:sz w:val="24"/>
          <w:szCs w:val="24"/>
        </w:rPr>
      </w:pPr>
      <w:r w:rsidRPr="00043246">
        <w:rPr>
          <w:sz w:val="24"/>
          <w:szCs w:val="24"/>
        </w:rPr>
        <w:t>Latanoprost "Sandoz" øjendråber kan anvendes hos pædiatriske patienter med samme dosering som hos voksne. Der foreligger ingen data vedrørende præmature børn (gestationsalder under 36 uger). Der er meget begrænsede data vedrørende aldersgruppen &lt; 1 år (4 patienter) (se pkt. 5.1).</w:t>
      </w:r>
    </w:p>
    <w:p w14:paraId="05A16B5E" w14:textId="77777777" w:rsidR="00043246" w:rsidRPr="00043246" w:rsidRDefault="00043246" w:rsidP="00043246">
      <w:pPr>
        <w:tabs>
          <w:tab w:val="left" w:pos="851"/>
        </w:tabs>
        <w:ind w:left="851"/>
        <w:rPr>
          <w:sz w:val="24"/>
          <w:szCs w:val="24"/>
          <w:u w:val="single"/>
        </w:rPr>
      </w:pPr>
    </w:p>
    <w:p w14:paraId="1CA0B165" w14:textId="77777777" w:rsidR="00043246" w:rsidRPr="00043246" w:rsidRDefault="00043246" w:rsidP="00043246">
      <w:pPr>
        <w:tabs>
          <w:tab w:val="left" w:pos="851"/>
        </w:tabs>
        <w:ind w:left="851"/>
        <w:rPr>
          <w:sz w:val="24"/>
          <w:szCs w:val="24"/>
        </w:rPr>
      </w:pPr>
      <w:r w:rsidRPr="00043246">
        <w:rPr>
          <w:sz w:val="24"/>
          <w:szCs w:val="24"/>
          <w:u w:val="single"/>
        </w:rPr>
        <w:t>Administration</w:t>
      </w:r>
    </w:p>
    <w:p w14:paraId="5BC224AA" w14:textId="77777777" w:rsidR="00043246" w:rsidRPr="00043246" w:rsidRDefault="00043246" w:rsidP="00043246">
      <w:pPr>
        <w:tabs>
          <w:tab w:val="left" w:pos="851"/>
        </w:tabs>
        <w:ind w:left="851"/>
        <w:rPr>
          <w:sz w:val="24"/>
          <w:szCs w:val="24"/>
        </w:rPr>
      </w:pPr>
      <w:r w:rsidRPr="00043246">
        <w:rPr>
          <w:sz w:val="24"/>
          <w:szCs w:val="24"/>
        </w:rPr>
        <w:t>Okulær anvendelse.</w:t>
      </w:r>
    </w:p>
    <w:p w14:paraId="420577B5" w14:textId="77777777" w:rsidR="00043246" w:rsidRPr="00043246" w:rsidRDefault="00043246" w:rsidP="00043246">
      <w:pPr>
        <w:tabs>
          <w:tab w:val="left" w:pos="851"/>
        </w:tabs>
        <w:ind w:left="851"/>
        <w:rPr>
          <w:sz w:val="24"/>
          <w:szCs w:val="24"/>
        </w:rPr>
      </w:pPr>
    </w:p>
    <w:p w14:paraId="66CE2E72" w14:textId="77777777" w:rsidR="00043246" w:rsidRPr="00043246" w:rsidRDefault="00043246" w:rsidP="00043246">
      <w:pPr>
        <w:tabs>
          <w:tab w:val="left" w:pos="851"/>
        </w:tabs>
        <w:ind w:left="851"/>
        <w:rPr>
          <w:sz w:val="24"/>
          <w:szCs w:val="24"/>
        </w:rPr>
      </w:pPr>
      <w:r w:rsidRPr="00043246">
        <w:rPr>
          <w:sz w:val="24"/>
          <w:szCs w:val="24"/>
        </w:rPr>
        <w:t>Ligesom med andre øjendråber anbefales det at sammenpresse tåresækken ved den mediale øjenkrog (punktlig okklusion) i et minut for at mindske muligheden for systemisk absorption. Dette bør gøres umiddelbart efter inddrypningen af hver øjendråbe.</w:t>
      </w:r>
    </w:p>
    <w:p w14:paraId="0ED8C780" w14:textId="77777777" w:rsidR="00043246" w:rsidRPr="00043246" w:rsidRDefault="00043246" w:rsidP="00043246">
      <w:pPr>
        <w:tabs>
          <w:tab w:val="left" w:pos="851"/>
        </w:tabs>
        <w:ind w:left="851"/>
        <w:rPr>
          <w:sz w:val="24"/>
          <w:szCs w:val="24"/>
        </w:rPr>
      </w:pPr>
    </w:p>
    <w:p w14:paraId="2D6A252F" w14:textId="77777777" w:rsidR="00043246" w:rsidRPr="00043246" w:rsidRDefault="00043246" w:rsidP="00043246">
      <w:pPr>
        <w:tabs>
          <w:tab w:val="left" w:pos="851"/>
        </w:tabs>
        <w:ind w:left="851"/>
        <w:rPr>
          <w:sz w:val="24"/>
          <w:szCs w:val="24"/>
        </w:rPr>
      </w:pPr>
      <w:r w:rsidRPr="00043246">
        <w:rPr>
          <w:sz w:val="24"/>
          <w:szCs w:val="24"/>
        </w:rPr>
        <w:t>Kontaktlinser bør fjernes inden der dryppes med øjendråberne og kan genindsættes 15 minutter efter drypning.</w:t>
      </w:r>
    </w:p>
    <w:p w14:paraId="5C2151F1" w14:textId="77777777" w:rsidR="00043246" w:rsidRPr="00043246" w:rsidRDefault="00043246" w:rsidP="00043246">
      <w:pPr>
        <w:tabs>
          <w:tab w:val="left" w:pos="851"/>
        </w:tabs>
        <w:ind w:left="851"/>
        <w:rPr>
          <w:sz w:val="24"/>
          <w:szCs w:val="24"/>
        </w:rPr>
      </w:pPr>
    </w:p>
    <w:p w14:paraId="05516A8A" w14:textId="77777777" w:rsidR="00043246" w:rsidRPr="00043246" w:rsidRDefault="00043246" w:rsidP="00043246">
      <w:pPr>
        <w:tabs>
          <w:tab w:val="left" w:pos="851"/>
        </w:tabs>
        <w:ind w:left="851"/>
        <w:rPr>
          <w:sz w:val="24"/>
          <w:szCs w:val="24"/>
        </w:rPr>
      </w:pPr>
      <w:r w:rsidRPr="00043246">
        <w:rPr>
          <w:sz w:val="24"/>
          <w:szCs w:val="24"/>
        </w:rPr>
        <w:t>Hvis der anvendes mere end et topikalt øjenmiddel, bør lægemidlerne administreres med mindst 5 minutters mellemrum.</w:t>
      </w:r>
    </w:p>
    <w:p w14:paraId="6A1BAF16" w14:textId="77777777" w:rsidR="009260DE" w:rsidRPr="00C84483" w:rsidRDefault="009260DE" w:rsidP="009260DE">
      <w:pPr>
        <w:tabs>
          <w:tab w:val="left" w:pos="851"/>
        </w:tabs>
        <w:ind w:left="851"/>
        <w:rPr>
          <w:sz w:val="24"/>
          <w:szCs w:val="24"/>
        </w:rPr>
      </w:pPr>
    </w:p>
    <w:p w14:paraId="4318CA84"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7D6AB7FC" w14:textId="77777777" w:rsidR="00043246" w:rsidRPr="00043246" w:rsidRDefault="00043246" w:rsidP="00043246">
      <w:pPr>
        <w:tabs>
          <w:tab w:val="left" w:pos="851"/>
        </w:tabs>
        <w:ind w:left="851"/>
        <w:rPr>
          <w:b/>
          <w:sz w:val="24"/>
          <w:szCs w:val="24"/>
        </w:rPr>
      </w:pPr>
      <w:r w:rsidRPr="00043246">
        <w:rPr>
          <w:sz w:val="24"/>
          <w:szCs w:val="24"/>
        </w:rPr>
        <w:t>Overfølsomhed over for det aktive stof eller over for et eller flere af hjælpestofferne anført i pkt. 6.1.</w:t>
      </w:r>
    </w:p>
    <w:p w14:paraId="7D878B4E" w14:textId="77777777" w:rsidR="009260DE" w:rsidRPr="00C84483" w:rsidRDefault="009260DE" w:rsidP="009260DE">
      <w:pPr>
        <w:tabs>
          <w:tab w:val="left" w:pos="851"/>
        </w:tabs>
        <w:ind w:left="851"/>
        <w:rPr>
          <w:sz w:val="24"/>
          <w:szCs w:val="24"/>
        </w:rPr>
      </w:pPr>
    </w:p>
    <w:p w14:paraId="53F82F9D"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3E54AB84" w14:textId="77777777" w:rsidR="00043246" w:rsidRPr="00043246" w:rsidRDefault="00043246" w:rsidP="00043246">
      <w:pPr>
        <w:tabs>
          <w:tab w:val="left" w:pos="851"/>
        </w:tabs>
        <w:ind w:left="851"/>
        <w:rPr>
          <w:i/>
          <w:sz w:val="24"/>
          <w:szCs w:val="24"/>
        </w:rPr>
      </w:pPr>
    </w:p>
    <w:p w14:paraId="5144BA1F" w14:textId="77777777" w:rsidR="00043246" w:rsidRPr="00043246" w:rsidRDefault="00043246" w:rsidP="00043246">
      <w:pPr>
        <w:tabs>
          <w:tab w:val="left" w:pos="851"/>
        </w:tabs>
        <w:ind w:left="851"/>
        <w:rPr>
          <w:sz w:val="24"/>
          <w:szCs w:val="24"/>
          <w:u w:val="single"/>
        </w:rPr>
      </w:pPr>
      <w:r w:rsidRPr="00043246">
        <w:rPr>
          <w:sz w:val="24"/>
          <w:szCs w:val="24"/>
          <w:u w:val="single"/>
        </w:rPr>
        <w:t>Ændringer i irispigmentering</w:t>
      </w:r>
    </w:p>
    <w:p w14:paraId="5F1FFAFD" w14:textId="77777777" w:rsidR="00043246" w:rsidRPr="00043246" w:rsidRDefault="00043246" w:rsidP="00043246">
      <w:pPr>
        <w:tabs>
          <w:tab w:val="left" w:pos="851"/>
        </w:tabs>
        <w:ind w:left="851"/>
        <w:rPr>
          <w:sz w:val="24"/>
          <w:szCs w:val="24"/>
        </w:rPr>
      </w:pPr>
      <w:r w:rsidRPr="00043246">
        <w:rPr>
          <w:sz w:val="24"/>
          <w:szCs w:val="24"/>
        </w:rPr>
        <w:t>Latanoprost kan gradvist ændre øjenfarven ved at øge mængden af brunt pigment i iris. Før behandling indledes, bør patienten oplyses om muligheden for permanent ændring af øjenfarven. Unilateral behandling kan resultere i permanent heterochromi.</w:t>
      </w:r>
    </w:p>
    <w:p w14:paraId="68ECB584" w14:textId="77777777" w:rsidR="00043246" w:rsidRPr="00043246" w:rsidRDefault="00043246" w:rsidP="00043246">
      <w:pPr>
        <w:tabs>
          <w:tab w:val="left" w:pos="851"/>
        </w:tabs>
        <w:ind w:left="851"/>
        <w:rPr>
          <w:sz w:val="24"/>
          <w:szCs w:val="24"/>
        </w:rPr>
      </w:pPr>
    </w:p>
    <w:p w14:paraId="5BFC8196" w14:textId="77777777" w:rsidR="00043246" w:rsidRPr="00043246" w:rsidRDefault="00043246" w:rsidP="00043246">
      <w:pPr>
        <w:tabs>
          <w:tab w:val="left" w:pos="851"/>
        </w:tabs>
        <w:ind w:left="851"/>
        <w:rPr>
          <w:sz w:val="24"/>
          <w:szCs w:val="24"/>
        </w:rPr>
      </w:pPr>
      <w:r w:rsidRPr="00043246">
        <w:rPr>
          <w:sz w:val="24"/>
          <w:szCs w:val="24"/>
        </w:rPr>
        <w:t xml:space="preserve">Ændringen i øjenfarven er overvejende set hos patienter med blandet farvning af iris, fx. blå-brun, grå-brun, gul-brun og grøn-brun. I studier med latanoprost ses ændringen sædvanligvis i de første 8 måneder af behandlingen, sjældent ved behandlingen igennem to </w:t>
      </w:r>
      <w:r w:rsidRPr="00043246">
        <w:rPr>
          <w:sz w:val="24"/>
          <w:szCs w:val="24"/>
        </w:rPr>
        <w:lastRenderedPageBreak/>
        <w:t>og tre år og er ikke set efter fjerde behandlingsår. Hastigheden hvormed irispigmenteringen sker aftager med tiden og er stabil efter 5 år. Effekten på øget irispigmentering er ikke evalueret efter mere end 5 års behandling. I et åbent 5-års sikkerhedsstudie med latanoprost udviklede 33 % af patienterne irispigmentering (se pkt. 4.8) Farveændringen af iris er i størstedelen af tilfældene svag, og ofte kan den ikke ses klinisk. Hyppigheden hos patienter med blandet farvning af iris ligger mellem 7 % og 85% med den største hyppighed ved gul-brun iris. Hos patienter med homogene blå øjne er der ikke set ændringer, og hos patienter med homogene grå, grønne eller brune øjne er ændringen kun sjældent set.</w:t>
      </w:r>
    </w:p>
    <w:p w14:paraId="01044245" w14:textId="77777777" w:rsidR="00043246" w:rsidRPr="00043246" w:rsidRDefault="00043246" w:rsidP="00043246">
      <w:pPr>
        <w:tabs>
          <w:tab w:val="left" w:pos="851"/>
        </w:tabs>
        <w:ind w:left="851"/>
        <w:rPr>
          <w:sz w:val="24"/>
          <w:szCs w:val="24"/>
        </w:rPr>
      </w:pPr>
    </w:p>
    <w:p w14:paraId="1B6EFE53" w14:textId="77777777" w:rsidR="00043246" w:rsidRPr="00043246" w:rsidRDefault="00043246" w:rsidP="00043246">
      <w:pPr>
        <w:tabs>
          <w:tab w:val="left" w:pos="851"/>
        </w:tabs>
        <w:ind w:left="851"/>
        <w:rPr>
          <w:sz w:val="24"/>
          <w:szCs w:val="24"/>
        </w:rPr>
      </w:pPr>
      <w:r w:rsidRPr="00043246">
        <w:rPr>
          <w:sz w:val="24"/>
          <w:szCs w:val="24"/>
        </w:rPr>
        <w:t>I et langvarigt pædiatrisk observationsstudie, der evaluerede ændringer i hyperpigmentering i øjet blandt patienter med pædiatrisk glaukom, blev der observeret mørkfarvning af irisfarven og lokal irispigmentering i lidt større grad hos patienter i gruppen, som blev eksponeret for latanoprost, sammenlignet med gruppen, der ikke blev eksponeret (se pkt. 5.1).</w:t>
      </w:r>
    </w:p>
    <w:p w14:paraId="0C1F84E8" w14:textId="77777777" w:rsidR="00043246" w:rsidRPr="00043246" w:rsidRDefault="00043246" w:rsidP="00043246">
      <w:pPr>
        <w:tabs>
          <w:tab w:val="left" w:pos="851"/>
        </w:tabs>
        <w:ind w:left="851"/>
        <w:rPr>
          <w:sz w:val="24"/>
          <w:szCs w:val="24"/>
        </w:rPr>
      </w:pPr>
    </w:p>
    <w:p w14:paraId="303A7397" w14:textId="77777777" w:rsidR="00043246" w:rsidRPr="00043246" w:rsidRDefault="00043246" w:rsidP="00043246">
      <w:pPr>
        <w:tabs>
          <w:tab w:val="left" w:pos="851"/>
        </w:tabs>
        <w:ind w:left="851"/>
        <w:rPr>
          <w:sz w:val="24"/>
          <w:szCs w:val="24"/>
        </w:rPr>
      </w:pPr>
      <w:r w:rsidRPr="00043246">
        <w:rPr>
          <w:sz w:val="24"/>
          <w:szCs w:val="24"/>
        </w:rPr>
        <w:t>Farveændringen skyldes øget melaninindhold i stroma melanocytterne i iris, og ikke en stigning i antallet af melanocytter. Den brune pigmentering breder sig typisk koncentrisk omkring pupillen mod periferien af det behandlede øje, men hele iris eller dele af denne kan blive mere brunlig. Der er ikke iagttaget yderligere stigning af brunt pigment i iris efter seponering af behandlingen. I de kliniske afprøvninger har den indtil nu ikke været forbundet med symptomer eller patologiske ændringer.</w:t>
      </w:r>
    </w:p>
    <w:p w14:paraId="4D7125A2" w14:textId="77777777" w:rsidR="00043246" w:rsidRPr="00043246" w:rsidRDefault="00043246" w:rsidP="00043246">
      <w:pPr>
        <w:tabs>
          <w:tab w:val="left" w:pos="851"/>
        </w:tabs>
        <w:ind w:left="851"/>
        <w:rPr>
          <w:sz w:val="24"/>
          <w:szCs w:val="24"/>
        </w:rPr>
      </w:pPr>
    </w:p>
    <w:p w14:paraId="08BD9BC6" w14:textId="77777777" w:rsidR="00043246" w:rsidRPr="00043246" w:rsidRDefault="00043246" w:rsidP="00043246">
      <w:pPr>
        <w:tabs>
          <w:tab w:val="left" w:pos="851"/>
        </w:tabs>
        <w:ind w:left="851"/>
        <w:rPr>
          <w:sz w:val="24"/>
          <w:szCs w:val="24"/>
        </w:rPr>
      </w:pPr>
      <w:r w:rsidRPr="00043246">
        <w:rPr>
          <w:sz w:val="24"/>
          <w:szCs w:val="24"/>
        </w:rPr>
        <w:t>Hverken naevi eller pletter på iris er blevet påvirket af behandling. Akkumulation af pigment i trabekelværket eller andetsteds i forkammeret er ikke iagttaget i kliniske afprøvninger.</w:t>
      </w:r>
    </w:p>
    <w:p w14:paraId="6D0DA38A" w14:textId="77777777" w:rsidR="00043246" w:rsidRPr="00043246" w:rsidRDefault="00043246" w:rsidP="00043246">
      <w:pPr>
        <w:tabs>
          <w:tab w:val="left" w:pos="851"/>
        </w:tabs>
        <w:ind w:left="851"/>
        <w:rPr>
          <w:sz w:val="24"/>
          <w:szCs w:val="24"/>
        </w:rPr>
      </w:pPr>
      <w:r w:rsidRPr="00043246">
        <w:rPr>
          <w:sz w:val="24"/>
          <w:szCs w:val="24"/>
        </w:rPr>
        <w:t>Øget irispigmentering har efter 5 års klinisk erfaring ikke vist sig at have negative kliniske følger, og behandling med latanopost kan fortsætte selv om der opstår irispigmentering. Patienterne bør dog undersøges regelmæssigt, og hvis den kliniske situation berettiger det, kan latanopostbehandlingen seponeres.</w:t>
      </w:r>
    </w:p>
    <w:p w14:paraId="3F47D035" w14:textId="77777777" w:rsidR="00043246" w:rsidRPr="00043246" w:rsidRDefault="00043246" w:rsidP="00043246">
      <w:pPr>
        <w:tabs>
          <w:tab w:val="left" w:pos="851"/>
        </w:tabs>
        <w:ind w:left="851"/>
        <w:rPr>
          <w:sz w:val="24"/>
          <w:szCs w:val="24"/>
        </w:rPr>
      </w:pPr>
    </w:p>
    <w:p w14:paraId="410B4A76" w14:textId="77777777" w:rsidR="00043246" w:rsidRPr="00043246" w:rsidRDefault="00043246" w:rsidP="00043246">
      <w:pPr>
        <w:tabs>
          <w:tab w:val="left" w:pos="851"/>
        </w:tabs>
        <w:ind w:left="851"/>
        <w:rPr>
          <w:sz w:val="24"/>
          <w:szCs w:val="24"/>
          <w:u w:val="single"/>
        </w:rPr>
      </w:pPr>
      <w:r w:rsidRPr="00043246">
        <w:rPr>
          <w:sz w:val="24"/>
          <w:szCs w:val="24"/>
          <w:u w:val="single"/>
        </w:rPr>
        <w:t>Glaukom</w:t>
      </w:r>
    </w:p>
    <w:p w14:paraId="17D7F6FE" w14:textId="77777777" w:rsidR="00043246" w:rsidRPr="00043246" w:rsidRDefault="00043246" w:rsidP="00043246">
      <w:pPr>
        <w:tabs>
          <w:tab w:val="left" w:pos="851"/>
        </w:tabs>
        <w:ind w:left="851"/>
        <w:rPr>
          <w:sz w:val="24"/>
          <w:szCs w:val="24"/>
        </w:rPr>
      </w:pPr>
      <w:r w:rsidRPr="00043246">
        <w:rPr>
          <w:sz w:val="24"/>
          <w:szCs w:val="24"/>
        </w:rPr>
        <w:t>Der er begrænset klinisk erfaring med latanopost ved kronisk lukketvinkel glaukom, åbenvinkel glaukom hos pseudophakiske patienter og ved pigmentglaukom. Der er ingen erfaring med latanopost ved inflammatorisk og neovaskulært glaucom, eller inflammatoriske øjenlidelser. Latanopost har ingen eller kun ringe virkning på pupillen, men der er ingen erfaring ved akutte anfald af lukket vinkel glaukom. Det anbefales derfor, at latanopost bruges med forsigtighed ved disse tilstande, indtil mere erfaring er opnået.</w:t>
      </w:r>
    </w:p>
    <w:p w14:paraId="532B360E" w14:textId="77777777" w:rsidR="00043246" w:rsidRPr="00043246" w:rsidRDefault="00043246" w:rsidP="00043246">
      <w:pPr>
        <w:tabs>
          <w:tab w:val="left" w:pos="851"/>
        </w:tabs>
        <w:ind w:left="851"/>
        <w:rPr>
          <w:sz w:val="24"/>
          <w:szCs w:val="24"/>
        </w:rPr>
      </w:pPr>
    </w:p>
    <w:p w14:paraId="3BC59160" w14:textId="77777777" w:rsidR="00043246" w:rsidRPr="00043246" w:rsidRDefault="00043246" w:rsidP="00043246">
      <w:pPr>
        <w:tabs>
          <w:tab w:val="left" w:pos="851"/>
        </w:tabs>
        <w:ind w:left="851"/>
        <w:rPr>
          <w:sz w:val="24"/>
          <w:szCs w:val="24"/>
        </w:rPr>
      </w:pPr>
      <w:r w:rsidRPr="00043246">
        <w:rPr>
          <w:sz w:val="24"/>
          <w:szCs w:val="24"/>
        </w:rPr>
        <w:t>Der er begrænsede forsøgsdata ved brug af latanopost i den peri-operative periode ved katarakt kirurgi. Latanopost bør anvendes med forsigtighed til disse patienter.</w:t>
      </w:r>
    </w:p>
    <w:p w14:paraId="2566E4FF" w14:textId="77777777" w:rsidR="00043246" w:rsidRPr="00043246" w:rsidRDefault="00043246" w:rsidP="00043246">
      <w:pPr>
        <w:tabs>
          <w:tab w:val="left" w:pos="851"/>
        </w:tabs>
        <w:ind w:left="851"/>
        <w:rPr>
          <w:sz w:val="24"/>
          <w:szCs w:val="24"/>
        </w:rPr>
      </w:pPr>
    </w:p>
    <w:p w14:paraId="776BCB4C" w14:textId="77777777" w:rsidR="00043246" w:rsidRPr="00043246" w:rsidRDefault="00043246" w:rsidP="00043246">
      <w:pPr>
        <w:tabs>
          <w:tab w:val="left" w:pos="851"/>
        </w:tabs>
        <w:ind w:left="851"/>
        <w:rPr>
          <w:sz w:val="24"/>
          <w:szCs w:val="24"/>
          <w:u w:val="single"/>
        </w:rPr>
      </w:pPr>
      <w:r w:rsidRPr="00043246">
        <w:rPr>
          <w:sz w:val="24"/>
          <w:szCs w:val="24"/>
          <w:u w:val="single"/>
        </w:rPr>
        <w:t>Herpetisk keratitis</w:t>
      </w:r>
    </w:p>
    <w:p w14:paraId="2A327DAC" w14:textId="6B70516F" w:rsidR="00043246" w:rsidRPr="00043246" w:rsidRDefault="00043246" w:rsidP="00043246">
      <w:pPr>
        <w:tabs>
          <w:tab w:val="left" w:pos="851"/>
        </w:tabs>
        <w:ind w:left="851"/>
        <w:rPr>
          <w:sz w:val="24"/>
          <w:szCs w:val="24"/>
        </w:rPr>
      </w:pPr>
      <w:r w:rsidRPr="00043246">
        <w:rPr>
          <w:sz w:val="24"/>
          <w:szCs w:val="24"/>
        </w:rPr>
        <w:t>Latanopost bør anvendes med forsigtighed til patienter med herpetisk keratitis i anamnesen og</w:t>
      </w:r>
      <w:r w:rsidR="00A42DAF">
        <w:rPr>
          <w:sz w:val="24"/>
          <w:szCs w:val="24"/>
        </w:rPr>
        <w:t xml:space="preserve"> </w:t>
      </w:r>
      <w:r w:rsidRPr="00043246">
        <w:rPr>
          <w:sz w:val="24"/>
          <w:szCs w:val="24"/>
        </w:rPr>
        <w:t>bør undgås i tilfælde af aktiv herpes simplex keratitis. Latanopost bør desuden undgås til patienter med tidligere tilbagevendende herpetisk keratitis specifikt forbundet med prostaglandinanaloger.</w:t>
      </w:r>
    </w:p>
    <w:p w14:paraId="6E0BF3F7" w14:textId="77777777" w:rsidR="00043246" w:rsidRPr="00043246" w:rsidRDefault="00043246" w:rsidP="00043246">
      <w:pPr>
        <w:tabs>
          <w:tab w:val="left" w:pos="851"/>
        </w:tabs>
        <w:ind w:left="851"/>
        <w:rPr>
          <w:sz w:val="24"/>
          <w:szCs w:val="24"/>
        </w:rPr>
      </w:pPr>
    </w:p>
    <w:p w14:paraId="5B9B4BAE" w14:textId="77777777" w:rsidR="00043246" w:rsidRPr="00043246" w:rsidRDefault="00043246" w:rsidP="00043246">
      <w:pPr>
        <w:tabs>
          <w:tab w:val="left" w:pos="851"/>
        </w:tabs>
        <w:ind w:left="851"/>
        <w:rPr>
          <w:sz w:val="24"/>
          <w:szCs w:val="24"/>
          <w:u w:val="single"/>
        </w:rPr>
      </w:pPr>
      <w:r w:rsidRPr="00043246">
        <w:rPr>
          <w:sz w:val="24"/>
          <w:szCs w:val="24"/>
          <w:u w:val="single"/>
        </w:rPr>
        <w:t>Makulaødem</w:t>
      </w:r>
    </w:p>
    <w:p w14:paraId="4B28D84E" w14:textId="77777777" w:rsidR="00043246" w:rsidRPr="00043246" w:rsidRDefault="00043246" w:rsidP="00043246">
      <w:pPr>
        <w:tabs>
          <w:tab w:val="left" w:pos="851"/>
        </w:tabs>
        <w:ind w:left="851"/>
        <w:rPr>
          <w:sz w:val="24"/>
          <w:szCs w:val="24"/>
        </w:rPr>
      </w:pPr>
      <w:r w:rsidRPr="00043246">
        <w:rPr>
          <w:sz w:val="24"/>
          <w:szCs w:val="24"/>
        </w:rPr>
        <w:t xml:space="preserve">Der er rapporteret makulaødem (se pkt. 4.8) især hos aphakiske patienter, pseudophakiske patienter med iturevet bageste linsekapsel eller med forkammerlinser, samt til patienter med erkendt risiko for cystoidt maculaødem (så som diabetes retinopati og retinalvene </w:t>
      </w:r>
      <w:r w:rsidRPr="00043246">
        <w:rPr>
          <w:sz w:val="24"/>
          <w:szCs w:val="24"/>
        </w:rPr>
        <w:lastRenderedPageBreak/>
        <w:t>okklusion). Latanopost bør anvendes med forsigtighed til aphakiske patienter, til pseudophagiske patienter med iturevet linsekapsel eller forkammerlinse, samt til patienter med erkendt risiko for cystoidt maculaødem.</w:t>
      </w:r>
    </w:p>
    <w:p w14:paraId="78FEF62F" w14:textId="77777777" w:rsidR="00043246" w:rsidRPr="00043246" w:rsidRDefault="00043246" w:rsidP="00043246">
      <w:pPr>
        <w:tabs>
          <w:tab w:val="left" w:pos="851"/>
        </w:tabs>
        <w:ind w:left="851"/>
        <w:rPr>
          <w:sz w:val="24"/>
          <w:szCs w:val="24"/>
        </w:rPr>
      </w:pPr>
    </w:p>
    <w:p w14:paraId="68375EB6" w14:textId="77777777" w:rsidR="00043246" w:rsidRPr="00043246" w:rsidRDefault="00043246" w:rsidP="00043246">
      <w:pPr>
        <w:tabs>
          <w:tab w:val="left" w:pos="851"/>
        </w:tabs>
        <w:ind w:left="851"/>
        <w:rPr>
          <w:sz w:val="24"/>
          <w:szCs w:val="24"/>
        </w:rPr>
      </w:pPr>
      <w:r w:rsidRPr="00043246">
        <w:rPr>
          <w:sz w:val="24"/>
          <w:szCs w:val="24"/>
        </w:rPr>
        <w:t xml:space="preserve">Hos patienter med kendte risikofaktorer, der disponerer for iritis/uveitis kan Latanoprost "Sandoz" anvendes med forsigtighed, se også pkt. 4.8. </w:t>
      </w:r>
    </w:p>
    <w:p w14:paraId="2F394CDA" w14:textId="77777777" w:rsidR="00043246" w:rsidRPr="00043246" w:rsidRDefault="00043246" w:rsidP="00043246">
      <w:pPr>
        <w:tabs>
          <w:tab w:val="left" w:pos="851"/>
        </w:tabs>
        <w:ind w:left="851"/>
        <w:rPr>
          <w:sz w:val="24"/>
          <w:szCs w:val="24"/>
        </w:rPr>
      </w:pPr>
    </w:p>
    <w:p w14:paraId="44460DC7" w14:textId="77777777" w:rsidR="00043246" w:rsidRPr="00043246" w:rsidRDefault="00043246" w:rsidP="00043246">
      <w:pPr>
        <w:tabs>
          <w:tab w:val="left" w:pos="851"/>
        </w:tabs>
        <w:ind w:left="851"/>
        <w:rPr>
          <w:sz w:val="24"/>
          <w:szCs w:val="24"/>
        </w:rPr>
      </w:pPr>
      <w:r w:rsidRPr="00043246">
        <w:rPr>
          <w:sz w:val="24"/>
          <w:szCs w:val="24"/>
        </w:rPr>
        <w:t>Der er begrænset erfaring med patienter med astma, men der er efter markedsføring rapporteret tilfælde af forværring af astma og/eller dyspnø. Astmapatienter bør derfor behandles med forsigtighed indtil der er opnået tilstrækkelig erfaring, se også pkt. 4.8.</w:t>
      </w:r>
    </w:p>
    <w:p w14:paraId="4E8B692D" w14:textId="77777777" w:rsidR="00043246" w:rsidRPr="00043246" w:rsidRDefault="00043246" w:rsidP="00043246">
      <w:pPr>
        <w:tabs>
          <w:tab w:val="left" w:pos="851"/>
        </w:tabs>
        <w:ind w:left="851"/>
        <w:rPr>
          <w:sz w:val="24"/>
          <w:szCs w:val="24"/>
        </w:rPr>
      </w:pPr>
    </w:p>
    <w:p w14:paraId="554ED40A" w14:textId="77777777" w:rsidR="00043246" w:rsidRPr="00043246" w:rsidRDefault="00043246" w:rsidP="00043246">
      <w:pPr>
        <w:tabs>
          <w:tab w:val="left" w:pos="851"/>
        </w:tabs>
        <w:ind w:left="851"/>
        <w:rPr>
          <w:sz w:val="24"/>
          <w:szCs w:val="24"/>
        </w:rPr>
      </w:pPr>
      <w:r w:rsidRPr="00043246">
        <w:rPr>
          <w:sz w:val="24"/>
          <w:szCs w:val="24"/>
        </w:rPr>
        <w:t>Effekten af Latanoprost "Sandoz" er ikke undersøgt hos patienter med nedsat leverfunktion.</w:t>
      </w:r>
    </w:p>
    <w:p w14:paraId="4C2964AA" w14:textId="77777777" w:rsidR="00043246" w:rsidRPr="00043246" w:rsidRDefault="00043246" w:rsidP="00043246">
      <w:pPr>
        <w:tabs>
          <w:tab w:val="left" w:pos="851"/>
        </w:tabs>
        <w:ind w:left="851"/>
        <w:rPr>
          <w:sz w:val="24"/>
          <w:szCs w:val="24"/>
        </w:rPr>
      </w:pPr>
    </w:p>
    <w:p w14:paraId="6B07B036" w14:textId="77777777" w:rsidR="00043246" w:rsidRPr="00043246" w:rsidRDefault="00043246" w:rsidP="00043246">
      <w:pPr>
        <w:tabs>
          <w:tab w:val="left" w:pos="851"/>
        </w:tabs>
        <w:ind w:left="851"/>
        <w:rPr>
          <w:sz w:val="24"/>
          <w:szCs w:val="24"/>
          <w:u w:val="single"/>
        </w:rPr>
      </w:pPr>
      <w:r w:rsidRPr="00043246">
        <w:rPr>
          <w:sz w:val="24"/>
          <w:szCs w:val="24"/>
          <w:u w:val="single"/>
        </w:rPr>
        <w:t>Virkninger på øjenlåg og øjenvipper</w:t>
      </w:r>
    </w:p>
    <w:p w14:paraId="175BAA82" w14:textId="77777777" w:rsidR="00043246" w:rsidRPr="00043246" w:rsidRDefault="00043246" w:rsidP="00043246">
      <w:pPr>
        <w:tabs>
          <w:tab w:val="left" w:pos="851"/>
        </w:tabs>
        <w:ind w:left="851"/>
        <w:rPr>
          <w:sz w:val="24"/>
          <w:szCs w:val="24"/>
        </w:rPr>
      </w:pPr>
      <w:r w:rsidRPr="00043246">
        <w:rPr>
          <w:sz w:val="24"/>
          <w:szCs w:val="24"/>
        </w:rPr>
        <w:t>Der er set periorbital misfarvning af huden, hvor hovedparten af tilfældene stammer fra japanske patienter. Den hidtidige erfaring viser, at periorbital misfarvning af huden ikke er permanent og har i nogle tilfælde været reversibel ved fortsat behandling med latanoprost.</w:t>
      </w:r>
    </w:p>
    <w:p w14:paraId="32A8F0C7" w14:textId="77777777" w:rsidR="00043246" w:rsidRPr="00043246" w:rsidRDefault="00043246" w:rsidP="00043246">
      <w:pPr>
        <w:tabs>
          <w:tab w:val="left" w:pos="851"/>
        </w:tabs>
        <w:ind w:left="851"/>
        <w:rPr>
          <w:sz w:val="24"/>
          <w:szCs w:val="24"/>
        </w:rPr>
      </w:pPr>
      <w:r w:rsidRPr="00043246">
        <w:rPr>
          <w:sz w:val="24"/>
          <w:szCs w:val="24"/>
        </w:rPr>
        <w:t>Latanoprost kan gradvis ændre øjenvipper og vellushår ved det behandlede øje og dets omgivelser. Disse ændringer omfatter øget længde, tykkelse og pigmentering, øget antal øjenvipper eller hår og øjenvipper, som vokser i forkert retning. Ændringer i øjenvipper forsvinder efter ophør af behandling.</w:t>
      </w:r>
    </w:p>
    <w:p w14:paraId="1629DAF0" w14:textId="77777777" w:rsidR="00043246" w:rsidRPr="00043246" w:rsidRDefault="00043246" w:rsidP="00043246">
      <w:pPr>
        <w:tabs>
          <w:tab w:val="left" w:pos="851"/>
        </w:tabs>
        <w:ind w:left="851"/>
        <w:rPr>
          <w:sz w:val="24"/>
          <w:szCs w:val="24"/>
        </w:rPr>
      </w:pPr>
    </w:p>
    <w:p w14:paraId="5EC0D817" w14:textId="77777777" w:rsidR="00043246" w:rsidRPr="00A42DAF" w:rsidRDefault="00043246" w:rsidP="00043246">
      <w:pPr>
        <w:tabs>
          <w:tab w:val="left" w:pos="851"/>
        </w:tabs>
        <w:ind w:left="851"/>
        <w:rPr>
          <w:sz w:val="24"/>
          <w:szCs w:val="24"/>
          <w:u w:val="single"/>
        </w:rPr>
      </w:pPr>
      <w:r w:rsidRPr="00A42DAF">
        <w:rPr>
          <w:sz w:val="24"/>
          <w:szCs w:val="24"/>
          <w:u w:val="single"/>
        </w:rPr>
        <w:t>Hjælpestoffer</w:t>
      </w:r>
    </w:p>
    <w:p w14:paraId="4C3A1505" w14:textId="4EF101F7" w:rsidR="00043246" w:rsidRPr="00043246" w:rsidRDefault="00043246" w:rsidP="00043246">
      <w:pPr>
        <w:tabs>
          <w:tab w:val="left" w:pos="851"/>
        </w:tabs>
        <w:ind w:left="851"/>
        <w:rPr>
          <w:sz w:val="24"/>
          <w:szCs w:val="24"/>
        </w:rPr>
      </w:pPr>
      <w:r w:rsidRPr="00043246">
        <w:rPr>
          <w:sz w:val="24"/>
          <w:szCs w:val="24"/>
        </w:rPr>
        <w:t>Dette lægemiddelindeholder borsyre og polysorbater</w:t>
      </w:r>
      <w:r w:rsidR="00A42DAF">
        <w:rPr>
          <w:sz w:val="24"/>
          <w:szCs w:val="24"/>
        </w:rPr>
        <w:t>.</w:t>
      </w:r>
    </w:p>
    <w:p w14:paraId="6B453E8D" w14:textId="77777777" w:rsidR="00043246" w:rsidRPr="00043246" w:rsidRDefault="00043246" w:rsidP="00043246">
      <w:pPr>
        <w:tabs>
          <w:tab w:val="left" w:pos="851"/>
        </w:tabs>
        <w:ind w:left="851"/>
        <w:rPr>
          <w:sz w:val="24"/>
          <w:szCs w:val="24"/>
        </w:rPr>
      </w:pPr>
    </w:p>
    <w:p w14:paraId="5A7D89FA" w14:textId="77777777" w:rsidR="00043246" w:rsidRPr="00043246" w:rsidRDefault="00043246" w:rsidP="00043246">
      <w:pPr>
        <w:tabs>
          <w:tab w:val="left" w:pos="851"/>
        </w:tabs>
        <w:ind w:left="851"/>
        <w:rPr>
          <w:sz w:val="24"/>
          <w:szCs w:val="24"/>
        </w:rPr>
      </w:pPr>
      <w:r w:rsidRPr="00043246">
        <w:rPr>
          <w:sz w:val="24"/>
          <w:szCs w:val="24"/>
        </w:rPr>
        <w:t>Hver ml indeholder 7,0 mg borsyre, hvilket svarer til 0,21 mg borsyre pr. dråbe.</w:t>
      </w:r>
    </w:p>
    <w:p w14:paraId="1D23253F" w14:textId="77777777" w:rsidR="00043246" w:rsidRPr="00043246" w:rsidRDefault="00043246" w:rsidP="00043246">
      <w:pPr>
        <w:tabs>
          <w:tab w:val="left" w:pos="851"/>
        </w:tabs>
        <w:ind w:left="851"/>
        <w:rPr>
          <w:sz w:val="24"/>
          <w:szCs w:val="24"/>
        </w:rPr>
      </w:pPr>
    </w:p>
    <w:p w14:paraId="6858AB2A" w14:textId="77777777" w:rsidR="00043246" w:rsidRPr="00043246" w:rsidRDefault="00043246" w:rsidP="00043246">
      <w:pPr>
        <w:tabs>
          <w:tab w:val="left" w:pos="851"/>
        </w:tabs>
        <w:ind w:left="851"/>
        <w:rPr>
          <w:sz w:val="24"/>
          <w:szCs w:val="24"/>
        </w:rPr>
      </w:pPr>
      <w:r w:rsidRPr="00043246">
        <w:rPr>
          <w:sz w:val="24"/>
          <w:szCs w:val="24"/>
        </w:rPr>
        <w:t>Polysorbater kan forårsage allergiske reaktioner.</w:t>
      </w:r>
    </w:p>
    <w:p w14:paraId="2CAB5CD3" w14:textId="77777777" w:rsidR="00043246" w:rsidRPr="00043246" w:rsidRDefault="00043246" w:rsidP="00043246">
      <w:pPr>
        <w:tabs>
          <w:tab w:val="left" w:pos="851"/>
        </w:tabs>
        <w:ind w:left="851"/>
        <w:rPr>
          <w:sz w:val="24"/>
          <w:szCs w:val="24"/>
        </w:rPr>
      </w:pPr>
    </w:p>
    <w:p w14:paraId="4514DA14" w14:textId="77777777" w:rsidR="00043246" w:rsidRPr="00043246" w:rsidRDefault="00043246" w:rsidP="00043246">
      <w:pPr>
        <w:tabs>
          <w:tab w:val="left" w:pos="851"/>
        </w:tabs>
        <w:ind w:left="851"/>
        <w:rPr>
          <w:i/>
          <w:iCs/>
          <w:sz w:val="24"/>
          <w:szCs w:val="24"/>
        </w:rPr>
      </w:pPr>
      <w:r w:rsidRPr="00043246">
        <w:rPr>
          <w:i/>
          <w:iCs/>
          <w:sz w:val="24"/>
          <w:szCs w:val="24"/>
        </w:rPr>
        <w:t>Pædiatrisk population</w:t>
      </w:r>
    </w:p>
    <w:p w14:paraId="4BFEF96C" w14:textId="77777777" w:rsidR="00043246" w:rsidRPr="00043246" w:rsidRDefault="00043246" w:rsidP="00043246">
      <w:pPr>
        <w:tabs>
          <w:tab w:val="left" w:pos="851"/>
        </w:tabs>
        <w:ind w:left="851"/>
        <w:rPr>
          <w:sz w:val="24"/>
          <w:szCs w:val="24"/>
        </w:rPr>
      </w:pPr>
      <w:r w:rsidRPr="00043246">
        <w:rPr>
          <w:sz w:val="24"/>
          <w:szCs w:val="24"/>
        </w:rPr>
        <w:t>Effekt- og sikkerhedsdata i aldersgruppen &lt; 1 år er meget begrænsede (se pkt. 5.1). Der er ingen tilgængelige data for anvendelse til præmature børn (gestationsalder mindre end 36 uger).</w:t>
      </w:r>
    </w:p>
    <w:p w14:paraId="0FB37B01" w14:textId="77777777" w:rsidR="00043246" w:rsidRPr="00043246" w:rsidRDefault="00043246" w:rsidP="00043246">
      <w:pPr>
        <w:tabs>
          <w:tab w:val="left" w:pos="851"/>
        </w:tabs>
        <w:ind w:left="851"/>
        <w:rPr>
          <w:sz w:val="24"/>
          <w:szCs w:val="24"/>
        </w:rPr>
      </w:pPr>
    </w:p>
    <w:p w14:paraId="738295E0" w14:textId="77777777" w:rsidR="00043246" w:rsidRPr="00043246" w:rsidRDefault="00043246" w:rsidP="00043246">
      <w:pPr>
        <w:tabs>
          <w:tab w:val="left" w:pos="851"/>
        </w:tabs>
        <w:ind w:left="851"/>
        <w:rPr>
          <w:sz w:val="24"/>
          <w:szCs w:val="24"/>
        </w:rPr>
      </w:pPr>
      <w:r w:rsidRPr="00043246">
        <w:rPr>
          <w:sz w:val="24"/>
          <w:szCs w:val="24"/>
        </w:rPr>
        <w:t>Hos børn i alderen 0 til &lt; 3 år, som primært lider af primær kongenit glaukom (PCG), er operation (f.eks. trabekulotomi/goniotomi) stadig førstevalgsbehandling.</w:t>
      </w:r>
    </w:p>
    <w:p w14:paraId="17072C1E" w14:textId="77777777" w:rsidR="009260DE" w:rsidRPr="00C84483" w:rsidRDefault="009260DE" w:rsidP="009260DE">
      <w:pPr>
        <w:tabs>
          <w:tab w:val="left" w:pos="851"/>
        </w:tabs>
        <w:ind w:left="851"/>
        <w:rPr>
          <w:sz w:val="24"/>
          <w:szCs w:val="24"/>
        </w:rPr>
      </w:pPr>
    </w:p>
    <w:p w14:paraId="093449A7"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2CE14D33" w14:textId="77777777" w:rsidR="00043246" w:rsidRPr="00043246" w:rsidRDefault="00043246" w:rsidP="00043246">
      <w:pPr>
        <w:tabs>
          <w:tab w:val="left" w:pos="851"/>
        </w:tabs>
        <w:ind w:left="851"/>
        <w:rPr>
          <w:sz w:val="24"/>
          <w:szCs w:val="24"/>
        </w:rPr>
      </w:pPr>
      <w:r w:rsidRPr="00043246">
        <w:rPr>
          <w:sz w:val="24"/>
          <w:szCs w:val="24"/>
        </w:rPr>
        <w:t>Definitive data vedrørende lægemiddelinteraktion er ikke tilgængelige.</w:t>
      </w:r>
    </w:p>
    <w:p w14:paraId="5A5B6023" w14:textId="77777777" w:rsidR="00043246" w:rsidRPr="00043246" w:rsidRDefault="00043246" w:rsidP="00043246">
      <w:pPr>
        <w:tabs>
          <w:tab w:val="left" w:pos="851"/>
        </w:tabs>
        <w:ind w:left="851"/>
        <w:rPr>
          <w:sz w:val="24"/>
          <w:szCs w:val="24"/>
        </w:rPr>
      </w:pPr>
    </w:p>
    <w:p w14:paraId="7E840AE8" w14:textId="77777777" w:rsidR="00043246" w:rsidRPr="00043246" w:rsidRDefault="00043246" w:rsidP="00043246">
      <w:pPr>
        <w:tabs>
          <w:tab w:val="left" w:pos="851"/>
        </w:tabs>
        <w:ind w:left="851"/>
        <w:rPr>
          <w:sz w:val="24"/>
          <w:szCs w:val="24"/>
        </w:rPr>
      </w:pPr>
      <w:r w:rsidRPr="00043246">
        <w:rPr>
          <w:sz w:val="24"/>
          <w:szCs w:val="24"/>
        </w:rPr>
        <w:t>Der er rapporteret paradoksale stigninger i IOP efter samtidig brug af to prostaglandinanaloger. Det anbefales derfor ikke at bruge to eller flere prostaglandiner, prostaglandinanaloger eller prostaglandinderivater samtidigt.</w:t>
      </w:r>
    </w:p>
    <w:p w14:paraId="2AA37193" w14:textId="77777777" w:rsidR="00043246" w:rsidRPr="00043246" w:rsidRDefault="00043246" w:rsidP="00043246">
      <w:pPr>
        <w:tabs>
          <w:tab w:val="left" w:pos="851"/>
        </w:tabs>
        <w:ind w:left="851"/>
        <w:rPr>
          <w:sz w:val="24"/>
          <w:szCs w:val="24"/>
        </w:rPr>
      </w:pPr>
    </w:p>
    <w:p w14:paraId="5B48E1A7" w14:textId="77777777" w:rsidR="00043246" w:rsidRPr="00A42DAF" w:rsidRDefault="00043246" w:rsidP="00043246">
      <w:pPr>
        <w:tabs>
          <w:tab w:val="left" w:pos="851"/>
        </w:tabs>
        <w:ind w:left="851"/>
        <w:rPr>
          <w:sz w:val="24"/>
          <w:szCs w:val="24"/>
          <w:u w:val="single"/>
        </w:rPr>
      </w:pPr>
      <w:r w:rsidRPr="00A42DAF">
        <w:rPr>
          <w:sz w:val="24"/>
          <w:szCs w:val="24"/>
          <w:u w:val="single"/>
        </w:rPr>
        <w:t>Pædiatrisk population</w:t>
      </w:r>
    </w:p>
    <w:p w14:paraId="1605A7ED" w14:textId="77777777" w:rsidR="00043246" w:rsidRPr="00043246" w:rsidRDefault="00043246" w:rsidP="00043246">
      <w:pPr>
        <w:tabs>
          <w:tab w:val="left" w:pos="851"/>
        </w:tabs>
        <w:ind w:left="851"/>
        <w:rPr>
          <w:sz w:val="24"/>
          <w:szCs w:val="24"/>
        </w:rPr>
      </w:pPr>
      <w:r w:rsidRPr="00043246">
        <w:rPr>
          <w:sz w:val="24"/>
          <w:szCs w:val="24"/>
        </w:rPr>
        <w:t>Interaktionsforsøg er kun udført hos voksne.</w:t>
      </w:r>
    </w:p>
    <w:p w14:paraId="5BC86673" w14:textId="0EE53747" w:rsidR="00A42DAF" w:rsidRDefault="00A42DAF">
      <w:pPr>
        <w:rPr>
          <w:sz w:val="24"/>
          <w:szCs w:val="24"/>
        </w:rPr>
      </w:pPr>
      <w:r>
        <w:rPr>
          <w:sz w:val="24"/>
          <w:szCs w:val="24"/>
        </w:rPr>
        <w:br w:type="page"/>
      </w:r>
    </w:p>
    <w:p w14:paraId="0A864A68" w14:textId="77777777" w:rsidR="009260DE" w:rsidRPr="00C84483" w:rsidRDefault="009260DE" w:rsidP="009260DE">
      <w:pPr>
        <w:tabs>
          <w:tab w:val="left" w:pos="851"/>
        </w:tabs>
        <w:ind w:left="851"/>
        <w:rPr>
          <w:sz w:val="24"/>
          <w:szCs w:val="24"/>
        </w:rPr>
      </w:pPr>
    </w:p>
    <w:p w14:paraId="320F2D49"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21B7E58" w14:textId="77777777" w:rsidR="00043246" w:rsidRPr="00043246" w:rsidRDefault="00043246" w:rsidP="00043246">
      <w:pPr>
        <w:tabs>
          <w:tab w:val="left" w:pos="851"/>
        </w:tabs>
        <w:ind w:left="851"/>
        <w:rPr>
          <w:i/>
          <w:sz w:val="24"/>
          <w:szCs w:val="24"/>
          <w:lang w:val="nn-NO"/>
        </w:rPr>
      </w:pPr>
    </w:p>
    <w:p w14:paraId="53CAEC81" w14:textId="77777777" w:rsidR="00043246" w:rsidRPr="00A42DAF" w:rsidRDefault="00043246" w:rsidP="00043246">
      <w:pPr>
        <w:tabs>
          <w:tab w:val="left" w:pos="851"/>
        </w:tabs>
        <w:ind w:left="851"/>
        <w:rPr>
          <w:sz w:val="24"/>
          <w:szCs w:val="24"/>
          <w:u w:val="single"/>
          <w:lang w:val="nn-NO"/>
        </w:rPr>
      </w:pPr>
      <w:r w:rsidRPr="00A42DAF">
        <w:rPr>
          <w:sz w:val="24"/>
          <w:szCs w:val="24"/>
          <w:u w:val="single"/>
          <w:lang w:val="nn-NO"/>
        </w:rPr>
        <w:t>Graviditet</w:t>
      </w:r>
    </w:p>
    <w:p w14:paraId="2ADFF857" w14:textId="77777777" w:rsidR="00043246" w:rsidRPr="00043246" w:rsidRDefault="00043246" w:rsidP="00043246">
      <w:pPr>
        <w:tabs>
          <w:tab w:val="left" w:pos="851"/>
        </w:tabs>
        <w:ind w:left="851"/>
        <w:rPr>
          <w:sz w:val="24"/>
          <w:szCs w:val="24"/>
        </w:rPr>
      </w:pPr>
      <w:r w:rsidRPr="00043246">
        <w:rPr>
          <w:sz w:val="24"/>
          <w:szCs w:val="24"/>
        </w:rPr>
        <w:t xml:space="preserve">Der er begrænsede data fra anvendelse af latanoprost hos gravide kvinder. Dyreforsøg har vist reproduktionstoksicitet ved systemisk toksiske doser (se afsnit 5.3). </w:t>
      </w:r>
    </w:p>
    <w:p w14:paraId="6D46F586" w14:textId="77777777" w:rsidR="00043246" w:rsidRPr="00043246" w:rsidRDefault="00043246" w:rsidP="00043246">
      <w:pPr>
        <w:tabs>
          <w:tab w:val="left" w:pos="851"/>
        </w:tabs>
        <w:ind w:left="851"/>
        <w:rPr>
          <w:sz w:val="24"/>
          <w:szCs w:val="24"/>
        </w:rPr>
      </w:pPr>
      <w:r w:rsidRPr="00043246">
        <w:rPr>
          <w:sz w:val="24"/>
          <w:szCs w:val="24"/>
        </w:rPr>
        <w:t>Som en forsigtighedsforanstaltning bør anvendelse af Latanoprost "Sandoz" undgås under graviditet.</w:t>
      </w:r>
    </w:p>
    <w:p w14:paraId="5646004D" w14:textId="77777777" w:rsidR="00043246" w:rsidRPr="00043246" w:rsidRDefault="00043246" w:rsidP="00043246">
      <w:pPr>
        <w:tabs>
          <w:tab w:val="left" w:pos="851"/>
        </w:tabs>
        <w:ind w:left="851"/>
        <w:rPr>
          <w:sz w:val="24"/>
          <w:szCs w:val="24"/>
        </w:rPr>
      </w:pPr>
    </w:p>
    <w:p w14:paraId="56867618" w14:textId="77777777" w:rsidR="00043246" w:rsidRPr="00A42DAF" w:rsidRDefault="00043246" w:rsidP="00043246">
      <w:pPr>
        <w:tabs>
          <w:tab w:val="left" w:pos="851"/>
        </w:tabs>
        <w:ind w:left="851"/>
        <w:rPr>
          <w:sz w:val="24"/>
          <w:szCs w:val="24"/>
          <w:u w:val="single"/>
          <w:lang w:val="nn-NO"/>
        </w:rPr>
      </w:pPr>
      <w:r w:rsidRPr="00A42DAF">
        <w:rPr>
          <w:sz w:val="24"/>
          <w:szCs w:val="24"/>
          <w:u w:val="single"/>
          <w:lang w:val="nn-NO"/>
        </w:rPr>
        <w:t>Amning</w:t>
      </w:r>
    </w:p>
    <w:p w14:paraId="7F6D54AD" w14:textId="77777777" w:rsidR="00043246" w:rsidRPr="00043246" w:rsidRDefault="00043246" w:rsidP="00043246">
      <w:pPr>
        <w:tabs>
          <w:tab w:val="left" w:pos="851"/>
        </w:tabs>
        <w:ind w:left="851"/>
        <w:rPr>
          <w:sz w:val="24"/>
          <w:szCs w:val="24"/>
        </w:rPr>
      </w:pPr>
      <w:r w:rsidRPr="00043246">
        <w:rPr>
          <w:sz w:val="24"/>
          <w:szCs w:val="24"/>
        </w:rPr>
        <w:t>Det er ukendt, om latanoprost eller dets metabolitter udskilles i human mælk. En risiko for det ammede barn kan ikke udelukkes.</w:t>
      </w:r>
      <w:r w:rsidRPr="00043246">
        <w:rPr>
          <w:sz w:val="24"/>
          <w:szCs w:val="24"/>
        </w:rPr>
        <w:br/>
        <w:t>Der skal træffes beslutning om, hvorvidt amning skal ophøre, eller behandling med Latanoprost "Sandoz" skal seponeres under hensyntagen til fordelene ved amning for barnet og fordelene ved behandling for kvinden.</w:t>
      </w:r>
    </w:p>
    <w:p w14:paraId="20566883" w14:textId="77777777" w:rsidR="00043246" w:rsidRPr="00043246" w:rsidRDefault="00043246" w:rsidP="00043246">
      <w:pPr>
        <w:tabs>
          <w:tab w:val="left" w:pos="851"/>
        </w:tabs>
        <w:ind w:left="851"/>
        <w:rPr>
          <w:sz w:val="24"/>
          <w:szCs w:val="24"/>
        </w:rPr>
      </w:pPr>
    </w:p>
    <w:p w14:paraId="2DF42037" w14:textId="77777777" w:rsidR="00043246" w:rsidRPr="00A42DAF" w:rsidRDefault="00043246" w:rsidP="00043246">
      <w:pPr>
        <w:tabs>
          <w:tab w:val="left" w:pos="851"/>
        </w:tabs>
        <w:ind w:left="851"/>
        <w:rPr>
          <w:sz w:val="24"/>
          <w:szCs w:val="24"/>
          <w:u w:val="single"/>
        </w:rPr>
      </w:pPr>
      <w:r w:rsidRPr="00A42DAF">
        <w:rPr>
          <w:sz w:val="24"/>
          <w:szCs w:val="24"/>
          <w:u w:val="single"/>
        </w:rPr>
        <w:t>Fertilitet</w:t>
      </w:r>
    </w:p>
    <w:p w14:paraId="0984A16B" w14:textId="77777777" w:rsidR="00043246" w:rsidRPr="00043246" w:rsidRDefault="00043246" w:rsidP="00043246">
      <w:pPr>
        <w:tabs>
          <w:tab w:val="left" w:pos="851"/>
        </w:tabs>
        <w:ind w:left="851"/>
        <w:rPr>
          <w:sz w:val="24"/>
          <w:szCs w:val="24"/>
        </w:rPr>
      </w:pPr>
      <w:r w:rsidRPr="00043246">
        <w:rPr>
          <w:sz w:val="24"/>
          <w:szCs w:val="24"/>
        </w:rPr>
        <w:t>Dyrestudier med latanoprost har ikke vist påvirkning af fertilitet hos hverken mænd eller kvinder (se pkt. 5.3).</w:t>
      </w:r>
    </w:p>
    <w:p w14:paraId="0B6085D4" w14:textId="77777777" w:rsidR="009260DE" w:rsidRPr="00C84483" w:rsidRDefault="009260DE" w:rsidP="009260DE">
      <w:pPr>
        <w:tabs>
          <w:tab w:val="left" w:pos="851"/>
        </w:tabs>
        <w:ind w:left="851"/>
        <w:rPr>
          <w:sz w:val="24"/>
          <w:szCs w:val="24"/>
        </w:rPr>
      </w:pPr>
    </w:p>
    <w:p w14:paraId="10FAC7D9"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6743F06" w14:textId="77777777" w:rsidR="00043246" w:rsidRPr="00043246" w:rsidRDefault="00043246" w:rsidP="00043246">
      <w:pPr>
        <w:tabs>
          <w:tab w:val="left" w:pos="851"/>
        </w:tabs>
        <w:ind w:left="851"/>
        <w:rPr>
          <w:sz w:val="24"/>
          <w:szCs w:val="24"/>
        </w:rPr>
      </w:pPr>
      <w:r w:rsidRPr="00043246">
        <w:rPr>
          <w:sz w:val="24"/>
          <w:szCs w:val="24"/>
        </w:rPr>
        <w:t>Ikke mærkning.</w:t>
      </w:r>
    </w:p>
    <w:p w14:paraId="34A26F52" w14:textId="77777777" w:rsidR="00043246" w:rsidRPr="00043246" w:rsidRDefault="00043246" w:rsidP="00043246">
      <w:pPr>
        <w:tabs>
          <w:tab w:val="left" w:pos="851"/>
        </w:tabs>
        <w:ind w:left="851"/>
        <w:rPr>
          <w:sz w:val="24"/>
          <w:szCs w:val="24"/>
        </w:rPr>
      </w:pPr>
      <w:r w:rsidRPr="00043246">
        <w:rPr>
          <w:sz w:val="24"/>
          <w:szCs w:val="24"/>
        </w:rPr>
        <w:t>Latanoprost "Sandoz" kan i mindre grad påvirke evnen til at føre motorkøretøj og betjene maskiner. Som ved andre øjenpræparater kan inddrypning af øjendråber forårsage forbigående sløring af synet. Patienten bør ikke færdes i trafikken eller betjene maskiner før synet atter er normalt.</w:t>
      </w:r>
    </w:p>
    <w:p w14:paraId="2273AD36" w14:textId="77777777" w:rsidR="009260DE" w:rsidRPr="00C84483" w:rsidRDefault="009260DE" w:rsidP="009260DE">
      <w:pPr>
        <w:tabs>
          <w:tab w:val="left" w:pos="851"/>
        </w:tabs>
        <w:ind w:left="851"/>
        <w:rPr>
          <w:sz w:val="24"/>
          <w:szCs w:val="24"/>
        </w:rPr>
      </w:pPr>
    </w:p>
    <w:p w14:paraId="4AC8B6AD"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48D283A7" w14:textId="77777777" w:rsidR="00043246" w:rsidRPr="00043246" w:rsidRDefault="00043246" w:rsidP="00043246">
      <w:pPr>
        <w:tabs>
          <w:tab w:val="left" w:pos="851"/>
        </w:tabs>
        <w:ind w:left="851"/>
        <w:rPr>
          <w:sz w:val="24"/>
          <w:szCs w:val="24"/>
        </w:rPr>
      </w:pPr>
    </w:p>
    <w:p w14:paraId="4F11702A" w14:textId="77777777" w:rsidR="00043246" w:rsidRPr="00043246" w:rsidRDefault="00043246" w:rsidP="00043246">
      <w:pPr>
        <w:tabs>
          <w:tab w:val="left" w:pos="851"/>
        </w:tabs>
        <w:ind w:left="851"/>
        <w:rPr>
          <w:sz w:val="24"/>
          <w:szCs w:val="24"/>
        </w:rPr>
      </w:pPr>
      <w:r w:rsidRPr="00043246">
        <w:rPr>
          <w:sz w:val="24"/>
          <w:szCs w:val="24"/>
          <w:u w:val="single"/>
        </w:rPr>
        <w:t>a. Resumé af sikkerhedsprofilen</w:t>
      </w:r>
    </w:p>
    <w:p w14:paraId="6B08D492" w14:textId="77777777" w:rsidR="00043246" w:rsidRPr="00043246" w:rsidRDefault="00043246" w:rsidP="00043246">
      <w:pPr>
        <w:tabs>
          <w:tab w:val="left" w:pos="851"/>
        </w:tabs>
        <w:ind w:left="851"/>
        <w:rPr>
          <w:sz w:val="24"/>
          <w:szCs w:val="24"/>
        </w:rPr>
      </w:pPr>
      <w:r w:rsidRPr="00043246">
        <w:rPr>
          <w:sz w:val="24"/>
          <w:szCs w:val="24"/>
        </w:rPr>
        <w:t>Størstedelen af  latanoprosts bivirkninger er relateret til øjnene. Okulære bivirkninger, bortset fra irispigmentering, er generelt forbigående og opstår i forbindelse med dosering.</w:t>
      </w:r>
    </w:p>
    <w:p w14:paraId="4CCFD2A9" w14:textId="77777777" w:rsidR="00043246" w:rsidRPr="00043246" w:rsidRDefault="00043246" w:rsidP="00043246">
      <w:pPr>
        <w:tabs>
          <w:tab w:val="left" w:pos="851"/>
        </w:tabs>
        <w:ind w:left="851"/>
        <w:rPr>
          <w:sz w:val="24"/>
          <w:szCs w:val="24"/>
        </w:rPr>
      </w:pPr>
    </w:p>
    <w:p w14:paraId="5BD16D57" w14:textId="77777777" w:rsidR="00043246" w:rsidRPr="00043246" w:rsidRDefault="00043246" w:rsidP="00043246">
      <w:pPr>
        <w:tabs>
          <w:tab w:val="left" w:pos="851"/>
        </w:tabs>
        <w:ind w:left="851"/>
        <w:rPr>
          <w:sz w:val="24"/>
          <w:szCs w:val="24"/>
        </w:rPr>
      </w:pPr>
      <w:r w:rsidRPr="00043246">
        <w:rPr>
          <w:sz w:val="24"/>
          <w:szCs w:val="24"/>
        </w:rPr>
        <w:t>Latanoprost "Sandoz" kan medføre let øjenirritation i de første to til tre dages behandling. Let konjunktival hyperæmi er rapporteret hos cirka 10 % af patienterne, og moderat hyperæmi hos cirka 1 % under langtidsbehandling.</w:t>
      </w:r>
    </w:p>
    <w:p w14:paraId="0C5C9B8B" w14:textId="77777777" w:rsidR="00043246" w:rsidRPr="00043246" w:rsidRDefault="00043246" w:rsidP="00043246">
      <w:pPr>
        <w:tabs>
          <w:tab w:val="left" w:pos="851"/>
        </w:tabs>
        <w:ind w:left="851"/>
        <w:rPr>
          <w:sz w:val="24"/>
          <w:szCs w:val="24"/>
        </w:rPr>
      </w:pPr>
    </w:p>
    <w:p w14:paraId="57C7DD6A" w14:textId="77777777" w:rsidR="00043246" w:rsidRPr="00043246" w:rsidRDefault="00043246" w:rsidP="00043246">
      <w:pPr>
        <w:tabs>
          <w:tab w:val="left" w:pos="851"/>
        </w:tabs>
        <w:ind w:left="851"/>
        <w:rPr>
          <w:sz w:val="24"/>
          <w:szCs w:val="24"/>
        </w:rPr>
      </w:pPr>
      <w:r w:rsidRPr="00043246">
        <w:rPr>
          <w:sz w:val="24"/>
          <w:szCs w:val="24"/>
        </w:rPr>
        <w:t>Der er rapporteret tilfælde af makulært ødem, primært hos afakiske patienter, hos pseudophakiske patienter med iturevet bageste linsekapsel eller med forkammerlinser, samt hos patienter med kendte risikofaktorer for cystoidt makulaødem, se også punkt 4.4.</w:t>
      </w:r>
    </w:p>
    <w:p w14:paraId="29861502" w14:textId="77777777" w:rsidR="00043246" w:rsidRPr="00043246" w:rsidRDefault="00043246" w:rsidP="00043246">
      <w:pPr>
        <w:tabs>
          <w:tab w:val="left" w:pos="851"/>
        </w:tabs>
        <w:ind w:left="851"/>
        <w:rPr>
          <w:sz w:val="24"/>
          <w:szCs w:val="24"/>
        </w:rPr>
      </w:pPr>
    </w:p>
    <w:p w14:paraId="17E0BDFA" w14:textId="77777777" w:rsidR="00043246" w:rsidRPr="00043246" w:rsidRDefault="00043246" w:rsidP="00043246">
      <w:pPr>
        <w:tabs>
          <w:tab w:val="left" w:pos="851"/>
        </w:tabs>
        <w:ind w:left="851"/>
        <w:rPr>
          <w:sz w:val="24"/>
          <w:szCs w:val="24"/>
        </w:rPr>
      </w:pPr>
      <w:r w:rsidRPr="00043246">
        <w:rPr>
          <w:sz w:val="24"/>
          <w:szCs w:val="24"/>
        </w:rPr>
        <w:t>Øjenpræparater med latanoprost kan forårsage farveændringer i iris (øget mængde brunt pigment i iris), primært hos patienter med blandede irisfarver. I et åbent 5-årigt sikkerhedsforsøg med latanoprost udviklede 33 % af patienterne irispigmentering, se også punkt 4.4.</w:t>
      </w:r>
    </w:p>
    <w:p w14:paraId="23E4E7E7" w14:textId="77777777" w:rsidR="00043246" w:rsidRPr="00043246" w:rsidRDefault="00043246" w:rsidP="00043246">
      <w:pPr>
        <w:tabs>
          <w:tab w:val="left" w:pos="851"/>
        </w:tabs>
        <w:ind w:left="851"/>
        <w:rPr>
          <w:sz w:val="24"/>
          <w:szCs w:val="24"/>
        </w:rPr>
      </w:pPr>
    </w:p>
    <w:p w14:paraId="1FA158B8" w14:textId="77777777" w:rsidR="00043246" w:rsidRPr="00043246" w:rsidRDefault="00043246" w:rsidP="00043246">
      <w:pPr>
        <w:tabs>
          <w:tab w:val="left" w:pos="851"/>
        </w:tabs>
        <w:ind w:left="851"/>
        <w:rPr>
          <w:sz w:val="24"/>
          <w:szCs w:val="24"/>
        </w:rPr>
      </w:pPr>
      <w:r w:rsidRPr="00043246">
        <w:rPr>
          <w:sz w:val="24"/>
          <w:szCs w:val="24"/>
        </w:rPr>
        <w:t>Der er rapporteret sjældne tilfælde af iritis/uveitis. Hos langt de fleste af disse patienter forelå der samtidigt prædisponerende faktorer for udvikling af iritis/uveitis.</w:t>
      </w:r>
    </w:p>
    <w:p w14:paraId="0BD54F7B" w14:textId="77777777" w:rsidR="00043246" w:rsidRPr="00043246" w:rsidRDefault="00043246" w:rsidP="00043246">
      <w:pPr>
        <w:tabs>
          <w:tab w:val="left" w:pos="851"/>
        </w:tabs>
        <w:ind w:left="851"/>
        <w:rPr>
          <w:sz w:val="24"/>
          <w:szCs w:val="24"/>
        </w:rPr>
      </w:pPr>
    </w:p>
    <w:p w14:paraId="1156E3D9" w14:textId="77777777" w:rsidR="00043246" w:rsidRPr="00043246" w:rsidRDefault="00043246" w:rsidP="00043246">
      <w:pPr>
        <w:tabs>
          <w:tab w:val="left" w:pos="851"/>
        </w:tabs>
        <w:ind w:left="851"/>
        <w:rPr>
          <w:sz w:val="24"/>
          <w:szCs w:val="24"/>
        </w:rPr>
      </w:pPr>
      <w:r w:rsidRPr="00043246">
        <w:rPr>
          <w:sz w:val="24"/>
          <w:szCs w:val="24"/>
        </w:rPr>
        <w:t xml:space="preserve">Astma, forværring af astma, akutte astmaanfald og dyspnø er rapporteret. Erfaringen hos patienter med astma er begrænset, men latanoprost har hverken vist påvirkning af </w:t>
      </w:r>
      <w:r w:rsidRPr="00043246">
        <w:rPr>
          <w:sz w:val="24"/>
          <w:szCs w:val="24"/>
        </w:rPr>
        <w:lastRenderedPageBreak/>
        <w:t>lungefunktionen i mindre studier hos steroidbehandlede patienter med moderat svær astma eller påvirkning af lungefunktion, luftvejsreaktivitet eller beta</w:t>
      </w:r>
      <w:r w:rsidRPr="00043246">
        <w:rPr>
          <w:sz w:val="24"/>
          <w:szCs w:val="24"/>
          <w:vertAlign w:val="subscript"/>
        </w:rPr>
        <w:t>2</w:t>
      </w:r>
      <w:r w:rsidRPr="00043246">
        <w:rPr>
          <w:sz w:val="24"/>
          <w:szCs w:val="24"/>
        </w:rPr>
        <w:t>-følsomhed hos astmapatienter, der ikke var i steroidbehandling.</w:t>
      </w:r>
    </w:p>
    <w:p w14:paraId="4D6FBE38" w14:textId="77777777" w:rsidR="00043246" w:rsidRPr="00043246" w:rsidRDefault="00043246" w:rsidP="00043246">
      <w:pPr>
        <w:tabs>
          <w:tab w:val="left" w:pos="851"/>
        </w:tabs>
        <w:ind w:left="851"/>
        <w:rPr>
          <w:sz w:val="24"/>
          <w:szCs w:val="24"/>
        </w:rPr>
      </w:pPr>
    </w:p>
    <w:p w14:paraId="52E141A2" w14:textId="77777777" w:rsidR="00043246" w:rsidRPr="00043246" w:rsidRDefault="00043246" w:rsidP="00043246">
      <w:pPr>
        <w:tabs>
          <w:tab w:val="left" w:pos="851"/>
        </w:tabs>
        <w:ind w:left="851"/>
        <w:rPr>
          <w:sz w:val="24"/>
          <w:szCs w:val="24"/>
        </w:rPr>
      </w:pPr>
      <w:r w:rsidRPr="00043246">
        <w:rPr>
          <w:sz w:val="24"/>
          <w:szCs w:val="24"/>
          <w:u w:val="single"/>
        </w:rPr>
        <w:t xml:space="preserve">b. </w:t>
      </w:r>
      <w:r w:rsidRPr="00043246">
        <w:rPr>
          <w:bCs/>
          <w:sz w:val="24"/>
          <w:szCs w:val="24"/>
          <w:u w:val="single"/>
        </w:rPr>
        <w:t>B</w:t>
      </w:r>
      <w:r w:rsidRPr="00043246">
        <w:rPr>
          <w:sz w:val="24"/>
          <w:szCs w:val="24"/>
          <w:u w:val="single"/>
        </w:rPr>
        <w:t>ivirkningstabel</w:t>
      </w:r>
    </w:p>
    <w:p w14:paraId="6E3EE648" w14:textId="77777777" w:rsidR="00A42DAF" w:rsidRDefault="00A42DAF" w:rsidP="00043246">
      <w:pPr>
        <w:tabs>
          <w:tab w:val="left" w:pos="851"/>
        </w:tabs>
        <w:ind w:left="851"/>
        <w:rPr>
          <w:sz w:val="24"/>
          <w:szCs w:val="24"/>
        </w:rPr>
      </w:pPr>
    </w:p>
    <w:p w14:paraId="269FD525" w14:textId="2BA4D9A9" w:rsidR="00043246" w:rsidRPr="00043246" w:rsidRDefault="00043246" w:rsidP="00043246">
      <w:pPr>
        <w:tabs>
          <w:tab w:val="left" w:pos="851"/>
        </w:tabs>
        <w:ind w:left="851"/>
        <w:rPr>
          <w:sz w:val="24"/>
          <w:szCs w:val="24"/>
        </w:rPr>
      </w:pPr>
      <w:r w:rsidRPr="00043246">
        <w:rPr>
          <w:sz w:val="24"/>
          <w:szCs w:val="24"/>
        </w:rPr>
        <w:t xml:space="preserve">Bivirkningerne er anført efter hyppighed som følger: </w:t>
      </w:r>
    </w:p>
    <w:p w14:paraId="5CC0B87E" w14:textId="77777777" w:rsidR="00043246" w:rsidRPr="00043246" w:rsidRDefault="00043246" w:rsidP="00043246">
      <w:pPr>
        <w:tabs>
          <w:tab w:val="left" w:pos="851"/>
        </w:tabs>
        <w:ind w:left="851"/>
        <w:rPr>
          <w:sz w:val="24"/>
          <w:szCs w:val="24"/>
        </w:rPr>
      </w:pPr>
      <w:r w:rsidRPr="00043246">
        <w:rPr>
          <w:sz w:val="24"/>
          <w:szCs w:val="24"/>
        </w:rPr>
        <w:t>Meget almindelig (≥1/10)</w:t>
      </w:r>
    </w:p>
    <w:p w14:paraId="6872A19F" w14:textId="77777777" w:rsidR="00043246" w:rsidRPr="00043246" w:rsidRDefault="00043246" w:rsidP="00043246">
      <w:pPr>
        <w:tabs>
          <w:tab w:val="left" w:pos="851"/>
        </w:tabs>
        <w:ind w:left="851"/>
        <w:rPr>
          <w:sz w:val="24"/>
          <w:szCs w:val="24"/>
        </w:rPr>
      </w:pPr>
      <w:r w:rsidRPr="00043246">
        <w:rPr>
          <w:sz w:val="24"/>
          <w:szCs w:val="24"/>
        </w:rPr>
        <w:t>Almindelig (≥1/100 til &lt;1/10)</w:t>
      </w:r>
    </w:p>
    <w:p w14:paraId="10AF4787" w14:textId="77777777" w:rsidR="00043246" w:rsidRPr="00043246" w:rsidRDefault="00043246" w:rsidP="00043246">
      <w:pPr>
        <w:tabs>
          <w:tab w:val="left" w:pos="851"/>
        </w:tabs>
        <w:ind w:left="851"/>
        <w:rPr>
          <w:sz w:val="24"/>
          <w:szCs w:val="24"/>
        </w:rPr>
      </w:pPr>
      <w:r w:rsidRPr="00043246">
        <w:rPr>
          <w:sz w:val="24"/>
          <w:szCs w:val="24"/>
        </w:rPr>
        <w:t>Ikke almindelig (≥1/1.000 til &lt;1/100)</w:t>
      </w:r>
    </w:p>
    <w:p w14:paraId="2F57B5B3" w14:textId="77777777" w:rsidR="00043246" w:rsidRPr="00043246" w:rsidRDefault="00043246" w:rsidP="00043246">
      <w:pPr>
        <w:tabs>
          <w:tab w:val="left" w:pos="851"/>
        </w:tabs>
        <w:ind w:left="851"/>
        <w:rPr>
          <w:sz w:val="24"/>
          <w:szCs w:val="24"/>
        </w:rPr>
      </w:pPr>
      <w:r w:rsidRPr="00043246">
        <w:rPr>
          <w:sz w:val="24"/>
          <w:szCs w:val="24"/>
        </w:rPr>
        <w:t>Sjælden (≥1/10.000 til &lt;1/1.000)</w:t>
      </w:r>
    </w:p>
    <w:p w14:paraId="52E25B95" w14:textId="77777777" w:rsidR="00043246" w:rsidRPr="00043246" w:rsidRDefault="00043246" w:rsidP="00043246">
      <w:pPr>
        <w:tabs>
          <w:tab w:val="left" w:pos="851"/>
        </w:tabs>
        <w:ind w:left="851"/>
        <w:rPr>
          <w:sz w:val="24"/>
          <w:szCs w:val="24"/>
        </w:rPr>
      </w:pPr>
      <w:r w:rsidRPr="00043246">
        <w:rPr>
          <w:sz w:val="24"/>
          <w:szCs w:val="24"/>
        </w:rPr>
        <w:t>Meget sjælden (&lt;1/10.000)</w:t>
      </w:r>
    </w:p>
    <w:p w14:paraId="50E04EE0" w14:textId="77777777" w:rsidR="00043246" w:rsidRPr="00043246" w:rsidRDefault="00043246" w:rsidP="00043246">
      <w:pPr>
        <w:tabs>
          <w:tab w:val="left" w:pos="851"/>
        </w:tabs>
        <w:ind w:left="851"/>
        <w:rPr>
          <w:sz w:val="24"/>
          <w:szCs w:val="24"/>
        </w:rPr>
      </w:pPr>
      <w:r w:rsidRPr="00043246">
        <w:rPr>
          <w:sz w:val="24"/>
          <w:szCs w:val="24"/>
        </w:rPr>
        <w:t>Ikke kendt (kan ikke estimeres ud fra forhåndenværende data)</w:t>
      </w:r>
    </w:p>
    <w:p w14:paraId="483EC8DB" w14:textId="77777777" w:rsidR="00043246" w:rsidRPr="00043246" w:rsidRDefault="00043246" w:rsidP="00043246">
      <w:pPr>
        <w:tabs>
          <w:tab w:val="left" w:pos="851"/>
        </w:tabs>
        <w:ind w:left="851"/>
        <w:rPr>
          <w:sz w:val="24"/>
          <w:szCs w:val="24"/>
        </w:rPr>
      </w:pPr>
    </w:p>
    <w:tbl>
      <w:tblPr>
        <w:tblpPr w:leftFromText="180" w:rightFromText="180" w:vertAnchor="text" w:tblpX="846" w:tblpY="1"/>
        <w:tblOverlap w:val="neve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201"/>
        <w:gridCol w:w="3274"/>
      </w:tblGrid>
      <w:tr w:rsidR="00043246" w:rsidRPr="00043246" w14:paraId="6B16EE5B" w14:textId="77777777" w:rsidTr="00A42DAF">
        <w:tc>
          <w:tcPr>
            <w:tcW w:w="3281" w:type="dxa"/>
            <w:tcBorders>
              <w:top w:val="single" w:sz="4" w:space="0" w:color="auto"/>
              <w:left w:val="single" w:sz="4" w:space="0" w:color="auto"/>
              <w:bottom w:val="single" w:sz="4" w:space="0" w:color="auto"/>
              <w:right w:val="single" w:sz="4" w:space="0" w:color="auto"/>
            </w:tcBorders>
            <w:hideMark/>
          </w:tcPr>
          <w:p w14:paraId="2BAC5F76" w14:textId="77777777" w:rsidR="00043246" w:rsidRPr="00043246" w:rsidRDefault="00043246" w:rsidP="00A42DAF">
            <w:pPr>
              <w:ind w:left="32"/>
              <w:rPr>
                <w:b/>
                <w:i/>
                <w:sz w:val="24"/>
                <w:szCs w:val="24"/>
              </w:rPr>
            </w:pPr>
            <w:r w:rsidRPr="00043246">
              <w:rPr>
                <w:b/>
                <w:i/>
                <w:sz w:val="24"/>
                <w:szCs w:val="24"/>
              </w:rPr>
              <w:t>Systemorganklasse</w:t>
            </w:r>
          </w:p>
        </w:tc>
        <w:tc>
          <w:tcPr>
            <w:tcW w:w="5475" w:type="dxa"/>
            <w:gridSpan w:val="2"/>
            <w:tcBorders>
              <w:top w:val="single" w:sz="4" w:space="0" w:color="auto"/>
              <w:left w:val="single" w:sz="4" w:space="0" w:color="auto"/>
              <w:bottom w:val="single" w:sz="4" w:space="0" w:color="auto"/>
              <w:right w:val="single" w:sz="4" w:space="0" w:color="auto"/>
            </w:tcBorders>
            <w:hideMark/>
          </w:tcPr>
          <w:p w14:paraId="0ED70CE9" w14:textId="77777777" w:rsidR="00043246" w:rsidRPr="00043246" w:rsidRDefault="00043246" w:rsidP="00A42DAF">
            <w:pPr>
              <w:ind w:left="12"/>
              <w:rPr>
                <w:b/>
                <w:i/>
                <w:sz w:val="24"/>
                <w:szCs w:val="24"/>
              </w:rPr>
            </w:pPr>
            <w:r w:rsidRPr="00043246">
              <w:rPr>
                <w:b/>
                <w:i/>
                <w:sz w:val="24"/>
                <w:szCs w:val="24"/>
              </w:rPr>
              <w:t>Hyppighedsklassificering</w:t>
            </w:r>
          </w:p>
        </w:tc>
      </w:tr>
      <w:tr w:rsidR="00043246" w:rsidRPr="00043246" w14:paraId="65BB4FF6" w14:textId="77777777" w:rsidTr="00A42DAF">
        <w:tc>
          <w:tcPr>
            <w:tcW w:w="3281" w:type="dxa"/>
            <w:tcBorders>
              <w:top w:val="single" w:sz="4" w:space="0" w:color="auto"/>
              <w:left w:val="single" w:sz="4" w:space="0" w:color="auto"/>
              <w:bottom w:val="single" w:sz="4" w:space="0" w:color="auto"/>
              <w:right w:val="single" w:sz="4" w:space="0" w:color="auto"/>
            </w:tcBorders>
            <w:hideMark/>
          </w:tcPr>
          <w:p w14:paraId="69C2FD3C" w14:textId="77777777" w:rsidR="00043246" w:rsidRPr="00043246" w:rsidRDefault="00043246" w:rsidP="00A42DAF">
            <w:pPr>
              <w:ind w:left="32"/>
              <w:rPr>
                <w:b/>
                <w:sz w:val="24"/>
                <w:szCs w:val="24"/>
              </w:rPr>
            </w:pPr>
            <w:r w:rsidRPr="00043246">
              <w:rPr>
                <w:b/>
                <w:iCs/>
                <w:sz w:val="24"/>
                <w:szCs w:val="24"/>
              </w:rPr>
              <w:t>Infektioner og parasitære sygdomme</w:t>
            </w:r>
          </w:p>
        </w:tc>
        <w:tc>
          <w:tcPr>
            <w:tcW w:w="2201" w:type="dxa"/>
            <w:tcBorders>
              <w:top w:val="single" w:sz="4" w:space="0" w:color="auto"/>
              <w:left w:val="single" w:sz="4" w:space="0" w:color="auto"/>
              <w:bottom w:val="single" w:sz="4" w:space="0" w:color="auto"/>
              <w:right w:val="single" w:sz="4" w:space="0" w:color="auto"/>
            </w:tcBorders>
            <w:hideMark/>
          </w:tcPr>
          <w:p w14:paraId="7879E174" w14:textId="77777777" w:rsidR="00043246" w:rsidRPr="00043246" w:rsidRDefault="00043246" w:rsidP="00A42DAF">
            <w:pPr>
              <w:ind w:left="12"/>
              <w:rPr>
                <w:b/>
                <w:i/>
                <w:iCs/>
                <w:sz w:val="24"/>
                <w:szCs w:val="24"/>
              </w:rPr>
            </w:pPr>
            <w:r w:rsidRPr="00043246">
              <w:rPr>
                <w:i/>
                <w:sz w:val="24"/>
                <w:szCs w:val="24"/>
              </w:rPr>
              <w:t>Sjælden:</w:t>
            </w:r>
          </w:p>
        </w:tc>
        <w:tc>
          <w:tcPr>
            <w:tcW w:w="3274" w:type="dxa"/>
            <w:tcBorders>
              <w:top w:val="single" w:sz="4" w:space="0" w:color="auto"/>
              <w:left w:val="single" w:sz="4" w:space="0" w:color="auto"/>
              <w:bottom w:val="single" w:sz="4" w:space="0" w:color="auto"/>
              <w:right w:val="single" w:sz="4" w:space="0" w:color="auto"/>
            </w:tcBorders>
            <w:hideMark/>
          </w:tcPr>
          <w:p w14:paraId="76CB063D" w14:textId="77777777" w:rsidR="00043246" w:rsidRPr="00043246" w:rsidRDefault="00043246" w:rsidP="00A42DAF">
            <w:pPr>
              <w:ind w:left="12"/>
              <w:rPr>
                <w:b/>
                <w:i/>
                <w:iCs/>
                <w:sz w:val="24"/>
                <w:szCs w:val="24"/>
              </w:rPr>
            </w:pPr>
            <w:r w:rsidRPr="00043246">
              <w:rPr>
                <w:sz w:val="24"/>
                <w:szCs w:val="24"/>
              </w:rPr>
              <w:t>Herpetisk keratitis</w:t>
            </w:r>
            <w:r w:rsidRPr="00043246">
              <w:rPr>
                <w:sz w:val="24"/>
                <w:szCs w:val="24"/>
                <w:vertAlign w:val="superscript"/>
              </w:rPr>
              <w:t>*§</w:t>
            </w:r>
          </w:p>
        </w:tc>
      </w:tr>
      <w:tr w:rsidR="00043246" w:rsidRPr="00043246" w14:paraId="6DB75C17" w14:textId="77777777" w:rsidTr="00A42DAF">
        <w:tc>
          <w:tcPr>
            <w:tcW w:w="3281" w:type="dxa"/>
            <w:tcBorders>
              <w:top w:val="single" w:sz="4" w:space="0" w:color="auto"/>
              <w:left w:val="single" w:sz="4" w:space="0" w:color="auto"/>
              <w:bottom w:val="single" w:sz="4" w:space="0" w:color="auto"/>
              <w:right w:val="single" w:sz="4" w:space="0" w:color="auto"/>
            </w:tcBorders>
            <w:hideMark/>
          </w:tcPr>
          <w:p w14:paraId="5DF78FAB" w14:textId="77777777" w:rsidR="00043246" w:rsidRPr="00043246" w:rsidRDefault="00043246" w:rsidP="00A42DAF">
            <w:pPr>
              <w:ind w:left="32"/>
              <w:rPr>
                <w:b/>
                <w:iCs/>
                <w:sz w:val="24"/>
                <w:szCs w:val="24"/>
              </w:rPr>
            </w:pPr>
            <w:r w:rsidRPr="00043246">
              <w:rPr>
                <w:b/>
                <w:iCs/>
                <w:sz w:val="24"/>
                <w:szCs w:val="24"/>
              </w:rPr>
              <w:t>Nervesystemet</w:t>
            </w:r>
          </w:p>
        </w:tc>
        <w:tc>
          <w:tcPr>
            <w:tcW w:w="2201" w:type="dxa"/>
            <w:tcBorders>
              <w:top w:val="single" w:sz="4" w:space="0" w:color="auto"/>
              <w:left w:val="single" w:sz="4" w:space="0" w:color="auto"/>
              <w:bottom w:val="single" w:sz="4" w:space="0" w:color="auto"/>
              <w:right w:val="single" w:sz="4" w:space="0" w:color="auto"/>
            </w:tcBorders>
            <w:hideMark/>
          </w:tcPr>
          <w:p w14:paraId="7D4F8442" w14:textId="77777777" w:rsidR="00043246" w:rsidRPr="00043246" w:rsidRDefault="00043246" w:rsidP="00A42DAF">
            <w:pPr>
              <w:ind w:left="12"/>
              <w:rPr>
                <w:i/>
                <w:sz w:val="24"/>
                <w:szCs w:val="24"/>
              </w:rPr>
            </w:pPr>
            <w:r w:rsidRPr="00043246">
              <w:rPr>
                <w:i/>
                <w:sz w:val="24"/>
                <w:szCs w:val="24"/>
              </w:rPr>
              <w:t>Ikke almindelig:</w:t>
            </w:r>
          </w:p>
        </w:tc>
        <w:tc>
          <w:tcPr>
            <w:tcW w:w="3274" w:type="dxa"/>
            <w:tcBorders>
              <w:top w:val="single" w:sz="4" w:space="0" w:color="auto"/>
              <w:left w:val="single" w:sz="4" w:space="0" w:color="auto"/>
              <w:bottom w:val="single" w:sz="4" w:space="0" w:color="auto"/>
              <w:right w:val="single" w:sz="4" w:space="0" w:color="auto"/>
            </w:tcBorders>
            <w:hideMark/>
          </w:tcPr>
          <w:p w14:paraId="6E91E2D1" w14:textId="77777777" w:rsidR="00043246" w:rsidRPr="00043246" w:rsidRDefault="00043246" w:rsidP="00A42DAF">
            <w:pPr>
              <w:ind w:left="12"/>
              <w:rPr>
                <w:i/>
                <w:sz w:val="24"/>
                <w:szCs w:val="24"/>
              </w:rPr>
            </w:pPr>
            <w:r w:rsidRPr="00043246">
              <w:rPr>
                <w:sz w:val="24"/>
                <w:szCs w:val="24"/>
              </w:rPr>
              <w:t>Hovedpine</w:t>
            </w:r>
            <w:r w:rsidRPr="00043246">
              <w:rPr>
                <w:sz w:val="24"/>
                <w:szCs w:val="24"/>
                <w:vertAlign w:val="superscript"/>
              </w:rPr>
              <w:t>*</w:t>
            </w:r>
            <w:r w:rsidRPr="00043246">
              <w:rPr>
                <w:sz w:val="24"/>
                <w:szCs w:val="24"/>
              </w:rPr>
              <w:t>, svimmelhed</w:t>
            </w:r>
            <w:r w:rsidRPr="00043246">
              <w:rPr>
                <w:sz w:val="24"/>
                <w:szCs w:val="24"/>
                <w:vertAlign w:val="superscript"/>
              </w:rPr>
              <w:t>*</w:t>
            </w:r>
          </w:p>
        </w:tc>
      </w:tr>
      <w:tr w:rsidR="00043246" w:rsidRPr="00043246" w14:paraId="07728527" w14:textId="77777777" w:rsidTr="00A42DAF">
        <w:tc>
          <w:tcPr>
            <w:tcW w:w="3281" w:type="dxa"/>
            <w:vMerge w:val="restart"/>
            <w:tcBorders>
              <w:top w:val="single" w:sz="4" w:space="0" w:color="auto"/>
              <w:left w:val="single" w:sz="4" w:space="0" w:color="auto"/>
              <w:bottom w:val="single" w:sz="4" w:space="0" w:color="auto"/>
              <w:right w:val="single" w:sz="4" w:space="0" w:color="auto"/>
            </w:tcBorders>
            <w:hideMark/>
          </w:tcPr>
          <w:p w14:paraId="2E54DB6A" w14:textId="77777777" w:rsidR="00043246" w:rsidRPr="00043246" w:rsidRDefault="00043246" w:rsidP="00A42DAF">
            <w:pPr>
              <w:ind w:left="32"/>
              <w:rPr>
                <w:b/>
                <w:iCs/>
                <w:sz w:val="24"/>
                <w:szCs w:val="24"/>
              </w:rPr>
            </w:pPr>
            <w:r w:rsidRPr="00043246">
              <w:rPr>
                <w:b/>
                <w:iCs/>
                <w:sz w:val="24"/>
                <w:szCs w:val="24"/>
              </w:rPr>
              <w:t>Øjne</w:t>
            </w:r>
          </w:p>
        </w:tc>
        <w:tc>
          <w:tcPr>
            <w:tcW w:w="2201" w:type="dxa"/>
            <w:tcBorders>
              <w:top w:val="single" w:sz="4" w:space="0" w:color="auto"/>
              <w:left w:val="single" w:sz="4" w:space="0" w:color="auto"/>
              <w:bottom w:val="single" w:sz="4" w:space="0" w:color="auto"/>
              <w:right w:val="single" w:sz="4" w:space="0" w:color="auto"/>
            </w:tcBorders>
          </w:tcPr>
          <w:p w14:paraId="08722B22" w14:textId="77777777" w:rsidR="00043246" w:rsidRPr="00043246" w:rsidRDefault="00043246" w:rsidP="00A42DAF">
            <w:pPr>
              <w:ind w:left="12"/>
              <w:rPr>
                <w:i/>
                <w:sz w:val="24"/>
                <w:szCs w:val="24"/>
              </w:rPr>
            </w:pPr>
            <w:r w:rsidRPr="00043246">
              <w:rPr>
                <w:i/>
                <w:sz w:val="24"/>
                <w:szCs w:val="24"/>
              </w:rPr>
              <w:t>Meget almindelig:</w:t>
            </w:r>
          </w:p>
          <w:p w14:paraId="1EED5E9E" w14:textId="77777777" w:rsidR="00043246" w:rsidRPr="00043246" w:rsidRDefault="00043246" w:rsidP="00A42DAF">
            <w:pPr>
              <w:ind w:left="12"/>
              <w:rPr>
                <w:i/>
                <w:sz w:val="24"/>
                <w:szCs w:val="24"/>
              </w:rPr>
            </w:pPr>
          </w:p>
        </w:tc>
        <w:tc>
          <w:tcPr>
            <w:tcW w:w="3274" w:type="dxa"/>
            <w:tcBorders>
              <w:top w:val="single" w:sz="4" w:space="0" w:color="auto"/>
              <w:left w:val="single" w:sz="4" w:space="0" w:color="auto"/>
              <w:bottom w:val="single" w:sz="4" w:space="0" w:color="auto"/>
              <w:right w:val="single" w:sz="4" w:space="0" w:color="auto"/>
            </w:tcBorders>
            <w:hideMark/>
          </w:tcPr>
          <w:p w14:paraId="13538DC5" w14:textId="77777777" w:rsidR="00043246" w:rsidRPr="00043246" w:rsidRDefault="00043246" w:rsidP="00A42DAF">
            <w:pPr>
              <w:ind w:left="12"/>
              <w:rPr>
                <w:sz w:val="24"/>
                <w:szCs w:val="24"/>
              </w:rPr>
            </w:pPr>
            <w:r w:rsidRPr="00043246">
              <w:rPr>
                <w:sz w:val="24"/>
                <w:szCs w:val="24"/>
              </w:rPr>
              <w:t>Irishyperpigmentering, let til moderat konjunktival hyperæmi, øjenirritation (brændende fornemmelse, kløe, svie og fornemmelse af fremmedlegeme), ændring af øjenvipper og vellushår på øjenlågene (øget længde, tykkelse, pigmentering og antal af øjenvipper)</w:t>
            </w:r>
          </w:p>
        </w:tc>
      </w:tr>
      <w:tr w:rsidR="00043246" w:rsidRPr="00043246" w14:paraId="3A664255" w14:textId="77777777" w:rsidTr="00A42DAF">
        <w:tc>
          <w:tcPr>
            <w:tcW w:w="0" w:type="auto"/>
            <w:vMerge/>
            <w:tcBorders>
              <w:top w:val="single" w:sz="4" w:space="0" w:color="auto"/>
              <w:left w:val="single" w:sz="4" w:space="0" w:color="auto"/>
              <w:bottom w:val="single" w:sz="4" w:space="0" w:color="auto"/>
              <w:right w:val="single" w:sz="4" w:space="0" w:color="auto"/>
            </w:tcBorders>
            <w:vAlign w:val="center"/>
            <w:hideMark/>
          </w:tcPr>
          <w:p w14:paraId="4F6AE0B0" w14:textId="77777777" w:rsidR="00043246" w:rsidRPr="00043246" w:rsidRDefault="00043246" w:rsidP="00A42DAF">
            <w:pPr>
              <w:ind w:left="32"/>
              <w:rPr>
                <w:b/>
                <w:iCs/>
                <w:sz w:val="24"/>
                <w:szCs w:val="24"/>
              </w:rPr>
            </w:pPr>
          </w:p>
        </w:tc>
        <w:tc>
          <w:tcPr>
            <w:tcW w:w="2201" w:type="dxa"/>
            <w:tcBorders>
              <w:top w:val="single" w:sz="4" w:space="0" w:color="auto"/>
              <w:left w:val="single" w:sz="4" w:space="0" w:color="auto"/>
              <w:bottom w:val="single" w:sz="4" w:space="0" w:color="auto"/>
              <w:right w:val="single" w:sz="4" w:space="0" w:color="auto"/>
            </w:tcBorders>
          </w:tcPr>
          <w:p w14:paraId="523AB0A1" w14:textId="77777777" w:rsidR="00043246" w:rsidRPr="00043246" w:rsidRDefault="00043246" w:rsidP="00A42DAF">
            <w:pPr>
              <w:ind w:left="12"/>
              <w:rPr>
                <w:i/>
                <w:sz w:val="24"/>
                <w:szCs w:val="24"/>
              </w:rPr>
            </w:pPr>
            <w:r w:rsidRPr="00043246">
              <w:rPr>
                <w:i/>
                <w:sz w:val="24"/>
                <w:szCs w:val="24"/>
              </w:rPr>
              <w:t>Almindelig:</w:t>
            </w:r>
          </w:p>
          <w:p w14:paraId="3096F186" w14:textId="77777777" w:rsidR="00043246" w:rsidRPr="00043246" w:rsidRDefault="00043246" w:rsidP="00A42DAF">
            <w:pPr>
              <w:ind w:left="12"/>
              <w:rPr>
                <w:b/>
                <w:i/>
                <w:iCs/>
                <w:sz w:val="24"/>
                <w:szCs w:val="24"/>
              </w:rPr>
            </w:pPr>
          </w:p>
        </w:tc>
        <w:tc>
          <w:tcPr>
            <w:tcW w:w="3274" w:type="dxa"/>
            <w:tcBorders>
              <w:top w:val="single" w:sz="4" w:space="0" w:color="auto"/>
              <w:left w:val="single" w:sz="4" w:space="0" w:color="auto"/>
              <w:bottom w:val="single" w:sz="4" w:space="0" w:color="auto"/>
              <w:right w:val="single" w:sz="4" w:space="0" w:color="auto"/>
            </w:tcBorders>
            <w:hideMark/>
          </w:tcPr>
          <w:p w14:paraId="29BC5DC6" w14:textId="77777777" w:rsidR="00043246" w:rsidRPr="00043246" w:rsidRDefault="00043246" w:rsidP="00A42DAF">
            <w:pPr>
              <w:ind w:left="12"/>
              <w:rPr>
                <w:b/>
                <w:i/>
                <w:iCs/>
                <w:sz w:val="24"/>
                <w:szCs w:val="24"/>
              </w:rPr>
            </w:pPr>
            <w:r w:rsidRPr="00043246">
              <w:rPr>
                <w:sz w:val="24"/>
                <w:szCs w:val="24"/>
              </w:rPr>
              <w:t>Punktformet keratitis, oftest uden symptomer, blefaritis, øjensmerter, fotofobi, konjunktivitis*</w:t>
            </w:r>
          </w:p>
        </w:tc>
      </w:tr>
      <w:tr w:rsidR="00043246" w:rsidRPr="00043246" w14:paraId="5E6046E9" w14:textId="77777777" w:rsidTr="00A42DAF">
        <w:tc>
          <w:tcPr>
            <w:tcW w:w="0" w:type="auto"/>
            <w:vMerge/>
            <w:tcBorders>
              <w:top w:val="single" w:sz="4" w:space="0" w:color="auto"/>
              <w:left w:val="single" w:sz="4" w:space="0" w:color="auto"/>
              <w:bottom w:val="single" w:sz="4" w:space="0" w:color="auto"/>
              <w:right w:val="single" w:sz="4" w:space="0" w:color="auto"/>
            </w:tcBorders>
            <w:vAlign w:val="center"/>
            <w:hideMark/>
          </w:tcPr>
          <w:p w14:paraId="000B82B6" w14:textId="77777777" w:rsidR="00043246" w:rsidRPr="00043246" w:rsidRDefault="00043246" w:rsidP="00A42DAF">
            <w:pPr>
              <w:ind w:left="32"/>
              <w:rPr>
                <w:b/>
                <w:iCs/>
                <w:sz w:val="24"/>
                <w:szCs w:val="24"/>
              </w:rPr>
            </w:pPr>
          </w:p>
        </w:tc>
        <w:tc>
          <w:tcPr>
            <w:tcW w:w="2201" w:type="dxa"/>
            <w:tcBorders>
              <w:top w:val="single" w:sz="4" w:space="0" w:color="auto"/>
              <w:left w:val="single" w:sz="4" w:space="0" w:color="auto"/>
              <w:bottom w:val="single" w:sz="4" w:space="0" w:color="auto"/>
              <w:right w:val="single" w:sz="4" w:space="0" w:color="auto"/>
            </w:tcBorders>
            <w:hideMark/>
          </w:tcPr>
          <w:p w14:paraId="54A22CB3" w14:textId="77777777" w:rsidR="00043246" w:rsidRPr="00043246" w:rsidRDefault="00043246" w:rsidP="00A42DAF">
            <w:pPr>
              <w:ind w:left="12"/>
              <w:rPr>
                <w:b/>
                <w:i/>
                <w:iCs/>
                <w:sz w:val="24"/>
                <w:szCs w:val="24"/>
              </w:rPr>
            </w:pPr>
            <w:r w:rsidRPr="00043246">
              <w:rPr>
                <w:i/>
                <w:sz w:val="24"/>
                <w:szCs w:val="24"/>
              </w:rPr>
              <w:t>Ikke almindelig:</w:t>
            </w:r>
          </w:p>
        </w:tc>
        <w:tc>
          <w:tcPr>
            <w:tcW w:w="3274" w:type="dxa"/>
            <w:tcBorders>
              <w:top w:val="single" w:sz="4" w:space="0" w:color="auto"/>
              <w:left w:val="single" w:sz="4" w:space="0" w:color="auto"/>
              <w:bottom w:val="single" w:sz="4" w:space="0" w:color="auto"/>
              <w:right w:val="single" w:sz="4" w:space="0" w:color="auto"/>
            </w:tcBorders>
            <w:hideMark/>
          </w:tcPr>
          <w:p w14:paraId="6C99ABCA" w14:textId="77777777" w:rsidR="00043246" w:rsidRPr="00043246" w:rsidRDefault="00043246" w:rsidP="00A42DAF">
            <w:pPr>
              <w:ind w:left="12"/>
              <w:rPr>
                <w:b/>
                <w:i/>
                <w:iCs/>
                <w:sz w:val="24"/>
                <w:szCs w:val="24"/>
              </w:rPr>
            </w:pPr>
            <w:r w:rsidRPr="00043246">
              <w:rPr>
                <w:sz w:val="24"/>
                <w:szCs w:val="24"/>
              </w:rPr>
              <w:t>Øjenlågsødem, tørre øjne, keratitis</w:t>
            </w:r>
            <w:r w:rsidRPr="00043246">
              <w:rPr>
                <w:sz w:val="24"/>
                <w:szCs w:val="24"/>
                <w:vertAlign w:val="superscript"/>
              </w:rPr>
              <w:t>*</w:t>
            </w:r>
            <w:r w:rsidRPr="00043246">
              <w:rPr>
                <w:sz w:val="24"/>
                <w:szCs w:val="24"/>
              </w:rPr>
              <w:t>, sløret syn, makulaødem, herunder cystoidt makulært ødem</w:t>
            </w:r>
            <w:r w:rsidRPr="00043246">
              <w:rPr>
                <w:sz w:val="24"/>
                <w:szCs w:val="24"/>
                <w:vertAlign w:val="superscript"/>
              </w:rPr>
              <w:t>*</w:t>
            </w:r>
            <w:r w:rsidRPr="00043246">
              <w:rPr>
                <w:sz w:val="24"/>
                <w:szCs w:val="24"/>
              </w:rPr>
              <w:t>, uveitis</w:t>
            </w:r>
            <w:r w:rsidRPr="00043246">
              <w:rPr>
                <w:sz w:val="24"/>
                <w:szCs w:val="24"/>
                <w:vertAlign w:val="superscript"/>
              </w:rPr>
              <w:t>*</w:t>
            </w:r>
          </w:p>
        </w:tc>
      </w:tr>
      <w:tr w:rsidR="00043246" w:rsidRPr="00043246" w14:paraId="02DF742A" w14:textId="77777777" w:rsidTr="00A42DAF">
        <w:tc>
          <w:tcPr>
            <w:tcW w:w="0" w:type="auto"/>
            <w:vMerge/>
            <w:tcBorders>
              <w:top w:val="single" w:sz="4" w:space="0" w:color="auto"/>
              <w:left w:val="single" w:sz="4" w:space="0" w:color="auto"/>
              <w:bottom w:val="single" w:sz="4" w:space="0" w:color="auto"/>
              <w:right w:val="single" w:sz="4" w:space="0" w:color="auto"/>
            </w:tcBorders>
            <w:vAlign w:val="center"/>
            <w:hideMark/>
          </w:tcPr>
          <w:p w14:paraId="2E8D5374" w14:textId="77777777" w:rsidR="00043246" w:rsidRPr="00043246" w:rsidRDefault="00043246" w:rsidP="00A42DAF">
            <w:pPr>
              <w:ind w:left="32"/>
              <w:rPr>
                <w:b/>
                <w:iCs/>
                <w:sz w:val="24"/>
                <w:szCs w:val="24"/>
              </w:rPr>
            </w:pPr>
          </w:p>
        </w:tc>
        <w:tc>
          <w:tcPr>
            <w:tcW w:w="2201" w:type="dxa"/>
            <w:tcBorders>
              <w:top w:val="single" w:sz="4" w:space="0" w:color="auto"/>
              <w:left w:val="single" w:sz="4" w:space="0" w:color="auto"/>
              <w:bottom w:val="single" w:sz="4" w:space="0" w:color="auto"/>
              <w:right w:val="single" w:sz="4" w:space="0" w:color="auto"/>
            </w:tcBorders>
          </w:tcPr>
          <w:p w14:paraId="7EC757D0" w14:textId="77777777" w:rsidR="00043246" w:rsidRPr="00043246" w:rsidRDefault="00043246" w:rsidP="00A42DAF">
            <w:pPr>
              <w:ind w:left="12"/>
              <w:rPr>
                <w:i/>
                <w:sz w:val="24"/>
                <w:szCs w:val="24"/>
              </w:rPr>
            </w:pPr>
            <w:r w:rsidRPr="00043246">
              <w:rPr>
                <w:i/>
                <w:sz w:val="24"/>
                <w:szCs w:val="24"/>
              </w:rPr>
              <w:t>Sjælden:</w:t>
            </w:r>
          </w:p>
          <w:p w14:paraId="4080BC20" w14:textId="77777777" w:rsidR="00043246" w:rsidRPr="00043246" w:rsidRDefault="00043246" w:rsidP="00A42DAF">
            <w:pPr>
              <w:ind w:left="12"/>
              <w:rPr>
                <w:b/>
                <w:i/>
                <w:iCs/>
                <w:sz w:val="24"/>
                <w:szCs w:val="24"/>
              </w:rPr>
            </w:pPr>
          </w:p>
        </w:tc>
        <w:tc>
          <w:tcPr>
            <w:tcW w:w="3274" w:type="dxa"/>
            <w:tcBorders>
              <w:top w:val="single" w:sz="4" w:space="0" w:color="auto"/>
              <w:left w:val="single" w:sz="4" w:space="0" w:color="auto"/>
              <w:bottom w:val="single" w:sz="4" w:space="0" w:color="auto"/>
              <w:right w:val="single" w:sz="4" w:space="0" w:color="auto"/>
            </w:tcBorders>
            <w:hideMark/>
          </w:tcPr>
          <w:p w14:paraId="25BDF151" w14:textId="77777777" w:rsidR="00043246" w:rsidRPr="00043246" w:rsidRDefault="00043246" w:rsidP="00A42DAF">
            <w:pPr>
              <w:ind w:left="12"/>
              <w:rPr>
                <w:sz w:val="24"/>
                <w:szCs w:val="24"/>
              </w:rPr>
            </w:pPr>
            <w:r w:rsidRPr="00043246">
              <w:rPr>
                <w:sz w:val="24"/>
                <w:szCs w:val="24"/>
              </w:rPr>
              <w:t>Iritis</w:t>
            </w:r>
            <w:r w:rsidRPr="00043246">
              <w:rPr>
                <w:sz w:val="24"/>
                <w:szCs w:val="24"/>
                <w:vertAlign w:val="superscript"/>
              </w:rPr>
              <w:t>*</w:t>
            </w:r>
            <w:r w:rsidRPr="00043246">
              <w:rPr>
                <w:sz w:val="24"/>
                <w:szCs w:val="24"/>
              </w:rPr>
              <w:t>, corneaødem</w:t>
            </w:r>
            <w:r w:rsidRPr="00043246">
              <w:rPr>
                <w:sz w:val="24"/>
                <w:szCs w:val="24"/>
                <w:vertAlign w:val="superscript"/>
              </w:rPr>
              <w:t>*</w:t>
            </w:r>
            <w:r w:rsidRPr="00043246">
              <w:rPr>
                <w:sz w:val="24"/>
                <w:szCs w:val="24"/>
              </w:rPr>
              <w:t>, cornealerosion, periorbitalt ødem, trichiasis</w:t>
            </w:r>
            <w:r w:rsidRPr="00043246">
              <w:rPr>
                <w:sz w:val="24"/>
                <w:szCs w:val="24"/>
                <w:vertAlign w:val="superscript"/>
              </w:rPr>
              <w:t>*</w:t>
            </w:r>
            <w:r w:rsidRPr="00043246">
              <w:rPr>
                <w:sz w:val="24"/>
                <w:szCs w:val="24"/>
              </w:rPr>
              <w:t>, distichiasis, iriscyste</w:t>
            </w:r>
            <w:r w:rsidRPr="00043246">
              <w:rPr>
                <w:sz w:val="24"/>
                <w:szCs w:val="24"/>
                <w:vertAlign w:val="superscript"/>
              </w:rPr>
              <w:t>*§</w:t>
            </w:r>
            <w:r w:rsidRPr="00043246">
              <w:rPr>
                <w:sz w:val="24"/>
                <w:szCs w:val="24"/>
              </w:rPr>
              <w:t>, lokaliseret hudreaktion på øjenlågene, mørkfarvning af øjenlågenes palpebrale hud, pseudopemfigoid i den okulære konjunktiva</w:t>
            </w:r>
            <w:r w:rsidRPr="00043246">
              <w:rPr>
                <w:sz w:val="24"/>
                <w:szCs w:val="24"/>
                <w:vertAlign w:val="superscript"/>
              </w:rPr>
              <w:t>*§</w:t>
            </w:r>
          </w:p>
        </w:tc>
      </w:tr>
      <w:tr w:rsidR="00043246" w:rsidRPr="00043246" w14:paraId="3EAAC8FE" w14:textId="77777777" w:rsidTr="00A42DAF">
        <w:trPr>
          <w:trHeight w:val="7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782A86" w14:textId="77777777" w:rsidR="00043246" w:rsidRPr="00043246" w:rsidRDefault="00043246" w:rsidP="00A42DAF">
            <w:pPr>
              <w:ind w:left="32"/>
              <w:rPr>
                <w:b/>
                <w:iCs/>
                <w:sz w:val="24"/>
                <w:szCs w:val="24"/>
              </w:rPr>
            </w:pPr>
          </w:p>
        </w:tc>
        <w:tc>
          <w:tcPr>
            <w:tcW w:w="2201" w:type="dxa"/>
            <w:tcBorders>
              <w:top w:val="single" w:sz="4" w:space="0" w:color="auto"/>
              <w:left w:val="single" w:sz="4" w:space="0" w:color="auto"/>
              <w:bottom w:val="single" w:sz="4" w:space="0" w:color="auto"/>
              <w:right w:val="single" w:sz="4" w:space="0" w:color="auto"/>
            </w:tcBorders>
          </w:tcPr>
          <w:p w14:paraId="0A044A86" w14:textId="77777777" w:rsidR="00043246" w:rsidRPr="00043246" w:rsidRDefault="00043246" w:rsidP="00A42DAF">
            <w:pPr>
              <w:ind w:left="12"/>
              <w:rPr>
                <w:i/>
                <w:sz w:val="24"/>
                <w:szCs w:val="24"/>
              </w:rPr>
            </w:pPr>
            <w:r w:rsidRPr="00043246">
              <w:rPr>
                <w:i/>
                <w:sz w:val="24"/>
                <w:szCs w:val="24"/>
              </w:rPr>
              <w:t>Meget sjælden:</w:t>
            </w:r>
          </w:p>
          <w:p w14:paraId="61ABBA1D" w14:textId="77777777" w:rsidR="00043246" w:rsidRPr="00043246" w:rsidRDefault="00043246" w:rsidP="00A42DAF">
            <w:pPr>
              <w:ind w:left="12"/>
              <w:rPr>
                <w:i/>
                <w:sz w:val="24"/>
                <w:szCs w:val="24"/>
              </w:rPr>
            </w:pPr>
          </w:p>
        </w:tc>
        <w:tc>
          <w:tcPr>
            <w:tcW w:w="3274" w:type="dxa"/>
            <w:tcBorders>
              <w:top w:val="single" w:sz="4" w:space="0" w:color="auto"/>
              <w:left w:val="single" w:sz="4" w:space="0" w:color="auto"/>
              <w:bottom w:val="single" w:sz="4" w:space="0" w:color="auto"/>
              <w:right w:val="single" w:sz="4" w:space="0" w:color="auto"/>
            </w:tcBorders>
            <w:hideMark/>
          </w:tcPr>
          <w:p w14:paraId="140FD6A9" w14:textId="77777777" w:rsidR="00043246" w:rsidRPr="00043246" w:rsidRDefault="00043246" w:rsidP="00A42DAF">
            <w:pPr>
              <w:ind w:left="12"/>
              <w:rPr>
                <w:sz w:val="24"/>
                <w:szCs w:val="24"/>
              </w:rPr>
            </w:pPr>
            <w:r w:rsidRPr="00043246">
              <w:rPr>
                <w:sz w:val="24"/>
                <w:szCs w:val="24"/>
              </w:rPr>
              <w:t>Periorbitale og palpebrale ændringer med resulterende fordybning af øjenlågsfuren</w:t>
            </w:r>
          </w:p>
        </w:tc>
      </w:tr>
      <w:tr w:rsidR="00043246" w:rsidRPr="00043246" w14:paraId="46925B4F" w14:textId="77777777" w:rsidTr="00A42DAF">
        <w:tc>
          <w:tcPr>
            <w:tcW w:w="3281" w:type="dxa"/>
            <w:vMerge w:val="restart"/>
            <w:tcBorders>
              <w:top w:val="single" w:sz="4" w:space="0" w:color="auto"/>
              <w:left w:val="single" w:sz="4" w:space="0" w:color="auto"/>
              <w:bottom w:val="single" w:sz="4" w:space="0" w:color="auto"/>
              <w:right w:val="single" w:sz="4" w:space="0" w:color="auto"/>
            </w:tcBorders>
          </w:tcPr>
          <w:p w14:paraId="38ED8992" w14:textId="77777777" w:rsidR="00043246" w:rsidRPr="00043246" w:rsidRDefault="00043246" w:rsidP="00A42DAF">
            <w:pPr>
              <w:ind w:left="32"/>
              <w:rPr>
                <w:sz w:val="24"/>
                <w:szCs w:val="24"/>
              </w:rPr>
            </w:pPr>
            <w:r w:rsidRPr="00043246">
              <w:rPr>
                <w:b/>
                <w:iCs/>
                <w:sz w:val="24"/>
                <w:szCs w:val="24"/>
              </w:rPr>
              <w:t>Hjerte</w:t>
            </w:r>
          </w:p>
          <w:p w14:paraId="0BC382F4" w14:textId="77777777" w:rsidR="00043246" w:rsidRPr="00043246" w:rsidRDefault="00043246" w:rsidP="00A42DAF">
            <w:pPr>
              <w:ind w:left="32"/>
              <w:rPr>
                <w:sz w:val="24"/>
                <w:szCs w:val="24"/>
              </w:rPr>
            </w:pPr>
          </w:p>
        </w:tc>
        <w:tc>
          <w:tcPr>
            <w:tcW w:w="2201" w:type="dxa"/>
            <w:tcBorders>
              <w:top w:val="single" w:sz="4" w:space="0" w:color="auto"/>
              <w:left w:val="single" w:sz="4" w:space="0" w:color="auto"/>
              <w:bottom w:val="single" w:sz="4" w:space="0" w:color="auto"/>
              <w:right w:val="single" w:sz="4" w:space="0" w:color="auto"/>
            </w:tcBorders>
            <w:hideMark/>
          </w:tcPr>
          <w:p w14:paraId="6683871B" w14:textId="77777777" w:rsidR="00043246" w:rsidRPr="00043246" w:rsidRDefault="00043246" w:rsidP="00A42DAF">
            <w:pPr>
              <w:ind w:left="12"/>
              <w:rPr>
                <w:i/>
                <w:sz w:val="24"/>
                <w:szCs w:val="24"/>
              </w:rPr>
            </w:pPr>
            <w:r w:rsidRPr="00043246">
              <w:rPr>
                <w:i/>
                <w:sz w:val="24"/>
                <w:szCs w:val="24"/>
              </w:rPr>
              <w:t>Ikke almindelig:</w:t>
            </w:r>
          </w:p>
        </w:tc>
        <w:tc>
          <w:tcPr>
            <w:tcW w:w="3274" w:type="dxa"/>
            <w:tcBorders>
              <w:top w:val="single" w:sz="4" w:space="0" w:color="auto"/>
              <w:left w:val="single" w:sz="4" w:space="0" w:color="auto"/>
              <w:bottom w:val="single" w:sz="4" w:space="0" w:color="auto"/>
              <w:right w:val="single" w:sz="4" w:space="0" w:color="auto"/>
            </w:tcBorders>
            <w:hideMark/>
          </w:tcPr>
          <w:p w14:paraId="5EE3070D" w14:textId="77777777" w:rsidR="00043246" w:rsidRPr="00043246" w:rsidRDefault="00043246" w:rsidP="00A42DAF">
            <w:pPr>
              <w:ind w:left="12"/>
              <w:rPr>
                <w:sz w:val="24"/>
                <w:szCs w:val="24"/>
              </w:rPr>
            </w:pPr>
            <w:r w:rsidRPr="00043246">
              <w:rPr>
                <w:sz w:val="24"/>
                <w:szCs w:val="24"/>
              </w:rPr>
              <w:t xml:space="preserve">Angina, palpitationer* </w:t>
            </w:r>
          </w:p>
        </w:tc>
      </w:tr>
      <w:tr w:rsidR="00043246" w:rsidRPr="00043246" w14:paraId="51472066" w14:textId="77777777" w:rsidTr="00A42DAF">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5BA84" w14:textId="77777777" w:rsidR="00043246" w:rsidRPr="00043246" w:rsidRDefault="00043246" w:rsidP="00A42DAF">
            <w:pPr>
              <w:ind w:left="32"/>
              <w:rPr>
                <w:sz w:val="24"/>
                <w:szCs w:val="24"/>
              </w:rPr>
            </w:pPr>
          </w:p>
        </w:tc>
        <w:tc>
          <w:tcPr>
            <w:tcW w:w="2201" w:type="dxa"/>
            <w:tcBorders>
              <w:top w:val="single" w:sz="4" w:space="0" w:color="auto"/>
              <w:left w:val="single" w:sz="4" w:space="0" w:color="auto"/>
              <w:bottom w:val="single" w:sz="4" w:space="0" w:color="auto"/>
              <w:right w:val="single" w:sz="4" w:space="0" w:color="auto"/>
            </w:tcBorders>
          </w:tcPr>
          <w:p w14:paraId="77914B77" w14:textId="77777777" w:rsidR="00043246" w:rsidRPr="00043246" w:rsidRDefault="00043246" w:rsidP="00A42DAF">
            <w:pPr>
              <w:ind w:left="12"/>
              <w:rPr>
                <w:i/>
                <w:sz w:val="24"/>
                <w:szCs w:val="24"/>
              </w:rPr>
            </w:pPr>
            <w:r w:rsidRPr="00043246">
              <w:rPr>
                <w:i/>
                <w:sz w:val="24"/>
                <w:szCs w:val="24"/>
              </w:rPr>
              <w:t>Meget sjælden:</w:t>
            </w:r>
          </w:p>
          <w:p w14:paraId="1C091BA1" w14:textId="77777777" w:rsidR="00043246" w:rsidRPr="00043246" w:rsidRDefault="00043246" w:rsidP="00A42DAF">
            <w:pPr>
              <w:ind w:left="12"/>
              <w:rPr>
                <w:i/>
                <w:sz w:val="24"/>
                <w:szCs w:val="24"/>
              </w:rPr>
            </w:pPr>
          </w:p>
        </w:tc>
        <w:tc>
          <w:tcPr>
            <w:tcW w:w="3274" w:type="dxa"/>
            <w:tcBorders>
              <w:top w:val="single" w:sz="4" w:space="0" w:color="auto"/>
              <w:left w:val="single" w:sz="4" w:space="0" w:color="auto"/>
              <w:bottom w:val="single" w:sz="4" w:space="0" w:color="auto"/>
              <w:right w:val="single" w:sz="4" w:space="0" w:color="auto"/>
            </w:tcBorders>
            <w:hideMark/>
          </w:tcPr>
          <w:p w14:paraId="2475ABA8" w14:textId="77777777" w:rsidR="00043246" w:rsidRPr="00043246" w:rsidRDefault="00043246" w:rsidP="00A42DAF">
            <w:pPr>
              <w:ind w:left="12"/>
              <w:rPr>
                <w:sz w:val="24"/>
                <w:szCs w:val="24"/>
              </w:rPr>
            </w:pPr>
            <w:r w:rsidRPr="00043246">
              <w:rPr>
                <w:sz w:val="24"/>
                <w:szCs w:val="24"/>
              </w:rPr>
              <w:t>Ustabil angina</w:t>
            </w:r>
          </w:p>
        </w:tc>
      </w:tr>
      <w:tr w:rsidR="00043246" w:rsidRPr="00043246" w14:paraId="4B2988D2" w14:textId="77777777" w:rsidTr="00A42DAF">
        <w:tc>
          <w:tcPr>
            <w:tcW w:w="3281" w:type="dxa"/>
            <w:vMerge w:val="restart"/>
            <w:tcBorders>
              <w:top w:val="single" w:sz="4" w:space="0" w:color="auto"/>
              <w:left w:val="single" w:sz="4" w:space="0" w:color="auto"/>
              <w:bottom w:val="single" w:sz="4" w:space="0" w:color="auto"/>
              <w:right w:val="single" w:sz="4" w:space="0" w:color="auto"/>
            </w:tcBorders>
            <w:hideMark/>
          </w:tcPr>
          <w:p w14:paraId="30B2D720" w14:textId="77777777" w:rsidR="00043246" w:rsidRPr="00043246" w:rsidRDefault="00043246" w:rsidP="00A42DAF">
            <w:pPr>
              <w:ind w:left="32"/>
              <w:rPr>
                <w:b/>
                <w:iCs/>
                <w:sz w:val="24"/>
                <w:szCs w:val="24"/>
              </w:rPr>
            </w:pPr>
            <w:r w:rsidRPr="00043246">
              <w:rPr>
                <w:b/>
                <w:bCs/>
                <w:sz w:val="24"/>
                <w:szCs w:val="24"/>
              </w:rPr>
              <w:lastRenderedPageBreak/>
              <w:t>Luftveje, thorax og mediastinum</w:t>
            </w:r>
            <w:r w:rsidRPr="00043246">
              <w:rPr>
                <w:b/>
                <w:bCs/>
                <w:iCs/>
                <w:sz w:val="24"/>
                <w:szCs w:val="24"/>
              </w:rPr>
              <w:t xml:space="preserve"> </w:t>
            </w:r>
          </w:p>
        </w:tc>
        <w:tc>
          <w:tcPr>
            <w:tcW w:w="2201" w:type="dxa"/>
            <w:tcBorders>
              <w:top w:val="single" w:sz="4" w:space="0" w:color="auto"/>
              <w:left w:val="single" w:sz="4" w:space="0" w:color="auto"/>
              <w:bottom w:val="single" w:sz="4" w:space="0" w:color="auto"/>
              <w:right w:val="single" w:sz="4" w:space="0" w:color="auto"/>
            </w:tcBorders>
            <w:hideMark/>
          </w:tcPr>
          <w:p w14:paraId="57F3B9F2" w14:textId="77777777" w:rsidR="00043246" w:rsidRPr="00043246" w:rsidRDefault="00043246" w:rsidP="00A42DAF">
            <w:pPr>
              <w:ind w:left="12"/>
              <w:rPr>
                <w:i/>
                <w:sz w:val="24"/>
                <w:szCs w:val="24"/>
              </w:rPr>
            </w:pPr>
            <w:r w:rsidRPr="00043246">
              <w:rPr>
                <w:i/>
                <w:sz w:val="24"/>
                <w:szCs w:val="24"/>
              </w:rPr>
              <w:t xml:space="preserve">Ikke almindelig: </w:t>
            </w:r>
          </w:p>
        </w:tc>
        <w:tc>
          <w:tcPr>
            <w:tcW w:w="3274" w:type="dxa"/>
            <w:tcBorders>
              <w:top w:val="single" w:sz="4" w:space="0" w:color="auto"/>
              <w:left w:val="single" w:sz="4" w:space="0" w:color="auto"/>
              <w:bottom w:val="single" w:sz="4" w:space="0" w:color="auto"/>
              <w:right w:val="single" w:sz="4" w:space="0" w:color="auto"/>
            </w:tcBorders>
            <w:hideMark/>
          </w:tcPr>
          <w:p w14:paraId="3C315227" w14:textId="77777777" w:rsidR="00043246" w:rsidRPr="00043246" w:rsidRDefault="00043246" w:rsidP="00A42DAF">
            <w:pPr>
              <w:ind w:left="12"/>
              <w:rPr>
                <w:sz w:val="24"/>
                <w:szCs w:val="24"/>
              </w:rPr>
            </w:pPr>
            <w:r w:rsidRPr="00043246">
              <w:rPr>
                <w:sz w:val="24"/>
                <w:szCs w:val="24"/>
              </w:rPr>
              <w:t>Astma</w:t>
            </w:r>
            <w:r w:rsidRPr="00043246">
              <w:rPr>
                <w:sz w:val="24"/>
                <w:szCs w:val="24"/>
                <w:vertAlign w:val="superscript"/>
              </w:rPr>
              <w:t>*</w:t>
            </w:r>
            <w:r w:rsidRPr="00043246">
              <w:rPr>
                <w:sz w:val="24"/>
                <w:szCs w:val="24"/>
              </w:rPr>
              <w:t>, dyspnø</w:t>
            </w:r>
            <w:r w:rsidRPr="00043246">
              <w:rPr>
                <w:sz w:val="24"/>
                <w:szCs w:val="24"/>
                <w:vertAlign w:val="superscript"/>
              </w:rPr>
              <w:t>*</w:t>
            </w:r>
          </w:p>
        </w:tc>
      </w:tr>
      <w:tr w:rsidR="00043246" w:rsidRPr="00043246" w14:paraId="4CC7366E" w14:textId="77777777" w:rsidTr="00A42DAF">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2B449" w14:textId="77777777" w:rsidR="00043246" w:rsidRPr="00043246" w:rsidRDefault="00043246" w:rsidP="00A42DAF">
            <w:pPr>
              <w:ind w:left="32"/>
              <w:rPr>
                <w:b/>
                <w:iCs/>
                <w:sz w:val="24"/>
                <w:szCs w:val="24"/>
              </w:rPr>
            </w:pPr>
          </w:p>
        </w:tc>
        <w:tc>
          <w:tcPr>
            <w:tcW w:w="2201" w:type="dxa"/>
            <w:tcBorders>
              <w:top w:val="single" w:sz="4" w:space="0" w:color="auto"/>
              <w:left w:val="single" w:sz="4" w:space="0" w:color="auto"/>
              <w:bottom w:val="single" w:sz="4" w:space="0" w:color="auto"/>
              <w:right w:val="single" w:sz="4" w:space="0" w:color="auto"/>
            </w:tcBorders>
            <w:hideMark/>
          </w:tcPr>
          <w:p w14:paraId="327B1FC0" w14:textId="77777777" w:rsidR="00043246" w:rsidRPr="00043246" w:rsidRDefault="00043246" w:rsidP="00A42DAF">
            <w:pPr>
              <w:ind w:left="12"/>
              <w:rPr>
                <w:i/>
                <w:sz w:val="24"/>
                <w:szCs w:val="24"/>
              </w:rPr>
            </w:pPr>
            <w:r w:rsidRPr="00043246">
              <w:rPr>
                <w:i/>
                <w:sz w:val="24"/>
                <w:szCs w:val="24"/>
              </w:rPr>
              <w:t>Sjælden:</w:t>
            </w:r>
          </w:p>
        </w:tc>
        <w:tc>
          <w:tcPr>
            <w:tcW w:w="3274" w:type="dxa"/>
            <w:tcBorders>
              <w:top w:val="single" w:sz="4" w:space="0" w:color="auto"/>
              <w:left w:val="single" w:sz="4" w:space="0" w:color="auto"/>
              <w:bottom w:val="single" w:sz="4" w:space="0" w:color="auto"/>
              <w:right w:val="single" w:sz="4" w:space="0" w:color="auto"/>
            </w:tcBorders>
            <w:hideMark/>
          </w:tcPr>
          <w:p w14:paraId="387DCA50" w14:textId="77777777" w:rsidR="00043246" w:rsidRPr="00043246" w:rsidRDefault="00043246" w:rsidP="00A42DAF">
            <w:pPr>
              <w:ind w:left="12"/>
              <w:rPr>
                <w:sz w:val="24"/>
                <w:szCs w:val="24"/>
              </w:rPr>
            </w:pPr>
            <w:r w:rsidRPr="00043246">
              <w:rPr>
                <w:sz w:val="24"/>
                <w:szCs w:val="24"/>
              </w:rPr>
              <w:t>Forværring af astma</w:t>
            </w:r>
          </w:p>
        </w:tc>
      </w:tr>
      <w:tr w:rsidR="00043246" w:rsidRPr="00043246" w14:paraId="5482F12F" w14:textId="77777777" w:rsidTr="00A42DAF">
        <w:tc>
          <w:tcPr>
            <w:tcW w:w="3281" w:type="dxa"/>
            <w:tcBorders>
              <w:top w:val="single" w:sz="4" w:space="0" w:color="auto"/>
              <w:left w:val="single" w:sz="4" w:space="0" w:color="auto"/>
              <w:bottom w:val="single" w:sz="4" w:space="0" w:color="auto"/>
              <w:right w:val="single" w:sz="4" w:space="0" w:color="auto"/>
            </w:tcBorders>
            <w:hideMark/>
          </w:tcPr>
          <w:p w14:paraId="117FEBDC" w14:textId="77777777" w:rsidR="00043246" w:rsidRPr="00043246" w:rsidRDefault="00043246" w:rsidP="00A42DAF">
            <w:pPr>
              <w:ind w:left="32"/>
              <w:rPr>
                <w:i/>
                <w:sz w:val="24"/>
                <w:szCs w:val="24"/>
              </w:rPr>
            </w:pPr>
            <w:r w:rsidRPr="00043246">
              <w:rPr>
                <w:b/>
                <w:iCs/>
                <w:sz w:val="24"/>
                <w:szCs w:val="24"/>
              </w:rPr>
              <w:t>Mave-tarm-kanalen</w:t>
            </w:r>
          </w:p>
        </w:tc>
        <w:tc>
          <w:tcPr>
            <w:tcW w:w="2201" w:type="dxa"/>
            <w:tcBorders>
              <w:top w:val="single" w:sz="4" w:space="0" w:color="auto"/>
              <w:left w:val="single" w:sz="4" w:space="0" w:color="auto"/>
              <w:bottom w:val="single" w:sz="4" w:space="0" w:color="auto"/>
              <w:right w:val="single" w:sz="4" w:space="0" w:color="auto"/>
            </w:tcBorders>
            <w:hideMark/>
          </w:tcPr>
          <w:p w14:paraId="73881EDA" w14:textId="77777777" w:rsidR="00043246" w:rsidRPr="00043246" w:rsidRDefault="00043246" w:rsidP="00A42DAF">
            <w:pPr>
              <w:ind w:left="12"/>
              <w:rPr>
                <w:i/>
                <w:sz w:val="24"/>
                <w:szCs w:val="24"/>
              </w:rPr>
            </w:pPr>
            <w:r w:rsidRPr="00043246">
              <w:rPr>
                <w:i/>
                <w:sz w:val="24"/>
                <w:szCs w:val="24"/>
              </w:rPr>
              <w:t xml:space="preserve">Ikke almindelig: </w:t>
            </w:r>
          </w:p>
        </w:tc>
        <w:tc>
          <w:tcPr>
            <w:tcW w:w="3274" w:type="dxa"/>
            <w:tcBorders>
              <w:top w:val="single" w:sz="4" w:space="0" w:color="auto"/>
              <w:left w:val="single" w:sz="4" w:space="0" w:color="auto"/>
              <w:bottom w:val="single" w:sz="4" w:space="0" w:color="auto"/>
              <w:right w:val="single" w:sz="4" w:space="0" w:color="auto"/>
            </w:tcBorders>
            <w:hideMark/>
          </w:tcPr>
          <w:p w14:paraId="4814796C" w14:textId="77777777" w:rsidR="00043246" w:rsidRPr="00043246" w:rsidRDefault="00043246" w:rsidP="00A42DAF">
            <w:pPr>
              <w:ind w:left="12"/>
              <w:rPr>
                <w:i/>
                <w:sz w:val="24"/>
                <w:szCs w:val="24"/>
              </w:rPr>
            </w:pPr>
            <w:r w:rsidRPr="00043246">
              <w:rPr>
                <w:sz w:val="24"/>
                <w:szCs w:val="24"/>
                <w:lang w:val="en-US"/>
              </w:rPr>
              <w:t>Kvalme*, opkastning*</w:t>
            </w:r>
          </w:p>
        </w:tc>
      </w:tr>
      <w:tr w:rsidR="00043246" w:rsidRPr="00043246" w14:paraId="734EADBD" w14:textId="77777777" w:rsidTr="00A42DAF">
        <w:tc>
          <w:tcPr>
            <w:tcW w:w="3281" w:type="dxa"/>
            <w:vMerge w:val="restart"/>
            <w:tcBorders>
              <w:top w:val="single" w:sz="4" w:space="0" w:color="auto"/>
              <w:left w:val="single" w:sz="4" w:space="0" w:color="auto"/>
              <w:bottom w:val="single" w:sz="4" w:space="0" w:color="auto"/>
              <w:right w:val="single" w:sz="4" w:space="0" w:color="auto"/>
            </w:tcBorders>
            <w:hideMark/>
          </w:tcPr>
          <w:p w14:paraId="3E6B86D2" w14:textId="77777777" w:rsidR="00043246" w:rsidRPr="00043246" w:rsidRDefault="00043246" w:rsidP="00A42DAF">
            <w:pPr>
              <w:ind w:left="32"/>
              <w:rPr>
                <w:b/>
                <w:iCs/>
                <w:sz w:val="24"/>
                <w:szCs w:val="24"/>
                <w:lang w:val="en-US"/>
              </w:rPr>
            </w:pPr>
            <w:r w:rsidRPr="00043246">
              <w:rPr>
                <w:b/>
                <w:iCs/>
                <w:sz w:val="24"/>
                <w:szCs w:val="24"/>
              </w:rPr>
              <w:t>Hud og subkutane væv</w:t>
            </w:r>
          </w:p>
        </w:tc>
        <w:tc>
          <w:tcPr>
            <w:tcW w:w="2201" w:type="dxa"/>
            <w:tcBorders>
              <w:top w:val="single" w:sz="4" w:space="0" w:color="auto"/>
              <w:left w:val="single" w:sz="4" w:space="0" w:color="auto"/>
              <w:bottom w:val="single" w:sz="4" w:space="0" w:color="auto"/>
              <w:right w:val="single" w:sz="4" w:space="0" w:color="auto"/>
            </w:tcBorders>
            <w:hideMark/>
          </w:tcPr>
          <w:p w14:paraId="3E1FEB99" w14:textId="77777777" w:rsidR="00043246" w:rsidRPr="00043246" w:rsidRDefault="00043246" w:rsidP="00A42DAF">
            <w:pPr>
              <w:ind w:left="12"/>
              <w:rPr>
                <w:i/>
                <w:sz w:val="24"/>
                <w:szCs w:val="24"/>
              </w:rPr>
            </w:pPr>
            <w:r w:rsidRPr="00043246">
              <w:rPr>
                <w:i/>
                <w:sz w:val="24"/>
                <w:szCs w:val="24"/>
              </w:rPr>
              <w:t>Ikke almindelig:</w:t>
            </w:r>
          </w:p>
        </w:tc>
        <w:tc>
          <w:tcPr>
            <w:tcW w:w="3274" w:type="dxa"/>
            <w:tcBorders>
              <w:top w:val="single" w:sz="4" w:space="0" w:color="auto"/>
              <w:left w:val="single" w:sz="4" w:space="0" w:color="auto"/>
              <w:bottom w:val="single" w:sz="4" w:space="0" w:color="auto"/>
              <w:right w:val="single" w:sz="4" w:space="0" w:color="auto"/>
            </w:tcBorders>
            <w:hideMark/>
          </w:tcPr>
          <w:p w14:paraId="699E2718" w14:textId="77777777" w:rsidR="00043246" w:rsidRPr="00043246" w:rsidRDefault="00043246" w:rsidP="00A42DAF">
            <w:pPr>
              <w:ind w:left="12"/>
              <w:rPr>
                <w:sz w:val="24"/>
                <w:szCs w:val="24"/>
              </w:rPr>
            </w:pPr>
            <w:r w:rsidRPr="00043246">
              <w:rPr>
                <w:sz w:val="24"/>
                <w:szCs w:val="24"/>
              </w:rPr>
              <w:t xml:space="preserve">Udslæt </w:t>
            </w:r>
          </w:p>
        </w:tc>
      </w:tr>
      <w:tr w:rsidR="00043246" w:rsidRPr="00043246" w14:paraId="5BEBEA96" w14:textId="77777777" w:rsidTr="00A42DAF">
        <w:tc>
          <w:tcPr>
            <w:tcW w:w="0" w:type="auto"/>
            <w:vMerge/>
            <w:tcBorders>
              <w:top w:val="single" w:sz="4" w:space="0" w:color="auto"/>
              <w:left w:val="single" w:sz="4" w:space="0" w:color="auto"/>
              <w:bottom w:val="single" w:sz="4" w:space="0" w:color="auto"/>
              <w:right w:val="single" w:sz="4" w:space="0" w:color="auto"/>
            </w:tcBorders>
            <w:vAlign w:val="center"/>
            <w:hideMark/>
          </w:tcPr>
          <w:p w14:paraId="2C6C2CB0" w14:textId="77777777" w:rsidR="00043246" w:rsidRPr="00043246" w:rsidRDefault="00043246" w:rsidP="00A42DAF">
            <w:pPr>
              <w:ind w:left="32"/>
              <w:rPr>
                <w:b/>
                <w:iCs/>
                <w:sz w:val="24"/>
                <w:szCs w:val="24"/>
                <w:lang w:val="en-US"/>
              </w:rPr>
            </w:pPr>
          </w:p>
        </w:tc>
        <w:tc>
          <w:tcPr>
            <w:tcW w:w="2201" w:type="dxa"/>
            <w:tcBorders>
              <w:top w:val="single" w:sz="4" w:space="0" w:color="auto"/>
              <w:left w:val="single" w:sz="4" w:space="0" w:color="auto"/>
              <w:bottom w:val="single" w:sz="4" w:space="0" w:color="auto"/>
              <w:right w:val="single" w:sz="4" w:space="0" w:color="auto"/>
            </w:tcBorders>
          </w:tcPr>
          <w:p w14:paraId="4CFB2DAF" w14:textId="77777777" w:rsidR="00043246" w:rsidRPr="00043246" w:rsidRDefault="00043246" w:rsidP="00A42DAF">
            <w:pPr>
              <w:ind w:left="12"/>
              <w:rPr>
                <w:i/>
                <w:sz w:val="24"/>
                <w:szCs w:val="24"/>
              </w:rPr>
            </w:pPr>
            <w:r w:rsidRPr="00043246">
              <w:rPr>
                <w:i/>
                <w:sz w:val="24"/>
                <w:szCs w:val="24"/>
              </w:rPr>
              <w:t>Sjælden:</w:t>
            </w:r>
          </w:p>
          <w:p w14:paraId="5B1472EE" w14:textId="77777777" w:rsidR="00043246" w:rsidRPr="00043246" w:rsidRDefault="00043246" w:rsidP="00A42DAF">
            <w:pPr>
              <w:ind w:left="12"/>
              <w:rPr>
                <w:i/>
                <w:iCs/>
                <w:sz w:val="24"/>
                <w:szCs w:val="24"/>
              </w:rPr>
            </w:pPr>
          </w:p>
        </w:tc>
        <w:tc>
          <w:tcPr>
            <w:tcW w:w="3274" w:type="dxa"/>
            <w:tcBorders>
              <w:top w:val="single" w:sz="4" w:space="0" w:color="auto"/>
              <w:left w:val="single" w:sz="4" w:space="0" w:color="auto"/>
              <w:bottom w:val="single" w:sz="4" w:space="0" w:color="auto"/>
              <w:right w:val="single" w:sz="4" w:space="0" w:color="auto"/>
            </w:tcBorders>
            <w:hideMark/>
          </w:tcPr>
          <w:p w14:paraId="3A8A04EE" w14:textId="77777777" w:rsidR="00043246" w:rsidRPr="00043246" w:rsidRDefault="00043246" w:rsidP="00A42DAF">
            <w:pPr>
              <w:ind w:left="12"/>
              <w:rPr>
                <w:sz w:val="24"/>
                <w:szCs w:val="24"/>
              </w:rPr>
            </w:pPr>
            <w:r w:rsidRPr="00043246">
              <w:rPr>
                <w:sz w:val="24"/>
                <w:szCs w:val="24"/>
              </w:rPr>
              <w:t>Pruritus</w:t>
            </w:r>
          </w:p>
        </w:tc>
      </w:tr>
      <w:tr w:rsidR="00043246" w:rsidRPr="00043246" w14:paraId="48070C09" w14:textId="77777777" w:rsidTr="00A42DAF">
        <w:tc>
          <w:tcPr>
            <w:tcW w:w="3281" w:type="dxa"/>
            <w:tcBorders>
              <w:top w:val="single" w:sz="4" w:space="0" w:color="auto"/>
              <w:left w:val="single" w:sz="4" w:space="0" w:color="auto"/>
              <w:bottom w:val="single" w:sz="4" w:space="0" w:color="auto"/>
              <w:right w:val="single" w:sz="4" w:space="0" w:color="auto"/>
            </w:tcBorders>
            <w:hideMark/>
          </w:tcPr>
          <w:p w14:paraId="04936B51" w14:textId="77777777" w:rsidR="00043246" w:rsidRPr="00043246" w:rsidRDefault="00043246" w:rsidP="00A42DAF">
            <w:pPr>
              <w:ind w:left="32"/>
              <w:rPr>
                <w:b/>
                <w:iCs/>
                <w:sz w:val="24"/>
                <w:szCs w:val="24"/>
              </w:rPr>
            </w:pPr>
            <w:r w:rsidRPr="00043246">
              <w:rPr>
                <w:b/>
                <w:iCs/>
                <w:sz w:val="24"/>
                <w:szCs w:val="24"/>
              </w:rPr>
              <w:t>Knogler, led, muskler og bindevæv</w:t>
            </w:r>
          </w:p>
        </w:tc>
        <w:tc>
          <w:tcPr>
            <w:tcW w:w="2201" w:type="dxa"/>
            <w:tcBorders>
              <w:top w:val="single" w:sz="4" w:space="0" w:color="auto"/>
              <w:left w:val="single" w:sz="4" w:space="0" w:color="auto"/>
              <w:bottom w:val="single" w:sz="4" w:space="0" w:color="auto"/>
              <w:right w:val="single" w:sz="4" w:space="0" w:color="auto"/>
            </w:tcBorders>
            <w:hideMark/>
          </w:tcPr>
          <w:p w14:paraId="2688A857" w14:textId="77777777" w:rsidR="00043246" w:rsidRPr="00043246" w:rsidRDefault="00043246" w:rsidP="00A42DAF">
            <w:pPr>
              <w:ind w:left="12"/>
              <w:rPr>
                <w:i/>
                <w:iCs/>
                <w:sz w:val="24"/>
                <w:szCs w:val="24"/>
              </w:rPr>
            </w:pPr>
            <w:r w:rsidRPr="00043246">
              <w:rPr>
                <w:i/>
                <w:sz w:val="24"/>
                <w:szCs w:val="24"/>
              </w:rPr>
              <w:t>Ikke almindelig:</w:t>
            </w:r>
          </w:p>
        </w:tc>
        <w:tc>
          <w:tcPr>
            <w:tcW w:w="3274" w:type="dxa"/>
            <w:tcBorders>
              <w:top w:val="single" w:sz="4" w:space="0" w:color="auto"/>
              <w:left w:val="single" w:sz="4" w:space="0" w:color="auto"/>
              <w:bottom w:val="single" w:sz="4" w:space="0" w:color="auto"/>
              <w:right w:val="single" w:sz="4" w:space="0" w:color="auto"/>
            </w:tcBorders>
            <w:hideMark/>
          </w:tcPr>
          <w:p w14:paraId="63AEE7FF" w14:textId="77777777" w:rsidR="00043246" w:rsidRPr="00043246" w:rsidRDefault="00043246" w:rsidP="00A42DAF">
            <w:pPr>
              <w:ind w:left="12"/>
              <w:rPr>
                <w:i/>
                <w:sz w:val="24"/>
                <w:szCs w:val="24"/>
              </w:rPr>
            </w:pPr>
            <w:r w:rsidRPr="00043246">
              <w:rPr>
                <w:sz w:val="24"/>
                <w:szCs w:val="24"/>
              </w:rPr>
              <w:t>Myalgi*, arthralgi*</w:t>
            </w:r>
          </w:p>
        </w:tc>
      </w:tr>
      <w:tr w:rsidR="00043246" w:rsidRPr="00043246" w14:paraId="13B41F47" w14:textId="77777777" w:rsidTr="00A42DAF">
        <w:trPr>
          <w:trHeight w:val="930"/>
        </w:trPr>
        <w:tc>
          <w:tcPr>
            <w:tcW w:w="3281" w:type="dxa"/>
            <w:tcBorders>
              <w:top w:val="single" w:sz="4" w:space="0" w:color="auto"/>
              <w:left w:val="single" w:sz="4" w:space="0" w:color="auto"/>
              <w:bottom w:val="single" w:sz="4" w:space="0" w:color="auto"/>
              <w:right w:val="single" w:sz="4" w:space="0" w:color="auto"/>
            </w:tcBorders>
            <w:hideMark/>
          </w:tcPr>
          <w:p w14:paraId="51658C69" w14:textId="77777777" w:rsidR="00043246" w:rsidRPr="00043246" w:rsidRDefault="00043246" w:rsidP="00A42DAF">
            <w:pPr>
              <w:ind w:left="32"/>
              <w:rPr>
                <w:b/>
                <w:iCs/>
                <w:sz w:val="24"/>
                <w:szCs w:val="24"/>
              </w:rPr>
            </w:pPr>
            <w:r w:rsidRPr="00043246">
              <w:rPr>
                <w:b/>
                <w:iCs/>
                <w:sz w:val="24"/>
                <w:szCs w:val="24"/>
              </w:rPr>
              <w:t>Almene symptomer og reaktioner på administrationsstedet</w:t>
            </w:r>
          </w:p>
        </w:tc>
        <w:tc>
          <w:tcPr>
            <w:tcW w:w="2201" w:type="dxa"/>
            <w:tcBorders>
              <w:top w:val="single" w:sz="4" w:space="0" w:color="auto"/>
              <w:left w:val="single" w:sz="4" w:space="0" w:color="auto"/>
              <w:bottom w:val="single" w:sz="4" w:space="0" w:color="auto"/>
              <w:right w:val="single" w:sz="4" w:space="0" w:color="auto"/>
            </w:tcBorders>
            <w:hideMark/>
          </w:tcPr>
          <w:p w14:paraId="3FC87B80" w14:textId="77777777" w:rsidR="00043246" w:rsidRPr="00043246" w:rsidRDefault="00043246" w:rsidP="00A42DAF">
            <w:pPr>
              <w:ind w:left="12"/>
              <w:rPr>
                <w:i/>
                <w:sz w:val="24"/>
                <w:szCs w:val="24"/>
              </w:rPr>
            </w:pPr>
            <w:r w:rsidRPr="00043246">
              <w:rPr>
                <w:i/>
                <w:sz w:val="24"/>
                <w:szCs w:val="24"/>
              </w:rPr>
              <w:t>Ikke almindelig:</w:t>
            </w:r>
          </w:p>
        </w:tc>
        <w:tc>
          <w:tcPr>
            <w:tcW w:w="3274" w:type="dxa"/>
            <w:tcBorders>
              <w:top w:val="single" w:sz="4" w:space="0" w:color="auto"/>
              <w:left w:val="single" w:sz="4" w:space="0" w:color="auto"/>
              <w:bottom w:val="single" w:sz="4" w:space="0" w:color="auto"/>
              <w:right w:val="single" w:sz="4" w:space="0" w:color="auto"/>
            </w:tcBorders>
          </w:tcPr>
          <w:p w14:paraId="0936B1CC" w14:textId="77777777" w:rsidR="00043246" w:rsidRPr="00043246" w:rsidRDefault="00043246" w:rsidP="00A42DAF">
            <w:pPr>
              <w:ind w:left="12"/>
              <w:rPr>
                <w:sz w:val="24"/>
                <w:szCs w:val="24"/>
                <w:lang w:val="el-GR"/>
              </w:rPr>
            </w:pPr>
            <w:r w:rsidRPr="00043246">
              <w:rPr>
                <w:sz w:val="24"/>
                <w:szCs w:val="24"/>
              </w:rPr>
              <w:t>Brystsmerter*</w:t>
            </w:r>
          </w:p>
          <w:p w14:paraId="124F9FDA" w14:textId="77777777" w:rsidR="00043246" w:rsidRPr="00043246" w:rsidRDefault="00043246" w:rsidP="00A42DAF">
            <w:pPr>
              <w:ind w:left="12"/>
              <w:rPr>
                <w:sz w:val="24"/>
                <w:szCs w:val="24"/>
              </w:rPr>
            </w:pPr>
          </w:p>
        </w:tc>
      </w:tr>
    </w:tbl>
    <w:p w14:paraId="7E027DDA" w14:textId="77777777" w:rsidR="00043246" w:rsidRPr="00A42DAF" w:rsidRDefault="00043246" w:rsidP="00043246">
      <w:pPr>
        <w:tabs>
          <w:tab w:val="left" w:pos="851"/>
        </w:tabs>
        <w:ind w:left="851"/>
        <w:rPr>
          <w:bCs/>
          <w:sz w:val="20"/>
        </w:rPr>
      </w:pPr>
      <w:r w:rsidRPr="00A42DAF">
        <w:rPr>
          <w:b/>
          <w:bCs/>
          <w:sz w:val="20"/>
        </w:rPr>
        <w:t xml:space="preserve">* </w:t>
      </w:r>
      <w:r w:rsidRPr="00A42DAF">
        <w:rPr>
          <w:bCs/>
          <w:sz w:val="20"/>
        </w:rPr>
        <w:t>Bivirkning set efter markedsføring</w:t>
      </w:r>
    </w:p>
    <w:p w14:paraId="40A2FCDF" w14:textId="77777777" w:rsidR="00043246" w:rsidRPr="00A42DAF" w:rsidRDefault="00043246" w:rsidP="00043246">
      <w:pPr>
        <w:tabs>
          <w:tab w:val="left" w:pos="851"/>
        </w:tabs>
        <w:ind w:left="851"/>
        <w:rPr>
          <w:bCs/>
          <w:sz w:val="20"/>
        </w:rPr>
      </w:pPr>
      <w:r w:rsidRPr="00A42DAF">
        <w:rPr>
          <w:bCs/>
          <w:sz w:val="20"/>
        </w:rPr>
        <w:t>§ Frekvens for disse bivirkninger fundet vha. ”</w:t>
      </w:r>
      <w:r w:rsidRPr="00A42DAF">
        <w:rPr>
          <w:bCs/>
          <w:i/>
          <w:sz w:val="20"/>
        </w:rPr>
        <w:t>The Rule of 3</w:t>
      </w:r>
      <w:r w:rsidRPr="00A42DAF">
        <w:rPr>
          <w:bCs/>
          <w:sz w:val="20"/>
        </w:rPr>
        <w:t>”.</w:t>
      </w:r>
    </w:p>
    <w:p w14:paraId="47CBC769" w14:textId="77777777" w:rsidR="00043246" w:rsidRPr="00043246" w:rsidRDefault="00043246" w:rsidP="00043246">
      <w:pPr>
        <w:tabs>
          <w:tab w:val="left" w:pos="851"/>
        </w:tabs>
        <w:ind w:left="851"/>
        <w:rPr>
          <w:sz w:val="24"/>
          <w:szCs w:val="24"/>
          <w:u w:val="single"/>
        </w:rPr>
      </w:pPr>
    </w:p>
    <w:p w14:paraId="6FADDD29" w14:textId="77777777" w:rsidR="00043246" w:rsidRPr="00043246" w:rsidRDefault="00043246" w:rsidP="00043246">
      <w:pPr>
        <w:tabs>
          <w:tab w:val="left" w:pos="851"/>
        </w:tabs>
        <w:ind w:left="851"/>
        <w:rPr>
          <w:sz w:val="24"/>
          <w:szCs w:val="24"/>
          <w:u w:val="single"/>
        </w:rPr>
      </w:pPr>
      <w:r w:rsidRPr="00043246">
        <w:rPr>
          <w:sz w:val="24"/>
          <w:szCs w:val="24"/>
          <w:u w:val="single"/>
        </w:rPr>
        <w:t xml:space="preserve">c. Beskrivelse af udvalgte bivirkninger </w:t>
      </w:r>
    </w:p>
    <w:p w14:paraId="34712663" w14:textId="77777777" w:rsidR="00043246" w:rsidRPr="00043246" w:rsidRDefault="00043246" w:rsidP="00043246">
      <w:pPr>
        <w:tabs>
          <w:tab w:val="left" w:pos="851"/>
        </w:tabs>
        <w:ind w:left="851"/>
        <w:rPr>
          <w:sz w:val="24"/>
          <w:szCs w:val="24"/>
        </w:rPr>
      </w:pPr>
      <w:r w:rsidRPr="00043246">
        <w:rPr>
          <w:sz w:val="24"/>
          <w:szCs w:val="24"/>
        </w:rPr>
        <w:t>Der foreligger ingen oplysninger.</w:t>
      </w:r>
    </w:p>
    <w:p w14:paraId="73DA6620" w14:textId="77777777" w:rsidR="00043246" w:rsidRPr="00043246" w:rsidRDefault="00043246" w:rsidP="00043246">
      <w:pPr>
        <w:tabs>
          <w:tab w:val="left" w:pos="851"/>
        </w:tabs>
        <w:ind w:left="851"/>
        <w:rPr>
          <w:sz w:val="24"/>
          <w:szCs w:val="24"/>
          <w:u w:val="single"/>
        </w:rPr>
      </w:pPr>
    </w:p>
    <w:p w14:paraId="1C8CC261" w14:textId="77777777" w:rsidR="00043246" w:rsidRPr="00043246" w:rsidRDefault="00043246" w:rsidP="00043246">
      <w:pPr>
        <w:tabs>
          <w:tab w:val="left" w:pos="851"/>
        </w:tabs>
        <w:ind w:left="851"/>
        <w:rPr>
          <w:sz w:val="24"/>
          <w:szCs w:val="24"/>
          <w:u w:val="single"/>
        </w:rPr>
      </w:pPr>
      <w:r w:rsidRPr="00043246">
        <w:rPr>
          <w:sz w:val="24"/>
          <w:szCs w:val="24"/>
          <w:u w:val="single"/>
        </w:rPr>
        <w:t>d. Pædiatrisk population</w:t>
      </w:r>
    </w:p>
    <w:p w14:paraId="1257604B" w14:textId="77777777" w:rsidR="00043246" w:rsidRPr="00043246" w:rsidRDefault="00043246" w:rsidP="00043246">
      <w:pPr>
        <w:tabs>
          <w:tab w:val="left" w:pos="851"/>
        </w:tabs>
        <w:ind w:left="851"/>
        <w:rPr>
          <w:sz w:val="24"/>
          <w:szCs w:val="24"/>
        </w:rPr>
      </w:pPr>
      <w:r w:rsidRPr="00043246">
        <w:rPr>
          <w:sz w:val="24"/>
          <w:szCs w:val="24"/>
        </w:rPr>
        <w:t>I to kortvarige kliniske forsøg (≤ 12 uger) med i alt 93 pædiatriske patienter (henholdsvis 25 og 68) var sikkerhedsprofilen tilsvarende den, der blev set hos voksne, og der blev ikke observeret nye bivirkninger. Korttidssikkerhedsprofilerne i de pædiatriske undergrupper var ligeledes ens (se pkt. 5.1). Bivirkninger, der blev observeret hyppigere hos pædiatriske patienter end hos voksne, omfatter: nasofaryngitis og pyreksi.</w:t>
      </w:r>
    </w:p>
    <w:p w14:paraId="3D15E10F" w14:textId="77777777" w:rsidR="00043246" w:rsidRPr="00043246" w:rsidRDefault="00043246" w:rsidP="00043246">
      <w:pPr>
        <w:tabs>
          <w:tab w:val="left" w:pos="851"/>
        </w:tabs>
        <w:ind w:left="851"/>
        <w:rPr>
          <w:sz w:val="24"/>
          <w:szCs w:val="24"/>
        </w:rPr>
      </w:pPr>
    </w:p>
    <w:p w14:paraId="0B67BEB0" w14:textId="77777777" w:rsidR="00043246" w:rsidRPr="00043246" w:rsidRDefault="00043246" w:rsidP="00043246">
      <w:pPr>
        <w:tabs>
          <w:tab w:val="left" w:pos="851"/>
        </w:tabs>
        <w:ind w:left="851"/>
        <w:rPr>
          <w:sz w:val="24"/>
          <w:szCs w:val="24"/>
        </w:rPr>
      </w:pPr>
      <w:r w:rsidRPr="00043246">
        <w:rPr>
          <w:sz w:val="24"/>
          <w:szCs w:val="24"/>
        </w:rPr>
        <w:t>I et langvarigt pædiatrisk observationsstudie med 115 patienter var sikkerhedsprofilen i overensstemmelse med den, der blev rapporteret i tidligere pædiatriske studier, og der blev ikke observeret nye bivirkninger (se pkt. 5.1).</w:t>
      </w:r>
    </w:p>
    <w:p w14:paraId="260B2F4B" w14:textId="77777777" w:rsidR="00043246" w:rsidRPr="00043246" w:rsidRDefault="00043246" w:rsidP="00043246">
      <w:pPr>
        <w:tabs>
          <w:tab w:val="left" w:pos="851"/>
        </w:tabs>
        <w:ind w:left="851"/>
        <w:rPr>
          <w:sz w:val="24"/>
          <w:szCs w:val="24"/>
          <w:u w:val="single"/>
        </w:rPr>
      </w:pPr>
    </w:p>
    <w:p w14:paraId="1622236B" w14:textId="77777777" w:rsidR="00043246" w:rsidRPr="00043246" w:rsidRDefault="00043246" w:rsidP="00043246">
      <w:pPr>
        <w:tabs>
          <w:tab w:val="left" w:pos="851"/>
        </w:tabs>
        <w:ind w:left="851"/>
        <w:rPr>
          <w:sz w:val="24"/>
          <w:szCs w:val="24"/>
          <w:u w:val="single"/>
        </w:rPr>
      </w:pPr>
      <w:r w:rsidRPr="00043246">
        <w:rPr>
          <w:sz w:val="24"/>
          <w:szCs w:val="24"/>
          <w:u w:val="single"/>
        </w:rPr>
        <w:t>Indberetning af formodede bivirkninger</w:t>
      </w:r>
    </w:p>
    <w:p w14:paraId="36B58B2D" w14:textId="77777777" w:rsidR="00043246" w:rsidRPr="00043246" w:rsidRDefault="00043246" w:rsidP="00043246">
      <w:pPr>
        <w:tabs>
          <w:tab w:val="left" w:pos="851"/>
        </w:tabs>
        <w:ind w:left="851"/>
        <w:rPr>
          <w:sz w:val="24"/>
          <w:szCs w:val="24"/>
        </w:rPr>
      </w:pPr>
      <w:r w:rsidRPr="00043246">
        <w:rPr>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6DA905E0" w14:textId="77777777" w:rsidR="00043246" w:rsidRPr="00043246" w:rsidRDefault="00043246" w:rsidP="00043246">
      <w:pPr>
        <w:tabs>
          <w:tab w:val="left" w:pos="851"/>
        </w:tabs>
        <w:ind w:left="851"/>
        <w:rPr>
          <w:sz w:val="24"/>
          <w:szCs w:val="24"/>
        </w:rPr>
      </w:pPr>
    </w:p>
    <w:p w14:paraId="08535BFD" w14:textId="77777777" w:rsidR="00043246" w:rsidRPr="00043246" w:rsidRDefault="00043246" w:rsidP="00043246">
      <w:pPr>
        <w:tabs>
          <w:tab w:val="left" w:pos="851"/>
        </w:tabs>
        <w:ind w:left="851"/>
        <w:rPr>
          <w:sz w:val="24"/>
          <w:szCs w:val="24"/>
        </w:rPr>
      </w:pPr>
      <w:r w:rsidRPr="00043246">
        <w:rPr>
          <w:sz w:val="24"/>
          <w:szCs w:val="24"/>
        </w:rPr>
        <w:t>Lægemiddelstyrelsen</w:t>
      </w:r>
    </w:p>
    <w:p w14:paraId="00FCA4E6" w14:textId="77777777" w:rsidR="00043246" w:rsidRPr="00043246" w:rsidRDefault="00043246" w:rsidP="00043246">
      <w:pPr>
        <w:tabs>
          <w:tab w:val="left" w:pos="851"/>
        </w:tabs>
        <w:ind w:left="851"/>
        <w:rPr>
          <w:sz w:val="24"/>
          <w:szCs w:val="24"/>
        </w:rPr>
      </w:pPr>
      <w:r w:rsidRPr="00043246">
        <w:rPr>
          <w:sz w:val="24"/>
          <w:szCs w:val="24"/>
        </w:rPr>
        <w:t>Axel Heides Gade 1</w:t>
      </w:r>
    </w:p>
    <w:p w14:paraId="774EB091" w14:textId="77777777" w:rsidR="00043246" w:rsidRPr="00043246" w:rsidRDefault="00043246" w:rsidP="00043246">
      <w:pPr>
        <w:tabs>
          <w:tab w:val="left" w:pos="851"/>
        </w:tabs>
        <w:ind w:left="851"/>
        <w:rPr>
          <w:sz w:val="24"/>
          <w:szCs w:val="24"/>
        </w:rPr>
      </w:pPr>
      <w:r w:rsidRPr="00043246">
        <w:rPr>
          <w:sz w:val="24"/>
          <w:szCs w:val="24"/>
        </w:rPr>
        <w:t>DK-2300 København S</w:t>
      </w:r>
    </w:p>
    <w:p w14:paraId="20D8A08B" w14:textId="77777777" w:rsidR="00043246" w:rsidRPr="00043246" w:rsidRDefault="00043246" w:rsidP="00043246">
      <w:pPr>
        <w:tabs>
          <w:tab w:val="left" w:pos="851"/>
        </w:tabs>
        <w:ind w:left="851"/>
        <w:rPr>
          <w:sz w:val="24"/>
          <w:szCs w:val="24"/>
        </w:rPr>
      </w:pPr>
      <w:r w:rsidRPr="00043246">
        <w:rPr>
          <w:sz w:val="24"/>
          <w:szCs w:val="24"/>
        </w:rPr>
        <w:t>Websted: www.meldenbivirkning.dk</w:t>
      </w:r>
    </w:p>
    <w:p w14:paraId="68A1B09A" w14:textId="77777777" w:rsidR="009260DE" w:rsidRPr="00A10294" w:rsidRDefault="009260DE" w:rsidP="00A10294">
      <w:pPr>
        <w:tabs>
          <w:tab w:val="left" w:pos="851"/>
        </w:tabs>
        <w:ind w:left="851"/>
        <w:rPr>
          <w:sz w:val="24"/>
          <w:szCs w:val="24"/>
        </w:rPr>
      </w:pPr>
    </w:p>
    <w:p w14:paraId="1E00E25B"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576E9342" w14:textId="77777777" w:rsidR="00043246" w:rsidRPr="00043246" w:rsidRDefault="00043246" w:rsidP="00043246">
      <w:pPr>
        <w:tabs>
          <w:tab w:val="left" w:pos="851"/>
        </w:tabs>
        <w:ind w:left="851"/>
        <w:rPr>
          <w:iCs/>
          <w:sz w:val="24"/>
          <w:szCs w:val="24"/>
        </w:rPr>
      </w:pPr>
      <w:r w:rsidRPr="00043246">
        <w:rPr>
          <w:iCs/>
          <w:sz w:val="24"/>
          <w:szCs w:val="24"/>
        </w:rPr>
        <w:t>Bortset fra øjenirritation og konjunktival hyperæmi er der ingen andre okulære bivirkninger kendt ved overdosering af latanoprost.</w:t>
      </w:r>
    </w:p>
    <w:p w14:paraId="4814366C" w14:textId="77777777" w:rsidR="00043246" w:rsidRPr="00043246" w:rsidRDefault="00043246" w:rsidP="00043246">
      <w:pPr>
        <w:tabs>
          <w:tab w:val="left" w:pos="851"/>
        </w:tabs>
        <w:ind w:left="851"/>
        <w:rPr>
          <w:iCs/>
          <w:sz w:val="24"/>
          <w:szCs w:val="24"/>
        </w:rPr>
      </w:pPr>
    </w:p>
    <w:p w14:paraId="4A78B935" w14:textId="77777777" w:rsidR="00043246" w:rsidRPr="00043246" w:rsidRDefault="00043246" w:rsidP="00043246">
      <w:pPr>
        <w:tabs>
          <w:tab w:val="left" w:pos="851"/>
        </w:tabs>
        <w:ind w:left="851"/>
        <w:rPr>
          <w:iCs/>
          <w:sz w:val="24"/>
          <w:szCs w:val="24"/>
        </w:rPr>
      </w:pPr>
      <w:r w:rsidRPr="00043246">
        <w:rPr>
          <w:iCs/>
          <w:sz w:val="24"/>
          <w:szCs w:val="24"/>
        </w:rPr>
        <w:t xml:space="preserve">Hvis latanoprost indtages ved et uheld, kan følgende information være nyttig: </w:t>
      </w:r>
    </w:p>
    <w:p w14:paraId="1465F648" w14:textId="77777777" w:rsidR="00043246" w:rsidRPr="00043246" w:rsidRDefault="00043246" w:rsidP="00043246">
      <w:pPr>
        <w:tabs>
          <w:tab w:val="left" w:pos="851"/>
        </w:tabs>
        <w:ind w:left="851"/>
        <w:rPr>
          <w:iCs/>
          <w:sz w:val="24"/>
          <w:szCs w:val="24"/>
        </w:rPr>
      </w:pPr>
      <w:r w:rsidRPr="00043246">
        <w:rPr>
          <w:iCs/>
          <w:sz w:val="24"/>
          <w:szCs w:val="24"/>
        </w:rPr>
        <w:t>Mere end 90 % metaboliseres ved first pass gennem leveren. Intravenøs infusion af 3 mikrogram/kg til raske forsøgspersoner gav gennemsnitlige plasmakoncentrationer, der var 200 gange højere end under klinisk behandling, og medførte ingen symptomer, mens doser på 5,5–10 mikrogram/kg forårsagede kvalme, mavesmerter, svimmelhed, træthed, hedeture og svedtendens. Hos aber er latanoprost administreret intravenøst i doser på op til 500 mikrogram/kg uden væsentlige effekter på det kardiovaskulære system.</w:t>
      </w:r>
    </w:p>
    <w:p w14:paraId="26A5DB56" w14:textId="77777777" w:rsidR="00043246" w:rsidRPr="00043246" w:rsidRDefault="00043246" w:rsidP="00043246">
      <w:pPr>
        <w:tabs>
          <w:tab w:val="left" w:pos="851"/>
        </w:tabs>
        <w:ind w:left="851"/>
        <w:rPr>
          <w:iCs/>
          <w:sz w:val="24"/>
          <w:szCs w:val="24"/>
        </w:rPr>
      </w:pPr>
    </w:p>
    <w:p w14:paraId="43DC280A" w14:textId="77777777" w:rsidR="00043246" w:rsidRPr="00043246" w:rsidRDefault="00043246" w:rsidP="00043246">
      <w:pPr>
        <w:tabs>
          <w:tab w:val="left" w:pos="851"/>
        </w:tabs>
        <w:ind w:left="851"/>
        <w:rPr>
          <w:iCs/>
          <w:sz w:val="24"/>
          <w:szCs w:val="24"/>
        </w:rPr>
      </w:pPr>
      <w:r w:rsidRPr="00043246">
        <w:rPr>
          <w:iCs/>
          <w:sz w:val="24"/>
          <w:szCs w:val="24"/>
        </w:rPr>
        <w:lastRenderedPageBreak/>
        <w:t>Intravenøs administration af latanoprost hos aber har været forbundet med forbigående bronkokonstriktion. Hos patienter med moderat bronkialastma blev der imidlertid ikke induceret bronkokonstriktion ved topikal okulær administration af latanoprost i en dosis svarende til syvdobbelt af den kliniske dosis af latanoprost.</w:t>
      </w:r>
    </w:p>
    <w:p w14:paraId="6FF8F181" w14:textId="77777777" w:rsidR="00043246" w:rsidRPr="00043246" w:rsidRDefault="00043246" w:rsidP="00043246">
      <w:pPr>
        <w:tabs>
          <w:tab w:val="left" w:pos="851"/>
        </w:tabs>
        <w:ind w:left="851"/>
        <w:rPr>
          <w:iCs/>
          <w:sz w:val="24"/>
          <w:szCs w:val="24"/>
        </w:rPr>
      </w:pPr>
    </w:p>
    <w:p w14:paraId="3C55D4F4" w14:textId="77777777" w:rsidR="00043246" w:rsidRPr="00043246" w:rsidRDefault="00043246" w:rsidP="00043246">
      <w:pPr>
        <w:tabs>
          <w:tab w:val="left" w:pos="851"/>
        </w:tabs>
        <w:ind w:left="851"/>
        <w:rPr>
          <w:iCs/>
          <w:sz w:val="24"/>
          <w:szCs w:val="24"/>
        </w:rPr>
      </w:pPr>
      <w:r w:rsidRPr="00043246">
        <w:rPr>
          <w:iCs/>
          <w:sz w:val="24"/>
          <w:szCs w:val="24"/>
        </w:rPr>
        <w:t>Skulle det ske overdosering af latanoprost, bør behandlingen være symptomatisk.</w:t>
      </w:r>
    </w:p>
    <w:p w14:paraId="34FE5006" w14:textId="0A42309D" w:rsidR="009260DE" w:rsidRPr="00C84483" w:rsidRDefault="009260DE" w:rsidP="009260DE">
      <w:pPr>
        <w:tabs>
          <w:tab w:val="left" w:pos="851"/>
        </w:tabs>
        <w:ind w:left="851"/>
        <w:rPr>
          <w:sz w:val="24"/>
          <w:szCs w:val="24"/>
        </w:rPr>
      </w:pPr>
    </w:p>
    <w:p w14:paraId="1B50B4E6"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0238904F" w14:textId="134495A7" w:rsidR="009260DE" w:rsidRPr="00C84483" w:rsidRDefault="00043246" w:rsidP="009260DE">
      <w:pPr>
        <w:tabs>
          <w:tab w:val="left" w:pos="851"/>
        </w:tabs>
        <w:ind w:left="851"/>
        <w:rPr>
          <w:sz w:val="24"/>
          <w:szCs w:val="24"/>
        </w:rPr>
      </w:pPr>
      <w:r>
        <w:rPr>
          <w:sz w:val="24"/>
          <w:szCs w:val="24"/>
        </w:rPr>
        <w:t>B</w:t>
      </w:r>
    </w:p>
    <w:p w14:paraId="4F04D561" w14:textId="77777777" w:rsidR="009260DE" w:rsidRPr="00C84483" w:rsidRDefault="009260DE" w:rsidP="009260DE">
      <w:pPr>
        <w:tabs>
          <w:tab w:val="left" w:pos="851"/>
        </w:tabs>
        <w:ind w:left="851"/>
        <w:rPr>
          <w:sz w:val="24"/>
          <w:szCs w:val="24"/>
        </w:rPr>
      </w:pPr>
    </w:p>
    <w:p w14:paraId="077ACA4D" w14:textId="77777777" w:rsidR="009260DE" w:rsidRPr="00C84483" w:rsidRDefault="009260DE" w:rsidP="009260DE">
      <w:pPr>
        <w:tabs>
          <w:tab w:val="left" w:pos="851"/>
        </w:tabs>
        <w:ind w:left="851"/>
        <w:rPr>
          <w:sz w:val="24"/>
          <w:szCs w:val="24"/>
        </w:rPr>
      </w:pPr>
    </w:p>
    <w:p w14:paraId="0CAFB136"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4B2E11CC" w14:textId="77777777" w:rsidR="009260DE" w:rsidRPr="00C84483" w:rsidRDefault="009260DE" w:rsidP="009260DE">
      <w:pPr>
        <w:tabs>
          <w:tab w:val="left" w:pos="851"/>
        </w:tabs>
        <w:ind w:left="851"/>
        <w:rPr>
          <w:sz w:val="24"/>
          <w:szCs w:val="24"/>
        </w:rPr>
      </w:pPr>
    </w:p>
    <w:p w14:paraId="416DAD41"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7ECF33F6" w14:textId="77777777" w:rsidR="0020438F" w:rsidRPr="0020438F" w:rsidRDefault="0020438F" w:rsidP="0020438F">
      <w:pPr>
        <w:ind w:left="851"/>
        <w:rPr>
          <w:iCs/>
          <w:noProof/>
          <w:sz w:val="24"/>
          <w:szCs w:val="24"/>
        </w:rPr>
      </w:pPr>
      <w:r w:rsidRPr="0020438F">
        <w:rPr>
          <w:iCs/>
          <w:noProof/>
          <w:sz w:val="24"/>
          <w:szCs w:val="24"/>
        </w:rPr>
        <w:t>Farmakoterapeutisk klassifikation: Oftalmologika, antiglaukommidler og miotika, prostaglandinanaloger, ATC-kode: S01EE01.</w:t>
      </w:r>
    </w:p>
    <w:p w14:paraId="6E0963F8" w14:textId="77777777" w:rsidR="0020438F" w:rsidRPr="0020438F" w:rsidRDefault="0020438F" w:rsidP="0020438F">
      <w:pPr>
        <w:suppressAutoHyphens/>
        <w:ind w:left="851"/>
        <w:rPr>
          <w:bCs/>
          <w:noProof/>
          <w:sz w:val="24"/>
          <w:szCs w:val="24"/>
        </w:rPr>
      </w:pPr>
    </w:p>
    <w:p w14:paraId="794D07D1" w14:textId="77777777" w:rsidR="0020438F" w:rsidRPr="0020438F" w:rsidRDefault="0020438F" w:rsidP="0020438F">
      <w:pPr>
        <w:suppressAutoHyphens/>
        <w:ind w:left="851"/>
        <w:rPr>
          <w:bCs/>
          <w:noProof/>
          <w:sz w:val="24"/>
          <w:szCs w:val="24"/>
          <w:u w:val="single"/>
        </w:rPr>
      </w:pPr>
      <w:r w:rsidRPr="0020438F">
        <w:rPr>
          <w:bCs/>
          <w:noProof/>
          <w:sz w:val="24"/>
          <w:szCs w:val="24"/>
          <w:u w:val="single"/>
        </w:rPr>
        <w:t>Virkningsmekanisme</w:t>
      </w:r>
    </w:p>
    <w:p w14:paraId="1B31DE54" w14:textId="77777777" w:rsidR="0020438F" w:rsidRPr="0020438F" w:rsidRDefault="0020438F" w:rsidP="0020438F">
      <w:pPr>
        <w:suppressAutoHyphens/>
        <w:ind w:left="851"/>
        <w:rPr>
          <w:bCs/>
          <w:noProof/>
          <w:sz w:val="24"/>
          <w:szCs w:val="24"/>
        </w:rPr>
      </w:pPr>
      <w:r w:rsidRPr="0020438F">
        <w:rPr>
          <w:bCs/>
          <w:noProof/>
          <w:sz w:val="24"/>
          <w:szCs w:val="24"/>
        </w:rPr>
        <w:t>Det aktive stof latanoprost, en analog af prostaglandin F</w:t>
      </w:r>
      <w:r w:rsidRPr="0020438F">
        <w:rPr>
          <w:bCs/>
          <w:noProof/>
          <w:sz w:val="24"/>
          <w:szCs w:val="24"/>
          <w:vertAlign w:val="subscript"/>
        </w:rPr>
        <w:t>2α</w:t>
      </w:r>
      <w:r w:rsidRPr="0020438F">
        <w:rPr>
          <w:bCs/>
          <w:noProof/>
          <w:sz w:val="24"/>
          <w:szCs w:val="24"/>
        </w:rPr>
        <w:t>, er en selektiv prostanoid-FP-receptoragonist, som reducerer det intraokulære tryk (IOP) ved at øge afløbet af kammervandet. Reduktionen af IOP hos mennesker indtræder cirka tre til fire timer efter administration, og den maksimale virkning opnås efter otte til tolv timer. Trykreduktion opretholdes i mindst 24 timer.</w:t>
      </w:r>
    </w:p>
    <w:p w14:paraId="632B0AAA" w14:textId="77777777" w:rsidR="0020438F" w:rsidRPr="0020438F" w:rsidRDefault="0020438F" w:rsidP="0020438F">
      <w:pPr>
        <w:suppressAutoHyphens/>
        <w:ind w:left="851"/>
        <w:rPr>
          <w:bCs/>
          <w:noProof/>
          <w:sz w:val="24"/>
          <w:szCs w:val="24"/>
        </w:rPr>
      </w:pPr>
    </w:p>
    <w:p w14:paraId="054506E9" w14:textId="77777777" w:rsidR="0020438F" w:rsidRPr="0020438F" w:rsidRDefault="0020438F" w:rsidP="0020438F">
      <w:pPr>
        <w:suppressAutoHyphens/>
        <w:ind w:left="851"/>
        <w:rPr>
          <w:bCs/>
          <w:noProof/>
          <w:sz w:val="24"/>
          <w:szCs w:val="24"/>
        </w:rPr>
      </w:pPr>
      <w:r w:rsidRPr="0020438F">
        <w:rPr>
          <w:bCs/>
          <w:noProof/>
          <w:sz w:val="24"/>
          <w:szCs w:val="24"/>
        </w:rPr>
        <w:t>Studier på dyr og mennesker tyder på, at hovedvirkningsmekanismen er øget uveoscleralt afløb, selvom en vis reduktion i afløbsmodstand er blevet rapporteret hos mennesker.</w:t>
      </w:r>
    </w:p>
    <w:p w14:paraId="4426C261" w14:textId="77777777" w:rsidR="0020438F" w:rsidRPr="0020438F" w:rsidRDefault="0020438F" w:rsidP="0020438F">
      <w:pPr>
        <w:suppressAutoHyphens/>
        <w:ind w:left="851"/>
        <w:rPr>
          <w:bCs/>
          <w:i/>
          <w:iCs/>
          <w:noProof/>
          <w:sz w:val="24"/>
          <w:szCs w:val="24"/>
        </w:rPr>
      </w:pPr>
    </w:p>
    <w:p w14:paraId="1DFBE3C0" w14:textId="77777777" w:rsidR="0020438F" w:rsidRPr="0020438F" w:rsidRDefault="0020438F" w:rsidP="0020438F">
      <w:pPr>
        <w:suppressAutoHyphens/>
        <w:ind w:left="851"/>
        <w:rPr>
          <w:bCs/>
          <w:noProof/>
          <w:sz w:val="24"/>
          <w:szCs w:val="24"/>
          <w:u w:val="single"/>
        </w:rPr>
      </w:pPr>
      <w:r w:rsidRPr="0020438F">
        <w:rPr>
          <w:bCs/>
          <w:noProof/>
          <w:sz w:val="24"/>
          <w:szCs w:val="24"/>
          <w:u w:val="single"/>
        </w:rPr>
        <w:t>Farmakodynamisk virkning</w:t>
      </w:r>
    </w:p>
    <w:p w14:paraId="635CEE6D" w14:textId="77777777" w:rsidR="0020438F" w:rsidRPr="0020438F" w:rsidRDefault="0020438F" w:rsidP="0020438F">
      <w:pPr>
        <w:suppressAutoHyphens/>
        <w:ind w:left="851"/>
        <w:rPr>
          <w:bCs/>
          <w:noProof/>
          <w:sz w:val="24"/>
          <w:szCs w:val="24"/>
        </w:rPr>
      </w:pPr>
      <w:r w:rsidRPr="0020438F">
        <w:rPr>
          <w:bCs/>
          <w:noProof/>
          <w:sz w:val="24"/>
          <w:szCs w:val="24"/>
        </w:rPr>
        <w:t>Centrale afprøvninger har vist, at latanoprost er effektiv som monoterapi. Der er endvidere udført kliniske forsøg med kombinationsbehandling. Disse omfatter forsøg som viser, at latanoprost er effektiv i kombination med beta-adrenerge antagonister (timolol). Korttidsstudier (1 eller 2 uger) tyder på, at latanoprosts virkning er additiv ved kombination med adrenerge agonister (dipivalyl epinephrin), orale carboan</w:t>
      </w:r>
      <w:r w:rsidRPr="0020438F">
        <w:rPr>
          <w:bCs/>
          <w:noProof/>
          <w:sz w:val="24"/>
          <w:szCs w:val="24"/>
        </w:rPr>
        <w:softHyphen/>
        <w:t>hydrase hæmmere (acetazolamid) og i hvert fald delvis additiv med cholinerge agonister (pilocarpin).</w:t>
      </w:r>
    </w:p>
    <w:p w14:paraId="7F33B5D8" w14:textId="77777777" w:rsidR="0020438F" w:rsidRPr="0020438F" w:rsidRDefault="0020438F" w:rsidP="0020438F">
      <w:pPr>
        <w:suppressAutoHyphens/>
        <w:ind w:left="851"/>
        <w:rPr>
          <w:bCs/>
          <w:i/>
          <w:iCs/>
          <w:noProof/>
          <w:sz w:val="24"/>
          <w:szCs w:val="24"/>
        </w:rPr>
      </w:pPr>
    </w:p>
    <w:p w14:paraId="7DD40F09" w14:textId="77777777" w:rsidR="0020438F" w:rsidRPr="0020438F" w:rsidRDefault="0020438F" w:rsidP="0020438F">
      <w:pPr>
        <w:suppressAutoHyphens/>
        <w:ind w:left="851"/>
        <w:rPr>
          <w:bCs/>
          <w:noProof/>
          <w:sz w:val="24"/>
          <w:szCs w:val="24"/>
          <w:u w:val="single"/>
        </w:rPr>
      </w:pPr>
      <w:r w:rsidRPr="0020438F">
        <w:rPr>
          <w:bCs/>
          <w:noProof/>
          <w:sz w:val="24"/>
          <w:szCs w:val="24"/>
          <w:u w:val="single"/>
        </w:rPr>
        <w:t>Klinisk virkning og sikkerhed</w:t>
      </w:r>
    </w:p>
    <w:p w14:paraId="4B51B7F1" w14:textId="77777777" w:rsidR="0020438F" w:rsidRPr="0020438F" w:rsidRDefault="0020438F" w:rsidP="0020438F">
      <w:pPr>
        <w:suppressAutoHyphens/>
        <w:ind w:left="851"/>
        <w:rPr>
          <w:bCs/>
          <w:noProof/>
          <w:sz w:val="24"/>
          <w:szCs w:val="24"/>
        </w:rPr>
      </w:pPr>
      <w:r w:rsidRPr="0020438F">
        <w:rPr>
          <w:bCs/>
          <w:noProof/>
          <w:sz w:val="24"/>
          <w:szCs w:val="24"/>
        </w:rPr>
        <w:t>Kliniske afprøvninger har vist, at latanoprost ikke har signifikant virkning på produktionen af kammervand. Latanoprost har ikke vist sig at have nogen virkning på blod-kammervands-barrieren.</w:t>
      </w:r>
    </w:p>
    <w:p w14:paraId="190A7324" w14:textId="77777777" w:rsidR="0020438F" w:rsidRPr="0020438F" w:rsidRDefault="0020438F" w:rsidP="0020438F">
      <w:pPr>
        <w:suppressAutoHyphens/>
        <w:ind w:left="851"/>
        <w:rPr>
          <w:bCs/>
          <w:noProof/>
          <w:sz w:val="24"/>
          <w:szCs w:val="24"/>
        </w:rPr>
      </w:pPr>
    </w:p>
    <w:p w14:paraId="40EFF6B5" w14:textId="77777777" w:rsidR="0020438F" w:rsidRPr="0020438F" w:rsidRDefault="0020438F" w:rsidP="0020438F">
      <w:pPr>
        <w:suppressAutoHyphens/>
        <w:ind w:left="851"/>
        <w:rPr>
          <w:bCs/>
          <w:noProof/>
          <w:sz w:val="24"/>
          <w:szCs w:val="24"/>
        </w:rPr>
      </w:pPr>
      <w:r w:rsidRPr="0020438F">
        <w:rPr>
          <w:bCs/>
          <w:noProof/>
          <w:sz w:val="24"/>
          <w:szCs w:val="24"/>
        </w:rPr>
        <w:t>Latanoprost har ingen eller kun ubetydelig virkning på den intraokulære blodcirkulation, når det anvendes i kliniske doser på aber. Mild til moderat konjunktival eller episcleral hyperæmi kan imidlertid opstå under topikal behandling.</w:t>
      </w:r>
    </w:p>
    <w:p w14:paraId="50D8544C" w14:textId="77777777" w:rsidR="0020438F" w:rsidRPr="0020438F" w:rsidRDefault="0020438F" w:rsidP="0020438F">
      <w:pPr>
        <w:suppressAutoHyphens/>
        <w:ind w:left="851"/>
        <w:rPr>
          <w:bCs/>
          <w:noProof/>
          <w:sz w:val="24"/>
          <w:szCs w:val="24"/>
        </w:rPr>
      </w:pPr>
    </w:p>
    <w:p w14:paraId="1626B995" w14:textId="77777777" w:rsidR="0020438F" w:rsidRPr="0020438F" w:rsidRDefault="0020438F" w:rsidP="0020438F">
      <w:pPr>
        <w:suppressAutoHyphens/>
        <w:ind w:left="851"/>
        <w:rPr>
          <w:bCs/>
          <w:noProof/>
          <w:sz w:val="24"/>
          <w:szCs w:val="24"/>
        </w:rPr>
      </w:pPr>
      <w:r w:rsidRPr="0020438F">
        <w:rPr>
          <w:bCs/>
          <w:noProof/>
          <w:sz w:val="24"/>
          <w:szCs w:val="24"/>
        </w:rPr>
        <w:t>Kronisk latanoprostbehandling af abeøjne, der har gennemgået extrakapsulær linse ekstraktion, påvirkede ikke blodkarrene i retina. Dette blev påvist ved fluorescein angiografi.</w:t>
      </w:r>
    </w:p>
    <w:p w14:paraId="66AA5807" w14:textId="77777777" w:rsidR="0020438F" w:rsidRPr="0020438F" w:rsidRDefault="0020438F" w:rsidP="0020438F">
      <w:pPr>
        <w:suppressAutoHyphens/>
        <w:ind w:left="851"/>
        <w:rPr>
          <w:bCs/>
          <w:noProof/>
          <w:sz w:val="24"/>
          <w:szCs w:val="24"/>
        </w:rPr>
      </w:pPr>
    </w:p>
    <w:p w14:paraId="2FFFE8A6" w14:textId="77777777" w:rsidR="0020438F" w:rsidRPr="0020438F" w:rsidRDefault="0020438F" w:rsidP="0020438F">
      <w:pPr>
        <w:suppressAutoHyphens/>
        <w:ind w:left="851"/>
        <w:rPr>
          <w:bCs/>
          <w:noProof/>
          <w:sz w:val="24"/>
          <w:szCs w:val="24"/>
        </w:rPr>
      </w:pPr>
      <w:r w:rsidRPr="0020438F">
        <w:rPr>
          <w:bCs/>
          <w:noProof/>
          <w:sz w:val="24"/>
          <w:szCs w:val="24"/>
        </w:rPr>
        <w:t>Latanoprost har ikke induceret fluorescein lækage i det bageste kammer i pseudophakiske humane øjne efter kortidsbehandling.</w:t>
      </w:r>
    </w:p>
    <w:p w14:paraId="078CF58F" w14:textId="77777777" w:rsidR="0020438F" w:rsidRPr="0020438F" w:rsidRDefault="0020438F" w:rsidP="0020438F">
      <w:pPr>
        <w:suppressAutoHyphens/>
        <w:ind w:left="851"/>
        <w:rPr>
          <w:bCs/>
          <w:noProof/>
          <w:sz w:val="24"/>
          <w:szCs w:val="24"/>
        </w:rPr>
      </w:pPr>
    </w:p>
    <w:p w14:paraId="45B52CD7" w14:textId="77777777" w:rsidR="0020438F" w:rsidRPr="0020438F" w:rsidRDefault="0020438F" w:rsidP="0020438F">
      <w:pPr>
        <w:suppressAutoHyphens/>
        <w:ind w:left="851"/>
        <w:rPr>
          <w:bCs/>
          <w:noProof/>
          <w:sz w:val="24"/>
          <w:szCs w:val="24"/>
        </w:rPr>
      </w:pPr>
      <w:r w:rsidRPr="0020438F">
        <w:rPr>
          <w:bCs/>
          <w:noProof/>
          <w:sz w:val="24"/>
          <w:szCs w:val="24"/>
        </w:rPr>
        <w:t>Latanoprost i kliniske doser har ikke nogen signifikant farmakologisk virkning på det kardiovaskulære system eller respirationssystemet.</w:t>
      </w:r>
    </w:p>
    <w:p w14:paraId="52860F4B" w14:textId="77777777" w:rsidR="0020438F" w:rsidRPr="0020438F" w:rsidRDefault="0020438F" w:rsidP="0020438F">
      <w:pPr>
        <w:suppressAutoHyphens/>
        <w:ind w:left="851"/>
        <w:rPr>
          <w:bCs/>
          <w:i/>
          <w:iCs/>
          <w:noProof/>
          <w:sz w:val="24"/>
          <w:szCs w:val="24"/>
        </w:rPr>
      </w:pPr>
    </w:p>
    <w:p w14:paraId="7C058C41" w14:textId="77777777" w:rsidR="0020438F" w:rsidRPr="0020438F" w:rsidRDefault="0020438F" w:rsidP="0020438F">
      <w:pPr>
        <w:suppressAutoHyphens/>
        <w:ind w:left="851"/>
        <w:rPr>
          <w:noProof/>
          <w:sz w:val="24"/>
          <w:szCs w:val="24"/>
        </w:rPr>
      </w:pPr>
      <w:r w:rsidRPr="0020438F">
        <w:rPr>
          <w:bCs/>
          <w:noProof/>
          <w:sz w:val="24"/>
          <w:szCs w:val="24"/>
          <w:u w:val="single"/>
        </w:rPr>
        <w:t>Pædiatrisk population</w:t>
      </w:r>
    </w:p>
    <w:p w14:paraId="7BE29BE9" w14:textId="77777777" w:rsidR="0020438F" w:rsidRPr="0020438F" w:rsidRDefault="0020438F" w:rsidP="0020438F">
      <w:pPr>
        <w:ind w:left="851"/>
        <w:rPr>
          <w:sz w:val="24"/>
          <w:szCs w:val="24"/>
        </w:rPr>
      </w:pPr>
      <w:r w:rsidRPr="0020438F">
        <w:rPr>
          <w:sz w:val="24"/>
          <w:szCs w:val="24"/>
        </w:rPr>
        <w:t>Effekten af latanoprost hos pædiatriske patienter ≤ 18 år blev vist i et 12-ugers, dobbeltblindet klinisk forsøg, hvor latanoprost blev sammenlignet med timolol hos 107 patienter diagnosticeret med okulær hypertension og pædiatrisk glaukom. For nyfødte skulle gestationsalderen være mindst 36 uger. Patienterne fik enten latanoprost 50 mikrogram/ml 1 gang dagligt eller timolol 5 mg/ml (eller valgfrit 2,5 mg/ml for patienter yngre end 3 år) to gange dagligt. Det primære effektendepunkt var den gennemsnitlige reduktion i IOP fra baseline ved uge 12 af undersøgelsen. Den gennemsnitlige reduktion i IOP i latanoprost- og timolol-grupperne var ens. I alle de undersøgte aldersgrupper (0 - &lt;3 år, 3 - &lt;12 år og 12 - 18 år) var den gennemsnitlige reduktion i IOP ved uge 12 i latanoprost- gruppen den samme som i timolol-gruppen. Imidlertid var effektdata for aldersgruppen 0 - &lt;3 år kun baseret på 13</w:t>
      </w:r>
      <w:r w:rsidRPr="0020438F">
        <w:rPr>
          <w:spacing w:val="-3"/>
          <w:sz w:val="24"/>
          <w:szCs w:val="24"/>
          <w:lang w:eastAsia="da-DK"/>
        </w:rPr>
        <w:t xml:space="preserve"> </w:t>
      </w:r>
      <w:r w:rsidRPr="0020438F">
        <w:rPr>
          <w:sz w:val="24"/>
          <w:szCs w:val="24"/>
        </w:rPr>
        <w:t xml:space="preserve">patienter for latanoprost og ingen relvant effekt blev set hos de 4 patienter, som udgjorde aldersgruppen 0- &lt;1 år. Der findes ingen data for præmature børn (gestationsalder under 36 uge). </w:t>
      </w:r>
    </w:p>
    <w:p w14:paraId="3F84350D" w14:textId="77777777" w:rsidR="0020438F" w:rsidRPr="0020438F" w:rsidRDefault="0020438F" w:rsidP="0020438F">
      <w:pPr>
        <w:ind w:left="851"/>
        <w:rPr>
          <w:sz w:val="24"/>
          <w:szCs w:val="24"/>
        </w:rPr>
      </w:pPr>
    </w:p>
    <w:p w14:paraId="4DF413DB" w14:textId="77777777" w:rsidR="0020438F" w:rsidRPr="0020438F" w:rsidRDefault="0020438F" w:rsidP="0020438F">
      <w:pPr>
        <w:ind w:left="851"/>
        <w:rPr>
          <w:sz w:val="24"/>
          <w:szCs w:val="24"/>
        </w:rPr>
      </w:pPr>
      <w:r w:rsidRPr="0020438F">
        <w:rPr>
          <w:sz w:val="24"/>
          <w:szCs w:val="24"/>
        </w:rPr>
        <w:t>Reduktion i IOP hos patienter i undergruppen med PCG var ens i latanoprost- og timolol-gruppen. Ikke-PCG-undergruppen (f.eks. juvenil åbenvinklet glaukom og afakisk glaukom) viste lignende resultater som PCG-undergruppen.</w:t>
      </w:r>
    </w:p>
    <w:p w14:paraId="27AA941F" w14:textId="77777777" w:rsidR="0020438F" w:rsidRPr="0020438F" w:rsidRDefault="0020438F" w:rsidP="0020438F">
      <w:pPr>
        <w:ind w:left="851"/>
        <w:rPr>
          <w:sz w:val="24"/>
          <w:szCs w:val="24"/>
        </w:rPr>
      </w:pPr>
    </w:p>
    <w:p w14:paraId="560141C0" w14:textId="77777777" w:rsidR="0020438F" w:rsidRPr="0020438F" w:rsidRDefault="0020438F" w:rsidP="0020438F">
      <w:pPr>
        <w:ind w:left="851"/>
        <w:rPr>
          <w:b/>
          <w:bCs/>
          <w:sz w:val="24"/>
          <w:szCs w:val="24"/>
        </w:rPr>
      </w:pPr>
      <w:r w:rsidRPr="0020438F">
        <w:rPr>
          <w:sz w:val="24"/>
          <w:szCs w:val="24"/>
        </w:rPr>
        <w:t>Der blev set effekt på IOP efter den første uge af behandlingen, og effekten blev opretholdt gennem hele den 12 uger lange forsøgsperiode, som hos voksne, se tabellen.</w:t>
      </w:r>
    </w:p>
    <w:p w14:paraId="09445073" w14:textId="77777777" w:rsidR="0020438F" w:rsidRPr="0020438F" w:rsidRDefault="0020438F" w:rsidP="0020438F">
      <w:pPr>
        <w:ind w:left="851"/>
        <w:rPr>
          <w:sz w:val="24"/>
          <w:szCs w:val="24"/>
        </w:rPr>
      </w:pPr>
    </w:p>
    <w:tbl>
      <w:tblPr>
        <w:tblW w:w="779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418"/>
        <w:gridCol w:w="1417"/>
        <w:gridCol w:w="1286"/>
        <w:gridCol w:w="1157"/>
      </w:tblGrid>
      <w:tr w:rsidR="0020438F" w:rsidRPr="0020438F" w14:paraId="4BB03775" w14:textId="77777777" w:rsidTr="0020438F">
        <w:tc>
          <w:tcPr>
            <w:tcW w:w="7796" w:type="dxa"/>
            <w:gridSpan w:val="5"/>
            <w:tcBorders>
              <w:top w:val="single" w:sz="4" w:space="0" w:color="auto"/>
              <w:left w:val="single" w:sz="4" w:space="0" w:color="auto"/>
              <w:bottom w:val="single" w:sz="4" w:space="0" w:color="auto"/>
              <w:right w:val="single" w:sz="4" w:space="0" w:color="auto"/>
            </w:tcBorders>
            <w:hideMark/>
          </w:tcPr>
          <w:p w14:paraId="1CCEFC42" w14:textId="77777777" w:rsidR="0020438F" w:rsidRPr="0020438F" w:rsidRDefault="0020438F" w:rsidP="0020438F">
            <w:pPr>
              <w:keepNext/>
              <w:tabs>
                <w:tab w:val="left" w:pos="1481"/>
              </w:tabs>
              <w:rPr>
                <w:sz w:val="20"/>
              </w:rPr>
            </w:pPr>
            <w:r w:rsidRPr="0020438F">
              <w:rPr>
                <w:b/>
                <w:bCs/>
                <w:sz w:val="20"/>
              </w:rPr>
              <w:t>Tabel: Reduktion i IOP (mmHg) ved uge 12 samt behandlings undergrupper og baseline-diagnose</w:t>
            </w:r>
          </w:p>
        </w:tc>
      </w:tr>
      <w:tr w:rsidR="0020438F" w:rsidRPr="0020438F" w14:paraId="66BD27D0" w14:textId="77777777" w:rsidTr="0020438F">
        <w:tc>
          <w:tcPr>
            <w:tcW w:w="2518" w:type="dxa"/>
            <w:tcBorders>
              <w:top w:val="single" w:sz="4" w:space="0" w:color="auto"/>
              <w:left w:val="single" w:sz="4" w:space="0" w:color="auto"/>
              <w:bottom w:val="single" w:sz="4" w:space="0" w:color="auto"/>
              <w:right w:val="single" w:sz="4" w:space="0" w:color="auto"/>
            </w:tcBorders>
          </w:tcPr>
          <w:p w14:paraId="424C6848" w14:textId="77777777" w:rsidR="0020438F" w:rsidRPr="0020438F" w:rsidRDefault="0020438F" w:rsidP="0020438F">
            <w:pPr>
              <w:keepNext/>
              <w:tabs>
                <w:tab w:val="left" w:pos="1481"/>
              </w:tabs>
              <w:rPr>
                <w:sz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084977C3" w14:textId="77777777" w:rsidR="0020438F" w:rsidRPr="0020438F" w:rsidRDefault="0020438F" w:rsidP="0020438F">
            <w:pPr>
              <w:keepNext/>
              <w:tabs>
                <w:tab w:val="left" w:pos="1481"/>
              </w:tabs>
              <w:rPr>
                <w:b/>
                <w:bCs/>
                <w:sz w:val="20"/>
                <w:lang w:val="en-US"/>
              </w:rPr>
            </w:pPr>
            <w:r w:rsidRPr="0020438F">
              <w:rPr>
                <w:b/>
                <w:bCs/>
                <w:sz w:val="20"/>
                <w:lang w:val="el-GR"/>
              </w:rPr>
              <w:t>Latanoprost</w:t>
            </w:r>
            <w:r w:rsidRPr="0020438F">
              <w:rPr>
                <w:b/>
                <w:bCs/>
                <w:sz w:val="20"/>
                <w:lang w:val="en-US"/>
              </w:rPr>
              <w:t xml:space="preserve"> </w:t>
            </w:r>
          </w:p>
          <w:p w14:paraId="05843302" w14:textId="77777777" w:rsidR="0020438F" w:rsidRPr="0020438F" w:rsidRDefault="0020438F" w:rsidP="0020438F">
            <w:pPr>
              <w:keepNext/>
              <w:tabs>
                <w:tab w:val="left" w:pos="1481"/>
              </w:tabs>
              <w:rPr>
                <w:sz w:val="20"/>
                <w:lang w:val="en-US"/>
              </w:rPr>
            </w:pPr>
            <w:r w:rsidRPr="0020438F">
              <w:rPr>
                <w:b/>
                <w:bCs/>
                <w:sz w:val="20"/>
                <w:lang w:val="el-GR"/>
              </w:rPr>
              <w:t>N=53</w:t>
            </w:r>
          </w:p>
        </w:tc>
        <w:tc>
          <w:tcPr>
            <w:tcW w:w="2443" w:type="dxa"/>
            <w:gridSpan w:val="2"/>
            <w:tcBorders>
              <w:top w:val="single" w:sz="4" w:space="0" w:color="auto"/>
              <w:left w:val="single" w:sz="4" w:space="0" w:color="auto"/>
              <w:bottom w:val="single" w:sz="4" w:space="0" w:color="auto"/>
              <w:right w:val="single" w:sz="4" w:space="0" w:color="auto"/>
            </w:tcBorders>
            <w:hideMark/>
          </w:tcPr>
          <w:p w14:paraId="3BA58BEC" w14:textId="77777777" w:rsidR="0020438F" w:rsidRPr="0020438F" w:rsidRDefault="0020438F" w:rsidP="0020438F">
            <w:pPr>
              <w:keepNext/>
              <w:tabs>
                <w:tab w:val="left" w:pos="1481"/>
              </w:tabs>
              <w:rPr>
                <w:b/>
                <w:bCs/>
                <w:sz w:val="20"/>
                <w:lang w:val="en-US"/>
              </w:rPr>
            </w:pPr>
            <w:r w:rsidRPr="0020438F">
              <w:rPr>
                <w:b/>
                <w:bCs/>
                <w:sz w:val="20"/>
                <w:lang w:val="el-GR"/>
              </w:rPr>
              <w:t>Timolol</w:t>
            </w:r>
            <w:r w:rsidRPr="0020438F">
              <w:rPr>
                <w:b/>
                <w:bCs/>
                <w:sz w:val="20"/>
                <w:lang w:val="en-US"/>
              </w:rPr>
              <w:t xml:space="preserve"> </w:t>
            </w:r>
          </w:p>
          <w:p w14:paraId="58F5BF6A" w14:textId="77777777" w:rsidR="0020438F" w:rsidRPr="0020438F" w:rsidRDefault="0020438F" w:rsidP="0020438F">
            <w:pPr>
              <w:keepNext/>
              <w:tabs>
                <w:tab w:val="left" w:pos="1481"/>
              </w:tabs>
              <w:rPr>
                <w:sz w:val="20"/>
                <w:lang w:val="en-US"/>
              </w:rPr>
            </w:pPr>
            <w:r w:rsidRPr="0020438F">
              <w:rPr>
                <w:b/>
                <w:bCs/>
                <w:sz w:val="20"/>
                <w:lang w:val="el-GR"/>
              </w:rPr>
              <w:t>N=54</w:t>
            </w:r>
          </w:p>
        </w:tc>
      </w:tr>
      <w:tr w:rsidR="0020438F" w:rsidRPr="0020438F" w14:paraId="74F6DD0E" w14:textId="77777777" w:rsidTr="0020438F">
        <w:tc>
          <w:tcPr>
            <w:tcW w:w="2518" w:type="dxa"/>
            <w:tcBorders>
              <w:top w:val="single" w:sz="4" w:space="0" w:color="auto"/>
              <w:left w:val="single" w:sz="4" w:space="0" w:color="auto"/>
              <w:bottom w:val="single" w:sz="4" w:space="0" w:color="auto"/>
              <w:right w:val="single" w:sz="4" w:space="0" w:color="auto"/>
            </w:tcBorders>
            <w:hideMark/>
          </w:tcPr>
          <w:p w14:paraId="01AD3C65" w14:textId="77777777" w:rsidR="0020438F" w:rsidRPr="0020438F" w:rsidRDefault="0020438F" w:rsidP="0020438F">
            <w:pPr>
              <w:autoSpaceDE w:val="0"/>
              <w:autoSpaceDN w:val="0"/>
              <w:adjustRightInd w:val="0"/>
              <w:rPr>
                <w:sz w:val="20"/>
                <w:lang w:val="el-GR"/>
              </w:rPr>
            </w:pPr>
            <w:r w:rsidRPr="0020438F">
              <w:rPr>
                <w:sz w:val="20"/>
                <w:lang w:val="el-GR"/>
              </w:rPr>
              <w:t>Baseline, gennemsnit (SE)</w:t>
            </w:r>
          </w:p>
        </w:tc>
        <w:tc>
          <w:tcPr>
            <w:tcW w:w="2835" w:type="dxa"/>
            <w:gridSpan w:val="2"/>
            <w:tcBorders>
              <w:top w:val="single" w:sz="4" w:space="0" w:color="auto"/>
              <w:left w:val="single" w:sz="4" w:space="0" w:color="auto"/>
              <w:bottom w:val="single" w:sz="4" w:space="0" w:color="auto"/>
              <w:right w:val="single" w:sz="4" w:space="0" w:color="auto"/>
            </w:tcBorders>
            <w:hideMark/>
          </w:tcPr>
          <w:p w14:paraId="6DF29C65" w14:textId="77777777" w:rsidR="0020438F" w:rsidRPr="0020438F" w:rsidRDefault="0020438F" w:rsidP="0020438F">
            <w:pPr>
              <w:keepNext/>
              <w:autoSpaceDE w:val="0"/>
              <w:autoSpaceDN w:val="0"/>
              <w:adjustRightInd w:val="0"/>
              <w:rPr>
                <w:sz w:val="20"/>
              </w:rPr>
            </w:pPr>
            <w:r w:rsidRPr="0020438F">
              <w:rPr>
                <w:sz w:val="20"/>
                <w:lang w:val="el-GR"/>
              </w:rPr>
              <w:t>27.3 (0.75)</w:t>
            </w:r>
          </w:p>
        </w:tc>
        <w:tc>
          <w:tcPr>
            <w:tcW w:w="2443" w:type="dxa"/>
            <w:gridSpan w:val="2"/>
            <w:tcBorders>
              <w:top w:val="single" w:sz="4" w:space="0" w:color="auto"/>
              <w:left w:val="single" w:sz="4" w:space="0" w:color="auto"/>
              <w:bottom w:val="single" w:sz="4" w:space="0" w:color="auto"/>
              <w:right w:val="single" w:sz="4" w:space="0" w:color="auto"/>
            </w:tcBorders>
            <w:hideMark/>
          </w:tcPr>
          <w:p w14:paraId="0F66C742" w14:textId="77777777" w:rsidR="0020438F" w:rsidRPr="0020438F" w:rsidRDefault="0020438F" w:rsidP="0020438F">
            <w:pPr>
              <w:keepNext/>
              <w:autoSpaceDE w:val="0"/>
              <w:autoSpaceDN w:val="0"/>
              <w:adjustRightInd w:val="0"/>
              <w:rPr>
                <w:sz w:val="20"/>
              </w:rPr>
            </w:pPr>
            <w:r w:rsidRPr="0020438F">
              <w:rPr>
                <w:sz w:val="20"/>
                <w:lang w:val="el-GR"/>
              </w:rPr>
              <w:t>27.8 (0.84)</w:t>
            </w:r>
          </w:p>
        </w:tc>
      </w:tr>
      <w:tr w:rsidR="0020438F" w:rsidRPr="0020438F" w14:paraId="5AD01C9D" w14:textId="77777777" w:rsidTr="0020438F">
        <w:tc>
          <w:tcPr>
            <w:tcW w:w="2518" w:type="dxa"/>
            <w:tcBorders>
              <w:top w:val="single" w:sz="4" w:space="0" w:color="auto"/>
              <w:left w:val="single" w:sz="4" w:space="0" w:color="auto"/>
              <w:bottom w:val="single" w:sz="4" w:space="0" w:color="auto"/>
              <w:right w:val="single" w:sz="4" w:space="0" w:color="auto"/>
            </w:tcBorders>
            <w:hideMark/>
          </w:tcPr>
          <w:p w14:paraId="3D8B5720" w14:textId="77777777" w:rsidR="0020438F" w:rsidRPr="0020438F" w:rsidRDefault="0020438F" w:rsidP="0020438F">
            <w:pPr>
              <w:autoSpaceDE w:val="0"/>
              <w:autoSpaceDN w:val="0"/>
              <w:adjustRightInd w:val="0"/>
              <w:rPr>
                <w:sz w:val="20"/>
                <w:lang w:val="el-GR"/>
              </w:rPr>
            </w:pPr>
            <w:r w:rsidRPr="0020438F">
              <w:rPr>
                <w:sz w:val="20"/>
                <w:lang w:val="el-GR"/>
              </w:rPr>
              <w:t xml:space="preserve">Gennemsnitlig ændring fra baseline ved uge 12† (SE) </w:t>
            </w:r>
          </w:p>
        </w:tc>
        <w:tc>
          <w:tcPr>
            <w:tcW w:w="2835" w:type="dxa"/>
            <w:gridSpan w:val="2"/>
            <w:tcBorders>
              <w:top w:val="single" w:sz="4" w:space="0" w:color="auto"/>
              <w:left w:val="single" w:sz="4" w:space="0" w:color="auto"/>
              <w:bottom w:val="single" w:sz="4" w:space="0" w:color="auto"/>
              <w:right w:val="single" w:sz="4" w:space="0" w:color="auto"/>
            </w:tcBorders>
            <w:hideMark/>
          </w:tcPr>
          <w:p w14:paraId="259A35FA" w14:textId="77777777" w:rsidR="0020438F" w:rsidRPr="0020438F" w:rsidRDefault="0020438F" w:rsidP="0020438F">
            <w:pPr>
              <w:rPr>
                <w:sz w:val="20"/>
              </w:rPr>
            </w:pPr>
            <w:r w:rsidRPr="0020438F">
              <w:rPr>
                <w:sz w:val="20"/>
                <w:lang w:val="el-GR"/>
              </w:rPr>
              <w:t>-7.18 (0.81)</w:t>
            </w:r>
          </w:p>
        </w:tc>
        <w:tc>
          <w:tcPr>
            <w:tcW w:w="2443" w:type="dxa"/>
            <w:gridSpan w:val="2"/>
            <w:tcBorders>
              <w:top w:val="single" w:sz="4" w:space="0" w:color="auto"/>
              <w:left w:val="single" w:sz="4" w:space="0" w:color="auto"/>
              <w:bottom w:val="single" w:sz="4" w:space="0" w:color="auto"/>
              <w:right w:val="single" w:sz="4" w:space="0" w:color="auto"/>
            </w:tcBorders>
            <w:hideMark/>
          </w:tcPr>
          <w:p w14:paraId="28157902" w14:textId="77777777" w:rsidR="0020438F" w:rsidRPr="0020438F" w:rsidRDefault="0020438F" w:rsidP="0020438F">
            <w:pPr>
              <w:rPr>
                <w:sz w:val="20"/>
              </w:rPr>
            </w:pPr>
            <w:r w:rsidRPr="0020438F">
              <w:rPr>
                <w:sz w:val="20"/>
                <w:lang w:val="el-GR"/>
              </w:rPr>
              <w:t>-5.72 (0.81)</w:t>
            </w:r>
          </w:p>
        </w:tc>
      </w:tr>
      <w:tr w:rsidR="0020438F" w:rsidRPr="0020438F" w14:paraId="64767058" w14:textId="77777777" w:rsidTr="0020438F">
        <w:tc>
          <w:tcPr>
            <w:tcW w:w="2518" w:type="dxa"/>
            <w:tcBorders>
              <w:top w:val="single" w:sz="4" w:space="0" w:color="auto"/>
              <w:left w:val="single" w:sz="4" w:space="0" w:color="auto"/>
              <w:bottom w:val="single" w:sz="4" w:space="0" w:color="auto"/>
              <w:right w:val="single" w:sz="4" w:space="0" w:color="auto"/>
            </w:tcBorders>
            <w:hideMark/>
          </w:tcPr>
          <w:p w14:paraId="7CE69989" w14:textId="77777777" w:rsidR="0020438F" w:rsidRPr="0020438F" w:rsidRDefault="0020438F" w:rsidP="0020438F">
            <w:pPr>
              <w:autoSpaceDE w:val="0"/>
              <w:autoSpaceDN w:val="0"/>
              <w:adjustRightInd w:val="0"/>
              <w:rPr>
                <w:sz w:val="20"/>
                <w:lang w:val="el-GR"/>
              </w:rPr>
            </w:pPr>
            <w:r w:rsidRPr="0020438F">
              <w:rPr>
                <w:i/>
                <w:iCs/>
                <w:sz w:val="20"/>
                <w:lang w:val="el-GR"/>
              </w:rPr>
              <w:t>p</w:t>
            </w:r>
            <w:r w:rsidRPr="0020438F">
              <w:rPr>
                <w:sz w:val="20"/>
                <w:lang w:val="el-GR"/>
              </w:rPr>
              <w:t xml:space="preserve">-værdi vs. timolol </w:t>
            </w:r>
          </w:p>
        </w:tc>
        <w:tc>
          <w:tcPr>
            <w:tcW w:w="5278" w:type="dxa"/>
            <w:gridSpan w:val="4"/>
            <w:tcBorders>
              <w:top w:val="single" w:sz="4" w:space="0" w:color="auto"/>
              <w:left w:val="single" w:sz="4" w:space="0" w:color="auto"/>
              <w:bottom w:val="single" w:sz="4" w:space="0" w:color="auto"/>
              <w:right w:val="single" w:sz="4" w:space="0" w:color="auto"/>
            </w:tcBorders>
            <w:hideMark/>
          </w:tcPr>
          <w:p w14:paraId="359D0931" w14:textId="77777777" w:rsidR="0020438F" w:rsidRPr="0020438F" w:rsidRDefault="0020438F" w:rsidP="0020438F">
            <w:pPr>
              <w:tabs>
                <w:tab w:val="left" w:pos="1481"/>
              </w:tabs>
              <w:rPr>
                <w:sz w:val="20"/>
                <w:lang w:val="en-US"/>
              </w:rPr>
            </w:pPr>
            <w:r w:rsidRPr="0020438F">
              <w:rPr>
                <w:sz w:val="20"/>
                <w:lang w:val="el-GR"/>
              </w:rPr>
              <w:t>0.2056</w:t>
            </w:r>
          </w:p>
        </w:tc>
      </w:tr>
      <w:tr w:rsidR="0020438F" w:rsidRPr="0020438F" w14:paraId="545E6B96" w14:textId="77777777" w:rsidTr="0020438F">
        <w:tc>
          <w:tcPr>
            <w:tcW w:w="2518" w:type="dxa"/>
            <w:tcBorders>
              <w:top w:val="single" w:sz="4" w:space="0" w:color="auto"/>
              <w:left w:val="single" w:sz="4" w:space="0" w:color="auto"/>
              <w:bottom w:val="single" w:sz="4" w:space="0" w:color="auto"/>
              <w:right w:val="single" w:sz="4" w:space="0" w:color="auto"/>
            </w:tcBorders>
          </w:tcPr>
          <w:p w14:paraId="2EC0CE1D" w14:textId="77777777" w:rsidR="0020438F" w:rsidRPr="0020438F" w:rsidRDefault="0020438F" w:rsidP="0020438F">
            <w:pPr>
              <w:tabs>
                <w:tab w:val="left" w:pos="1481"/>
              </w:tabs>
              <w:rPr>
                <w:sz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35B008D3" w14:textId="77777777" w:rsidR="0020438F" w:rsidRPr="0020438F" w:rsidRDefault="0020438F" w:rsidP="0020438F">
            <w:pPr>
              <w:tabs>
                <w:tab w:val="left" w:pos="1481"/>
              </w:tabs>
              <w:rPr>
                <w:b/>
                <w:bCs/>
                <w:sz w:val="20"/>
                <w:lang w:val="el-GR"/>
              </w:rPr>
            </w:pPr>
            <w:r w:rsidRPr="0020438F">
              <w:rPr>
                <w:b/>
                <w:bCs/>
                <w:sz w:val="20"/>
                <w:lang w:val="el-GR"/>
              </w:rPr>
              <w:t>PCG</w:t>
            </w:r>
          </w:p>
          <w:p w14:paraId="3D4F5BC5" w14:textId="77777777" w:rsidR="0020438F" w:rsidRPr="0020438F" w:rsidRDefault="0020438F" w:rsidP="0020438F">
            <w:pPr>
              <w:tabs>
                <w:tab w:val="left" w:pos="1481"/>
              </w:tabs>
              <w:rPr>
                <w:sz w:val="20"/>
                <w:lang w:val="en-US"/>
              </w:rPr>
            </w:pPr>
            <w:r w:rsidRPr="0020438F">
              <w:rPr>
                <w:b/>
                <w:bCs/>
                <w:sz w:val="20"/>
                <w:lang w:val="el-GR"/>
              </w:rPr>
              <w:t>N=28</w:t>
            </w:r>
          </w:p>
        </w:tc>
        <w:tc>
          <w:tcPr>
            <w:tcW w:w="1417" w:type="dxa"/>
            <w:tcBorders>
              <w:top w:val="single" w:sz="4" w:space="0" w:color="auto"/>
              <w:left w:val="single" w:sz="4" w:space="0" w:color="auto"/>
              <w:bottom w:val="single" w:sz="4" w:space="0" w:color="auto"/>
              <w:right w:val="single" w:sz="4" w:space="0" w:color="auto"/>
            </w:tcBorders>
            <w:hideMark/>
          </w:tcPr>
          <w:p w14:paraId="28807B98" w14:textId="77777777" w:rsidR="0020438F" w:rsidRPr="0020438F" w:rsidRDefault="0020438F" w:rsidP="0020438F">
            <w:pPr>
              <w:tabs>
                <w:tab w:val="left" w:pos="1481"/>
              </w:tabs>
              <w:rPr>
                <w:b/>
                <w:bCs/>
                <w:sz w:val="20"/>
                <w:lang w:val="el-GR"/>
              </w:rPr>
            </w:pPr>
            <w:r w:rsidRPr="0020438F">
              <w:rPr>
                <w:b/>
                <w:bCs/>
                <w:sz w:val="20"/>
                <w:lang w:val="el-GR"/>
              </w:rPr>
              <w:t>Non-PCG</w:t>
            </w:r>
          </w:p>
          <w:p w14:paraId="641246B1" w14:textId="77777777" w:rsidR="0020438F" w:rsidRPr="0020438F" w:rsidRDefault="0020438F" w:rsidP="0020438F">
            <w:pPr>
              <w:tabs>
                <w:tab w:val="left" w:pos="1481"/>
              </w:tabs>
              <w:rPr>
                <w:sz w:val="20"/>
                <w:lang w:val="en-US"/>
              </w:rPr>
            </w:pPr>
            <w:r w:rsidRPr="0020438F">
              <w:rPr>
                <w:b/>
                <w:bCs/>
                <w:sz w:val="20"/>
                <w:lang w:val="el-GR"/>
              </w:rPr>
              <w:t>N=25</w:t>
            </w:r>
          </w:p>
        </w:tc>
        <w:tc>
          <w:tcPr>
            <w:tcW w:w="1286" w:type="dxa"/>
            <w:tcBorders>
              <w:top w:val="single" w:sz="4" w:space="0" w:color="auto"/>
              <w:left w:val="single" w:sz="4" w:space="0" w:color="auto"/>
              <w:bottom w:val="single" w:sz="4" w:space="0" w:color="auto"/>
              <w:right w:val="single" w:sz="4" w:space="0" w:color="auto"/>
            </w:tcBorders>
            <w:hideMark/>
          </w:tcPr>
          <w:p w14:paraId="2C2ED14A" w14:textId="77777777" w:rsidR="0020438F" w:rsidRPr="0020438F" w:rsidRDefault="0020438F" w:rsidP="0020438F">
            <w:pPr>
              <w:tabs>
                <w:tab w:val="left" w:pos="1481"/>
              </w:tabs>
              <w:rPr>
                <w:b/>
                <w:bCs/>
                <w:sz w:val="20"/>
                <w:lang w:val="el-GR"/>
              </w:rPr>
            </w:pPr>
            <w:r w:rsidRPr="0020438F">
              <w:rPr>
                <w:b/>
                <w:bCs/>
                <w:sz w:val="20"/>
                <w:lang w:val="el-GR"/>
              </w:rPr>
              <w:t>PCG</w:t>
            </w:r>
          </w:p>
          <w:p w14:paraId="1B1FC752" w14:textId="77777777" w:rsidR="0020438F" w:rsidRPr="0020438F" w:rsidRDefault="0020438F" w:rsidP="0020438F">
            <w:pPr>
              <w:tabs>
                <w:tab w:val="left" w:pos="1481"/>
              </w:tabs>
              <w:rPr>
                <w:sz w:val="20"/>
                <w:lang w:val="en-US"/>
              </w:rPr>
            </w:pPr>
            <w:r w:rsidRPr="0020438F">
              <w:rPr>
                <w:b/>
                <w:bCs/>
                <w:sz w:val="20"/>
                <w:lang w:val="el-GR"/>
              </w:rPr>
              <w:t>N=26</w:t>
            </w:r>
          </w:p>
        </w:tc>
        <w:tc>
          <w:tcPr>
            <w:tcW w:w="1157" w:type="dxa"/>
            <w:tcBorders>
              <w:top w:val="single" w:sz="4" w:space="0" w:color="auto"/>
              <w:left w:val="single" w:sz="4" w:space="0" w:color="auto"/>
              <w:bottom w:val="single" w:sz="4" w:space="0" w:color="auto"/>
              <w:right w:val="single" w:sz="4" w:space="0" w:color="auto"/>
            </w:tcBorders>
            <w:hideMark/>
          </w:tcPr>
          <w:p w14:paraId="2D2E5A8C" w14:textId="77777777" w:rsidR="0020438F" w:rsidRPr="0020438F" w:rsidRDefault="0020438F" w:rsidP="0020438F">
            <w:pPr>
              <w:tabs>
                <w:tab w:val="left" w:pos="1481"/>
              </w:tabs>
              <w:rPr>
                <w:b/>
                <w:bCs/>
                <w:sz w:val="20"/>
                <w:lang w:val="el-GR"/>
              </w:rPr>
            </w:pPr>
            <w:r w:rsidRPr="0020438F">
              <w:rPr>
                <w:b/>
                <w:bCs/>
                <w:sz w:val="20"/>
                <w:lang w:val="el-GR"/>
              </w:rPr>
              <w:t>Non-PCG</w:t>
            </w:r>
          </w:p>
          <w:p w14:paraId="66548AD1" w14:textId="77777777" w:rsidR="0020438F" w:rsidRPr="0020438F" w:rsidRDefault="0020438F" w:rsidP="0020438F">
            <w:pPr>
              <w:tabs>
                <w:tab w:val="left" w:pos="1481"/>
              </w:tabs>
              <w:rPr>
                <w:sz w:val="20"/>
                <w:lang w:val="en-US"/>
              </w:rPr>
            </w:pPr>
            <w:r w:rsidRPr="0020438F">
              <w:rPr>
                <w:b/>
                <w:bCs/>
                <w:sz w:val="20"/>
                <w:lang w:val="el-GR"/>
              </w:rPr>
              <w:t>N=28</w:t>
            </w:r>
          </w:p>
        </w:tc>
      </w:tr>
      <w:tr w:rsidR="0020438F" w:rsidRPr="0020438F" w14:paraId="55DB71A4" w14:textId="77777777" w:rsidTr="0020438F">
        <w:tc>
          <w:tcPr>
            <w:tcW w:w="2518" w:type="dxa"/>
            <w:tcBorders>
              <w:top w:val="single" w:sz="4" w:space="0" w:color="auto"/>
              <w:left w:val="single" w:sz="4" w:space="0" w:color="auto"/>
              <w:bottom w:val="single" w:sz="4" w:space="0" w:color="auto"/>
              <w:right w:val="single" w:sz="4" w:space="0" w:color="auto"/>
            </w:tcBorders>
            <w:hideMark/>
          </w:tcPr>
          <w:p w14:paraId="45523667" w14:textId="77777777" w:rsidR="0020438F" w:rsidRPr="0020438F" w:rsidRDefault="0020438F" w:rsidP="0020438F">
            <w:pPr>
              <w:autoSpaceDE w:val="0"/>
              <w:autoSpaceDN w:val="0"/>
              <w:adjustRightInd w:val="0"/>
              <w:rPr>
                <w:sz w:val="20"/>
                <w:lang w:val="en-US"/>
              </w:rPr>
            </w:pPr>
            <w:r w:rsidRPr="0020438F">
              <w:rPr>
                <w:sz w:val="20"/>
                <w:lang w:val="el-GR"/>
              </w:rPr>
              <w:t>Baseline, gennemsnit (SE)</w:t>
            </w:r>
          </w:p>
        </w:tc>
        <w:tc>
          <w:tcPr>
            <w:tcW w:w="1418" w:type="dxa"/>
            <w:tcBorders>
              <w:top w:val="single" w:sz="4" w:space="0" w:color="auto"/>
              <w:left w:val="single" w:sz="4" w:space="0" w:color="auto"/>
              <w:bottom w:val="single" w:sz="4" w:space="0" w:color="auto"/>
              <w:right w:val="single" w:sz="4" w:space="0" w:color="auto"/>
            </w:tcBorders>
            <w:hideMark/>
          </w:tcPr>
          <w:p w14:paraId="7DFDF03F" w14:textId="77777777" w:rsidR="0020438F" w:rsidRPr="0020438F" w:rsidRDefault="0020438F" w:rsidP="0020438F">
            <w:pPr>
              <w:tabs>
                <w:tab w:val="left" w:pos="1481"/>
              </w:tabs>
              <w:rPr>
                <w:bCs/>
                <w:sz w:val="20"/>
                <w:lang w:val="el-GR"/>
              </w:rPr>
            </w:pPr>
            <w:r w:rsidRPr="0020438F">
              <w:rPr>
                <w:bCs/>
                <w:sz w:val="20"/>
                <w:lang w:val="el-GR"/>
              </w:rPr>
              <w:t>26.5 (0.72)</w:t>
            </w:r>
          </w:p>
        </w:tc>
        <w:tc>
          <w:tcPr>
            <w:tcW w:w="1417" w:type="dxa"/>
            <w:tcBorders>
              <w:top w:val="single" w:sz="4" w:space="0" w:color="auto"/>
              <w:left w:val="single" w:sz="4" w:space="0" w:color="auto"/>
              <w:bottom w:val="single" w:sz="4" w:space="0" w:color="auto"/>
              <w:right w:val="single" w:sz="4" w:space="0" w:color="auto"/>
            </w:tcBorders>
            <w:hideMark/>
          </w:tcPr>
          <w:p w14:paraId="11F69122" w14:textId="77777777" w:rsidR="0020438F" w:rsidRPr="0020438F" w:rsidRDefault="0020438F" w:rsidP="0020438F">
            <w:pPr>
              <w:tabs>
                <w:tab w:val="left" w:pos="1481"/>
              </w:tabs>
              <w:rPr>
                <w:bCs/>
                <w:sz w:val="20"/>
                <w:lang w:val="el-GR"/>
              </w:rPr>
            </w:pPr>
            <w:r w:rsidRPr="0020438F">
              <w:rPr>
                <w:bCs/>
                <w:sz w:val="20"/>
                <w:lang w:val="el-GR"/>
              </w:rPr>
              <w:t>28.2 (1.37)</w:t>
            </w:r>
          </w:p>
        </w:tc>
        <w:tc>
          <w:tcPr>
            <w:tcW w:w="1286" w:type="dxa"/>
            <w:tcBorders>
              <w:top w:val="single" w:sz="4" w:space="0" w:color="auto"/>
              <w:left w:val="single" w:sz="4" w:space="0" w:color="auto"/>
              <w:bottom w:val="single" w:sz="4" w:space="0" w:color="auto"/>
              <w:right w:val="single" w:sz="4" w:space="0" w:color="auto"/>
            </w:tcBorders>
            <w:hideMark/>
          </w:tcPr>
          <w:p w14:paraId="3B2A7CB9" w14:textId="77777777" w:rsidR="0020438F" w:rsidRPr="0020438F" w:rsidRDefault="0020438F" w:rsidP="0020438F">
            <w:pPr>
              <w:tabs>
                <w:tab w:val="left" w:pos="1481"/>
              </w:tabs>
              <w:rPr>
                <w:bCs/>
                <w:sz w:val="20"/>
                <w:lang w:val="el-GR"/>
              </w:rPr>
            </w:pPr>
            <w:r w:rsidRPr="0020438F">
              <w:rPr>
                <w:bCs/>
                <w:sz w:val="20"/>
                <w:lang w:val="el-GR"/>
              </w:rPr>
              <w:t>26.3 (0.95)</w:t>
            </w:r>
          </w:p>
        </w:tc>
        <w:tc>
          <w:tcPr>
            <w:tcW w:w="1157" w:type="dxa"/>
            <w:tcBorders>
              <w:top w:val="single" w:sz="4" w:space="0" w:color="auto"/>
              <w:left w:val="single" w:sz="4" w:space="0" w:color="auto"/>
              <w:bottom w:val="single" w:sz="4" w:space="0" w:color="auto"/>
              <w:right w:val="single" w:sz="4" w:space="0" w:color="auto"/>
            </w:tcBorders>
            <w:hideMark/>
          </w:tcPr>
          <w:p w14:paraId="67FFA7F6" w14:textId="77777777" w:rsidR="0020438F" w:rsidRPr="0020438F" w:rsidRDefault="0020438F" w:rsidP="0020438F">
            <w:pPr>
              <w:tabs>
                <w:tab w:val="left" w:pos="1481"/>
              </w:tabs>
              <w:rPr>
                <w:bCs/>
                <w:sz w:val="20"/>
                <w:lang w:val="el-GR"/>
              </w:rPr>
            </w:pPr>
            <w:r w:rsidRPr="0020438F">
              <w:rPr>
                <w:bCs/>
                <w:sz w:val="20"/>
                <w:lang w:val="el-GR"/>
              </w:rPr>
              <w:t>29.1 (1.33)</w:t>
            </w:r>
          </w:p>
        </w:tc>
      </w:tr>
      <w:tr w:rsidR="0020438F" w:rsidRPr="0020438F" w14:paraId="1A492F1D" w14:textId="77777777" w:rsidTr="0020438F">
        <w:tc>
          <w:tcPr>
            <w:tcW w:w="2518" w:type="dxa"/>
            <w:tcBorders>
              <w:top w:val="single" w:sz="4" w:space="0" w:color="auto"/>
              <w:left w:val="single" w:sz="4" w:space="0" w:color="auto"/>
              <w:bottom w:val="single" w:sz="4" w:space="0" w:color="auto"/>
              <w:right w:val="single" w:sz="4" w:space="0" w:color="auto"/>
            </w:tcBorders>
            <w:hideMark/>
          </w:tcPr>
          <w:p w14:paraId="5EA38248" w14:textId="77777777" w:rsidR="0020438F" w:rsidRPr="0020438F" w:rsidRDefault="0020438F" w:rsidP="0020438F">
            <w:pPr>
              <w:tabs>
                <w:tab w:val="left" w:pos="1481"/>
              </w:tabs>
              <w:rPr>
                <w:sz w:val="20"/>
              </w:rPr>
            </w:pPr>
            <w:r w:rsidRPr="0020438F">
              <w:rPr>
                <w:sz w:val="20"/>
                <w:lang w:val="el-GR"/>
              </w:rPr>
              <w:t xml:space="preserve">Gennemsnitlig ændring fra baseline ved uge 12† (SE) </w:t>
            </w:r>
          </w:p>
        </w:tc>
        <w:tc>
          <w:tcPr>
            <w:tcW w:w="1418" w:type="dxa"/>
            <w:tcBorders>
              <w:top w:val="single" w:sz="4" w:space="0" w:color="auto"/>
              <w:left w:val="single" w:sz="4" w:space="0" w:color="auto"/>
              <w:bottom w:val="single" w:sz="4" w:space="0" w:color="auto"/>
              <w:right w:val="single" w:sz="4" w:space="0" w:color="auto"/>
            </w:tcBorders>
            <w:hideMark/>
          </w:tcPr>
          <w:p w14:paraId="41C9FEF7" w14:textId="77777777" w:rsidR="0020438F" w:rsidRPr="0020438F" w:rsidRDefault="0020438F" w:rsidP="0020438F">
            <w:pPr>
              <w:tabs>
                <w:tab w:val="left" w:pos="1481"/>
              </w:tabs>
              <w:rPr>
                <w:bCs/>
                <w:sz w:val="20"/>
                <w:lang w:val="el-GR"/>
              </w:rPr>
            </w:pPr>
            <w:r w:rsidRPr="0020438F">
              <w:rPr>
                <w:bCs/>
                <w:sz w:val="20"/>
                <w:lang w:val="el-GR"/>
              </w:rPr>
              <w:t>-5.90 (0.98)</w:t>
            </w:r>
          </w:p>
        </w:tc>
        <w:tc>
          <w:tcPr>
            <w:tcW w:w="1417" w:type="dxa"/>
            <w:tcBorders>
              <w:top w:val="single" w:sz="4" w:space="0" w:color="auto"/>
              <w:left w:val="single" w:sz="4" w:space="0" w:color="auto"/>
              <w:bottom w:val="single" w:sz="4" w:space="0" w:color="auto"/>
              <w:right w:val="single" w:sz="4" w:space="0" w:color="auto"/>
            </w:tcBorders>
            <w:hideMark/>
          </w:tcPr>
          <w:p w14:paraId="7D471867" w14:textId="77777777" w:rsidR="0020438F" w:rsidRPr="0020438F" w:rsidRDefault="0020438F" w:rsidP="0020438F">
            <w:pPr>
              <w:tabs>
                <w:tab w:val="left" w:pos="1481"/>
              </w:tabs>
              <w:rPr>
                <w:bCs/>
                <w:sz w:val="20"/>
                <w:lang w:val="el-GR"/>
              </w:rPr>
            </w:pPr>
            <w:r w:rsidRPr="0020438F">
              <w:rPr>
                <w:bCs/>
                <w:sz w:val="20"/>
                <w:lang w:val="el-GR"/>
              </w:rPr>
              <w:t>-8.66 (1.25)</w:t>
            </w:r>
          </w:p>
        </w:tc>
        <w:tc>
          <w:tcPr>
            <w:tcW w:w="1286" w:type="dxa"/>
            <w:tcBorders>
              <w:top w:val="single" w:sz="4" w:space="0" w:color="auto"/>
              <w:left w:val="single" w:sz="4" w:space="0" w:color="auto"/>
              <w:bottom w:val="single" w:sz="4" w:space="0" w:color="auto"/>
              <w:right w:val="single" w:sz="4" w:space="0" w:color="auto"/>
            </w:tcBorders>
            <w:hideMark/>
          </w:tcPr>
          <w:p w14:paraId="2B801CFB" w14:textId="77777777" w:rsidR="0020438F" w:rsidRPr="0020438F" w:rsidRDefault="0020438F" w:rsidP="0020438F">
            <w:pPr>
              <w:tabs>
                <w:tab w:val="left" w:pos="1481"/>
              </w:tabs>
              <w:rPr>
                <w:bCs/>
                <w:sz w:val="20"/>
                <w:lang w:val="el-GR"/>
              </w:rPr>
            </w:pPr>
            <w:r w:rsidRPr="0020438F">
              <w:rPr>
                <w:bCs/>
                <w:sz w:val="20"/>
                <w:lang w:val="el-GR"/>
              </w:rPr>
              <w:t>-5.34 (1.02)</w:t>
            </w:r>
          </w:p>
        </w:tc>
        <w:tc>
          <w:tcPr>
            <w:tcW w:w="1157" w:type="dxa"/>
            <w:tcBorders>
              <w:top w:val="single" w:sz="4" w:space="0" w:color="auto"/>
              <w:left w:val="single" w:sz="4" w:space="0" w:color="auto"/>
              <w:bottom w:val="single" w:sz="4" w:space="0" w:color="auto"/>
              <w:right w:val="single" w:sz="4" w:space="0" w:color="auto"/>
            </w:tcBorders>
            <w:hideMark/>
          </w:tcPr>
          <w:p w14:paraId="6CE4A2DF" w14:textId="77777777" w:rsidR="0020438F" w:rsidRPr="0020438F" w:rsidRDefault="0020438F" w:rsidP="0020438F">
            <w:pPr>
              <w:tabs>
                <w:tab w:val="left" w:pos="1481"/>
              </w:tabs>
              <w:ind w:right="-108"/>
              <w:rPr>
                <w:bCs/>
                <w:sz w:val="20"/>
                <w:lang w:val="el-GR"/>
              </w:rPr>
            </w:pPr>
            <w:r w:rsidRPr="0020438F">
              <w:rPr>
                <w:bCs/>
                <w:sz w:val="20"/>
                <w:lang w:val="el-GR"/>
              </w:rPr>
              <w:t>-6.02 (1.18)</w:t>
            </w:r>
          </w:p>
        </w:tc>
      </w:tr>
      <w:tr w:rsidR="0020438F" w:rsidRPr="0020438F" w14:paraId="39E10D0D" w14:textId="77777777" w:rsidTr="0020438F">
        <w:tc>
          <w:tcPr>
            <w:tcW w:w="2518" w:type="dxa"/>
            <w:tcBorders>
              <w:top w:val="single" w:sz="4" w:space="0" w:color="auto"/>
              <w:left w:val="single" w:sz="4" w:space="0" w:color="auto"/>
              <w:bottom w:val="single" w:sz="4" w:space="0" w:color="auto"/>
              <w:right w:val="single" w:sz="4" w:space="0" w:color="auto"/>
            </w:tcBorders>
            <w:hideMark/>
          </w:tcPr>
          <w:p w14:paraId="04A126CF" w14:textId="77777777" w:rsidR="0020438F" w:rsidRPr="0020438F" w:rsidRDefault="0020438F" w:rsidP="0020438F">
            <w:pPr>
              <w:tabs>
                <w:tab w:val="left" w:pos="1481"/>
              </w:tabs>
              <w:rPr>
                <w:sz w:val="20"/>
                <w:lang w:val="en-US"/>
              </w:rPr>
            </w:pPr>
            <w:r w:rsidRPr="0020438F">
              <w:rPr>
                <w:i/>
                <w:iCs/>
                <w:sz w:val="20"/>
                <w:lang w:val="el-GR"/>
              </w:rPr>
              <w:t>p</w:t>
            </w:r>
            <w:r w:rsidRPr="0020438F">
              <w:rPr>
                <w:sz w:val="20"/>
                <w:lang w:val="el-GR"/>
              </w:rPr>
              <w:t xml:space="preserve">-værdi vs. timolol </w:t>
            </w:r>
          </w:p>
        </w:tc>
        <w:tc>
          <w:tcPr>
            <w:tcW w:w="1418" w:type="dxa"/>
            <w:tcBorders>
              <w:top w:val="single" w:sz="4" w:space="0" w:color="auto"/>
              <w:left w:val="single" w:sz="4" w:space="0" w:color="auto"/>
              <w:bottom w:val="single" w:sz="4" w:space="0" w:color="auto"/>
              <w:right w:val="single" w:sz="4" w:space="0" w:color="auto"/>
            </w:tcBorders>
            <w:hideMark/>
          </w:tcPr>
          <w:p w14:paraId="355A7A50" w14:textId="77777777" w:rsidR="0020438F" w:rsidRPr="0020438F" w:rsidRDefault="0020438F" w:rsidP="0020438F">
            <w:pPr>
              <w:tabs>
                <w:tab w:val="left" w:pos="1481"/>
              </w:tabs>
              <w:rPr>
                <w:bCs/>
                <w:sz w:val="20"/>
                <w:lang w:val="el-GR"/>
              </w:rPr>
            </w:pPr>
            <w:r w:rsidRPr="0020438F">
              <w:rPr>
                <w:bCs/>
                <w:sz w:val="20"/>
                <w:lang w:val="el-GR"/>
              </w:rPr>
              <w:t>0.6957</w:t>
            </w:r>
          </w:p>
        </w:tc>
        <w:tc>
          <w:tcPr>
            <w:tcW w:w="1417" w:type="dxa"/>
            <w:tcBorders>
              <w:top w:val="single" w:sz="4" w:space="0" w:color="auto"/>
              <w:left w:val="single" w:sz="4" w:space="0" w:color="auto"/>
              <w:bottom w:val="single" w:sz="4" w:space="0" w:color="auto"/>
              <w:right w:val="single" w:sz="4" w:space="0" w:color="auto"/>
            </w:tcBorders>
            <w:hideMark/>
          </w:tcPr>
          <w:p w14:paraId="6B1321DB" w14:textId="77777777" w:rsidR="0020438F" w:rsidRPr="0020438F" w:rsidRDefault="0020438F" w:rsidP="0020438F">
            <w:pPr>
              <w:tabs>
                <w:tab w:val="left" w:pos="1481"/>
              </w:tabs>
              <w:rPr>
                <w:bCs/>
                <w:sz w:val="20"/>
                <w:lang w:val="el-GR"/>
              </w:rPr>
            </w:pPr>
            <w:r w:rsidRPr="0020438F">
              <w:rPr>
                <w:bCs/>
                <w:sz w:val="20"/>
                <w:lang w:val="el-GR"/>
              </w:rPr>
              <w:t>0.1317</w:t>
            </w:r>
          </w:p>
        </w:tc>
        <w:tc>
          <w:tcPr>
            <w:tcW w:w="1286" w:type="dxa"/>
            <w:tcBorders>
              <w:top w:val="single" w:sz="4" w:space="0" w:color="auto"/>
              <w:left w:val="single" w:sz="4" w:space="0" w:color="auto"/>
              <w:bottom w:val="single" w:sz="4" w:space="0" w:color="auto"/>
              <w:right w:val="single" w:sz="4" w:space="0" w:color="auto"/>
            </w:tcBorders>
          </w:tcPr>
          <w:p w14:paraId="5806C3BF" w14:textId="77777777" w:rsidR="0020438F" w:rsidRPr="0020438F" w:rsidRDefault="0020438F" w:rsidP="0020438F">
            <w:pPr>
              <w:tabs>
                <w:tab w:val="left" w:pos="1481"/>
              </w:tabs>
              <w:rPr>
                <w:bCs/>
                <w:sz w:val="20"/>
                <w:lang w:val="el-GR"/>
              </w:rPr>
            </w:pPr>
          </w:p>
        </w:tc>
        <w:tc>
          <w:tcPr>
            <w:tcW w:w="1157" w:type="dxa"/>
            <w:tcBorders>
              <w:top w:val="single" w:sz="4" w:space="0" w:color="auto"/>
              <w:left w:val="single" w:sz="4" w:space="0" w:color="auto"/>
              <w:bottom w:val="single" w:sz="4" w:space="0" w:color="auto"/>
              <w:right w:val="single" w:sz="4" w:space="0" w:color="auto"/>
            </w:tcBorders>
          </w:tcPr>
          <w:p w14:paraId="16905387" w14:textId="77777777" w:rsidR="0020438F" w:rsidRPr="0020438F" w:rsidRDefault="0020438F" w:rsidP="0020438F">
            <w:pPr>
              <w:tabs>
                <w:tab w:val="left" w:pos="1481"/>
              </w:tabs>
              <w:rPr>
                <w:bCs/>
                <w:sz w:val="20"/>
                <w:lang w:val="el-GR"/>
              </w:rPr>
            </w:pPr>
          </w:p>
        </w:tc>
      </w:tr>
    </w:tbl>
    <w:p w14:paraId="09BE8F9B" w14:textId="77777777" w:rsidR="0020438F" w:rsidRPr="0020438F" w:rsidRDefault="0020438F" w:rsidP="0020438F">
      <w:pPr>
        <w:ind w:left="851"/>
        <w:rPr>
          <w:sz w:val="16"/>
          <w:szCs w:val="16"/>
        </w:rPr>
      </w:pPr>
      <w:r w:rsidRPr="0020438F">
        <w:rPr>
          <w:sz w:val="16"/>
          <w:szCs w:val="16"/>
        </w:rPr>
        <w:t>SE: standardfejl</w:t>
      </w:r>
    </w:p>
    <w:p w14:paraId="6E97E5A7" w14:textId="77777777" w:rsidR="0020438F" w:rsidRPr="0020438F" w:rsidRDefault="0020438F" w:rsidP="0020438F">
      <w:pPr>
        <w:ind w:left="851"/>
        <w:rPr>
          <w:sz w:val="16"/>
          <w:szCs w:val="16"/>
        </w:rPr>
      </w:pPr>
      <w:r w:rsidRPr="0020438F">
        <w:rPr>
          <w:sz w:val="16"/>
          <w:szCs w:val="16"/>
        </w:rPr>
        <w:t>† Justeret estimat baseret på kovarians-analyse (ANCOVA) modellen.</w:t>
      </w:r>
    </w:p>
    <w:p w14:paraId="54522849" w14:textId="77777777" w:rsidR="0020438F" w:rsidRPr="0020438F" w:rsidRDefault="0020438F" w:rsidP="0020438F">
      <w:pPr>
        <w:ind w:left="851"/>
        <w:rPr>
          <w:sz w:val="24"/>
          <w:szCs w:val="24"/>
        </w:rPr>
      </w:pPr>
    </w:p>
    <w:p w14:paraId="6EE052A8" w14:textId="77777777" w:rsidR="0020438F" w:rsidRPr="0020438F" w:rsidRDefault="0020438F" w:rsidP="0020438F">
      <w:pPr>
        <w:ind w:left="851"/>
        <w:rPr>
          <w:sz w:val="24"/>
          <w:szCs w:val="24"/>
        </w:rPr>
      </w:pPr>
      <w:r w:rsidRPr="0020438F">
        <w:rPr>
          <w:sz w:val="24"/>
          <w:szCs w:val="24"/>
        </w:rPr>
        <w:t xml:space="preserve">To ikke-interventionelle langvarige sikkerhedsstudier efter tilladelse til markedsføring (PASS) blev designet til at beskrive hyppighedsraten for ændringer af hyperpigmentering i øjet i en periode på over 10 år med opfølgning ved at kombinere data, der blev indsamlet gennem studiets 3 år, og det forlængede opfølgningsstudie med en varighed på 7 år blandt pædiatriske patienter med glaukom eller forhøjet IOP. I alt 115 patienter blev overført fra moderstudiet og var en del af det fulde analysesæt (FAS). Kvalificerede patienter (&lt; 18 år) til studiet blev kategoriseret i 3 grupper: 76 patienter i latanoprost-gruppen (kontinuerligt behandlet med latanoprost i ≥ 1 måned), 1 patient i ikke-latanoprost prostaglandinanaloger (PFA)-gruppen (kontinuerligt behandlet med ikke-latanoprost PGA i ≥ 1 måned) og 38 i gruppen, der ikke blev eksponeret for PGA (ikke behandlet kontinuerligt med PGA i ≥ 1 måned). Studieresultatet indikerede, at ændringer i hyperpigmentering i øjet kun blev </w:t>
      </w:r>
      <w:r w:rsidRPr="0020438F">
        <w:rPr>
          <w:sz w:val="24"/>
          <w:szCs w:val="24"/>
        </w:rPr>
        <w:lastRenderedPageBreak/>
        <w:t xml:space="preserve">observeret hos et lille antal patienter i begge behandlingsgrupper, med større hyppighed i gruppen, der blev eksponeret for latanoprost, end i gruppen, der ikke blev eksponeret for PGA. Hyppighederne af hyperpigmentering af øjenvipperne var 4,5 % </w:t>
      </w:r>
      <w:r w:rsidRPr="0020438F">
        <w:rPr>
          <w:i/>
          <w:iCs/>
          <w:sz w:val="24"/>
          <w:szCs w:val="24"/>
        </w:rPr>
        <w:t>vs.</w:t>
      </w:r>
      <w:r w:rsidRPr="0020438F">
        <w:rPr>
          <w:sz w:val="24"/>
          <w:szCs w:val="24"/>
        </w:rPr>
        <w:t xml:space="preserve"> 0 %, og hyppighederne af irishyperpigmentering var 6,0 % </w:t>
      </w:r>
      <w:r w:rsidRPr="0020438F">
        <w:rPr>
          <w:i/>
          <w:iCs/>
          <w:sz w:val="24"/>
          <w:szCs w:val="24"/>
        </w:rPr>
        <w:t>vs.</w:t>
      </w:r>
      <w:r w:rsidRPr="0020438F">
        <w:rPr>
          <w:sz w:val="24"/>
          <w:szCs w:val="24"/>
        </w:rPr>
        <w:t xml:space="preserve"> 3,0 % i henholdsvis gruppen, der blev eksponeret for latanaprost, og gruppen, der ikke blev eksponeret for PGA. Hyppighedsraterne (pr. 100 patientår) for ændringer i hyperpigmentering i øjet var lav og sammenlignelig i begge behandlingsgrupper: forlængelse af øjenvipper 2,53 </w:t>
      </w:r>
      <w:r w:rsidRPr="0020438F">
        <w:rPr>
          <w:i/>
          <w:iCs/>
          <w:sz w:val="24"/>
          <w:szCs w:val="24"/>
        </w:rPr>
        <w:t xml:space="preserve">versus </w:t>
      </w:r>
      <w:r w:rsidRPr="0020438F">
        <w:rPr>
          <w:sz w:val="24"/>
          <w:szCs w:val="24"/>
        </w:rPr>
        <w:t xml:space="preserve">3,35, irishyperpigmentering 0,92 </w:t>
      </w:r>
      <w:r w:rsidRPr="0020438F">
        <w:rPr>
          <w:i/>
          <w:iCs/>
          <w:sz w:val="24"/>
          <w:szCs w:val="24"/>
        </w:rPr>
        <w:t>versus</w:t>
      </w:r>
      <w:r w:rsidRPr="0020438F">
        <w:rPr>
          <w:sz w:val="24"/>
          <w:szCs w:val="24"/>
        </w:rPr>
        <w:t xml:space="preserve"> 0,42 og hyperpigmentering af øjenvipperne 0,69 </w:t>
      </w:r>
      <w:r w:rsidRPr="0020438F">
        <w:rPr>
          <w:i/>
          <w:iCs/>
          <w:sz w:val="24"/>
          <w:szCs w:val="24"/>
        </w:rPr>
        <w:t xml:space="preserve">versus </w:t>
      </w:r>
      <w:r w:rsidRPr="0020438F">
        <w:rPr>
          <w:sz w:val="24"/>
          <w:szCs w:val="24"/>
        </w:rPr>
        <w:t>ingen.</w:t>
      </w:r>
    </w:p>
    <w:p w14:paraId="2ECFE494" w14:textId="77777777" w:rsidR="0020438F" w:rsidRPr="0020438F" w:rsidRDefault="0020438F" w:rsidP="0020438F">
      <w:pPr>
        <w:ind w:left="851"/>
        <w:rPr>
          <w:sz w:val="24"/>
          <w:szCs w:val="24"/>
        </w:rPr>
      </w:pPr>
    </w:p>
    <w:p w14:paraId="7880CAD1" w14:textId="77777777" w:rsidR="0020438F" w:rsidRPr="0020438F" w:rsidRDefault="0020438F" w:rsidP="0020438F">
      <w:pPr>
        <w:ind w:left="851"/>
        <w:rPr>
          <w:sz w:val="24"/>
          <w:szCs w:val="24"/>
        </w:rPr>
      </w:pPr>
      <w:r w:rsidRPr="0020438F">
        <w:rPr>
          <w:sz w:val="24"/>
          <w:szCs w:val="24"/>
        </w:rPr>
        <w:t>Ingen alvorlige bivirkninger blev anset for at være relateret til studiebehandlingen. Størstedelen af de indberettede behandlingsrelevante bivirkninger var i systemorganklassen øjne, som for det meste var milde og hyppigere indberettet i gruppen, der blev eksponeret for latanoprost, end i gruppen, der ikke blev eksponeret for PGA. Der blev ikke set nogen klinisk signifikante sikkerhedsproblemer eller nye sikkerhedsproblemer/forskellige hyppigheder af bivirkninger sammenlignet med den eksisterende sikkerhedsprofil. Samlet set er de observerede hyppigheder af sikkerhedsendepunkter i dette studie sammenlignelige med hyppighederne af bivirkninger, som er blevet rapporteret i tidligere pædiatriske studier.</w:t>
      </w:r>
    </w:p>
    <w:p w14:paraId="37A4230A" w14:textId="77777777" w:rsidR="009260DE" w:rsidRPr="00C84483" w:rsidRDefault="009260DE" w:rsidP="009260DE">
      <w:pPr>
        <w:tabs>
          <w:tab w:val="left" w:pos="851"/>
        </w:tabs>
        <w:ind w:left="851"/>
        <w:rPr>
          <w:sz w:val="24"/>
          <w:szCs w:val="24"/>
        </w:rPr>
      </w:pPr>
    </w:p>
    <w:p w14:paraId="2EE0F74C"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2F29588C" w14:textId="77777777" w:rsidR="00561B4D" w:rsidRPr="00561B4D" w:rsidRDefault="00561B4D" w:rsidP="00561B4D">
      <w:pPr>
        <w:tabs>
          <w:tab w:val="left" w:pos="851"/>
        </w:tabs>
        <w:ind w:left="851"/>
        <w:rPr>
          <w:sz w:val="24"/>
          <w:szCs w:val="24"/>
        </w:rPr>
      </w:pPr>
      <w:r w:rsidRPr="00561B4D">
        <w:rPr>
          <w:sz w:val="24"/>
          <w:szCs w:val="24"/>
        </w:rPr>
        <w:t>Latanoprost (mw 432,58) er et isopropylester prodrug, som i sig selv er inaktivt, men som efter hydrolyse til latanoprost-syre bliver biologisk aktiv.</w:t>
      </w:r>
    </w:p>
    <w:p w14:paraId="6036B612" w14:textId="77777777" w:rsidR="00561B4D" w:rsidRPr="00561B4D" w:rsidRDefault="00561B4D" w:rsidP="00561B4D">
      <w:pPr>
        <w:tabs>
          <w:tab w:val="left" w:pos="851"/>
        </w:tabs>
        <w:ind w:left="851"/>
        <w:rPr>
          <w:sz w:val="24"/>
          <w:szCs w:val="24"/>
        </w:rPr>
      </w:pPr>
    </w:p>
    <w:p w14:paraId="2DF3A7C2" w14:textId="77777777" w:rsidR="00561B4D" w:rsidRPr="00561B4D" w:rsidRDefault="00561B4D" w:rsidP="00561B4D">
      <w:pPr>
        <w:tabs>
          <w:tab w:val="left" w:pos="851"/>
        </w:tabs>
        <w:ind w:left="851"/>
        <w:rPr>
          <w:sz w:val="24"/>
          <w:szCs w:val="24"/>
          <w:u w:val="single"/>
        </w:rPr>
      </w:pPr>
      <w:r w:rsidRPr="00561B4D">
        <w:rPr>
          <w:sz w:val="24"/>
          <w:szCs w:val="24"/>
          <w:u w:val="single"/>
        </w:rPr>
        <w:t>Absorption</w:t>
      </w:r>
    </w:p>
    <w:p w14:paraId="7777816F" w14:textId="77777777" w:rsidR="00561B4D" w:rsidRPr="00561B4D" w:rsidRDefault="00561B4D" w:rsidP="00561B4D">
      <w:pPr>
        <w:tabs>
          <w:tab w:val="left" w:pos="851"/>
        </w:tabs>
        <w:ind w:left="851"/>
        <w:rPr>
          <w:sz w:val="24"/>
          <w:szCs w:val="24"/>
        </w:rPr>
      </w:pPr>
      <w:r w:rsidRPr="00561B4D">
        <w:rPr>
          <w:sz w:val="24"/>
          <w:szCs w:val="24"/>
        </w:rPr>
        <w:t>Prodrug absorberes godt gennem cornea, og alt stof, der passerer over i kammer</w:t>
      </w:r>
      <w:r w:rsidRPr="00561B4D">
        <w:rPr>
          <w:sz w:val="24"/>
          <w:szCs w:val="24"/>
        </w:rPr>
        <w:softHyphen/>
        <w:t>vandet, hydrolyseres ved passagen gennem cornea.</w:t>
      </w:r>
    </w:p>
    <w:p w14:paraId="3EAD75DC" w14:textId="77777777" w:rsidR="00561B4D" w:rsidRPr="00561B4D" w:rsidRDefault="00561B4D" w:rsidP="00561B4D">
      <w:pPr>
        <w:tabs>
          <w:tab w:val="left" w:pos="851"/>
        </w:tabs>
        <w:ind w:left="851"/>
        <w:rPr>
          <w:sz w:val="24"/>
          <w:szCs w:val="24"/>
        </w:rPr>
      </w:pPr>
      <w:r w:rsidRPr="00561B4D">
        <w:rPr>
          <w:sz w:val="24"/>
          <w:szCs w:val="24"/>
        </w:rPr>
        <w:t>Biotilgængeligheden af syreformen af latanoprost er omkring 45 % efter topikal administration.</w:t>
      </w:r>
    </w:p>
    <w:p w14:paraId="1F8F608D" w14:textId="77777777" w:rsidR="00561B4D" w:rsidRPr="00561B4D" w:rsidRDefault="00561B4D" w:rsidP="00561B4D">
      <w:pPr>
        <w:tabs>
          <w:tab w:val="left" w:pos="851"/>
        </w:tabs>
        <w:ind w:left="851"/>
        <w:rPr>
          <w:sz w:val="24"/>
          <w:szCs w:val="24"/>
          <w:u w:val="single"/>
        </w:rPr>
      </w:pPr>
    </w:p>
    <w:p w14:paraId="5A77BCB7" w14:textId="77777777" w:rsidR="00561B4D" w:rsidRPr="00561B4D" w:rsidRDefault="00561B4D" w:rsidP="00561B4D">
      <w:pPr>
        <w:tabs>
          <w:tab w:val="left" w:pos="851"/>
        </w:tabs>
        <w:ind w:left="851"/>
        <w:rPr>
          <w:sz w:val="24"/>
          <w:szCs w:val="24"/>
          <w:u w:val="single"/>
        </w:rPr>
      </w:pPr>
      <w:r w:rsidRPr="00561B4D">
        <w:rPr>
          <w:sz w:val="24"/>
          <w:szCs w:val="24"/>
          <w:u w:val="single"/>
        </w:rPr>
        <w:t>Fordeling</w:t>
      </w:r>
    </w:p>
    <w:p w14:paraId="3E8F9ADD" w14:textId="77777777" w:rsidR="00561B4D" w:rsidRPr="00561B4D" w:rsidRDefault="00561B4D" w:rsidP="00561B4D">
      <w:pPr>
        <w:tabs>
          <w:tab w:val="left" w:pos="851"/>
        </w:tabs>
        <w:ind w:left="851"/>
        <w:rPr>
          <w:sz w:val="24"/>
          <w:szCs w:val="24"/>
        </w:rPr>
      </w:pPr>
      <w:r w:rsidRPr="00561B4D">
        <w:rPr>
          <w:sz w:val="24"/>
          <w:szCs w:val="24"/>
        </w:rPr>
        <w:t>Fordelingsvolumen hos mennesker er 0,16 ± 0,02 l/kg, og clearance er 0,40 ± 0,04 l/time/kg.</w:t>
      </w:r>
    </w:p>
    <w:p w14:paraId="2634D6B8" w14:textId="77777777" w:rsidR="00561B4D" w:rsidRPr="00561B4D" w:rsidRDefault="00561B4D" w:rsidP="00561B4D">
      <w:pPr>
        <w:tabs>
          <w:tab w:val="left" w:pos="851"/>
        </w:tabs>
        <w:ind w:left="851"/>
        <w:rPr>
          <w:sz w:val="24"/>
          <w:szCs w:val="24"/>
        </w:rPr>
      </w:pPr>
      <w:r w:rsidRPr="00561B4D">
        <w:rPr>
          <w:sz w:val="24"/>
          <w:szCs w:val="24"/>
        </w:rPr>
        <w:t>Studier hos mennesker tyder på, at maksimal koncentration i kammervandet opnås ca. 2 timer efter topikal administration. Efter topikal applikation hos aber fordeles latanoprost primært i det forreste kammer, conjunctiva og øjenlågene. Kun ubetydelige mængder af lægemidlet når det posteriore segment.</w:t>
      </w:r>
    </w:p>
    <w:p w14:paraId="541E20CB" w14:textId="77777777" w:rsidR="00561B4D" w:rsidRPr="00561B4D" w:rsidRDefault="00561B4D" w:rsidP="00561B4D">
      <w:pPr>
        <w:tabs>
          <w:tab w:val="left" w:pos="851"/>
        </w:tabs>
        <w:ind w:left="851"/>
        <w:rPr>
          <w:sz w:val="24"/>
          <w:szCs w:val="24"/>
        </w:rPr>
      </w:pPr>
    </w:p>
    <w:p w14:paraId="22DCDE52" w14:textId="77777777" w:rsidR="00561B4D" w:rsidRPr="00561B4D" w:rsidRDefault="00561B4D" w:rsidP="00561B4D">
      <w:pPr>
        <w:tabs>
          <w:tab w:val="left" w:pos="851"/>
        </w:tabs>
        <w:ind w:left="851"/>
        <w:rPr>
          <w:sz w:val="24"/>
          <w:szCs w:val="24"/>
          <w:u w:val="single"/>
        </w:rPr>
      </w:pPr>
      <w:r w:rsidRPr="00561B4D">
        <w:rPr>
          <w:sz w:val="24"/>
          <w:szCs w:val="24"/>
          <w:u w:val="single"/>
        </w:rPr>
        <w:t>Biotransformation og elimination</w:t>
      </w:r>
    </w:p>
    <w:p w14:paraId="0E49A9B6" w14:textId="77777777" w:rsidR="00561B4D" w:rsidRPr="00561B4D" w:rsidRDefault="00561B4D" w:rsidP="00561B4D">
      <w:pPr>
        <w:tabs>
          <w:tab w:val="left" w:pos="851"/>
        </w:tabs>
        <w:ind w:left="851"/>
        <w:rPr>
          <w:sz w:val="24"/>
          <w:szCs w:val="24"/>
        </w:rPr>
      </w:pPr>
      <w:r w:rsidRPr="00561B4D">
        <w:rPr>
          <w:sz w:val="24"/>
          <w:szCs w:val="24"/>
        </w:rPr>
        <w:t>Der sker praktisk taget ingen metabolisme af latanoprost-syre i øjet. Hovedmetabolismen finder sted i leveren. Plasmahalveringstiden er 17 minutter hos mennesker. Hovedmetabolitterne, 1,2-dinor og 1,2,3,4</w:t>
      </w:r>
      <w:r w:rsidRPr="00561B4D">
        <w:rPr>
          <w:sz w:val="24"/>
          <w:szCs w:val="24"/>
        </w:rPr>
        <w:noBreakHyphen/>
        <w:t>tetranormetabolitterne udviser ingen eller kun svag biologisk aktivitet i dyrestudier og udskilles primært i urinen.</w:t>
      </w:r>
    </w:p>
    <w:p w14:paraId="3B006E41" w14:textId="77777777" w:rsidR="00561B4D" w:rsidRPr="00561B4D" w:rsidRDefault="00561B4D" w:rsidP="00561B4D">
      <w:pPr>
        <w:tabs>
          <w:tab w:val="left" w:pos="851"/>
        </w:tabs>
        <w:ind w:left="851"/>
        <w:rPr>
          <w:i/>
          <w:iCs/>
          <w:sz w:val="24"/>
          <w:szCs w:val="24"/>
          <w:u w:val="single"/>
        </w:rPr>
      </w:pPr>
    </w:p>
    <w:p w14:paraId="1A9283DD" w14:textId="77777777" w:rsidR="00561B4D" w:rsidRPr="00561B4D" w:rsidRDefault="00561B4D" w:rsidP="00561B4D">
      <w:pPr>
        <w:tabs>
          <w:tab w:val="left" w:pos="851"/>
        </w:tabs>
        <w:ind w:left="851"/>
        <w:rPr>
          <w:iCs/>
          <w:sz w:val="24"/>
          <w:szCs w:val="24"/>
          <w:u w:val="single"/>
        </w:rPr>
      </w:pPr>
      <w:r w:rsidRPr="00561B4D">
        <w:rPr>
          <w:iCs/>
          <w:sz w:val="24"/>
          <w:szCs w:val="24"/>
          <w:u w:val="single"/>
        </w:rPr>
        <w:t>Pædiatrisk population</w:t>
      </w:r>
    </w:p>
    <w:p w14:paraId="01D97D5F" w14:textId="77777777" w:rsidR="00561B4D" w:rsidRPr="00561B4D" w:rsidRDefault="00561B4D" w:rsidP="00561B4D">
      <w:pPr>
        <w:tabs>
          <w:tab w:val="left" w:pos="851"/>
        </w:tabs>
        <w:ind w:left="851"/>
        <w:rPr>
          <w:sz w:val="24"/>
          <w:szCs w:val="24"/>
        </w:rPr>
      </w:pPr>
      <w:r w:rsidRPr="00561B4D">
        <w:rPr>
          <w:sz w:val="24"/>
          <w:szCs w:val="24"/>
        </w:rPr>
        <w:t xml:space="preserve">Plasmakoncentration af latanoprost-syre blev undersøgt i et åbent farmakokinetisk forsøg med 22 voksne og 25 pædiatriske patienter (fra nyfødt til &lt; 18 år) med okulær hypertension og glaukom. Alle aldersgrupper blev behandlet med 1 dråbe latanoprost 50 mikrogram/ml dagligt i hvert øje i minimum 2 uger. Systemisk eksposition for latanoprost-syre var ca. 2 gange højere hos børn i alderen 3 til &lt; 12 år og 6 gange højere hos børn &lt; 3 år sammenlignet med voksne, men en bred sikkerhedsmargin mht. systemiske </w:t>
      </w:r>
      <w:r w:rsidRPr="00561B4D">
        <w:rPr>
          <w:sz w:val="24"/>
          <w:szCs w:val="24"/>
        </w:rPr>
        <w:lastRenderedPageBreak/>
        <w:t>bivirkninger blev opretholdt (se pkt. 4.9). Den mediane tid til at opnå maksimal plasmakoncentration var 5 minutter efter dosis i alle aldersgrupper. Den mediane plasma-eliminationshalveringstid var kort (&lt; 20 minutter), ens hos pædiatriske og voksne patienter, og medførte ingen akkumulering af latanoprost-syre i den systemiske cirkulation under steady-state-forhold.</w:t>
      </w:r>
    </w:p>
    <w:p w14:paraId="388FD59E" w14:textId="77777777" w:rsidR="009260DE" w:rsidRPr="00C84483" w:rsidRDefault="009260DE" w:rsidP="009260DE">
      <w:pPr>
        <w:tabs>
          <w:tab w:val="left" w:pos="851"/>
        </w:tabs>
        <w:ind w:left="851"/>
        <w:rPr>
          <w:sz w:val="24"/>
          <w:szCs w:val="24"/>
        </w:rPr>
      </w:pPr>
    </w:p>
    <w:p w14:paraId="0102D1D7"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BEEAED4" w14:textId="77777777" w:rsidR="00561B4D" w:rsidRPr="00561B4D" w:rsidRDefault="00561B4D" w:rsidP="00561B4D">
      <w:pPr>
        <w:tabs>
          <w:tab w:val="left" w:pos="851"/>
        </w:tabs>
        <w:ind w:left="851"/>
        <w:rPr>
          <w:sz w:val="24"/>
          <w:szCs w:val="24"/>
        </w:rPr>
      </w:pPr>
      <w:r w:rsidRPr="00561B4D">
        <w:rPr>
          <w:sz w:val="24"/>
          <w:szCs w:val="24"/>
        </w:rPr>
        <w:t>Latanoprosts okulære såvel som systemiske toksicitet er undersøgt i adskillige dyrestudier. Generelt tolereres latanoprost godt med en sikkerhedsmargen mellem den okulære kliniske dosis og systemisk toksicitet på mindst 1.000 gange. Høje latanoprostdoser, ca. 100 gange den kliniske dosis/kg legemsvægt, administreret intravenøst til ikke-bedøvede aber, har vist sig at øge respirationsfrekvensen, sandsynligvis som udtryk for en kortvarig bronkokonstriktion. Latanoprost har ikke vist sig at have allergene egenskaber i dyrestudier.</w:t>
      </w:r>
    </w:p>
    <w:p w14:paraId="1EB5E4D1" w14:textId="77777777" w:rsidR="00561B4D" w:rsidRPr="00561B4D" w:rsidRDefault="00561B4D" w:rsidP="00561B4D">
      <w:pPr>
        <w:tabs>
          <w:tab w:val="left" w:pos="851"/>
        </w:tabs>
        <w:ind w:left="851"/>
        <w:rPr>
          <w:sz w:val="24"/>
          <w:szCs w:val="24"/>
        </w:rPr>
      </w:pPr>
    </w:p>
    <w:p w14:paraId="4317EBAF" w14:textId="77777777" w:rsidR="00561B4D" w:rsidRPr="00561B4D" w:rsidRDefault="00561B4D" w:rsidP="00561B4D">
      <w:pPr>
        <w:tabs>
          <w:tab w:val="left" w:pos="851"/>
        </w:tabs>
        <w:ind w:left="851"/>
        <w:rPr>
          <w:sz w:val="24"/>
          <w:szCs w:val="24"/>
        </w:rPr>
      </w:pPr>
      <w:r w:rsidRPr="00561B4D">
        <w:rPr>
          <w:sz w:val="24"/>
          <w:szCs w:val="24"/>
        </w:rPr>
        <w:t>Der er ikke blevet påvist toksiske virkninger i øjet ved doser op til 100 mikrogram-/øje/dag hos kaniner eller aber (klinisk dosis er ca. 1,5 mikrogram/øje/dag). Latanoprost forårsager imidlertid øget pigmentering af iris hos aber.</w:t>
      </w:r>
    </w:p>
    <w:p w14:paraId="07B9768A" w14:textId="77777777" w:rsidR="00561B4D" w:rsidRPr="00561B4D" w:rsidRDefault="00561B4D" w:rsidP="00561B4D">
      <w:pPr>
        <w:tabs>
          <w:tab w:val="left" w:pos="851"/>
        </w:tabs>
        <w:ind w:left="851"/>
        <w:rPr>
          <w:sz w:val="24"/>
          <w:szCs w:val="24"/>
        </w:rPr>
      </w:pPr>
    </w:p>
    <w:p w14:paraId="71053710" w14:textId="77777777" w:rsidR="00561B4D" w:rsidRPr="00561B4D" w:rsidRDefault="00561B4D" w:rsidP="00561B4D">
      <w:pPr>
        <w:tabs>
          <w:tab w:val="left" w:pos="851"/>
        </w:tabs>
        <w:ind w:left="851"/>
        <w:rPr>
          <w:sz w:val="24"/>
          <w:szCs w:val="24"/>
        </w:rPr>
      </w:pPr>
      <w:r w:rsidRPr="00561B4D">
        <w:rPr>
          <w:sz w:val="24"/>
          <w:szCs w:val="24"/>
        </w:rPr>
        <w:t>Mekanismen for øget pigmentering er tilsyneladende stimulation af melaninproduktionen i melanocytterne i iris, uden at der er iagttaget nogen proliferative ændringer. Farveændringen af iris kan være permanent.</w:t>
      </w:r>
    </w:p>
    <w:p w14:paraId="701E6416" w14:textId="77777777" w:rsidR="00561B4D" w:rsidRPr="00561B4D" w:rsidRDefault="00561B4D" w:rsidP="00561B4D">
      <w:pPr>
        <w:tabs>
          <w:tab w:val="left" w:pos="851"/>
        </w:tabs>
        <w:ind w:left="851"/>
        <w:rPr>
          <w:sz w:val="24"/>
          <w:szCs w:val="24"/>
        </w:rPr>
      </w:pPr>
    </w:p>
    <w:p w14:paraId="58F282D2" w14:textId="77777777" w:rsidR="00561B4D" w:rsidRPr="00561B4D" w:rsidRDefault="00561B4D" w:rsidP="00561B4D">
      <w:pPr>
        <w:tabs>
          <w:tab w:val="left" w:pos="851"/>
        </w:tabs>
        <w:ind w:left="851"/>
        <w:rPr>
          <w:sz w:val="24"/>
          <w:szCs w:val="24"/>
        </w:rPr>
      </w:pPr>
      <w:r w:rsidRPr="00561B4D">
        <w:rPr>
          <w:sz w:val="24"/>
          <w:szCs w:val="24"/>
        </w:rPr>
        <w:t>Kroniske okulære toksisitetsstudier viser, at administration af latanoprost 6 mikrogram/øje/dag forårsager øget palpebral fissur. Denne effekt er reversibel og opstår ved doser over klinisk niveau. Effekten er ikke set hos mennesker.</w:t>
      </w:r>
    </w:p>
    <w:p w14:paraId="6A91A29B" w14:textId="77777777" w:rsidR="00561B4D" w:rsidRPr="00561B4D" w:rsidRDefault="00561B4D" w:rsidP="00561B4D">
      <w:pPr>
        <w:tabs>
          <w:tab w:val="left" w:pos="851"/>
        </w:tabs>
        <w:ind w:left="851"/>
        <w:rPr>
          <w:sz w:val="24"/>
          <w:szCs w:val="24"/>
        </w:rPr>
      </w:pPr>
    </w:p>
    <w:p w14:paraId="7017F8DC" w14:textId="77777777" w:rsidR="00561B4D" w:rsidRPr="00561B4D" w:rsidRDefault="00561B4D" w:rsidP="00561B4D">
      <w:pPr>
        <w:tabs>
          <w:tab w:val="left" w:pos="851"/>
        </w:tabs>
        <w:ind w:left="851"/>
        <w:rPr>
          <w:sz w:val="24"/>
          <w:szCs w:val="24"/>
        </w:rPr>
      </w:pPr>
      <w:r w:rsidRPr="00561B4D">
        <w:rPr>
          <w:sz w:val="24"/>
          <w:szCs w:val="24"/>
        </w:rPr>
        <w:t xml:space="preserve">Latanoprost var negativ i revers mutationsforsøg i bakterier, i genmutationsforsøg i muselymfomer og i muse-mikronukleustesten. Kromosomafvigelser blev observeret </w:t>
      </w:r>
      <w:r w:rsidRPr="00561B4D">
        <w:rPr>
          <w:i/>
          <w:sz w:val="24"/>
          <w:szCs w:val="24"/>
        </w:rPr>
        <w:t>in vitro</w:t>
      </w:r>
      <w:r w:rsidRPr="00561B4D">
        <w:rPr>
          <w:iCs/>
          <w:sz w:val="24"/>
          <w:szCs w:val="24"/>
        </w:rPr>
        <w:t xml:space="preserve"> </w:t>
      </w:r>
      <w:r w:rsidRPr="00561B4D">
        <w:rPr>
          <w:sz w:val="24"/>
          <w:szCs w:val="24"/>
        </w:rPr>
        <w:t>i humane lymfocytter. Lignende virkninger blev observeret med prostaglandin F</w:t>
      </w:r>
      <w:r w:rsidRPr="00561B4D">
        <w:rPr>
          <w:sz w:val="24"/>
          <w:szCs w:val="24"/>
          <w:vertAlign w:val="subscript"/>
        </w:rPr>
        <w:t>2α</w:t>
      </w:r>
      <w:r w:rsidRPr="00561B4D">
        <w:rPr>
          <w:sz w:val="24"/>
          <w:szCs w:val="24"/>
        </w:rPr>
        <w:t>, et naturligt forekommende prostaglandin, hvilket tyder på, at dette er en klasseeffekt.</w:t>
      </w:r>
    </w:p>
    <w:p w14:paraId="62B306FB" w14:textId="77777777" w:rsidR="00561B4D" w:rsidRPr="00561B4D" w:rsidRDefault="00561B4D" w:rsidP="00561B4D">
      <w:pPr>
        <w:tabs>
          <w:tab w:val="left" w:pos="851"/>
        </w:tabs>
        <w:ind w:left="851"/>
        <w:rPr>
          <w:sz w:val="24"/>
          <w:szCs w:val="24"/>
        </w:rPr>
      </w:pPr>
    </w:p>
    <w:p w14:paraId="091FBD27" w14:textId="77777777" w:rsidR="00561B4D" w:rsidRPr="00561B4D" w:rsidRDefault="00561B4D" w:rsidP="00561B4D">
      <w:pPr>
        <w:tabs>
          <w:tab w:val="left" w:pos="851"/>
        </w:tabs>
        <w:ind w:left="851"/>
        <w:rPr>
          <w:sz w:val="24"/>
          <w:szCs w:val="24"/>
        </w:rPr>
      </w:pPr>
      <w:r w:rsidRPr="00561B4D">
        <w:rPr>
          <w:sz w:val="24"/>
          <w:szCs w:val="24"/>
        </w:rPr>
        <w:t xml:space="preserve">Yderligere mutagenicitetsstudier </w:t>
      </w:r>
      <w:r w:rsidRPr="00561B4D">
        <w:rPr>
          <w:i/>
          <w:sz w:val="24"/>
          <w:szCs w:val="24"/>
        </w:rPr>
        <w:t>in</w:t>
      </w:r>
      <w:r w:rsidRPr="00561B4D">
        <w:rPr>
          <w:sz w:val="24"/>
          <w:szCs w:val="24"/>
        </w:rPr>
        <w:t xml:space="preserve"> </w:t>
      </w:r>
      <w:r w:rsidRPr="00561B4D">
        <w:rPr>
          <w:i/>
          <w:sz w:val="24"/>
          <w:szCs w:val="24"/>
        </w:rPr>
        <w:t>vitro/in vivo</w:t>
      </w:r>
      <w:r w:rsidRPr="00561B4D">
        <w:rPr>
          <w:sz w:val="24"/>
          <w:szCs w:val="24"/>
        </w:rPr>
        <w:t xml:space="preserve"> på ikke-planlagt DNA-syntese i rotter var negative og tyder på, at latanoprost ikke har mutagent potentiale. Carcinogenicitetsstudier på mus og rotter var negative.</w:t>
      </w:r>
    </w:p>
    <w:p w14:paraId="21A83F36" w14:textId="77777777" w:rsidR="00561B4D" w:rsidRPr="00561B4D" w:rsidRDefault="00561B4D" w:rsidP="00561B4D">
      <w:pPr>
        <w:tabs>
          <w:tab w:val="left" w:pos="851"/>
        </w:tabs>
        <w:ind w:left="851"/>
        <w:rPr>
          <w:sz w:val="24"/>
          <w:szCs w:val="24"/>
        </w:rPr>
      </w:pPr>
    </w:p>
    <w:p w14:paraId="4E8DBD61" w14:textId="77777777" w:rsidR="00561B4D" w:rsidRPr="00561B4D" w:rsidRDefault="00561B4D" w:rsidP="00561B4D">
      <w:pPr>
        <w:tabs>
          <w:tab w:val="left" w:pos="851"/>
        </w:tabs>
        <w:ind w:left="851"/>
        <w:rPr>
          <w:sz w:val="24"/>
          <w:szCs w:val="24"/>
        </w:rPr>
      </w:pPr>
      <w:r w:rsidRPr="00561B4D">
        <w:rPr>
          <w:sz w:val="24"/>
          <w:szCs w:val="24"/>
        </w:rPr>
        <w:t>Dyrestudier med latanoprost har ikke vist påvirkning af fertilitet hos hverken mænd eller kvinder. I embryotoksicitetsstudier på rotter blev der ikke iagttaget nogen embryotoksicitet ved intravenøse doser (5, 50 og 250 mikrogram/kg/dag). Latanoprost forårsagede imidlertid embryoletal virkning hos kaniner ved doser på 5 mikrogram /kg/dag og derover.</w:t>
      </w:r>
    </w:p>
    <w:p w14:paraId="2EA70602" w14:textId="77777777" w:rsidR="00561B4D" w:rsidRPr="00561B4D" w:rsidRDefault="00561B4D" w:rsidP="00561B4D">
      <w:pPr>
        <w:tabs>
          <w:tab w:val="left" w:pos="851"/>
        </w:tabs>
        <w:ind w:left="851"/>
        <w:rPr>
          <w:sz w:val="24"/>
          <w:szCs w:val="24"/>
        </w:rPr>
      </w:pPr>
    </w:p>
    <w:p w14:paraId="589E5769" w14:textId="77777777" w:rsidR="00561B4D" w:rsidRPr="00561B4D" w:rsidRDefault="00561B4D" w:rsidP="00561B4D">
      <w:pPr>
        <w:tabs>
          <w:tab w:val="left" w:pos="851"/>
        </w:tabs>
        <w:ind w:left="851"/>
        <w:rPr>
          <w:sz w:val="24"/>
          <w:szCs w:val="24"/>
        </w:rPr>
      </w:pPr>
      <w:r w:rsidRPr="00561B4D">
        <w:rPr>
          <w:sz w:val="24"/>
          <w:szCs w:val="24"/>
        </w:rPr>
        <w:t xml:space="preserve">Dosen på 5 mikrogram/kg/dag (ca. 100 gange klinisk dosis) forårsagede signifikant embryoføtal toksicitet karakteriseret ved øget hyppighed af sen resorption og abort samt nedsat fostervægt. </w:t>
      </w:r>
    </w:p>
    <w:p w14:paraId="4D8C4B6F" w14:textId="77777777" w:rsidR="00561B4D" w:rsidRPr="00561B4D" w:rsidRDefault="00561B4D" w:rsidP="00561B4D">
      <w:pPr>
        <w:tabs>
          <w:tab w:val="left" w:pos="851"/>
        </w:tabs>
        <w:ind w:left="851"/>
        <w:rPr>
          <w:sz w:val="24"/>
          <w:szCs w:val="24"/>
        </w:rPr>
      </w:pPr>
    </w:p>
    <w:p w14:paraId="1A36B792" w14:textId="77777777" w:rsidR="00561B4D" w:rsidRPr="00561B4D" w:rsidRDefault="00561B4D" w:rsidP="00561B4D">
      <w:pPr>
        <w:tabs>
          <w:tab w:val="left" w:pos="851"/>
        </w:tabs>
        <w:ind w:left="851"/>
        <w:rPr>
          <w:sz w:val="24"/>
          <w:szCs w:val="24"/>
        </w:rPr>
      </w:pPr>
      <w:r w:rsidRPr="00561B4D">
        <w:rPr>
          <w:sz w:val="24"/>
          <w:szCs w:val="24"/>
        </w:rPr>
        <w:t>Intet teratogent potentiale er blevet påvist.</w:t>
      </w:r>
    </w:p>
    <w:p w14:paraId="70D74075" w14:textId="77777777" w:rsidR="009260DE" w:rsidRPr="00C84483" w:rsidRDefault="009260DE" w:rsidP="009260DE">
      <w:pPr>
        <w:tabs>
          <w:tab w:val="left" w:pos="851"/>
        </w:tabs>
        <w:ind w:left="851"/>
        <w:rPr>
          <w:sz w:val="24"/>
          <w:szCs w:val="24"/>
        </w:rPr>
      </w:pPr>
    </w:p>
    <w:p w14:paraId="0CD0CBA2" w14:textId="5A5FD371" w:rsidR="00A42DAF" w:rsidRDefault="00A42DAF">
      <w:pPr>
        <w:rPr>
          <w:sz w:val="24"/>
          <w:szCs w:val="24"/>
        </w:rPr>
      </w:pPr>
      <w:r>
        <w:rPr>
          <w:sz w:val="24"/>
          <w:szCs w:val="24"/>
        </w:rPr>
        <w:br w:type="page"/>
      </w:r>
    </w:p>
    <w:p w14:paraId="293F847F" w14:textId="77777777" w:rsidR="009260DE" w:rsidRPr="00C84483" w:rsidRDefault="009260DE" w:rsidP="009260DE">
      <w:pPr>
        <w:tabs>
          <w:tab w:val="left" w:pos="851"/>
        </w:tabs>
        <w:ind w:left="851"/>
        <w:rPr>
          <w:sz w:val="24"/>
          <w:szCs w:val="24"/>
        </w:rPr>
      </w:pPr>
    </w:p>
    <w:p w14:paraId="4120B488"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1EBAA577" w14:textId="77777777" w:rsidR="009260DE" w:rsidRPr="00BA09F1" w:rsidRDefault="009260DE" w:rsidP="009260DE">
      <w:pPr>
        <w:tabs>
          <w:tab w:val="left" w:pos="851"/>
        </w:tabs>
        <w:ind w:left="851"/>
        <w:rPr>
          <w:sz w:val="24"/>
          <w:szCs w:val="24"/>
        </w:rPr>
      </w:pPr>
    </w:p>
    <w:p w14:paraId="796A9AD2"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1FE8EE99" w14:textId="77777777" w:rsidR="00561B4D" w:rsidRPr="00561B4D" w:rsidRDefault="00561B4D" w:rsidP="00561B4D">
      <w:pPr>
        <w:tabs>
          <w:tab w:val="left" w:pos="851"/>
        </w:tabs>
        <w:ind w:left="851"/>
        <w:rPr>
          <w:sz w:val="24"/>
          <w:szCs w:val="24"/>
        </w:rPr>
      </w:pPr>
      <w:r w:rsidRPr="00561B4D">
        <w:rPr>
          <w:sz w:val="24"/>
          <w:szCs w:val="24"/>
        </w:rPr>
        <w:t>Polysorbat 80</w:t>
      </w:r>
    </w:p>
    <w:p w14:paraId="461639E6" w14:textId="77777777" w:rsidR="00561B4D" w:rsidRPr="00561B4D" w:rsidRDefault="00561B4D" w:rsidP="00561B4D">
      <w:pPr>
        <w:tabs>
          <w:tab w:val="left" w:pos="851"/>
        </w:tabs>
        <w:ind w:left="851"/>
        <w:rPr>
          <w:sz w:val="24"/>
          <w:szCs w:val="24"/>
        </w:rPr>
      </w:pPr>
      <w:r w:rsidRPr="00561B4D">
        <w:rPr>
          <w:sz w:val="24"/>
          <w:szCs w:val="24"/>
        </w:rPr>
        <w:t>Borsyre</w:t>
      </w:r>
    </w:p>
    <w:p w14:paraId="5DB80FFC" w14:textId="77777777" w:rsidR="00561B4D" w:rsidRPr="00561B4D" w:rsidRDefault="00561B4D" w:rsidP="00561B4D">
      <w:pPr>
        <w:tabs>
          <w:tab w:val="left" w:pos="851"/>
        </w:tabs>
        <w:ind w:left="851"/>
        <w:rPr>
          <w:sz w:val="24"/>
          <w:szCs w:val="24"/>
        </w:rPr>
      </w:pPr>
      <w:r w:rsidRPr="00561B4D">
        <w:rPr>
          <w:sz w:val="24"/>
          <w:szCs w:val="24"/>
        </w:rPr>
        <w:t>Trometamol</w:t>
      </w:r>
    </w:p>
    <w:p w14:paraId="794A11CE" w14:textId="77777777" w:rsidR="00561B4D" w:rsidRPr="00561B4D" w:rsidRDefault="00561B4D" w:rsidP="00561B4D">
      <w:pPr>
        <w:tabs>
          <w:tab w:val="left" w:pos="851"/>
        </w:tabs>
        <w:ind w:left="851"/>
        <w:rPr>
          <w:sz w:val="24"/>
          <w:szCs w:val="24"/>
        </w:rPr>
      </w:pPr>
      <w:r w:rsidRPr="00561B4D">
        <w:rPr>
          <w:sz w:val="24"/>
          <w:szCs w:val="24"/>
        </w:rPr>
        <w:t>Dinatriumedetat</w:t>
      </w:r>
    </w:p>
    <w:p w14:paraId="299A152E" w14:textId="77777777" w:rsidR="00561B4D" w:rsidRPr="00561B4D" w:rsidRDefault="00561B4D" w:rsidP="00561B4D">
      <w:pPr>
        <w:tabs>
          <w:tab w:val="left" w:pos="851"/>
        </w:tabs>
        <w:ind w:left="851"/>
        <w:rPr>
          <w:sz w:val="24"/>
          <w:szCs w:val="24"/>
        </w:rPr>
      </w:pPr>
      <w:r w:rsidRPr="00561B4D">
        <w:rPr>
          <w:sz w:val="24"/>
          <w:szCs w:val="24"/>
        </w:rPr>
        <w:t>Natriumchlorid</w:t>
      </w:r>
    </w:p>
    <w:p w14:paraId="172B5D9B" w14:textId="77777777" w:rsidR="00561B4D" w:rsidRPr="00561B4D" w:rsidRDefault="00561B4D" w:rsidP="00561B4D">
      <w:pPr>
        <w:tabs>
          <w:tab w:val="left" w:pos="851"/>
        </w:tabs>
        <w:ind w:left="851"/>
        <w:rPr>
          <w:sz w:val="24"/>
          <w:szCs w:val="24"/>
        </w:rPr>
      </w:pPr>
      <w:r w:rsidRPr="00561B4D">
        <w:rPr>
          <w:sz w:val="24"/>
          <w:szCs w:val="24"/>
        </w:rPr>
        <w:t>Vand til injektionsvæsker</w:t>
      </w:r>
    </w:p>
    <w:p w14:paraId="02E690AA" w14:textId="77777777" w:rsidR="009260DE" w:rsidRPr="00C84483" w:rsidRDefault="009260DE" w:rsidP="009260DE">
      <w:pPr>
        <w:tabs>
          <w:tab w:val="left" w:pos="851"/>
        </w:tabs>
        <w:ind w:left="851"/>
        <w:rPr>
          <w:sz w:val="24"/>
          <w:szCs w:val="24"/>
        </w:rPr>
      </w:pPr>
    </w:p>
    <w:p w14:paraId="62487DC2"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0CC61383" w14:textId="77777777" w:rsidR="00561B4D" w:rsidRPr="00561B4D" w:rsidRDefault="00561B4D" w:rsidP="00561B4D">
      <w:pPr>
        <w:tabs>
          <w:tab w:val="left" w:pos="851"/>
        </w:tabs>
        <w:ind w:left="851"/>
        <w:rPr>
          <w:sz w:val="24"/>
          <w:szCs w:val="24"/>
        </w:rPr>
      </w:pPr>
      <w:r w:rsidRPr="00561B4D">
        <w:rPr>
          <w:i/>
          <w:sz w:val="24"/>
          <w:szCs w:val="24"/>
        </w:rPr>
        <w:t>In vitro-</w:t>
      </w:r>
      <w:r w:rsidRPr="00561B4D">
        <w:rPr>
          <w:sz w:val="24"/>
          <w:szCs w:val="24"/>
        </w:rPr>
        <w:t>studier har vist, at der sker udfældning, når øjendråber indeholdende thiomersal blandes med latanoprost. Hvis sådanne lægemidler anvendes, bør øjendråberne administreres med mindst 5 minutters mellemrum.</w:t>
      </w:r>
    </w:p>
    <w:p w14:paraId="24E52939" w14:textId="77777777" w:rsidR="009260DE" w:rsidRPr="00C84483" w:rsidRDefault="009260DE" w:rsidP="009260DE">
      <w:pPr>
        <w:tabs>
          <w:tab w:val="left" w:pos="851"/>
        </w:tabs>
        <w:ind w:left="851"/>
        <w:rPr>
          <w:sz w:val="24"/>
          <w:szCs w:val="24"/>
        </w:rPr>
      </w:pPr>
    </w:p>
    <w:p w14:paraId="066B377E"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3E37710B" w14:textId="45628052" w:rsidR="00561B4D" w:rsidRDefault="00561B4D" w:rsidP="00561B4D">
      <w:pPr>
        <w:tabs>
          <w:tab w:val="left" w:pos="851"/>
        </w:tabs>
        <w:ind w:left="851"/>
        <w:rPr>
          <w:sz w:val="24"/>
          <w:szCs w:val="24"/>
        </w:rPr>
      </w:pPr>
      <w:r w:rsidRPr="00561B4D">
        <w:rPr>
          <w:sz w:val="24"/>
          <w:szCs w:val="24"/>
        </w:rPr>
        <w:t>2 år</w:t>
      </w:r>
      <w:r>
        <w:rPr>
          <w:sz w:val="24"/>
          <w:szCs w:val="24"/>
        </w:rPr>
        <w:t>.</w:t>
      </w:r>
    </w:p>
    <w:p w14:paraId="61B6A481" w14:textId="77777777" w:rsidR="00561B4D" w:rsidRPr="00561B4D" w:rsidRDefault="00561B4D" w:rsidP="00561B4D">
      <w:pPr>
        <w:tabs>
          <w:tab w:val="left" w:pos="851"/>
        </w:tabs>
        <w:ind w:left="851"/>
        <w:rPr>
          <w:sz w:val="24"/>
          <w:szCs w:val="24"/>
        </w:rPr>
      </w:pPr>
    </w:p>
    <w:p w14:paraId="6FF899B8" w14:textId="7FA08743" w:rsidR="00561B4D" w:rsidRPr="00561B4D" w:rsidRDefault="00561B4D" w:rsidP="00561B4D">
      <w:pPr>
        <w:tabs>
          <w:tab w:val="left" w:pos="851"/>
        </w:tabs>
        <w:ind w:left="851"/>
        <w:rPr>
          <w:sz w:val="24"/>
          <w:szCs w:val="24"/>
        </w:rPr>
      </w:pPr>
      <w:r w:rsidRPr="00561B4D">
        <w:rPr>
          <w:sz w:val="24"/>
          <w:szCs w:val="24"/>
        </w:rPr>
        <w:t>Holdbarhed efter åbning af posen: 7 dage</w:t>
      </w:r>
      <w:r>
        <w:rPr>
          <w:sz w:val="24"/>
          <w:szCs w:val="24"/>
        </w:rPr>
        <w:t>.</w:t>
      </w:r>
    </w:p>
    <w:p w14:paraId="28DF3CCA" w14:textId="77777777" w:rsidR="00561B4D" w:rsidRDefault="00561B4D" w:rsidP="00561B4D">
      <w:pPr>
        <w:tabs>
          <w:tab w:val="left" w:pos="851"/>
        </w:tabs>
        <w:ind w:left="851"/>
        <w:rPr>
          <w:sz w:val="24"/>
          <w:szCs w:val="24"/>
        </w:rPr>
      </w:pPr>
    </w:p>
    <w:p w14:paraId="2F2E292C" w14:textId="05D2B619" w:rsidR="00561B4D" w:rsidRPr="00561B4D" w:rsidRDefault="00561B4D" w:rsidP="00561B4D">
      <w:pPr>
        <w:tabs>
          <w:tab w:val="left" w:pos="851"/>
        </w:tabs>
        <w:ind w:left="851"/>
        <w:rPr>
          <w:sz w:val="24"/>
          <w:szCs w:val="24"/>
        </w:rPr>
      </w:pPr>
      <w:r w:rsidRPr="00561B4D">
        <w:rPr>
          <w:sz w:val="24"/>
          <w:szCs w:val="24"/>
        </w:rPr>
        <w:t xml:space="preserve">Efter åbning af enkeltdosisbeholderen: </w:t>
      </w:r>
      <w:r>
        <w:rPr>
          <w:sz w:val="24"/>
          <w:szCs w:val="24"/>
        </w:rPr>
        <w:t>A</w:t>
      </w:r>
      <w:r w:rsidRPr="00561B4D">
        <w:rPr>
          <w:sz w:val="24"/>
          <w:szCs w:val="24"/>
        </w:rPr>
        <w:t>nvendes straks og bortskaf enkeltdosisbeholderen efter brug.</w:t>
      </w:r>
    </w:p>
    <w:p w14:paraId="6087F825" w14:textId="77777777" w:rsidR="009260DE" w:rsidRPr="00C84483" w:rsidRDefault="009260DE" w:rsidP="009260DE">
      <w:pPr>
        <w:tabs>
          <w:tab w:val="left" w:pos="851"/>
        </w:tabs>
        <w:ind w:left="851"/>
        <w:rPr>
          <w:sz w:val="24"/>
          <w:szCs w:val="24"/>
        </w:rPr>
      </w:pPr>
    </w:p>
    <w:p w14:paraId="5B478A77"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74B5B804" w14:textId="77777777" w:rsidR="0074426C" w:rsidRPr="0074426C" w:rsidRDefault="0074426C" w:rsidP="0074426C">
      <w:pPr>
        <w:tabs>
          <w:tab w:val="left" w:pos="851"/>
        </w:tabs>
        <w:ind w:left="851"/>
        <w:rPr>
          <w:sz w:val="24"/>
          <w:szCs w:val="24"/>
        </w:rPr>
      </w:pPr>
      <w:r w:rsidRPr="0074426C">
        <w:rPr>
          <w:sz w:val="24"/>
          <w:szCs w:val="24"/>
        </w:rPr>
        <w:t>Opbevares ved temperaturer under 25 °C.</w:t>
      </w:r>
    </w:p>
    <w:p w14:paraId="7994DF29" w14:textId="77777777" w:rsidR="009260DE" w:rsidRPr="00C84483" w:rsidRDefault="009260DE" w:rsidP="009260DE">
      <w:pPr>
        <w:tabs>
          <w:tab w:val="left" w:pos="851"/>
        </w:tabs>
        <w:ind w:left="851"/>
        <w:rPr>
          <w:sz w:val="24"/>
          <w:szCs w:val="24"/>
        </w:rPr>
      </w:pPr>
    </w:p>
    <w:p w14:paraId="5F4211B1"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4D49C750" w14:textId="04CACBF0" w:rsidR="0074426C" w:rsidRPr="0074426C" w:rsidRDefault="0074426C" w:rsidP="0074426C">
      <w:pPr>
        <w:tabs>
          <w:tab w:val="left" w:pos="851"/>
        </w:tabs>
        <w:ind w:left="851"/>
        <w:rPr>
          <w:sz w:val="24"/>
          <w:szCs w:val="24"/>
        </w:rPr>
      </w:pPr>
      <w:r w:rsidRPr="0074426C">
        <w:rPr>
          <w:sz w:val="24"/>
          <w:szCs w:val="24"/>
        </w:rPr>
        <w:t>LDPE</w:t>
      </w:r>
      <w:r w:rsidRPr="0074426C">
        <w:rPr>
          <w:sz w:val="24"/>
          <w:szCs w:val="24"/>
        </w:rPr>
        <w:noBreakHyphen/>
        <w:t>enkeltdosisbeholder i en PET/Alu/PE</w:t>
      </w:r>
      <w:r w:rsidRPr="0074426C">
        <w:rPr>
          <w:sz w:val="24"/>
          <w:szCs w:val="24"/>
        </w:rPr>
        <w:noBreakHyphen/>
        <w:t>pose.</w:t>
      </w:r>
    </w:p>
    <w:p w14:paraId="227033F6" w14:textId="77777777" w:rsidR="0074426C" w:rsidRDefault="0074426C" w:rsidP="0074426C">
      <w:pPr>
        <w:tabs>
          <w:tab w:val="left" w:pos="851"/>
        </w:tabs>
        <w:ind w:left="851"/>
        <w:rPr>
          <w:sz w:val="24"/>
          <w:szCs w:val="24"/>
        </w:rPr>
      </w:pPr>
      <w:r w:rsidRPr="0074426C">
        <w:rPr>
          <w:sz w:val="24"/>
          <w:szCs w:val="24"/>
        </w:rPr>
        <w:t>Hver enkeltdosisbeholder indeholder 0,2 ml. Én pose indeholder 5 enkeltdosisbeholdere.</w:t>
      </w:r>
    </w:p>
    <w:p w14:paraId="39A34164" w14:textId="77777777" w:rsidR="0074426C" w:rsidRPr="0074426C" w:rsidRDefault="0074426C" w:rsidP="0074426C">
      <w:pPr>
        <w:tabs>
          <w:tab w:val="left" w:pos="851"/>
        </w:tabs>
        <w:ind w:left="851"/>
        <w:rPr>
          <w:sz w:val="24"/>
          <w:szCs w:val="24"/>
        </w:rPr>
      </w:pPr>
    </w:p>
    <w:p w14:paraId="45862D6C" w14:textId="0981B7C2" w:rsidR="0074426C" w:rsidRDefault="0074426C" w:rsidP="0074426C">
      <w:pPr>
        <w:tabs>
          <w:tab w:val="left" w:pos="851"/>
        </w:tabs>
        <w:ind w:left="851"/>
        <w:rPr>
          <w:sz w:val="24"/>
          <w:szCs w:val="24"/>
        </w:rPr>
      </w:pPr>
      <w:r w:rsidRPr="0074426C">
        <w:rPr>
          <w:sz w:val="24"/>
          <w:szCs w:val="24"/>
        </w:rPr>
        <w:t xml:space="preserve">Pakningsstørrelser: 30 </w:t>
      </w:r>
      <w:r>
        <w:rPr>
          <w:sz w:val="24"/>
          <w:szCs w:val="24"/>
        </w:rPr>
        <w:t>og</w:t>
      </w:r>
      <w:r w:rsidRPr="0074426C">
        <w:rPr>
          <w:sz w:val="24"/>
          <w:szCs w:val="24"/>
        </w:rPr>
        <w:t xml:space="preserve"> 90 enkeltdosisbeholdere.</w:t>
      </w:r>
    </w:p>
    <w:p w14:paraId="703F25EE" w14:textId="77777777" w:rsidR="0074426C" w:rsidRPr="0074426C" w:rsidRDefault="0074426C" w:rsidP="0074426C">
      <w:pPr>
        <w:tabs>
          <w:tab w:val="left" w:pos="851"/>
        </w:tabs>
        <w:ind w:left="851"/>
        <w:rPr>
          <w:sz w:val="24"/>
          <w:szCs w:val="24"/>
        </w:rPr>
      </w:pPr>
    </w:p>
    <w:p w14:paraId="478965E5" w14:textId="77777777" w:rsidR="0074426C" w:rsidRPr="0074426C" w:rsidRDefault="0074426C" w:rsidP="0074426C">
      <w:pPr>
        <w:tabs>
          <w:tab w:val="left" w:pos="851"/>
        </w:tabs>
        <w:ind w:left="851"/>
        <w:rPr>
          <w:sz w:val="24"/>
          <w:szCs w:val="24"/>
        </w:rPr>
      </w:pPr>
      <w:r w:rsidRPr="0074426C">
        <w:rPr>
          <w:sz w:val="24"/>
          <w:szCs w:val="24"/>
        </w:rPr>
        <w:t xml:space="preserve">Ikke alle pakningsstørrelser er nødvendigvis markedsført. </w:t>
      </w:r>
    </w:p>
    <w:p w14:paraId="13C9D033" w14:textId="77777777" w:rsidR="009260DE" w:rsidRPr="00C84483" w:rsidRDefault="009260DE" w:rsidP="009260DE">
      <w:pPr>
        <w:tabs>
          <w:tab w:val="left" w:pos="851"/>
        </w:tabs>
        <w:ind w:left="851"/>
        <w:rPr>
          <w:sz w:val="24"/>
          <w:szCs w:val="24"/>
        </w:rPr>
      </w:pPr>
    </w:p>
    <w:p w14:paraId="4044DF76"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32F47E05" w14:textId="29D043FD" w:rsidR="0074426C" w:rsidRDefault="0074426C" w:rsidP="0074426C">
      <w:pPr>
        <w:tabs>
          <w:tab w:val="left" w:pos="851"/>
        </w:tabs>
        <w:ind w:left="851"/>
        <w:rPr>
          <w:sz w:val="24"/>
          <w:szCs w:val="24"/>
        </w:rPr>
      </w:pPr>
      <w:r w:rsidRPr="0074426C">
        <w:rPr>
          <w:sz w:val="24"/>
          <w:szCs w:val="24"/>
        </w:rPr>
        <w:t>Ingen særlige forholdsregler.</w:t>
      </w:r>
    </w:p>
    <w:p w14:paraId="10B593BD" w14:textId="77777777" w:rsidR="0074426C" w:rsidRPr="0074426C" w:rsidRDefault="0074426C" w:rsidP="0074426C">
      <w:pPr>
        <w:tabs>
          <w:tab w:val="left" w:pos="851"/>
        </w:tabs>
        <w:ind w:left="851"/>
        <w:rPr>
          <w:sz w:val="24"/>
          <w:szCs w:val="24"/>
        </w:rPr>
      </w:pPr>
    </w:p>
    <w:p w14:paraId="68935DEE" w14:textId="77777777" w:rsidR="0074426C" w:rsidRPr="0074426C" w:rsidRDefault="0074426C" w:rsidP="0074426C">
      <w:pPr>
        <w:tabs>
          <w:tab w:val="left" w:pos="851"/>
        </w:tabs>
        <w:ind w:left="851"/>
        <w:rPr>
          <w:sz w:val="24"/>
          <w:szCs w:val="24"/>
        </w:rPr>
      </w:pPr>
      <w:r w:rsidRPr="0074426C">
        <w:rPr>
          <w:sz w:val="24"/>
          <w:szCs w:val="24"/>
        </w:rPr>
        <w:t>Ikke anvendt lægemiddel samt affald heraf skal bortskaffes i henhold til lokale retningslinjer.</w:t>
      </w:r>
    </w:p>
    <w:p w14:paraId="2D9B4B20" w14:textId="77777777" w:rsidR="009260DE" w:rsidRPr="00C84483" w:rsidRDefault="009260DE" w:rsidP="000730CA">
      <w:pPr>
        <w:tabs>
          <w:tab w:val="left" w:pos="851"/>
        </w:tabs>
        <w:ind w:left="851"/>
        <w:rPr>
          <w:sz w:val="24"/>
          <w:szCs w:val="24"/>
        </w:rPr>
      </w:pPr>
    </w:p>
    <w:p w14:paraId="399DD481"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2301BD26" w14:textId="77777777" w:rsidR="0074426C" w:rsidRPr="0074426C" w:rsidRDefault="0074426C" w:rsidP="0074426C">
      <w:pPr>
        <w:tabs>
          <w:tab w:val="left" w:pos="851"/>
        </w:tabs>
        <w:ind w:left="851"/>
        <w:rPr>
          <w:sz w:val="24"/>
          <w:szCs w:val="24"/>
        </w:rPr>
      </w:pPr>
      <w:r w:rsidRPr="0074426C">
        <w:rPr>
          <w:sz w:val="24"/>
          <w:szCs w:val="24"/>
        </w:rPr>
        <w:t>Sandoz AS</w:t>
      </w:r>
    </w:p>
    <w:p w14:paraId="14C2157A" w14:textId="77777777" w:rsidR="0074426C" w:rsidRPr="0074426C" w:rsidRDefault="0074426C" w:rsidP="0074426C">
      <w:pPr>
        <w:tabs>
          <w:tab w:val="left" w:pos="851"/>
        </w:tabs>
        <w:ind w:left="851"/>
        <w:rPr>
          <w:sz w:val="24"/>
          <w:szCs w:val="24"/>
        </w:rPr>
      </w:pPr>
      <w:r w:rsidRPr="0074426C">
        <w:rPr>
          <w:sz w:val="24"/>
          <w:szCs w:val="24"/>
        </w:rPr>
        <w:t>Edvard Thomsens Vej 14</w:t>
      </w:r>
    </w:p>
    <w:p w14:paraId="74BEA569" w14:textId="77777777" w:rsidR="0074426C" w:rsidRPr="0074426C" w:rsidRDefault="0074426C" w:rsidP="0074426C">
      <w:pPr>
        <w:tabs>
          <w:tab w:val="left" w:pos="851"/>
        </w:tabs>
        <w:ind w:left="851"/>
        <w:rPr>
          <w:sz w:val="24"/>
          <w:szCs w:val="24"/>
        </w:rPr>
      </w:pPr>
      <w:r w:rsidRPr="0074426C">
        <w:rPr>
          <w:sz w:val="24"/>
          <w:szCs w:val="24"/>
        </w:rPr>
        <w:t>2300 København S</w:t>
      </w:r>
    </w:p>
    <w:p w14:paraId="6B1C3040" w14:textId="77777777" w:rsidR="00641C65" w:rsidRPr="00641C65" w:rsidRDefault="00641C65" w:rsidP="009260DE">
      <w:pPr>
        <w:tabs>
          <w:tab w:val="left" w:pos="851"/>
        </w:tabs>
        <w:ind w:left="851"/>
        <w:rPr>
          <w:sz w:val="24"/>
          <w:szCs w:val="24"/>
        </w:rPr>
      </w:pPr>
    </w:p>
    <w:p w14:paraId="3373E6B6"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0066977B" w14:textId="165CF370" w:rsidR="009260DE" w:rsidRPr="00C84483" w:rsidRDefault="0074426C" w:rsidP="009260DE">
      <w:pPr>
        <w:tabs>
          <w:tab w:val="left" w:pos="851"/>
        </w:tabs>
        <w:ind w:left="851"/>
        <w:rPr>
          <w:sz w:val="24"/>
          <w:szCs w:val="24"/>
        </w:rPr>
      </w:pPr>
      <w:r>
        <w:rPr>
          <w:sz w:val="24"/>
          <w:szCs w:val="24"/>
        </w:rPr>
        <w:t>73580</w:t>
      </w:r>
    </w:p>
    <w:p w14:paraId="7ACE0878" w14:textId="77777777" w:rsidR="009260DE" w:rsidRPr="00C84483" w:rsidRDefault="009260DE" w:rsidP="009260DE">
      <w:pPr>
        <w:tabs>
          <w:tab w:val="left" w:pos="851"/>
        </w:tabs>
        <w:ind w:left="851"/>
        <w:jc w:val="both"/>
        <w:rPr>
          <w:sz w:val="24"/>
          <w:szCs w:val="24"/>
        </w:rPr>
      </w:pPr>
    </w:p>
    <w:p w14:paraId="4D27EC0A"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F971B05" w14:textId="2B4AE028" w:rsidR="009260DE" w:rsidRPr="00C84483" w:rsidRDefault="00D8510E" w:rsidP="009260DE">
      <w:pPr>
        <w:tabs>
          <w:tab w:val="left" w:pos="851"/>
        </w:tabs>
        <w:ind w:left="851"/>
        <w:rPr>
          <w:sz w:val="24"/>
          <w:szCs w:val="24"/>
        </w:rPr>
      </w:pPr>
      <w:r>
        <w:rPr>
          <w:sz w:val="24"/>
          <w:szCs w:val="24"/>
        </w:rPr>
        <w:t>2. marts 2011 (øjendråber, opløsning)</w:t>
      </w:r>
    </w:p>
    <w:p w14:paraId="32F44B0F" w14:textId="77777777" w:rsidR="009260DE" w:rsidRPr="00C84483" w:rsidRDefault="009260DE" w:rsidP="009260DE">
      <w:pPr>
        <w:tabs>
          <w:tab w:val="left" w:pos="851"/>
        </w:tabs>
        <w:ind w:left="851"/>
        <w:rPr>
          <w:sz w:val="24"/>
          <w:szCs w:val="24"/>
        </w:rPr>
      </w:pPr>
    </w:p>
    <w:p w14:paraId="60F059C9"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FB15DF7" w14:textId="5D368CE0" w:rsidR="009260DE" w:rsidRPr="00C84483" w:rsidRDefault="0074426C"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C242A" w14:textId="77777777" w:rsidR="00DC67C0" w:rsidRDefault="00DC67C0">
      <w:r>
        <w:separator/>
      </w:r>
    </w:p>
  </w:endnote>
  <w:endnote w:type="continuationSeparator" w:id="0">
    <w:p w14:paraId="038F96A0" w14:textId="77777777" w:rsidR="00DC67C0" w:rsidRDefault="00DC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5B1A" w14:textId="77777777" w:rsidR="000259B9" w:rsidRDefault="000259B9">
    <w:pPr>
      <w:pStyle w:val="Sidefod"/>
      <w:pBdr>
        <w:bottom w:val="single" w:sz="6" w:space="1" w:color="auto"/>
      </w:pBdr>
    </w:pPr>
  </w:p>
  <w:p w14:paraId="10F8DDF3" w14:textId="77777777" w:rsidR="000259B9" w:rsidRDefault="000259B9" w:rsidP="00C42586">
    <w:pPr>
      <w:pStyle w:val="Sidefod"/>
      <w:tabs>
        <w:tab w:val="clear" w:pos="4819"/>
        <w:tab w:val="left" w:pos="8505"/>
      </w:tabs>
      <w:rPr>
        <w:i/>
        <w:sz w:val="18"/>
        <w:szCs w:val="18"/>
      </w:rPr>
    </w:pPr>
  </w:p>
  <w:p w14:paraId="36675D2A" w14:textId="43A1A788"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A42DAF">
      <w:rPr>
        <w:i/>
        <w:noProof/>
        <w:sz w:val="18"/>
        <w:szCs w:val="18"/>
      </w:rPr>
      <w:t>Latanoprost Sandoz, øjendråber, opløsning i enkeltdosisbeholder 50 mikrogram-ml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877AA" w14:textId="77777777" w:rsidR="00DC67C0" w:rsidRDefault="00DC67C0">
      <w:r>
        <w:separator/>
      </w:r>
    </w:p>
  </w:footnote>
  <w:footnote w:type="continuationSeparator" w:id="0">
    <w:p w14:paraId="0CA9079B" w14:textId="77777777" w:rsidR="00DC67C0" w:rsidRDefault="00DC6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0379147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364520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209205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3938509">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508452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A4C"/>
    <w:rsid w:val="000259B9"/>
    <w:rsid w:val="00041491"/>
    <w:rsid w:val="00043246"/>
    <w:rsid w:val="00050D16"/>
    <w:rsid w:val="000730CA"/>
    <w:rsid w:val="00074F2A"/>
    <w:rsid w:val="000A1CA8"/>
    <w:rsid w:val="000A466B"/>
    <w:rsid w:val="000B058C"/>
    <w:rsid w:val="000D68B0"/>
    <w:rsid w:val="000E4EE6"/>
    <w:rsid w:val="001454E2"/>
    <w:rsid w:val="0020438F"/>
    <w:rsid w:val="00206CE8"/>
    <w:rsid w:val="0021526C"/>
    <w:rsid w:val="00283A2B"/>
    <w:rsid w:val="002B0A15"/>
    <w:rsid w:val="002B30AD"/>
    <w:rsid w:val="002C1EC0"/>
    <w:rsid w:val="002C2C01"/>
    <w:rsid w:val="003A29AE"/>
    <w:rsid w:val="003A32D7"/>
    <w:rsid w:val="003B4074"/>
    <w:rsid w:val="003C769A"/>
    <w:rsid w:val="003D3A90"/>
    <w:rsid w:val="003F1838"/>
    <w:rsid w:val="004251C1"/>
    <w:rsid w:val="0045746C"/>
    <w:rsid w:val="0049104B"/>
    <w:rsid w:val="004E3B12"/>
    <w:rsid w:val="00532310"/>
    <w:rsid w:val="00561B4D"/>
    <w:rsid w:val="00565F0F"/>
    <w:rsid w:val="00594A86"/>
    <w:rsid w:val="00596D86"/>
    <w:rsid w:val="00637F5A"/>
    <w:rsid w:val="00641C65"/>
    <w:rsid w:val="006560B1"/>
    <w:rsid w:val="00672BC0"/>
    <w:rsid w:val="006756DD"/>
    <w:rsid w:val="0071241E"/>
    <w:rsid w:val="00713820"/>
    <w:rsid w:val="00737275"/>
    <w:rsid w:val="007376A0"/>
    <w:rsid w:val="00740EEC"/>
    <w:rsid w:val="0074426C"/>
    <w:rsid w:val="0078011A"/>
    <w:rsid w:val="00782AF4"/>
    <w:rsid w:val="00790EE7"/>
    <w:rsid w:val="007B6649"/>
    <w:rsid w:val="0082576E"/>
    <w:rsid w:val="0089346F"/>
    <w:rsid w:val="008E2A44"/>
    <w:rsid w:val="00907F75"/>
    <w:rsid w:val="00925A4C"/>
    <w:rsid w:val="009260DE"/>
    <w:rsid w:val="0093258A"/>
    <w:rsid w:val="009C7BA3"/>
    <w:rsid w:val="009D1F5A"/>
    <w:rsid w:val="00A10294"/>
    <w:rsid w:val="00A42DAF"/>
    <w:rsid w:val="00B003BF"/>
    <w:rsid w:val="00B373D7"/>
    <w:rsid w:val="00B55271"/>
    <w:rsid w:val="00BD7931"/>
    <w:rsid w:val="00BF6243"/>
    <w:rsid w:val="00C36276"/>
    <w:rsid w:val="00C42586"/>
    <w:rsid w:val="00C45F6B"/>
    <w:rsid w:val="00C60CCD"/>
    <w:rsid w:val="00C84483"/>
    <w:rsid w:val="00C95551"/>
    <w:rsid w:val="00CB20D7"/>
    <w:rsid w:val="00CB34D7"/>
    <w:rsid w:val="00D020B0"/>
    <w:rsid w:val="00D11748"/>
    <w:rsid w:val="00D237F6"/>
    <w:rsid w:val="00D34D98"/>
    <w:rsid w:val="00D366CF"/>
    <w:rsid w:val="00D8510E"/>
    <w:rsid w:val="00D93992"/>
    <w:rsid w:val="00DC67C0"/>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B2A09"/>
  <w15:chartTrackingRefBased/>
  <w15:docId w15:val="{362EFB01-061F-4A6F-B342-406D29A1D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330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40483710">
      <w:bodyDiv w:val="1"/>
      <w:marLeft w:val="0"/>
      <w:marRight w:val="0"/>
      <w:marTop w:val="0"/>
      <w:marBottom w:val="0"/>
      <w:divBdr>
        <w:top w:val="none" w:sz="0" w:space="0" w:color="auto"/>
        <w:left w:val="none" w:sz="0" w:space="0" w:color="auto"/>
        <w:bottom w:val="none" w:sz="0" w:space="0" w:color="auto"/>
        <w:right w:val="none" w:sz="0" w:space="0" w:color="auto"/>
      </w:divBdr>
    </w:div>
    <w:div w:id="370544958">
      <w:bodyDiv w:val="1"/>
      <w:marLeft w:val="0"/>
      <w:marRight w:val="0"/>
      <w:marTop w:val="0"/>
      <w:marBottom w:val="0"/>
      <w:divBdr>
        <w:top w:val="none" w:sz="0" w:space="0" w:color="auto"/>
        <w:left w:val="none" w:sz="0" w:space="0" w:color="auto"/>
        <w:bottom w:val="none" w:sz="0" w:space="0" w:color="auto"/>
        <w:right w:val="none" w:sz="0" w:space="0" w:color="auto"/>
      </w:divBdr>
    </w:div>
    <w:div w:id="505024212">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87153919">
      <w:bodyDiv w:val="1"/>
      <w:marLeft w:val="0"/>
      <w:marRight w:val="0"/>
      <w:marTop w:val="0"/>
      <w:marBottom w:val="0"/>
      <w:divBdr>
        <w:top w:val="none" w:sz="0" w:space="0" w:color="auto"/>
        <w:left w:val="none" w:sz="0" w:space="0" w:color="auto"/>
        <w:bottom w:val="none" w:sz="0" w:space="0" w:color="auto"/>
        <w:right w:val="none" w:sz="0" w:space="0" w:color="auto"/>
      </w:divBdr>
    </w:div>
    <w:div w:id="608709182">
      <w:bodyDiv w:val="1"/>
      <w:marLeft w:val="0"/>
      <w:marRight w:val="0"/>
      <w:marTop w:val="0"/>
      <w:marBottom w:val="0"/>
      <w:divBdr>
        <w:top w:val="none" w:sz="0" w:space="0" w:color="auto"/>
        <w:left w:val="none" w:sz="0" w:space="0" w:color="auto"/>
        <w:bottom w:val="none" w:sz="0" w:space="0" w:color="auto"/>
        <w:right w:val="none" w:sz="0" w:space="0" w:color="auto"/>
      </w:divBdr>
    </w:div>
    <w:div w:id="640616765">
      <w:bodyDiv w:val="1"/>
      <w:marLeft w:val="0"/>
      <w:marRight w:val="0"/>
      <w:marTop w:val="0"/>
      <w:marBottom w:val="0"/>
      <w:divBdr>
        <w:top w:val="none" w:sz="0" w:space="0" w:color="auto"/>
        <w:left w:val="none" w:sz="0" w:space="0" w:color="auto"/>
        <w:bottom w:val="none" w:sz="0" w:space="0" w:color="auto"/>
        <w:right w:val="none" w:sz="0" w:space="0" w:color="auto"/>
      </w:divBdr>
    </w:div>
    <w:div w:id="656736808">
      <w:bodyDiv w:val="1"/>
      <w:marLeft w:val="0"/>
      <w:marRight w:val="0"/>
      <w:marTop w:val="0"/>
      <w:marBottom w:val="0"/>
      <w:divBdr>
        <w:top w:val="none" w:sz="0" w:space="0" w:color="auto"/>
        <w:left w:val="none" w:sz="0" w:space="0" w:color="auto"/>
        <w:bottom w:val="none" w:sz="0" w:space="0" w:color="auto"/>
        <w:right w:val="none" w:sz="0" w:space="0" w:color="auto"/>
      </w:divBdr>
    </w:div>
    <w:div w:id="706609610">
      <w:bodyDiv w:val="1"/>
      <w:marLeft w:val="0"/>
      <w:marRight w:val="0"/>
      <w:marTop w:val="0"/>
      <w:marBottom w:val="0"/>
      <w:divBdr>
        <w:top w:val="none" w:sz="0" w:space="0" w:color="auto"/>
        <w:left w:val="none" w:sz="0" w:space="0" w:color="auto"/>
        <w:bottom w:val="none" w:sz="0" w:space="0" w:color="auto"/>
        <w:right w:val="none" w:sz="0" w:space="0" w:color="auto"/>
      </w:divBdr>
    </w:div>
    <w:div w:id="744835457">
      <w:bodyDiv w:val="1"/>
      <w:marLeft w:val="0"/>
      <w:marRight w:val="0"/>
      <w:marTop w:val="0"/>
      <w:marBottom w:val="0"/>
      <w:divBdr>
        <w:top w:val="none" w:sz="0" w:space="0" w:color="auto"/>
        <w:left w:val="none" w:sz="0" w:space="0" w:color="auto"/>
        <w:bottom w:val="none" w:sz="0" w:space="0" w:color="auto"/>
        <w:right w:val="none" w:sz="0" w:space="0" w:color="auto"/>
      </w:divBdr>
    </w:div>
    <w:div w:id="758478621">
      <w:bodyDiv w:val="1"/>
      <w:marLeft w:val="0"/>
      <w:marRight w:val="0"/>
      <w:marTop w:val="0"/>
      <w:marBottom w:val="0"/>
      <w:divBdr>
        <w:top w:val="none" w:sz="0" w:space="0" w:color="auto"/>
        <w:left w:val="none" w:sz="0" w:space="0" w:color="auto"/>
        <w:bottom w:val="none" w:sz="0" w:space="0" w:color="auto"/>
        <w:right w:val="none" w:sz="0" w:space="0" w:color="auto"/>
      </w:divBdr>
    </w:div>
    <w:div w:id="761143895">
      <w:bodyDiv w:val="1"/>
      <w:marLeft w:val="0"/>
      <w:marRight w:val="0"/>
      <w:marTop w:val="0"/>
      <w:marBottom w:val="0"/>
      <w:divBdr>
        <w:top w:val="none" w:sz="0" w:space="0" w:color="auto"/>
        <w:left w:val="none" w:sz="0" w:space="0" w:color="auto"/>
        <w:bottom w:val="none" w:sz="0" w:space="0" w:color="auto"/>
        <w:right w:val="none" w:sz="0" w:space="0" w:color="auto"/>
      </w:divBdr>
    </w:div>
    <w:div w:id="790561186">
      <w:bodyDiv w:val="1"/>
      <w:marLeft w:val="0"/>
      <w:marRight w:val="0"/>
      <w:marTop w:val="0"/>
      <w:marBottom w:val="0"/>
      <w:divBdr>
        <w:top w:val="none" w:sz="0" w:space="0" w:color="auto"/>
        <w:left w:val="none" w:sz="0" w:space="0" w:color="auto"/>
        <w:bottom w:val="none" w:sz="0" w:space="0" w:color="auto"/>
        <w:right w:val="none" w:sz="0" w:space="0" w:color="auto"/>
      </w:divBdr>
    </w:div>
    <w:div w:id="830102111">
      <w:bodyDiv w:val="1"/>
      <w:marLeft w:val="0"/>
      <w:marRight w:val="0"/>
      <w:marTop w:val="0"/>
      <w:marBottom w:val="0"/>
      <w:divBdr>
        <w:top w:val="none" w:sz="0" w:space="0" w:color="auto"/>
        <w:left w:val="none" w:sz="0" w:space="0" w:color="auto"/>
        <w:bottom w:val="none" w:sz="0" w:space="0" w:color="auto"/>
        <w:right w:val="none" w:sz="0" w:space="0" w:color="auto"/>
      </w:divBdr>
    </w:div>
    <w:div w:id="834420222">
      <w:bodyDiv w:val="1"/>
      <w:marLeft w:val="0"/>
      <w:marRight w:val="0"/>
      <w:marTop w:val="0"/>
      <w:marBottom w:val="0"/>
      <w:divBdr>
        <w:top w:val="none" w:sz="0" w:space="0" w:color="auto"/>
        <w:left w:val="none" w:sz="0" w:space="0" w:color="auto"/>
        <w:bottom w:val="none" w:sz="0" w:space="0" w:color="auto"/>
        <w:right w:val="none" w:sz="0" w:space="0" w:color="auto"/>
      </w:divBdr>
    </w:div>
    <w:div w:id="884871488">
      <w:bodyDiv w:val="1"/>
      <w:marLeft w:val="0"/>
      <w:marRight w:val="0"/>
      <w:marTop w:val="0"/>
      <w:marBottom w:val="0"/>
      <w:divBdr>
        <w:top w:val="none" w:sz="0" w:space="0" w:color="auto"/>
        <w:left w:val="none" w:sz="0" w:space="0" w:color="auto"/>
        <w:bottom w:val="none" w:sz="0" w:space="0" w:color="auto"/>
        <w:right w:val="none" w:sz="0" w:space="0" w:color="auto"/>
      </w:divBdr>
    </w:div>
    <w:div w:id="919485740">
      <w:bodyDiv w:val="1"/>
      <w:marLeft w:val="0"/>
      <w:marRight w:val="0"/>
      <w:marTop w:val="0"/>
      <w:marBottom w:val="0"/>
      <w:divBdr>
        <w:top w:val="none" w:sz="0" w:space="0" w:color="auto"/>
        <w:left w:val="none" w:sz="0" w:space="0" w:color="auto"/>
        <w:bottom w:val="none" w:sz="0" w:space="0" w:color="auto"/>
        <w:right w:val="none" w:sz="0" w:space="0" w:color="auto"/>
      </w:divBdr>
    </w:div>
    <w:div w:id="1078553185">
      <w:bodyDiv w:val="1"/>
      <w:marLeft w:val="0"/>
      <w:marRight w:val="0"/>
      <w:marTop w:val="0"/>
      <w:marBottom w:val="0"/>
      <w:divBdr>
        <w:top w:val="none" w:sz="0" w:space="0" w:color="auto"/>
        <w:left w:val="none" w:sz="0" w:space="0" w:color="auto"/>
        <w:bottom w:val="none" w:sz="0" w:space="0" w:color="auto"/>
        <w:right w:val="none" w:sz="0" w:space="0" w:color="auto"/>
      </w:divBdr>
    </w:div>
    <w:div w:id="1083185917">
      <w:bodyDiv w:val="1"/>
      <w:marLeft w:val="0"/>
      <w:marRight w:val="0"/>
      <w:marTop w:val="0"/>
      <w:marBottom w:val="0"/>
      <w:divBdr>
        <w:top w:val="none" w:sz="0" w:space="0" w:color="auto"/>
        <w:left w:val="none" w:sz="0" w:space="0" w:color="auto"/>
        <w:bottom w:val="none" w:sz="0" w:space="0" w:color="auto"/>
        <w:right w:val="none" w:sz="0" w:space="0" w:color="auto"/>
      </w:divBdr>
    </w:div>
    <w:div w:id="1103956928">
      <w:bodyDiv w:val="1"/>
      <w:marLeft w:val="0"/>
      <w:marRight w:val="0"/>
      <w:marTop w:val="0"/>
      <w:marBottom w:val="0"/>
      <w:divBdr>
        <w:top w:val="none" w:sz="0" w:space="0" w:color="auto"/>
        <w:left w:val="none" w:sz="0" w:space="0" w:color="auto"/>
        <w:bottom w:val="none" w:sz="0" w:space="0" w:color="auto"/>
        <w:right w:val="none" w:sz="0" w:space="0" w:color="auto"/>
      </w:divBdr>
    </w:div>
    <w:div w:id="1137067015">
      <w:bodyDiv w:val="1"/>
      <w:marLeft w:val="0"/>
      <w:marRight w:val="0"/>
      <w:marTop w:val="0"/>
      <w:marBottom w:val="0"/>
      <w:divBdr>
        <w:top w:val="none" w:sz="0" w:space="0" w:color="auto"/>
        <w:left w:val="none" w:sz="0" w:space="0" w:color="auto"/>
        <w:bottom w:val="none" w:sz="0" w:space="0" w:color="auto"/>
        <w:right w:val="none" w:sz="0" w:space="0" w:color="auto"/>
      </w:divBdr>
    </w:div>
    <w:div w:id="1148742365">
      <w:bodyDiv w:val="1"/>
      <w:marLeft w:val="0"/>
      <w:marRight w:val="0"/>
      <w:marTop w:val="0"/>
      <w:marBottom w:val="0"/>
      <w:divBdr>
        <w:top w:val="none" w:sz="0" w:space="0" w:color="auto"/>
        <w:left w:val="none" w:sz="0" w:space="0" w:color="auto"/>
        <w:bottom w:val="none" w:sz="0" w:space="0" w:color="auto"/>
        <w:right w:val="none" w:sz="0" w:space="0" w:color="auto"/>
      </w:divBdr>
    </w:div>
    <w:div w:id="1168448935">
      <w:bodyDiv w:val="1"/>
      <w:marLeft w:val="0"/>
      <w:marRight w:val="0"/>
      <w:marTop w:val="0"/>
      <w:marBottom w:val="0"/>
      <w:divBdr>
        <w:top w:val="none" w:sz="0" w:space="0" w:color="auto"/>
        <w:left w:val="none" w:sz="0" w:space="0" w:color="auto"/>
        <w:bottom w:val="none" w:sz="0" w:space="0" w:color="auto"/>
        <w:right w:val="none" w:sz="0" w:space="0" w:color="auto"/>
      </w:divBdr>
    </w:div>
    <w:div w:id="1223251472">
      <w:bodyDiv w:val="1"/>
      <w:marLeft w:val="0"/>
      <w:marRight w:val="0"/>
      <w:marTop w:val="0"/>
      <w:marBottom w:val="0"/>
      <w:divBdr>
        <w:top w:val="none" w:sz="0" w:space="0" w:color="auto"/>
        <w:left w:val="none" w:sz="0" w:space="0" w:color="auto"/>
        <w:bottom w:val="none" w:sz="0" w:space="0" w:color="auto"/>
        <w:right w:val="none" w:sz="0" w:space="0" w:color="auto"/>
      </w:divBdr>
    </w:div>
    <w:div w:id="1258246318">
      <w:bodyDiv w:val="1"/>
      <w:marLeft w:val="0"/>
      <w:marRight w:val="0"/>
      <w:marTop w:val="0"/>
      <w:marBottom w:val="0"/>
      <w:divBdr>
        <w:top w:val="none" w:sz="0" w:space="0" w:color="auto"/>
        <w:left w:val="none" w:sz="0" w:space="0" w:color="auto"/>
        <w:bottom w:val="none" w:sz="0" w:space="0" w:color="auto"/>
        <w:right w:val="none" w:sz="0" w:space="0" w:color="auto"/>
      </w:divBdr>
    </w:div>
    <w:div w:id="1280799300">
      <w:bodyDiv w:val="1"/>
      <w:marLeft w:val="0"/>
      <w:marRight w:val="0"/>
      <w:marTop w:val="0"/>
      <w:marBottom w:val="0"/>
      <w:divBdr>
        <w:top w:val="none" w:sz="0" w:space="0" w:color="auto"/>
        <w:left w:val="none" w:sz="0" w:space="0" w:color="auto"/>
        <w:bottom w:val="none" w:sz="0" w:space="0" w:color="auto"/>
        <w:right w:val="none" w:sz="0" w:space="0" w:color="auto"/>
      </w:divBdr>
    </w:div>
    <w:div w:id="1317148842">
      <w:bodyDiv w:val="1"/>
      <w:marLeft w:val="0"/>
      <w:marRight w:val="0"/>
      <w:marTop w:val="0"/>
      <w:marBottom w:val="0"/>
      <w:divBdr>
        <w:top w:val="none" w:sz="0" w:space="0" w:color="auto"/>
        <w:left w:val="none" w:sz="0" w:space="0" w:color="auto"/>
        <w:bottom w:val="none" w:sz="0" w:space="0" w:color="auto"/>
        <w:right w:val="none" w:sz="0" w:space="0" w:color="auto"/>
      </w:divBdr>
    </w:div>
    <w:div w:id="1321275316">
      <w:bodyDiv w:val="1"/>
      <w:marLeft w:val="0"/>
      <w:marRight w:val="0"/>
      <w:marTop w:val="0"/>
      <w:marBottom w:val="0"/>
      <w:divBdr>
        <w:top w:val="none" w:sz="0" w:space="0" w:color="auto"/>
        <w:left w:val="none" w:sz="0" w:space="0" w:color="auto"/>
        <w:bottom w:val="none" w:sz="0" w:space="0" w:color="auto"/>
        <w:right w:val="none" w:sz="0" w:space="0" w:color="auto"/>
      </w:divBdr>
    </w:div>
    <w:div w:id="1341005171">
      <w:bodyDiv w:val="1"/>
      <w:marLeft w:val="0"/>
      <w:marRight w:val="0"/>
      <w:marTop w:val="0"/>
      <w:marBottom w:val="0"/>
      <w:divBdr>
        <w:top w:val="none" w:sz="0" w:space="0" w:color="auto"/>
        <w:left w:val="none" w:sz="0" w:space="0" w:color="auto"/>
        <w:bottom w:val="none" w:sz="0" w:space="0" w:color="auto"/>
        <w:right w:val="none" w:sz="0" w:space="0" w:color="auto"/>
      </w:divBdr>
    </w:div>
    <w:div w:id="1362706733">
      <w:bodyDiv w:val="1"/>
      <w:marLeft w:val="0"/>
      <w:marRight w:val="0"/>
      <w:marTop w:val="0"/>
      <w:marBottom w:val="0"/>
      <w:divBdr>
        <w:top w:val="none" w:sz="0" w:space="0" w:color="auto"/>
        <w:left w:val="none" w:sz="0" w:space="0" w:color="auto"/>
        <w:bottom w:val="none" w:sz="0" w:space="0" w:color="auto"/>
        <w:right w:val="none" w:sz="0" w:space="0" w:color="auto"/>
      </w:divBdr>
    </w:div>
    <w:div w:id="1494447357">
      <w:bodyDiv w:val="1"/>
      <w:marLeft w:val="0"/>
      <w:marRight w:val="0"/>
      <w:marTop w:val="0"/>
      <w:marBottom w:val="0"/>
      <w:divBdr>
        <w:top w:val="none" w:sz="0" w:space="0" w:color="auto"/>
        <w:left w:val="none" w:sz="0" w:space="0" w:color="auto"/>
        <w:bottom w:val="none" w:sz="0" w:space="0" w:color="auto"/>
        <w:right w:val="none" w:sz="0" w:space="0" w:color="auto"/>
      </w:divBdr>
    </w:div>
    <w:div w:id="1661082558">
      <w:bodyDiv w:val="1"/>
      <w:marLeft w:val="0"/>
      <w:marRight w:val="0"/>
      <w:marTop w:val="0"/>
      <w:marBottom w:val="0"/>
      <w:divBdr>
        <w:top w:val="none" w:sz="0" w:space="0" w:color="auto"/>
        <w:left w:val="none" w:sz="0" w:space="0" w:color="auto"/>
        <w:bottom w:val="none" w:sz="0" w:space="0" w:color="auto"/>
        <w:right w:val="none" w:sz="0" w:space="0" w:color="auto"/>
      </w:divBdr>
    </w:div>
    <w:div w:id="1688947603">
      <w:bodyDiv w:val="1"/>
      <w:marLeft w:val="0"/>
      <w:marRight w:val="0"/>
      <w:marTop w:val="0"/>
      <w:marBottom w:val="0"/>
      <w:divBdr>
        <w:top w:val="none" w:sz="0" w:space="0" w:color="auto"/>
        <w:left w:val="none" w:sz="0" w:space="0" w:color="auto"/>
        <w:bottom w:val="none" w:sz="0" w:space="0" w:color="auto"/>
        <w:right w:val="none" w:sz="0" w:space="0" w:color="auto"/>
      </w:divBdr>
    </w:div>
    <w:div w:id="1702509241">
      <w:bodyDiv w:val="1"/>
      <w:marLeft w:val="0"/>
      <w:marRight w:val="0"/>
      <w:marTop w:val="0"/>
      <w:marBottom w:val="0"/>
      <w:divBdr>
        <w:top w:val="none" w:sz="0" w:space="0" w:color="auto"/>
        <w:left w:val="none" w:sz="0" w:space="0" w:color="auto"/>
        <w:bottom w:val="none" w:sz="0" w:space="0" w:color="auto"/>
        <w:right w:val="none" w:sz="0" w:space="0" w:color="auto"/>
      </w:divBdr>
    </w:div>
    <w:div w:id="1738892124">
      <w:bodyDiv w:val="1"/>
      <w:marLeft w:val="0"/>
      <w:marRight w:val="0"/>
      <w:marTop w:val="0"/>
      <w:marBottom w:val="0"/>
      <w:divBdr>
        <w:top w:val="none" w:sz="0" w:space="0" w:color="auto"/>
        <w:left w:val="none" w:sz="0" w:space="0" w:color="auto"/>
        <w:bottom w:val="none" w:sz="0" w:space="0" w:color="auto"/>
        <w:right w:val="none" w:sz="0" w:space="0" w:color="auto"/>
      </w:divBdr>
    </w:div>
    <w:div w:id="1745377368">
      <w:bodyDiv w:val="1"/>
      <w:marLeft w:val="0"/>
      <w:marRight w:val="0"/>
      <w:marTop w:val="0"/>
      <w:marBottom w:val="0"/>
      <w:divBdr>
        <w:top w:val="none" w:sz="0" w:space="0" w:color="auto"/>
        <w:left w:val="none" w:sz="0" w:space="0" w:color="auto"/>
        <w:bottom w:val="none" w:sz="0" w:space="0" w:color="auto"/>
        <w:right w:val="none" w:sz="0" w:space="0" w:color="auto"/>
      </w:divBdr>
    </w:div>
    <w:div w:id="1791849945">
      <w:bodyDiv w:val="1"/>
      <w:marLeft w:val="0"/>
      <w:marRight w:val="0"/>
      <w:marTop w:val="0"/>
      <w:marBottom w:val="0"/>
      <w:divBdr>
        <w:top w:val="none" w:sz="0" w:space="0" w:color="auto"/>
        <w:left w:val="none" w:sz="0" w:space="0" w:color="auto"/>
        <w:bottom w:val="none" w:sz="0" w:space="0" w:color="auto"/>
        <w:right w:val="none" w:sz="0" w:space="0" w:color="auto"/>
      </w:divBdr>
    </w:div>
    <w:div w:id="1828746978">
      <w:bodyDiv w:val="1"/>
      <w:marLeft w:val="0"/>
      <w:marRight w:val="0"/>
      <w:marTop w:val="0"/>
      <w:marBottom w:val="0"/>
      <w:divBdr>
        <w:top w:val="none" w:sz="0" w:space="0" w:color="auto"/>
        <w:left w:val="none" w:sz="0" w:space="0" w:color="auto"/>
        <w:bottom w:val="none" w:sz="0" w:space="0" w:color="auto"/>
        <w:right w:val="none" w:sz="0" w:space="0" w:color="auto"/>
      </w:divBdr>
    </w:div>
    <w:div w:id="1937052848">
      <w:bodyDiv w:val="1"/>
      <w:marLeft w:val="0"/>
      <w:marRight w:val="0"/>
      <w:marTop w:val="0"/>
      <w:marBottom w:val="0"/>
      <w:divBdr>
        <w:top w:val="none" w:sz="0" w:space="0" w:color="auto"/>
        <w:left w:val="none" w:sz="0" w:space="0" w:color="auto"/>
        <w:bottom w:val="none" w:sz="0" w:space="0" w:color="auto"/>
        <w:right w:val="none" w:sz="0" w:space="0" w:color="auto"/>
      </w:divBdr>
    </w:div>
    <w:div w:id="1949896922">
      <w:bodyDiv w:val="1"/>
      <w:marLeft w:val="0"/>
      <w:marRight w:val="0"/>
      <w:marTop w:val="0"/>
      <w:marBottom w:val="0"/>
      <w:divBdr>
        <w:top w:val="none" w:sz="0" w:space="0" w:color="auto"/>
        <w:left w:val="none" w:sz="0" w:space="0" w:color="auto"/>
        <w:bottom w:val="none" w:sz="0" w:space="0" w:color="auto"/>
        <w:right w:val="none" w:sz="0" w:space="0" w:color="auto"/>
      </w:divBdr>
    </w:div>
    <w:div w:id="2050377243">
      <w:bodyDiv w:val="1"/>
      <w:marLeft w:val="0"/>
      <w:marRight w:val="0"/>
      <w:marTop w:val="0"/>
      <w:marBottom w:val="0"/>
      <w:divBdr>
        <w:top w:val="none" w:sz="0" w:space="0" w:color="auto"/>
        <w:left w:val="none" w:sz="0" w:space="0" w:color="auto"/>
        <w:bottom w:val="none" w:sz="0" w:space="0" w:color="auto"/>
        <w:right w:val="none" w:sz="0" w:space="0" w:color="auto"/>
      </w:divBdr>
    </w:div>
    <w:div w:id="214638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TotalTime>
  <Pages>13</Pages>
  <Words>3987</Words>
  <Characters>24321</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2025033344 MT</dc:description>
  <cp:lastModifiedBy>Hanne Thy Iversen</cp:lastModifiedBy>
  <cp:revision>3</cp:revision>
  <cp:lastPrinted>2012-08-22T08:53:00Z</cp:lastPrinted>
  <dcterms:created xsi:type="dcterms:W3CDTF">2026-09-17T07:58:00Z</dcterms:created>
  <dcterms:modified xsi:type="dcterms:W3CDTF">2026-09-17T08:13:00Z</dcterms:modified>
</cp:coreProperties>
</file>